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932DA" w14:textId="77777777" w:rsidR="00FC58AB" w:rsidRDefault="00382C0E">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Resolución del Pleno del Instituto de Transparencia, Acceso a la Información Pública y Protección de Datos Personales del Estado de México y Municipios, con domicilio en Metepec, Estado de México; de f</w:t>
      </w:r>
      <w:r>
        <w:rPr>
          <w:rFonts w:ascii="Palatino Linotype" w:eastAsia="Palatino Linotype" w:hAnsi="Palatino Linotype" w:cs="Palatino Linotype"/>
        </w:rPr>
        <w:t>echa trece (13)</w:t>
      </w:r>
      <w:r>
        <w:rPr>
          <w:rFonts w:ascii="Palatino Linotype" w:eastAsia="Palatino Linotype" w:hAnsi="Palatino Linotype" w:cs="Palatino Linotype"/>
          <w:color w:val="000000"/>
        </w:rPr>
        <w:t xml:space="preserve"> de noviembre de dos mil veinticuatro.</w:t>
      </w:r>
    </w:p>
    <w:p w14:paraId="19E0BA20" w14:textId="77777777" w:rsidR="00FC58AB" w:rsidRDefault="00FC58AB">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bookmarkStart w:id="0" w:name="_heading=h.gjdgxs" w:colFirst="0" w:colLast="0"/>
      <w:bookmarkEnd w:id="0"/>
    </w:p>
    <w:p w14:paraId="5D512ACD" w14:textId="0F96CD89" w:rsidR="00FC58AB" w:rsidRDefault="00382C0E">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bookmarkStart w:id="1" w:name="_heading=h.30j0zll" w:colFirst="0" w:colLast="0"/>
      <w:bookmarkEnd w:id="1"/>
      <w:r>
        <w:rPr>
          <w:rFonts w:ascii="Palatino Linotype" w:eastAsia="Palatino Linotype" w:hAnsi="Palatino Linotype" w:cs="Palatino Linotype"/>
          <w:color w:val="000000"/>
        </w:rPr>
        <w:t xml:space="preserve">VISTOS los expedientes electrónicos formados con motivo de los Recursos de Revisión </w:t>
      </w:r>
      <w:r>
        <w:rPr>
          <w:rFonts w:ascii="Palatino Linotype" w:eastAsia="Palatino Linotype" w:hAnsi="Palatino Linotype" w:cs="Palatino Linotype"/>
          <w:b/>
          <w:color w:val="000000"/>
        </w:rPr>
        <w:t xml:space="preserve">01593/INFOEM/IP/RR/2024, 01594/INFOEM/IP/RR/2024, 01596/INFOEM/IP/RR/2024  y 01597/INFOEM/IP/RR/2024 </w:t>
      </w:r>
      <w:r>
        <w:rPr>
          <w:rFonts w:ascii="Palatino Linotype" w:eastAsia="Palatino Linotype" w:hAnsi="Palatino Linotype" w:cs="Palatino Linotype"/>
          <w:color w:val="000000"/>
        </w:rPr>
        <w:t xml:space="preserve">acumulados, promovidos por un usuario que </w:t>
      </w:r>
      <w:r>
        <w:rPr>
          <w:rFonts w:ascii="Palatino Linotype" w:eastAsia="Palatino Linotype" w:hAnsi="Palatino Linotype" w:cs="Palatino Linotype"/>
        </w:rPr>
        <w:t xml:space="preserve">se registró como </w:t>
      </w:r>
      <w:r>
        <w:rPr>
          <w:rFonts w:ascii="Palatino Linotype" w:eastAsia="Palatino Linotype" w:hAnsi="Palatino Linotype" w:cs="Palatino Linotype"/>
          <w:color w:val="000000"/>
        </w:rPr>
        <w:t xml:space="preserve"> </w:t>
      </w:r>
      <w:r w:rsidR="00E672DB">
        <w:rPr>
          <w:rFonts w:ascii="Palatino Linotype" w:eastAsia="Palatino Linotype" w:hAnsi="Palatino Linotype" w:cs="Palatino Linotype"/>
          <w:b/>
          <w:color w:val="000000"/>
        </w:rPr>
        <w:t>XXX XXX</w:t>
      </w:r>
      <w:r>
        <w:rPr>
          <w:rFonts w:ascii="Palatino Linotype" w:eastAsia="Palatino Linotype" w:hAnsi="Palatino Linotype" w:cs="Palatino Linotype"/>
          <w:color w:val="000000"/>
        </w:rPr>
        <w:t xml:space="preserve">, a través del Sistema de Acceso a la Información Mexiquense (SAIMEX), a quien en lo sucesivo se le identificará como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en contra de las respuestas del </w:t>
      </w:r>
      <w:r>
        <w:rPr>
          <w:rFonts w:ascii="Palatino Linotype" w:eastAsia="Palatino Linotype" w:hAnsi="Palatino Linotype" w:cs="Palatino Linotype"/>
          <w:b/>
          <w:color w:val="000000"/>
        </w:rPr>
        <w:t>Ayuntamiento de Tlalnepantla de Baz</w:t>
      </w:r>
      <w:r>
        <w:rPr>
          <w:rFonts w:ascii="Palatino Linotype" w:eastAsia="Palatino Linotype" w:hAnsi="Palatino Linotype" w:cs="Palatino Linotype"/>
          <w:color w:val="000000"/>
        </w:rPr>
        <w:t xml:space="preserve">, en </w:t>
      </w:r>
      <w:r>
        <w:rPr>
          <w:rFonts w:ascii="Palatino Linotype" w:eastAsia="Palatino Linotype" w:hAnsi="Palatino Linotype" w:cs="Palatino Linotype"/>
        </w:rPr>
        <w:t>adelante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se procede a dictar la presente resolución, con base en los siguientes:</w:t>
      </w:r>
    </w:p>
    <w:p w14:paraId="0DE3D7C3" w14:textId="77777777" w:rsidR="00FC58AB" w:rsidRDefault="00FC58AB">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78D90CC8" w14:textId="77777777" w:rsidR="00FC58AB" w:rsidRDefault="00382C0E">
      <w:pPr>
        <w:pBdr>
          <w:top w:val="nil"/>
          <w:left w:val="nil"/>
          <w:bottom w:val="nil"/>
          <w:right w:val="nil"/>
          <w:between w:val="nil"/>
        </w:pBdr>
        <w:spacing w:line="360" w:lineRule="auto"/>
        <w:ind w:right="-78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14:paraId="39CC56A8" w14:textId="77777777" w:rsidR="00FC58AB" w:rsidRDefault="00FC58AB">
      <w:pPr>
        <w:spacing w:line="360" w:lineRule="auto"/>
        <w:ind w:right="-787"/>
        <w:rPr>
          <w:rFonts w:ascii="Palatino Linotype" w:eastAsia="Palatino Linotype" w:hAnsi="Palatino Linotype" w:cs="Palatino Linotype"/>
        </w:rPr>
      </w:pPr>
    </w:p>
    <w:p w14:paraId="6F254A90" w14:textId="77777777" w:rsidR="00FC58AB" w:rsidRDefault="00382C0E">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día </w:t>
      </w:r>
      <w:r>
        <w:rPr>
          <w:rFonts w:ascii="Palatino Linotype" w:eastAsia="Palatino Linotype" w:hAnsi="Palatino Linotype" w:cs="Palatino Linotype"/>
          <w:b/>
          <w:color w:val="000000"/>
        </w:rPr>
        <w:t xml:space="preserve">cuatro de marzo de dos mil veinticuatro, </w:t>
      </w:r>
      <w:r>
        <w:rPr>
          <w:rFonts w:ascii="Palatino Linotype" w:eastAsia="Palatino Linotype" w:hAnsi="Palatino Linotype" w:cs="Palatino Linotype"/>
          <w:color w:val="000000"/>
        </w:rPr>
        <w:t xml:space="preserve">se presentó ante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vía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las solicitudes de información pública registradas con los números</w:t>
      </w:r>
      <w:r>
        <w:rPr>
          <w:rFonts w:ascii="Palatino Linotype" w:eastAsia="Palatino Linotype" w:hAnsi="Palatino Linotype" w:cs="Palatino Linotype"/>
          <w:b/>
          <w:color w:val="000000"/>
        </w:rPr>
        <w:t xml:space="preserve"> 00218/TLALNEPA/IP/2024, 00217/TLALNEPA/IP/2024, 00215/TLALNEPA/IP/2024 y  00214/TLALNEPA/IP/2024, </w:t>
      </w:r>
      <w:r>
        <w:rPr>
          <w:rFonts w:ascii="Palatino Linotype" w:eastAsia="Palatino Linotype" w:hAnsi="Palatino Linotype" w:cs="Palatino Linotype"/>
        </w:rPr>
        <w:t>en las que</w:t>
      </w:r>
      <w:r>
        <w:rPr>
          <w:rFonts w:ascii="Palatino Linotype" w:eastAsia="Palatino Linotype" w:hAnsi="Palatino Linotype" w:cs="Palatino Linotype"/>
          <w:color w:val="000000"/>
        </w:rPr>
        <w:t xml:space="preserve"> se solicitó la siguiente información:</w:t>
      </w:r>
    </w:p>
    <w:p w14:paraId="04AA66DC" w14:textId="77777777" w:rsidR="00FC58AB" w:rsidRDefault="00FC58AB">
      <w:pPr>
        <w:pBdr>
          <w:top w:val="nil"/>
          <w:left w:val="nil"/>
          <w:bottom w:val="nil"/>
          <w:right w:val="nil"/>
          <w:between w:val="nil"/>
        </w:pBdr>
        <w:spacing w:line="360" w:lineRule="auto"/>
        <w:ind w:left="928" w:right="-787"/>
        <w:jc w:val="both"/>
        <w:rPr>
          <w:rFonts w:ascii="Palatino Linotype" w:eastAsia="Palatino Linotype" w:hAnsi="Palatino Linotype" w:cs="Palatino Linotype"/>
        </w:rPr>
      </w:pPr>
    </w:p>
    <w:tbl>
      <w:tblPr>
        <w:tblStyle w:val="a"/>
        <w:tblW w:w="95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9"/>
        <w:gridCol w:w="6066"/>
      </w:tblGrid>
      <w:tr w:rsidR="00FC58AB" w14:paraId="24240595" w14:textId="77777777">
        <w:tc>
          <w:tcPr>
            <w:tcW w:w="3489" w:type="dxa"/>
          </w:tcPr>
          <w:p w14:paraId="1838B2CF" w14:textId="77777777" w:rsidR="00FC58AB" w:rsidRDefault="00382C0E">
            <w:pPr>
              <w:pBdr>
                <w:top w:val="nil"/>
                <w:left w:val="nil"/>
                <w:bottom w:val="nil"/>
                <w:right w:val="nil"/>
                <w:between w:val="nil"/>
              </w:pBdr>
              <w:ind w:right="-78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Solicitud de información </w:t>
            </w:r>
          </w:p>
        </w:tc>
        <w:tc>
          <w:tcPr>
            <w:tcW w:w="6066" w:type="dxa"/>
          </w:tcPr>
          <w:p w14:paraId="52305B1B" w14:textId="77777777" w:rsidR="00FC58AB" w:rsidRDefault="00382C0E">
            <w:pPr>
              <w:pBdr>
                <w:top w:val="nil"/>
                <w:left w:val="nil"/>
                <w:bottom w:val="nil"/>
                <w:right w:val="nil"/>
                <w:between w:val="nil"/>
              </w:pBdr>
              <w:ind w:right="-78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Información solicitada </w:t>
            </w:r>
          </w:p>
        </w:tc>
      </w:tr>
      <w:tr w:rsidR="00FC58AB" w14:paraId="6ADBF59D" w14:textId="77777777">
        <w:tc>
          <w:tcPr>
            <w:tcW w:w="3489" w:type="dxa"/>
          </w:tcPr>
          <w:p w14:paraId="55876483" w14:textId="77777777" w:rsidR="00B42529" w:rsidRDefault="00382C0E">
            <w:pPr>
              <w:ind w:right="-78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Solicitud </w:t>
            </w:r>
          </w:p>
          <w:p w14:paraId="14F6F8C0" w14:textId="4627DD37" w:rsidR="00FC58AB" w:rsidRDefault="00382C0E">
            <w:pPr>
              <w:ind w:right="-78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00218/TLALNEPA/IP/2024:</w:t>
            </w:r>
            <w:r>
              <w:rPr>
                <w:rFonts w:ascii="Palatino Linotype" w:eastAsia="Palatino Linotype" w:hAnsi="Palatino Linotype" w:cs="Palatino Linotype"/>
                <w:i/>
                <w:sz w:val="22"/>
                <w:szCs w:val="22"/>
              </w:rPr>
              <w:t xml:space="preserve"> </w:t>
            </w:r>
          </w:p>
          <w:p w14:paraId="61B1AC7F" w14:textId="77777777" w:rsidR="00FC58AB" w:rsidRDefault="00FC58AB">
            <w:pPr>
              <w:ind w:right="-787"/>
              <w:jc w:val="both"/>
              <w:rPr>
                <w:rFonts w:ascii="Palatino Linotype" w:eastAsia="Palatino Linotype" w:hAnsi="Palatino Linotype" w:cs="Palatino Linotype"/>
                <w:b/>
                <w:i/>
                <w:sz w:val="22"/>
                <w:szCs w:val="22"/>
              </w:rPr>
            </w:pPr>
          </w:p>
        </w:tc>
        <w:tc>
          <w:tcPr>
            <w:tcW w:w="6066" w:type="dxa"/>
          </w:tcPr>
          <w:p w14:paraId="783380AA" w14:textId="77777777" w:rsidR="00FC58AB" w:rsidRDefault="00382C0E">
            <w:pPr>
              <w:pBdr>
                <w:top w:val="nil"/>
                <w:left w:val="nil"/>
                <w:bottom w:val="nil"/>
                <w:right w:val="nil"/>
                <w:between w:val="nil"/>
              </w:pBdr>
              <w:ind w:right="-78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“del año   2022 de los temas Concluir y pagar la construcción de pavimentación con concreto hidráulico de la calle Río Pánuco de calle 9 a límite de calle, Col. Ex Ejidos de Tepeolulco, en el municipio de Tlalnepantla </w:t>
            </w:r>
            <w:r>
              <w:rPr>
                <w:rFonts w:ascii="Palatino Linotype" w:eastAsia="Palatino Linotype" w:hAnsi="Palatino Linotype" w:cs="Palatino Linotype"/>
                <w:i/>
                <w:color w:val="000000"/>
                <w:sz w:val="22"/>
                <w:szCs w:val="22"/>
              </w:rPr>
              <w:lastRenderedPageBreak/>
              <w:t>de Baz, Estado de México Concluir y pagar la construcción de pavimentación con concreto hidráulico de la calle puerto Acapulco de calle puerto Topolobampo a límite de la calle, Col. Ex Ejidos de Tepeolulco, en el municipio de Tlalnepantla de Baz, Estado de México. Concluir y pagar la construcción de pavimentación con concreto hidráulico de la calle Loma Sur de calle puerto Topolobampo a límite de la calle, Col. Ex Ejidos de Tepeolulco, en el municipio de Tlalnepantla de Baz, Estado de México. Concluir y pagar la construcción de pavimentación con concreto hidráulico de la calle Miguel Alemán de Lerdo de Tejada a Av. del Ferrocarril, Col. Marina Nacional en el municipio de Tlalnepantla de Baz, Estado de México Concluir y pagar la construcción de pavimentación con concreto hidráulico de la calle Aguascalientes de Av. del trabajo a Zacatecas, Col. Lomas de San Andrés Atenco, en el municipio de Tlalnepantla de Baz, Estado de México. Concluir y pagar la construcción de pavimentación con concreto hidráulico de la calle Reyna Xóchitl de Tenoch a Av. Alfredo del Mazo, Col. Tenayo centro, en el municipio de Tlalnepantla de Baz, Estado de México. Concluir y pagar la construcción de pavimentación con concreto hidráulico de la Av. Adolfo López Mateos de la Av. de Los Parajes a Avenida Hidalgo, Col. La Blanca, en el municipio de Tlalnepantla de Baz, Estado de México. v Concluir y pagar la construcción de pavimentación con concreto hidráulico de Av. Popocatépetl primera etapa Col. Loma Bonita, en el municipio de Tlalnepantla de Baz, Estado de México solicito el procedimiento de adjudicacion directa, contratos y facturas”</w:t>
            </w:r>
          </w:p>
        </w:tc>
      </w:tr>
      <w:tr w:rsidR="00FC58AB" w14:paraId="1A5F493A" w14:textId="77777777">
        <w:tc>
          <w:tcPr>
            <w:tcW w:w="3489" w:type="dxa"/>
          </w:tcPr>
          <w:p w14:paraId="136A6B9E" w14:textId="77777777" w:rsidR="00FC58AB" w:rsidRDefault="00382C0E">
            <w:pPr>
              <w:pBdr>
                <w:top w:val="nil"/>
                <w:left w:val="nil"/>
                <w:bottom w:val="nil"/>
                <w:right w:val="nil"/>
                <w:between w:val="nil"/>
              </w:pBdr>
              <w:ind w:right="-787"/>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lastRenderedPageBreak/>
              <w:t xml:space="preserve">Solicitud </w:t>
            </w:r>
          </w:p>
          <w:p w14:paraId="74AF4F4E" w14:textId="77777777" w:rsidR="00FC58AB" w:rsidRDefault="00382C0E">
            <w:pPr>
              <w:pBdr>
                <w:top w:val="nil"/>
                <w:left w:val="nil"/>
                <w:bottom w:val="nil"/>
                <w:right w:val="nil"/>
                <w:between w:val="nil"/>
              </w:pBdr>
              <w:ind w:right="-787"/>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00217/TLALNEPA/IP/2024: </w:t>
            </w:r>
          </w:p>
        </w:tc>
        <w:tc>
          <w:tcPr>
            <w:tcW w:w="6066" w:type="dxa"/>
          </w:tcPr>
          <w:p w14:paraId="04826B69" w14:textId="77777777" w:rsidR="00FC58AB" w:rsidRDefault="00382C0E">
            <w:pPr>
              <w:ind w:right="-787"/>
              <w:jc w:val="both"/>
              <w:rPr>
                <w:rFonts w:ascii="Palatino Linotype" w:eastAsia="Palatino Linotype" w:hAnsi="Palatino Linotype" w:cs="Palatino Linotype"/>
                <w:i/>
                <w:sz w:val="22"/>
                <w:szCs w:val="22"/>
              </w:rPr>
            </w:pPr>
            <w:r>
              <w:rPr>
                <w:rFonts w:ascii="Palatino Linotype" w:eastAsia="Palatino Linotype" w:hAnsi="Palatino Linotype" w:cs="Palatino Linotype"/>
                <w:i/>
              </w:rPr>
              <w:t>“</w:t>
            </w:r>
            <w:r>
              <w:rPr>
                <w:rFonts w:ascii="Palatino Linotype" w:eastAsia="Palatino Linotype" w:hAnsi="Palatino Linotype" w:cs="Palatino Linotype"/>
                <w:i/>
                <w:sz w:val="22"/>
                <w:szCs w:val="22"/>
              </w:rPr>
              <w:t xml:space="preserve">del año 2022 de los temas Remodelación de oficinas palacio municipal, Tlalnepantla centro, en el municipio de Tlanepantla de Baz, Estado de México. Concluir y pagar la pavimentación con concreto hidráulico de la Av. Tenochtitlan de Alfredo del Mazo a Nezahualcóyotl, Col. Tenayo Centro, en el municipio de Tlalnepantla de Baz, Estado de México 3,780 cubetas de 19 litros de mezcla desarrollada a base de resina de hule clorado y alquidalica. Servicio de mantenimiento preventivo y correctivo al sistema computarizado de semáforos (servicio de conducción de señales analógicas y digitales). 2,458.00 toneladas de mezcla asfáltica en caliente y 21,600 litros de emulsión asfáltica tipo RR-2K. Servicio de integral de Rehabilitación en Ciclovía Tlalnepantla de Baz, Estado de México. Arrendamiento de 20,000 luminarias. Suministro de material necesario para la instalación y mantenimiento de luminarias de todo el territorio municipal. Construcción de clínica veterinaria sobre Av. Cultura Tolteca S/N, U. H. Rosario I Secc. III, en el municipio de Tlalnepantla de Baz, Estado de México. Construcción </w:t>
            </w:r>
            <w:r>
              <w:rPr>
                <w:rFonts w:ascii="Palatino Linotype" w:eastAsia="Palatino Linotype" w:hAnsi="Palatino Linotype" w:cs="Palatino Linotype"/>
                <w:i/>
                <w:sz w:val="22"/>
                <w:szCs w:val="22"/>
              </w:rPr>
              <w:lastRenderedPageBreak/>
              <w:t>de C-4 municipal dentro de las instalaciones del parque Cri Cri sobre antiguo camino a San José, Col. San Juan Ixhuatepec, en el Municipio de Tlalnepantla de Baz, Estado de México. solicito el procedimiento de adjudicacion directa, contratos y facturas”</w:t>
            </w:r>
          </w:p>
        </w:tc>
      </w:tr>
      <w:tr w:rsidR="00FC58AB" w14:paraId="2EE8E4F1" w14:textId="77777777">
        <w:tc>
          <w:tcPr>
            <w:tcW w:w="3489" w:type="dxa"/>
          </w:tcPr>
          <w:p w14:paraId="548904BE" w14:textId="77777777" w:rsidR="00FC58AB" w:rsidRDefault="00382C0E">
            <w:pPr>
              <w:pBdr>
                <w:top w:val="nil"/>
                <w:left w:val="nil"/>
                <w:bottom w:val="nil"/>
                <w:right w:val="nil"/>
                <w:between w:val="nil"/>
              </w:pBdr>
              <w:ind w:right="-787"/>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lastRenderedPageBreak/>
              <w:t xml:space="preserve">Solicitud </w:t>
            </w:r>
          </w:p>
          <w:p w14:paraId="2787E296" w14:textId="77777777" w:rsidR="00FC58AB" w:rsidRDefault="00382C0E">
            <w:pPr>
              <w:pBdr>
                <w:top w:val="nil"/>
                <w:left w:val="nil"/>
                <w:bottom w:val="nil"/>
                <w:right w:val="nil"/>
                <w:between w:val="nil"/>
              </w:pBdr>
              <w:ind w:right="-78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00215/TLALNEPA/IP/2024</w:t>
            </w:r>
          </w:p>
        </w:tc>
        <w:tc>
          <w:tcPr>
            <w:tcW w:w="6066" w:type="dxa"/>
          </w:tcPr>
          <w:p w14:paraId="230C6E1C" w14:textId="77777777" w:rsidR="00FC58AB" w:rsidRDefault="00382C0E">
            <w:pPr>
              <w:pBdr>
                <w:top w:val="nil"/>
                <w:left w:val="nil"/>
                <w:bottom w:val="nil"/>
                <w:right w:val="nil"/>
                <w:between w:val="nil"/>
              </w:pBdr>
              <w:ind w:right="-78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“del año 2022 de los temas Concluir y pagar la construcción de pavimentación con concreto hidráulico de la calle Aguascalientes de Av. del trabajo a Zacatecas, Col. Lomas de San Andrés Atenco, en el municipio de Tlalnepantla de Baz, Estado de México. Concluir y pagar la construcción de pavimentación con concreto hidráulico de la calle Reyna Xóchitl de Tenoch a Av. Alfredo del Mazo, Col. Tenayo centro, en el municipio de Tlalnepantla de Baz, Estado de México. Concluir y pagar la construcción de pavimentación con concreto hidráulico de la Av. Adolfo López Mateos de la Av. de Los Parajes a Avenida Hidalgo, Col. La Blanca, en el municipio de Tlalnepantla de Baz, Estado de México. Concluir y pagar la construcción de pavimentación con concreto hidráulico de Av. Popocatépetl primera etapa Col. Loma Bonita, en el municipio de Tlalnepantla de Baz, Estado de México </w:t>
            </w:r>
            <w:r>
              <w:rPr>
                <w:rFonts w:ascii="Palatino Linotype" w:eastAsia="Palatino Linotype" w:hAnsi="Palatino Linotype" w:cs="Palatino Linotype"/>
                <w:b/>
                <w:i/>
                <w:color w:val="000000"/>
                <w:sz w:val="22"/>
                <w:szCs w:val="22"/>
              </w:rPr>
              <w:t>solicito todas las documentales de “Adjudicaciones directa”</w:t>
            </w:r>
          </w:p>
        </w:tc>
      </w:tr>
      <w:tr w:rsidR="00FC58AB" w14:paraId="2A77BCFA" w14:textId="77777777">
        <w:tc>
          <w:tcPr>
            <w:tcW w:w="3489" w:type="dxa"/>
          </w:tcPr>
          <w:p w14:paraId="37A3B0F1" w14:textId="77777777" w:rsidR="00FC58AB" w:rsidRDefault="00382C0E">
            <w:pPr>
              <w:pBdr>
                <w:top w:val="nil"/>
                <w:left w:val="nil"/>
                <w:bottom w:val="nil"/>
                <w:right w:val="nil"/>
                <w:between w:val="nil"/>
              </w:pBdr>
              <w:ind w:right="-787"/>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Solicitud </w:t>
            </w:r>
          </w:p>
          <w:p w14:paraId="1DC7DAA8" w14:textId="77777777" w:rsidR="00FC58AB" w:rsidRDefault="00382C0E">
            <w:pPr>
              <w:pBdr>
                <w:top w:val="nil"/>
                <w:left w:val="nil"/>
                <w:bottom w:val="nil"/>
                <w:right w:val="nil"/>
                <w:between w:val="nil"/>
              </w:pBdr>
              <w:ind w:right="-787"/>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00214/TLALNEPA/IP/2024</w:t>
            </w:r>
          </w:p>
        </w:tc>
        <w:tc>
          <w:tcPr>
            <w:tcW w:w="6066" w:type="dxa"/>
          </w:tcPr>
          <w:p w14:paraId="171C0EFD" w14:textId="77777777" w:rsidR="00FC58AB" w:rsidRDefault="00382C0E">
            <w:pPr>
              <w:pBdr>
                <w:top w:val="nil"/>
                <w:left w:val="nil"/>
                <w:bottom w:val="nil"/>
                <w:right w:val="nil"/>
                <w:between w:val="nil"/>
              </w:pBdr>
              <w:ind w:right="-78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“del ejercicio 2022 de los temas 2,458.00 toneladas de mezcla asfáltica en caliente y 21,600 litros de emulsión asfáltica tipo RR-2K. Servicio de integral de Rehabilitación en Ciclovía Tlalnepantla de Baz, Estado de México. Arrendamiento de 20,000 luminarias Suministro de material necesario para la instalación y mantenimiento de luminarias de todo el territorio municipal. Construcción de clínica veterinaria sobre Av. Cultura Tolteca S/N, U. H. Rosario I Secc. III, en el municipio de Tlalnepantla de Baz, Estado de México. Construcción de C-4 municipal dentro de las instalaciones del parque Cri Cri sobre antiguo camino a San José, Col. San Juan Ixhuatepec, en el Municipio de Tlalnepantla de Baz, Estado de México. Concluir y pagar la construcción de pavimentación con concreto hidráulico de la calle Río Pánuco de calle 9 a límite de calle, Col. Ex Ejidos de Tepeolulco, en el municipio de Tlalnepantla de Baz, Estado de México. Concluir y pagar la construcción de pavimentación con concreto hidráulico de la calle puerto Acapulco de calle puerto Topolobampo a límite de la calle, Col. Ex Ejidos de Tepeolulco, en el municipio de Tlalnepantla de Baz, Estado de México Concluir y pagar la construcción de pavimentación con concreto hidráulico de la calle Loma Sur de calle puerto Topolobampo a límite de la calle, Col. Ex Ejidos de Tepeolulco, en el municipio de Tlalnepantla de Baz, Estado de México. Concluir y pagar la construcción de pavimentación con concreto hidráulico de la calle Miguel Alemán de Lerdo de Tejada a Av. del </w:t>
            </w:r>
            <w:r>
              <w:rPr>
                <w:rFonts w:ascii="Palatino Linotype" w:eastAsia="Palatino Linotype" w:hAnsi="Palatino Linotype" w:cs="Palatino Linotype"/>
                <w:i/>
                <w:color w:val="000000"/>
                <w:sz w:val="22"/>
                <w:szCs w:val="22"/>
              </w:rPr>
              <w:lastRenderedPageBreak/>
              <w:t xml:space="preserve">Ferrocarril, Col. Marina Nacional en el municipio de Tlalnepantla de Baz, Estado de México </w:t>
            </w:r>
            <w:r>
              <w:rPr>
                <w:rFonts w:ascii="Palatino Linotype" w:eastAsia="Palatino Linotype" w:hAnsi="Palatino Linotype" w:cs="Palatino Linotype"/>
                <w:b/>
                <w:i/>
                <w:color w:val="000000"/>
                <w:sz w:val="22"/>
                <w:szCs w:val="22"/>
              </w:rPr>
              <w:t>solicito todas las documentales del procedimiento de Adjudicaciones directas”</w:t>
            </w:r>
          </w:p>
        </w:tc>
      </w:tr>
    </w:tbl>
    <w:p w14:paraId="4E999E15" w14:textId="77777777" w:rsidR="00FC58AB" w:rsidRDefault="00FC58AB">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76526E9B" w14:textId="77777777" w:rsidR="00FC58AB" w:rsidRDefault="00382C0E">
      <w:pPr>
        <w:pBdr>
          <w:top w:val="nil"/>
          <w:left w:val="nil"/>
          <w:bottom w:val="nil"/>
          <w:right w:val="nil"/>
          <w:between w:val="nil"/>
        </w:pBdr>
        <w:ind w:left="1134" w:right="-787"/>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Modalidad de entrega</w:t>
      </w:r>
      <w:r>
        <w:rPr>
          <w:rFonts w:ascii="Palatino Linotype" w:eastAsia="Palatino Linotype" w:hAnsi="Palatino Linotype" w:cs="Palatino Linotype"/>
          <w:color w:val="000000"/>
        </w:rPr>
        <w:t>: Vía SAIMEX.</w:t>
      </w:r>
    </w:p>
    <w:p w14:paraId="536A2E7D" w14:textId="77777777" w:rsidR="00FC58AB" w:rsidRDefault="00FC58AB">
      <w:pPr>
        <w:pBdr>
          <w:top w:val="nil"/>
          <w:left w:val="nil"/>
          <w:bottom w:val="nil"/>
          <w:right w:val="nil"/>
          <w:between w:val="nil"/>
        </w:pBdr>
        <w:spacing w:line="360" w:lineRule="auto"/>
        <w:ind w:right="-787"/>
        <w:jc w:val="both"/>
        <w:rPr>
          <w:rFonts w:ascii="Palatino Linotype" w:eastAsia="Palatino Linotype" w:hAnsi="Palatino Linotype" w:cs="Palatino Linotype"/>
          <w:i/>
          <w:color w:val="000000"/>
        </w:rPr>
      </w:pPr>
    </w:p>
    <w:p w14:paraId="2B8646C1" w14:textId="77777777" w:rsidR="00FC58AB" w:rsidRDefault="00382C0E">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veintidós de marzo de dos mil veinticuatro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 giro los requerimientos de información para fueran atendidas las solicitudes de información </w:t>
      </w:r>
      <w:r>
        <w:rPr>
          <w:rFonts w:ascii="Palatino Linotype" w:eastAsia="Palatino Linotype" w:hAnsi="Palatino Linotype" w:cs="Palatino Linotype"/>
          <w:b/>
          <w:color w:val="000000"/>
        </w:rPr>
        <w:t xml:space="preserve">00218/TLALNEPA/IP/2024, 00217/TLALNEPA/IP/2024, 00215/TLALNEPA/IP/2024 y  00214/TLALNEPA/IP/2024. </w:t>
      </w:r>
    </w:p>
    <w:p w14:paraId="59552FAE" w14:textId="77777777" w:rsidR="00FC58AB" w:rsidRDefault="00FC58AB">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341310AF" w14:textId="77777777" w:rsidR="00FC58AB" w:rsidRDefault="00382C0E">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en fecha </w:t>
      </w:r>
      <w:r>
        <w:rPr>
          <w:rFonts w:ascii="Palatino Linotype" w:eastAsia="Palatino Linotype" w:hAnsi="Palatino Linotype" w:cs="Palatino Linotype"/>
          <w:b/>
          <w:color w:val="000000"/>
        </w:rPr>
        <w:t>tres y cinco de julio de dos mil veinticuatro</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dio respuesta a las solicitudes de información </w:t>
      </w:r>
      <w:r>
        <w:rPr>
          <w:rFonts w:ascii="Palatino Linotype" w:eastAsia="Palatino Linotype" w:hAnsi="Palatino Linotype" w:cs="Palatino Linotype"/>
          <w:b/>
          <w:color w:val="000000"/>
        </w:rPr>
        <w:t xml:space="preserve">00218/TLALNEPA/IP/2024, 00217/TLALNEPA/IP/2024, 00215/TLALNEPA/IP/2024 y  00214/TLALNEPA/IP/2024, </w:t>
      </w:r>
      <w:r>
        <w:rPr>
          <w:rFonts w:ascii="Palatino Linotype" w:eastAsia="Palatino Linotype" w:hAnsi="Palatino Linotype" w:cs="Palatino Linotype"/>
          <w:color w:val="000000"/>
        </w:rPr>
        <w:t xml:space="preserve">con los siguientes documentos cuyo contenido grosso modo es el siguiente: </w:t>
      </w:r>
    </w:p>
    <w:p w14:paraId="5A73E7AF" w14:textId="77777777" w:rsidR="00FC58AB" w:rsidRDefault="00FC58AB">
      <w:pPr>
        <w:pBdr>
          <w:top w:val="nil"/>
          <w:left w:val="nil"/>
          <w:bottom w:val="nil"/>
          <w:right w:val="nil"/>
          <w:between w:val="nil"/>
        </w:pBdr>
        <w:spacing w:line="360" w:lineRule="auto"/>
        <w:ind w:right="-787"/>
        <w:jc w:val="both"/>
        <w:rPr>
          <w:rFonts w:ascii="Palatino Linotype" w:eastAsia="Palatino Linotype" w:hAnsi="Palatino Linotype" w:cs="Palatino Linotype"/>
          <w:b/>
          <w:i/>
          <w:color w:val="000000"/>
          <w:sz w:val="22"/>
          <w:szCs w:val="22"/>
        </w:rPr>
      </w:pPr>
    </w:p>
    <w:tbl>
      <w:tblPr>
        <w:tblStyle w:val="a0"/>
        <w:tblW w:w="97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4"/>
        <w:gridCol w:w="5931"/>
      </w:tblGrid>
      <w:tr w:rsidR="00FC58AB" w14:paraId="4877583A" w14:textId="77777777">
        <w:tc>
          <w:tcPr>
            <w:tcW w:w="3774" w:type="dxa"/>
          </w:tcPr>
          <w:p w14:paraId="2B8C03CF" w14:textId="77777777" w:rsidR="00FC58AB" w:rsidRDefault="00382C0E">
            <w:pPr>
              <w:pBdr>
                <w:top w:val="nil"/>
                <w:left w:val="nil"/>
                <w:bottom w:val="nil"/>
                <w:right w:val="nil"/>
                <w:between w:val="nil"/>
              </w:pBdr>
              <w:ind w:right="31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Solicitud de información </w:t>
            </w:r>
          </w:p>
        </w:tc>
        <w:tc>
          <w:tcPr>
            <w:tcW w:w="5931" w:type="dxa"/>
          </w:tcPr>
          <w:p w14:paraId="357AF0DF" w14:textId="77777777" w:rsidR="00FC58AB" w:rsidRDefault="00382C0E">
            <w:pPr>
              <w:pBdr>
                <w:top w:val="nil"/>
                <w:left w:val="nil"/>
                <w:bottom w:val="nil"/>
                <w:right w:val="nil"/>
                <w:between w:val="nil"/>
              </w:pBdr>
              <w:ind w:right="31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Información solicitada </w:t>
            </w:r>
          </w:p>
        </w:tc>
      </w:tr>
      <w:tr w:rsidR="00FC58AB" w14:paraId="35B065ED" w14:textId="77777777">
        <w:tc>
          <w:tcPr>
            <w:tcW w:w="3774" w:type="dxa"/>
          </w:tcPr>
          <w:p w14:paraId="25809246" w14:textId="77777777" w:rsidR="00FC58AB" w:rsidRDefault="00382C0E">
            <w:pPr>
              <w:ind w:right="3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Solicitud 00218/TLALNEPA/IP/2024:</w:t>
            </w:r>
            <w:r>
              <w:rPr>
                <w:rFonts w:ascii="Palatino Linotype" w:eastAsia="Palatino Linotype" w:hAnsi="Palatino Linotype" w:cs="Palatino Linotype"/>
                <w:i/>
                <w:sz w:val="22"/>
                <w:szCs w:val="22"/>
              </w:rPr>
              <w:t xml:space="preserve"> </w:t>
            </w:r>
          </w:p>
          <w:p w14:paraId="50783BCE" w14:textId="77777777" w:rsidR="00FC58AB" w:rsidRDefault="00FC58AB">
            <w:pPr>
              <w:ind w:right="318"/>
              <w:jc w:val="both"/>
              <w:rPr>
                <w:rFonts w:ascii="Palatino Linotype" w:eastAsia="Palatino Linotype" w:hAnsi="Palatino Linotype" w:cs="Palatino Linotype"/>
                <w:b/>
                <w:i/>
                <w:sz w:val="22"/>
                <w:szCs w:val="22"/>
              </w:rPr>
            </w:pPr>
          </w:p>
        </w:tc>
        <w:tc>
          <w:tcPr>
            <w:tcW w:w="5931" w:type="dxa"/>
          </w:tcPr>
          <w:p w14:paraId="2F9B2667" w14:textId="77777777" w:rsidR="00FC58AB" w:rsidRDefault="00382C0E">
            <w:pPr>
              <w:pBdr>
                <w:top w:val="nil"/>
                <w:left w:val="nil"/>
                <w:bottom w:val="nil"/>
                <w:right w:val="nil"/>
                <w:between w:val="nil"/>
              </w:pBdr>
              <w:ind w:right="318"/>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RESPUESTA SAIMEX 00218.zip: </w:t>
            </w:r>
          </w:p>
          <w:p w14:paraId="6E1D0BB7" w14:textId="77777777" w:rsidR="00FC58AB" w:rsidRDefault="00382C0E">
            <w:pPr>
              <w:pBdr>
                <w:top w:val="nil"/>
                <w:left w:val="nil"/>
                <w:bottom w:val="nil"/>
                <w:right w:val="nil"/>
                <w:between w:val="nil"/>
              </w:pBdr>
              <w:ind w:right="318"/>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RESPUESTA SAIMEX 00218: </w:t>
            </w:r>
          </w:p>
          <w:p w14:paraId="6B576490" w14:textId="77777777" w:rsidR="00FC58AB" w:rsidRDefault="00382C0E">
            <w:pPr>
              <w:ind w:right="3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RESPUESTA SAIMEX 00218\ACUERDO ACUMULADO SAIMEX 205.pdf: </w:t>
            </w:r>
            <w:r>
              <w:rPr>
                <w:rFonts w:ascii="Palatino Linotype" w:eastAsia="Palatino Linotype" w:hAnsi="Palatino Linotype" w:cs="Palatino Linotype"/>
                <w:i/>
                <w:sz w:val="22"/>
                <w:szCs w:val="22"/>
              </w:rPr>
              <w:t xml:space="preserve">Acuerdo de Acumulación y Confirmación de Reserva de la Información de la Décima Primera Sesión Ordinaria, mediante la cual acumula el </w:t>
            </w:r>
            <w:r>
              <w:rPr>
                <w:rFonts w:ascii="Palatino Linotype" w:eastAsia="Palatino Linotype" w:hAnsi="Palatino Linotype" w:cs="Palatino Linotype"/>
                <w:b/>
                <w:i/>
                <w:sz w:val="22"/>
                <w:szCs w:val="22"/>
              </w:rPr>
              <w:t xml:space="preserve">SUJETO OBLIGADO </w:t>
            </w:r>
            <w:r>
              <w:rPr>
                <w:rFonts w:ascii="Palatino Linotype" w:eastAsia="Palatino Linotype" w:hAnsi="Palatino Linotype" w:cs="Palatino Linotype"/>
                <w:i/>
                <w:sz w:val="22"/>
                <w:szCs w:val="22"/>
              </w:rPr>
              <w:t xml:space="preserve">diversas solicitudes de información, entre las que se encuentra la solicitud número </w:t>
            </w:r>
            <w:r>
              <w:rPr>
                <w:rFonts w:ascii="Palatino Linotype" w:eastAsia="Palatino Linotype" w:hAnsi="Palatino Linotype" w:cs="Palatino Linotype"/>
                <w:b/>
                <w:i/>
                <w:sz w:val="22"/>
                <w:szCs w:val="22"/>
              </w:rPr>
              <w:t xml:space="preserve">00218/TLALNEPA/IP/2024, </w:t>
            </w:r>
            <w:r>
              <w:rPr>
                <w:rFonts w:ascii="Palatino Linotype" w:eastAsia="Palatino Linotype" w:hAnsi="Palatino Linotype" w:cs="Palatino Linotype"/>
                <w:i/>
                <w:sz w:val="22"/>
                <w:szCs w:val="22"/>
              </w:rPr>
              <w:t xml:space="preserve">así como la confirmación de la reserva de información por encontrarse ante procesos de auditoria en el Órgano Superior de Fiscalización del Estado de México. </w:t>
            </w:r>
          </w:p>
          <w:p w14:paraId="12B9D689" w14:textId="77777777" w:rsidR="00FC58AB" w:rsidRDefault="00382C0E">
            <w:pPr>
              <w:ind w:right="3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RESPUESTA SAIMEX 00218\inicio auditoria AIF-083_OSFEM.pdf: </w:t>
            </w:r>
            <w:r>
              <w:rPr>
                <w:rFonts w:ascii="Palatino Linotype" w:eastAsia="Palatino Linotype" w:hAnsi="Palatino Linotype" w:cs="Palatino Linotype"/>
                <w:i/>
                <w:sz w:val="22"/>
                <w:szCs w:val="22"/>
              </w:rPr>
              <w:t xml:space="preserve">Notificación del Organo Superior de Fiscalización del Estado de México al Ayuntamiento de Tlalnepantla de Baz, mediante el cual le información que será sometido a procesos auditoria. </w:t>
            </w:r>
          </w:p>
          <w:p w14:paraId="7E6800BC" w14:textId="77777777" w:rsidR="00FC58AB" w:rsidRDefault="00382C0E">
            <w:pPr>
              <w:ind w:right="3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RESPUESTA SAIMEX 00218\TLA_DOP_0810_2024_SAIMEX 00218.pdf: </w:t>
            </w:r>
            <w:r>
              <w:rPr>
                <w:rFonts w:ascii="Palatino Linotype" w:eastAsia="Palatino Linotype" w:hAnsi="Palatino Linotype" w:cs="Palatino Linotype"/>
                <w:i/>
                <w:sz w:val="22"/>
                <w:szCs w:val="22"/>
              </w:rPr>
              <w:t xml:space="preserve">oficio del Director de Obras Públicas, mediante el cual informa que la información solicitada se encuentra en proceso de fiscalización, situación por la cual la información se encuentra en los procesos de ser información reservada. </w:t>
            </w:r>
          </w:p>
          <w:p w14:paraId="76F12A9F" w14:textId="77777777" w:rsidR="00FC58AB" w:rsidRDefault="00382C0E">
            <w:pPr>
              <w:pBdr>
                <w:top w:val="nil"/>
                <w:left w:val="nil"/>
                <w:bottom w:val="nil"/>
                <w:right w:val="nil"/>
                <w:between w:val="nil"/>
              </w:pBdr>
              <w:ind w:right="31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RESPUESTA SAIMEX 00218\TM_805_2024 SAIMEX ACUMULADO.pdf: </w:t>
            </w:r>
            <w:r>
              <w:rPr>
                <w:rFonts w:ascii="Palatino Linotype" w:eastAsia="Palatino Linotype" w:hAnsi="Palatino Linotype" w:cs="Palatino Linotype"/>
                <w:i/>
                <w:color w:val="000000"/>
                <w:sz w:val="22"/>
                <w:szCs w:val="22"/>
              </w:rPr>
              <w:t xml:space="preserve">oficio del Tesorero Municipal, mediante el cual informa la acumulación de las solicitudes de información, así como que la información solicitada tiene la característica de ser reservada toda vez que se encuentra en procesos de auditoria ante el Órgano Superior de Fiscalización del Estado de México. </w:t>
            </w:r>
          </w:p>
          <w:p w14:paraId="1CFD1F8F" w14:textId="77777777" w:rsidR="00FC58AB" w:rsidRDefault="00FC58AB">
            <w:pPr>
              <w:pBdr>
                <w:top w:val="nil"/>
                <w:left w:val="nil"/>
                <w:bottom w:val="nil"/>
                <w:right w:val="nil"/>
                <w:between w:val="nil"/>
              </w:pBdr>
              <w:ind w:right="318"/>
              <w:jc w:val="both"/>
              <w:rPr>
                <w:rFonts w:ascii="Palatino Linotype" w:eastAsia="Palatino Linotype" w:hAnsi="Palatino Linotype" w:cs="Palatino Linotype"/>
                <w:b/>
                <w:i/>
                <w:color w:val="000000"/>
                <w:sz w:val="22"/>
                <w:szCs w:val="22"/>
              </w:rPr>
            </w:pPr>
          </w:p>
        </w:tc>
      </w:tr>
      <w:tr w:rsidR="00FC58AB" w14:paraId="6554B544" w14:textId="77777777">
        <w:tc>
          <w:tcPr>
            <w:tcW w:w="3774" w:type="dxa"/>
          </w:tcPr>
          <w:p w14:paraId="4B42F8AF" w14:textId="77777777" w:rsidR="00FC58AB" w:rsidRDefault="00382C0E">
            <w:pPr>
              <w:pBdr>
                <w:top w:val="nil"/>
                <w:left w:val="nil"/>
                <w:bottom w:val="nil"/>
                <w:right w:val="nil"/>
                <w:between w:val="nil"/>
              </w:pBdr>
              <w:ind w:right="318"/>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lastRenderedPageBreak/>
              <w:t xml:space="preserve">Solicitud </w:t>
            </w:r>
          </w:p>
          <w:p w14:paraId="634B2544" w14:textId="77777777" w:rsidR="00FC58AB" w:rsidRDefault="00382C0E">
            <w:pPr>
              <w:pBdr>
                <w:top w:val="nil"/>
                <w:left w:val="nil"/>
                <w:bottom w:val="nil"/>
                <w:right w:val="nil"/>
                <w:between w:val="nil"/>
              </w:pBdr>
              <w:ind w:right="318"/>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00217/TLALNEPA/IP/2024: </w:t>
            </w:r>
          </w:p>
        </w:tc>
        <w:tc>
          <w:tcPr>
            <w:tcW w:w="5931" w:type="dxa"/>
          </w:tcPr>
          <w:p w14:paraId="54E19DC9" w14:textId="77777777" w:rsidR="00FC58AB" w:rsidRDefault="00382C0E">
            <w:pPr>
              <w:ind w:right="318"/>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RESPUESTA SAIMEX 00217.zip: </w:t>
            </w:r>
          </w:p>
          <w:p w14:paraId="6E6EFA10" w14:textId="77777777" w:rsidR="00FC58AB" w:rsidRDefault="00382C0E">
            <w:pPr>
              <w:ind w:right="318"/>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RESPUESTA SAIMEX 00217: </w:t>
            </w:r>
          </w:p>
          <w:p w14:paraId="327C340B" w14:textId="77777777" w:rsidR="00FC58AB" w:rsidRDefault="00382C0E">
            <w:pPr>
              <w:ind w:right="3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RESPUESTA SAIMEX 00217\ACUERDO ACUMULADO SAIMEX 205.pdf: </w:t>
            </w:r>
            <w:r>
              <w:rPr>
                <w:rFonts w:ascii="Palatino Linotype" w:eastAsia="Palatino Linotype" w:hAnsi="Palatino Linotype" w:cs="Palatino Linotype"/>
                <w:i/>
                <w:sz w:val="22"/>
                <w:szCs w:val="22"/>
              </w:rPr>
              <w:t xml:space="preserve">Acuerdo de Acumulación y Confirmación de Reserva de la Información de la Décima Primera Sesión Ordinaria, mediante la cual acumula el </w:t>
            </w:r>
            <w:r>
              <w:rPr>
                <w:rFonts w:ascii="Palatino Linotype" w:eastAsia="Palatino Linotype" w:hAnsi="Palatino Linotype" w:cs="Palatino Linotype"/>
                <w:b/>
                <w:i/>
                <w:sz w:val="22"/>
                <w:szCs w:val="22"/>
              </w:rPr>
              <w:t xml:space="preserve">SUJETO OBLIGADO </w:t>
            </w:r>
            <w:r>
              <w:rPr>
                <w:rFonts w:ascii="Palatino Linotype" w:eastAsia="Palatino Linotype" w:hAnsi="Palatino Linotype" w:cs="Palatino Linotype"/>
                <w:i/>
                <w:sz w:val="22"/>
                <w:szCs w:val="22"/>
              </w:rPr>
              <w:t xml:space="preserve">diversas solicitudes de información, entre las que se encuentra la solicitud número </w:t>
            </w:r>
            <w:r>
              <w:rPr>
                <w:rFonts w:ascii="Palatino Linotype" w:eastAsia="Palatino Linotype" w:hAnsi="Palatino Linotype" w:cs="Palatino Linotype"/>
                <w:b/>
                <w:i/>
                <w:sz w:val="22"/>
                <w:szCs w:val="22"/>
              </w:rPr>
              <w:t xml:space="preserve">00217/TLALNEPA/IP/2024, </w:t>
            </w:r>
            <w:r>
              <w:rPr>
                <w:rFonts w:ascii="Palatino Linotype" w:eastAsia="Palatino Linotype" w:hAnsi="Palatino Linotype" w:cs="Palatino Linotype"/>
                <w:i/>
                <w:sz w:val="22"/>
                <w:szCs w:val="22"/>
              </w:rPr>
              <w:t xml:space="preserve">así como la confirmación de la reserva de información por encontrarse ante procesos de auditoria en el Órgano Superior de Fiscalización del Estado de México. </w:t>
            </w:r>
          </w:p>
          <w:p w14:paraId="61E56A21" w14:textId="77777777" w:rsidR="00FC58AB" w:rsidRDefault="00FC58AB">
            <w:pPr>
              <w:ind w:right="318"/>
              <w:jc w:val="both"/>
              <w:rPr>
                <w:rFonts w:ascii="Palatino Linotype" w:eastAsia="Palatino Linotype" w:hAnsi="Palatino Linotype" w:cs="Palatino Linotype"/>
                <w:b/>
                <w:i/>
                <w:sz w:val="22"/>
                <w:szCs w:val="22"/>
              </w:rPr>
            </w:pPr>
          </w:p>
          <w:p w14:paraId="39254F8D" w14:textId="77777777" w:rsidR="00FC58AB" w:rsidRDefault="00382C0E">
            <w:pPr>
              <w:ind w:right="3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RESPUESTA SAIMEX 00217\DA_0790_2024_SAIMEX 00217.pdf: </w:t>
            </w:r>
            <w:r>
              <w:rPr>
                <w:rFonts w:ascii="Palatino Linotype" w:eastAsia="Palatino Linotype" w:hAnsi="Palatino Linotype" w:cs="Palatino Linotype"/>
                <w:i/>
                <w:sz w:val="22"/>
                <w:szCs w:val="22"/>
              </w:rPr>
              <w:t xml:space="preserve">oficio del Director de Administración, mediante el cual informa que la Subdirectora de Recursos Materiales refiere que la información solicitada se encuentra relacionada con procedimientos de fiscalización, situación por la cual este en los supuestos de reserva de información. </w:t>
            </w:r>
          </w:p>
          <w:p w14:paraId="6769ACB6" w14:textId="77777777" w:rsidR="00FC58AB" w:rsidRDefault="00FC58AB">
            <w:pPr>
              <w:ind w:right="318"/>
              <w:jc w:val="both"/>
              <w:rPr>
                <w:rFonts w:ascii="Palatino Linotype" w:eastAsia="Palatino Linotype" w:hAnsi="Palatino Linotype" w:cs="Palatino Linotype"/>
                <w:b/>
                <w:i/>
                <w:sz w:val="22"/>
                <w:szCs w:val="22"/>
              </w:rPr>
            </w:pPr>
          </w:p>
          <w:p w14:paraId="5C13AFD0" w14:textId="77777777" w:rsidR="00FC58AB" w:rsidRDefault="00382C0E">
            <w:pPr>
              <w:ind w:right="3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RESPUESTA SAIMEX 00217\inicio auditoria AIF-083_OSFEM.pdf: </w:t>
            </w:r>
            <w:r>
              <w:rPr>
                <w:rFonts w:ascii="Palatino Linotype" w:eastAsia="Palatino Linotype" w:hAnsi="Palatino Linotype" w:cs="Palatino Linotype"/>
                <w:i/>
                <w:sz w:val="22"/>
                <w:szCs w:val="22"/>
              </w:rPr>
              <w:t xml:space="preserve">Notificación del Organo Superior de Fiscalización del Estado de México al Ayuntamiento de Tlalnepantla de Baz, mediante el cual le información que será sometido a procesos auditoria. </w:t>
            </w:r>
          </w:p>
          <w:p w14:paraId="7A4C9567" w14:textId="77777777" w:rsidR="00FC58AB" w:rsidRDefault="00382C0E">
            <w:pPr>
              <w:ind w:right="3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RESPUESTA SAIMEX 00217\TLA_DOP_0797_2024_SAIMEX 00217.pdf: </w:t>
            </w:r>
            <w:r>
              <w:rPr>
                <w:rFonts w:ascii="Palatino Linotype" w:eastAsia="Palatino Linotype" w:hAnsi="Palatino Linotype" w:cs="Palatino Linotype"/>
                <w:i/>
                <w:sz w:val="22"/>
                <w:szCs w:val="22"/>
              </w:rPr>
              <w:t xml:space="preserve">oficio del Director de Obras Públicas, mediante el cual informa que la información solicitada se encuentra en proceso de fiscalización, situación por la cual la información se encuentra en los procesos de ser información reservada. </w:t>
            </w:r>
          </w:p>
          <w:p w14:paraId="670C7E43" w14:textId="77777777" w:rsidR="00FC58AB" w:rsidRDefault="00382C0E">
            <w:pPr>
              <w:pBdr>
                <w:top w:val="nil"/>
                <w:left w:val="nil"/>
                <w:bottom w:val="nil"/>
                <w:right w:val="nil"/>
                <w:between w:val="nil"/>
              </w:pBdr>
              <w:ind w:right="31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RESPUESTA SAIMEX 00217\TM_805_2024 SAIMEX ACUMULADO.pdf: </w:t>
            </w:r>
            <w:r>
              <w:rPr>
                <w:rFonts w:ascii="Palatino Linotype" w:eastAsia="Palatino Linotype" w:hAnsi="Palatino Linotype" w:cs="Palatino Linotype"/>
                <w:i/>
                <w:color w:val="000000"/>
                <w:sz w:val="22"/>
                <w:szCs w:val="22"/>
              </w:rPr>
              <w:t xml:space="preserve">oficio del Tesorero Municipal, mediante el cual informa la acumulación de las solicitudes de información, así como que la información solicitada tiene la característica de ser reservada toda vez que se encuentra en procesos de auditoria ante el Órgano Superior de Fiscalización del Estado de México. </w:t>
            </w:r>
          </w:p>
        </w:tc>
      </w:tr>
      <w:tr w:rsidR="00FC58AB" w14:paraId="45B46DBF" w14:textId="77777777">
        <w:tc>
          <w:tcPr>
            <w:tcW w:w="3774" w:type="dxa"/>
          </w:tcPr>
          <w:p w14:paraId="7DBAE53D" w14:textId="77777777" w:rsidR="00FC58AB" w:rsidRDefault="00382C0E">
            <w:pPr>
              <w:pBdr>
                <w:top w:val="nil"/>
                <w:left w:val="nil"/>
                <w:bottom w:val="nil"/>
                <w:right w:val="nil"/>
                <w:between w:val="nil"/>
              </w:pBdr>
              <w:ind w:right="318"/>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lastRenderedPageBreak/>
              <w:t xml:space="preserve">Solicitud </w:t>
            </w:r>
          </w:p>
          <w:p w14:paraId="05F958D0" w14:textId="77777777" w:rsidR="00FC58AB" w:rsidRDefault="00382C0E">
            <w:pPr>
              <w:pBdr>
                <w:top w:val="nil"/>
                <w:left w:val="nil"/>
                <w:bottom w:val="nil"/>
                <w:right w:val="nil"/>
                <w:between w:val="nil"/>
              </w:pBdr>
              <w:ind w:right="31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00215/TLALNEPA/IP/2024</w:t>
            </w:r>
          </w:p>
        </w:tc>
        <w:tc>
          <w:tcPr>
            <w:tcW w:w="5931" w:type="dxa"/>
          </w:tcPr>
          <w:p w14:paraId="49D0DC95" w14:textId="77777777" w:rsidR="00FC58AB" w:rsidRDefault="00382C0E">
            <w:pPr>
              <w:pBdr>
                <w:top w:val="nil"/>
                <w:left w:val="nil"/>
                <w:bottom w:val="nil"/>
                <w:right w:val="nil"/>
                <w:between w:val="nil"/>
              </w:pBdr>
              <w:ind w:right="318"/>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RESPUESTA SAIMEX 00215.zip</w:t>
            </w:r>
          </w:p>
          <w:p w14:paraId="6CAB22BB" w14:textId="77777777" w:rsidR="00FC58AB" w:rsidRDefault="00382C0E">
            <w:pPr>
              <w:pBdr>
                <w:top w:val="nil"/>
                <w:left w:val="nil"/>
                <w:bottom w:val="nil"/>
                <w:right w:val="nil"/>
                <w:between w:val="nil"/>
              </w:pBdr>
              <w:ind w:right="318"/>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RESPUESTA SAIMEX 00215: </w:t>
            </w:r>
          </w:p>
          <w:p w14:paraId="7C6061A2" w14:textId="77777777" w:rsidR="00FC58AB" w:rsidRDefault="00382C0E">
            <w:pPr>
              <w:ind w:right="3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RESPUESTA SAIMEX 00215\ACUERDO ACUMULADO SAIMEX 205.pdf:</w:t>
            </w:r>
            <w:r>
              <w:rPr>
                <w:rFonts w:ascii="Palatino Linotype" w:eastAsia="Palatino Linotype" w:hAnsi="Palatino Linotype" w:cs="Palatino Linotype"/>
                <w:i/>
                <w:sz w:val="22"/>
                <w:szCs w:val="22"/>
              </w:rPr>
              <w:t xml:space="preserve"> Acuerdo de Acumulación y Confirmación de Reserva de la Información de la Décima Primera Sesión Ordinaria, mediante la cual acumula el SUJETO OBLIGADO diversas solicitudes de información, entre las que se encuentra la solicitud número 00215/TLALNEPA/IP/2024, así como la confirmación de la reserva de información por encontrarse ante procesos de auditoria en el Órgano Superior de Fiscalización del Estado de México. </w:t>
            </w:r>
          </w:p>
          <w:p w14:paraId="188E6DE1" w14:textId="77777777" w:rsidR="00FC58AB" w:rsidRDefault="00382C0E">
            <w:pPr>
              <w:ind w:right="318"/>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RESPUESTA SAIMEX 00215\inicio auditoria AIF-083_OSFEM.pdf:</w:t>
            </w:r>
            <w:r>
              <w:rPr>
                <w:rFonts w:ascii="Palatino Linotype" w:eastAsia="Palatino Linotype" w:hAnsi="Palatino Linotype" w:cs="Palatino Linotype"/>
                <w:i/>
                <w:sz w:val="22"/>
                <w:szCs w:val="22"/>
              </w:rPr>
              <w:t xml:space="preserve"> Notificación del Organo Superior de Fiscalización del Estado de México al Ayuntamiento de Tlalnepantla de Baz, mediante el cual le información que será sometido a procesos auditoria. </w:t>
            </w:r>
          </w:p>
          <w:p w14:paraId="2B1A051D" w14:textId="77777777" w:rsidR="00FC58AB" w:rsidRDefault="00382C0E">
            <w:pPr>
              <w:ind w:right="3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RESPUESTA SAIMEX 00215\TLA_DOP_0815_2024_SAIMEX 00215.pdf:</w:t>
            </w:r>
            <w:r>
              <w:rPr>
                <w:rFonts w:ascii="Palatino Linotype" w:eastAsia="Palatino Linotype" w:hAnsi="Palatino Linotype" w:cs="Palatino Linotype"/>
                <w:i/>
                <w:sz w:val="22"/>
                <w:szCs w:val="22"/>
              </w:rPr>
              <w:t xml:space="preserve"> oficio </w:t>
            </w:r>
            <w:r>
              <w:rPr>
                <w:rFonts w:ascii="Palatino Linotype" w:eastAsia="Palatino Linotype" w:hAnsi="Palatino Linotype" w:cs="Palatino Linotype"/>
                <w:i/>
                <w:sz w:val="22"/>
                <w:szCs w:val="22"/>
              </w:rPr>
              <w:lastRenderedPageBreak/>
              <w:t xml:space="preserve">del Director de Obras Públicas, mediante el cual informa que la información solicitada se encuentra en proceso de fiscalización, situación por la cual la información se encuentra en los procesos de ser información reservada. </w:t>
            </w:r>
          </w:p>
          <w:p w14:paraId="2043021A" w14:textId="77777777" w:rsidR="00FC58AB" w:rsidRDefault="00382C0E">
            <w:pPr>
              <w:pBdr>
                <w:top w:val="nil"/>
                <w:left w:val="nil"/>
                <w:bottom w:val="nil"/>
                <w:right w:val="nil"/>
                <w:between w:val="nil"/>
              </w:pBdr>
              <w:ind w:right="31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RESPUESTA SAIMEX 00215\TM_805_2024 SAIMEX ACUMULADO.pdf:</w:t>
            </w:r>
            <w:r>
              <w:rPr>
                <w:rFonts w:ascii="Palatino Linotype" w:eastAsia="Palatino Linotype" w:hAnsi="Palatino Linotype" w:cs="Palatino Linotype"/>
                <w:i/>
                <w:color w:val="000000"/>
                <w:sz w:val="22"/>
                <w:szCs w:val="22"/>
              </w:rPr>
              <w:t xml:space="preserve"> oficio del Tesorero Municipal, mediante el cual informa la acumulación de las solicitudes de información, así como que la información solicitada tiene la característica de ser reservada toda vez que se encuentra en procesos de auditoria ante el Órgano Superior de Fiscalización del Estado de México.</w:t>
            </w:r>
          </w:p>
        </w:tc>
      </w:tr>
      <w:tr w:rsidR="00FC58AB" w14:paraId="0046A3D6" w14:textId="77777777">
        <w:tc>
          <w:tcPr>
            <w:tcW w:w="3774" w:type="dxa"/>
          </w:tcPr>
          <w:p w14:paraId="35E30B1C" w14:textId="77777777" w:rsidR="00FC58AB" w:rsidRDefault="00382C0E">
            <w:pPr>
              <w:pBdr>
                <w:top w:val="nil"/>
                <w:left w:val="nil"/>
                <w:bottom w:val="nil"/>
                <w:right w:val="nil"/>
                <w:between w:val="nil"/>
              </w:pBdr>
              <w:ind w:right="318"/>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lastRenderedPageBreak/>
              <w:t xml:space="preserve">Solicitud </w:t>
            </w:r>
          </w:p>
          <w:p w14:paraId="622DF907" w14:textId="77777777" w:rsidR="00FC58AB" w:rsidRDefault="00382C0E">
            <w:pPr>
              <w:pBdr>
                <w:top w:val="nil"/>
                <w:left w:val="nil"/>
                <w:bottom w:val="nil"/>
                <w:right w:val="nil"/>
                <w:between w:val="nil"/>
              </w:pBdr>
              <w:ind w:right="318"/>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00214/TLALNEPA/IP/2024</w:t>
            </w:r>
          </w:p>
        </w:tc>
        <w:tc>
          <w:tcPr>
            <w:tcW w:w="5931" w:type="dxa"/>
          </w:tcPr>
          <w:p w14:paraId="18B762CD" w14:textId="77777777" w:rsidR="00FC58AB" w:rsidRDefault="00382C0E">
            <w:pPr>
              <w:pBdr>
                <w:top w:val="nil"/>
                <w:left w:val="nil"/>
                <w:bottom w:val="nil"/>
                <w:right w:val="nil"/>
                <w:between w:val="nil"/>
              </w:pBdr>
              <w:ind w:right="318"/>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RESPUESTA SAIMEX 00214.zip</w:t>
            </w:r>
          </w:p>
          <w:p w14:paraId="4E562378" w14:textId="77777777" w:rsidR="00FC58AB" w:rsidRDefault="00382C0E">
            <w:pPr>
              <w:pBdr>
                <w:top w:val="nil"/>
                <w:left w:val="nil"/>
                <w:bottom w:val="nil"/>
                <w:right w:val="nil"/>
                <w:between w:val="nil"/>
              </w:pBdr>
              <w:ind w:right="318"/>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RESPUESTA SAIMEX 00214:</w:t>
            </w:r>
          </w:p>
          <w:p w14:paraId="599B99FE" w14:textId="77777777" w:rsidR="00FC58AB" w:rsidRDefault="00382C0E">
            <w:pPr>
              <w:ind w:right="3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RESPUESTA SAIMEX 00214\ACUERDO ACUMULADO SAIMEX 205.pdf: </w:t>
            </w:r>
            <w:r>
              <w:rPr>
                <w:rFonts w:ascii="Palatino Linotype" w:eastAsia="Palatino Linotype" w:hAnsi="Palatino Linotype" w:cs="Palatino Linotype"/>
                <w:i/>
                <w:sz w:val="22"/>
                <w:szCs w:val="22"/>
              </w:rPr>
              <w:t xml:space="preserve">ACUERDO ACUMULADO SAIMEX 205.pdf: Acuerdo de Acumulación y Confirmación de Reserva de la Información de la Décima Primera Sesión Ordinaria, mediante la cual acumula el SUJETO OBLIGADO diversas solicitudes de información, entre las que se encuentra la solicitud número </w:t>
            </w:r>
            <w:r>
              <w:rPr>
                <w:rFonts w:ascii="Palatino Linotype" w:eastAsia="Palatino Linotype" w:hAnsi="Palatino Linotype" w:cs="Palatino Linotype"/>
                <w:b/>
                <w:i/>
                <w:sz w:val="22"/>
                <w:szCs w:val="22"/>
              </w:rPr>
              <w:t>00214/TLALNEPA/IP/2024</w:t>
            </w:r>
            <w:r>
              <w:rPr>
                <w:rFonts w:ascii="Palatino Linotype" w:eastAsia="Palatino Linotype" w:hAnsi="Palatino Linotype" w:cs="Palatino Linotype"/>
                <w:i/>
                <w:sz w:val="22"/>
                <w:szCs w:val="22"/>
              </w:rPr>
              <w:t xml:space="preserve">, así como la confirmación de la reserva de información por encontrarse ante procesos de auditoria en el Órgano Superior de Fiscalización del Estado de México. </w:t>
            </w:r>
          </w:p>
          <w:p w14:paraId="416F9897" w14:textId="77777777" w:rsidR="00FC58AB" w:rsidRDefault="00382C0E">
            <w:pPr>
              <w:ind w:right="318"/>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RESPUESTA SAIMEX 00214\DA_0789_2024_SAIMEX 00214.pdf: </w:t>
            </w:r>
          </w:p>
          <w:p w14:paraId="713DA13C" w14:textId="77777777" w:rsidR="00FC58AB" w:rsidRDefault="00382C0E">
            <w:pPr>
              <w:ind w:right="3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Oficio del Director de Administración, mediante el cual informa que la Subdirectora de Recursos Materiales refiere que la información solicitada se encuentra relacionada con procedimientos de fiscalización, situación por la cual este en los supuestos de reserva de información. </w:t>
            </w:r>
          </w:p>
          <w:p w14:paraId="645F6678" w14:textId="77777777" w:rsidR="00FC58AB" w:rsidRDefault="00FC58AB">
            <w:pPr>
              <w:ind w:right="318"/>
              <w:jc w:val="both"/>
              <w:rPr>
                <w:rFonts w:ascii="Palatino Linotype" w:eastAsia="Palatino Linotype" w:hAnsi="Palatino Linotype" w:cs="Palatino Linotype"/>
                <w:b/>
                <w:i/>
                <w:sz w:val="22"/>
                <w:szCs w:val="22"/>
              </w:rPr>
            </w:pPr>
          </w:p>
          <w:p w14:paraId="3AEAE42F" w14:textId="77777777" w:rsidR="00FC58AB" w:rsidRDefault="00382C0E">
            <w:pPr>
              <w:ind w:right="318"/>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RESPUESTA SAIMEX 00214\inicio auditoria AIF-083_OSFEM.pdf</w:t>
            </w:r>
          </w:p>
          <w:p w14:paraId="6040A9B3" w14:textId="77777777" w:rsidR="00FC58AB" w:rsidRDefault="00382C0E">
            <w:pPr>
              <w:ind w:right="3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Notificación del Organo Superior de Fiscalización del Estado de México al Ayuntamiento de Tlalnepantla de Baz, mediante el cual le información que será sometido a procesos auditoria. </w:t>
            </w:r>
          </w:p>
          <w:p w14:paraId="2BBB34EF" w14:textId="77777777" w:rsidR="00FC58AB" w:rsidRDefault="00382C0E">
            <w:pPr>
              <w:ind w:right="3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RESPUESTA: SAIMEX 00214\TLA_DOP_0804_2024_SAIMEX 00214.pdf: </w:t>
            </w:r>
            <w:r>
              <w:rPr>
                <w:rFonts w:ascii="Palatino Linotype" w:eastAsia="Palatino Linotype" w:hAnsi="Palatino Linotype" w:cs="Palatino Linotype"/>
                <w:i/>
                <w:sz w:val="22"/>
                <w:szCs w:val="22"/>
              </w:rPr>
              <w:t xml:space="preserve">oficio del Director de Obras Públicas, mediante el cual informa que la información solicitada se encuentra en proceso de fiscalización, situación por la cual la información se encuentra en los procesos de ser información reservada. </w:t>
            </w:r>
          </w:p>
          <w:p w14:paraId="47EA86CC" w14:textId="77777777" w:rsidR="00FC58AB" w:rsidRDefault="00FC58AB">
            <w:pPr>
              <w:ind w:right="318"/>
              <w:jc w:val="both"/>
              <w:rPr>
                <w:rFonts w:ascii="Palatino Linotype" w:eastAsia="Palatino Linotype" w:hAnsi="Palatino Linotype" w:cs="Palatino Linotype"/>
                <w:b/>
                <w:i/>
                <w:sz w:val="22"/>
                <w:szCs w:val="22"/>
              </w:rPr>
            </w:pPr>
          </w:p>
          <w:p w14:paraId="0B420F03" w14:textId="77777777" w:rsidR="00FC58AB" w:rsidRDefault="00382C0E">
            <w:pPr>
              <w:pBdr>
                <w:top w:val="nil"/>
                <w:left w:val="nil"/>
                <w:bottom w:val="nil"/>
                <w:right w:val="nil"/>
                <w:between w:val="nil"/>
              </w:pBdr>
              <w:ind w:right="318"/>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RESPUESTA SAIMEX 00214\TM_805_2024 SAIMEX ACUMULADO.pdf: </w:t>
            </w:r>
            <w:r>
              <w:rPr>
                <w:rFonts w:ascii="Palatino Linotype" w:eastAsia="Palatino Linotype" w:hAnsi="Palatino Linotype" w:cs="Palatino Linotype"/>
                <w:i/>
                <w:color w:val="000000"/>
                <w:sz w:val="22"/>
                <w:szCs w:val="22"/>
              </w:rPr>
              <w:t>oficio del Tesorero Municipal, mediante el cual informa la acumulación de las solicitudes de información, así como que la información solicitada tiene la característica de ser reservada toda vez que se encuentra en procesos de auditoria ante el Órgano Superior de Fiscalización del Estado de México.</w:t>
            </w:r>
          </w:p>
        </w:tc>
      </w:tr>
    </w:tbl>
    <w:p w14:paraId="3107EFA2" w14:textId="77777777" w:rsidR="00FC58AB" w:rsidRDefault="00FC58AB">
      <w:pPr>
        <w:pBdr>
          <w:top w:val="nil"/>
          <w:left w:val="nil"/>
          <w:bottom w:val="nil"/>
          <w:right w:val="nil"/>
          <w:between w:val="nil"/>
        </w:pBdr>
        <w:ind w:left="1134" w:right="-787"/>
        <w:jc w:val="both"/>
        <w:rPr>
          <w:rFonts w:ascii="Palatino Linotype" w:eastAsia="Palatino Linotype" w:hAnsi="Palatino Linotype" w:cs="Palatino Linotype"/>
        </w:rPr>
      </w:pPr>
    </w:p>
    <w:p w14:paraId="1880D7BF" w14:textId="77777777" w:rsidR="00FC58AB" w:rsidRDefault="00FC58AB">
      <w:pPr>
        <w:pBdr>
          <w:top w:val="nil"/>
          <w:left w:val="nil"/>
          <w:bottom w:val="nil"/>
          <w:right w:val="nil"/>
          <w:between w:val="nil"/>
        </w:pBdr>
        <w:ind w:left="1134" w:right="-787"/>
        <w:jc w:val="both"/>
        <w:rPr>
          <w:rFonts w:ascii="Palatino Linotype" w:eastAsia="Palatino Linotype" w:hAnsi="Palatino Linotype" w:cs="Palatino Linotype"/>
        </w:rPr>
      </w:pPr>
    </w:p>
    <w:p w14:paraId="21E17D99" w14:textId="77777777" w:rsidR="00FC58AB" w:rsidRDefault="00382C0E">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nueve de julio de dos mil veinticuatro, el solicitante interpuso recurso de revisión en las solicitudes de información </w:t>
      </w:r>
      <w:r>
        <w:rPr>
          <w:rFonts w:ascii="Palatino Linotype" w:eastAsia="Palatino Linotype" w:hAnsi="Palatino Linotype" w:cs="Palatino Linotype"/>
          <w:b/>
          <w:color w:val="000000"/>
        </w:rPr>
        <w:t xml:space="preserve">00218/TLALNEPA/IP/2024, 00217/TLALNEPA/IP/2024, 00215/TLALNEPA/IP/2024 y  00214/TLALNEPA/IP/2024, </w:t>
      </w:r>
      <w:r>
        <w:rPr>
          <w:rFonts w:ascii="Palatino Linotype" w:eastAsia="Palatino Linotype" w:hAnsi="Palatino Linotype" w:cs="Palatino Linotype"/>
          <w:color w:val="000000"/>
        </w:rPr>
        <w:t xml:space="preserve">en contra de las respuestas emitidas a las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señalando las siguientes razones o motivos de inconformidad:</w:t>
      </w:r>
    </w:p>
    <w:p w14:paraId="629C2DCC" w14:textId="77777777" w:rsidR="00FC58AB" w:rsidRDefault="00FC58AB">
      <w:pPr>
        <w:spacing w:line="360" w:lineRule="auto"/>
        <w:ind w:right="-787"/>
        <w:jc w:val="both"/>
        <w:rPr>
          <w:rFonts w:ascii="Palatino Linotype" w:eastAsia="Palatino Linotype" w:hAnsi="Palatino Linotype" w:cs="Palatino Linotype"/>
        </w:rPr>
      </w:pPr>
    </w:p>
    <w:tbl>
      <w:tblPr>
        <w:tblStyle w:val="a1"/>
        <w:tblW w:w="95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0"/>
        <w:gridCol w:w="4770"/>
      </w:tblGrid>
      <w:tr w:rsidR="00FC58AB" w14:paraId="4EA3969D" w14:textId="77777777">
        <w:tc>
          <w:tcPr>
            <w:tcW w:w="4770" w:type="dxa"/>
          </w:tcPr>
          <w:p w14:paraId="1C95D56F" w14:textId="77777777" w:rsidR="00FC58AB" w:rsidRDefault="00382C0E">
            <w:pPr>
              <w:ind w:right="-117"/>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Recurso</w:t>
            </w:r>
          </w:p>
        </w:tc>
        <w:tc>
          <w:tcPr>
            <w:tcW w:w="4770" w:type="dxa"/>
          </w:tcPr>
          <w:p w14:paraId="3B29D380" w14:textId="77777777" w:rsidR="00FC58AB" w:rsidRDefault="00382C0E">
            <w:pPr>
              <w:ind w:right="-117"/>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Acto Impugnado y Razones o Motivos de Inconformidad. </w:t>
            </w:r>
          </w:p>
        </w:tc>
      </w:tr>
      <w:tr w:rsidR="00FC58AB" w14:paraId="2F65574A" w14:textId="77777777">
        <w:tc>
          <w:tcPr>
            <w:tcW w:w="4770" w:type="dxa"/>
          </w:tcPr>
          <w:p w14:paraId="74D5D8F4" w14:textId="77777777" w:rsidR="00FC58AB" w:rsidRDefault="00382C0E">
            <w:pPr>
              <w:ind w:right="-117"/>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Recurso de Revisión 01593/INFOEM/IP/RR/2024: </w:t>
            </w:r>
          </w:p>
          <w:p w14:paraId="4AF0F343" w14:textId="77777777" w:rsidR="00FC58AB" w:rsidRDefault="00FC58AB">
            <w:pPr>
              <w:pBdr>
                <w:top w:val="nil"/>
                <w:left w:val="nil"/>
                <w:bottom w:val="nil"/>
                <w:right w:val="nil"/>
                <w:between w:val="nil"/>
              </w:pBdr>
              <w:ind w:right="-117"/>
              <w:rPr>
                <w:rFonts w:ascii="Palatino Linotype" w:eastAsia="Palatino Linotype" w:hAnsi="Palatino Linotype" w:cs="Palatino Linotype"/>
                <w:i/>
                <w:color w:val="000000"/>
                <w:sz w:val="22"/>
                <w:szCs w:val="22"/>
              </w:rPr>
            </w:pPr>
          </w:p>
          <w:p w14:paraId="18B13D77" w14:textId="77777777" w:rsidR="00FC58AB" w:rsidRDefault="00FC58AB">
            <w:pPr>
              <w:ind w:right="-117"/>
              <w:rPr>
                <w:rFonts w:ascii="Palatino Linotype" w:eastAsia="Palatino Linotype" w:hAnsi="Palatino Linotype" w:cs="Palatino Linotype"/>
                <w:i/>
                <w:sz w:val="22"/>
                <w:szCs w:val="22"/>
              </w:rPr>
            </w:pPr>
          </w:p>
        </w:tc>
        <w:tc>
          <w:tcPr>
            <w:tcW w:w="4770" w:type="dxa"/>
          </w:tcPr>
          <w:p w14:paraId="628FB5D3" w14:textId="77777777" w:rsidR="00FC58AB" w:rsidRDefault="00382C0E">
            <w:pPr>
              <w:ind w:right="-117"/>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Acto impugnado: </w:t>
            </w:r>
            <w:r>
              <w:rPr>
                <w:rFonts w:ascii="Palatino Linotype" w:eastAsia="Palatino Linotype" w:hAnsi="Palatino Linotype" w:cs="Palatino Linotype"/>
                <w:i/>
                <w:sz w:val="22"/>
                <w:szCs w:val="22"/>
              </w:rPr>
              <w:t>“Respuesta”</w:t>
            </w:r>
          </w:p>
          <w:p w14:paraId="3E3F5750" w14:textId="77777777" w:rsidR="00FC58AB" w:rsidRDefault="00382C0E">
            <w:pPr>
              <w:ind w:right="-117"/>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Razones o Motivos de inconformidad: </w:t>
            </w:r>
            <w:r>
              <w:rPr>
                <w:rFonts w:ascii="Palatino Linotype" w:eastAsia="Palatino Linotype" w:hAnsi="Palatino Linotype" w:cs="Palatino Linotype"/>
                <w:i/>
                <w:sz w:val="22"/>
                <w:szCs w:val="22"/>
              </w:rPr>
              <w:t>“No remiten lo solicitado, mandan acuerdos mal hechos, solicitó les ordenen lo que solicite ya qué transparentan los recursos públicos y la rendición de cuentas”</w:t>
            </w:r>
          </w:p>
          <w:p w14:paraId="1F0574FA" w14:textId="77777777" w:rsidR="00FC58AB" w:rsidRDefault="00FC58AB">
            <w:pPr>
              <w:ind w:right="-117"/>
              <w:rPr>
                <w:rFonts w:ascii="Palatino Linotype" w:eastAsia="Palatino Linotype" w:hAnsi="Palatino Linotype" w:cs="Palatino Linotype"/>
                <w:i/>
                <w:sz w:val="22"/>
                <w:szCs w:val="22"/>
              </w:rPr>
            </w:pPr>
          </w:p>
        </w:tc>
      </w:tr>
      <w:tr w:rsidR="00FC58AB" w14:paraId="173C9E24" w14:textId="77777777">
        <w:tc>
          <w:tcPr>
            <w:tcW w:w="4770" w:type="dxa"/>
          </w:tcPr>
          <w:p w14:paraId="5DD27BC3" w14:textId="77777777" w:rsidR="00FC58AB" w:rsidRDefault="00382C0E">
            <w:pPr>
              <w:ind w:right="-117"/>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Recurso de Revisión 01594/INFOEM/IP/RR/2024</w:t>
            </w:r>
          </w:p>
        </w:tc>
        <w:tc>
          <w:tcPr>
            <w:tcW w:w="4770" w:type="dxa"/>
          </w:tcPr>
          <w:p w14:paraId="6EE2C56C" w14:textId="77777777" w:rsidR="00FC58AB" w:rsidRDefault="00382C0E">
            <w:pPr>
              <w:ind w:right="-117"/>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Acto impugnado: </w:t>
            </w:r>
            <w:r>
              <w:rPr>
                <w:rFonts w:ascii="Palatino Linotype" w:eastAsia="Palatino Linotype" w:hAnsi="Palatino Linotype" w:cs="Palatino Linotype"/>
                <w:i/>
                <w:sz w:val="22"/>
                <w:szCs w:val="22"/>
              </w:rPr>
              <w:t>“Respuesta”</w:t>
            </w:r>
          </w:p>
          <w:p w14:paraId="0CBCBB6C" w14:textId="77777777" w:rsidR="00FC58AB" w:rsidRDefault="00382C0E">
            <w:pPr>
              <w:ind w:right="-117"/>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Razones o Motivos de inconformidad: </w:t>
            </w:r>
            <w:r>
              <w:rPr>
                <w:rFonts w:ascii="Palatino Linotype" w:eastAsia="Palatino Linotype" w:hAnsi="Palatino Linotype" w:cs="Palatino Linotype"/>
                <w:i/>
                <w:sz w:val="22"/>
                <w:szCs w:val="22"/>
              </w:rPr>
              <w:t xml:space="preserve">“No remiten lo solicitado, mandan acuerdos mal hechos, </w:t>
            </w:r>
            <w:r>
              <w:rPr>
                <w:rFonts w:ascii="Palatino Linotype" w:eastAsia="Palatino Linotype" w:hAnsi="Palatino Linotype" w:cs="Palatino Linotype"/>
                <w:i/>
                <w:sz w:val="22"/>
                <w:szCs w:val="22"/>
              </w:rPr>
              <w:lastRenderedPageBreak/>
              <w:t>solicitó les ordenen lo que solicite ya qué transparentan los recursos públicos y la rendición de cuentas”</w:t>
            </w:r>
          </w:p>
          <w:p w14:paraId="3F6EC306" w14:textId="77777777" w:rsidR="00FC58AB" w:rsidRDefault="00FC58AB">
            <w:pPr>
              <w:ind w:right="-117"/>
              <w:rPr>
                <w:rFonts w:ascii="Palatino Linotype" w:eastAsia="Palatino Linotype" w:hAnsi="Palatino Linotype" w:cs="Palatino Linotype"/>
                <w:i/>
                <w:sz w:val="22"/>
                <w:szCs w:val="22"/>
              </w:rPr>
            </w:pPr>
          </w:p>
        </w:tc>
      </w:tr>
      <w:tr w:rsidR="00FC58AB" w14:paraId="4D309EB4" w14:textId="77777777">
        <w:tc>
          <w:tcPr>
            <w:tcW w:w="4770" w:type="dxa"/>
          </w:tcPr>
          <w:p w14:paraId="0B8B8035" w14:textId="77777777" w:rsidR="00FC58AB" w:rsidRDefault="00382C0E">
            <w:pPr>
              <w:ind w:right="-117"/>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Recurso de Revisión 01596/INFOEM/IP/RR/2024: </w:t>
            </w:r>
          </w:p>
          <w:p w14:paraId="01C21C6B" w14:textId="77777777" w:rsidR="00FC58AB" w:rsidRDefault="00FC58AB">
            <w:pPr>
              <w:ind w:right="-117"/>
              <w:rPr>
                <w:rFonts w:ascii="Palatino Linotype" w:eastAsia="Palatino Linotype" w:hAnsi="Palatino Linotype" w:cs="Palatino Linotype"/>
                <w:i/>
                <w:sz w:val="22"/>
                <w:szCs w:val="22"/>
              </w:rPr>
            </w:pPr>
          </w:p>
        </w:tc>
        <w:tc>
          <w:tcPr>
            <w:tcW w:w="4770" w:type="dxa"/>
          </w:tcPr>
          <w:p w14:paraId="0EC8D9F7" w14:textId="77777777" w:rsidR="00FC58AB" w:rsidRDefault="00382C0E">
            <w:pPr>
              <w:ind w:right="-117"/>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Acto impugnado: </w:t>
            </w:r>
            <w:r>
              <w:rPr>
                <w:rFonts w:ascii="Palatino Linotype" w:eastAsia="Palatino Linotype" w:hAnsi="Palatino Linotype" w:cs="Palatino Linotype"/>
                <w:i/>
                <w:sz w:val="22"/>
                <w:szCs w:val="22"/>
              </w:rPr>
              <w:t>“Respuesta”</w:t>
            </w:r>
          </w:p>
          <w:p w14:paraId="4A5E88D6" w14:textId="77777777" w:rsidR="00FC58AB" w:rsidRDefault="00382C0E">
            <w:pPr>
              <w:ind w:right="-117"/>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Razones o Motivos de inconformidad: </w:t>
            </w:r>
            <w:r>
              <w:rPr>
                <w:rFonts w:ascii="Palatino Linotype" w:eastAsia="Palatino Linotype" w:hAnsi="Palatino Linotype" w:cs="Palatino Linotype"/>
                <w:i/>
                <w:sz w:val="22"/>
                <w:szCs w:val="22"/>
              </w:rPr>
              <w:t>“No remiten lo solicitado, mandan acuerdos mal hechos, solicitó les ordenen lo que solicite ya qué transparentan los recursos públicos y la rendición de cuentas”</w:t>
            </w:r>
          </w:p>
          <w:p w14:paraId="27B45BC0" w14:textId="77777777" w:rsidR="00FC58AB" w:rsidRDefault="00FC58AB">
            <w:pPr>
              <w:ind w:right="-117"/>
              <w:rPr>
                <w:rFonts w:ascii="Palatino Linotype" w:eastAsia="Palatino Linotype" w:hAnsi="Palatino Linotype" w:cs="Palatino Linotype"/>
                <w:i/>
                <w:sz w:val="22"/>
                <w:szCs w:val="22"/>
              </w:rPr>
            </w:pPr>
          </w:p>
        </w:tc>
      </w:tr>
      <w:tr w:rsidR="00FC58AB" w14:paraId="5EB2A43F" w14:textId="77777777">
        <w:tc>
          <w:tcPr>
            <w:tcW w:w="4770" w:type="dxa"/>
          </w:tcPr>
          <w:p w14:paraId="5D4543F1" w14:textId="77777777" w:rsidR="00FC58AB" w:rsidRDefault="00382C0E">
            <w:pPr>
              <w:tabs>
                <w:tab w:val="left" w:pos="2074"/>
              </w:tabs>
              <w:ind w:right="-117"/>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sz w:val="22"/>
                <w:szCs w:val="22"/>
              </w:rPr>
              <w:t>Recurso de Revisión 01597/INFOEM/IP/RR/2024</w:t>
            </w:r>
          </w:p>
          <w:p w14:paraId="454C6B9D" w14:textId="77777777" w:rsidR="00FC58AB" w:rsidRDefault="00FC58AB">
            <w:pPr>
              <w:ind w:right="-117"/>
              <w:rPr>
                <w:rFonts w:ascii="Palatino Linotype" w:eastAsia="Palatino Linotype" w:hAnsi="Palatino Linotype" w:cs="Palatino Linotype"/>
                <w:i/>
                <w:sz w:val="22"/>
                <w:szCs w:val="22"/>
              </w:rPr>
            </w:pPr>
          </w:p>
        </w:tc>
        <w:tc>
          <w:tcPr>
            <w:tcW w:w="4770" w:type="dxa"/>
          </w:tcPr>
          <w:p w14:paraId="1FC93191" w14:textId="77777777" w:rsidR="00FC58AB" w:rsidRDefault="00382C0E">
            <w:pPr>
              <w:ind w:right="-117"/>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Acto impugnado: </w:t>
            </w:r>
            <w:r>
              <w:rPr>
                <w:rFonts w:ascii="Palatino Linotype" w:eastAsia="Palatino Linotype" w:hAnsi="Palatino Linotype" w:cs="Palatino Linotype"/>
                <w:i/>
                <w:sz w:val="22"/>
                <w:szCs w:val="22"/>
              </w:rPr>
              <w:t>“Respuesta”</w:t>
            </w:r>
          </w:p>
          <w:p w14:paraId="047F3EC1" w14:textId="77777777" w:rsidR="00FC58AB" w:rsidRDefault="00382C0E">
            <w:pPr>
              <w:ind w:right="-117"/>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Razones o Motivos de inconformidad: </w:t>
            </w:r>
            <w:r>
              <w:rPr>
                <w:rFonts w:ascii="Palatino Linotype" w:eastAsia="Palatino Linotype" w:hAnsi="Palatino Linotype" w:cs="Palatino Linotype"/>
                <w:i/>
                <w:sz w:val="22"/>
                <w:szCs w:val="22"/>
              </w:rPr>
              <w:t xml:space="preserve"> “No remiten lo solicitado, mandan acuerdos mal hechos, solicitó les ordenen lo que solicite ya qué transparentan los recursos públicos y la rendición de cuentas”</w:t>
            </w:r>
          </w:p>
          <w:p w14:paraId="209712A2" w14:textId="77777777" w:rsidR="00FC58AB" w:rsidRDefault="00FC58AB">
            <w:pPr>
              <w:ind w:right="-117"/>
              <w:rPr>
                <w:rFonts w:ascii="Palatino Linotype" w:eastAsia="Palatino Linotype" w:hAnsi="Palatino Linotype" w:cs="Palatino Linotype"/>
                <w:i/>
                <w:sz w:val="22"/>
                <w:szCs w:val="22"/>
              </w:rPr>
            </w:pPr>
          </w:p>
        </w:tc>
      </w:tr>
    </w:tbl>
    <w:p w14:paraId="0653E519" w14:textId="77777777" w:rsidR="00FC58AB" w:rsidRDefault="00FC58AB">
      <w:pPr>
        <w:pBdr>
          <w:top w:val="nil"/>
          <w:left w:val="nil"/>
          <w:bottom w:val="nil"/>
          <w:right w:val="nil"/>
          <w:between w:val="nil"/>
        </w:pBdr>
        <w:ind w:right="-787"/>
        <w:jc w:val="both"/>
        <w:rPr>
          <w:rFonts w:ascii="Palatino Linotype" w:eastAsia="Palatino Linotype" w:hAnsi="Palatino Linotype" w:cs="Palatino Linotype"/>
          <w:color w:val="000000"/>
        </w:rPr>
      </w:pPr>
    </w:p>
    <w:p w14:paraId="5B88AC40" w14:textId="77777777" w:rsidR="00FC58AB" w:rsidRDefault="00FC58AB">
      <w:pPr>
        <w:spacing w:line="360" w:lineRule="auto"/>
        <w:ind w:right="-787"/>
        <w:jc w:val="both"/>
        <w:rPr>
          <w:rFonts w:ascii="Palatino Linotype" w:eastAsia="Palatino Linotype" w:hAnsi="Palatino Linotype" w:cs="Palatino Linotype"/>
        </w:rPr>
      </w:pPr>
    </w:p>
    <w:p w14:paraId="2544E79F" w14:textId="77777777" w:rsidR="00FC58AB" w:rsidRDefault="00382C0E">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Al momento de interponer el recurso de revisión el entonces </w:t>
      </w:r>
      <w:r>
        <w:rPr>
          <w:rFonts w:ascii="Palatino Linotype" w:eastAsia="Palatino Linotype" w:hAnsi="Palatino Linotype" w:cs="Palatino Linotype"/>
          <w:b/>
          <w:color w:val="000000"/>
        </w:rPr>
        <w:t xml:space="preserve">SOLICITANTE </w:t>
      </w:r>
      <w:r>
        <w:rPr>
          <w:rFonts w:ascii="Palatino Linotype" w:eastAsia="Palatino Linotype" w:hAnsi="Palatino Linotype" w:cs="Palatino Linotype"/>
        </w:rPr>
        <w:t>anexó</w:t>
      </w:r>
      <w:r>
        <w:rPr>
          <w:rFonts w:ascii="Palatino Linotype" w:eastAsia="Palatino Linotype" w:hAnsi="Palatino Linotype" w:cs="Palatino Linotype"/>
          <w:color w:val="000000"/>
        </w:rPr>
        <w:t xml:space="preserve"> un archivo electrónico en formato pdf, cuyo contenido grosso modo es el siguiente. </w:t>
      </w:r>
    </w:p>
    <w:p w14:paraId="5F768677" w14:textId="77777777" w:rsidR="00FC58AB" w:rsidRDefault="00382C0E">
      <w:pPr>
        <w:pBdr>
          <w:top w:val="nil"/>
          <w:left w:val="nil"/>
          <w:bottom w:val="nil"/>
          <w:right w:val="nil"/>
          <w:between w:val="nil"/>
        </w:pBdr>
        <w:ind w:left="1134" w:right="-78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osfem tlane.pdf: </w:t>
      </w:r>
      <w:r>
        <w:rPr>
          <w:rFonts w:ascii="Palatino Linotype" w:eastAsia="Palatino Linotype" w:hAnsi="Palatino Linotype" w:cs="Palatino Linotype"/>
          <w:i/>
          <w:color w:val="000000"/>
          <w:sz w:val="22"/>
          <w:szCs w:val="22"/>
        </w:rPr>
        <w:t xml:space="preserve">Auditoria de inversión física del Municipio de Tlalnepantla de Baz del Ejercicio Fiscal 2022. </w:t>
      </w:r>
    </w:p>
    <w:p w14:paraId="61117CEA" w14:textId="77777777" w:rsidR="00FC58AB" w:rsidRDefault="00FC58AB">
      <w:pPr>
        <w:pBdr>
          <w:top w:val="nil"/>
          <w:left w:val="nil"/>
          <w:bottom w:val="nil"/>
          <w:right w:val="nil"/>
          <w:between w:val="nil"/>
        </w:pBdr>
        <w:ind w:left="1134" w:right="-787"/>
        <w:jc w:val="both"/>
        <w:rPr>
          <w:rFonts w:ascii="Palatino Linotype" w:eastAsia="Palatino Linotype" w:hAnsi="Palatino Linotype" w:cs="Palatino Linotype"/>
          <w:i/>
          <w:color w:val="000000"/>
          <w:sz w:val="22"/>
          <w:szCs w:val="22"/>
        </w:rPr>
      </w:pPr>
    </w:p>
    <w:p w14:paraId="76F1F63F" w14:textId="77777777" w:rsidR="00FC58AB" w:rsidRDefault="00382C0E">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Consecutivamente</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color w:val="000000"/>
        </w:rPr>
        <w:t>con fundamento en lo dispuesto por el artículo 185 fracción I de la Ley de Transparencia y Acceso a la Información Pública del Estado de México y Municipios, los recursos de referencia, fueron turnados</w:t>
      </w:r>
      <w:r>
        <w:rPr>
          <w:rFonts w:ascii="Palatino Linotype" w:eastAsia="Palatino Linotype" w:hAnsi="Palatino Linotype" w:cs="Palatino Linotype"/>
          <w:b/>
          <w:color w:val="000000"/>
        </w:rPr>
        <w:t xml:space="preserve"> al Comisionado  Luis Gustavo Parra Noriega y a las Comisionadas María del Rosario Mejía Ayala, Sharon Cristina  Morales Martínez y Guadalupe Ramírez Peña</w:t>
      </w:r>
      <w:r>
        <w:rPr>
          <w:rFonts w:ascii="Palatino Linotype" w:eastAsia="Palatino Linotype" w:hAnsi="Palatino Linotype" w:cs="Palatino Linotype"/>
          <w:color w:val="000000"/>
        </w:rPr>
        <w:t>, respectivamente,</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rPr>
        <w:t>para</w:t>
      </w:r>
      <w:r>
        <w:rPr>
          <w:rFonts w:ascii="Palatino Linotype" w:eastAsia="Palatino Linotype" w:hAnsi="Palatino Linotype" w:cs="Palatino Linotype"/>
          <w:color w:val="000000"/>
        </w:rPr>
        <w:t xml:space="preserve"> su análisis.</w:t>
      </w:r>
    </w:p>
    <w:p w14:paraId="3B80B58A" w14:textId="77777777" w:rsidR="00FC58AB" w:rsidRDefault="00382C0E">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Los Comisionados Ponentes de origen con fundamento en lo dispuesto por el artículo 185 fracción II de la ley de la materia, a través de los </w:t>
      </w:r>
      <w:r>
        <w:rPr>
          <w:rFonts w:ascii="Palatino Linotype" w:eastAsia="Palatino Linotype" w:hAnsi="Palatino Linotype" w:cs="Palatino Linotype"/>
          <w:b/>
          <w:color w:val="000000"/>
        </w:rPr>
        <w:t xml:space="preserve">acuerdos de admisión </w:t>
      </w:r>
      <w:r>
        <w:rPr>
          <w:rFonts w:ascii="Palatino Linotype" w:eastAsia="Palatino Linotype" w:hAnsi="Palatino Linotype" w:cs="Palatino Linotype"/>
          <w:color w:val="000000"/>
        </w:rPr>
        <w:t xml:space="preserve">de fechas </w:t>
      </w:r>
      <w:r>
        <w:rPr>
          <w:rFonts w:ascii="Palatino Linotype" w:eastAsia="Palatino Linotype" w:hAnsi="Palatino Linotype" w:cs="Palatino Linotype"/>
          <w:b/>
          <w:color w:val="000000"/>
        </w:rPr>
        <w:t xml:space="preserve">dos, </w:t>
      </w:r>
      <w:r>
        <w:rPr>
          <w:rFonts w:ascii="Palatino Linotype" w:eastAsia="Palatino Linotype" w:hAnsi="Palatino Linotype" w:cs="Palatino Linotype"/>
          <w:b/>
          <w:color w:val="000000"/>
        </w:rPr>
        <w:lastRenderedPageBreak/>
        <w:t>cuatro y cinco de abril de dos mil veinticuatro</w:t>
      </w:r>
      <w:r>
        <w:rPr>
          <w:rFonts w:ascii="Palatino Linotype" w:eastAsia="Palatino Linotype" w:hAnsi="Palatino Linotype" w:cs="Palatino Linotype"/>
          <w:color w:val="000000"/>
        </w:rPr>
        <w:t xml:space="preserve">, pusieron a disposición de las partes el expediente electrónico vía SAIMEX a efecto de que en un plazo máximo de siete días </w:t>
      </w:r>
      <w:r>
        <w:rPr>
          <w:rFonts w:ascii="Palatino Linotype" w:eastAsia="Palatino Linotype" w:hAnsi="Palatino Linotype" w:cs="Palatino Linotype"/>
        </w:rPr>
        <w:t>manifestara</w:t>
      </w:r>
      <w:r>
        <w:rPr>
          <w:rFonts w:ascii="Palatino Linotype" w:eastAsia="Palatino Linotype" w:hAnsi="Palatino Linotype" w:cs="Palatino Linotype"/>
          <w:color w:val="000000"/>
        </w:rPr>
        <w:t xml:space="preserve"> lo que a su derecho conviniera, </w:t>
      </w:r>
      <w:r>
        <w:rPr>
          <w:rFonts w:ascii="Palatino Linotype" w:eastAsia="Palatino Linotype" w:hAnsi="Palatino Linotype" w:cs="Palatino Linotype"/>
        </w:rPr>
        <w:t>ofreciera</w:t>
      </w:r>
      <w:r>
        <w:rPr>
          <w:rFonts w:ascii="Palatino Linotype" w:eastAsia="Palatino Linotype" w:hAnsi="Palatino Linotype" w:cs="Palatino Linotype"/>
          <w:color w:val="000000"/>
        </w:rPr>
        <w:t xml:space="preserve"> pruebas y alegatos según corresponda al caso concreto, de esta forma para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rPr>
        <w:t>presentará</w:t>
      </w:r>
      <w:r>
        <w:rPr>
          <w:rFonts w:ascii="Palatino Linotype" w:eastAsia="Palatino Linotype" w:hAnsi="Palatino Linotype" w:cs="Palatino Linotype"/>
          <w:color w:val="000000"/>
        </w:rPr>
        <w:t xml:space="preserve"> el Informe Justificado procedente.</w:t>
      </w:r>
    </w:p>
    <w:p w14:paraId="53C14347" w14:textId="77777777" w:rsidR="00FC58AB" w:rsidRDefault="00FC58AB">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383ED3F5" w14:textId="77777777" w:rsidR="00FC58AB" w:rsidRDefault="00382C0E">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Posteriormente el Pleno de este Órgano Autónomo, en la</w:t>
      </w:r>
      <w:r>
        <w:rPr>
          <w:rFonts w:ascii="Palatino Linotype" w:eastAsia="Palatino Linotype" w:hAnsi="Palatino Linotype" w:cs="Palatino Linotype"/>
          <w:b/>
          <w:color w:val="000000"/>
        </w:rPr>
        <w:t xml:space="preserve"> Décima Cuarta Sesión Ordinaria </w:t>
      </w:r>
      <w:r>
        <w:rPr>
          <w:rFonts w:ascii="Palatino Linotype" w:eastAsia="Palatino Linotype" w:hAnsi="Palatino Linotype" w:cs="Palatino Linotype"/>
          <w:color w:val="000000"/>
        </w:rPr>
        <w:t>de fecha</w:t>
      </w:r>
      <w:r>
        <w:rPr>
          <w:rFonts w:ascii="Palatino Linotype" w:eastAsia="Palatino Linotype" w:hAnsi="Palatino Linotype" w:cs="Palatino Linotype"/>
          <w:b/>
          <w:color w:val="000000"/>
        </w:rPr>
        <w:t xml:space="preserve"> veinticuatro de abril de dos mil veinticuatro</w:t>
      </w:r>
      <w:r>
        <w:rPr>
          <w:rFonts w:ascii="Palatino Linotype" w:eastAsia="Palatino Linotype" w:hAnsi="Palatino Linotype" w:cs="Palatino Linotype"/>
          <w:color w:val="000000"/>
        </w:rPr>
        <w:t xml:space="preserve">; ordenó la acumulación de los recursos de revisión de mérito, a efecto de que la Ponencia de la </w:t>
      </w:r>
      <w:r>
        <w:rPr>
          <w:rFonts w:ascii="Palatino Linotype" w:eastAsia="Palatino Linotype" w:hAnsi="Palatino Linotype" w:cs="Palatino Linotype"/>
          <w:b/>
          <w:color w:val="000000"/>
        </w:rPr>
        <w:t xml:space="preserve">Comisionada María del Rosario Mejía Ayala </w:t>
      </w:r>
      <w:r>
        <w:rPr>
          <w:rFonts w:ascii="Palatino Linotype" w:eastAsia="Palatino Linotype" w:hAnsi="Palatino Linotype" w:cs="Palatino Linotype"/>
        </w:rPr>
        <w:t>formulará</w:t>
      </w:r>
      <w:r>
        <w:rPr>
          <w:rFonts w:ascii="Palatino Linotype" w:eastAsia="Palatino Linotype" w:hAnsi="Palatino Linotype" w:cs="Palatino Linotype"/>
          <w:color w:val="000000"/>
        </w:rPr>
        <w:t xml:space="preserve"> y </w:t>
      </w:r>
      <w:r>
        <w:rPr>
          <w:rFonts w:ascii="Palatino Linotype" w:eastAsia="Palatino Linotype" w:hAnsi="Palatino Linotype" w:cs="Palatino Linotype"/>
        </w:rPr>
        <w:t>presentará</w:t>
      </w:r>
      <w:r>
        <w:rPr>
          <w:rFonts w:ascii="Palatino Linotype" w:eastAsia="Palatino Linotype" w:hAnsi="Palatino Linotype" w:cs="Palatino Linotype"/>
          <w:color w:val="000000"/>
        </w:rPr>
        <w:t xml:space="preserve">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Pr>
          <w:rFonts w:ascii="Palatino Linotype" w:eastAsia="Palatino Linotype" w:hAnsi="Palatino Linotype" w:cs="Palatino Linotype"/>
          <w:i/>
          <w:color w:val="000000"/>
          <w:vertAlign w:val="superscript"/>
        </w:rPr>
        <w:footnoteReference w:id="1"/>
      </w:r>
      <w:r>
        <w:rPr>
          <w:rFonts w:ascii="Palatino Linotype" w:eastAsia="Palatino Linotype" w:hAnsi="Palatino Linotype" w:cs="Palatino Linotype"/>
          <w:color w:val="000000"/>
        </w:rPr>
        <w:t>, que señala:</w:t>
      </w:r>
    </w:p>
    <w:p w14:paraId="5D563DB0" w14:textId="77777777" w:rsidR="00FC58AB" w:rsidRDefault="00382C0E">
      <w:pPr>
        <w:pBdr>
          <w:top w:val="nil"/>
          <w:left w:val="nil"/>
          <w:bottom w:val="nil"/>
          <w:right w:val="nil"/>
          <w:between w:val="nil"/>
        </w:pBdr>
        <w:ind w:left="1134" w:right="-787"/>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b/>
          <w:i/>
          <w:color w:val="000000"/>
          <w:sz w:val="20"/>
          <w:szCs w:val="20"/>
        </w:rPr>
        <w:t>“ONCE.</w:t>
      </w:r>
      <w:r>
        <w:rPr>
          <w:rFonts w:ascii="Palatino Linotype" w:eastAsia="Palatino Linotype" w:hAnsi="Palatino Linotype" w:cs="Palatino Linotype"/>
          <w:i/>
          <w:color w:val="000000"/>
          <w:sz w:val="20"/>
          <w:szCs w:val="20"/>
        </w:rPr>
        <w:t xml:space="preserve"> El Instituto, para mejor resolver y evitar la emisión de resoluciones contradictorias,</w:t>
      </w:r>
      <w:r>
        <w:rPr>
          <w:rFonts w:ascii="Palatino Linotype" w:eastAsia="Palatino Linotype" w:hAnsi="Palatino Linotype" w:cs="Palatino Linotype"/>
          <w:i/>
          <w:color w:val="000000"/>
          <w:sz w:val="20"/>
          <w:szCs w:val="20"/>
        </w:rPr>
        <w:tab/>
        <w:t xml:space="preserve"> podrá acordar la acumulación de los expedientes de recursos de revisión, de oficio o a petición de parte cuando:</w:t>
      </w:r>
    </w:p>
    <w:p w14:paraId="5089610D" w14:textId="77777777" w:rsidR="00FC58AB" w:rsidRDefault="00382C0E">
      <w:pPr>
        <w:pBdr>
          <w:top w:val="nil"/>
          <w:left w:val="nil"/>
          <w:bottom w:val="nil"/>
          <w:right w:val="nil"/>
          <w:between w:val="nil"/>
        </w:pBdr>
        <w:ind w:left="1134" w:right="-787"/>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w:t>
      </w:r>
      <w:r>
        <w:rPr>
          <w:rFonts w:ascii="Palatino Linotype" w:eastAsia="Palatino Linotype" w:hAnsi="Palatino Linotype" w:cs="Palatino Linotype"/>
          <w:i/>
          <w:color w:val="000000"/>
          <w:sz w:val="20"/>
          <w:szCs w:val="20"/>
        </w:rPr>
        <w:tab/>
      </w:r>
    </w:p>
    <w:p w14:paraId="415D20F1" w14:textId="77777777" w:rsidR="00FC58AB" w:rsidRDefault="00382C0E">
      <w:pPr>
        <w:pBdr>
          <w:top w:val="nil"/>
          <w:left w:val="nil"/>
          <w:bottom w:val="nil"/>
          <w:right w:val="nil"/>
          <w:between w:val="nil"/>
        </w:pBdr>
        <w:ind w:left="1134" w:right="-787"/>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b) Las partes o los actos impugnados sean iguales</w:t>
      </w:r>
    </w:p>
    <w:p w14:paraId="2CC582A3" w14:textId="77777777" w:rsidR="00FC58AB" w:rsidRDefault="00382C0E">
      <w:pPr>
        <w:pBdr>
          <w:top w:val="nil"/>
          <w:left w:val="nil"/>
          <w:bottom w:val="nil"/>
          <w:right w:val="nil"/>
          <w:between w:val="nil"/>
        </w:pBdr>
        <w:ind w:left="1134" w:right="-787"/>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c) Cuando se trate del mismo solicitante, el mismo SUJETO OBLIGADO, aunque se trate de solicitudes diversas;</w:t>
      </w:r>
    </w:p>
    <w:p w14:paraId="30316CD3" w14:textId="77777777" w:rsidR="00FC58AB" w:rsidRDefault="00382C0E">
      <w:pPr>
        <w:pBdr>
          <w:top w:val="nil"/>
          <w:left w:val="nil"/>
          <w:bottom w:val="nil"/>
          <w:right w:val="nil"/>
          <w:between w:val="nil"/>
        </w:pBdr>
        <w:ind w:left="1134" w:right="-787"/>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w:t>
      </w:r>
    </w:p>
    <w:p w14:paraId="7328AAAC" w14:textId="77777777" w:rsidR="00FC58AB" w:rsidRDefault="00382C0E">
      <w:pPr>
        <w:pBdr>
          <w:top w:val="nil"/>
          <w:left w:val="nil"/>
          <w:bottom w:val="nil"/>
          <w:right w:val="nil"/>
          <w:between w:val="nil"/>
        </w:pBdr>
        <w:ind w:left="1134" w:right="-78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(Énfasis añadido)</w:t>
      </w:r>
    </w:p>
    <w:p w14:paraId="7A288862" w14:textId="77777777" w:rsidR="00FC58AB" w:rsidRDefault="00FC58AB">
      <w:pPr>
        <w:pBdr>
          <w:top w:val="nil"/>
          <w:left w:val="nil"/>
          <w:bottom w:val="nil"/>
          <w:right w:val="nil"/>
          <w:between w:val="nil"/>
        </w:pBdr>
        <w:ind w:left="1134" w:right="-787"/>
        <w:jc w:val="both"/>
        <w:rPr>
          <w:rFonts w:ascii="Palatino Linotype" w:eastAsia="Palatino Linotype" w:hAnsi="Palatino Linotype" w:cs="Palatino Linotype"/>
          <w:color w:val="000000"/>
          <w:sz w:val="22"/>
          <w:szCs w:val="22"/>
        </w:rPr>
      </w:pPr>
    </w:p>
    <w:p w14:paraId="00051A35" w14:textId="77777777" w:rsidR="00FC58AB" w:rsidRDefault="00382C0E">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así que,</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color w:val="000000"/>
        </w:rPr>
        <w:t xml:space="preserve">resulta conveniente su trámite de forma unificada para mejor resolver y evitar la emisión de resoluciones contradictorias, por ello resultó procedente que este </w:t>
      </w:r>
      <w:r>
        <w:rPr>
          <w:rFonts w:ascii="Palatino Linotype" w:eastAsia="Palatino Linotype" w:hAnsi="Palatino Linotype" w:cs="Palatino Linotype"/>
          <w:color w:val="000000"/>
        </w:rPr>
        <w:lastRenderedPageBreak/>
        <w:t xml:space="preserve">Órgano Garante </w:t>
      </w:r>
      <w:r>
        <w:rPr>
          <w:rFonts w:ascii="Palatino Linotype" w:eastAsia="Palatino Linotype" w:hAnsi="Palatino Linotype" w:cs="Palatino Linotype"/>
        </w:rPr>
        <w:t>realizará</w:t>
      </w:r>
      <w:r>
        <w:rPr>
          <w:rFonts w:ascii="Palatino Linotype" w:eastAsia="Palatino Linotype" w:hAnsi="Palatino Linotype" w:cs="Palatino Linotype"/>
          <w:color w:val="000000"/>
        </w:rPr>
        <w:t xml:space="preserve">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5ECB0771"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Código de Procedimientos Administrativos del Estado de México.</w:t>
      </w:r>
    </w:p>
    <w:p w14:paraId="2DE96FFE"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18.-</w:t>
      </w:r>
      <w:r>
        <w:rPr>
          <w:rFonts w:ascii="Palatino Linotype" w:eastAsia="Palatino Linotype" w:hAnsi="Palatino Linotype" w:cs="Palatino Linotype"/>
          <w:i/>
          <w:color w:val="000000"/>
          <w:sz w:val="22"/>
          <w:szCs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6F7A20DD"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Ley de Transparencia y Acceso a la Información Pública del Estado de México y Municipios</w:t>
      </w:r>
    </w:p>
    <w:p w14:paraId="3B4BA3F7"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195.</w:t>
      </w:r>
      <w:r>
        <w:rPr>
          <w:rFonts w:ascii="Palatino Linotype" w:eastAsia="Palatino Linotype" w:hAnsi="Palatino Linotype" w:cs="Palatino Linotype"/>
          <w:i/>
          <w:color w:val="000000"/>
          <w:sz w:val="22"/>
          <w:szCs w:val="22"/>
        </w:rPr>
        <w:t xml:space="preserve"> En la tramitación del recurso de revisión se aplicarán supletoriamente las disposiciones contenidas en el Código de Procedimientos Administrativos del Estado de México.”</w:t>
      </w:r>
    </w:p>
    <w:p w14:paraId="5FDE00F0" w14:textId="77777777" w:rsidR="00FC58AB" w:rsidRDefault="00382C0E">
      <w:pPr>
        <w:pBdr>
          <w:top w:val="nil"/>
          <w:left w:val="nil"/>
          <w:bottom w:val="nil"/>
          <w:right w:val="nil"/>
          <w:between w:val="nil"/>
        </w:pBdr>
        <w:ind w:left="1134" w:right="62" w:firstLine="36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(Énfasis añadido)</w:t>
      </w:r>
    </w:p>
    <w:p w14:paraId="62D6D898" w14:textId="77777777" w:rsidR="00FC58AB" w:rsidRDefault="00FC58AB">
      <w:pPr>
        <w:pBdr>
          <w:top w:val="nil"/>
          <w:left w:val="nil"/>
          <w:bottom w:val="nil"/>
          <w:right w:val="nil"/>
          <w:between w:val="nil"/>
        </w:pBdr>
        <w:ind w:left="360" w:right="-787" w:firstLine="360"/>
        <w:rPr>
          <w:rFonts w:ascii="Palatino Linotype" w:eastAsia="Palatino Linotype" w:hAnsi="Palatino Linotype" w:cs="Palatino Linotype"/>
          <w:i/>
          <w:color w:val="000000"/>
        </w:rPr>
      </w:pPr>
    </w:p>
    <w:p w14:paraId="67401E27" w14:textId="77777777" w:rsidR="00FC58AB" w:rsidRDefault="00382C0E">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diez y doce de abril de dos mil veinticuatro, </w:t>
      </w:r>
      <w:r>
        <w:rPr>
          <w:rFonts w:ascii="Palatino Linotype" w:eastAsia="Palatino Linotype" w:hAnsi="Palatino Linotype" w:cs="Palatino Linotype"/>
          <w:b/>
        </w:rPr>
        <w:t>presentó</w:t>
      </w:r>
      <w:r>
        <w:rPr>
          <w:rFonts w:ascii="Palatino Linotype" w:eastAsia="Palatino Linotype" w:hAnsi="Palatino Linotype" w:cs="Palatino Linotype"/>
          <w:b/>
          <w:color w:val="000000"/>
        </w:rPr>
        <w:t xml:space="preserve"> sus informes justificados mediante los siguientes archivos, de los cuales </w:t>
      </w:r>
      <w:r w:rsidR="0005552D">
        <w:rPr>
          <w:rFonts w:ascii="Palatino Linotype" w:eastAsia="Palatino Linotype" w:hAnsi="Palatino Linotype" w:cs="Palatino Linotype"/>
          <w:b/>
          <w:color w:val="000000"/>
        </w:rPr>
        <w:t xml:space="preserve">a </w:t>
      </w:r>
      <w:r>
        <w:rPr>
          <w:rFonts w:ascii="Palatino Linotype" w:eastAsia="Palatino Linotype" w:hAnsi="Palatino Linotype" w:cs="Palatino Linotype"/>
          <w:b/>
          <w:color w:val="000000"/>
        </w:rPr>
        <w:t xml:space="preserve">grosso modo ratifica las respuestas iniciales. </w:t>
      </w:r>
    </w:p>
    <w:tbl>
      <w:tblPr>
        <w:tblStyle w:val="a2"/>
        <w:tblW w:w="964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9"/>
        <w:gridCol w:w="6156"/>
      </w:tblGrid>
      <w:tr w:rsidR="00FC58AB" w14:paraId="29A3BEAF" w14:textId="77777777">
        <w:tc>
          <w:tcPr>
            <w:tcW w:w="3489" w:type="dxa"/>
          </w:tcPr>
          <w:p w14:paraId="21D19D54" w14:textId="77777777" w:rsidR="00FC58AB" w:rsidRDefault="00382C0E">
            <w:pPr>
              <w:ind w:right="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Recurso</w:t>
            </w:r>
          </w:p>
        </w:tc>
        <w:tc>
          <w:tcPr>
            <w:tcW w:w="6156" w:type="dxa"/>
          </w:tcPr>
          <w:p w14:paraId="018D6D38" w14:textId="77777777" w:rsidR="00FC58AB" w:rsidRDefault="00382C0E">
            <w:pPr>
              <w:ind w:right="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Acto Impugnado y Razones o Motivos de Inconformidad. </w:t>
            </w:r>
          </w:p>
        </w:tc>
      </w:tr>
      <w:tr w:rsidR="00FC58AB" w14:paraId="051DECD9" w14:textId="77777777">
        <w:tc>
          <w:tcPr>
            <w:tcW w:w="3489" w:type="dxa"/>
          </w:tcPr>
          <w:p w14:paraId="09D7020A" w14:textId="77777777" w:rsidR="00FC58AB" w:rsidRDefault="00382C0E">
            <w:pPr>
              <w:ind w:right="25"/>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Recurso de Revisión 01593/INFOEM/IP/RR/2024: </w:t>
            </w:r>
          </w:p>
          <w:p w14:paraId="1875FD09" w14:textId="77777777" w:rsidR="00FC58AB" w:rsidRDefault="00FC58AB">
            <w:pPr>
              <w:pBdr>
                <w:top w:val="nil"/>
                <w:left w:val="nil"/>
                <w:bottom w:val="nil"/>
                <w:right w:val="nil"/>
                <w:between w:val="nil"/>
              </w:pBdr>
              <w:ind w:right="25"/>
              <w:jc w:val="both"/>
              <w:rPr>
                <w:rFonts w:ascii="Palatino Linotype" w:eastAsia="Palatino Linotype" w:hAnsi="Palatino Linotype" w:cs="Palatino Linotype"/>
                <w:i/>
                <w:color w:val="000000"/>
                <w:sz w:val="22"/>
                <w:szCs w:val="22"/>
              </w:rPr>
            </w:pPr>
          </w:p>
          <w:p w14:paraId="0178F15E" w14:textId="77777777" w:rsidR="00FC58AB" w:rsidRDefault="00FC58AB">
            <w:pPr>
              <w:ind w:right="25"/>
              <w:jc w:val="both"/>
              <w:rPr>
                <w:rFonts w:ascii="Palatino Linotype" w:eastAsia="Palatino Linotype" w:hAnsi="Palatino Linotype" w:cs="Palatino Linotype"/>
                <w:i/>
                <w:sz w:val="22"/>
                <w:szCs w:val="22"/>
              </w:rPr>
            </w:pPr>
          </w:p>
        </w:tc>
        <w:tc>
          <w:tcPr>
            <w:tcW w:w="6156" w:type="dxa"/>
          </w:tcPr>
          <w:p w14:paraId="17D049A0" w14:textId="77777777" w:rsidR="00FC58AB" w:rsidRDefault="00382C0E">
            <w:pPr>
              <w:ind w:right="25"/>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MANIFESTACIONES.zip: </w:t>
            </w:r>
          </w:p>
          <w:p w14:paraId="2CA5503D" w14:textId="77777777" w:rsidR="00FC58AB" w:rsidRDefault="00382C0E">
            <w:pPr>
              <w:ind w:right="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MANIFESTACIONES\TLA_DOP_1069_2024 00218_TLALNEPA_IP_2024.pdf</w:t>
            </w:r>
          </w:p>
          <w:p w14:paraId="5D03F7F8" w14:textId="77777777" w:rsidR="00FC58AB" w:rsidRDefault="00382C0E">
            <w:pPr>
              <w:ind w:right="25"/>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COMPLEMENTO DE INFORMACION.zip: </w:t>
            </w:r>
          </w:p>
          <w:p w14:paraId="7C4CCDB1" w14:textId="77777777" w:rsidR="00FC58AB" w:rsidRDefault="00382C0E">
            <w:pPr>
              <w:ind w:right="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COMPLEMENTO DE INFORMACION\03 acuerdo 11 TM acum y reserva.pdf:</w:t>
            </w:r>
          </w:p>
          <w:p w14:paraId="297BEF05" w14:textId="77777777" w:rsidR="00FC58AB" w:rsidRDefault="00FC58AB">
            <w:pPr>
              <w:ind w:right="25"/>
              <w:jc w:val="both"/>
              <w:rPr>
                <w:rFonts w:ascii="Palatino Linotype" w:eastAsia="Palatino Linotype" w:hAnsi="Palatino Linotype" w:cs="Palatino Linotype"/>
                <w:i/>
                <w:sz w:val="22"/>
                <w:szCs w:val="22"/>
              </w:rPr>
            </w:pPr>
          </w:p>
          <w:p w14:paraId="128D6611" w14:textId="77777777" w:rsidR="00FC58AB" w:rsidRDefault="00382C0E">
            <w:pPr>
              <w:ind w:right="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COMPLEMENTO DE INFORMACION\06_CT_03-ORD_2024.pdf:</w:t>
            </w:r>
          </w:p>
          <w:p w14:paraId="55914615" w14:textId="77777777" w:rsidR="00FC58AB" w:rsidRDefault="00FC58AB">
            <w:pPr>
              <w:ind w:right="25"/>
              <w:jc w:val="both"/>
              <w:rPr>
                <w:rFonts w:ascii="Palatino Linotype" w:eastAsia="Palatino Linotype" w:hAnsi="Palatino Linotype" w:cs="Palatino Linotype"/>
                <w:i/>
                <w:sz w:val="22"/>
                <w:szCs w:val="22"/>
              </w:rPr>
            </w:pPr>
          </w:p>
          <w:p w14:paraId="413A7E67" w14:textId="77777777" w:rsidR="00FC58AB" w:rsidRDefault="00382C0E">
            <w:pPr>
              <w:ind w:right="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COMPLEMENTO DE INFORMACION\inicio auditoria AIF-083_OSFEM.pdf:</w:t>
            </w:r>
          </w:p>
          <w:p w14:paraId="7C100909" w14:textId="77777777" w:rsidR="00FC58AB" w:rsidRDefault="00FC58AB">
            <w:pPr>
              <w:ind w:right="25"/>
              <w:jc w:val="both"/>
              <w:rPr>
                <w:rFonts w:ascii="Palatino Linotype" w:eastAsia="Palatino Linotype" w:hAnsi="Palatino Linotype" w:cs="Palatino Linotype"/>
                <w:i/>
                <w:sz w:val="22"/>
                <w:szCs w:val="22"/>
              </w:rPr>
            </w:pPr>
          </w:p>
          <w:p w14:paraId="0E379363" w14:textId="77777777" w:rsidR="00FC58AB" w:rsidRDefault="00382C0E">
            <w:pPr>
              <w:ind w:right="25"/>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COMPLEMENTO DE INFORMACION\RESP DE TESORERIA.pdf</w:t>
            </w:r>
          </w:p>
        </w:tc>
      </w:tr>
      <w:tr w:rsidR="00FC58AB" w14:paraId="1EDF2AA1" w14:textId="77777777">
        <w:tc>
          <w:tcPr>
            <w:tcW w:w="3489" w:type="dxa"/>
          </w:tcPr>
          <w:p w14:paraId="6813F6EE" w14:textId="77777777" w:rsidR="00FC58AB" w:rsidRDefault="00382C0E">
            <w:pPr>
              <w:ind w:right="25"/>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Recurso de Revisión 01594/INFOEM/IP/RR/2024</w:t>
            </w:r>
          </w:p>
        </w:tc>
        <w:tc>
          <w:tcPr>
            <w:tcW w:w="6156" w:type="dxa"/>
          </w:tcPr>
          <w:p w14:paraId="60F4E7D8" w14:textId="77777777" w:rsidR="00FC58AB" w:rsidRDefault="00382C0E">
            <w:pPr>
              <w:ind w:right="25"/>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MANIFESTACIONES.zip: </w:t>
            </w:r>
          </w:p>
          <w:p w14:paraId="2E6F2C13" w14:textId="77777777" w:rsidR="00FC58AB" w:rsidRDefault="00382C0E">
            <w:pPr>
              <w:ind w:right="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MANIFESTACIONES\RESP DE ADMINISTRACION.pdf:</w:t>
            </w:r>
          </w:p>
          <w:p w14:paraId="79FAB03D" w14:textId="77777777" w:rsidR="00FC58AB" w:rsidRDefault="00382C0E">
            <w:pPr>
              <w:ind w:right="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MANIFESTACIONES\RESP DE OBRAS PÚBLICAS.pdf:</w:t>
            </w:r>
          </w:p>
          <w:p w14:paraId="2147FE1C" w14:textId="77777777" w:rsidR="00FC58AB" w:rsidRDefault="00382C0E">
            <w:pPr>
              <w:ind w:right="25"/>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COMPLEMENTO DE INFORMACION.zip</w:t>
            </w:r>
          </w:p>
          <w:p w14:paraId="61EC4C04" w14:textId="77777777" w:rsidR="00FC58AB" w:rsidRDefault="00382C0E">
            <w:pPr>
              <w:ind w:right="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COMPLEMENTO DE INFORMACION\03 acuerdo 11 TM acum y reserva.pdf:</w:t>
            </w:r>
          </w:p>
          <w:p w14:paraId="412D191C" w14:textId="77777777" w:rsidR="00FC58AB" w:rsidRDefault="00382C0E">
            <w:pPr>
              <w:ind w:right="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COMPLEMENTO DE INFORMACION\06_CT_03-ORD_2024.pdf:</w:t>
            </w:r>
          </w:p>
          <w:p w14:paraId="7A2910F9" w14:textId="77777777" w:rsidR="00FC58AB" w:rsidRDefault="00382C0E">
            <w:pPr>
              <w:ind w:right="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COMPLEMENTO DE INFORMACION\inicio auditoria AIF-083_OSFEM.pdf:</w:t>
            </w:r>
          </w:p>
          <w:p w14:paraId="147D1D71" w14:textId="77777777" w:rsidR="00FC58AB" w:rsidRDefault="00382C0E">
            <w:pPr>
              <w:ind w:right="25"/>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COMPLEMENTO DE INFORMACION\RESP DE TESORERIA.pdf: </w:t>
            </w:r>
          </w:p>
        </w:tc>
      </w:tr>
      <w:tr w:rsidR="00FC58AB" w14:paraId="189334F3" w14:textId="77777777">
        <w:tc>
          <w:tcPr>
            <w:tcW w:w="3489" w:type="dxa"/>
          </w:tcPr>
          <w:p w14:paraId="72732D44" w14:textId="77777777" w:rsidR="00FC58AB" w:rsidRDefault="00382C0E">
            <w:pPr>
              <w:ind w:right="25"/>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Recurso de Revisión 01596/INFOEM/IP/RR/2024: </w:t>
            </w:r>
          </w:p>
          <w:p w14:paraId="479C6E2F" w14:textId="77777777" w:rsidR="00FC58AB" w:rsidRDefault="00FC58AB">
            <w:pPr>
              <w:ind w:right="25"/>
              <w:jc w:val="both"/>
              <w:rPr>
                <w:rFonts w:ascii="Palatino Linotype" w:eastAsia="Palatino Linotype" w:hAnsi="Palatino Linotype" w:cs="Palatino Linotype"/>
                <w:i/>
                <w:sz w:val="22"/>
                <w:szCs w:val="22"/>
              </w:rPr>
            </w:pPr>
          </w:p>
        </w:tc>
        <w:tc>
          <w:tcPr>
            <w:tcW w:w="6156" w:type="dxa"/>
          </w:tcPr>
          <w:p w14:paraId="573BCAE1" w14:textId="77777777" w:rsidR="00FC58AB" w:rsidRDefault="00382C0E">
            <w:pPr>
              <w:ind w:right="25"/>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RESP DE OBRAS PÚBLICAS.zip:</w:t>
            </w:r>
          </w:p>
          <w:p w14:paraId="2BE2F05B" w14:textId="77777777" w:rsidR="00FC58AB" w:rsidRDefault="00382C0E">
            <w:pPr>
              <w:ind w:right="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RESP DE OBRAS PÚBLICAS.pdf: </w:t>
            </w:r>
          </w:p>
          <w:p w14:paraId="3C2BAC00" w14:textId="77777777" w:rsidR="00FC58AB" w:rsidRDefault="00382C0E">
            <w:pPr>
              <w:ind w:right="25"/>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COMPLEMENTO DE INFORMACION.zip</w:t>
            </w:r>
          </w:p>
          <w:p w14:paraId="727246C7" w14:textId="77777777" w:rsidR="00FC58AB" w:rsidRDefault="00382C0E">
            <w:pPr>
              <w:ind w:right="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COMPLEMENTO DE INFORMACION\03 acuerdo 11 TM acum y reserva.pdf:</w:t>
            </w:r>
          </w:p>
          <w:p w14:paraId="251224C6" w14:textId="77777777" w:rsidR="00FC58AB" w:rsidRDefault="00382C0E">
            <w:pPr>
              <w:ind w:right="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COMPLEMENTO DE INFORMACION\06_CT_03-ORD_2024.pdf:</w:t>
            </w:r>
          </w:p>
          <w:p w14:paraId="441989BC" w14:textId="77777777" w:rsidR="00FC58AB" w:rsidRDefault="00382C0E">
            <w:pPr>
              <w:ind w:right="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COMPLEMENTO DE INFORMACION\inicio auditoria AIF-083_OSFEM.pdf:</w:t>
            </w:r>
          </w:p>
          <w:p w14:paraId="22C5C7EB" w14:textId="77777777" w:rsidR="00FC58AB" w:rsidRDefault="00382C0E">
            <w:pPr>
              <w:ind w:right="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COMPLEMENTO DE INFORMACION\RESP DE TESORERIA.pdf:</w:t>
            </w:r>
          </w:p>
        </w:tc>
      </w:tr>
      <w:tr w:rsidR="00FC58AB" w14:paraId="41C27AF4" w14:textId="77777777">
        <w:tc>
          <w:tcPr>
            <w:tcW w:w="3489" w:type="dxa"/>
          </w:tcPr>
          <w:p w14:paraId="6263190E" w14:textId="77777777" w:rsidR="00FC58AB" w:rsidRDefault="00382C0E">
            <w:pPr>
              <w:tabs>
                <w:tab w:val="left" w:pos="2074"/>
              </w:tabs>
              <w:ind w:right="25"/>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sz w:val="22"/>
                <w:szCs w:val="22"/>
              </w:rPr>
              <w:t>Recurso de Revisión 01597/INFOEM/IP/RR/2024</w:t>
            </w:r>
          </w:p>
          <w:p w14:paraId="0EC51291" w14:textId="77777777" w:rsidR="00FC58AB" w:rsidRDefault="00FC58AB">
            <w:pPr>
              <w:ind w:right="25"/>
              <w:jc w:val="both"/>
              <w:rPr>
                <w:rFonts w:ascii="Palatino Linotype" w:eastAsia="Palatino Linotype" w:hAnsi="Palatino Linotype" w:cs="Palatino Linotype"/>
                <w:i/>
                <w:sz w:val="22"/>
                <w:szCs w:val="22"/>
              </w:rPr>
            </w:pPr>
          </w:p>
        </w:tc>
        <w:tc>
          <w:tcPr>
            <w:tcW w:w="6156" w:type="dxa"/>
          </w:tcPr>
          <w:p w14:paraId="39660E68" w14:textId="77777777" w:rsidR="00FC58AB" w:rsidRDefault="00382C0E">
            <w:pPr>
              <w:ind w:right="25"/>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MANIFESTACIONES.zip: </w:t>
            </w:r>
          </w:p>
          <w:p w14:paraId="1B437B6F" w14:textId="77777777" w:rsidR="00FC58AB" w:rsidRDefault="00382C0E">
            <w:pPr>
              <w:ind w:right="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MANIFESTACIONES\inicio auditoria AIF-083_OSFEM.pdf:</w:t>
            </w:r>
          </w:p>
          <w:p w14:paraId="06E30807" w14:textId="77777777" w:rsidR="00FC58AB" w:rsidRDefault="00382C0E">
            <w:pPr>
              <w:ind w:right="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MANIFESTACIONES\RESP DE ADMINISTRACION.pdf:</w:t>
            </w:r>
          </w:p>
          <w:p w14:paraId="4EB79895" w14:textId="77777777" w:rsidR="00FC58AB" w:rsidRDefault="00382C0E">
            <w:pPr>
              <w:ind w:right="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MANIFESTACIONES\RESP DE OBRAS PÚBLICAS.pdf: </w:t>
            </w:r>
          </w:p>
          <w:p w14:paraId="74657420" w14:textId="77777777" w:rsidR="00FC58AB" w:rsidRDefault="00382C0E">
            <w:pPr>
              <w:ind w:right="25"/>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COMPLEMENTO DE INFORMACION.zip:</w:t>
            </w:r>
          </w:p>
          <w:p w14:paraId="7324F452" w14:textId="77777777" w:rsidR="00FC58AB" w:rsidRDefault="00382C0E">
            <w:pPr>
              <w:ind w:right="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COMPLEMENTO DE INFORMACION\03 acuerdo 11 TM acum y reserva.pdf:</w:t>
            </w:r>
          </w:p>
          <w:p w14:paraId="6BBDE200" w14:textId="77777777" w:rsidR="00FC58AB" w:rsidRDefault="00382C0E">
            <w:pPr>
              <w:ind w:right="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COMPLEMENTO DE INFORMACION\06_CT_03-ORD_2024.pdf:</w:t>
            </w:r>
          </w:p>
          <w:p w14:paraId="6E940FB6" w14:textId="77777777" w:rsidR="00FC58AB" w:rsidRDefault="00382C0E">
            <w:pPr>
              <w:ind w:right="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COMPLEMENTO DE INFORMACION\inicio auditoria AIF-083_OSFEM.pdf: </w:t>
            </w:r>
          </w:p>
          <w:p w14:paraId="412BA0BE" w14:textId="77777777" w:rsidR="00FC58AB" w:rsidRDefault="00382C0E">
            <w:pPr>
              <w:ind w:right="25"/>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COMPLEMENTO DE INFORMACION\RESP DE TESORERIA.pdf:</w:t>
            </w:r>
          </w:p>
        </w:tc>
      </w:tr>
    </w:tbl>
    <w:p w14:paraId="5CF3CBFD" w14:textId="77777777" w:rsidR="00FC58AB" w:rsidRDefault="00FC58AB">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0FE59197" w14:textId="77777777" w:rsidR="00FC58AB" w:rsidRDefault="00382C0E">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Por su parte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fue omiso en manifestar lo que a su derecho conviniera y asistiera.  </w:t>
      </w:r>
    </w:p>
    <w:p w14:paraId="750EF7D0" w14:textId="77777777" w:rsidR="00FC58AB" w:rsidRDefault="00FC58AB">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5A45DBF9" w14:textId="77777777" w:rsidR="00FC58AB" w:rsidRDefault="00382C0E">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En fecha </w:t>
      </w:r>
      <w:r>
        <w:rPr>
          <w:rFonts w:ascii="Palatino Linotype" w:eastAsia="Palatino Linotype" w:hAnsi="Palatino Linotype" w:cs="Palatino Linotype"/>
          <w:b/>
          <w:color w:val="000000"/>
        </w:rPr>
        <w:t>trece de agosto de dos mil veinticuatro</w:t>
      </w:r>
      <w:r>
        <w:rPr>
          <w:rFonts w:ascii="Palatino Linotype" w:eastAsia="Palatino Linotype" w:hAnsi="Palatino Linotype" w:cs="Palatino Linotype"/>
          <w:color w:val="000000"/>
        </w:rPr>
        <w:t xml:space="preserve">, se amplió el término para resolver los recursos de revisión </w:t>
      </w:r>
      <w:r>
        <w:rPr>
          <w:rFonts w:ascii="Palatino Linotype" w:eastAsia="Palatino Linotype" w:hAnsi="Palatino Linotype" w:cs="Palatino Linotype"/>
          <w:b/>
          <w:i/>
          <w:color w:val="000000"/>
        </w:rPr>
        <w:t>01593/INFOEM/IP/RR/2024, 01594/INFOEM/IP/RR/2024, 01596/INFOEM/IP/RR/2024 y 01597/INFOEM/IP/RR/2024</w:t>
      </w:r>
      <w:r>
        <w:rPr>
          <w:rFonts w:ascii="Palatino Linotype" w:eastAsia="Palatino Linotype" w:hAnsi="Palatino Linotype" w:cs="Palatino Linotype"/>
          <w:color w:val="000000"/>
        </w:rPr>
        <w:t>; al respecto es menester realizar las siguientes precisiones:</w:t>
      </w:r>
    </w:p>
    <w:p w14:paraId="4514D193" w14:textId="77777777" w:rsidR="00FC58AB" w:rsidRDefault="00FC58AB">
      <w:pPr>
        <w:pBdr>
          <w:top w:val="nil"/>
          <w:left w:val="nil"/>
          <w:bottom w:val="nil"/>
          <w:right w:val="nil"/>
          <w:between w:val="nil"/>
        </w:pBdr>
        <w:ind w:left="708" w:right="-787"/>
        <w:rPr>
          <w:rFonts w:ascii="Palatino Linotype" w:eastAsia="Palatino Linotype" w:hAnsi="Palatino Linotype" w:cs="Palatino Linotype"/>
          <w:b/>
          <w:color w:val="000000"/>
        </w:rPr>
      </w:pPr>
    </w:p>
    <w:p w14:paraId="4AB8C061" w14:textId="77777777" w:rsidR="00FC58AB" w:rsidRDefault="00382C0E">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2CB92A1F" w14:textId="77777777" w:rsidR="00FC58AB" w:rsidRDefault="00FC58AB">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sz w:val="28"/>
          <w:szCs w:val="28"/>
        </w:rPr>
      </w:pPr>
    </w:p>
    <w:p w14:paraId="5691BBC8" w14:textId="77777777" w:rsidR="00FC58AB" w:rsidRDefault="00382C0E">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w:t>
      </w:r>
      <w:r>
        <w:rPr>
          <w:rFonts w:ascii="Palatino Linotype" w:eastAsia="Palatino Linotype" w:hAnsi="Palatino Linotype" w:cs="Palatino Linotype"/>
          <w:color w:val="000000"/>
        </w:rPr>
        <w:lastRenderedPageBreak/>
        <w:t>por diversos órganos jurisdiccionales federales, aplicables también en procedimientos análogos, como el que nos ocupa.</w:t>
      </w:r>
    </w:p>
    <w:p w14:paraId="2FDDBD4D" w14:textId="77777777" w:rsidR="00FC58AB" w:rsidRDefault="00FC58AB">
      <w:pPr>
        <w:pBdr>
          <w:top w:val="nil"/>
          <w:left w:val="nil"/>
          <w:bottom w:val="nil"/>
          <w:right w:val="nil"/>
          <w:between w:val="nil"/>
        </w:pBdr>
        <w:spacing w:line="360" w:lineRule="auto"/>
        <w:ind w:left="720" w:right="-787"/>
        <w:rPr>
          <w:rFonts w:ascii="Palatino Linotype" w:eastAsia="Palatino Linotype" w:hAnsi="Palatino Linotype" w:cs="Palatino Linotype"/>
          <w:color w:val="000000"/>
          <w:sz w:val="28"/>
          <w:szCs w:val="28"/>
        </w:rPr>
      </w:pPr>
    </w:p>
    <w:p w14:paraId="68B3FE0C" w14:textId="77777777" w:rsidR="00FC58AB" w:rsidRDefault="00382C0E">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C2612B6" w14:textId="77777777" w:rsidR="00FC58AB" w:rsidRDefault="00FC58AB">
      <w:pPr>
        <w:pBdr>
          <w:top w:val="nil"/>
          <w:left w:val="nil"/>
          <w:bottom w:val="nil"/>
          <w:right w:val="nil"/>
          <w:between w:val="nil"/>
        </w:pBdr>
        <w:spacing w:line="360" w:lineRule="auto"/>
        <w:ind w:left="720" w:right="-787"/>
        <w:rPr>
          <w:rFonts w:ascii="Palatino Linotype" w:eastAsia="Palatino Linotype" w:hAnsi="Palatino Linotype" w:cs="Palatino Linotype"/>
          <w:color w:val="000000"/>
          <w:sz w:val="28"/>
          <w:szCs w:val="28"/>
        </w:rPr>
      </w:pPr>
    </w:p>
    <w:p w14:paraId="3BA8AFBA" w14:textId="77777777" w:rsidR="00FC58AB" w:rsidRDefault="00382C0E">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16A43B8" w14:textId="77777777" w:rsidR="00FC58AB" w:rsidRDefault="00FC58AB">
      <w:pPr>
        <w:pBdr>
          <w:top w:val="nil"/>
          <w:left w:val="nil"/>
          <w:bottom w:val="nil"/>
          <w:right w:val="nil"/>
          <w:between w:val="nil"/>
        </w:pBdr>
        <w:spacing w:line="360" w:lineRule="auto"/>
        <w:ind w:left="720" w:right="-787"/>
        <w:rPr>
          <w:rFonts w:ascii="Palatino Linotype" w:eastAsia="Palatino Linotype" w:hAnsi="Palatino Linotype" w:cs="Palatino Linotype"/>
          <w:color w:val="000000"/>
          <w:sz w:val="28"/>
          <w:szCs w:val="28"/>
        </w:rPr>
      </w:pPr>
    </w:p>
    <w:p w14:paraId="74B4B8D1" w14:textId="77777777" w:rsidR="00FC58AB" w:rsidRDefault="00382C0E">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 dicha dilación atendiendo a los siguientes criterios:   </w:t>
      </w:r>
    </w:p>
    <w:p w14:paraId="542314FF" w14:textId="77777777" w:rsidR="00FC58AB" w:rsidRDefault="00382C0E">
      <w:pPr>
        <w:numPr>
          <w:ilvl w:val="0"/>
          <w:numId w:val="4"/>
        </w:numPr>
        <w:pBdr>
          <w:top w:val="nil"/>
          <w:left w:val="nil"/>
          <w:bottom w:val="nil"/>
          <w:right w:val="nil"/>
          <w:between w:val="nil"/>
        </w:pBdr>
        <w:spacing w:line="360" w:lineRule="auto"/>
        <w:ind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Complejidad del </w:t>
      </w:r>
      <w:r>
        <w:rPr>
          <w:rFonts w:ascii="Palatino Linotype" w:eastAsia="Palatino Linotype" w:hAnsi="Palatino Linotype" w:cs="Palatino Linotype"/>
          <w:sz w:val="22"/>
          <w:szCs w:val="22"/>
        </w:rPr>
        <w:t>asunto</w:t>
      </w:r>
      <w:r>
        <w:rPr>
          <w:rFonts w:ascii="Palatino Linotype" w:eastAsia="Palatino Linotype" w:hAnsi="Palatino Linotype" w:cs="Palatino Linotype"/>
          <w:color w:val="000000"/>
          <w:sz w:val="22"/>
          <w:szCs w:val="22"/>
        </w:rPr>
        <w:t xml:space="preserve">: La complejidad de la prueba, la pluralidad de sujetos procesales, el tiempo transcurrido, las características y contexto del recurso. </w:t>
      </w:r>
    </w:p>
    <w:p w14:paraId="60E96A34" w14:textId="77777777" w:rsidR="00FC58AB" w:rsidRDefault="00382C0E">
      <w:pPr>
        <w:numPr>
          <w:ilvl w:val="0"/>
          <w:numId w:val="4"/>
        </w:numPr>
        <w:pBdr>
          <w:top w:val="nil"/>
          <w:left w:val="nil"/>
          <w:bottom w:val="nil"/>
          <w:right w:val="nil"/>
          <w:between w:val="nil"/>
        </w:pBdr>
        <w:spacing w:line="360" w:lineRule="auto"/>
        <w:ind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Actividad Procesal del interesado. Acciones u omisiones del interesado.</w:t>
      </w:r>
    </w:p>
    <w:p w14:paraId="759C387C" w14:textId="77777777" w:rsidR="00FC58AB" w:rsidRDefault="00382C0E">
      <w:pPr>
        <w:numPr>
          <w:ilvl w:val="0"/>
          <w:numId w:val="4"/>
        </w:numPr>
        <w:pBdr>
          <w:top w:val="nil"/>
          <w:left w:val="nil"/>
          <w:bottom w:val="nil"/>
          <w:right w:val="nil"/>
          <w:between w:val="nil"/>
        </w:pBdr>
        <w:spacing w:line="360" w:lineRule="auto"/>
        <w:ind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Conducta de la Autoridad: Las Acciones u omisiones realizadas en el procedimiento. Así como si la autoridad actuó con la debida diligencia.</w:t>
      </w:r>
    </w:p>
    <w:p w14:paraId="052FE6F6" w14:textId="77777777" w:rsidR="00FC58AB" w:rsidRDefault="00382C0E">
      <w:pPr>
        <w:spacing w:line="360" w:lineRule="auto"/>
        <w:ind w:left="851" w:right="62" w:hanging="28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19BC0CDD" w14:textId="77777777" w:rsidR="00FC58AB" w:rsidRDefault="00FC58AB">
      <w:pPr>
        <w:spacing w:line="360" w:lineRule="auto"/>
        <w:ind w:left="851" w:right="-787" w:hanging="284"/>
        <w:jc w:val="both"/>
        <w:rPr>
          <w:rFonts w:ascii="Palatino Linotype" w:eastAsia="Palatino Linotype" w:hAnsi="Palatino Linotype" w:cs="Palatino Linotype"/>
          <w:sz w:val="28"/>
          <w:szCs w:val="28"/>
        </w:rPr>
      </w:pPr>
    </w:p>
    <w:p w14:paraId="5E46352D" w14:textId="77777777" w:rsidR="00FC58AB" w:rsidRDefault="00382C0E">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672F6B5" w14:textId="77777777" w:rsidR="00FC58AB" w:rsidRDefault="00FC58AB">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sz w:val="28"/>
          <w:szCs w:val="28"/>
        </w:rPr>
      </w:pPr>
    </w:p>
    <w:p w14:paraId="436F6528" w14:textId="77777777" w:rsidR="00FC58AB" w:rsidRDefault="00382C0E">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Argumento que encuentra sustento en la jurisprudencia P./J. 32/92 emitida por el Pleno de la Suprema Corte de Justicia de la Nación </w:t>
      </w:r>
      <w:r>
        <w:rPr>
          <w:rFonts w:ascii="Palatino Linotype" w:eastAsia="Palatino Linotype" w:hAnsi="Palatino Linotype" w:cs="Palatino Linotype"/>
        </w:rPr>
        <w:t>del rubro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i/>
          <w:color w:val="000000"/>
        </w:rPr>
        <w:t xml:space="preserve">“TÉRMINOS PROCESALES. PARA DETERMINAR SI UN FUNCIONARIO JUDICIAL ACTUÓ </w:t>
      </w:r>
      <w:r>
        <w:rPr>
          <w:rFonts w:ascii="Palatino Linotype" w:eastAsia="Palatino Linotype" w:hAnsi="Palatino Linotype" w:cs="Palatino Linotype"/>
          <w:color w:val="000000"/>
        </w:rPr>
        <w:t>INDEBIDAMENTE</w:t>
      </w:r>
      <w:r>
        <w:rPr>
          <w:rFonts w:ascii="Palatino Linotype" w:eastAsia="Palatino Linotype" w:hAnsi="Palatino Linotype" w:cs="Palatino Linotype"/>
          <w:i/>
          <w:color w:val="000000"/>
        </w:rPr>
        <w:t xml:space="preserve"> POR NO RESPETARLOS SE DEBE ATENDER AL PRESUPUESTO QUE CONSIDERÓ EL LEGISLADOR AL FIJARLOS Y LAS CARACTERÍSTICAS DEL CASO.”</w:t>
      </w:r>
      <w:r>
        <w:rPr>
          <w:rFonts w:ascii="Palatino Linotype" w:eastAsia="Palatino Linotype" w:hAnsi="Palatino Linotype" w:cs="Palatino Linotype"/>
          <w:color w:val="000000"/>
        </w:rPr>
        <w:t xml:space="preserve">, visible en la Gaceta del </w:t>
      </w:r>
      <w:r>
        <w:rPr>
          <w:rFonts w:ascii="Palatino Linotype" w:eastAsia="Palatino Linotype" w:hAnsi="Palatino Linotype" w:cs="Palatino Linotype"/>
        </w:rPr>
        <w:t>Semanario</w:t>
      </w:r>
      <w:r>
        <w:rPr>
          <w:rFonts w:ascii="Palatino Linotype" w:eastAsia="Palatino Linotype" w:hAnsi="Palatino Linotype" w:cs="Palatino Linotype"/>
          <w:color w:val="000000"/>
        </w:rPr>
        <w:t xml:space="preserve"> Judicial de la Federación con el registro digital 205635.</w:t>
      </w:r>
    </w:p>
    <w:p w14:paraId="23887C7C" w14:textId="77777777" w:rsidR="00FC58AB" w:rsidRDefault="00FC58AB">
      <w:pPr>
        <w:spacing w:line="360" w:lineRule="auto"/>
        <w:ind w:right="-787"/>
        <w:jc w:val="both"/>
        <w:rPr>
          <w:rFonts w:ascii="Palatino Linotype" w:eastAsia="Palatino Linotype" w:hAnsi="Palatino Linotype" w:cs="Palatino Linotype"/>
          <w:sz w:val="28"/>
          <w:szCs w:val="28"/>
        </w:rPr>
      </w:pPr>
    </w:p>
    <w:p w14:paraId="461C696D" w14:textId="77777777" w:rsidR="00FC58AB" w:rsidRDefault="00382C0E">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B056645" w14:textId="77777777" w:rsidR="00FC58AB" w:rsidRDefault="00FC58AB">
      <w:pPr>
        <w:pBdr>
          <w:top w:val="nil"/>
          <w:left w:val="nil"/>
          <w:bottom w:val="nil"/>
          <w:right w:val="nil"/>
          <w:between w:val="nil"/>
        </w:pBdr>
        <w:spacing w:line="360" w:lineRule="auto"/>
        <w:ind w:left="720" w:right="-787"/>
        <w:rPr>
          <w:rFonts w:ascii="Palatino Linotype" w:eastAsia="Palatino Linotype" w:hAnsi="Palatino Linotype" w:cs="Palatino Linotype"/>
          <w:color w:val="000000"/>
          <w:sz w:val="28"/>
          <w:szCs w:val="28"/>
        </w:rPr>
      </w:pPr>
    </w:p>
    <w:p w14:paraId="29313F95" w14:textId="77777777" w:rsidR="00FC58AB" w:rsidRDefault="00382C0E">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ello, este organismo garante comprometido con la tutela de los derechos humanos confiados, señala que este exceso del plazo legal para resolver el presente asunto, resulta de carácter excepcional.</w:t>
      </w:r>
    </w:p>
    <w:p w14:paraId="6160FACA" w14:textId="77777777" w:rsidR="00FC58AB" w:rsidRDefault="00FC58AB">
      <w:pPr>
        <w:spacing w:line="360" w:lineRule="auto"/>
        <w:ind w:right="-787"/>
        <w:jc w:val="both"/>
        <w:rPr>
          <w:rFonts w:ascii="Palatino Linotype" w:eastAsia="Palatino Linotype" w:hAnsi="Palatino Linotype" w:cs="Palatino Linotype"/>
          <w:sz w:val="28"/>
          <w:szCs w:val="28"/>
        </w:rPr>
      </w:pPr>
    </w:p>
    <w:p w14:paraId="6081F20B" w14:textId="77777777" w:rsidR="00FC58AB" w:rsidRDefault="00382C0E">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14:paraId="742F87F4" w14:textId="77777777" w:rsidR="00FC58AB" w:rsidRDefault="00382C0E">
      <w:pPr>
        <w:spacing w:line="360" w:lineRule="auto"/>
        <w:ind w:left="425" w:right="62"/>
        <w:jc w:val="both"/>
        <w:rPr>
          <w:rFonts w:ascii="Palatino Linotype" w:eastAsia="Palatino Linotype" w:hAnsi="Palatino Linotype" w:cs="Palatino Linotype"/>
          <w:sz w:val="22"/>
          <w:szCs w:val="22"/>
        </w:rPr>
      </w:pPr>
      <w:r>
        <w:rPr>
          <w:rFonts w:ascii="Palatino Linotype" w:eastAsia="Palatino Linotype" w:hAnsi="Palatino Linotype" w:cs="Palatino Linotype"/>
        </w:rPr>
        <w:t xml:space="preserve"> </w:t>
      </w:r>
      <w:r>
        <w:rPr>
          <w:rFonts w:ascii="Palatino Linotype" w:eastAsia="Palatino Linotype" w:hAnsi="Palatino Linotype" w:cs="Palatino Linotype"/>
          <w:i/>
          <w:sz w:val="22"/>
          <w:szCs w:val="22"/>
        </w:rPr>
        <w:t>“PLAZO RAZONABLE PARA RESOLVER. DIMENSIÓN Y EFECTOS DE ESTE CONCEPTO CUANDO SE ADUCE EXCESIVA CARGA DE TRABAJO.”</w:t>
      </w:r>
      <w:r>
        <w:rPr>
          <w:rFonts w:ascii="Palatino Linotype" w:eastAsia="Palatino Linotype" w:hAnsi="Palatino Linotype" w:cs="Palatino Linotype"/>
          <w:sz w:val="22"/>
          <w:szCs w:val="22"/>
        </w:rPr>
        <w:t xml:space="preserve"> consultable en el Semanario Judicial de la Federación y su gaceta, con el registro digital 2002351.</w:t>
      </w:r>
    </w:p>
    <w:p w14:paraId="5E7F946C" w14:textId="77777777" w:rsidR="00FC58AB" w:rsidRDefault="00FC58AB">
      <w:pPr>
        <w:spacing w:line="360" w:lineRule="auto"/>
        <w:ind w:left="425" w:right="62"/>
        <w:jc w:val="both"/>
        <w:rPr>
          <w:rFonts w:ascii="Palatino Linotype" w:eastAsia="Palatino Linotype" w:hAnsi="Palatino Linotype" w:cs="Palatino Linotype"/>
          <w:b/>
          <w:sz w:val="22"/>
          <w:szCs w:val="22"/>
        </w:rPr>
      </w:pPr>
    </w:p>
    <w:p w14:paraId="5F6DEBF1" w14:textId="77777777" w:rsidR="00FC58AB" w:rsidRDefault="00382C0E">
      <w:pPr>
        <w:spacing w:line="360" w:lineRule="auto"/>
        <w:ind w:left="425" w:right="62"/>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Pr>
          <w:rFonts w:ascii="Palatino Linotype" w:eastAsia="Palatino Linotype" w:hAnsi="Palatino Linotype" w:cs="Palatino Linotype"/>
          <w:sz w:val="22"/>
          <w:szCs w:val="22"/>
        </w:rPr>
        <w:t>, visible en el Semanario Judicial de la Federación y su gaceta, con el registro digital 2002350.”</w:t>
      </w:r>
    </w:p>
    <w:p w14:paraId="17016E4B" w14:textId="77777777" w:rsidR="00FC58AB" w:rsidRDefault="00FC58AB">
      <w:pPr>
        <w:pBdr>
          <w:top w:val="nil"/>
          <w:left w:val="nil"/>
          <w:bottom w:val="nil"/>
          <w:right w:val="nil"/>
          <w:between w:val="nil"/>
        </w:pBdr>
        <w:ind w:left="708" w:right="-787"/>
        <w:rPr>
          <w:rFonts w:ascii="Palatino Linotype" w:eastAsia="Palatino Linotype" w:hAnsi="Palatino Linotype" w:cs="Palatino Linotype"/>
          <w:color w:val="000000"/>
        </w:rPr>
      </w:pPr>
    </w:p>
    <w:p w14:paraId="2CF102BF" w14:textId="77777777" w:rsidR="00FC58AB" w:rsidRDefault="00382C0E">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bookmarkStart w:id="2" w:name="_heading=h.1fob9te" w:colFirst="0" w:colLast="0"/>
      <w:bookmarkEnd w:id="2"/>
      <w:r>
        <w:rPr>
          <w:rFonts w:ascii="Palatino Linotype" w:eastAsia="Palatino Linotype" w:hAnsi="Palatino Linotype" w:cs="Palatino Linotype"/>
          <w:color w:val="000000"/>
        </w:rPr>
        <w:t>Finalmente, la Comisionada Ponente mediante acuerdo de fecha</w:t>
      </w:r>
      <w:r>
        <w:rPr>
          <w:rFonts w:ascii="Palatino Linotype" w:eastAsia="Palatino Linotype" w:hAnsi="Palatino Linotype" w:cs="Palatino Linotype"/>
          <w:b/>
          <w:color w:val="000000"/>
        </w:rPr>
        <w:t xml:space="preserve"> cinco de noviembre de dos mil veinticuatro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decretó</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cierre de instrucción</w:t>
      </w:r>
      <w:r>
        <w:rPr>
          <w:rFonts w:ascii="Palatino Linotype" w:eastAsia="Palatino Linotype" w:hAnsi="Palatino Linotype" w:cs="Palatino Linotype"/>
          <w:color w:val="000000"/>
        </w:rPr>
        <w:t xml:space="preserve"> de los expedientes, por lo que no habiendo más que hacer constar, y -------------------------------------------------------</w:t>
      </w:r>
    </w:p>
    <w:p w14:paraId="35032883" w14:textId="77777777" w:rsidR="00FC58AB" w:rsidRDefault="00FC58AB">
      <w:pPr>
        <w:pBdr>
          <w:top w:val="nil"/>
          <w:left w:val="nil"/>
          <w:bottom w:val="nil"/>
          <w:right w:val="nil"/>
          <w:between w:val="nil"/>
        </w:pBdr>
        <w:spacing w:line="360" w:lineRule="auto"/>
        <w:ind w:right="-787"/>
        <w:jc w:val="both"/>
        <w:rPr>
          <w:rFonts w:ascii="Palatino Linotype" w:eastAsia="Palatino Linotype" w:hAnsi="Palatino Linotype" w:cs="Palatino Linotype"/>
        </w:rPr>
      </w:pPr>
      <w:bookmarkStart w:id="3" w:name="_heading=h.9fx6c5rblpb3" w:colFirst="0" w:colLast="0"/>
      <w:bookmarkEnd w:id="3"/>
    </w:p>
    <w:p w14:paraId="5535FC3C" w14:textId="77777777" w:rsidR="00FC58AB" w:rsidRDefault="00FC58AB">
      <w:pPr>
        <w:spacing w:line="360" w:lineRule="auto"/>
        <w:ind w:right="-787"/>
        <w:rPr>
          <w:rFonts w:ascii="Palatino Linotype" w:eastAsia="Palatino Linotype" w:hAnsi="Palatino Linotype" w:cs="Palatino Linotype"/>
          <w:b/>
          <w:color w:val="000000"/>
        </w:rPr>
      </w:pPr>
    </w:p>
    <w:p w14:paraId="131A710D" w14:textId="77777777" w:rsidR="00FC58AB" w:rsidRDefault="00382C0E">
      <w:pPr>
        <w:pBdr>
          <w:top w:val="nil"/>
          <w:left w:val="nil"/>
          <w:bottom w:val="nil"/>
          <w:right w:val="nil"/>
          <w:between w:val="nil"/>
        </w:pBdr>
        <w:spacing w:line="360" w:lineRule="auto"/>
        <w:ind w:right="-78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N D O</w:t>
      </w:r>
    </w:p>
    <w:p w14:paraId="786FBEBC" w14:textId="77777777" w:rsidR="00FC58AB" w:rsidRDefault="00FC58AB">
      <w:pPr>
        <w:pBdr>
          <w:top w:val="nil"/>
          <w:left w:val="nil"/>
          <w:bottom w:val="nil"/>
          <w:right w:val="nil"/>
          <w:between w:val="nil"/>
        </w:pBdr>
        <w:spacing w:line="360" w:lineRule="auto"/>
        <w:ind w:right="-787"/>
        <w:jc w:val="center"/>
        <w:rPr>
          <w:rFonts w:ascii="Palatino Linotype" w:eastAsia="Palatino Linotype" w:hAnsi="Palatino Linotype" w:cs="Palatino Linotype"/>
          <w:b/>
        </w:rPr>
      </w:pPr>
    </w:p>
    <w:p w14:paraId="71F52948" w14:textId="77777777" w:rsidR="00FC58AB" w:rsidRDefault="00382C0E">
      <w:pPr>
        <w:pStyle w:val="Ttulo2"/>
        <w:spacing w:before="0" w:line="360" w:lineRule="auto"/>
        <w:ind w:right="-787"/>
        <w:rPr>
          <w:rFonts w:ascii="Palatino Linotype" w:eastAsia="Palatino Linotype" w:hAnsi="Palatino Linotype" w:cs="Palatino Linotype"/>
          <w:b/>
          <w:color w:val="000000"/>
          <w:sz w:val="24"/>
          <w:szCs w:val="24"/>
        </w:rPr>
      </w:pPr>
      <w:bookmarkStart w:id="4" w:name="_heading=h.3znysh7" w:colFirst="0" w:colLast="0"/>
      <w:bookmarkEnd w:id="4"/>
      <w:r>
        <w:rPr>
          <w:rFonts w:ascii="Palatino Linotype" w:eastAsia="Palatino Linotype" w:hAnsi="Palatino Linotype" w:cs="Palatino Linotype"/>
          <w:b/>
          <w:color w:val="000000"/>
          <w:sz w:val="24"/>
          <w:szCs w:val="24"/>
        </w:rPr>
        <w:lastRenderedPageBreak/>
        <w:t>PRIMERO. De la competencia</w:t>
      </w:r>
    </w:p>
    <w:p w14:paraId="653D9A14" w14:textId="77777777" w:rsidR="00FC58AB" w:rsidRDefault="00382C0E">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074CD2E7" w14:textId="77777777" w:rsidR="00FC58AB" w:rsidRDefault="00FC58AB">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b/>
          <w:color w:val="000000"/>
        </w:rPr>
      </w:pPr>
      <w:bookmarkStart w:id="5" w:name="_heading=h.2et92p0" w:colFirst="0" w:colLast="0"/>
      <w:bookmarkEnd w:id="5"/>
    </w:p>
    <w:p w14:paraId="29438F08" w14:textId="77777777" w:rsidR="00FC58AB" w:rsidRDefault="00382C0E">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b/>
          <w:color w:val="000000"/>
        </w:rPr>
      </w:pPr>
      <w:bookmarkStart w:id="6" w:name="_heading=h.tyjcwt" w:colFirst="0" w:colLast="0"/>
      <w:bookmarkEnd w:id="6"/>
      <w:r>
        <w:rPr>
          <w:rFonts w:ascii="Palatino Linotype" w:eastAsia="Palatino Linotype" w:hAnsi="Palatino Linotype" w:cs="Palatino Linotype"/>
          <w:b/>
          <w:color w:val="000000"/>
        </w:rPr>
        <w:t>SEGUNDO. De la oportunidad y procedencia.</w:t>
      </w:r>
    </w:p>
    <w:p w14:paraId="1FD2F8B4" w14:textId="77777777" w:rsidR="00FC58AB" w:rsidRDefault="00382C0E">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bookmarkStart w:id="7" w:name="_heading=h.3dy6vkm" w:colFirst="0" w:colLast="0"/>
      <w:bookmarkEnd w:id="7"/>
      <w:r>
        <w:rPr>
          <w:rFonts w:ascii="Palatino Linotype" w:eastAsia="Palatino Linotype" w:hAnsi="Palatino Linotype" w:cs="Palatino Linotype"/>
          <w:color w:val="000000"/>
        </w:rPr>
        <w:t xml:space="preserve">Los medios de impugnación fueron presentados a través del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entregó sus respuestas el </w:t>
      </w:r>
      <w:r>
        <w:rPr>
          <w:rFonts w:ascii="Palatino Linotype" w:eastAsia="Palatino Linotype" w:hAnsi="Palatino Linotype" w:cs="Palatino Linotype"/>
          <w:b/>
          <w:color w:val="000000"/>
        </w:rPr>
        <w:t>veintidós de marzo de dos mil veinticuatro</w:t>
      </w:r>
      <w:r>
        <w:rPr>
          <w:rFonts w:ascii="Palatino Linotype" w:eastAsia="Palatino Linotype" w:hAnsi="Palatino Linotype" w:cs="Palatino Linotype"/>
          <w:color w:val="000000"/>
        </w:rPr>
        <w:t xml:space="preserve">, de tal forma que el plazo para interponer el recurso de revisión transcurrió del día del </w:t>
      </w:r>
      <w:r>
        <w:rPr>
          <w:rFonts w:ascii="Palatino Linotype" w:eastAsia="Palatino Linotype" w:hAnsi="Palatino Linotype" w:cs="Palatino Linotype"/>
          <w:b/>
          <w:color w:val="000000"/>
        </w:rPr>
        <w:t>uno al diecinueve de abril de dos mil veinticuatro</w:t>
      </w:r>
      <w:r>
        <w:rPr>
          <w:rFonts w:ascii="Palatino Linotype" w:eastAsia="Palatino Linotype" w:hAnsi="Palatino Linotype" w:cs="Palatino Linotype"/>
          <w:color w:val="000000"/>
        </w:rPr>
        <w:t xml:space="preserve">; en consecuencia, el ahora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presentó sus inconformidades  veintitrés a abril , sin embargo el sistema lo </w:t>
      </w:r>
      <w:r>
        <w:rPr>
          <w:rFonts w:ascii="Palatino Linotype" w:eastAsia="Palatino Linotype" w:hAnsi="Palatino Linotype" w:cs="Palatino Linotype"/>
        </w:rPr>
        <w:t>tomó</w:t>
      </w:r>
      <w:r>
        <w:rPr>
          <w:rFonts w:ascii="Palatino Linotype" w:eastAsia="Palatino Linotype" w:hAnsi="Palatino Linotype" w:cs="Palatino Linotype"/>
          <w:color w:val="000000"/>
        </w:rPr>
        <w:t xml:space="preserve"> el día </w:t>
      </w:r>
      <w:r>
        <w:rPr>
          <w:rFonts w:ascii="Palatino Linotype" w:eastAsia="Palatino Linotype" w:hAnsi="Palatino Linotype" w:cs="Palatino Linotype"/>
          <w:b/>
          <w:color w:val="000000"/>
        </w:rPr>
        <w:t xml:space="preserve">uno de abril de dos mil veinticuatro </w:t>
      </w:r>
      <w:r>
        <w:rPr>
          <w:rFonts w:ascii="Palatino Linotype" w:eastAsia="Palatino Linotype" w:hAnsi="Palatino Linotype" w:cs="Palatino Linotype"/>
          <w:color w:val="000000"/>
        </w:rPr>
        <w:t>por la suspensión de actividades; es decir dentro del lapso legalmente establecido para tal efecto.</w:t>
      </w:r>
    </w:p>
    <w:p w14:paraId="7B9BE036" w14:textId="77777777" w:rsidR="00FC58AB" w:rsidRDefault="00FC58AB">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25F57B1E" w14:textId="77777777" w:rsidR="00FC58AB" w:rsidRDefault="00382C0E">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Por otro lado, es de suma importancia señalar que la parte recurrente no proporciona un nombre completo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580FF58" w14:textId="77777777" w:rsidR="00FC58AB" w:rsidRDefault="00382C0E">
      <w:pPr>
        <w:pBdr>
          <w:top w:val="nil"/>
          <w:left w:val="nil"/>
          <w:bottom w:val="nil"/>
          <w:right w:val="nil"/>
          <w:between w:val="nil"/>
        </w:pBdr>
        <w:ind w:left="1134" w:right="20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Las solicitudes anónimas</w:t>
      </w:r>
      <w:r>
        <w:rPr>
          <w:rFonts w:ascii="Palatino Linotype" w:eastAsia="Palatino Linotype" w:hAnsi="Palatino Linotype" w:cs="Palatino Linotype"/>
          <w:i/>
          <w:color w:val="000000"/>
          <w:sz w:val="22"/>
          <w:szCs w:val="22"/>
        </w:rPr>
        <w:t xml:space="preserve">, con nombre incompleto o seudónimo </w:t>
      </w:r>
      <w:r>
        <w:rPr>
          <w:rFonts w:ascii="Palatino Linotype" w:eastAsia="Palatino Linotype" w:hAnsi="Palatino Linotype" w:cs="Palatino Linotype"/>
          <w:b/>
          <w:i/>
          <w:color w:val="000000"/>
          <w:sz w:val="22"/>
          <w:szCs w:val="22"/>
        </w:rPr>
        <w:t>serán procedentes para su trámite por parte del sujeto obligado ante quien se presente</w:t>
      </w:r>
      <w:r>
        <w:rPr>
          <w:rFonts w:ascii="Palatino Linotype" w:eastAsia="Palatino Linotype" w:hAnsi="Palatino Linotype" w:cs="Palatino Linotype"/>
          <w:i/>
          <w:color w:val="000000"/>
          <w:sz w:val="22"/>
          <w:szCs w:val="22"/>
        </w:rPr>
        <w:t>. No podrá requerirse información adicional con motivo del nombre proporcionado por el solicitante.”</w:t>
      </w:r>
    </w:p>
    <w:p w14:paraId="50D0BDD1" w14:textId="77777777" w:rsidR="00FC58AB" w:rsidRDefault="00FC58AB">
      <w:pPr>
        <w:pBdr>
          <w:top w:val="nil"/>
          <w:left w:val="nil"/>
          <w:bottom w:val="nil"/>
          <w:right w:val="nil"/>
          <w:between w:val="nil"/>
        </w:pBdr>
        <w:ind w:right="-787"/>
        <w:rPr>
          <w:rFonts w:ascii="Palatino Linotype" w:eastAsia="Palatino Linotype" w:hAnsi="Palatino Linotype" w:cs="Palatino Linotype"/>
          <w:i/>
          <w:color w:val="000000"/>
        </w:rPr>
      </w:pPr>
    </w:p>
    <w:p w14:paraId="730ED583" w14:textId="77777777" w:rsidR="00FC58AB" w:rsidRDefault="00382C0E">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Robusteciendo lo anterior se encuentra lo dispuesto en el artículo 6, Apartado A, fracciones III de la Constitución Política de los Estados Unidos Mexicanos que establece:</w:t>
      </w:r>
    </w:p>
    <w:p w14:paraId="1B21F396"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6.-</w:t>
      </w:r>
      <w:r>
        <w:rPr>
          <w:rFonts w:ascii="Palatino Linotype" w:eastAsia="Palatino Linotype" w:hAnsi="Palatino Linotype" w:cs="Palatino Linotype"/>
          <w:i/>
          <w:color w:val="000000"/>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08A71AD" w14:textId="77777777" w:rsidR="00FC58AB" w:rsidRDefault="00382C0E">
      <w:pPr>
        <w:pBdr>
          <w:top w:val="nil"/>
          <w:left w:val="nil"/>
          <w:bottom w:val="nil"/>
          <w:right w:val="nil"/>
          <w:between w:val="nil"/>
        </w:pBdr>
        <w:spacing w:after="120"/>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Para efectos de lo dispuesto en el presente artículo se observará lo siguiente:</w:t>
      </w:r>
    </w:p>
    <w:p w14:paraId="5A37A574"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 Para el ejercicio del derecho de acceso a la información, la Federación, los Estados y el Distrito Federal, en el ámbito de sus respectivas competencias, se regirán por los siguientes principios y bases:</w:t>
      </w:r>
    </w:p>
    <w:p w14:paraId="23D34868"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III. Toda persona, sin necesidad de acreditar interés alguno o justificar su utilización, tendrá acceso gratuito a la información pública, a sus datos personales o a la rectificación de éstos.”(Sic)</w:t>
      </w:r>
    </w:p>
    <w:p w14:paraId="7B8D86FC" w14:textId="77777777" w:rsidR="00FC58AB" w:rsidRDefault="00FC58AB">
      <w:pPr>
        <w:pBdr>
          <w:top w:val="nil"/>
          <w:left w:val="nil"/>
          <w:bottom w:val="nil"/>
          <w:right w:val="nil"/>
          <w:between w:val="nil"/>
        </w:pBdr>
        <w:ind w:left="360" w:right="-787" w:hanging="76"/>
        <w:rPr>
          <w:rFonts w:ascii="Palatino Linotype" w:eastAsia="Palatino Linotype" w:hAnsi="Palatino Linotype" w:cs="Palatino Linotype"/>
          <w:i/>
          <w:color w:val="000000"/>
        </w:rPr>
      </w:pPr>
    </w:p>
    <w:p w14:paraId="7F805D24" w14:textId="77777777" w:rsidR="00FC58AB" w:rsidRDefault="00382C0E">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como el artículo 5 fracción III, párrafo vigésimo noveno, trigésimo y trigésimo primero, de la Constitución Política del Estado Libre y Soberano de México, que determina lo siguiente:</w:t>
      </w:r>
    </w:p>
    <w:p w14:paraId="7A8227FC"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w:t>
      </w:r>
      <w:r>
        <w:rPr>
          <w:rFonts w:ascii="Palatino Linotype" w:eastAsia="Palatino Linotype" w:hAnsi="Palatino Linotype" w:cs="Palatino Linotype"/>
          <w:b/>
          <w:i/>
          <w:color w:val="000000"/>
          <w:sz w:val="22"/>
          <w:szCs w:val="22"/>
        </w:rPr>
        <w:t>Artículo 5.-</w:t>
      </w:r>
      <w:r>
        <w:rPr>
          <w:rFonts w:ascii="Palatino Linotype" w:eastAsia="Palatino Linotype" w:hAnsi="Palatino Linotype" w:cs="Palatino Linotype"/>
          <w:i/>
          <w:color w:val="000000"/>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6E44DCC4" w14:textId="77777777" w:rsidR="00FC58AB" w:rsidRDefault="00382C0E">
      <w:pPr>
        <w:ind w:left="1134"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2D62C88"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Toda persona en el Estado de México, tiene derecho al libre acceso a la información plural y oportuna, así como a buscar recibir y difundir información e ideas de toda índole por cualquier medio de expresión.</w:t>
      </w:r>
    </w:p>
    <w:p w14:paraId="4D775BCF" w14:textId="77777777" w:rsidR="00FC58AB" w:rsidRDefault="00382C0E">
      <w:pPr>
        <w:ind w:left="1134"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709FE72"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El derecho a la información será garantizado por el Estado. La ley establecerá las previsiones que permitan asegurar la protección, el respeto y la difusión de este derecho.</w:t>
      </w:r>
    </w:p>
    <w:p w14:paraId="55734AFB" w14:textId="77777777" w:rsidR="00FC58AB" w:rsidRDefault="00FC58AB">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p>
    <w:p w14:paraId="43106ADB"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7E02E12"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III. Toda persona, sin necesidad de acreditar interés alguno o justificar su utilización, tendrá acceso gratuito a la información pública, a sus datos personales o a la rectificación de éstos;</w:t>
      </w:r>
    </w:p>
    <w:p w14:paraId="1E545291" w14:textId="77777777" w:rsidR="00FC58AB" w:rsidRDefault="00382C0E">
      <w:pPr>
        <w:ind w:left="1134"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3F038FA"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14:paraId="51C6A06B" w14:textId="77777777" w:rsidR="00FC58AB" w:rsidRDefault="00FC58AB">
      <w:pPr>
        <w:pBdr>
          <w:top w:val="nil"/>
          <w:left w:val="nil"/>
          <w:bottom w:val="nil"/>
          <w:right w:val="nil"/>
          <w:between w:val="nil"/>
        </w:pBdr>
        <w:ind w:left="360" w:right="-787" w:hanging="76"/>
        <w:rPr>
          <w:rFonts w:ascii="Palatino Linotype" w:eastAsia="Palatino Linotype" w:hAnsi="Palatino Linotype" w:cs="Palatino Linotype"/>
          <w:i/>
          <w:color w:val="000000"/>
        </w:rPr>
      </w:pPr>
    </w:p>
    <w:p w14:paraId="4C04FB4B" w14:textId="77777777" w:rsidR="00FC58AB" w:rsidRDefault="00382C0E">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otra parte, del contenido del artículo 1 de la Constitución Política de los Estados Unidos mexicanos, se destaca lo siguiente:</w:t>
      </w:r>
    </w:p>
    <w:p w14:paraId="76293E97"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w:t>
      </w:r>
      <w:r>
        <w:rPr>
          <w:rFonts w:ascii="Palatino Linotype" w:eastAsia="Palatino Linotype" w:hAnsi="Palatino Linotype" w:cs="Palatino Linotype"/>
          <w:i/>
          <w:color w:val="000000"/>
          <w:sz w:val="22"/>
          <w:szCs w:val="22"/>
        </w:rPr>
        <w:t xml:space="preserve">. En los Estados Unidos Mexicanos todas las personas gozarán de los derechos humanos reconocidos en esta Constitución y en los tratados  internacionales de los que el Estado Mexicano sea parte, así como de las garantías para su protección, </w:t>
      </w:r>
      <w:r>
        <w:rPr>
          <w:rFonts w:ascii="Palatino Linotype" w:eastAsia="Palatino Linotype" w:hAnsi="Palatino Linotype" w:cs="Palatino Linotype"/>
          <w:i/>
          <w:color w:val="000000"/>
          <w:sz w:val="22"/>
          <w:szCs w:val="22"/>
        </w:rPr>
        <w:lastRenderedPageBreak/>
        <w:t>cuyo ejercicio no podrá restringirse ni suspenderse, salvo en los casos y bajo las condiciones que esta Constitución establece.</w:t>
      </w:r>
    </w:p>
    <w:p w14:paraId="27531899"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14:paraId="39E3753B"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6615357E" w14:textId="77777777" w:rsidR="00FC58AB" w:rsidRDefault="00FC58AB">
      <w:pPr>
        <w:pBdr>
          <w:top w:val="nil"/>
          <w:left w:val="nil"/>
          <w:bottom w:val="nil"/>
          <w:right w:val="nil"/>
          <w:between w:val="nil"/>
        </w:pBdr>
        <w:ind w:left="360" w:right="-787" w:firstLine="66"/>
        <w:rPr>
          <w:rFonts w:ascii="Palatino Linotype" w:eastAsia="Palatino Linotype" w:hAnsi="Palatino Linotype" w:cs="Palatino Linotype"/>
          <w:i/>
          <w:color w:val="000000"/>
          <w:sz w:val="22"/>
          <w:szCs w:val="22"/>
        </w:rPr>
      </w:pPr>
    </w:p>
    <w:p w14:paraId="56B2138A" w14:textId="77777777" w:rsidR="00FC58AB" w:rsidRDefault="00382C0E">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Esto es, que el derecho humano de acceso a la información pública, se aprecia que toda persona, sin necesidad de acreditar interés alguno o justificar su interposición, deberá tener acceso a la información pública, es decir, dicho </w:t>
      </w:r>
      <w:r>
        <w:rPr>
          <w:rFonts w:ascii="Palatino Linotype" w:eastAsia="Palatino Linotype" w:hAnsi="Palatino Linotype" w:cs="Palatino Linotype"/>
          <w:i/>
          <w:color w:val="000000"/>
        </w:rPr>
        <w:t>derecho fundamental exime a quien lo ejerce</w:t>
      </w:r>
      <w:r>
        <w:rPr>
          <w:rFonts w:ascii="Palatino Linotype" w:eastAsia="Palatino Linotype" w:hAnsi="Palatino Linotype" w:cs="Palatino Linotype"/>
          <w:color w:val="000000"/>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08A47D23" w14:textId="77777777" w:rsidR="00FC58AB" w:rsidRDefault="00FC58AB">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29615FB0" w14:textId="77777777" w:rsidR="00FC58AB" w:rsidRDefault="00382C0E">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14:paraId="17A0B0B7" w14:textId="77777777" w:rsidR="00FC58AB" w:rsidRDefault="00FC58AB">
      <w:pPr>
        <w:spacing w:line="360" w:lineRule="auto"/>
        <w:ind w:right="-787"/>
        <w:jc w:val="both"/>
        <w:rPr>
          <w:rFonts w:ascii="Palatino Linotype" w:eastAsia="Palatino Linotype" w:hAnsi="Palatino Linotype" w:cs="Palatino Linotype"/>
        </w:rPr>
      </w:pPr>
    </w:p>
    <w:p w14:paraId="0AA824CA"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“Acceso a información gubernamental. No debe condicionarse a que el solicitante acredite su personalidad, demuestre interés alguno o justifique su utilización. De conformidad con lo dispuesto en los artículos 6º.,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w:t>
      </w:r>
      <w:r>
        <w:rPr>
          <w:rFonts w:ascii="Palatino Linotype" w:eastAsia="Palatino Linotype" w:hAnsi="Palatino Linotype" w:cs="Palatino Linotype"/>
          <w:i/>
          <w:color w:val="000000"/>
          <w:sz w:val="22"/>
          <w:szCs w:val="22"/>
        </w:rPr>
        <w:lastRenderedPageBreak/>
        <w:t>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14:paraId="6F9817B8" w14:textId="77777777" w:rsidR="00FC58AB" w:rsidRDefault="00FC58AB">
      <w:pPr>
        <w:pBdr>
          <w:top w:val="nil"/>
          <w:left w:val="nil"/>
          <w:bottom w:val="nil"/>
          <w:right w:val="nil"/>
          <w:between w:val="nil"/>
        </w:pBdr>
        <w:ind w:left="360" w:right="-787" w:hanging="76"/>
        <w:jc w:val="both"/>
        <w:rPr>
          <w:rFonts w:ascii="Palatino Linotype" w:eastAsia="Palatino Linotype" w:hAnsi="Palatino Linotype" w:cs="Palatino Linotype"/>
          <w:i/>
          <w:color w:val="000000"/>
        </w:rPr>
      </w:pPr>
    </w:p>
    <w:p w14:paraId="38D2F2D8" w14:textId="77777777" w:rsidR="00FC58AB" w:rsidRDefault="00382C0E">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FBB0BD5" w14:textId="77777777" w:rsidR="00FC58AB" w:rsidRDefault="00FC58AB">
      <w:pPr>
        <w:spacing w:line="360" w:lineRule="auto"/>
        <w:ind w:right="-787"/>
        <w:rPr>
          <w:rFonts w:ascii="Palatino Linotype" w:eastAsia="Palatino Linotype" w:hAnsi="Palatino Linotype" w:cs="Palatino Linotype"/>
        </w:rPr>
      </w:pPr>
    </w:p>
    <w:p w14:paraId="15C1A92C" w14:textId="77777777" w:rsidR="00FC58AB" w:rsidRDefault="00382C0E">
      <w:pPr>
        <w:pStyle w:val="Ttulo1"/>
        <w:spacing w:before="0" w:line="360" w:lineRule="auto"/>
        <w:ind w:right="-787"/>
        <w:rPr>
          <w:rFonts w:ascii="Palatino Linotype" w:eastAsia="Palatino Linotype" w:hAnsi="Palatino Linotype" w:cs="Palatino Linotype"/>
          <w:b/>
          <w:color w:val="000000"/>
          <w:sz w:val="24"/>
          <w:szCs w:val="24"/>
        </w:rPr>
      </w:pPr>
      <w:bookmarkStart w:id="8" w:name="_heading=h.1t3h5sf" w:colFirst="0" w:colLast="0"/>
      <w:bookmarkEnd w:id="8"/>
      <w:r>
        <w:rPr>
          <w:rFonts w:ascii="Palatino Linotype" w:eastAsia="Palatino Linotype" w:hAnsi="Palatino Linotype" w:cs="Palatino Linotype"/>
          <w:b/>
          <w:color w:val="000000"/>
          <w:sz w:val="24"/>
          <w:szCs w:val="24"/>
        </w:rPr>
        <w:t xml:space="preserve">TERCERO. Del planteamiento de la </w:t>
      </w:r>
      <w:r>
        <w:rPr>
          <w:rFonts w:ascii="Palatino Linotype" w:eastAsia="Palatino Linotype" w:hAnsi="Palatino Linotype" w:cs="Palatino Linotype"/>
          <w:b/>
          <w:i/>
          <w:color w:val="000000"/>
          <w:sz w:val="24"/>
          <w:szCs w:val="24"/>
        </w:rPr>
        <w:t>Litis</w:t>
      </w:r>
      <w:r>
        <w:rPr>
          <w:rFonts w:ascii="Palatino Linotype" w:eastAsia="Palatino Linotype" w:hAnsi="Palatino Linotype" w:cs="Palatino Linotype"/>
          <w:b/>
          <w:color w:val="000000"/>
          <w:sz w:val="24"/>
          <w:szCs w:val="24"/>
        </w:rPr>
        <w:t>.</w:t>
      </w:r>
    </w:p>
    <w:p w14:paraId="4183B8B4" w14:textId="77777777" w:rsidR="00FC58AB" w:rsidRDefault="00382C0E">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De las constancias en el expediente al rubro indicado, se desprende que la particular solicitó la información que a continuación se desagrega:</w:t>
      </w:r>
    </w:p>
    <w:p w14:paraId="7551A24F"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Del Ayuntamiento de Tlalnepantla de Baz del ejercicio fiscal dos mil veintidós, de los temas de concluir y pagar</w:t>
      </w:r>
    </w:p>
    <w:p w14:paraId="57CCB77E"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Solicitud 00218/TLALNEPA/IP/2024: </w:t>
      </w:r>
    </w:p>
    <w:p w14:paraId="63A85448" w14:textId="77777777" w:rsidR="00FC58AB" w:rsidRDefault="00FC58AB">
      <w:pPr>
        <w:pBdr>
          <w:top w:val="nil"/>
          <w:left w:val="nil"/>
          <w:bottom w:val="nil"/>
          <w:right w:val="nil"/>
          <w:between w:val="nil"/>
        </w:pBdr>
        <w:ind w:left="1134" w:right="62"/>
        <w:jc w:val="both"/>
        <w:rPr>
          <w:rFonts w:ascii="Palatino Linotype" w:eastAsia="Palatino Linotype" w:hAnsi="Palatino Linotype" w:cs="Palatino Linotype"/>
          <w:b/>
          <w:i/>
          <w:color w:val="000000"/>
          <w:sz w:val="22"/>
          <w:szCs w:val="22"/>
        </w:rPr>
      </w:pPr>
    </w:p>
    <w:p w14:paraId="4BB6437E"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Procedimiento de adjudicación directa, contratos y facturas</w:t>
      </w:r>
    </w:p>
    <w:p w14:paraId="2A4823D9"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construcción de pavimentación con concreto hidráulico de la calle Río Pánuco de calle 9 a límite de calle, Col. Ex Ejidos de Tepeolulco, en el municipio de Tlalnepantla de Baz, Estado de México </w:t>
      </w:r>
    </w:p>
    <w:p w14:paraId="2C9404F7"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construcción de pavimentación con concreto hidráulico de la calle puerto Acapulco de calle puerto Topolobampo a límite de la calle, Col. Ex Ejidos de Tepeolulco, en el municipio de Tlalnepantla de Baz, Estado de México. </w:t>
      </w:r>
    </w:p>
    <w:p w14:paraId="458F35FF"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construcción de pavimentación con concreto hidráulico de la calle Loma Sur de calle puerto Topolobampo a límite de la calle, Col. Ex Ejidos de Tepeolulco, en el municipio de Tlalnepantla de Baz, Estado de México. </w:t>
      </w:r>
    </w:p>
    <w:p w14:paraId="22174F4E"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construcción de pavimentación con concreto hidráulico de la calle Miguel Alemán de Lerdo de Tejada a Av. del Ferrocarril, Col. Marina Nacional en el municipio de Tlalnepantla de Baz, Estado de México </w:t>
      </w:r>
    </w:p>
    <w:p w14:paraId="734A2ABD"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La construcción de pavimentación con concreto hidráulico de la calle Aguascalientes de Av. del trabajo a Zacatecas, Col. Lomas de San Andrés Atenco, en el municipio de Tlalnepantla de Baz, Estado de México. </w:t>
      </w:r>
    </w:p>
    <w:p w14:paraId="7F5698D5"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construcción de pavimentación con concreto hidráulico de la calle Reyna Xóchitl de Tenoch a Av. Alfredo del Mazo, Col. Tenayo centro, en el municipio de Tlalnepantla de Baz, Estado de México. </w:t>
      </w:r>
    </w:p>
    <w:p w14:paraId="38320D1B"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construcción de pavimentación con concreto hidráulico de la Av. Adolfo López Mateos de la Av. de Los Parajes a Avenida Hidalgo, Col. La Blanca, en el municipio de Tlalnepantla de Baz, Estado de México. </w:t>
      </w:r>
    </w:p>
    <w:p w14:paraId="732D83AC"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construcción de pavimentación con concreto hidráulico de Av. Popocatépetl primera etapa Col. Loma Bonita, en el municipio de Tlalnepantla de Baz, Estado de México. </w:t>
      </w:r>
    </w:p>
    <w:p w14:paraId="34214689"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Del Ayuntamiento de Tlalnepantla de Baz del ejercicio fiscal dos mil veintidós, de los temas de remodelación de oficinas del Palacio Municipal y Tlalnepantla Centro, el procedimiento de adjudicación directa, contratos y facturas</w:t>
      </w:r>
    </w:p>
    <w:p w14:paraId="7B9BC2B8"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Solicitud 00217/TLALNEPA/IP/2024:</w:t>
      </w:r>
    </w:p>
    <w:p w14:paraId="2189FB97"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pavimentación con concreto hidráulico de la Av. Tenochtitlan de Alfredo del Mazo a Nezahualcóyotl, Col. Tenayo Centro, en el municipio de Tlalnepantla de Baz, Estado de México. </w:t>
      </w:r>
    </w:p>
    <w:p w14:paraId="45859550"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Servicio de mantenimiento preventivo y correctivo al sistema computarizado de semáforos (servicio de conducción de señales analógicas y digitales). </w:t>
      </w:r>
    </w:p>
    <w:p w14:paraId="30BE0684"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Servicio de integral de Rehabilitación en Ciclovía Tlalnepantla de Baz, Estado de México. </w:t>
      </w:r>
    </w:p>
    <w:p w14:paraId="050CB160"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Arrendamiento de 20,000 luminarias. </w:t>
      </w:r>
    </w:p>
    <w:p w14:paraId="52FD64EC"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Suministro de material necesario para la instalación y mantenimiento de luminarias de todo el territorio municipal. </w:t>
      </w:r>
    </w:p>
    <w:p w14:paraId="5E15A2A6"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Construcción de clínica veterinaria.</w:t>
      </w:r>
    </w:p>
    <w:p w14:paraId="7F0DB03D"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Construcción de C-4 municipal </w:t>
      </w:r>
    </w:p>
    <w:p w14:paraId="4B2F109E"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Solicitud </w:t>
      </w:r>
    </w:p>
    <w:p w14:paraId="679D4BFF"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Solicitud de Información 00215/TLALNEPA/IP/2024</w:t>
      </w:r>
      <w:r>
        <w:rPr>
          <w:rFonts w:ascii="Palatino Linotype" w:eastAsia="Palatino Linotype" w:hAnsi="Palatino Linotype" w:cs="Palatino Linotype"/>
          <w:i/>
          <w:color w:val="000000"/>
          <w:sz w:val="22"/>
          <w:szCs w:val="22"/>
        </w:rPr>
        <w:tab/>
      </w:r>
    </w:p>
    <w:p w14:paraId="1879643C"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Del Ayuntamiento de Tlalnepantla de Baz del ejercicio fiscal dos mil veintidós, de los temas de concluir y pagar, las documentales de “Adjudicaciones directa”</w:t>
      </w:r>
    </w:p>
    <w:p w14:paraId="0407092C"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construcción de pavimentación con concreto hidráulico de la calle Aguascalientes de Av. del trabajo a Zacatecas, Col. Lomas de San Andrés Atenco, en el municipio de Tlalnepantla de Baz, Estado de México. </w:t>
      </w:r>
    </w:p>
    <w:p w14:paraId="1CF79961"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construcción de pavimentación con concreto hidráulico de la calle Reyna Xóchitl de Tenoch a Av. Alfredo del Mazo, Col. Tenayo centro, en el municipio de Tlalnepantla de Baz, Estado de México. </w:t>
      </w:r>
    </w:p>
    <w:p w14:paraId="61C3E126"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La construcción de pavimentación con concreto hidráulico de la Av. Adolfo López Mateos de la Av. de Los Parajes a Avenida Hidalgo, Col. La Blanca, en el municipio de Tlalnepantla de Baz, Estado de México. </w:t>
      </w:r>
    </w:p>
    <w:p w14:paraId="32A15083"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construcción de pavimentación con concreto hidráulico de Av. Popocatépetl primera etapa Col. Loma Bonita, en el municipio de Tlalnepantla de Baz, Estado de México.</w:t>
      </w:r>
    </w:p>
    <w:p w14:paraId="719A8608" w14:textId="77777777" w:rsidR="00FC58AB" w:rsidRDefault="00FC58AB">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p>
    <w:p w14:paraId="5014D5F2"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Solicitud de información 00214/TLALNEPA/IP/2024</w:t>
      </w:r>
      <w:r>
        <w:rPr>
          <w:rFonts w:ascii="Palatino Linotype" w:eastAsia="Palatino Linotype" w:hAnsi="Palatino Linotype" w:cs="Palatino Linotype"/>
          <w:i/>
          <w:color w:val="000000"/>
          <w:sz w:val="22"/>
          <w:szCs w:val="22"/>
        </w:rPr>
        <w:tab/>
      </w:r>
    </w:p>
    <w:p w14:paraId="4A607443"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Del Ayuntamiento de Tlalnepantla de Baz del ejercicio fiscal dos mil veintidós, las documentales de “Adjudicaciones directa”</w:t>
      </w:r>
    </w:p>
    <w:p w14:paraId="715915E3"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2,458.00 toneladas de mezcla asfáltica en caliente y 21,600 litros de emulsión asfáltica tipo RR-2K. Servicio de integral de Rehabilitación en Ciclovía Tlalnepantla de Baz, Estado de México. </w:t>
      </w:r>
    </w:p>
    <w:p w14:paraId="01A9A6B8"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Arrendamiento de 20,000 luminarias </w:t>
      </w:r>
    </w:p>
    <w:p w14:paraId="646DA10E"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Suministro de material necesario para la instalación y mantenimiento de luminarias de todo el territorio municipal. </w:t>
      </w:r>
    </w:p>
    <w:p w14:paraId="5CC8897A"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Construcción de clínica veterinaria. </w:t>
      </w:r>
    </w:p>
    <w:p w14:paraId="144EE823"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Construcción de C-4 municipal dentro de las instalaciones del parque Cri Cri</w:t>
      </w:r>
    </w:p>
    <w:p w14:paraId="322C3FE3"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construcción de pavimentación con concreto hidráulico de la calle Río Pánuco de calle 9 a límite de calle, Col. Ex Ejidos de Tepeolulco, en el municipio de Tlalnepantla de Baz, Estado de México. </w:t>
      </w:r>
    </w:p>
    <w:p w14:paraId="669BB1A4"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construcción de pavimentación con concreto hidráulico de la calle puerto Acapulco de calle puerto Topolobampo a límite de la calle, Col. Ex Ejidos de Tepeolulco, en el municipio de Tlalnepantla de Baz, Estado de México </w:t>
      </w:r>
    </w:p>
    <w:p w14:paraId="7DFADA09"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construcción de pavimentación con concreto hidráulico de la calle Loma Sur de calle puerto Topolobampo a límite de la calle, Col. Ex Ejidos de Tepeolulco, en el municipio de Tlalnepantla de Baz, Estado de México. </w:t>
      </w:r>
    </w:p>
    <w:p w14:paraId="1B8B75F8" w14:textId="77777777" w:rsidR="00FC58AB" w:rsidRPr="00D12352"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sidRPr="00D12352">
        <w:rPr>
          <w:rFonts w:ascii="Palatino Linotype" w:eastAsia="Palatino Linotype" w:hAnsi="Palatino Linotype" w:cs="Palatino Linotype"/>
          <w:i/>
          <w:color w:val="000000"/>
          <w:sz w:val="22"/>
          <w:szCs w:val="22"/>
        </w:rPr>
        <w:t xml:space="preserve">La construcción de pavimentación con concreto hidráulico de la calle Miguel Alemán de Lerdo de Tejada a Av. del Ferrocarril, Col. Marina Nacional en el municipio de Tlalnepantla de Baz, Estado de México </w:t>
      </w:r>
    </w:p>
    <w:p w14:paraId="503977BF" w14:textId="77777777" w:rsidR="00FC58AB" w:rsidRPr="00D12352" w:rsidRDefault="00FC58AB">
      <w:pPr>
        <w:pBdr>
          <w:top w:val="nil"/>
          <w:left w:val="nil"/>
          <w:bottom w:val="nil"/>
          <w:right w:val="nil"/>
          <w:between w:val="nil"/>
        </w:pBdr>
        <w:spacing w:line="360" w:lineRule="auto"/>
        <w:ind w:left="778" w:right="-787"/>
        <w:jc w:val="both"/>
        <w:rPr>
          <w:rFonts w:ascii="Palatino Linotype" w:eastAsia="Palatino Linotype" w:hAnsi="Palatino Linotype" w:cs="Palatino Linotype"/>
          <w:i/>
          <w:color w:val="000000"/>
        </w:rPr>
      </w:pPr>
    </w:p>
    <w:p w14:paraId="47B3AD42" w14:textId="77777777" w:rsidR="00FC58AB" w:rsidRPr="00D12352" w:rsidRDefault="00382C0E">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D12352">
        <w:rPr>
          <w:rFonts w:ascii="Palatino Linotype" w:eastAsia="Palatino Linotype" w:hAnsi="Palatino Linotype" w:cs="Palatino Linotype"/>
          <w:color w:val="000000"/>
        </w:rPr>
        <w:t xml:space="preserve">En respuesta, el </w:t>
      </w:r>
      <w:r w:rsidRPr="00D12352">
        <w:rPr>
          <w:rFonts w:ascii="Palatino Linotype" w:eastAsia="Palatino Linotype" w:hAnsi="Palatino Linotype" w:cs="Palatino Linotype"/>
          <w:b/>
          <w:color w:val="000000"/>
        </w:rPr>
        <w:t xml:space="preserve">SUJETO OBLIGADO </w:t>
      </w:r>
      <w:r w:rsidRPr="00D12352">
        <w:rPr>
          <w:rFonts w:ascii="Palatino Linotype" w:eastAsia="Palatino Linotype" w:hAnsi="Palatino Linotype" w:cs="Palatino Linotype"/>
          <w:color w:val="000000"/>
        </w:rPr>
        <w:t>remitió un archivo en formato pdf, por cada recurso de revisión, cuyo c</w:t>
      </w:r>
      <w:r w:rsidR="00FD7E15" w:rsidRPr="00D12352">
        <w:rPr>
          <w:rFonts w:ascii="Palatino Linotype" w:eastAsia="Palatino Linotype" w:hAnsi="Palatino Linotype" w:cs="Palatino Linotype"/>
          <w:color w:val="000000"/>
        </w:rPr>
        <w:t xml:space="preserve">ontenido versa en clasificar la información como reservada por encontrarse en proceso de auditoría. </w:t>
      </w:r>
    </w:p>
    <w:p w14:paraId="530A92C5" w14:textId="77777777" w:rsidR="00FC58AB" w:rsidRDefault="00FC58AB">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57AD6895" w14:textId="77777777" w:rsidR="00FC58AB" w:rsidRDefault="00382C0E">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En dichas condiciones, la </w:t>
      </w:r>
      <w:r>
        <w:rPr>
          <w:rFonts w:ascii="Palatino Linotype" w:eastAsia="Palatino Linotype" w:hAnsi="Palatino Linotype" w:cs="Palatino Linotype"/>
          <w:i/>
          <w:color w:val="000000"/>
        </w:rPr>
        <w:t>Litis</w:t>
      </w:r>
      <w:r>
        <w:rPr>
          <w:rFonts w:ascii="Palatino Linotype" w:eastAsia="Palatino Linotype" w:hAnsi="Palatino Linotype" w:cs="Palatino Linotype"/>
          <w:color w:val="000000"/>
        </w:rPr>
        <w:t xml:space="preserve"> a resolver en este recurso se circunscribe a determinar si se actualizan las causales de procedencia previstas en el artículo 179, </w:t>
      </w:r>
      <w:r>
        <w:rPr>
          <w:rFonts w:ascii="Palatino Linotype" w:eastAsia="Palatino Linotype" w:hAnsi="Palatino Linotype" w:cs="Palatino Linotype"/>
          <w:b/>
          <w:color w:val="000000"/>
        </w:rPr>
        <w:t xml:space="preserve">fracción I </w:t>
      </w:r>
      <w:r>
        <w:rPr>
          <w:rFonts w:ascii="Palatino Linotype" w:eastAsia="Palatino Linotype" w:hAnsi="Palatino Linotype" w:cs="Palatino Linotype"/>
          <w:color w:val="000000"/>
        </w:rPr>
        <w:t>de la Ley</w:t>
      </w:r>
      <w:r>
        <w:rPr>
          <w:rFonts w:ascii="Palatino Linotype" w:eastAsia="Palatino Linotype" w:hAnsi="Palatino Linotype" w:cs="Palatino Linotype"/>
          <w:b/>
          <w:color w:val="000000"/>
        </w:rPr>
        <w:t xml:space="preserve"> de Transparencia y Acceso a la Información Pública del Estado de </w:t>
      </w:r>
      <w:r>
        <w:rPr>
          <w:rFonts w:ascii="Palatino Linotype" w:eastAsia="Palatino Linotype" w:hAnsi="Palatino Linotype" w:cs="Palatino Linotype"/>
          <w:color w:val="000000"/>
        </w:rPr>
        <w:t>México</w:t>
      </w:r>
      <w:r>
        <w:rPr>
          <w:rFonts w:ascii="Palatino Linotype" w:eastAsia="Palatino Linotype" w:hAnsi="Palatino Linotype" w:cs="Palatino Linotype"/>
          <w:b/>
          <w:color w:val="000000"/>
        </w:rPr>
        <w:t xml:space="preserve"> y Municipios</w:t>
      </w:r>
      <w:r>
        <w:rPr>
          <w:rFonts w:ascii="Palatino Linotype" w:eastAsia="Palatino Linotype" w:hAnsi="Palatino Linotype" w:cs="Palatino Linotype"/>
          <w:color w:val="000000"/>
        </w:rPr>
        <w:t xml:space="preserve">; fracción que determina la hipótesis jurídica relativa a la negativa de la información solicitada por parte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contexto del cual se dolió </w:t>
      </w:r>
      <w:r>
        <w:rPr>
          <w:rFonts w:ascii="Palatino Linotype" w:eastAsia="Palatino Linotype" w:hAnsi="Palatino Linotype" w:cs="Palatino Linotype"/>
          <w:b/>
          <w:color w:val="000000"/>
        </w:rPr>
        <w:t xml:space="preserve">EL RECURRENTE </w:t>
      </w:r>
      <w:r>
        <w:rPr>
          <w:rFonts w:ascii="Palatino Linotype" w:eastAsia="Palatino Linotype" w:hAnsi="Palatino Linotype" w:cs="Palatino Linotype"/>
          <w:color w:val="000000"/>
        </w:rPr>
        <w:t>al momento de interponer su inconformidad.</w:t>
      </w:r>
    </w:p>
    <w:p w14:paraId="3291EDE0" w14:textId="77777777" w:rsidR="00FC58AB" w:rsidRDefault="00FC58AB">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235F8ABC" w14:textId="77777777" w:rsidR="00FC58AB" w:rsidRDefault="00382C0E">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modo tal que el presente recurso de revisión se abocara en determinar si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con su respuesta ciertamente actualiza la causal de procedencia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235A1867" w14:textId="77777777" w:rsidR="005841AD" w:rsidRDefault="005841AD" w:rsidP="005841AD">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5266F38B" w14:textId="77777777" w:rsidR="00FC58AB" w:rsidRDefault="00382C0E">
      <w:pPr>
        <w:keepNext/>
        <w:keepLines/>
        <w:spacing w:line="360" w:lineRule="auto"/>
        <w:ind w:right="-787"/>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CUARTO. Del estudio y resolución del estudio.</w:t>
      </w:r>
    </w:p>
    <w:p w14:paraId="529A0A50" w14:textId="77777777" w:rsidR="00FC58AB" w:rsidRDefault="00382C0E">
      <w:pPr>
        <w:keepNext/>
        <w:keepLines/>
        <w:numPr>
          <w:ilvl w:val="0"/>
          <w:numId w:val="2"/>
        </w:numPr>
        <w:spacing w:after="240" w:line="360" w:lineRule="auto"/>
        <w:ind w:left="786" w:right="-787"/>
        <w:rPr>
          <w:rFonts w:ascii="Palatino Linotype" w:eastAsia="Palatino Linotype" w:hAnsi="Palatino Linotype" w:cs="Palatino Linotype"/>
          <w:b/>
          <w:color w:val="000000"/>
        </w:rPr>
      </w:pPr>
      <w:bookmarkStart w:id="9" w:name="_heading=h.4d34og8" w:colFirst="0" w:colLast="0"/>
      <w:bookmarkEnd w:id="9"/>
      <w:r>
        <w:rPr>
          <w:rFonts w:ascii="Palatino Linotype" w:eastAsia="Palatino Linotype" w:hAnsi="Palatino Linotype" w:cs="Palatino Linotype"/>
          <w:b/>
          <w:color w:val="000000"/>
        </w:rPr>
        <w:t>Del derecho de acceso a la información.</w:t>
      </w:r>
    </w:p>
    <w:p w14:paraId="7A8A91B3" w14:textId="77777777" w:rsidR="00FC58AB" w:rsidRDefault="00382C0E">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31047CC9" w14:textId="77777777" w:rsidR="00FC58AB" w:rsidRDefault="00382C0E">
      <w:pPr>
        <w:numPr>
          <w:ilvl w:val="0"/>
          <w:numId w:val="3"/>
        </w:numPr>
        <w:spacing w:before="240"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Definiendo el Derecho de Acceso a la Información Pública como: </w:t>
      </w:r>
      <w:r>
        <w:rPr>
          <w:rFonts w:ascii="Palatino Linotype" w:eastAsia="Palatino Linotype" w:hAnsi="Palatino Linotype" w:cs="Palatino Linotype"/>
          <w:i/>
          <w:color w:val="000000"/>
        </w:rPr>
        <w:t>La igualdad de oportunidades para recibir, buscar e impartir información</w:t>
      </w:r>
      <w:r>
        <w:rPr>
          <w:rFonts w:ascii="Palatino Linotype" w:eastAsia="Palatino Linotype" w:hAnsi="Palatino Linotype" w:cs="Palatino Linotype"/>
          <w:i/>
          <w:vertAlign w:val="superscript"/>
        </w:rPr>
        <w:footnoteReference w:id="2"/>
      </w:r>
      <w:r>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Fonts w:ascii="Palatino Linotype" w:eastAsia="Palatino Linotype" w:hAnsi="Palatino Linotype" w:cs="Palatino Linotype"/>
          <w:i/>
          <w:vertAlign w:val="superscript"/>
        </w:rPr>
        <w:footnoteReference w:id="3"/>
      </w:r>
      <w:r>
        <w:rPr>
          <w:rFonts w:ascii="Palatino Linotype" w:eastAsia="Palatino Linotype" w:hAnsi="Palatino Linotype" w:cs="Palatino Linotype"/>
          <w:color w:val="000000"/>
        </w:rPr>
        <w:t>que se constituye como una herramienta fundamental para ejercer</w:t>
      </w:r>
      <w:r>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Pr>
          <w:rFonts w:ascii="Palatino Linotype" w:eastAsia="Palatino Linotype" w:hAnsi="Palatino Linotype" w:cs="Palatino Linotype"/>
          <w:i/>
          <w:vertAlign w:val="superscript"/>
        </w:rPr>
        <w:footnoteReference w:id="4"/>
      </w:r>
      <w:r>
        <w:rPr>
          <w:rFonts w:ascii="Palatino Linotype" w:eastAsia="Palatino Linotype" w:hAnsi="Palatino Linotype" w:cs="Palatino Linotype"/>
          <w:color w:val="000000"/>
        </w:rPr>
        <w:t>fomentando</w:t>
      </w:r>
      <w:r>
        <w:rPr>
          <w:rFonts w:ascii="Palatino Linotype" w:eastAsia="Palatino Linotype" w:hAnsi="Palatino Linotype" w:cs="Palatino Linotype"/>
          <w:i/>
          <w:color w:val="000000"/>
        </w:rPr>
        <w:t xml:space="preserve"> la transparencia de las actividades estatales y </w:t>
      </w:r>
      <w:r>
        <w:rPr>
          <w:rFonts w:ascii="Palatino Linotype" w:eastAsia="Palatino Linotype" w:hAnsi="Palatino Linotype" w:cs="Palatino Linotype"/>
          <w:color w:val="000000"/>
        </w:rPr>
        <w:t>promoviendo</w:t>
      </w:r>
      <w:r>
        <w:rPr>
          <w:rFonts w:ascii="Palatino Linotype" w:eastAsia="Palatino Linotype" w:hAnsi="Palatino Linotype" w:cs="Palatino Linotype"/>
          <w:i/>
          <w:color w:val="000000"/>
        </w:rPr>
        <w:t xml:space="preserve"> la responsabilidad de los funcionarios sobre su gestión pública,</w:t>
      </w:r>
      <w:r>
        <w:rPr>
          <w:rFonts w:ascii="Palatino Linotype" w:eastAsia="Palatino Linotype" w:hAnsi="Palatino Linotype" w:cs="Palatino Linotype"/>
          <w:i/>
          <w:vertAlign w:val="superscript"/>
        </w:rPr>
        <w:footnoteReference w:id="5"/>
      </w:r>
      <w:r>
        <w:rPr>
          <w:rFonts w:ascii="Palatino Linotype" w:eastAsia="Palatino Linotype" w:hAnsi="Palatino Linotype" w:cs="Palatino Linotype"/>
          <w:color w:val="000000"/>
        </w:rPr>
        <w:t>que permite</w:t>
      </w:r>
      <w:r>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14:paraId="1433EF22" w14:textId="77777777" w:rsidR="00FC58AB" w:rsidRDefault="00FC58AB">
      <w:pPr>
        <w:spacing w:line="360" w:lineRule="auto"/>
        <w:ind w:right="-787"/>
        <w:jc w:val="both"/>
        <w:rPr>
          <w:rFonts w:ascii="Palatino Linotype" w:eastAsia="Palatino Linotype" w:hAnsi="Palatino Linotype" w:cs="Palatino Linotype"/>
        </w:rPr>
      </w:pPr>
    </w:p>
    <w:p w14:paraId="2769A31A"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14:paraId="1AA2D552" w14:textId="77777777" w:rsidR="00FC58AB" w:rsidRDefault="00382C0E">
      <w:pPr>
        <w:ind w:left="1134"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w:t>
      </w:r>
      <w:r>
        <w:rPr>
          <w:rFonts w:ascii="Palatino Linotype" w:eastAsia="Palatino Linotype" w:hAnsi="Palatino Linotype" w:cs="Palatino Linotype"/>
          <w:i/>
          <w:sz w:val="22"/>
          <w:szCs w:val="22"/>
        </w:rPr>
        <w:t xml:space="preserve"> </w:t>
      </w:r>
    </w:p>
    <w:p w14:paraId="73DE5918" w14:textId="77777777" w:rsidR="00FC58AB" w:rsidRDefault="00382C0E">
      <w:pPr>
        <w:ind w:left="1134"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40CD14D" w14:textId="77777777" w:rsidR="00FC58AB" w:rsidRDefault="00382C0E">
      <w:pPr>
        <w:ind w:left="1134"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Todas las</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AC639E2" w14:textId="77777777" w:rsidR="00FC58AB" w:rsidRDefault="00382C0E">
      <w:pPr>
        <w:ind w:left="1134" w:right="62"/>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w:t>
      </w:r>
    </w:p>
    <w:p w14:paraId="51A774CF" w14:textId="77777777" w:rsidR="00FC58AB" w:rsidRDefault="00FC58AB">
      <w:pPr>
        <w:ind w:right="-787"/>
        <w:jc w:val="both"/>
        <w:rPr>
          <w:rFonts w:ascii="Palatino Linotype" w:eastAsia="Palatino Linotype" w:hAnsi="Palatino Linotype" w:cs="Palatino Linotype"/>
          <w:b/>
        </w:rPr>
      </w:pPr>
    </w:p>
    <w:p w14:paraId="2038FDA5"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4567719E" w14:textId="77777777" w:rsidR="00FC58AB" w:rsidRDefault="00FC58AB">
      <w:pPr>
        <w:spacing w:line="360" w:lineRule="auto"/>
        <w:ind w:right="-787"/>
        <w:jc w:val="both"/>
        <w:rPr>
          <w:rFonts w:ascii="Palatino Linotype" w:eastAsia="Palatino Linotype" w:hAnsi="Palatino Linotype" w:cs="Palatino Linotype"/>
        </w:rPr>
      </w:pPr>
    </w:p>
    <w:p w14:paraId="2C7E8999"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0D718C33" w14:textId="77777777" w:rsidR="00FC58AB" w:rsidRDefault="00382C0E">
      <w:pPr>
        <w:spacing w:after="240"/>
        <w:ind w:left="1134" w:right="-7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Constitución Política de los Estados Unidos Mexicanos</w:t>
      </w:r>
    </w:p>
    <w:p w14:paraId="581C3D4B" w14:textId="77777777" w:rsidR="00FC58AB" w:rsidRDefault="00382C0E">
      <w:pPr>
        <w:spacing w:before="240" w:after="240"/>
        <w:ind w:left="1134" w:right="-7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6.</w:t>
      </w:r>
    </w:p>
    <w:p w14:paraId="4E684C00" w14:textId="77777777" w:rsidR="00FC58AB" w:rsidRDefault="00382C0E">
      <w:pPr>
        <w:spacing w:before="240" w:after="240"/>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238691B" w14:textId="77777777" w:rsidR="00FC58AB" w:rsidRDefault="00382C0E">
      <w:pPr>
        <w:spacing w:before="240" w:after="240"/>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efectos de lo dispuesto en el presente artículo se observará lo siguiente:</w:t>
      </w:r>
    </w:p>
    <w:p w14:paraId="1924E0C4" w14:textId="77777777" w:rsidR="00FC58AB" w:rsidRDefault="00382C0E">
      <w:pPr>
        <w:spacing w:before="240" w:after="240"/>
        <w:ind w:left="1134" w:right="-7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Para el ejercicio del derecho de acceso a la información</w:t>
      </w:r>
      <w:r>
        <w:rPr>
          <w:rFonts w:ascii="Palatino Linotype" w:eastAsia="Palatino Linotype" w:hAnsi="Palatino Linotype" w:cs="Palatino Linotype"/>
          <w:i/>
          <w:sz w:val="22"/>
          <w:szCs w:val="22"/>
        </w:rPr>
        <w:t xml:space="preserve">, la Federación y </w:t>
      </w:r>
      <w:r>
        <w:rPr>
          <w:rFonts w:ascii="Palatino Linotype" w:eastAsia="Palatino Linotype" w:hAnsi="Palatino Linotype" w:cs="Palatino Linotype"/>
          <w:b/>
          <w:i/>
          <w:sz w:val="22"/>
          <w:szCs w:val="22"/>
        </w:rPr>
        <w:t>las entidades federativas, en el ámbito de sus respectivas competencias, se regirán por los siguientes principios y bases:</w:t>
      </w:r>
    </w:p>
    <w:p w14:paraId="36CF7C45" w14:textId="77777777" w:rsidR="00FC58AB" w:rsidRDefault="00382C0E">
      <w:pPr>
        <w:spacing w:before="240" w:after="240"/>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rPr>
        <w:tab/>
        <w:t>Toda la información en posesión de cualquier</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autoridad</w:t>
      </w:r>
      <w:r>
        <w:rPr>
          <w:rFonts w:ascii="Palatino Linotype" w:eastAsia="Palatino Linotype" w:hAnsi="Palatino Linotype" w:cs="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Pr>
          <w:rFonts w:ascii="Palatino Linotype" w:eastAsia="Palatino Linotype" w:hAnsi="Palatino Linotype" w:cs="Palatino Linotype"/>
          <w:b/>
          <w:i/>
          <w:sz w:val="22"/>
          <w:szCs w:val="22"/>
        </w:rPr>
        <w:t>municipal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es pública</w:t>
      </w:r>
      <w:r>
        <w:rPr>
          <w:rFonts w:ascii="Palatino Linotype" w:eastAsia="Palatino Linotype" w:hAnsi="Palatino Linotype" w:cs="Palatino Linotype"/>
          <w:i/>
          <w:sz w:val="22"/>
          <w:szCs w:val="22"/>
        </w:rPr>
        <w:t xml:space="preserve"> y sólo podrá ser reservada temporalmente por razones de interés público y seguridad nacional, en los términos que fijen las leyes. </w:t>
      </w:r>
      <w:r>
        <w:rPr>
          <w:rFonts w:ascii="Palatino Linotype" w:eastAsia="Palatino Linotype" w:hAnsi="Palatino Linotype" w:cs="Palatino Linotype"/>
          <w:b/>
          <w:i/>
          <w:sz w:val="22"/>
          <w:szCs w:val="22"/>
        </w:rPr>
        <w:t>En la interpretación de este derecho deberá prevalecer el principio de máxima publicidad. Los sujetos obligados deberán documentar todo acto que derive del ejercicio de sus facultades, competencias o funciones</w:t>
      </w:r>
      <w:r>
        <w:rPr>
          <w:rFonts w:ascii="Palatino Linotype" w:eastAsia="Palatino Linotype" w:hAnsi="Palatino Linotype" w:cs="Palatino Linotype"/>
          <w:i/>
          <w:sz w:val="22"/>
          <w:szCs w:val="22"/>
        </w:rPr>
        <w:t xml:space="preserve">, la ley determinará los </w:t>
      </w:r>
      <w:r>
        <w:rPr>
          <w:rFonts w:ascii="Palatino Linotype" w:eastAsia="Palatino Linotype" w:hAnsi="Palatino Linotype" w:cs="Palatino Linotype"/>
          <w:i/>
          <w:sz w:val="22"/>
          <w:szCs w:val="22"/>
        </w:rPr>
        <w:lastRenderedPageBreak/>
        <w:t>supuestos específicos bajo los cuales procederá la declaración de inexistencia de la información.”</w:t>
      </w:r>
    </w:p>
    <w:p w14:paraId="50DF3E54" w14:textId="77777777" w:rsidR="00FC58AB" w:rsidRDefault="00FC58AB">
      <w:pPr>
        <w:pBdr>
          <w:top w:val="nil"/>
          <w:left w:val="nil"/>
          <w:bottom w:val="nil"/>
          <w:right w:val="nil"/>
          <w:between w:val="nil"/>
        </w:pBdr>
        <w:tabs>
          <w:tab w:val="left" w:pos="567"/>
        </w:tabs>
        <w:spacing w:before="240" w:after="240"/>
        <w:ind w:left="1134" w:right="-79"/>
        <w:jc w:val="both"/>
        <w:rPr>
          <w:rFonts w:ascii="Palatino Linotype" w:eastAsia="Palatino Linotype" w:hAnsi="Palatino Linotype" w:cs="Palatino Linotype"/>
          <w:b/>
          <w:i/>
          <w:color w:val="000000"/>
          <w:sz w:val="22"/>
          <w:szCs w:val="22"/>
        </w:rPr>
      </w:pPr>
    </w:p>
    <w:p w14:paraId="1F66FF80" w14:textId="77777777" w:rsidR="00FC58AB" w:rsidRDefault="00382C0E">
      <w:pPr>
        <w:spacing w:before="240" w:after="240"/>
        <w:ind w:left="1134" w:right="-7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Constitución Política del Estado Libre y Soberano de México</w:t>
      </w:r>
    </w:p>
    <w:p w14:paraId="4D6482F4" w14:textId="77777777" w:rsidR="00FC58AB" w:rsidRDefault="00382C0E">
      <w:pPr>
        <w:spacing w:before="240" w:after="240"/>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w:t>
      </w:r>
      <w:r>
        <w:rPr>
          <w:rFonts w:ascii="Palatino Linotype" w:eastAsia="Palatino Linotype" w:hAnsi="Palatino Linotype" w:cs="Palatino Linotype"/>
          <w:i/>
          <w:sz w:val="22"/>
          <w:szCs w:val="22"/>
        </w:rPr>
        <w:t xml:space="preserve">.- </w:t>
      </w:r>
    </w:p>
    <w:p w14:paraId="24009FFC" w14:textId="77777777" w:rsidR="00FC58AB" w:rsidRDefault="00382C0E">
      <w:pPr>
        <w:spacing w:before="240" w:after="240"/>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7065C1D" w14:textId="77777777" w:rsidR="00FC58AB" w:rsidRDefault="00382C0E">
      <w:pPr>
        <w:spacing w:before="240" w:after="240"/>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derecho a la información será garantizado por el Estado. La ley establecerá las previsiones que permitan asegurar la protección, el respeto y la difusión de este derecho</w:t>
      </w:r>
      <w:r>
        <w:rPr>
          <w:rFonts w:ascii="Palatino Linotype" w:eastAsia="Palatino Linotype" w:hAnsi="Palatino Linotype" w:cs="Palatino Linotype"/>
          <w:i/>
          <w:sz w:val="22"/>
          <w:szCs w:val="22"/>
        </w:rPr>
        <w:t>.</w:t>
      </w:r>
    </w:p>
    <w:p w14:paraId="5A08AF02" w14:textId="77777777" w:rsidR="00FC58AB" w:rsidRDefault="00382C0E">
      <w:pPr>
        <w:spacing w:before="240" w:after="240"/>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A2EBDD7" w14:textId="77777777" w:rsidR="00FC58AB" w:rsidRDefault="00382C0E">
      <w:pPr>
        <w:spacing w:before="240" w:after="240"/>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Este derecho se regirá por los principios y bases siguientes</w:t>
      </w:r>
      <w:r>
        <w:rPr>
          <w:rFonts w:ascii="Palatino Linotype" w:eastAsia="Palatino Linotype" w:hAnsi="Palatino Linotype" w:cs="Palatino Linotype"/>
          <w:i/>
          <w:sz w:val="22"/>
          <w:szCs w:val="22"/>
        </w:rPr>
        <w:t>:</w:t>
      </w:r>
    </w:p>
    <w:p w14:paraId="0E3599FB" w14:textId="77777777" w:rsidR="00FC58AB" w:rsidRDefault="00382C0E">
      <w:pPr>
        <w:spacing w:before="240" w:after="240"/>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 Toda la información en posesión de cualquier autoridad, entidad, órgano y organismos de los</w:t>
      </w:r>
      <w:r>
        <w:rPr>
          <w:rFonts w:ascii="Palatino Linotype" w:eastAsia="Palatino Linotype" w:hAnsi="Palatino Linotype" w:cs="Palatino Linotype"/>
          <w:i/>
          <w:sz w:val="22"/>
          <w:szCs w:val="22"/>
        </w:rPr>
        <w:t xml:space="preserve"> Poderes Ejecutivo, Legislativo y Judicial, órganos autónomos, partidos políticos, fideicomisos y fondos públicos estatales y </w:t>
      </w:r>
      <w:r>
        <w:rPr>
          <w:rFonts w:ascii="Palatino Linotype" w:eastAsia="Palatino Linotype" w:hAnsi="Palatino Linotype" w:cs="Palatino Linotype"/>
          <w:b/>
          <w:i/>
          <w:sz w:val="22"/>
          <w:szCs w:val="22"/>
        </w:rPr>
        <w:t>municipales</w:t>
      </w:r>
      <w:r>
        <w:rPr>
          <w:rFonts w:ascii="Palatino Linotype" w:eastAsia="Palatino Linotype" w:hAnsi="Palatino Linotype" w:cs="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Pr>
          <w:rFonts w:ascii="Palatino Linotype" w:eastAsia="Palatino Linotype" w:hAnsi="Palatino Linotype" w:cs="Palatino Linotype"/>
          <w:b/>
          <w:i/>
          <w:sz w:val="22"/>
          <w:szCs w:val="22"/>
        </w:rPr>
        <w:t>es pública</w:t>
      </w:r>
      <w:r>
        <w:rPr>
          <w:rFonts w:ascii="Palatino Linotype" w:eastAsia="Palatino Linotype" w:hAnsi="Palatino Linotype" w:cs="Palatino Linotype"/>
          <w:i/>
          <w:sz w:val="22"/>
          <w:szCs w:val="22"/>
        </w:rPr>
        <w:t xml:space="preserve"> y sólo podrá ser reservada temporalmente por razones previstas en la Constitución Política de los Estados Unidos Mexicanos de interés público y seguridad, en los términos que fijen las leyes. </w:t>
      </w:r>
      <w:r>
        <w:rPr>
          <w:rFonts w:ascii="Palatino Linotype" w:eastAsia="Palatino Linotype" w:hAnsi="Palatino Linotype" w:cs="Palatino Linotype"/>
          <w:b/>
          <w:i/>
          <w:sz w:val="22"/>
          <w:szCs w:val="22"/>
        </w:rPr>
        <w:t>En la interpretación de este derecho deberá prevalecer el principio de máxima publicidad</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sujetos obligados deberán documentar todo acto que derive del ejercicio de sus facultades, competencias o funciones</w:t>
      </w:r>
      <w:r>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3960E07D" w14:textId="77777777" w:rsidR="00FC58AB" w:rsidRDefault="00FC58AB">
      <w:pPr>
        <w:tabs>
          <w:tab w:val="left" w:pos="567"/>
        </w:tabs>
        <w:spacing w:before="240" w:after="240"/>
        <w:ind w:right="-787"/>
        <w:jc w:val="both"/>
        <w:rPr>
          <w:rFonts w:ascii="Palatino Linotype" w:eastAsia="Palatino Linotype" w:hAnsi="Palatino Linotype" w:cs="Palatino Linotype"/>
          <w:b/>
          <w:i/>
        </w:rPr>
      </w:pPr>
    </w:p>
    <w:p w14:paraId="5490FEFD" w14:textId="77777777" w:rsidR="00FC58AB" w:rsidRDefault="00382C0E">
      <w:pPr>
        <w:numPr>
          <w:ilvl w:val="0"/>
          <w:numId w:val="3"/>
        </w:numPr>
        <w:spacing w:before="240"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Según el artículo 150 de la Ley de Transparencia del Estado, la solicitud es la garantía primaria del Derecho de Acceso a la Información, además, establece que se regirá </w:t>
      </w:r>
      <w:r>
        <w:rPr>
          <w:rFonts w:ascii="Palatino Linotype" w:eastAsia="Palatino Linotype" w:hAnsi="Palatino Linotype" w:cs="Palatino Linotype"/>
          <w:i/>
        </w:rPr>
        <w:t>por los principios de simplicidad, rapidez gratuidad del procedimiento, auxilio y orientación a los particulares</w:t>
      </w:r>
      <w:r>
        <w:rPr>
          <w:rFonts w:ascii="Palatino Linotype" w:eastAsia="Palatino Linotype" w:hAnsi="Palatino Linotype" w:cs="Palatino Linotype"/>
        </w:rPr>
        <w:t>, contemplando el derecho de las personas con discapacidad y hablantes de lengua indígena.</w:t>
      </w:r>
    </w:p>
    <w:p w14:paraId="5993191C" w14:textId="77777777" w:rsidR="00FC58AB" w:rsidRDefault="00FC58AB">
      <w:pPr>
        <w:spacing w:line="360" w:lineRule="auto"/>
        <w:ind w:right="-787"/>
        <w:jc w:val="both"/>
        <w:rPr>
          <w:rFonts w:ascii="Palatino Linotype" w:eastAsia="Palatino Linotype" w:hAnsi="Palatino Linotype" w:cs="Palatino Linotype"/>
        </w:rPr>
      </w:pPr>
    </w:p>
    <w:p w14:paraId="7B3721E8"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Derecho de Acceso a la Información se garantiza y respeta oportunamente, y según lo que dispone la Ley, las </w:t>
      </w:r>
      <w:r>
        <w:rPr>
          <w:rFonts w:ascii="Palatino Linotype" w:eastAsia="Palatino Linotype" w:hAnsi="Palatino Linotype" w:cs="Palatino Linotype"/>
          <w:i/>
        </w:rPr>
        <w:t>solicitudes de acceso a la información</w:t>
      </w:r>
      <w:r>
        <w:rPr>
          <w:rFonts w:ascii="Palatino Linotype" w:eastAsia="Palatino Linotype" w:hAnsi="Palatino Linotype" w:cs="Palatino Linotype"/>
        </w:rPr>
        <w:t>.</w:t>
      </w:r>
    </w:p>
    <w:p w14:paraId="0D1CC037" w14:textId="77777777" w:rsidR="00FC58AB" w:rsidRDefault="00FC58AB">
      <w:pPr>
        <w:spacing w:line="360" w:lineRule="auto"/>
        <w:ind w:right="-787"/>
        <w:jc w:val="both"/>
        <w:rPr>
          <w:rFonts w:ascii="Palatino Linotype" w:eastAsia="Palatino Linotype" w:hAnsi="Palatino Linotype" w:cs="Palatino Linotype"/>
        </w:rPr>
      </w:pPr>
    </w:p>
    <w:p w14:paraId="2306A612"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bookmarkStart w:id="10" w:name="_heading=h.2s8eyo1" w:colFirst="0" w:colLast="0"/>
      <w:bookmarkEnd w:id="10"/>
      <w:r>
        <w:rPr>
          <w:rFonts w:ascii="Palatino Linotype" w:eastAsia="Palatino Linotype" w:hAnsi="Palatino Linotype" w:cs="Palatino Linotype"/>
        </w:rPr>
        <w:t xml:space="preserve">Así entonces, se procede analizar, en primer lugar,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511DBAD5" w14:textId="77777777" w:rsidR="00FC58AB" w:rsidRDefault="00FC58AB">
      <w:pPr>
        <w:spacing w:line="360" w:lineRule="auto"/>
        <w:ind w:right="-787"/>
        <w:jc w:val="both"/>
        <w:rPr>
          <w:rFonts w:ascii="Palatino Linotype" w:eastAsia="Palatino Linotype" w:hAnsi="Palatino Linotype" w:cs="Palatino Linotype"/>
        </w:rPr>
      </w:pPr>
    </w:p>
    <w:p w14:paraId="7C95635A" w14:textId="77777777" w:rsidR="00FC58AB" w:rsidRDefault="00382C0E">
      <w:pPr>
        <w:keepNext/>
        <w:keepLines/>
        <w:spacing w:after="240" w:line="360" w:lineRule="auto"/>
        <w:ind w:right="-787"/>
        <w:rPr>
          <w:rFonts w:ascii="Palatino Linotype" w:eastAsia="Palatino Linotype" w:hAnsi="Palatino Linotype" w:cs="Palatino Linotype"/>
          <w:b/>
          <w:color w:val="000000"/>
        </w:rPr>
      </w:pPr>
      <w:bookmarkStart w:id="11" w:name="_heading=h.17dp8vu" w:colFirst="0" w:colLast="0"/>
      <w:bookmarkEnd w:id="11"/>
      <w:r>
        <w:rPr>
          <w:rFonts w:ascii="Palatino Linotype" w:eastAsia="Palatino Linotype" w:hAnsi="Palatino Linotype" w:cs="Palatino Linotype"/>
          <w:b/>
          <w:color w:val="000000"/>
        </w:rPr>
        <w:t>II. De la información solicitada y la respuesta del SUJETO OBLIGADO</w:t>
      </w:r>
    </w:p>
    <w:p w14:paraId="0A117C12"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se debe de informar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al reservar la información solicitada acepta que cuenta con ella, sin embargo se debe de establecer que de acuerdo con el Bando Municipal de Tlalnepantla de Baz, el Ayuntamiento </w:t>
      </w:r>
      <w:r>
        <w:rPr>
          <w:rFonts w:ascii="Palatino Linotype" w:eastAsia="Palatino Linotype" w:hAnsi="Palatino Linotype" w:cs="Palatino Linotype"/>
        </w:rPr>
        <w:t>se integra</w:t>
      </w:r>
      <w:r>
        <w:rPr>
          <w:rFonts w:ascii="Palatino Linotype" w:eastAsia="Palatino Linotype" w:hAnsi="Palatino Linotype" w:cs="Palatino Linotype"/>
          <w:color w:val="000000"/>
        </w:rPr>
        <w:t xml:space="preserve"> por las siguientes dependencias administrativas. </w:t>
      </w:r>
    </w:p>
    <w:p w14:paraId="5BD16221" w14:textId="77777777" w:rsidR="00FC58AB" w:rsidRDefault="00382C0E">
      <w:pP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33. La Administración Pública Municipal Centralizada estará integrada por las siguientes dependencias administrativas: </w:t>
      </w:r>
    </w:p>
    <w:p w14:paraId="0AAE708C" w14:textId="77777777" w:rsidR="00FC58AB" w:rsidRDefault="00382C0E">
      <w:pPr>
        <w:numPr>
          <w:ilvl w:val="0"/>
          <w:numId w:val="9"/>
        </w:numPr>
        <w:pBdr>
          <w:top w:val="nil"/>
          <w:left w:val="nil"/>
          <w:bottom w:val="nil"/>
          <w:right w:val="nil"/>
          <w:between w:val="nil"/>
        </w:pBdr>
        <w:ind w:left="1134" w:right="62"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Presidencia Municipal; </w:t>
      </w:r>
    </w:p>
    <w:p w14:paraId="61205531"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 Secretaría del Ayuntamiento; </w:t>
      </w:r>
    </w:p>
    <w:p w14:paraId="30712AB1"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III. Tesorería Municipal; </w:t>
      </w:r>
    </w:p>
    <w:p w14:paraId="007FA5BE"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IV. Secretaría Técnica; </w:t>
      </w:r>
    </w:p>
    <w:p w14:paraId="3C060A8B"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 Contraloría Interna Municipal; </w:t>
      </w:r>
    </w:p>
    <w:p w14:paraId="4ECF49E4"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VI. Dirección de Administración; </w:t>
      </w:r>
    </w:p>
    <w:p w14:paraId="01529B81"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VII. Dirección Jurídica; </w:t>
      </w:r>
    </w:p>
    <w:p w14:paraId="59245803"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VIII. Dirección de Promoción Económica; </w:t>
      </w:r>
    </w:p>
    <w:p w14:paraId="6251551D"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IX. Dirección de Desarrollo Social; </w:t>
      </w:r>
    </w:p>
    <w:p w14:paraId="653B1FA9"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 Dirección de Desarrollo Urbano; </w:t>
      </w:r>
    </w:p>
    <w:p w14:paraId="283A8657"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 Dirección de Servicios Públicos; </w:t>
      </w:r>
    </w:p>
    <w:p w14:paraId="68407951"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XII. Dirección de Obras Públicas; </w:t>
      </w:r>
    </w:p>
    <w:p w14:paraId="0C7AFDBB"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XIII. Dirección de Sustentabilidad Ambiental; </w:t>
      </w:r>
    </w:p>
    <w:p w14:paraId="6564B896"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XIV. Dirección de la Mujer; </w:t>
      </w:r>
    </w:p>
    <w:p w14:paraId="640A4189"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 Dirección de Movilidad; </w:t>
      </w:r>
    </w:p>
    <w:p w14:paraId="788105F3"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 Instituto Municipal de la Cultura y las Artes; </w:t>
      </w:r>
    </w:p>
    <w:p w14:paraId="08CE2BAC"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XVII. Instituto Municipal de Educación; </w:t>
      </w:r>
    </w:p>
    <w:p w14:paraId="686E2AA4"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XVIII. Instituto Municipal de Cultura Física y Deporte; </w:t>
      </w:r>
    </w:p>
    <w:p w14:paraId="6566C884"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XIX. Instituto Municipal de la Juventud; </w:t>
      </w:r>
    </w:p>
    <w:p w14:paraId="33276238"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XX. Dirección de Protección Civil; y </w:t>
      </w:r>
    </w:p>
    <w:p w14:paraId="08EFD843"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XXI. Comisaría General de Seguridad Pública y Tránsito Municipal.</w:t>
      </w:r>
    </w:p>
    <w:p w14:paraId="7448349D" w14:textId="77777777" w:rsidR="00FC58AB" w:rsidRDefault="00FC58AB">
      <w:pPr>
        <w:spacing w:line="360" w:lineRule="auto"/>
        <w:ind w:right="-787"/>
        <w:jc w:val="both"/>
        <w:rPr>
          <w:rFonts w:ascii="Palatino Linotype" w:eastAsia="Palatino Linotype" w:hAnsi="Palatino Linotype" w:cs="Palatino Linotype"/>
          <w:color w:val="000000"/>
        </w:rPr>
      </w:pPr>
    </w:p>
    <w:p w14:paraId="111766AC"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se observa que el Ayuntamiento de Tlalnepantla de Baz se integra por la Dirección de Administración, quien a su vez se integra por la Subdirección de Recursos Materiales, quien de acuerdo con el Manual General de Organización de la Dirección de Administración cuenta con las siguientes funciones. </w:t>
      </w:r>
    </w:p>
    <w:p w14:paraId="49CA7CDF" w14:textId="77777777" w:rsidR="00FC58AB" w:rsidRDefault="00FC58AB">
      <w:pPr>
        <w:spacing w:line="360" w:lineRule="auto"/>
        <w:ind w:left="928" w:right="-787"/>
        <w:jc w:val="both"/>
        <w:rPr>
          <w:rFonts w:ascii="Palatino Linotype" w:eastAsia="Palatino Linotype" w:hAnsi="Palatino Linotype" w:cs="Palatino Linotype"/>
        </w:rPr>
      </w:pPr>
    </w:p>
    <w:p w14:paraId="78254D2D" w14:textId="77777777" w:rsidR="00FC58AB" w:rsidRDefault="00382C0E">
      <w:pPr>
        <w:spacing w:line="360" w:lineRule="auto"/>
        <w:ind w:right="-787"/>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lastRenderedPageBreak/>
        <w:drawing>
          <wp:inline distT="0" distB="0" distL="0" distR="0" wp14:anchorId="69C10798" wp14:editId="2D4D4EFA">
            <wp:extent cx="3395120" cy="4233567"/>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395120" cy="4233567"/>
                    </a:xfrm>
                    <a:prstGeom prst="rect">
                      <a:avLst/>
                    </a:prstGeom>
                    <a:ln/>
                  </pic:spPr>
                </pic:pic>
              </a:graphicData>
            </a:graphic>
          </wp:inline>
        </w:drawing>
      </w:r>
    </w:p>
    <w:p w14:paraId="4A0EB334" w14:textId="77777777" w:rsidR="00FC58AB" w:rsidRDefault="00FC58AB">
      <w:pPr>
        <w:spacing w:line="360" w:lineRule="auto"/>
        <w:ind w:right="-787"/>
        <w:jc w:val="center"/>
        <w:rPr>
          <w:rFonts w:ascii="Palatino Linotype" w:eastAsia="Palatino Linotype" w:hAnsi="Palatino Linotype" w:cs="Palatino Linotype"/>
        </w:rPr>
      </w:pPr>
    </w:p>
    <w:p w14:paraId="30FDB579"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se observa que la Subdirección de Recursos Materiales, dentro de sus funciones tiene las de integrar los programas anuales de adquisiciones de las dependencias para que a su vez opere dicho programa que se tendrán que documentar y participar de manera presencial para las licitaciones públicas de invitación restringida o adjudicación directa de bienes muebles y de servicios. </w:t>
      </w:r>
    </w:p>
    <w:p w14:paraId="1027A5CC"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las mismas funciones, se observa que dichos documentos se </w:t>
      </w:r>
      <w:r>
        <w:rPr>
          <w:rFonts w:ascii="Palatino Linotype" w:eastAsia="Palatino Linotype" w:hAnsi="Palatino Linotype" w:cs="Palatino Linotype"/>
        </w:rPr>
        <w:t>presentarán</w:t>
      </w:r>
      <w:r>
        <w:rPr>
          <w:rFonts w:ascii="Palatino Linotype" w:eastAsia="Palatino Linotype" w:hAnsi="Palatino Linotype" w:cs="Palatino Linotype"/>
          <w:color w:val="000000"/>
        </w:rPr>
        <w:t xml:space="preserve"> ante el Comité de Adquisiciones y Servicios para su </w:t>
      </w:r>
      <w:r>
        <w:rPr>
          <w:rFonts w:ascii="Palatino Linotype" w:eastAsia="Palatino Linotype" w:hAnsi="Palatino Linotype" w:cs="Palatino Linotype"/>
        </w:rPr>
        <w:t>análisis</w:t>
      </w:r>
      <w:r>
        <w:rPr>
          <w:rFonts w:ascii="Palatino Linotype" w:eastAsia="Palatino Linotype" w:hAnsi="Palatino Linotype" w:cs="Palatino Linotype"/>
          <w:color w:val="000000"/>
        </w:rPr>
        <w:t xml:space="preserve">, evaluación, y dictamen de los expedientes operados. </w:t>
      </w:r>
    </w:p>
    <w:p w14:paraId="5C10377C" w14:textId="77777777" w:rsidR="00FC58AB" w:rsidRDefault="00FC58AB">
      <w:pPr>
        <w:spacing w:line="360" w:lineRule="auto"/>
        <w:ind w:right="-787"/>
        <w:jc w:val="both"/>
        <w:rPr>
          <w:rFonts w:ascii="Palatino Linotype" w:eastAsia="Palatino Linotype" w:hAnsi="Palatino Linotype" w:cs="Palatino Linotype"/>
          <w:color w:val="000000"/>
        </w:rPr>
      </w:pPr>
    </w:p>
    <w:p w14:paraId="752D689C"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Seguidamente, se observa que la Subdirección de Recursos Materiales se integra por el Departamento de Adquisiciones y Servicios, quien tiene el siguiente objetivo y funciones. </w:t>
      </w:r>
    </w:p>
    <w:p w14:paraId="6A131D55" w14:textId="77777777" w:rsidR="00FC58AB" w:rsidRDefault="00FC58AB">
      <w:pPr>
        <w:pBdr>
          <w:top w:val="nil"/>
          <w:left w:val="nil"/>
          <w:bottom w:val="nil"/>
          <w:right w:val="nil"/>
          <w:between w:val="nil"/>
        </w:pBdr>
        <w:ind w:left="708" w:right="-787"/>
        <w:rPr>
          <w:rFonts w:ascii="Palatino Linotype" w:eastAsia="Palatino Linotype" w:hAnsi="Palatino Linotype" w:cs="Palatino Linotype"/>
          <w:color w:val="000000"/>
          <w:sz w:val="22"/>
          <w:szCs w:val="22"/>
        </w:rPr>
      </w:pPr>
    </w:p>
    <w:p w14:paraId="7A593F09" w14:textId="77777777" w:rsidR="00FC58AB" w:rsidRDefault="00382C0E">
      <w:pPr>
        <w:spacing w:line="360" w:lineRule="auto"/>
        <w:ind w:left="708" w:right="-787"/>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14:anchorId="09DB90DC" wp14:editId="4750F8B3">
            <wp:extent cx="4184006" cy="2401256"/>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184006" cy="2401256"/>
                    </a:xfrm>
                    <a:prstGeom prst="rect">
                      <a:avLst/>
                    </a:prstGeom>
                    <a:ln/>
                  </pic:spPr>
                </pic:pic>
              </a:graphicData>
            </a:graphic>
          </wp:inline>
        </w:drawing>
      </w:r>
    </w:p>
    <w:p w14:paraId="4CD43175" w14:textId="77777777" w:rsidR="00FC58AB" w:rsidRDefault="00FC58AB">
      <w:pPr>
        <w:spacing w:line="360" w:lineRule="auto"/>
        <w:ind w:left="708" w:right="-787"/>
        <w:jc w:val="center"/>
        <w:rPr>
          <w:rFonts w:ascii="Palatino Linotype" w:eastAsia="Palatino Linotype" w:hAnsi="Palatino Linotype" w:cs="Palatino Linotype"/>
        </w:rPr>
      </w:pPr>
    </w:p>
    <w:p w14:paraId="037A32A5"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se observa que el Departamento de Adquisiciones y Servicios es el área del Ayuntamiento de Tlalnepantla de Baz que se encarga de </w:t>
      </w:r>
      <w:r>
        <w:rPr>
          <w:rFonts w:ascii="Palatino Linotype" w:eastAsia="Palatino Linotype" w:hAnsi="Palatino Linotype" w:cs="Palatino Linotype"/>
        </w:rPr>
        <w:t>llevar a cabo el procedimiento</w:t>
      </w:r>
      <w:r>
        <w:rPr>
          <w:rFonts w:ascii="Palatino Linotype" w:eastAsia="Palatino Linotype" w:hAnsi="Palatino Linotype" w:cs="Palatino Linotype"/>
          <w:color w:val="000000"/>
        </w:rPr>
        <w:t xml:space="preserve"> correspondiente de las licitaciones y adjudicaciones que firma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con los Contratistas. </w:t>
      </w:r>
    </w:p>
    <w:p w14:paraId="01F58EF4" w14:textId="77777777" w:rsidR="00FC58AB" w:rsidRDefault="00FC58AB">
      <w:pPr>
        <w:spacing w:line="360" w:lineRule="auto"/>
        <w:ind w:right="-787"/>
        <w:jc w:val="both"/>
        <w:rPr>
          <w:rFonts w:ascii="Palatino Linotype" w:eastAsia="Palatino Linotype" w:hAnsi="Palatino Linotype" w:cs="Palatino Linotype"/>
          <w:color w:val="000000"/>
        </w:rPr>
      </w:pPr>
    </w:p>
    <w:p w14:paraId="4479E428"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Una vez que se señaló la fuente obligacional del porque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debe de contar con la información solicitada, también se debe de referir  que lo solicitado tiene carácter de información </w:t>
      </w:r>
      <w:r>
        <w:rPr>
          <w:rFonts w:ascii="Palatino Linotype" w:eastAsia="Palatino Linotype" w:hAnsi="Palatino Linotype" w:cs="Palatino Linotype"/>
        </w:rPr>
        <w:t>pública</w:t>
      </w:r>
      <w:r>
        <w:rPr>
          <w:rFonts w:ascii="Palatino Linotype" w:eastAsia="Palatino Linotype" w:hAnsi="Palatino Linotype" w:cs="Palatino Linotype"/>
          <w:color w:val="000000"/>
        </w:rPr>
        <w:t xml:space="preserve"> de oficio de acuerdo con el artículo 92 de la Ley de Transparencia y Acceso a la Información Pública del Estado de México y Municipios. </w:t>
      </w:r>
    </w:p>
    <w:p w14:paraId="1332B13F"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w:t>
      </w:r>
      <w:r>
        <w:rPr>
          <w:rFonts w:ascii="Palatino Linotype" w:eastAsia="Palatino Linotype" w:hAnsi="Palatino Linotype" w:cs="Palatino Linotype"/>
          <w:i/>
          <w:color w:val="000000"/>
          <w:sz w:val="22"/>
          <w:szCs w:val="22"/>
        </w:rPr>
        <w:lastRenderedPageBreak/>
        <w:t>social, según corresponda, la información, por lo menos, de los temas, documentos y políticas que a continuación se señalan:</w:t>
      </w:r>
    </w:p>
    <w:p w14:paraId="1AC678C8"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4B1461A7"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 a) De licitaciones públicas o procedimientos de invitación restringida: </w:t>
      </w:r>
    </w:p>
    <w:p w14:paraId="67F32B11"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 La convocatoria o invitación emitida, así como los fundamentos legales aplicados para llevarla a cabo; </w:t>
      </w:r>
    </w:p>
    <w:p w14:paraId="76C81E7D"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2) Los nombres de los participantes o invitados; </w:t>
      </w:r>
    </w:p>
    <w:p w14:paraId="76469027"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3) El nombre del ganador y las razones que lo justifican; </w:t>
      </w:r>
    </w:p>
    <w:p w14:paraId="0C1513FE"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4) El área solicitante y la responsable de su ejecución; </w:t>
      </w:r>
    </w:p>
    <w:p w14:paraId="1FACB970"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5) Las convocatorias e invitaciones emitidas; </w:t>
      </w:r>
    </w:p>
    <w:p w14:paraId="4052C013"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6) Los dictámenes y fallo de adjudicación; </w:t>
      </w:r>
    </w:p>
    <w:p w14:paraId="419F7032"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7) El contrato y, en su caso, sus anexos; </w:t>
      </w:r>
    </w:p>
    <w:p w14:paraId="1C9FF918"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8) Los mecanismos de vigilancia y supervisión, incluyendo en su caso, los estudios de impacto urbano y ambiental, según corresponda; </w:t>
      </w:r>
    </w:p>
    <w:p w14:paraId="4023D9C5"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9) La partida presupuestal, de conformidad con el clasificador por objeto del gasto, en el caso de ser aplicable; </w:t>
      </w:r>
    </w:p>
    <w:p w14:paraId="3A66426B"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10) Origen de los recursos especificando si son federales, estatales o municipales, así como el tipo de fondo de participación o aportación respectiva; 11) Los convenios modificatorios que, en su caso, sean firmados, precisando el objeto y la fecha de celebración; </w:t>
      </w:r>
    </w:p>
    <w:p w14:paraId="000ED346"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12) Los informes de avance físico y financiero sobre las obras o servicios contratados; </w:t>
      </w:r>
    </w:p>
    <w:p w14:paraId="53CBD415"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13) El convenio de terminación; y </w:t>
      </w:r>
    </w:p>
    <w:p w14:paraId="4D94178D"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14) El finiquito. </w:t>
      </w:r>
    </w:p>
    <w:p w14:paraId="45584F3E"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b) De las adjudicaciones directas</w:t>
      </w:r>
      <w:r>
        <w:rPr>
          <w:rFonts w:ascii="Palatino Linotype" w:eastAsia="Palatino Linotype" w:hAnsi="Palatino Linotype" w:cs="Palatino Linotype"/>
          <w:i/>
          <w:color w:val="000000"/>
          <w:sz w:val="22"/>
          <w:szCs w:val="22"/>
        </w:rPr>
        <w:t xml:space="preserve">: </w:t>
      </w:r>
    </w:p>
    <w:p w14:paraId="67E4E140"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 La propuesta enviada por el participante; </w:t>
      </w:r>
    </w:p>
    <w:p w14:paraId="52A24B63"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2) Los motivos y fundamentos legales aplicados para llevarla a cabo; </w:t>
      </w:r>
    </w:p>
    <w:p w14:paraId="3732E776"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3) La autorización del ejercicio de la opción; </w:t>
      </w:r>
    </w:p>
    <w:p w14:paraId="36E6732F"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4) En su caso, las cotizaciones consideradas, especificando los nombres de los proveedores y sus montos; </w:t>
      </w:r>
    </w:p>
    <w:p w14:paraId="41DD9955"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5) El nombre de la persona física o jurídica colectiva adjudicada; </w:t>
      </w:r>
    </w:p>
    <w:p w14:paraId="6D5021C0"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6) La unidad administrativa solicitante y la responsable de su ejecución; </w:t>
      </w:r>
    </w:p>
    <w:p w14:paraId="362BB4B8"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7) El número, fecha, el monto del contrato y el plazo de entrega o de ejecución de los servicios u obra</w:t>
      </w:r>
      <w:r>
        <w:rPr>
          <w:rFonts w:ascii="Palatino Linotype" w:eastAsia="Palatino Linotype" w:hAnsi="Palatino Linotype" w:cs="Palatino Linotype"/>
          <w:i/>
          <w:color w:val="000000"/>
          <w:sz w:val="22"/>
          <w:szCs w:val="22"/>
        </w:rPr>
        <w:t xml:space="preserve">; </w:t>
      </w:r>
    </w:p>
    <w:p w14:paraId="45C0B4F6"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8) Los mecanismos de vigilancia y supervisión, incluyendo, en su caso, los estudios de impacto urbano y ambiental, según corresponda; </w:t>
      </w:r>
    </w:p>
    <w:p w14:paraId="0CEB0B1A"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9) Los informes de avance sobre las obras o servicios contratados; </w:t>
      </w:r>
    </w:p>
    <w:p w14:paraId="30158DBB"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10) El convenio de terminación; y </w:t>
      </w:r>
    </w:p>
    <w:p w14:paraId="45EB1BFF"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11) El finiquito.</w:t>
      </w:r>
    </w:p>
    <w:p w14:paraId="679DD00A"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XXXIV. Las estadísticas que generen en cumplimiento de sus facultades, competencias o funciones con la mayor desagregación posible;</w:t>
      </w:r>
    </w:p>
    <w:p w14:paraId="2C42F7A3" w14:textId="77777777" w:rsidR="00FC58AB" w:rsidRDefault="00382C0E">
      <w:pPr>
        <w:spacing w:line="360" w:lineRule="auto"/>
        <w:ind w:right="-787"/>
        <w:jc w:val="both"/>
        <w:rPr>
          <w:rFonts w:ascii="Palatino Linotype" w:eastAsia="Palatino Linotype" w:hAnsi="Palatino Linotype" w:cs="Palatino Linotype"/>
          <w:i/>
        </w:rPr>
      </w:pPr>
      <w:r>
        <w:rPr>
          <w:rFonts w:ascii="Palatino Linotype" w:eastAsia="Palatino Linotype" w:hAnsi="Palatino Linotype" w:cs="Palatino Linotype"/>
          <w:color w:val="000000"/>
        </w:rPr>
        <w:t xml:space="preserve"> </w:t>
      </w:r>
    </w:p>
    <w:p w14:paraId="2022E030"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respecto de la información solicitada se debe de referir que la información puede encontrarse en el expediente formado por el procedimiento adjudicación directa que realizó el</w:t>
      </w:r>
      <w:r>
        <w:rPr>
          <w:rFonts w:ascii="Palatino Linotype" w:eastAsia="Palatino Linotype" w:hAnsi="Palatino Linotype" w:cs="Palatino Linotype"/>
          <w:b/>
          <w:color w:val="000000"/>
        </w:rPr>
        <w:t xml:space="preserve"> SUJETO OBLIGADO, situación por la cual se realiza el siguiente </w:t>
      </w:r>
      <w:r>
        <w:rPr>
          <w:rFonts w:ascii="Palatino Linotype" w:eastAsia="Palatino Linotype" w:hAnsi="Palatino Linotype" w:cs="Palatino Linotype"/>
          <w:b/>
        </w:rPr>
        <w:t>análisis</w:t>
      </w:r>
      <w:r>
        <w:rPr>
          <w:rFonts w:ascii="Palatino Linotype" w:eastAsia="Palatino Linotype" w:hAnsi="Palatino Linotype" w:cs="Palatino Linotype"/>
          <w:b/>
          <w:color w:val="000000"/>
        </w:rPr>
        <w:t xml:space="preserve">. </w:t>
      </w:r>
    </w:p>
    <w:p w14:paraId="74FF5F36" w14:textId="77777777" w:rsidR="00FC58AB" w:rsidRDefault="00FC58AB">
      <w:pPr>
        <w:pBdr>
          <w:top w:val="nil"/>
          <w:left w:val="nil"/>
          <w:bottom w:val="nil"/>
          <w:right w:val="nil"/>
          <w:between w:val="nil"/>
        </w:pBdr>
        <w:ind w:left="720" w:right="-787"/>
        <w:rPr>
          <w:rFonts w:ascii="Palatino Linotype" w:eastAsia="Palatino Linotype" w:hAnsi="Palatino Linotype" w:cs="Palatino Linotype"/>
          <w:color w:val="000000"/>
        </w:rPr>
      </w:pPr>
    </w:p>
    <w:p w14:paraId="03F4894A"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En</w:t>
      </w:r>
      <w:r>
        <w:rPr>
          <w:rFonts w:ascii="Palatino Linotype" w:eastAsia="Palatino Linotype" w:hAnsi="Palatino Linotype" w:cs="Palatino Linotype"/>
        </w:rPr>
        <w:t xml:space="preserve"> esa línea de estudio, es necesario analizar el procedimiento y documentos que se generan por un procedimiento de adjudicación directa. </w:t>
      </w:r>
    </w:p>
    <w:p w14:paraId="57439A4C" w14:textId="77777777" w:rsidR="00FC58AB" w:rsidRDefault="00FC58AB">
      <w:pPr>
        <w:pBdr>
          <w:top w:val="nil"/>
          <w:left w:val="nil"/>
          <w:bottom w:val="nil"/>
          <w:right w:val="nil"/>
          <w:between w:val="nil"/>
        </w:pBdr>
        <w:ind w:left="720" w:right="-787"/>
        <w:rPr>
          <w:rFonts w:ascii="Palatino Linotype" w:eastAsia="Palatino Linotype" w:hAnsi="Palatino Linotype" w:cs="Palatino Linotype"/>
          <w:color w:val="000000"/>
        </w:rPr>
      </w:pPr>
    </w:p>
    <w:p w14:paraId="57833B36"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la Ley de la  Contratación Pública del Estado de México y Municipios, tiene por objeto regular los actos relativos a la planeación, programación, presupuestación, ejecución y control de las obras públicas de los  </w:t>
      </w:r>
      <w:r>
        <w:rPr>
          <w:rFonts w:ascii="Palatino Linotype" w:eastAsia="Palatino Linotype" w:hAnsi="Palatino Linotype" w:cs="Palatino Linotype"/>
          <w:color w:val="000000"/>
        </w:rPr>
        <w:t>Ayuntamientos</w:t>
      </w:r>
      <w:r>
        <w:rPr>
          <w:rFonts w:ascii="Palatino Linotype" w:eastAsia="Palatino Linotype" w:hAnsi="Palatino Linotype" w:cs="Palatino Linotype"/>
        </w:rPr>
        <w:t xml:space="preserve"> del Estado; los cuales </w:t>
      </w:r>
      <w:r>
        <w:rPr>
          <w:rFonts w:ascii="Palatino Linotype" w:eastAsia="Palatino Linotype" w:hAnsi="Palatino Linotype" w:cs="Palatino Linotype"/>
          <w:b/>
        </w:rPr>
        <w:t xml:space="preserve">se adjudicará a través de licitaciones </w:t>
      </w:r>
      <w:r>
        <w:rPr>
          <w:rFonts w:ascii="Palatino Linotype" w:eastAsia="Palatino Linotype" w:hAnsi="Palatino Linotype" w:cs="Palatino Linotype"/>
        </w:rPr>
        <w:t>públicas, invitación restringid</w:t>
      </w:r>
      <w:r>
        <w:rPr>
          <w:rFonts w:ascii="Palatino Linotype" w:eastAsia="Palatino Linotype" w:hAnsi="Palatino Linotype" w:cs="Palatino Linotype"/>
          <w:b/>
        </w:rPr>
        <w:t>a o adjudicación directa</w:t>
      </w:r>
      <w:r>
        <w:rPr>
          <w:rFonts w:ascii="Palatino Linotype" w:eastAsia="Palatino Linotype" w:hAnsi="Palatino Linotype" w:cs="Palatino Linotype"/>
        </w:rPr>
        <w:t>, mediante convocatoria pública, tal y como lo establecen los artículos 4, 26 y 27 de dicha Ley, los cuales son del tenor siguiente:</w:t>
      </w:r>
    </w:p>
    <w:p w14:paraId="60836C25" w14:textId="77777777" w:rsidR="00FC58AB" w:rsidRDefault="00382C0E">
      <w:pPr>
        <w:ind w:left="1134"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Para los efectos de esta Ley, en las adquisiciones, enajenaciones, arrendamientos y servicios, quedan comprendidos: </w:t>
      </w:r>
    </w:p>
    <w:p w14:paraId="2CD8A601" w14:textId="77777777" w:rsidR="00FC58AB" w:rsidRDefault="00382C0E">
      <w:pPr>
        <w:ind w:left="1134"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La adquisición de bienes muebles. </w:t>
      </w:r>
    </w:p>
    <w:p w14:paraId="0E6530AF" w14:textId="77777777" w:rsidR="00FC58AB" w:rsidRDefault="00382C0E">
      <w:pPr>
        <w:ind w:left="1134"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La adquisición de bienes inmuebles, a través de compraventa. </w:t>
      </w:r>
    </w:p>
    <w:p w14:paraId="5B096584" w14:textId="77777777" w:rsidR="00FC58AB" w:rsidRDefault="00382C0E">
      <w:pPr>
        <w:ind w:left="1134"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La enajenación de bienes muebles e inmuebles. </w:t>
      </w:r>
    </w:p>
    <w:p w14:paraId="12885EC9" w14:textId="77777777" w:rsidR="00FC58AB" w:rsidRDefault="00382C0E">
      <w:pPr>
        <w:ind w:left="1134"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El arrendamiento de bienes muebles e inmuebles. </w:t>
      </w:r>
    </w:p>
    <w:p w14:paraId="14A8F2BB" w14:textId="77777777" w:rsidR="00FC58AB" w:rsidRDefault="00382C0E">
      <w:pPr>
        <w:ind w:left="1134"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La contratación de los servicios, relacionados con bienes muebles que se encuentran incorporados o adheridos a bienes inmuebles, cuya instalación o mantenimiento no implique modificación al bien inmueble. </w:t>
      </w:r>
    </w:p>
    <w:p w14:paraId="30749BC5" w14:textId="77777777" w:rsidR="00FC58AB" w:rsidRDefault="00382C0E">
      <w:pPr>
        <w:ind w:left="1134" w:right="62"/>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lastRenderedPageBreak/>
        <w:t xml:space="preserve">VI. La contratación de los servicios de reconstrucción y mantenimiento de bienes muebles. </w:t>
      </w:r>
    </w:p>
    <w:p w14:paraId="04889203" w14:textId="77777777" w:rsidR="00FC58AB" w:rsidRDefault="00382C0E">
      <w:pPr>
        <w:ind w:left="1134"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 xml:space="preserve">VII. La contratación de los servicios </w:t>
      </w:r>
      <w:r>
        <w:rPr>
          <w:rFonts w:ascii="Palatino Linotype" w:eastAsia="Palatino Linotype" w:hAnsi="Palatino Linotype" w:cs="Palatino Linotype"/>
          <w:i/>
          <w:sz w:val="22"/>
          <w:szCs w:val="22"/>
        </w:rPr>
        <w:t>de maquila, seguros y transportación, así como de los de limpieza y vigilancia de bienes inmuebles</w:t>
      </w:r>
    </w:p>
    <w:p w14:paraId="06562E79" w14:textId="77777777" w:rsidR="00FC58AB" w:rsidRDefault="00382C0E">
      <w:pPr>
        <w:ind w:left="1134"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La prestación de servicios profesionales, la contratación de consultorías, asesorías y estudios e investigaciones, excepto la contratación de servicios personales de personas físicas bajo el régimen de honorarios. </w:t>
      </w:r>
    </w:p>
    <w:p w14:paraId="33417FF8" w14:textId="77777777" w:rsidR="00FC58AB" w:rsidRDefault="00382C0E">
      <w:pPr>
        <w:ind w:left="1134" w:right="62"/>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En general, otros actos que impliquen la contratación de servicios de cualquier naturaleza.</w:t>
      </w:r>
    </w:p>
    <w:p w14:paraId="72D726C8" w14:textId="77777777" w:rsidR="00FC58AB" w:rsidRDefault="00382C0E">
      <w:pPr>
        <w:ind w:left="1134" w:right="6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26.- Las adquisiciones, arrendamientos y servicios se adjudicarán a través de licitaciones públicas, mediante convocatoria pública.</w:t>
      </w:r>
    </w:p>
    <w:p w14:paraId="42F7B0C1" w14:textId="77777777" w:rsidR="00FC58AB" w:rsidRDefault="00FC58AB">
      <w:pPr>
        <w:ind w:left="1134" w:right="62"/>
        <w:jc w:val="both"/>
        <w:rPr>
          <w:rFonts w:ascii="Palatino Linotype" w:eastAsia="Palatino Linotype" w:hAnsi="Palatino Linotype" w:cs="Palatino Linotype"/>
          <w:b/>
          <w:i/>
          <w:sz w:val="22"/>
          <w:szCs w:val="22"/>
        </w:rPr>
      </w:pPr>
    </w:p>
    <w:p w14:paraId="3344BDBF" w14:textId="77777777" w:rsidR="00FC58AB" w:rsidRDefault="00382C0E">
      <w:pPr>
        <w:ind w:left="1134"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27.- </w:t>
      </w:r>
      <w:r>
        <w:rPr>
          <w:rFonts w:ascii="Palatino Linotype" w:eastAsia="Palatino Linotype" w:hAnsi="Palatino Linotype" w:cs="Palatino Linotype"/>
          <w:i/>
          <w:sz w:val="22"/>
          <w:szCs w:val="22"/>
        </w:rPr>
        <w:t>La Oficialía Mayor, las entidades, los tribunales administrativos y los ayuntamientos podrán adjudicar adquisiciones, arrendamientos y servicios, mediante las excepciones al procedimiento de licitación que a continuación se señalan:</w:t>
      </w:r>
    </w:p>
    <w:p w14:paraId="6F3015DC" w14:textId="77777777" w:rsidR="00FC58AB" w:rsidRDefault="00382C0E">
      <w:pPr>
        <w:ind w:left="1134" w:right="6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Invitación restringida. </w:t>
      </w:r>
    </w:p>
    <w:p w14:paraId="22C39215" w14:textId="77777777" w:rsidR="00FC58AB" w:rsidRDefault="00382C0E">
      <w:pPr>
        <w:ind w:left="1134" w:right="6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Adjudicación directa.”</w:t>
      </w:r>
    </w:p>
    <w:p w14:paraId="43C7FE87" w14:textId="77777777" w:rsidR="00FC58AB" w:rsidRDefault="00382C0E">
      <w:pPr>
        <w:ind w:left="1134" w:right="62"/>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(Énfasis añadido) </w:t>
      </w:r>
    </w:p>
    <w:p w14:paraId="6A7C6525" w14:textId="77777777" w:rsidR="00FC58AB" w:rsidRDefault="00FC58AB">
      <w:pPr>
        <w:ind w:right="-787"/>
        <w:rPr>
          <w:rFonts w:ascii="Palatino Linotype" w:eastAsia="Palatino Linotype" w:hAnsi="Palatino Linotype" w:cs="Palatino Linotype"/>
          <w:i/>
        </w:rPr>
      </w:pPr>
    </w:p>
    <w:p w14:paraId="4141300E"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Del precepto legal, se desprende que al Departamento de Adquisiciones y Servicios del Ayuntamiento de Tlalnepantla de Baz, le corresponde evaluar y analizar las </w:t>
      </w:r>
      <w:r>
        <w:rPr>
          <w:rFonts w:ascii="Palatino Linotype" w:eastAsia="Palatino Linotype" w:hAnsi="Palatino Linotype" w:cs="Palatino Linotype"/>
          <w:color w:val="000000"/>
        </w:rPr>
        <w:t>propuestas</w:t>
      </w:r>
      <w:r>
        <w:rPr>
          <w:rFonts w:ascii="Palatino Linotype" w:eastAsia="Palatino Linotype" w:hAnsi="Palatino Linotype" w:cs="Palatino Linotype"/>
        </w:rPr>
        <w:t xml:space="preserve">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 </w:t>
      </w:r>
    </w:p>
    <w:p w14:paraId="7CDD6D56"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el artículo 48 de la Ley de Contratación Pública del Estado de México y Municipios, contempla las </w:t>
      </w:r>
      <w:r>
        <w:rPr>
          <w:rFonts w:ascii="Palatino Linotype" w:eastAsia="Palatino Linotype" w:hAnsi="Palatino Linotype" w:cs="Palatino Linotype"/>
        </w:rPr>
        <w:t>siguientes</w:t>
      </w:r>
      <w:r>
        <w:rPr>
          <w:rFonts w:ascii="Palatino Linotype" w:eastAsia="Palatino Linotype" w:hAnsi="Palatino Linotype" w:cs="Palatino Linotype"/>
          <w:color w:val="000000"/>
        </w:rPr>
        <w:t xml:space="preserve"> para la </w:t>
      </w:r>
      <w:r>
        <w:rPr>
          <w:rFonts w:ascii="Palatino Linotype" w:eastAsia="Palatino Linotype" w:hAnsi="Palatino Linotype" w:cs="Palatino Linotype"/>
          <w:b/>
          <w:color w:val="000000"/>
        </w:rPr>
        <w:t xml:space="preserve">adjudicación directa. </w:t>
      </w:r>
    </w:p>
    <w:p w14:paraId="55B87DCB" w14:textId="77777777" w:rsidR="00FC58AB" w:rsidRDefault="00382C0E">
      <w:pPr>
        <w:tabs>
          <w:tab w:val="left" w:pos="284"/>
        </w:tabs>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48.-</w:t>
      </w:r>
      <w:r>
        <w:rPr>
          <w:rFonts w:ascii="Palatino Linotype" w:eastAsia="Palatino Linotype" w:hAnsi="Palatino Linotype" w:cs="Palatino Linotype"/>
          <w:i/>
          <w:color w:val="000000"/>
          <w:sz w:val="22"/>
          <w:szCs w:val="22"/>
        </w:rPr>
        <w:t xml:space="preserve"> La Oficialía Mayor, las entidades, los tribunales administrativos y </w:t>
      </w:r>
      <w:r>
        <w:rPr>
          <w:rFonts w:ascii="Palatino Linotype" w:eastAsia="Palatino Linotype" w:hAnsi="Palatino Linotype" w:cs="Palatino Linotype"/>
          <w:b/>
          <w:i/>
          <w:color w:val="000000"/>
          <w:sz w:val="22"/>
          <w:szCs w:val="22"/>
        </w:rPr>
        <w:t>los ayuntamientos</w:t>
      </w:r>
      <w:r>
        <w:rPr>
          <w:rFonts w:ascii="Palatino Linotype" w:eastAsia="Palatino Linotype" w:hAnsi="Palatino Linotype" w:cs="Palatino Linotype"/>
          <w:i/>
          <w:color w:val="000000"/>
          <w:sz w:val="22"/>
          <w:szCs w:val="22"/>
        </w:rPr>
        <w:t xml:space="preserve"> podrán adquirir bienes, arrendar bienes muebles e inmuebles y contratar servicios, mediante adjudicación directa, cuando: </w:t>
      </w:r>
    </w:p>
    <w:p w14:paraId="21BEB0D6" w14:textId="77777777" w:rsidR="00FC58AB" w:rsidRDefault="00382C0E">
      <w:pPr>
        <w:numPr>
          <w:ilvl w:val="1"/>
          <w:numId w:val="7"/>
        </w:numPr>
        <w:pBdr>
          <w:top w:val="nil"/>
          <w:left w:val="nil"/>
          <w:bottom w:val="nil"/>
          <w:right w:val="nil"/>
          <w:between w:val="nil"/>
        </w:pBdr>
        <w:tabs>
          <w:tab w:val="left" w:pos="284"/>
        </w:tabs>
        <w:ind w:left="1134" w:right="62"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adquisición o el servicio sólo puedan realizarse con una determinada persona, por tratarse de obras de arte, titularidad de patentes, registros, marcas específicas, derechos de autor u otros derechos exclusivos. </w:t>
      </w:r>
    </w:p>
    <w:p w14:paraId="2B92BE49" w14:textId="77777777" w:rsidR="00FC58AB" w:rsidRDefault="00382C0E">
      <w:pPr>
        <w:pBdr>
          <w:top w:val="nil"/>
          <w:left w:val="nil"/>
          <w:bottom w:val="nil"/>
          <w:right w:val="nil"/>
          <w:between w:val="nil"/>
        </w:pBdr>
        <w:tabs>
          <w:tab w:val="left" w:pos="284"/>
        </w:tabs>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II.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 </w:t>
      </w:r>
    </w:p>
    <w:p w14:paraId="379AC75E" w14:textId="77777777" w:rsidR="00FC58AB" w:rsidRDefault="00382C0E">
      <w:pPr>
        <w:pBdr>
          <w:top w:val="nil"/>
          <w:left w:val="nil"/>
          <w:bottom w:val="nil"/>
          <w:right w:val="nil"/>
          <w:between w:val="nil"/>
        </w:pBdr>
        <w:tabs>
          <w:tab w:val="left" w:pos="284"/>
        </w:tabs>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III. Se trate de servicios que requieran de experiencia, técnicas o equipos especiales, o se trate de la adquisición de bienes usados o de características especiales que solamente puedan ser prestados o suministrados por una sola persona. </w:t>
      </w:r>
    </w:p>
    <w:p w14:paraId="47DF3A9D" w14:textId="77777777" w:rsidR="00FC58AB" w:rsidRDefault="00382C0E">
      <w:pPr>
        <w:pBdr>
          <w:top w:val="nil"/>
          <w:left w:val="nil"/>
          <w:bottom w:val="nil"/>
          <w:right w:val="nil"/>
          <w:between w:val="nil"/>
        </w:pBdr>
        <w:tabs>
          <w:tab w:val="left" w:pos="284"/>
        </w:tabs>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IV.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 </w:t>
      </w:r>
    </w:p>
    <w:p w14:paraId="59D86E3A" w14:textId="77777777" w:rsidR="00FC58AB" w:rsidRDefault="00382C0E">
      <w:pPr>
        <w:pBdr>
          <w:top w:val="nil"/>
          <w:left w:val="nil"/>
          <w:bottom w:val="nil"/>
          <w:right w:val="nil"/>
          <w:between w:val="nil"/>
        </w:pBdr>
        <w:tabs>
          <w:tab w:val="left" w:pos="284"/>
        </w:tabs>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 Existan circunstancias que puedan provocar pérdidas o costos adicionales importantes al erario. </w:t>
      </w:r>
    </w:p>
    <w:p w14:paraId="5F099510" w14:textId="77777777" w:rsidR="00FC58AB" w:rsidRDefault="00382C0E">
      <w:pPr>
        <w:pBdr>
          <w:top w:val="nil"/>
          <w:left w:val="nil"/>
          <w:bottom w:val="nil"/>
          <w:right w:val="nil"/>
          <w:between w:val="nil"/>
        </w:pBdr>
        <w:tabs>
          <w:tab w:val="left" w:pos="284"/>
        </w:tabs>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 Pueda comprometerse información de naturaleza confidencial para el Estado o municipios, por razones de seguridad pública. </w:t>
      </w:r>
    </w:p>
    <w:p w14:paraId="0DA87988" w14:textId="77777777" w:rsidR="00FC58AB" w:rsidRDefault="00382C0E">
      <w:pPr>
        <w:pBdr>
          <w:top w:val="nil"/>
          <w:left w:val="nil"/>
          <w:bottom w:val="nil"/>
          <w:right w:val="nil"/>
          <w:between w:val="nil"/>
        </w:pBdr>
        <w:tabs>
          <w:tab w:val="left" w:pos="284"/>
        </w:tabs>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VII. Existan circunstancias extraordinarias o imprevisibles derivadas de riesgo o desastre. En este supuesto, la adquisición, arrendamiento y servicio deberá limitarse a lo estrictamente necesario para enfrentar tal eventualidad. </w:t>
      </w:r>
    </w:p>
    <w:p w14:paraId="134B0D68" w14:textId="77777777" w:rsidR="00FC58AB" w:rsidRDefault="00382C0E">
      <w:pPr>
        <w:pBdr>
          <w:top w:val="nil"/>
          <w:left w:val="nil"/>
          <w:bottom w:val="nil"/>
          <w:right w:val="nil"/>
          <w:between w:val="nil"/>
        </w:pBdr>
        <w:tabs>
          <w:tab w:val="left" w:pos="284"/>
        </w:tabs>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VIII. Se hubiere rescindido un contrato, por causas imputables al proveedor o que la persona que habiendo resultado ganadora en una licitación, no concurra a la suscripción del contrato dentro del plazo establecido en esta Ley. En estos supuestos, la Oficialía Mayor, la entidad, el tribunal administrativo o el ayuntamiento podrá adjudicar el contrato al licitante que haya presentado la propuesta solvente más cercana a la ganadora y así, sucesivamente. En todo caso, la diferencia de precio no deberá de ser superior al diez por ciento, respecto de la propuesta ganadora. </w:t>
      </w:r>
    </w:p>
    <w:p w14:paraId="414E0EB2" w14:textId="77777777" w:rsidR="00FC58AB" w:rsidRDefault="00382C0E">
      <w:pPr>
        <w:pBdr>
          <w:top w:val="nil"/>
          <w:left w:val="nil"/>
          <w:bottom w:val="nil"/>
          <w:right w:val="nil"/>
          <w:between w:val="nil"/>
        </w:pBdr>
        <w:tabs>
          <w:tab w:val="left" w:pos="284"/>
        </w:tabs>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IX. Se hubiere declarado desierto un procedimiento de invitación restringida. </w:t>
      </w:r>
    </w:p>
    <w:p w14:paraId="6A969A2E" w14:textId="77777777" w:rsidR="00FC58AB" w:rsidRDefault="00382C0E">
      <w:pPr>
        <w:pBdr>
          <w:top w:val="nil"/>
          <w:left w:val="nil"/>
          <w:bottom w:val="nil"/>
          <w:right w:val="nil"/>
          <w:between w:val="nil"/>
        </w:pBdr>
        <w:tabs>
          <w:tab w:val="left" w:pos="284"/>
        </w:tabs>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 Cuando se aseguren condiciones financieras que permitan al Estado o a los municipios cumplir con la obligación de pago de manera diferida, sin que ello implique un costo financiero adicional o que habiéndolo, sea inferior al del mercado, o </w:t>
      </w:r>
    </w:p>
    <w:p w14:paraId="2EA5B68C" w14:textId="77777777" w:rsidR="00FC58AB" w:rsidRDefault="00382C0E">
      <w:pPr>
        <w:pBdr>
          <w:top w:val="nil"/>
          <w:left w:val="nil"/>
          <w:bottom w:val="nil"/>
          <w:right w:val="nil"/>
          <w:between w:val="nil"/>
        </w:pBdr>
        <w:tabs>
          <w:tab w:val="left" w:pos="284"/>
        </w:tabs>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 El importe de la operación no rebase los montos establecidos en el Presupuesto de Egresos del Gobierno del Estado del ejercicio correspondiente. Tratándose de arrendamientos de inmuebles se entenderá por importe de la operación el monto mensual de la renta. Las dependencias, las entidades, los tribunales administrativos y los ayuntamientos se abstendrán de fraccionar el importe de las operaciones, con el propósito de quedar comprendidos en este supuesto de excepción. La Secretaría de la </w:t>
      </w:r>
      <w:r>
        <w:rPr>
          <w:rFonts w:ascii="Palatino Linotype" w:eastAsia="Palatino Linotype" w:hAnsi="Palatino Linotype" w:cs="Palatino Linotype"/>
          <w:i/>
          <w:color w:val="000000"/>
          <w:sz w:val="22"/>
          <w:szCs w:val="22"/>
        </w:rPr>
        <w:lastRenderedPageBreak/>
        <w:t xml:space="preserve">Contraloría y los órganos de control interno, en el ámbito de su competencia, vigilarán el cumplimiento de esta disposición. </w:t>
      </w:r>
    </w:p>
    <w:p w14:paraId="2658D88D" w14:textId="77777777" w:rsidR="00FC58AB" w:rsidRDefault="00382C0E">
      <w:pPr>
        <w:pBdr>
          <w:top w:val="nil"/>
          <w:left w:val="nil"/>
          <w:bottom w:val="nil"/>
          <w:right w:val="nil"/>
          <w:between w:val="nil"/>
        </w:pBdr>
        <w:tabs>
          <w:tab w:val="left" w:pos="284"/>
        </w:tabs>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XII.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 </w:t>
      </w:r>
    </w:p>
    <w:p w14:paraId="39785BD6" w14:textId="77777777" w:rsidR="00FC58AB" w:rsidRDefault="00382C0E">
      <w:pPr>
        <w:pBdr>
          <w:top w:val="nil"/>
          <w:left w:val="nil"/>
          <w:bottom w:val="nil"/>
          <w:right w:val="nil"/>
          <w:between w:val="nil"/>
        </w:pBdr>
        <w:tabs>
          <w:tab w:val="left" w:pos="284"/>
        </w:tabs>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49.-</w:t>
      </w:r>
      <w:r>
        <w:rPr>
          <w:rFonts w:ascii="Palatino Linotype" w:eastAsia="Palatino Linotype" w:hAnsi="Palatino Linotype" w:cs="Palatino Linotype"/>
          <w:i/>
          <w:color w:val="000000"/>
          <w:sz w:val="22"/>
          <w:szCs w:val="22"/>
        </w:rPr>
        <w:t xml:space="preserve"> El procedimiento de adjudicación directa se substanciará con arreglo a el reglamento de esta Ley. </w:t>
      </w:r>
    </w:p>
    <w:p w14:paraId="5967E693" w14:textId="77777777" w:rsidR="00FC58AB" w:rsidRDefault="00FC58AB">
      <w:pPr>
        <w:tabs>
          <w:tab w:val="left" w:pos="284"/>
        </w:tabs>
        <w:ind w:right="-787"/>
        <w:jc w:val="both"/>
        <w:rPr>
          <w:rFonts w:ascii="Palatino Linotype" w:eastAsia="Palatino Linotype" w:hAnsi="Palatino Linotype" w:cs="Palatino Linotype"/>
          <w:i/>
          <w:color w:val="000000"/>
        </w:rPr>
      </w:pPr>
    </w:p>
    <w:p w14:paraId="02057A56"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esa línea de estudio, de conformidad con el Reglamento de la Ley de Contratación Pública del Estado de México y Municipios, regula que por Adjudicación Directa se entiende lo siguiente. </w:t>
      </w:r>
    </w:p>
    <w:p w14:paraId="2732DC0F" w14:textId="77777777" w:rsidR="00FC58AB" w:rsidRDefault="00382C0E">
      <w:pP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2.- Para los efectos de este Reglamento, se entenderá por: </w:t>
      </w:r>
    </w:p>
    <w:p w14:paraId="6530E25F" w14:textId="77777777" w:rsidR="00FC58AB" w:rsidRDefault="00382C0E">
      <w:pPr>
        <w:numPr>
          <w:ilvl w:val="0"/>
          <w:numId w:val="10"/>
        </w:numPr>
        <w:pBdr>
          <w:top w:val="nil"/>
          <w:left w:val="nil"/>
          <w:bottom w:val="nil"/>
          <w:right w:val="nil"/>
          <w:between w:val="nil"/>
        </w:pBdr>
        <w:ind w:left="1134" w:right="62"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Adjudicación directa:</w:t>
      </w:r>
      <w:r>
        <w:rPr>
          <w:rFonts w:ascii="Palatino Linotype" w:eastAsia="Palatino Linotype" w:hAnsi="Palatino Linotype" w:cs="Palatino Linotype"/>
          <w:i/>
          <w:color w:val="000000"/>
          <w:sz w:val="22"/>
          <w:szCs w:val="22"/>
        </w:rPr>
        <w:t xml:space="preserve"> Excepción al procedimiento de licitación pública para la adquisición de bienes, enajenación o arrendamiento de bienes, o la contratación de servicios en el que la convocante, designa al proveedor de bienes, arrendador, comprador o prestador del servicio, con base en las mejores condiciones en cuanto a precio, calidad, financiamiento, oportunidad y demás circunstancias pertinentes.</w:t>
      </w:r>
    </w:p>
    <w:p w14:paraId="1F694CD3" w14:textId="77777777" w:rsidR="00FC58AB" w:rsidRDefault="00FC58AB">
      <w:pPr>
        <w:pBdr>
          <w:top w:val="nil"/>
          <w:left w:val="nil"/>
          <w:bottom w:val="nil"/>
          <w:right w:val="nil"/>
          <w:between w:val="nil"/>
        </w:pBdr>
        <w:ind w:left="1854" w:right="-787"/>
        <w:jc w:val="both"/>
        <w:rPr>
          <w:rFonts w:ascii="Palatino Linotype" w:eastAsia="Palatino Linotype" w:hAnsi="Palatino Linotype" w:cs="Palatino Linotype"/>
          <w:i/>
          <w:color w:val="000000"/>
          <w:sz w:val="22"/>
          <w:szCs w:val="22"/>
        </w:rPr>
      </w:pPr>
    </w:p>
    <w:p w14:paraId="25B50D3A"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se colige que el área convocante es quien designa al proveedor de bienes, arrendador, comprador o prestador del servicio con base en las mejores condiciones en cuanto a precio, calidad y financiamiento. </w:t>
      </w:r>
    </w:p>
    <w:p w14:paraId="2DC923FE" w14:textId="77777777" w:rsidR="00FC58AB" w:rsidRDefault="00FC58AB">
      <w:pPr>
        <w:spacing w:line="360" w:lineRule="auto"/>
        <w:ind w:right="-787"/>
        <w:jc w:val="both"/>
        <w:rPr>
          <w:rFonts w:ascii="Palatino Linotype" w:eastAsia="Palatino Linotype" w:hAnsi="Palatino Linotype" w:cs="Palatino Linotype"/>
          <w:color w:val="000000"/>
        </w:rPr>
      </w:pPr>
    </w:p>
    <w:p w14:paraId="18768A69"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Seguidamente el artículo 93 del Reglamento de la Ley de Contratación Pública del Estado de México y Municipios, regula que los municipios </w:t>
      </w:r>
      <w:r>
        <w:rPr>
          <w:rFonts w:ascii="Palatino Linotype" w:eastAsia="Palatino Linotype" w:hAnsi="Palatino Linotype" w:cs="Palatino Linotype"/>
        </w:rPr>
        <w:t>solicitarán</w:t>
      </w:r>
      <w:r>
        <w:rPr>
          <w:rFonts w:ascii="Palatino Linotype" w:eastAsia="Palatino Linotype" w:hAnsi="Palatino Linotype" w:cs="Palatino Linotype"/>
          <w:color w:val="000000"/>
        </w:rPr>
        <w:t xml:space="preserve"> al Comité de Adquisiciones el dictamen de procedencia del procedimiento de adjudicación, en el que se acredite previamente lo siguiente. </w:t>
      </w:r>
    </w:p>
    <w:p w14:paraId="16A8AE65" w14:textId="77777777" w:rsidR="00FC58AB" w:rsidRDefault="00382C0E">
      <w:pP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Artículo 93.- </w:t>
      </w:r>
      <w:r>
        <w:rPr>
          <w:rFonts w:ascii="Palatino Linotype" w:eastAsia="Palatino Linotype" w:hAnsi="Palatino Linotype" w:cs="Palatino Linotype"/>
          <w:i/>
          <w:color w:val="000000"/>
          <w:sz w:val="22"/>
          <w:szCs w:val="22"/>
        </w:rPr>
        <w:t xml:space="preserve">La Secretaría, organismos auxiliares, tribunales administrativos y municipios, solicitarán al comité el dictamen de procedencia del procedimiento de adjudicación directa, acreditando previamente: </w:t>
      </w:r>
    </w:p>
    <w:p w14:paraId="603720C5" w14:textId="77777777" w:rsidR="00FC58AB" w:rsidRDefault="00382C0E">
      <w:pPr>
        <w:numPr>
          <w:ilvl w:val="0"/>
          <w:numId w:val="11"/>
        </w:numPr>
        <w:pBdr>
          <w:top w:val="nil"/>
          <w:left w:val="nil"/>
          <w:bottom w:val="nil"/>
          <w:right w:val="nil"/>
          <w:between w:val="nil"/>
        </w:pBdr>
        <w:ind w:left="1134" w:right="62"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descripción general de los bienes a adquirir o el servicio a contratar; </w:t>
      </w:r>
    </w:p>
    <w:p w14:paraId="3DF11BBB" w14:textId="77777777" w:rsidR="00FC58AB" w:rsidRDefault="00382C0E">
      <w:pP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II. La justificación o conveniencia de llevar a cabo la adjudicación directa; y </w:t>
      </w:r>
    </w:p>
    <w:p w14:paraId="65C19991" w14:textId="77777777" w:rsidR="00FC58AB" w:rsidRDefault="00382C0E">
      <w:pPr>
        <w:ind w:left="1134" w:right="62"/>
        <w:jc w:val="both"/>
        <w:rPr>
          <w:i/>
          <w:sz w:val="22"/>
          <w:szCs w:val="22"/>
        </w:rPr>
      </w:pPr>
      <w:r>
        <w:rPr>
          <w:rFonts w:ascii="Palatino Linotype" w:eastAsia="Palatino Linotype" w:hAnsi="Palatino Linotype" w:cs="Palatino Linotype"/>
          <w:i/>
          <w:color w:val="000000"/>
          <w:sz w:val="22"/>
          <w:szCs w:val="22"/>
        </w:rPr>
        <w:t>III. Certificación de suficiencia presupuestaria.</w:t>
      </w:r>
      <w:r>
        <w:rPr>
          <w:i/>
          <w:sz w:val="22"/>
          <w:szCs w:val="22"/>
        </w:rPr>
        <w:t xml:space="preserve"> </w:t>
      </w:r>
    </w:p>
    <w:p w14:paraId="4F2D3833" w14:textId="77777777" w:rsidR="00FC58AB" w:rsidRDefault="00382C0E">
      <w:pPr>
        <w:ind w:left="1134" w:right="6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t xml:space="preserve">El oficio justificatorio a que se refiere la fracción II, </w:t>
      </w:r>
      <w:r>
        <w:rPr>
          <w:rFonts w:ascii="Palatino Linotype" w:eastAsia="Palatino Linotype" w:hAnsi="Palatino Linotype" w:cs="Palatino Linotype"/>
          <w:b/>
          <w:i/>
          <w:color w:val="000000"/>
          <w:sz w:val="22"/>
          <w:szCs w:val="22"/>
        </w:rPr>
        <w:t xml:space="preserve">deberá formularse por el titular de la unidad administrativa interesada en la adquisición de los bienes, la contratación de servicios o el arrendamiento. </w:t>
      </w:r>
    </w:p>
    <w:p w14:paraId="14D1E548" w14:textId="77777777" w:rsidR="00FC58AB" w:rsidRDefault="00FC58AB">
      <w:pPr>
        <w:ind w:left="1134" w:right="-787"/>
        <w:jc w:val="both"/>
        <w:rPr>
          <w:rFonts w:ascii="Palatino Linotype" w:eastAsia="Palatino Linotype" w:hAnsi="Palatino Linotype" w:cs="Palatino Linotype"/>
          <w:i/>
          <w:color w:val="000000"/>
        </w:rPr>
      </w:pPr>
    </w:p>
    <w:p w14:paraId="5355AC15"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se contempla que dentro de la información que se encuentra en el expediente aperturado por el procedimiento de adjudicación directa se encuentra las descripción general de los bienes a adquirir o servicios a contratar, la justificación o conveniencia de llevar a cabo la adjudicación directa, la certificación </w:t>
      </w:r>
      <w:r>
        <w:rPr>
          <w:rFonts w:ascii="Palatino Linotype" w:eastAsia="Palatino Linotype" w:hAnsi="Palatino Linotype" w:cs="Palatino Linotype"/>
        </w:rPr>
        <w:t>de suficiencia</w:t>
      </w:r>
      <w:r>
        <w:rPr>
          <w:rFonts w:ascii="Palatino Linotype" w:eastAsia="Palatino Linotype" w:hAnsi="Palatino Linotype" w:cs="Palatino Linotype"/>
          <w:color w:val="000000"/>
        </w:rPr>
        <w:t xml:space="preserve"> presupuestaria y el oficio </w:t>
      </w:r>
      <w:r>
        <w:rPr>
          <w:rFonts w:ascii="Palatino Linotype" w:eastAsia="Palatino Linotype" w:hAnsi="Palatino Linotype" w:cs="Palatino Linotype"/>
        </w:rPr>
        <w:t>justificatorio</w:t>
      </w:r>
      <w:r>
        <w:rPr>
          <w:rFonts w:ascii="Palatino Linotype" w:eastAsia="Palatino Linotype" w:hAnsi="Palatino Linotype" w:cs="Palatino Linotype"/>
          <w:color w:val="000000"/>
        </w:rPr>
        <w:t xml:space="preserve"> que debe de formular el titular de la unidad administrativa interesada en la adquisiciones de los bienes, de servicios o arrendamientos.  </w:t>
      </w:r>
    </w:p>
    <w:p w14:paraId="18B792EC" w14:textId="77777777" w:rsidR="00FC58AB" w:rsidRDefault="00FC58AB">
      <w:pPr>
        <w:spacing w:line="360" w:lineRule="auto"/>
        <w:ind w:right="-787"/>
        <w:jc w:val="both"/>
        <w:rPr>
          <w:rFonts w:ascii="Palatino Linotype" w:eastAsia="Palatino Linotype" w:hAnsi="Palatino Linotype" w:cs="Palatino Linotype"/>
          <w:color w:val="000000"/>
        </w:rPr>
      </w:pPr>
    </w:p>
    <w:p w14:paraId="558C33C9"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su parte el artículo 94 del Reglamento de la Ley de Contratación Pública del Estado de México y Municipios, regula que en los procedimientos de adjudicación directa se </w:t>
      </w:r>
      <w:r>
        <w:rPr>
          <w:rFonts w:ascii="Palatino Linotype" w:eastAsia="Palatino Linotype" w:hAnsi="Palatino Linotype" w:cs="Palatino Linotype"/>
        </w:rPr>
        <w:t>observará</w:t>
      </w:r>
      <w:r>
        <w:rPr>
          <w:rFonts w:ascii="Palatino Linotype" w:eastAsia="Palatino Linotype" w:hAnsi="Palatino Linotype" w:cs="Palatino Linotype"/>
          <w:color w:val="000000"/>
        </w:rPr>
        <w:t xml:space="preserve"> lo siguiente. </w:t>
      </w:r>
    </w:p>
    <w:p w14:paraId="7EAB8DDE" w14:textId="77777777" w:rsidR="00FC58AB" w:rsidRDefault="00382C0E">
      <w:pP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94.-</w:t>
      </w:r>
      <w:r>
        <w:rPr>
          <w:rFonts w:ascii="Palatino Linotype" w:eastAsia="Palatino Linotype" w:hAnsi="Palatino Linotype" w:cs="Palatino Linotype"/>
          <w:i/>
          <w:color w:val="000000"/>
          <w:sz w:val="22"/>
          <w:szCs w:val="22"/>
        </w:rPr>
        <w:t xml:space="preserve"> En el procedimiento de adjudicación directa se observará lo siguiente: </w:t>
      </w:r>
    </w:p>
    <w:p w14:paraId="166E746A" w14:textId="77777777" w:rsidR="00FC58AB" w:rsidRDefault="00382C0E">
      <w:pPr>
        <w:numPr>
          <w:ilvl w:val="0"/>
          <w:numId w:val="12"/>
        </w:numPr>
        <w:pBdr>
          <w:top w:val="nil"/>
          <w:left w:val="nil"/>
          <w:bottom w:val="nil"/>
          <w:right w:val="nil"/>
          <w:between w:val="nil"/>
        </w:pBdr>
        <w:ind w:left="1134" w:right="62"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Las adquisiciones de bienes y la contratación de servicios, se efectuaran </w:t>
      </w:r>
      <w:r>
        <w:rPr>
          <w:rFonts w:ascii="Palatino Linotype" w:eastAsia="Palatino Linotype" w:hAnsi="Palatino Linotype" w:cs="Palatino Linotype"/>
          <w:b/>
          <w:i/>
          <w:color w:val="000000"/>
          <w:sz w:val="22"/>
          <w:szCs w:val="22"/>
        </w:rPr>
        <w:t>previa dictaminación del comité</w:t>
      </w:r>
      <w:r>
        <w:rPr>
          <w:rFonts w:ascii="Palatino Linotype" w:eastAsia="Palatino Linotype" w:hAnsi="Palatino Linotype" w:cs="Palatino Linotype"/>
          <w:i/>
          <w:color w:val="000000"/>
          <w:sz w:val="22"/>
          <w:szCs w:val="22"/>
        </w:rPr>
        <w:t xml:space="preserve">,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 </w:t>
      </w:r>
    </w:p>
    <w:p w14:paraId="2674B63D"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 Se considerará a la persona que atendiendo al bien o servicio que se pretenda adquirir o contratar, pueda suministrarlo o prestarlo en las mejores condiciones disponibles en cuanto a precio, calidad, financiamiento, oportunidad y demás circunstancias pertinentes; </w:t>
      </w:r>
    </w:p>
    <w:p w14:paraId="668010AF"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t xml:space="preserve">III. </w:t>
      </w:r>
      <w:r>
        <w:rPr>
          <w:rFonts w:ascii="Palatino Linotype" w:eastAsia="Palatino Linotype" w:hAnsi="Palatino Linotype" w:cs="Palatino Linotype"/>
          <w:b/>
          <w:i/>
          <w:color w:val="000000"/>
          <w:sz w:val="22"/>
          <w:szCs w:val="22"/>
        </w:rPr>
        <w:t xml:space="preserve">La solicitud de participación contendrá, como mínimo, la descripción y cantidad de los bienes o servicios requeridos, lugar, plazo de entrega o duración del servicio y forma de pago; </w:t>
      </w:r>
    </w:p>
    <w:p w14:paraId="5A0CF133"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t xml:space="preserve">IV. </w:t>
      </w:r>
      <w:r>
        <w:rPr>
          <w:rFonts w:ascii="Palatino Linotype" w:eastAsia="Palatino Linotype" w:hAnsi="Palatino Linotype" w:cs="Palatino Linotype"/>
          <w:b/>
          <w:i/>
          <w:color w:val="000000"/>
          <w:sz w:val="22"/>
          <w:szCs w:val="22"/>
        </w:rPr>
        <w:t xml:space="preserve">La solicitud de participación deberá señalar el día, hora y lugar en que tendrá verificativo el acto de presentación y apertura de ofertas; </w:t>
      </w:r>
    </w:p>
    <w:p w14:paraId="3D8E1362"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lastRenderedPageBreak/>
        <w:t xml:space="preserve">V. Atendiendo a la naturaleza de los bienes o servicios, </w:t>
      </w:r>
      <w:r>
        <w:rPr>
          <w:rFonts w:ascii="Palatino Linotype" w:eastAsia="Palatino Linotype" w:hAnsi="Palatino Linotype" w:cs="Palatino Linotype"/>
          <w:b/>
          <w:i/>
          <w:color w:val="000000"/>
          <w:sz w:val="22"/>
          <w:szCs w:val="22"/>
        </w:rPr>
        <w:t xml:space="preserve">la convocante podrá optar entre celebrar o no junta de aclaraciones, en términos de lo dispuesto por este Reglamento; </w:t>
      </w:r>
    </w:p>
    <w:p w14:paraId="0E8A78FC"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 El servidor público designado por la convocante </w:t>
      </w:r>
      <w:r>
        <w:rPr>
          <w:rFonts w:ascii="Palatino Linotype" w:eastAsia="Palatino Linotype" w:hAnsi="Palatino Linotype" w:cs="Palatino Linotype"/>
          <w:b/>
          <w:i/>
          <w:color w:val="000000"/>
          <w:sz w:val="22"/>
          <w:szCs w:val="22"/>
        </w:rPr>
        <w:t>será el responsable de llevar a cabo el acto de presentación y apertura de propuestas</w:t>
      </w:r>
      <w:r>
        <w:rPr>
          <w:rFonts w:ascii="Palatino Linotype" w:eastAsia="Palatino Linotype" w:hAnsi="Palatino Linotype" w:cs="Palatino Linotype"/>
          <w:i/>
          <w:color w:val="000000"/>
          <w:sz w:val="22"/>
          <w:szCs w:val="22"/>
        </w:rPr>
        <w:t xml:space="preserve">; </w:t>
      </w:r>
    </w:p>
    <w:p w14:paraId="715021FA"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VII. </w:t>
      </w:r>
      <w:r>
        <w:rPr>
          <w:rFonts w:ascii="Palatino Linotype" w:eastAsia="Palatino Linotype" w:hAnsi="Palatino Linotype" w:cs="Palatino Linotype"/>
          <w:b/>
          <w:i/>
          <w:color w:val="000000"/>
          <w:sz w:val="22"/>
          <w:szCs w:val="22"/>
        </w:rPr>
        <w:t>Se observarán, en lo conducente, las disposiciones relativas a la contraoferta</w:t>
      </w:r>
      <w:r>
        <w:rPr>
          <w:rFonts w:ascii="Palatino Linotype" w:eastAsia="Palatino Linotype" w:hAnsi="Palatino Linotype" w:cs="Palatino Linotype"/>
          <w:i/>
          <w:color w:val="000000"/>
          <w:sz w:val="22"/>
          <w:szCs w:val="22"/>
        </w:rPr>
        <w:t xml:space="preserve">; y </w:t>
      </w:r>
    </w:p>
    <w:p w14:paraId="2A346A22" w14:textId="77777777" w:rsidR="00FC58AB" w:rsidRDefault="00382C0E">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VIII. El comité será responsable de emitir </w:t>
      </w:r>
      <w:r>
        <w:rPr>
          <w:rFonts w:ascii="Palatino Linotype" w:eastAsia="Palatino Linotype" w:hAnsi="Palatino Linotype" w:cs="Palatino Linotype"/>
          <w:b/>
          <w:i/>
          <w:color w:val="000000"/>
          <w:sz w:val="22"/>
          <w:szCs w:val="22"/>
        </w:rPr>
        <w:t>el dictamen de adjudicación que servirá de base para el fallo de adjudicación</w:t>
      </w:r>
      <w:r>
        <w:rPr>
          <w:rFonts w:ascii="Palatino Linotype" w:eastAsia="Palatino Linotype" w:hAnsi="Palatino Linotype" w:cs="Palatino Linotype"/>
          <w:i/>
          <w:color w:val="000000"/>
          <w:sz w:val="22"/>
          <w:szCs w:val="22"/>
        </w:rPr>
        <w:t xml:space="preserve">; correspondiendo a la convocante emitir dicho fallo, quien lo hará del conocimiento de los licitantes. </w:t>
      </w:r>
    </w:p>
    <w:p w14:paraId="37D86D00" w14:textId="77777777" w:rsidR="00FC58AB" w:rsidRDefault="00382C0E">
      <w:pP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Los actos referidos en los incisos anteriores deberán documentarse</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i/>
          <w:color w:val="000000"/>
          <w:sz w:val="22"/>
          <w:szCs w:val="22"/>
        </w:rPr>
        <w:t>en el acta correspondiente y publicarse en el sistema COMPRAMEX.</w:t>
      </w:r>
    </w:p>
    <w:p w14:paraId="04DA59E4" w14:textId="77777777" w:rsidR="00FC58AB" w:rsidRDefault="00FC58AB">
      <w:pPr>
        <w:ind w:left="1134" w:right="62"/>
        <w:jc w:val="both"/>
        <w:rPr>
          <w:rFonts w:ascii="Palatino Linotype" w:eastAsia="Palatino Linotype" w:hAnsi="Palatino Linotype" w:cs="Palatino Linotype"/>
          <w:i/>
          <w:color w:val="000000"/>
          <w:sz w:val="22"/>
          <w:szCs w:val="22"/>
        </w:rPr>
      </w:pPr>
    </w:p>
    <w:p w14:paraId="47B73ED8" w14:textId="77777777" w:rsidR="00FC58AB" w:rsidRDefault="00FC58AB">
      <w:pPr>
        <w:pBdr>
          <w:top w:val="nil"/>
          <w:left w:val="nil"/>
          <w:bottom w:val="nil"/>
          <w:right w:val="nil"/>
          <w:between w:val="nil"/>
        </w:pBdr>
        <w:ind w:left="708" w:right="-787"/>
        <w:rPr>
          <w:rFonts w:ascii="Palatino Linotype" w:eastAsia="Palatino Linotype" w:hAnsi="Palatino Linotype" w:cs="Palatino Linotype"/>
          <w:i/>
          <w:color w:val="000000"/>
          <w:sz w:val="22"/>
          <w:szCs w:val="22"/>
        </w:rPr>
      </w:pPr>
    </w:p>
    <w:p w14:paraId="5BF2B517"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se colige que dentro de los documentos que integran el procedimiento de adjudicación directa de las obras y servicios referidos en la solicitud de información se compone por la solicitud de participación,  propuestas disposiciones relativas a contraoferta y el dictamen de adjudicación. </w:t>
      </w:r>
    </w:p>
    <w:p w14:paraId="091A1E48" w14:textId="77777777" w:rsidR="00FC58AB" w:rsidRDefault="00FC58AB">
      <w:pPr>
        <w:ind w:right="-787"/>
        <w:rPr>
          <w:rFonts w:ascii="Palatino Linotype" w:eastAsia="Palatino Linotype" w:hAnsi="Palatino Linotype" w:cs="Palatino Linotype"/>
        </w:rPr>
      </w:pPr>
    </w:p>
    <w:p w14:paraId="4A086B59"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Seguidamente tal y como se precisó en párrafos anteriores  la información solicitada es considerada información pública que debe encontrarse en la página del IPOMEX del </w:t>
      </w:r>
      <w:r>
        <w:rPr>
          <w:rFonts w:ascii="Palatino Linotype" w:eastAsia="Palatino Linotype" w:hAnsi="Palatino Linotype" w:cs="Palatino Linotype"/>
          <w:b/>
        </w:rPr>
        <w:t xml:space="preserve">SUJETO OBLIGADO, situación por la cual se señala en particular que de acuerdo con la Ley De Transparencia y Acceso a la Información Pública del Estado de México y Municipios los documentos que integran al procedimiento de adjudicación directa son los siguientes. </w:t>
      </w:r>
    </w:p>
    <w:p w14:paraId="400B2234" w14:textId="77777777" w:rsidR="00FC58AB" w:rsidRDefault="00382C0E">
      <w:pPr>
        <w:pBdr>
          <w:top w:val="nil"/>
          <w:left w:val="nil"/>
          <w:bottom w:val="nil"/>
          <w:right w:val="nil"/>
          <w:between w:val="nil"/>
        </w:pBdr>
        <w:ind w:left="993" w:right="62"/>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b/>
          <w:i/>
          <w:color w:val="000000"/>
          <w:sz w:val="20"/>
          <w:szCs w:val="20"/>
        </w:rPr>
        <w:t>Artículo 92.</w:t>
      </w:r>
      <w:r>
        <w:rPr>
          <w:rFonts w:ascii="Palatino Linotype" w:eastAsia="Palatino Linotype" w:hAnsi="Palatino Linotype" w:cs="Palatino Linotype"/>
          <w:i/>
          <w:color w:val="000000"/>
          <w:sz w:val="20"/>
          <w:szCs w:val="2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b) De las adjudicaciones directas: </w:t>
      </w:r>
    </w:p>
    <w:p w14:paraId="062BFBD0" w14:textId="77777777" w:rsidR="00FC58AB" w:rsidRDefault="00382C0E">
      <w:pPr>
        <w:pBdr>
          <w:top w:val="nil"/>
          <w:left w:val="nil"/>
          <w:bottom w:val="nil"/>
          <w:right w:val="nil"/>
          <w:between w:val="nil"/>
        </w:pBdr>
        <w:ind w:left="993" w:right="62"/>
        <w:jc w:val="both"/>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 xml:space="preserve">1) La propuesta enviada por el participante; </w:t>
      </w:r>
    </w:p>
    <w:p w14:paraId="606802A6" w14:textId="77777777" w:rsidR="00FC58AB" w:rsidRDefault="00382C0E">
      <w:pPr>
        <w:pBdr>
          <w:top w:val="nil"/>
          <w:left w:val="nil"/>
          <w:bottom w:val="nil"/>
          <w:right w:val="nil"/>
          <w:between w:val="nil"/>
        </w:pBdr>
        <w:ind w:left="993" w:right="62"/>
        <w:jc w:val="both"/>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 xml:space="preserve">2) Los motivos y fundamentos legales aplicados para llevarla a cabo; </w:t>
      </w:r>
    </w:p>
    <w:p w14:paraId="113A7AF7" w14:textId="77777777" w:rsidR="00FC58AB" w:rsidRDefault="00382C0E">
      <w:pPr>
        <w:pBdr>
          <w:top w:val="nil"/>
          <w:left w:val="nil"/>
          <w:bottom w:val="nil"/>
          <w:right w:val="nil"/>
          <w:between w:val="nil"/>
        </w:pBdr>
        <w:ind w:left="993" w:right="62"/>
        <w:jc w:val="both"/>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lastRenderedPageBreak/>
        <w:t xml:space="preserve">3) La autorización del ejercicio de la opción; </w:t>
      </w:r>
    </w:p>
    <w:p w14:paraId="0B8C1559" w14:textId="77777777" w:rsidR="00FC58AB" w:rsidRDefault="00382C0E">
      <w:pPr>
        <w:pBdr>
          <w:top w:val="nil"/>
          <w:left w:val="nil"/>
          <w:bottom w:val="nil"/>
          <w:right w:val="nil"/>
          <w:between w:val="nil"/>
        </w:pBdr>
        <w:ind w:left="993" w:right="62"/>
        <w:jc w:val="both"/>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 xml:space="preserve">4) En su caso, las cotizaciones consideradas, especificando los nombres de los proveedores y sus montos; </w:t>
      </w:r>
    </w:p>
    <w:p w14:paraId="181BB2FA" w14:textId="77777777" w:rsidR="00FC58AB" w:rsidRDefault="00382C0E">
      <w:pPr>
        <w:pBdr>
          <w:top w:val="nil"/>
          <w:left w:val="nil"/>
          <w:bottom w:val="nil"/>
          <w:right w:val="nil"/>
          <w:between w:val="nil"/>
        </w:pBdr>
        <w:ind w:left="993" w:right="62"/>
        <w:jc w:val="both"/>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 xml:space="preserve">5) El nombre de la persona física o jurídica colectiva adjudicada; </w:t>
      </w:r>
    </w:p>
    <w:p w14:paraId="79ADEAC5" w14:textId="77777777" w:rsidR="00FC58AB" w:rsidRDefault="00382C0E">
      <w:pPr>
        <w:pBdr>
          <w:top w:val="nil"/>
          <w:left w:val="nil"/>
          <w:bottom w:val="nil"/>
          <w:right w:val="nil"/>
          <w:between w:val="nil"/>
        </w:pBdr>
        <w:ind w:left="993" w:right="62"/>
        <w:jc w:val="both"/>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 xml:space="preserve">6) La unidad administrativa solicitante y la responsable de su ejecución; </w:t>
      </w:r>
    </w:p>
    <w:p w14:paraId="2014927C" w14:textId="77777777" w:rsidR="00FC58AB" w:rsidRDefault="00382C0E">
      <w:pPr>
        <w:pBdr>
          <w:top w:val="nil"/>
          <w:left w:val="nil"/>
          <w:bottom w:val="nil"/>
          <w:right w:val="nil"/>
          <w:between w:val="nil"/>
        </w:pBdr>
        <w:ind w:left="993" w:right="62"/>
        <w:jc w:val="both"/>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 xml:space="preserve">7) El número, fecha, el monto del contrato y el plazo de entrega o de ejecución de los servicios u obra; </w:t>
      </w:r>
    </w:p>
    <w:p w14:paraId="50446FE5" w14:textId="77777777" w:rsidR="00FC58AB" w:rsidRDefault="00382C0E">
      <w:pPr>
        <w:pBdr>
          <w:top w:val="nil"/>
          <w:left w:val="nil"/>
          <w:bottom w:val="nil"/>
          <w:right w:val="nil"/>
          <w:between w:val="nil"/>
        </w:pBdr>
        <w:ind w:left="993" w:right="62"/>
        <w:jc w:val="both"/>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 xml:space="preserve">8) Los mecanismos de vigilancia y supervisión, incluyendo, en su caso, los estudios de impacto urbano y ambiental, según corresponda; </w:t>
      </w:r>
    </w:p>
    <w:p w14:paraId="6C857DA7" w14:textId="77777777" w:rsidR="00FC58AB" w:rsidRDefault="00382C0E">
      <w:pPr>
        <w:pBdr>
          <w:top w:val="nil"/>
          <w:left w:val="nil"/>
          <w:bottom w:val="nil"/>
          <w:right w:val="nil"/>
          <w:between w:val="nil"/>
        </w:pBdr>
        <w:ind w:left="993" w:right="62"/>
        <w:jc w:val="both"/>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 xml:space="preserve">9) Los informes de avance sobre las obras o servicios contratados; </w:t>
      </w:r>
    </w:p>
    <w:p w14:paraId="58326B39" w14:textId="77777777" w:rsidR="00FC58AB" w:rsidRDefault="00382C0E">
      <w:pPr>
        <w:pBdr>
          <w:top w:val="nil"/>
          <w:left w:val="nil"/>
          <w:bottom w:val="nil"/>
          <w:right w:val="nil"/>
          <w:between w:val="nil"/>
        </w:pBdr>
        <w:ind w:left="993" w:right="62"/>
        <w:jc w:val="both"/>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 xml:space="preserve">10) El convenio de terminación; y </w:t>
      </w:r>
    </w:p>
    <w:p w14:paraId="214857C7" w14:textId="77777777" w:rsidR="00FC58AB" w:rsidRDefault="00382C0E">
      <w:pPr>
        <w:pBdr>
          <w:top w:val="nil"/>
          <w:left w:val="nil"/>
          <w:bottom w:val="nil"/>
          <w:right w:val="nil"/>
          <w:between w:val="nil"/>
        </w:pBdr>
        <w:ind w:left="993" w:right="62"/>
        <w:jc w:val="both"/>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11) El finiquito.</w:t>
      </w:r>
    </w:p>
    <w:p w14:paraId="6F5C409C" w14:textId="77777777" w:rsidR="00FC58AB" w:rsidRDefault="00FC58AB">
      <w:pPr>
        <w:pBdr>
          <w:top w:val="nil"/>
          <w:left w:val="nil"/>
          <w:bottom w:val="nil"/>
          <w:right w:val="nil"/>
          <w:between w:val="nil"/>
        </w:pBdr>
        <w:ind w:left="993" w:right="-787"/>
        <w:jc w:val="both"/>
        <w:rPr>
          <w:rFonts w:ascii="Palatino Linotype" w:eastAsia="Palatino Linotype" w:hAnsi="Palatino Linotype" w:cs="Palatino Linotype"/>
          <w:b/>
          <w:i/>
          <w:color w:val="000000"/>
          <w:sz w:val="22"/>
          <w:szCs w:val="22"/>
        </w:rPr>
      </w:pPr>
    </w:p>
    <w:p w14:paraId="4127A046"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De lo anterior, se enlistan los documentos que integran el procedimiento de adjudicación directa, situación por la cual al ser considerados como públicos por la Ley Estatal de la materia es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debe entregarlos para colmar el derecho de acceso a la información del </w:t>
      </w:r>
      <w:r>
        <w:rPr>
          <w:rFonts w:ascii="Palatino Linotype" w:eastAsia="Palatino Linotype" w:hAnsi="Palatino Linotype" w:cs="Palatino Linotype"/>
          <w:b/>
        </w:rPr>
        <w:t xml:space="preserve">RECURRENTE.  </w:t>
      </w:r>
    </w:p>
    <w:p w14:paraId="283C8428" w14:textId="77777777" w:rsidR="00FC58AB" w:rsidRDefault="00FC58AB">
      <w:pPr>
        <w:spacing w:line="360" w:lineRule="auto"/>
        <w:ind w:right="-787"/>
        <w:jc w:val="both"/>
        <w:rPr>
          <w:rFonts w:ascii="Palatino Linotype" w:eastAsia="Palatino Linotype" w:hAnsi="Palatino Linotype" w:cs="Palatino Linotype"/>
          <w:i/>
          <w:color w:val="000000"/>
        </w:rPr>
      </w:pPr>
    </w:p>
    <w:p w14:paraId="34A6CD7F"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Ahora bien, respecto de los c</w:t>
      </w:r>
      <w:r>
        <w:rPr>
          <w:rFonts w:ascii="Palatino Linotype" w:eastAsia="Palatino Linotype" w:hAnsi="Palatino Linotype" w:cs="Palatino Linotype"/>
          <w:b/>
        </w:rPr>
        <w:t>ontratos</w:t>
      </w:r>
      <w:r>
        <w:rPr>
          <w:rFonts w:ascii="Palatino Linotype" w:eastAsia="Palatino Linotype" w:hAnsi="Palatino Linotype" w:cs="Palatino Linotype"/>
        </w:rPr>
        <w:t xml:space="preserve"> se tiene que, es un acto jurídico bilateral que se constituye por el acuerdo de voluntades de dos o más personas y que produce ciertas consecuencias jurídicas (creación o transmisión de derechos y obligaciones), debido al reconocimiento de una norma de derecho.</w:t>
      </w:r>
    </w:p>
    <w:p w14:paraId="7E26483D"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manera complementaria, conviene precisar que de acuerdo a la naturaleza de la información solicitada se concluye que ésta es de interés general y de alcance público, robustece lo anterior los artículos 24, fracción XII y 92, fracción XIX de la Ley de Transparencia y Acceso a la Información Pública del Estado de México y Municipios, porciones normativas que disponen a la literalidad lo siguiente: </w:t>
      </w:r>
    </w:p>
    <w:p w14:paraId="1DAE5AD3" w14:textId="77777777" w:rsidR="00FC58AB" w:rsidRDefault="00382C0E">
      <w:pPr>
        <w:spacing w:before="240" w:after="160"/>
        <w:ind w:left="1134" w:right="6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lastRenderedPageBreak/>
        <w:t xml:space="preserve"> “Artículo 24. </w:t>
      </w:r>
      <w:r>
        <w:rPr>
          <w:rFonts w:ascii="Palatino Linotype" w:eastAsia="Palatino Linotype" w:hAnsi="Palatino Linotype" w:cs="Palatino Linotype"/>
          <w:i/>
          <w:color w:val="000000"/>
          <w:sz w:val="22"/>
          <w:szCs w:val="22"/>
        </w:rPr>
        <w:t>Para el cumplimiento de los objetivos de esta Ley, los sujetos obligados deberán cumplir con las siguientes obligaciones, según corresponda, de acuerdo a su naturaleza:</w:t>
      </w:r>
    </w:p>
    <w:p w14:paraId="44DF247F" w14:textId="77777777" w:rsidR="00FC58AB" w:rsidRDefault="00382C0E">
      <w:pPr>
        <w:spacing w:before="240" w:after="160"/>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XII. </w:t>
      </w:r>
      <w:r>
        <w:rPr>
          <w:rFonts w:ascii="Palatino Linotype" w:eastAsia="Palatino Linotype" w:hAnsi="Palatino Linotype" w:cs="Palatino Linotype"/>
          <w:b/>
          <w:i/>
          <w:color w:val="000000"/>
          <w:sz w:val="22"/>
          <w:szCs w:val="22"/>
          <w:u w:val="single"/>
        </w:rPr>
        <w:t>Publicar y mantener actualizada la información relativa a las obligaciones generales de transparencia</w:t>
      </w:r>
      <w:r>
        <w:rPr>
          <w:rFonts w:ascii="Palatino Linotype" w:eastAsia="Palatino Linotype" w:hAnsi="Palatino Linotype" w:cs="Palatino Linotype"/>
          <w:i/>
          <w:color w:val="000000"/>
          <w:sz w:val="22"/>
          <w:szCs w:val="22"/>
        </w:rPr>
        <w:t xml:space="preserve"> previstas en la presente Ley o determinadas así por el Instituto, y en general aquella que sea de interés público;</w:t>
      </w:r>
    </w:p>
    <w:p w14:paraId="3F87FFCB" w14:textId="77777777" w:rsidR="00FC58AB" w:rsidRDefault="00FC58AB">
      <w:pPr>
        <w:spacing w:before="240" w:after="160"/>
        <w:ind w:left="1134" w:right="-787"/>
        <w:jc w:val="both"/>
        <w:rPr>
          <w:rFonts w:ascii="Palatino Linotype" w:eastAsia="Palatino Linotype" w:hAnsi="Palatino Linotype" w:cs="Palatino Linotype"/>
          <w:i/>
          <w:color w:val="000000"/>
          <w:sz w:val="22"/>
          <w:szCs w:val="22"/>
        </w:rPr>
      </w:pPr>
    </w:p>
    <w:p w14:paraId="5F6CD88D"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Dentro de los mismos, pueden obrar datos personales susceptibles de clasificarse como lo son, la clave de elector, teléfono particular, correo electrónico personal Clave Única de Registro de Población (CURP), número de pasaporte, cuenta bancaria del proveedor, banco y sucursal del proveedor, clave interbancaria del proveedor, es así que, por lo que hace </w:t>
      </w:r>
      <w:r>
        <w:rPr>
          <w:rFonts w:ascii="Palatino Linotype" w:eastAsia="Palatino Linotype" w:hAnsi="Palatino Linotype" w:cs="Palatino Linotype"/>
          <w:b/>
        </w:rPr>
        <w:t xml:space="preserve">al nombre del servidor público, nombre, denominación o razón social del proveedor, nombre del apoderado o representante legal, domicilio fiscal, teléfono empresarial o institucional, firmas, y RFC se consideran datos personales públicos. </w:t>
      </w:r>
    </w:p>
    <w:p w14:paraId="6DBC6FD6" w14:textId="77777777" w:rsidR="00FC58AB" w:rsidRDefault="00FC58AB">
      <w:pPr>
        <w:pBdr>
          <w:top w:val="nil"/>
          <w:left w:val="nil"/>
          <w:bottom w:val="nil"/>
          <w:right w:val="nil"/>
          <w:between w:val="nil"/>
        </w:pBdr>
        <w:ind w:left="720" w:right="-787"/>
        <w:rPr>
          <w:rFonts w:ascii="Palatino Linotype" w:eastAsia="Palatino Linotype" w:hAnsi="Palatino Linotype" w:cs="Palatino Linotype"/>
          <w:color w:val="000000"/>
        </w:rPr>
      </w:pPr>
    </w:p>
    <w:p w14:paraId="711B640B"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Cobra sustento lo anterior, con el criterio 01/19 reiterado vigente del INAI, que refiere lo siguiente:</w:t>
      </w:r>
    </w:p>
    <w:p w14:paraId="42D9EB37" w14:textId="77777777" w:rsidR="00FC58AB" w:rsidRDefault="00382C0E">
      <w:pPr>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Datos de identificación del representante o apoderado legal.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Naturaleza jurídica. </w:t>
      </w:r>
      <w:r>
        <w:rPr>
          <w:rFonts w:ascii="Palatino Linotype" w:eastAsia="Palatino Linotype" w:hAnsi="Palatino Linotype" w:cs="Palatino Linotype"/>
          <w:i/>
          <w:sz w:val="22"/>
          <w:szCs w:val="22"/>
        </w:rPr>
        <w:t>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14:paraId="3D216224" w14:textId="77777777" w:rsidR="00FC58AB" w:rsidRDefault="00FC58AB">
      <w:pPr>
        <w:ind w:left="1134" w:right="-79"/>
        <w:jc w:val="both"/>
        <w:rPr>
          <w:rFonts w:ascii="Palatino Linotype" w:eastAsia="Palatino Linotype" w:hAnsi="Palatino Linotype" w:cs="Palatino Linotype"/>
          <w:i/>
          <w:color w:val="000000"/>
          <w:sz w:val="22"/>
          <w:szCs w:val="22"/>
        </w:rPr>
      </w:pPr>
    </w:p>
    <w:p w14:paraId="44BECBA8" w14:textId="77777777" w:rsidR="00FC58AB" w:rsidRDefault="00382C0E">
      <w:pPr>
        <w:ind w:left="1134" w:right="-7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Precedentes:</w:t>
      </w:r>
    </w:p>
    <w:p w14:paraId="6697B7EE" w14:textId="77777777" w:rsidR="00FC58AB" w:rsidRDefault="00382C0E">
      <w:pPr>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Acceso a la información pública. RRA 3104/16. Sesión del 01 de noviembre del 2016. Votación por unanimidad. Sin votos disidentes o particulares. Secretaría de la Defensa Nacional. Comisionado Ponente Oscar Mauricio Guerra Ford.</w:t>
      </w:r>
    </w:p>
    <w:p w14:paraId="657825BC" w14:textId="77777777" w:rsidR="00FC58AB" w:rsidRDefault="00382C0E">
      <w:pPr>
        <w:ind w:left="1134" w:right="-79"/>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Acceso a la información pública. RRA 2923/16. Sesión del 13 de diciembre de 2016. Votación por unanimidad. Sin votos disidentes o particulares. Administración Portuaria </w:t>
      </w:r>
      <w:r>
        <w:rPr>
          <w:rFonts w:ascii="Palatino Linotype" w:eastAsia="Palatino Linotype" w:hAnsi="Palatino Linotype" w:cs="Palatino Linotype"/>
          <w:i/>
          <w:sz w:val="22"/>
          <w:szCs w:val="22"/>
        </w:rPr>
        <w:lastRenderedPageBreak/>
        <w:t>Integral de Lázaro Cárdenas, S.A. de C.V. Comisionada Ponente María Patricia Kurczyn Villalobos.</w:t>
      </w:r>
    </w:p>
    <w:p w14:paraId="4D4C9C4D" w14:textId="77777777" w:rsidR="00FC58AB" w:rsidRDefault="00382C0E">
      <w:pPr>
        <w:tabs>
          <w:tab w:val="left" w:pos="7371"/>
        </w:tabs>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Acceso a la información pública. RRA 2855/17. Sesión del 14 de junio de 2017. Votación por unanimidad. Con votos particulares de la Comisionada Areli Cano Guadiana y el Comisionado Oscar Mauricio Guerra Ford. Comisión Nacional de Hidrocarburos. Comisionada Ponente Ximena Puente de la Mora.</w:t>
      </w:r>
    </w:p>
    <w:p w14:paraId="0F150B3F" w14:textId="77777777" w:rsidR="00FC58AB" w:rsidRDefault="00FC58AB">
      <w:pPr>
        <w:ind w:right="-787"/>
        <w:rPr>
          <w:rFonts w:ascii="Palatino Linotype" w:eastAsia="Palatino Linotype" w:hAnsi="Palatino Linotype" w:cs="Palatino Linotype"/>
          <w:color w:val="000000"/>
          <w:sz w:val="22"/>
          <w:szCs w:val="22"/>
        </w:rPr>
      </w:pPr>
    </w:p>
    <w:p w14:paraId="355D1820" w14:textId="77777777" w:rsidR="00FC58AB" w:rsidRDefault="00382C0E">
      <w:pPr>
        <w:numPr>
          <w:ilvl w:val="0"/>
          <w:numId w:val="3"/>
        </w:numPr>
        <w:spacing w:line="360" w:lineRule="auto"/>
        <w:ind w:left="0" w:right="-787" w:firstLine="0"/>
        <w:jc w:val="both"/>
        <w:rPr>
          <w:color w:val="000000"/>
        </w:rPr>
      </w:pPr>
      <w:r>
        <w:rPr>
          <w:rFonts w:ascii="Palatino Linotype" w:eastAsia="Palatino Linotype" w:hAnsi="Palatino Linotype" w:cs="Palatino Linotype"/>
          <w:color w:val="000000"/>
        </w:rPr>
        <w:t>Seguidamente, como se solicita la información de las facturas es que se debe de precisar lo siguiente.</w:t>
      </w:r>
    </w:p>
    <w:p w14:paraId="4F734BDB" w14:textId="77777777" w:rsidR="00FC58AB" w:rsidRDefault="00FC58AB">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1531EE4C"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de las </w:t>
      </w:r>
      <w:r>
        <w:rPr>
          <w:rFonts w:ascii="Palatino Linotype" w:eastAsia="Palatino Linotype" w:hAnsi="Palatino Linotype" w:cs="Palatino Linotype"/>
          <w:b/>
          <w:color w:val="000000"/>
        </w:rPr>
        <w:t>facturas</w:t>
      </w:r>
      <w:r>
        <w:rPr>
          <w:rFonts w:ascii="Palatino Linotype" w:eastAsia="Palatino Linotype" w:hAnsi="Palatino Linotype" w:cs="Palatino Linotype"/>
          <w:color w:val="000000"/>
        </w:rPr>
        <w:t xml:space="preserve"> resulta oportuno traer a contexto, la información publicada por la Secretaría de Hacienda y Crédito Público, referente al Servicio de Administración Tributaria (SAT), en donde se advierte los requisitos que deben reunir las facturas emitidas, consultable en la dirección electrónica </w:t>
      </w:r>
      <w:hyperlink r:id="rId10">
        <w:r>
          <w:rPr>
            <w:rFonts w:ascii="Palatino Linotype" w:eastAsia="Palatino Linotype" w:hAnsi="Palatino Linotype" w:cs="Palatino Linotype"/>
            <w:color w:val="000000"/>
          </w:rPr>
          <w:t>http://omawww.sat.gob.mx/</w:t>
        </w:r>
        <w:r w:rsidR="00A10F79">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/Paginas/solicita_requisitos.htm</w:t>
        </w:r>
      </w:hyperlink>
      <w:r>
        <w:rPr>
          <w:rFonts w:ascii="Palatino Linotype" w:eastAsia="Palatino Linotype" w:hAnsi="Palatino Linotype" w:cs="Palatino Linotype"/>
          <w:color w:val="000000"/>
        </w:rPr>
        <w:t>, de conformidad con lo siguiente:</w:t>
      </w:r>
    </w:p>
    <w:p w14:paraId="378F9601" w14:textId="77777777" w:rsidR="00FC58AB" w:rsidRDefault="00382C0E">
      <w:pPr>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Requisitos que deben reunir las facturas que recibas</w:t>
      </w:r>
      <w:r>
        <w:rPr>
          <w:rFonts w:ascii="Palatino Linotype" w:eastAsia="Palatino Linotype" w:hAnsi="Palatino Linotype" w:cs="Palatino Linotype"/>
          <w:i/>
          <w:sz w:val="22"/>
          <w:szCs w:val="22"/>
        </w:rPr>
        <w:t>:</w:t>
      </w:r>
    </w:p>
    <w:p w14:paraId="1A7A6747" w14:textId="77777777" w:rsidR="00FC58AB" w:rsidRDefault="00382C0E">
      <w:pPr>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Clave del Registro Federal de Contribuyentes de quien los expida</w:t>
      </w:r>
      <w:r>
        <w:rPr>
          <w:rFonts w:ascii="Palatino Linotype" w:eastAsia="Palatino Linotype" w:hAnsi="Palatino Linotype" w:cs="Palatino Linotype"/>
          <w:i/>
          <w:sz w:val="22"/>
          <w:szCs w:val="22"/>
        </w:rPr>
        <w:t>.</w:t>
      </w:r>
    </w:p>
    <w:p w14:paraId="64D8CA22" w14:textId="77777777" w:rsidR="00FC58AB" w:rsidRDefault="00382C0E">
      <w:pPr>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Régimen Fiscal en que tributen conforme a la Ley del ISR.</w:t>
      </w:r>
    </w:p>
    <w:p w14:paraId="6BCF7528" w14:textId="77777777" w:rsidR="00FC58AB" w:rsidRDefault="00382C0E">
      <w:pPr>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Sí se tiene más de un local o establecimiento, se deberá señalar el domicilio del local o establecimiento en el que se expidan las Facturas.</w:t>
      </w:r>
    </w:p>
    <w:p w14:paraId="10CE7493" w14:textId="77777777" w:rsidR="00FC58AB" w:rsidRDefault="00382C0E">
      <w:pPr>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Contener el número de folio asignado por el SAT y el sello digital del SAT.</w:t>
      </w:r>
    </w:p>
    <w:p w14:paraId="5B5AD463" w14:textId="77777777" w:rsidR="00FC58AB" w:rsidRDefault="00382C0E">
      <w:pPr>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Sello digital del contribuyente que lo expide</w:t>
      </w:r>
      <w:r>
        <w:rPr>
          <w:rFonts w:ascii="Palatino Linotype" w:eastAsia="Palatino Linotype" w:hAnsi="Palatino Linotype" w:cs="Palatino Linotype"/>
          <w:i/>
          <w:sz w:val="22"/>
          <w:szCs w:val="22"/>
        </w:rPr>
        <w:t>.</w:t>
      </w:r>
    </w:p>
    <w:p w14:paraId="4692C184" w14:textId="77777777" w:rsidR="00FC58AB" w:rsidRDefault="00382C0E">
      <w:pPr>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Lugar y fecha de expedición.</w:t>
      </w:r>
    </w:p>
    <w:p w14:paraId="0716BFD8" w14:textId="77777777" w:rsidR="00FC58AB" w:rsidRDefault="00382C0E">
      <w:pPr>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Clave del Registro Federal de Contribuyentes de la persona a favor de quien se expida.</w:t>
      </w:r>
    </w:p>
    <w:p w14:paraId="0ECA819C" w14:textId="77777777" w:rsidR="00FC58AB" w:rsidRDefault="00382C0E">
      <w:pPr>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Cantidad, unidad de medida y clase de los bienes, mercancías o descripción del servicio o del uso o goce que amparen.</w:t>
      </w:r>
    </w:p>
    <w:p w14:paraId="09DB03BC" w14:textId="77777777" w:rsidR="00FC58AB" w:rsidRDefault="00382C0E">
      <w:pPr>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Valor unitario consignado en número.</w:t>
      </w:r>
    </w:p>
    <w:p w14:paraId="322AF068" w14:textId="77777777" w:rsidR="00FC58AB" w:rsidRDefault="00382C0E">
      <w:pPr>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Importe total señalado en número o en letra.</w:t>
      </w:r>
    </w:p>
    <w:p w14:paraId="34558698" w14:textId="77777777" w:rsidR="00FC58AB" w:rsidRDefault="00382C0E">
      <w:pPr>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Señalamiento expreso cuando la prestación se pague en una sola exhibición o en parcialidades.</w:t>
      </w:r>
    </w:p>
    <w:p w14:paraId="501953A1" w14:textId="77777777" w:rsidR="00FC58AB" w:rsidRDefault="00382C0E">
      <w:pPr>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Cuando proceda, se indicará el monto de los impuestos trasladados, desglosados por tasa de impuesto y, en su caso, el monto de los impuestos retenidos.</w:t>
      </w:r>
    </w:p>
    <w:p w14:paraId="76AA1C3B" w14:textId="77777777" w:rsidR="00FC58AB" w:rsidRDefault="00382C0E">
      <w:pPr>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Forma en que se realizó el pago (efectivo, transferencia electrónica de fondos, cheque nominativos o tarjeta de débito, de crédito, de servicio o la denominada monedero electrónico que autorice el Servicio de Administración Tributaria).</w:t>
      </w:r>
    </w:p>
    <w:p w14:paraId="7709EDFB" w14:textId="77777777" w:rsidR="00FC58AB" w:rsidRDefault="00382C0E">
      <w:pPr>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Número y fecha del documento aduanero, tratándose de ventas de primera mano de mercancías de importación.</w:t>
      </w:r>
    </w:p>
    <w:p w14:paraId="52FB9B69" w14:textId="77777777" w:rsidR="00FC58AB" w:rsidRDefault="00382C0E">
      <w:pPr>
        <w:ind w:left="1134" w:right="-79"/>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br/>
      </w:r>
      <w:r>
        <w:rPr>
          <w:rFonts w:ascii="Palatino Linotype" w:eastAsia="Palatino Linotype" w:hAnsi="Palatino Linotype" w:cs="Palatino Linotype"/>
          <w:b/>
          <w:i/>
          <w:sz w:val="22"/>
          <w:szCs w:val="22"/>
        </w:rPr>
        <w:t>Además, debe contener los siguientes datos:</w:t>
      </w:r>
      <w:r>
        <w:rPr>
          <w:rFonts w:ascii="Palatino Linotype" w:eastAsia="Palatino Linotype" w:hAnsi="Palatino Linotype" w:cs="Palatino Linotype"/>
          <w:b/>
          <w:i/>
          <w:sz w:val="22"/>
          <w:szCs w:val="22"/>
        </w:rPr>
        <w:br/>
        <w:t>a) Fecha y hora de certificación.</w:t>
      </w:r>
      <w:r>
        <w:rPr>
          <w:rFonts w:ascii="Palatino Linotype" w:eastAsia="Palatino Linotype" w:hAnsi="Palatino Linotype" w:cs="Palatino Linotype"/>
          <w:b/>
          <w:i/>
          <w:sz w:val="22"/>
          <w:szCs w:val="22"/>
        </w:rPr>
        <w:br/>
        <w:t>b) Número de serie del certificado digital del SAT con el que se realizó el sellado</w:t>
      </w:r>
      <w:r>
        <w:rPr>
          <w:rFonts w:ascii="Palatino Linotype" w:eastAsia="Palatino Linotype" w:hAnsi="Palatino Linotype" w:cs="Palatino Linotype"/>
          <w:i/>
          <w:sz w:val="22"/>
          <w:szCs w:val="22"/>
        </w:rPr>
        <w:t>.</w:t>
      </w:r>
    </w:p>
    <w:p w14:paraId="1985F446" w14:textId="77777777" w:rsidR="00FC58AB" w:rsidRDefault="00FC58AB">
      <w:pPr>
        <w:spacing w:line="360" w:lineRule="auto"/>
        <w:ind w:right="-787"/>
        <w:jc w:val="both"/>
        <w:rPr>
          <w:rFonts w:ascii="Palatino Linotype" w:eastAsia="Palatino Linotype" w:hAnsi="Palatino Linotype" w:cs="Palatino Linotype"/>
        </w:rPr>
      </w:pPr>
    </w:p>
    <w:p w14:paraId="42F8CED6" w14:textId="77777777" w:rsidR="00FC58AB" w:rsidRDefault="00FC58AB">
      <w:pPr>
        <w:ind w:right="-787"/>
        <w:rPr>
          <w:rFonts w:ascii="Palatino Linotype" w:eastAsia="Palatino Linotype" w:hAnsi="Palatino Linotype" w:cs="Palatino Linotype"/>
          <w:color w:val="000000"/>
        </w:rPr>
      </w:pPr>
    </w:p>
    <w:p w14:paraId="5E23C46D"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se debe de referir que de los datos de las facturas pueden obrar datos personales susceptibles de clasificarse como lo son, la clave de elector, </w:t>
      </w:r>
      <w:r>
        <w:rPr>
          <w:rFonts w:ascii="Palatino Linotype" w:eastAsia="Palatino Linotype" w:hAnsi="Palatino Linotype" w:cs="Palatino Linotype"/>
          <w:b/>
          <w:color w:val="000000"/>
        </w:rPr>
        <w:t>teléfono particular</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 xml:space="preserve">correo electrónico personal, </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Clave Única de Registro de Población (CURP</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rPr>
        <w:t>número</w:t>
      </w:r>
      <w:r>
        <w:rPr>
          <w:rFonts w:ascii="Palatino Linotype" w:eastAsia="Palatino Linotype" w:hAnsi="Palatino Linotype" w:cs="Palatino Linotype"/>
          <w:b/>
          <w:color w:val="000000"/>
        </w:rPr>
        <w:t xml:space="preserve"> de pasaporte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cuenta bancaria del proveedor</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banco y sucursal del proveedor</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clave interbancaria del proveedor</w:t>
      </w:r>
      <w:r>
        <w:rPr>
          <w:rFonts w:ascii="Palatino Linotype" w:eastAsia="Palatino Linotype" w:hAnsi="Palatino Linotype" w:cs="Palatino Linotype"/>
          <w:color w:val="000000"/>
        </w:rPr>
        <w:t xml:space="preserve">, es así que, por lo que hace al nombre del servidor público, nombre, denominación o razón social del proveedor, nombre del apoderado o representante legal, domicilio fiscal, </w:t>
      </w:r>
      <w:r>
        <w:rPr>
          <w:rFonts w:ascii="Palatino Linotype" w:eastAsia="Palatino Linotype" w:hAnsi="Palatino Linotype" w:cs="Palatino Linotype"/>
          <w:b/>
          <w:color w:val="000000"/>
        </w:rPr>
        <w:t>teléfono empresarial o institucional,</w:t>
      </w:r>
      <w:r>
        <w:rPr>
          <w:rFonts w:ascii="Palatino Linotype" w:eastAsia="Palatino Linotype" w:hAnsi="Palatino Linotype" w:cs="Palatino Linotype"/>
          <w:color w:val="000000"/>
        </w:rPr>
        <w:t xml:space="preserve"> firmas, y RFC se consideran datos personales públicos. </w:t>
      </w:r>
    </w:p>
    <w:p w14:paraId="1D337DE4" w14:textId="77777777" w:rsidR="00FC58AB" w:rsidRDefault="00FC58AB">
      <w:pPr>
        <w:ind w:left="720" w:right="-787"/>
        <w:rPr>
          <w:rFonts w:ascii="Palatino Linotype" w:eastAsia="Palatino Linotype" w:hAnsi="Palatino Linotype" w:cs="Palatino Linotype"/>
          <w:highlight w:val="yellow"/>
        </w:rPr>
      </w:pPr>
    </w:p>
    <w:p w14:paraId="5B7143B5"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Cobra</w:t>
      </w:r>
      <w:r>
        <w:rPr>
          <w:rFonts w:ascii="Palatino Linotype" w:eastAsia="Palatino Linotype" w:hAnsi="Palatino Linotype" w:cs="Palatino Linotype"/>
          <w:color w:val="000000"/>
        </w:rPr>
        <w:t xml:space="preserve"> sustento lo anterior, con el criterio 01/19 reiterado vigente del INAI, que refiere lo siguiente:</w:t>
      </w:r>
    </w:p>
    <w:p w14:paraId="233F5338" w14:textId="77777777" w:rsidR="00FC58AB" w:rsidRDefault="00382C0E">
      <w:pPr>
        <w:ind w:left="1134"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Datos de identificación del representante o apoderado legal.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Naturaleza jurídica. </w:t>
      </w:r>
      <w:r>
        <w:rPr>
          <w:rFonts w:ascii="Palatino Linotype" w:eastAsia="Palatino Linotype" w:hAnsi="Palatino Linotype" w:cs="Palatino Linotype"/>
          <w:i/>
          <w:sz w:val="22"/>
          <w:szCs w:val="22"/>
        </w:rPr>
        <w:t>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14:paraId="4F68445D" w14:textId="77777777" w:rsidR="00FC58AB" w:rsidRDefault="00FC58AB">
      <w:pPr>
        <w:ind w:left="1134" w:right="62"/>
        <w:jc w:val="both"/>
        <w:rPr>
          <w:rFonts w:ascii="Palatino Linotype" w:eastAsia="Palatino Linotype" w:hAnsi="Palatino Linotype" w:cs="Palatino Linotype"/>
          <w:i/>
          <w:color w:val="000000"/>
          <w:sz w:val="22"/>
          <w:szCs w:val="22"/>
        </w:rPr>
      </w:pPr>
    </w:p>
    <w:p w14:paraId="6E138663" w14:textId="77777777" w:rsidR="00FC58AB" w:rsidRDefault="00382C0E">
      <w:pPr>
        <w:ind w:left="1134" w:right="6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Precedentes:</w:t>
      </w:r>
    </w:p>
    <w:p w14:paraId="7E1785AA" w14:textId="77777777" w:rsidR="00FC58AB" w:rsidRDefault="00382C0E">
      <w:pPr>
        <w:ind w:left="1134"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Acceso a la información pública. RRA 3104/16. Sesión del 01 de noviembre del 2016. Votación por unanimidad. Sin votos disidentes o particulares. Secretaría de la Defensa Nacional. Comisionado Ponente Oscar Mauricio Guerra Ford.</w:t>
      </w:r>
    </w:p>
    <w:p w14:paraId="676FB4C7" w14:textId="77777777" w:rsidR="00FC58AB" w:rsidRDefault="00382C0E">
      <w:pPr>
        <w:ind w:left="1134" w:right="6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Acceso a la información pública. RRA 2923/16. Sesión del 13 de diciembre de 2016. Votación por unanimidad. Sin votos disidentes o particulares. Administración Portuaria Integral de Lázaro Cárdenas, S.A. de C.V. Comisionada Ponente María Patricia Kurczyn Villalobos.</w:t>
      </w:r>
    </w:p>
    <w:p w14:paraId="43773765" w14:textId="77777777" w:rsidR="00FC58AB" w:rsidRDefault="00382C0E">
      <w:pPr>
        <w:tabs>
          <w:tab w:val="left" w:pos="7371"/>
        </w:tabs>
        <w:ind w:left="1134"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Acceso a la información pública. RRA 2855/17. Sesión del 14 de junio de 2017. Votación por unanimidad. Con votos particulares de la Comisionada Areli Cano Guadiana y el Comisionado Oscar Mauricio Guerra Ford. Comisión Nacional de Hidrocarburos. Comisionada Ponente Ximena Puente de la Mora.</w:t>
      </w:r>
    </w:p>
    <w:p w14:paraId="4F94F642" w14:textId="77777777" w:rsidR="005841AD" w:rsidRDefault="005841AD">
      <w:pPr>
        <w:tabs>
          <w:tab w:val="left" w:pos="7371"/>
        </w:tabs>
        <w:ind w:left="1134" w:right="62"/>
        <w:jc w:val="both"/>
        <w:rPr>
          <w:rFonts w:ascii="Palatino Linotype" w:eastAsia="Palatino Linotype" w:hAnsi="Palatino Linotype" w:cs="Palatino Linotype"/>
          <w:i/>
          <w:sz w:val="22"/>
          <w:szCs w:val="22"/>
        </w:rPr>
      </w:pPr>
    </w:p>
    <w:p w14:paraId="1929C454" w14:textId="77777777" w:rsidR="00FC58AB" w:rsidRDefault="00FC58AB">
      <w:pPr>
        <w:spacing w:line="360" w:lineRule="auto"/>
        <w:ind w:right="-787"/>
        <w:jc w:val="both"/>
        <w:rPr>
          <w:rFonts w:ascii="Palatino Linotype" w:eastAsia="Palatino Linotype" w:hAnsi="Palatino Linotype" w:cs="Palatino Linotype"/>
          <w:color w:val="000000"/>
        </w:rPr>
      </w:pPr>
    </w:p>
    <w:p w14:paraId="725D8BB3"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todo lo anteriormente expuesto, se debe de referir que al ser información pública de oficio y encontrarse en documentos de carácter definitivo es que no procede que la información sea reservada, de conformidad con lo siguiente. </w:t>
      </w:r>
    </w:p>
    <w:p w14:paraId="09C55348" w14:textId="77777777" w:rsidR="00FC58AB" w:rsidRDefault="00FC58AB">
      <w:pPr>
        <w:spacing w:line="360" w:lineRule="auto"/>
        <w:ind w:left="1494" w:right="-787"/>
        <w:jc w:val="both"/>
        <w:rPr>
          <w:rFonts w:ascii="Palatino Linotype" w:eastAsia="Palatino Linotype" w:hAnsi="Palatino Linotype" w:cs="Palatino Linotype"/>
        </w:rPr>
      </w:pPr>
    </w:p>
    <w:p w14:paraId="7218B15E"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Luego entonces, al tratarse de </w:t>
      </w:r>
      <w:r>
        <w:rPr>
          <w:rFonts w:ascii="Palatino Linotype" w:eastAsia="Palatino Linotype" w:hAnsi="Palatino Linotype" w:cs="Palatino Linotype"/>
          <w:b/>
          <w:color w:val="000000"/>
        </w:rPr>
        <w:t>documentos definitivos</w:t>
      </w:r>
      <w:r>
        <w:rPr>
          <w:rFonts w:ascii="Palatino Linotype" w:eastAsia="Palatino Linotype" w:hAnsi="Palatino Linotype" w:cs="Palatino Linotype"/>
        </w:rPr>
        <w:t xml:space="preserve">, el Sujeto Obligado al momento de desarrollar una prueba de daño específica, no podría acreditar las circunstancias analizadas como se pretende en los acuerdos remitidos, al no poderse  tomar en cuenta lo establecido en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 </w:t>
      </w:r>
    </w:p>
    <w:p w14:paraId="3859568A" w14:textId="77777777" w:rsidR="00FC58AB" w:rsidRDefault="00382C0E">
      <w:pPr>
        <w:numPr>
          <w:ilvl w:val="0"/>
          <w:numId w:val="6"/>
        </w:numPr>
        <w:pBdr>
          <w:top w:val="nil"/>
          <w:left w:val="nil"/>
          <w:bottom w:val="nil"/>
          <w:right w:val="nil"/>
          <w:between w:val="nil"/>
        </w:pBdr>
        <w:spacing w:line="360" w:lineRule="auto"/>
        <w:ind w:right="6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La divulgación de la información representa un riesgo real, demostrable e identificable de perjuicio significativo al interés público o a la seguridad nacional.</w:t>
      </w:r>
    </w:p>
    <w:p w14:paraId="5659BB7B" w14:textId="77777777" w:rsidR="00FC58AB" w:rsidRDefault="00382C0E">
      <w:pPr>
        <w:numPr>
          <w:ilvl w:val="0"/>
          <w:numId w:val="6"/>
        </w:numPr>
        <w:pBdr>
          <w:top w:val="nil"/>
          <w:left w:val="nil"/>
          <w:bottom w:val="nil"/>
          <w:right w:val="nil"/>
          <w:between w:val="nil"/>
        </w:pBdr>
        <w:spacing w:line="360" w:lineRule="auto"/>
        <w:ind w:right="6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riesgo de perjuicio supera el interés público general de que se difunda.</w:t>
      </w:r>
    </w:p>
    <w:p w14:paraId="4B7A453C" w14:textId="77777777" w:rsidR="00FC58AB" w:rsidRDefault="00382C0E">
      <w:pPr>
        <w:numPr>
          <w:ilvl w:val="0"/>
          <w:numId w:val="6"/>
        </w:numPr>
        <w:pBdr>
          <w:top w:val="nil"/>
          <w:left w:val="nil"/>
          <w:bottom w:val="nil"/>
          <w:right w:val="nil"/>
          <w:between w:val="nil"/>
        </w:pBdr>
        <w:spacing w:line="360" w:lineRule="auto"/>
        <w:ind w:right="6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Que la limitación se adecua al principio de proporcionalidad y representa el medio menos restrictivo disponible para evitar el perjuicio. </w:t>
      </w:r>
    </w:p>
    <w:p w14:paraId="2CBEE9B0" w14:textId="77777777" w:rsidR="00FC58AB" w:rsidRDefault="00FC58AB">
      <w:pPr>
        <w:pBdr>
          <w:top w:val="nil"/>
          <w:left w:val="nil"/>
          <w:bottom w:val="nil"/>
          <w:right w:val="nil"/>
          <w:between w:val="nil"/>
        </w:pBdr>
        <w:spacing w:line="360" w:lineRule="auto"/>
        <w:ind w:right="-787"/>
        <w:jc w:val="both"/>
        <w:rPr>
          <w:rFonts w:ascii="Palatino Linotype" w:eastAsia="Palatino Linotype" w:hAnsi="Palatino Linotype" w:cs="Palatino Linotype"/>
        </w:rPr>
      </w:pPr>
    </w:p>
    <w:p w14:paraId="3317C514"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Reiterando que por tratarse de </w:t>
      </w:r>
      <w:r>
        <w:rPr>
          <w:rFonts w:ascii="Palatino Linotype" w:eastAsia="Palatino Linotype" w:hAnsi="Palatino Linotype" w:cs="Palatino Linotype"/>
          <w:b/>
        </w:rPr>
        <w:t>documentos definitivos</w:t>
      </w:r>
      <w:r>
        <w:rPr>
          <w:rFonts w:ascii="Palatino Linotype" w:eastAsia="Palatino Linotype" w:hAnsi="Palatino Linotype" w:cs="Palatino Linotype"/>
        </w:rPr>
        <w:t xml:space="preserve">. Por el contrario la entrega de la información Transparencia y rendición de cuentas, en virtud que los documentos definitivos, </w:t>
      </w:r>
      <w:r>
        <w:rPr>
          <w:rFonts w:ascii="Palatino Linotype" w:eastAsia="Palatino Linotype" w:hAnsi="Palatino Linotype" w:cs="Palatino Linotype"/>
          <w:b/>
        </w:rPr>
        <w:t>como contratos</w:t>
      </w:r>
      <w:r>
        <w:rPr>
          <w:rFonts w:ascii="Palatino Linotype" w:eastAsia="Palatino Linotype" w:hAnsi="Palatino Linotype" w:cs="Palatino Linotype"/>
        </w:rPr>
        <w:t xml:space="preserve">, resoluciones o </w:t>
      </w:r>
      <w:r>
        <w:rPr>
          <w:rFonts w:ascii="Palatino Linotype" w:eastAsia="Palatino Linotype" w:hAnsi="Palatino Linotype" w:cs="Palatino Linotype"/>
          <w:b/>
        </w:rPr>
        <w:t>adquisiciones ya materializadas</w:t>
      </w:r>
      <w:r>
        <w:rPr>
          <w:rFonts w:ascii="Palatino Linotype" w:eastAsia="Palatino Linotype" w:hAnsi="Palatino Linotype" w:cs="Palatino Linotype"/>
        </w:rPr>
        <w:t>, deben ser accesibles para que los ciudadanos y otras partes interesadas puedan supervisar el uso de los recursos públicos, las decisiones gubernamentales y el cumplimiento de los procedimientos legales, garantizando que los ciudadanos tengan el derecho de conocer la información relacionada con la administración pública, excepto en casos muy específicos (seguridad nacional, etc.), por lo que documentos definitivos no suelen entrar en esas excepciones.</w:t>
      </w:r>
    </w:p>
    <w:p w14:paraId="31F05653" w14:textId="77777777" w:rsidR="00FC58AB" w:rsidRDefault="00FC58AB">
      <w:pPr>
        <w:spacing w:line="360" w:lineRule="auto"/>
        <w:ind w:left="501" w:right="-787"/>
        <w:jc w:val="both"/>
        <w:rPr>
          <w:rFonts w:ascii="Palatino Linotype" w:eastAsia="Palatino Linotype" w:hAnsi="Palatino Linotype" w:cs="Palatino Linotype"/>
        </w:rPr>
      </w:pPr>
    </w:p>
    <w:p w14:paraId="6C2C819F" w14:textId="77777777" w:rsidR="00FC58AB" w:rsidRPr="00D12352"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mantener los documentos definitivos accesibles ayuda a prevenir la corrupción, si los documentos finales fueran reservados, se permitiría encubrir decisiones o contrataciones irregulares aun y cuando estas ya fueron consumadas, por lo que los documentos finales aumenta la confianza de los ciudadanos en las instituciones, ya que se demuestra que las decisiones se han tomado de manera abierta y conforme a la ley. En resumen, los documentos definitivos se consideran el resultado de procesos que deben ser </w:t>
      </w:r>
      <w:r w:rsidRPr="00D12352">
        <w:rPr>
          <w:rFonts w:ascii="Palatino Linotype" w:eastAsia="Palatino Linotype" w:hAnsi="Palatino Linotype" w:cs="Palatino Linotype"/>
        </w:rPr>
        <w:lastRenderedPageBreak/>
        <w:t xml:space="preserve">conocidos y evaluados por la sociedad, y por eso no se clasifican como reservados, por lo que se desestima la pretendida clasificación propuesta por el </w:t>
      </w:r>
      <w:r w:rsidRPr="00D12352">
        <w:rPr>
          <w:rFonts w:ascii="Palatino Linotype" w:eastAsia="Palatino Linotype" w:hAnsi="Palatino Linotype" w:cs="Palatino Linotype"/>
          <w:b/>
        </w:rPr>
        <w:t>sujeto OBLIGADO.</w:t>
      </w:r>
    </w:p>
    <w:p w14:paraId="027597F1" w14:textId="77777777" w:rsidR="005841AD" w:rsidRPr="00D12352" w:rsidRDefault="005841AD" w:rsidP="005841AD">
      <w:pPr>
        <w:pStyle w:val="Prrafodelista"/>
        <w:rPr>
          <w:rFonts w:ascii="Palatino Linotype" w:eastAsia="Palatino Linotype" w:hAnsi="Palatino Linotype" w:cs="Palatino Linotype"/>
        </w:rPr>
      </w:pPr>
    </w:p>
    <w:p w14:paraId="7452B0AB" w14:textId="77777777" w:rsidR="005841AD" w:rsidRPr="00D12352" w:rsidRDefault="005841AD">
      <w:pPr>
        <w:numPr>
          <w:ilvl w:val="0"/>
          <w:numId w:val="3"/>
        </w:numPr>
        <w:spacing w:line="360" w:lineRule="auto"/>
        <w:ind w:left="0" w:right="-787" w:firstLine="0"/>
        <w:jc w:val="both"/>
        <w:rPr>
          <w:rFonts w:ascii="Palatino Linotype" w:eastAsia="Palatino Linotype" w:hAnsi="Palatino Linotype" w:cs="Palatino Linotype"/>
        </w:rPr>
      </w:pPr>
      <w:r w:rsidRPr="00D12352">
        <w:rPr>
          <w:rFonts w:ascii="Palatino Linotype" w:eastAsia="Palatino Linotype" w:hAnsi="Palatino Linotype" w:cs="Palatino Linotype"/>
        </w:rPr>
        <w:t xml:space="preserve">Ahora bien, una vez expuesto lo anterior, sobre el procedimiento de Adjudicación Directa, es que se debe de precisar que el Ayuntamiento de Tlalnepantla de Baz, se </w:t>
      </w:r>
      <w:r w:rsidR="00925549" w:rsidRPr="00D12352">
        <w:rPr>
          <w:rFonts w:ascii="Palatino Linotype" w:eastAsia="Palatino Linotype" w:hAnsi="Palatino Linotype" w:cs="Palatino Linotype"/>
        </w:rPr>
        <w:t>integra</w:t>
      </w:r>
      <w:r w:rsidRPr="00D12352">
        <w:rPr>
          <w:rFonts w:ascii="Palatino Linotype" w:eastAsia="Palatino Linotype" w:hAnsi="Palatino Linotype" w:cs="Palatino Linotype"/>
        </w:rPr>
        <w:t xml:space="preserve"> por la Dirección</w:t>
      </w:r>
      <w:r w:rsidR="00925549" w:rsidRPr="00D12352">
        <w:rPr>
          <w:rFonts w:ascii="Palatino Linotype" w:eastAsia="Palatino Linotype" w:hAnsi="Palatino Linotype" w:cs="Palatino Linotype"/>
        </w:rPr>
        <w:t xml:space="preserve"> de Obras Públicas, quien de acuerdo con el Manual de Organización de la propia dirección, tiene las siguientes funciones. </w:t>
      </w:r>
    </w:p>
    <w:p w14:paraId="23509233" w14:textId="77777777" w:rsidR="00925549" w:rsidRPr="00D12352" w:rsidRDefault="00925549" w:rsidP="00925549">
      <w:pPr>
        <w:pStyle w:val="Prrafodelista"/>
        <w:rPr>
          <w:rFonts w:ascii="Palatino Linotype" w:eastAsia="Palatino Linotype" w:hAnsi="Palatino Linotype" w:cs="Palatino Linotype"/>
        </w:rPr>
      </w:pPr>
    </w:p>
    <w:p w14:paraId="650585AB" w14:textId="77777777" w:rsidR="00925549" w:rsidRPr="00D12352" w:rsidRDefault="00925549" w:rsidP="00925549">
      <w:pPr>
        <w:spacing w:line="360" w:lineRule="auto"/>
        <w:ind w:right="-787"/>
        <w:jc w:val="center"/>
        <w:rPr>
          <w:rFonts w:ascii="Palatino Linotype" w:eastAsia="Palatino Linotype" w:hAnsi="Palatino Linotype" w:cs="Palatino Linotype"/>
        </w:rPr>
      </w:pPr>
      <w:r w:rsidRPr="00D12352">
        <w:rPr>
          <w:rFonts w:ascii="Palatino Linotype" w:eastAsia="Palatino Linotype" w:hAnsi="Palatino Linotype" w:cs="Palatino Linotype"/>
          <w:noProof/>
          <w:lang w:val="es-MX"/>
        </w:rPr>
        <w:drawing>
          <wp:inline distT="0" distB="0" distL="0" distR="0" wp14:anchorId="0861CE63" wp14:editId="2B3759E6">
            <wp:extent cx="3541810" cy="4394200"/>
            <wp:effectExtent l="0" t="0" r="190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47867" cy="4401714"/>
                    </a:xfrm>
                    <a:prstGeom prst="rect">
                      <a:avLst/>
                    </a:prstGeom>
                  </pic:spPr>
                </pic:pic>
              </a:graphicData>
            </a:graphic>
          </wp:inline>
        </w:drawing>
      </w:r>
    </w:p>
    <w:p w14:paraId="1FE5D47A" w14:textId="77777777" w:rsidR="00FC58AB" w:rsidRPr="00D12352" w:rsidRDefault="00FC58AB">
      <w:pPr>
        <w:spacing w:line="360" w:lineRule="auto"/>
        <w:ind w:right="-787"/>
        <w:jc w:val="both"/>
        <w:rPr>
          <w:rFonts w:ascii="Palatino Linotype" w:eastAsia="Palatino Linotype" w:hAnsi="Palatino Linotype" w:cs="Palatino Linotype"/>
          <w:i/>
          <w:color w:val="000000"/>
        </w:rPr>
      </w:pPr>
    </w:p>
    <w:p w14:paraId="4F15209D" w14:textId="77777777" w:rsidR="00FC58AB" w:rsidRPr="00D12352" w:rsidRDefault="00925549" w:rsidP="00925549">
      <w:pPr>
        <w:pBdr>
          <w:top w:val="nil"/>
          <w:left w:val="nil"/>
          <w:bottom w:val="nil"/>
          <w:right w:val="nil"/>
          <w:between w:val="nil"/>
        </w:pBdr>
        <w:ind w:left="720" w:right="-787"/>
        <w:jc w:val="center"/>
        <w:rPr>
          <w:rFonts w:ascii="Palatino Linotype" w:eastAsia="Palatino Linotype" w:hAnsi="Palatino Linotype" w:cs="Palatino Linotype"/>
          <w:color w:val="000000"/>
        </w:rPr>
      </w:pPr>
      <w:r w:rsidRPr="00D12352">
        <w:rPr>
          <w:rFonts w:ascii="Palatino Linotype" w:eastAsia="Palatino Linotype" w:hAnsi="Palatino Linotype" w:cs="Palatino Linotype"/>
          <w:noProof/>
          <w:color w:val="000000"/>
          <w:lang w:val="es-MX"/>
        </w:rPr>
        <w:lastRenderedPageBreak/>
        <w:drawing>
          <wp:inline distT="0" distB="0" distL="0" distR="0" wp14:anchorId="05808D4C" wp14:editId="2FB94DB0">
            <wp:extent cx="3911600" cy="2933479"/>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28721" cy="2946319"/>
                    </a:xfrm>
                    <a:prstGeom prst="rect">
                      <a:avLst/>
                    </a:prstGeom>
                  </pic:spPr>
                </pic:pic>
              </a:graphicData>
            </a:graphic>
          </wp:inline>
        </w:drawing>
      </w:r>
    </w:p>
    <w:p w14:paraId="78910E22" w14:textId="77777777" w:rsidR="00925549" w:rsidRPr="00D12352" w:rsidRDefault="00925549" w:rsidP="00925549">
      <w:pPr>
        <w:pBdr>
          <w:top w:val="nil"/>
          <w:left w:val="nil"/>
          <w:bottom w:val="nil"/>
          <w:right w:val="nil"/>
          <w:between w:val="nil"/>
        </w:pBdr>
        <w:ind w:left="720" w:right="-787"/>
        <w:jc w:val="center"/>
        <w:rPr>
          <w:rFonts w:ascii="Palatino Linotype" w:eastAsia="Palatino Linotype" w:hAnsi="Palatino Linotype" w:cs="Palatino Linotype"/>
          <w:color w:val="000000"/>
        </w:rPr>
      </w:pPr>
    </w:p>
    <w:p w14:paraId="6FD82C27" w14:textId="77777777" w:rsidR="00925549" w:rsidRPr="00D12352" w:rsidRDefault="00925549" w:rsidP="00925549">
      <w:pPr>
        <w:pBdr>
          <w:top w:val="nil"/>
          <w:left w:val="nil"/>
          <w:bottom w:val="nil"/>
          <w:right w:val="nil"/>
          <w:between w:val="nil"/>
        </w:pBdr>
        <w:ind w:left="720" w:right="-787"/>
        <w:jc w:val="center"/>
        <w:rPr>
          <w:rFonts w:ascii="Palatino Linotype" w:eastAsia="Palatino Linotype" w:hAnsi="Palatino Linotype" w:cs="Palatino Linotype"/>
          <w:color w:val="000000"/>
        </w:rPr>
      </w:pPr>
    </w:p>
    <w:p w14:paraId="5322D378" w14:textId="77777777" w:rsidR="00925549" w:rsidRPr="00D12352" w:rsidRDefault="00925549" w:rsidP="00925549">
      <w:pPr>
        <w:numPr>
          <w:ilvl w:val="0"/>
          <w:numId w:val="3"/>
        </w:numPr>
        <w:spacing w:line="360" w:lineRule="auto"/>
        <w:ind w:left="0" w:right="-787" w:firstLine="0"/>
        <w:jc w:val="both"/>
        <w:rPr>
          <w:rFonts w:ascii="Palatino Linotype" w:eastAsia="Palatino Linotype" w:hAnsi="Palatino Linotype" w:cs="Palatino Linotype"/>
        </w:rPr>
      </w:pPr>
      <w:r w:rsidRPr="00D12352">
        <w:rPr>
          <w:rFonts w:ascii="Palatino Linotype" w:eastAsia="Palatino Linotype" w:hAnsi="Palatino Linotype" w:cs="Palatino Linotype"/>
        </w:rPr>
        <w:t xml:space="preserve">Ahora bien, de acuerdo con el Manual de Organización de la Dirección de Obras Públicas, se observa que se integra por el de Subdirección Normativa, quien a su vez se integra por el Departamento de Adjudicación y Contratación, quien tiene las siguientes funciones. </w:t>
      </w:r>
    </w:p>
    <w:p w14:paraId="7A1793CF" w14:textId="77777777" w:rsidR="00925549" w:rsidRPr="00D12352" w:rsidRDefault="00925549" w:rsidP="00925549">
      <w:pPr>
        <w:spacing w:line="360" w:lineRule="auto"/>
        <w:ind w:right="-787"/>
        <w:jc w:val="both"/>
        <w:rPr>
          <w:rFonts w:ascii="Palatino Linotype" w:eastAsia="Palatino Linotype" w:hAnsi="Palatino Linotype" w:cs="Palatino Linotype"/>
        </w:rPr>
      </w:pPr>
      <w:r w:rsidRPr="00D12352">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14:anchorId="72E631CD" wp14:editId="04116FA6">
                <wp:simplePos x="0" y="0"/>
                <wp:positionH relativeFrom="column">
                  <wp:posOffset>-451485</wp:posOffset>
                </wp:positionH>
                <wp:positionV relativeFrom="paragraph">
                  <wp:posOffset>69850</wp:posOffset>
                </wp:positionV>
                <wp:extent cx="6654800" cy="28130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654800" cy="28130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19D2E4D6"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5.55pt,5.5pt" to="488.4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" strokecolor="black [3200]" strokeweight="1.5pt">
                <v:stroke joinstyle="miter"/>
              </v:line>
            </w:pict>
          </mc:Fallback>
        </mc:AlternateContent>
      </w:r>
    </w:p>
    <w:p w14:paraId="758E57A5" w14:textId="77777777" w:rsidR="00AA2404" w:rsidRPr="00D12352" w:rsidRDefault="00AA2404" w:rsidP="00AA2404">
      <w:pPr>
        <w:pStyle w:val="Prrafodelista"/>
        <w:rPr>
          <w:rFonts w:ascii="Palatino Linotype" w:eastAsia="Palatino Linotype" w:hAnsi="Palatino Linotype" w:cs="Palatino Linotype"/>
        </w:rPr>
      </w:pPr>
    </w:p>
    <w:p w14:paraId="70C5410F" w14:textId="77777777" w:rsidR="00AA2404" w:rsidRPr="000A3022" w:rsidRDefault="00AA2404" w:rsidP="00AA2404">
      <w:pPr>
        <w:spacing w:line="360" w:lineRule="auto"/>
        <w:ind w:right="-787"/>
        <w:jc w:val="both"/>
        <w:rPr>
          <w:rFonts w:ascii="Palatino Linotype" w:eastAsia="Palatino Linotype" w:hAnsi="Palatino Linotype" w:cs="Palatino Linotype"/>
          <w:highlight w:val="yellow"/>
        </w:rPr>
      </w:pPr>
    </w:p>
    <w:p w14:paraId="5A5DE0D9" w14:textId="77777777" w:rsidR="00AA2404" w:rsidRPr="00D12352" w:rsidRDefault="00AA2404" w:rsidP="00AA2404">
      <w:pPr>
        <w:spacing w:line="360" w:lineRule="auto"/>
        <w:ind w:right="-787"/>
        <w:jc w:val="both"/>
        <w:rPr>
          <w:rFonts w:ascii="Palatino Linotype" w:eastAsia="Palatino Linotype" w:hAnsi="Palatino Linotype" w:cs="Palatino Linotype"/>
        </w:rPr>
      </w:pPr>
    </w:p>
    <w:p w14:paraId="5E87BD2C" w14:textId="77777777" w:rsidR="00925549" w:rsidRPr="00D12352" w:rsidRDefault="00925549" w:rsidP="00AA2404">
      <w:pPr>
        <w:spacing w:line="360" w:lineRule="auto"/>
        <w:ind w:right="-787"/>
        <w:jc w:val="center"/>
        <w:rPr>
          <w:rFonts w:ascii="Palatino Linotype" w:eastAsia="Palatino Linotype" w:hAnsi="Palatino Linotype" w:cs="Palatino Linotype"/>
        </w:rPr>
      </w:pPr>
      <w:r w:rsidRPr="00D12352">
        <w:rPr>
          <w:rFonts w:ascii="Palatino Linotype" w:eastAsia="Palatino Linotype" w:hAnsi="Palatino Linotype" w:cs="Palatino Linotype"/>
          <w:noProof/>
          <w:lang w:val="es-MX"/>
        </w:rPr>
        <w:lastRenderedPageBreak/>
        <w:drawing>
          <wp:inline distT="0" distB="0" distL="0" distR="0" wp14:anchorId="2BF4F59E" wp14:editId="6F7F7EB8">
            <wp:extent cx="3689350" cy="3171305"/>
            <wp:effectExtent l="152400" t="152400" r="368300" b="3530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95421" cy="3176523"/>
                    </a:xfrm>
                    <a:prstGeom prst="rect">
                      <a:avLst/>
                    </a:prstGeom>
                    <a:ln>
                      <a:noFill/>
                    </a:ln>
                    <a:effectLst>
                      <a:outerShdw blurRad="292100" dist="139700" dir="2700000" algn="tl" rotWithShape="0">
                        <a:srgbClr val="333333">
                          <a:alpha val="65000"/>
                        </a:srgbClr>
                      </a:outerShdw>
                    </a:effectLst>
                  </pic:spPr>
                </pic:pic>
              </a:graphicData>
            </a:graphic>
          </wp:inline>
        </w:drawing>
      </w:r>
    </w:p>
    <w:p w14:paraId="187120BF" w14:textId="77777777" w:rsidR="00AA2404" w:rsidRPr="00D12352" w:rsidRDefault="00AA2404" w:rsidP="00925549">
      <w:pPr>
        <w:numPr>
          <w:ilvl w:val="0"/>
          <w:numId w:val="3"/>
        </w:numPr>
        <w:spacing w:line="360" w:lineRule="auto"/>
        <w:ind w:left="0" w:right="-787" w:firstLine="0"/>
        <w:jc w:val="both"/>
        <w:rPr>
          <w:rFonts w:ascii="Palatino Linotype" w:eastAsia="Palatino Linotype" w:hAnsi="Palatino Linotype" w:cs="Palatino Linotype"/>
        </w:rPr>
      </w:pPr>
      <w:r w:rsidRPr="00D12352">
        <w:rPr>
          <w:rFonts w:ascii="Palatino Linotype" w:eastAsia="Palatino Linotype" w:hAnsi="Palatino Linotype" w:cs="Palatino Linotype"/>
        </w:rPr>
        <w:t xml:space="preserve">De lo anterior, se observa que dentro de la Dirección de Obras Públicas, se encuentra el Departamento de Adjudicación y Contratación, quien se encarga de elaborar las convocatorias para los procedimientos de adjudicación, así como sus bases. </w:t>
      </w:r>
    </w:p>
    <w:p w14:paraId="4701F81B" w14:textId="77777777" w:rsidR="00AA2404" w:rsidRPr="00D12352" w:rsidRDefault="00AA2404" w:rsidP="00AA2404">
      <w:pPr>
        <w:spacing w:line="360" w:lineRule="auto"/>
        <w:ind w:right="-787"/>
        <w:jc w:val="both"/>
        <w:rPr>
          <w:rFonts w:ascii="Palatino Linotype" w:eastAsia="Palatino Linotype" w:hAnsi="Palatino Linotype" w:cs="Palatino Linotype"/>
        </w:rPr>
      </w:pPr>
    </w:p>
    <w:p w14:paraId="319810E8" w14:textId="77777777" w:rsidR="00AA2404" w:rsidRPr="00D12352" w:rsidRDefault="00AA2404" w:rsidP="00925549">
      <w:pPr>
        <w:numPr>
          <w:ilvl w:val="0"/>
          <w:numId w:val="3"/>
        </w:numPr>
        <w:spacing w:line="360" w:lineRule="auto"/>
        <w:ind w:left="0" w:right="-787" w:firstLine="0"/>
        <w:jc w:val="both"/>
        <w:rPr>
          <w:rFonts w:ascii="Palatino Linotype" w:eastAsia="Palatino Linotype" w:hAnsi="Palatino Linotype" w:cs="Palatino Linotype"/>
        </w:rPr>
      </w:pPr>
      <w:r w:rsidRPr="00D12352">
        <w:rPr>
          <w:rFonts w:ascii="Palatino Linotype" w:eastAsia="Palatino Linotype" w:hAnsi="Palatino Linotype" w:cs="Palatino Linotype"/>
        </w:rPr>
        <w:t xml:space="preserve">Seguidamente, se observa que la Dirección de Obras Públicas, </w:t>
      </w:r>
      <w:r w:rsidR="00F86BBC" w:rsidRPr="00D12352">
        <w:rPr>
          <w:rFonts w:ascii="Palatino Linotype" w:eastAsia="Palatino Linotype" w:hAnsi="Palatino Linotype" w:cs="Palatino Linotype"/>
        </w:rPr>
        <w:t>también</w:t>
      </w:r>
      <w:r w:rsidRPr="00D12352">
        <w:rPr>
          <w:rFonts w:ascii="Palatino Linotype" w:eastAsia="Palatino Linotype" w:hAnsi="Palatino Linotype" w:cs="Palatino Linotype"/>
        </w:rPr>
        <w:t xml:space="preserve"> se integra por el Departamento de Evaluación </w:t>
      </w:r>
      <w:r w:rsidR="00F86BBC" w:rsidRPr="00D12352">
        <w:rPr>
          <w:rFonts w:ascii="Palatino Linotype" w:eastAsia="Palatino Linotype" w:hAnsi="Palatino Linotype" w:cs="Palatino Linotype"/>
        </w:rPr>
        <w:t xml:space="preserve">e integración de expedientes, de la cual se observa que es el área encargada de la integración de los expedientes por obra pública, situación por la cual parte de la solicitud de información consiste en conocer sobre obras de pavimentación, la información solicita puede encontrarse de manera enunciativa mas no limitativa en el expediente de la obra pública. </w:t>
      </w:r>
    </w:p>
    <w:p w14:paraId="31CD59BE" w14:textId="77777777" w:rsidR="00646F3A" w:rsidRPr="00D12352" w:rsidRDefault="00646F3A" w:rsidP="00646F3A">
      <w:pPr>
        <w:pStyle w:val="Prrafodelista"/>
        <w:rPr>
          <w:rFonts w:ascii="Palatino Linotype" w:eastAsia="Palatino Linotype" w:hAnsi="Palatino Linotype" w:cs="Palatino Linotype"/>
        </w:rPr>
      </w:pPr>
    </w:p>
    <w:p w14:paraId="2DF8901D" w14:textId="77777777" w:rsidR="00646F3A" w:rsidRPr="00D12352" w:rsidRDefault="00646F3A" w:rsidP="00646F3A">
      <w:pPr>
        <w:numPr>
          <w:ilvl w:val="0"/>
          <w:numId w:val="3"/>
        </w:numPr>
        <w:spacing w:line="360" w:lineRule="auto"/>
        <w:ind w:left="0" w:right="-787" w:firstLine="0"/>
        <w:jc w:val="both"/>
        <w:rPr>
          <w:rFonts w:ascii="Palatino Linotype" w:hAnsi="Palatino Linotype"/>
        </w:rPr>
      </w:pPr>
      <w:r w:rsidRPr="00D12352">
        <w:rPr>
          <w:rFonts w:ascii="Palatino Linotype" w:hAnsi="Palatino Linotype"/>
        </w:rPr>
        <w:lastRenderedPageBreak/>
        <w:t xml:space="preserve">Precisado lo anterior, considerando que el particular desea que se le proporcione información de las adjudicaciones, contratos y facturas relacionadas con procedimiento de obras públicas, es importante referir que el dos de diciembre de dos mil dieciséis, se publicó en el periódico oficial del Gobierno del Estado de México “Gaceta del Gobierno” el </w:t>
      </w:r>
      <w:r w:rsidRPr="00D12352">
        <w:rPr>
          <w:rFonts w:ascii="Palatino Linotype" w:hAnsi="Palatino Linotype"/>
          <w:i/>
        </w:rPr>
        <w:t>Acuerdo del Secretario de Infraestructura por el que se establece el índice de expediente único de obra pública e instructivos de llenado en las modalidades de adjudicación directa, invitación restringida y licitación pública</w:t>
      </w:r>
      <w:r w:rsidRPr="00D12352">
        <w:rPr>
          <w:rStyle w:val="Refdenotaalpie"/>
          <w:rFonts w:ascii="Palatino Linotype" w:hAnsi="Palatino Linotype"/>
          <w:i/>
        </w:rPr>
        <w:footnoteReference w:id="6"/>
      </w:r>
      <w:r w:rsidRPr="00D12352">
        <w:rPr>
          <w:rFonts w:ascii="Palatino Linotype" w:hAnsi="Palatino Linotype"/>
        </w:rPr>
        <w:t xml:space="preserve">; por medio del cual </w:t>
      </w:r>
      <w:r w:rsidRPr="00D12352">
        <w:rPr>
          <w:rFonts w:ascii="Palatino Linotype" w:hAnsi="Palatino Linotype"/>
          <w:u w:val="single"/>
        </w:rPr>
        <w:t xml:space="preserve">se establecieron los Índices de Expedientes Únicos de Obra e instructivos de llenado, en las modalidades de </w:t>
      </w:r>
      <w:r w:rsidRPr="00D12352">
        <w:rPr>
          <w:rFonts w:ascii="Palatino Linotype" w:hAnsi="Palatino Linotype"/>
          <w:b/>
          <w:u w:val="single"/>
        </w:rPr>
        <w:t>Adjudicación Dir</w:t>
      </w:r>
      <w:r w:rsidRPr="00D12352">
        <w:rPr>
          <w:rFonts w:ascii="Palatino Linotype" w:hAnsi="Palatino Linotype"/>
          <w:u w:val="single"/>
        </w:rPr>
        <w:t>ecta, Invitación Restringida y Licitación Pública, para la integración del expediente único de obra pública que para tal efecto integran</w:t>
      </w:r>
      <w:r w:rsidRPr="00D12352">
        <w:rPr>
          <w:rFonts w:ascii="Palatino Linotype" w:hAnsi="Palatino Linotype"/>
        </w:rPr>
        <w:t xml:space="preserve"> las dependencias, entidades,</w:t>
      </w:r>
      <w:r w:rsidRPr="00D12352">
        <w:rPr>
          <w:rFonts w:ascii="Palatino Linotype" w:hAnsi="Palatino Linotype"/>
          <w:b/>
        </w:rPr>
        <w:t xml:space="preserve"> </w:t>
      </w:r>
      <w:r w:rsidRPr="00D12352">
        <w:rPr>
          <w:rFonts w:ascii="Palatino Linotype" w:hAnsi="Palatino Linotype"/>
          <w:b/>
          <w:u w:val="single"/>
        </w:rPr>
        <w:t>ayuntamientos</w:t>
      </w:r>
      <w:r w:rsidRPr="00D12352">
        <w:rPr>
          <w:rFonts w:ascii="Palatino Linotype" w:hAnsi="Palatino Linotype"/>
        </w:rPr>
        <w:t xml:space="preserve"> y tribunales administrativos que ejecuten obra pública.</w:t>
      </w:r>
    </w:p>
    <w:p w14:paraId="33BD63F4" w14:textId="77777777" w:rsidR="00646F3A" w:rsidRPr="00D12352" w:rsidRDefault="00646F3A" w:rsidP="00646F3A">
      <w:pPr>
        <w:pStyle w:val="Prrafodelista"/>
        <w:spacing w:line="360" w:lineRule="auto"/>
        <w:ind w:left="928"/>
        <w:jc w:val="both"/>
        <w:rPr>
          <w:rFonts w:ascii="Palatino Linotype" w:hAnsi="Palatino Linotype"/>
        </w:rPr>
      </w:pPr>
    </w:p>
    <w:p w14:paraId="03B0630F" w14:textId="77777777" w:rsidR="00646F3A" w:rsidRPr="00D12352" w:rsidRDefault="00646F3A" w:rsidP="00646F3A">
      <w:pPr>
        <w:numPr>
          <w:ilvl w:val="0"/>
          <w:numId w:val="3"/>
        </w:numPr>
        <w:spacing w:line="360" w:lineRule="auto"/>
        <w:ind w:left="0" w:right="-787" w:firstLine="0"/>
        <w:jc w:val="both"/>
        <w:rPr>
          <w:rFonts w:ascii="Palatino Linotype" w:hAnsi="Palatino Linotype"/>
        </w:rPr>
      </w:pPr>
      <w:r w:rsidRPr="00D12352">
        <w:rPr>
          <w:rFonts w:ascii="Palatino Linotype" w:hAnsi="Palatino Linotype"/>
        </w:rPr>
        <w:t xml:space="preserve">Por lo que, dicho Acuerdo precisa los documentos que deben formar parte integrante del expediente único de obra, en la modalidad ya sea de adjudicación directa, invitación restringida y licitación pública, para mayor referencia se insertan las siguientes imágenes: </w:t>
      </w:r>
    </w:p>
    <w:p w14:paraId="20D4DAA4" w14:textId="77777777" w:rsidR="00646F3A" w:rsidRPr="00D12352" w:rsidRDefault="00646F3A" w:rsidP="00646F3A">
      <w:pPr>
        <w:pStyle w:val="Prrafodelista"/>
        <w:spacing w:line="360" w:lineRule="auto"/>
        <w:ind w:left="928"/>
        <w:rPr>
          <w:rFonts w:ascii="Palatino Linotype" w:hAnsi="Palatino Linotype"/>
        </w:rPr>
      </w:pPr>
      <w:r w:rsidRPr="00D12352">
        <w:rPr>
          <w:noProof/>
          <w:lang w:val="es-MX" w:eastAsia="es-MX"/>
        </w:rPr>
        <w:lastRenderedPageBreak/>
        <mc:AlternateContent>
          <mc:Choice Requires="wps">
            <w:drawing>
              <wp:anchor distT="0" distB="0" distL="114300" distR="114300" simplePos="0" relativeHeight="251661312" behindDoc="0" locked="0" layoutInCell="1" allowOverlap="1" wp14:anchorId="092D4E43" wp14:editId="2A2005BB">
                <wp:simplePos x="0" y="0"/>
                <wp:positionH relativeFrom="column">
                  <wp:posOffset>2204085</wp:posOffset>
                </wp:positionH>
                <wp:positionV relativeFrom="paragraph">
                  <wp:posOffset>358775</wp:posOffset>
                </wp:positionV>
                <wp:extent cx="1432560" cy="129540"/>
                <wp:effectExtent l="76200" t="38100" r="53340" b="99060"/>
                <wp:wrapNone/>
                <wp:docPr id="5" name="Rectángulo redondeado 5"/>
                <wp:cNvGraphicFramePr/>
                <a:graphic xmlns:a="http://schemas.openxmlformats.org/drawingml/2006/main">
                  <a:graphicData uri="http://schemas.microsoft.com/office/word/2010/wordprocessingShape">
                    <wps:wsp>
                      <wps:cNvSpPr/>
                      <wps:spPr>
                        <a:xfrm>
                          <a:off x="0" y="0"/>
                          <a:ext cx="1432560" cy="12954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oundrect w14:anchorId="1065629F" id="Rectángulo redondeado 5" o:spid="_x0000_s1026" style="position:absolute;margin-left:173.55pt;margin-top:28.25pt;width:112.8pt;height:10.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" filled="f" strokecolor="red" strokeweight="2.25pt">
                <v:stroke joinstyle="miter"/>
              </v:roundrect>
            </w:pict>
          </mc:Fallback>
        </mc:AlternateContent>
      </w:r>
      <w:r w:rsidRPr="00D12352">
        <w:rPr>
          <w:noProof/>
          <w:lang w:val="es-MX" w:eastAsia="es-MX"/>
        </w:rPr>
        <w:drawing>
          <wp:inline distT="0" distB="0" distL="0" distR="0" wp14:anchorId="2988A2EA" wp14:editId="79DEA586">
            <wp:extent cx="4026074" cy="4343400"/>
            <wp:effectExtent l="152400" t="152400" r="355600" b="3619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1 - copia.png"/>
                    <pic:cNvPicPr/>
                  </pic:nvPicPr>
                  <pic:blipFill>
                    <a:blip r:embed="rId14">
                      <a:extLst>
                        <a:ext uri="{28A0092B-C50C-407E-A947-70E740481C1C}">
                          <a14:useLocalDpi xmlns:a14="http://schemas.microsoft.com/office/drawing/2010/main" val="0"/>
                        </a:ext>
                      </a:extLst>
                    </a:blip>
                    <a:stretch>
                      <a:fillRect/>
                    </a:stretch>
                  </pic:blipFill>
                  <pic:spPr>
                    <a:xfrm>
                      <a:off x="0" y="0"/>
                      <a:ext cx="4063704" cy="4383996"/>
                    </a:xfrm>
                    <a:prstGeom prst="rect">
                      <a:avLst/>
                    </a:prstGeom>
                    <a:ln>
                      <a:noFill/>
                    </a:ln>
                    <a:effectLst>
                      <a:outerShdw blurRad="292100" dist="139700" dir="2700000" algn="tl" rotWithShape="0">
                        <a:srgbClr val="333333">
                          <a:alpha val="65000"/>
                        </a:srgbClr>
                      </a:outerShdw>
                    </a:effectLst>
                  </pic:spPr>
                </pic:pic>
              </a:graphicData>
            </a:graphic>
          </wp:inline>
        </w:drawing>
      </w:r>
    </w:p>
    <w:p w14:paraId="20D49527" w14:textId="77777777" w:rsidR="000A3022" w:rsidRPr="00D12352" w:rsidRDefault="000A3022" w:rsidP="000A3022">
      <w:pPr>
        <w:numPr>
          <w:ilvl w:val="0"/>
          <w:numId w:val="3"/>
        </w:numPr>
        <w:spacing w:line="360" w:lineRule="auto"/>
        <w:ind w:left="0" w:right="-787" w:firstLine="0"/>
        <w:jc w:val="both"/>
        <w:rPr>
          <w:rFonts w:ascii="Palatino Linotype" w:eastAsia="Palatino Linotype" w:hAnsi="Palatino Linotype" w:cs="Palatino Linotype"/>
        </w:rPr>
      </w:pPr>
      <w:r w:rsidRPr="00D12352">
        <w:rPr>
          <w:rFonts w:ascii="Palatino Linotype" w:eastAsia="Palatino Linotype" w:hAnsi="Palatino Linotype" w:cs="Palatino Linotype"/>
        </w:rPr>
        <w:t xml:space="preserve">De lo anterior, se observa que la información solicitada se encuentra en el expediente de obra pública, que se encuentra en posesión de la Dirección de Obras Públicas. </w:t>
      </w:r>
    </w:p>
    <w:p w14:paraId="166ACF43" w14:textId="77777777" w:rsidR="000A3022" w:rsidRPr="000A3022" w:rsidRDefault="000A3022" w:rsidP="000A3022">
      <w:pPr>
        <w:spacing w:line="360" w:lineRule="auto"/>
        <w:ind w:right="-787"/>
        <w:jc w:val="both"/>
        <w:rPr>
          <w:rFonts w:ascii="Palatino Linotype" w:eastAsia="Palatino Linotype" w:hAnsi="Palatino Linotype" w:cs="Palatino Linotype"/>
        </w:rPr>
      </w:pPr>
    </w:p>
    <w:p w14:paraId="1A9E0BDE" w14:textId="77777777" w:rsidR="00FC58AB" w:rsidRDefault="00382C0E">
      <w:pPr>
        <w:keepNext/>
        <w:keepLines/>
        <w:spacing w:line="360" w:lineRule="auto"/>
        <w:ind w:right="-787"/>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QUINTO. De la versión pública.</w:t>
      </w:r>
    </w:p>
    <w:p w14:paraId="3C3A04E9"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Para determinar la publicidad o clasificación de datos personales, resulta conveniente traer a colación el artículo 6°, Apartado A), fracción II, de la Constitución Política de los Estados Unidos Mexicanos, prevé que la información que se refiere a la vida </w:t>
      </w:r>
      <w:r>
        <w:rPr>
          <w:rFonts w:ascii="Palatino Linotype" w:eastAsia="Palatino Linotype" w:hAnsi="Palatino Linotype" w:cs="Palatino Linotype"/>
        </w:rPr>
        <w:lastRenderedPageBreak/>
        <w:t xml:space="preserve">privada y los datos personales, </w:t>
      </w:r>
      <w:r>
        <w:rPr>
          <w:rFonts w:ascii="Palatino Linotype" w:eastAsia="Palatino Linotype" w:hAnsi="Palatino Linotype" w:cs="Palatino Linotype"/>
          <w:color w:val="000000"/>
        </w:rPr>
        <w:t>será</w:t>
      </w:r>
      <w:r>
        <w:rPr>
          <w:rFonts w:ascii="Palatino Linotype" w:eastAsia="Palatino Linotype" w:hAnsi="Palatino Linotype" w:cs="Palatino Linotype"/>
        </w:rPr>
        <w:t xml:space="preserve">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18DB4081" w14:textId="77777777" w:rsidR="00FC58AB" w:rsidRDefault="00FC58AB">
      <w:pPr>
        <w:spacing w:line="360" w:lineRule="auto"/>
        <w:ind w:right="-787"/>
        <w:jc w:val="both"/>
        <w:rPr>
          <w:rFonts w:ascii="Palatino Linotype" w:eastAsia="Palatino Linotype" w:hAnsi="Palatino Linotype" w:cs="Palatino Linotype"/>
        </w:rPr>
      </w:pPr>
    </w:p>
    <w:p w14:paraId="2E4650E2"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Acorde con lo anterior, la Ley General de Transparencia y Acceso a la Información Pública, en su artículo 116, dispone que se considera información confidencial la que contenga </w:t>
      </w:r>
      <w:r>
        <w:rPr>
          <w:rFonts w:ascii="Palatino Linotype" w:eastAsia="Palatino Linotype" w:hAnsi="Palatino Linotype" w:cs="Palatino Linotype"/>
          <w:b/>
          <w:i/>
          <w:u w:val="single"/>
        </w:rPr>
        <w:t>datos personales concernientes a una persona física identificada o identificable</w:t>
      </w:r>
      <w:r>
        <w:rPr>
          <w:rFonts w:ascii="Palatino Linotype" w:eastAsia="Palatino Linotype" w:hAnsi="Palatino Linotype" w:cs="Palatino Linotype"/>
        </w:rPr>
        <w:t>.</w:t>
      </w:r>
    </w:p>
    <w:p w14:paraId="5A99B488" w14:textId="77777777" w:rsidR="00FC58AB" w:rsidRDefault="00FC58AB">
      <w:pPr>
        <w:spacing w:line="360" w:lineRule="auto"/>
        <w:ind w:right="-787"/>
        <w:jc w:val="both"/>
        <w:rPr>
          <w:rFonts w:ascii="Palatino Linotype" w:eastAsia="Palatino Linotype" w:hAnsi="Palatino Linotype" w:cs="Palatino Linotype"/>
        </w:rPr>
      </w:pPr>
    </w:p>
    <w:p w14:paraId="55AFBBB8"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51C1546A" w14:textId="77777777" w:rsidR="00FC58AB" w:rsidRDefault="00FC58AB">
      <w:pPr>
        <w:spacing w:line="360" w:lineRule="auto"/>
        <w:ind w:right="-787"/>
        <w:jc w:val="both"/>
        <w:rPr>
          <w:rFonts w:ascii="Palatino Linotype" w:eastAsia="Palatino Linotype" w:hAnsi="Palatino Linotype" w:cs="Palatino Linotype"/>
        </w:rPr>
      </w:pPr>
    </w:p>
    <w:p w14:paraId="00D046CB"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51389CE2" w14:textId="77777777" w:rsidR="00FC58AB" w:rsidRDefault="00FC58AB">
      <w:pPr>
        <w:spacing w:line="360" w:lineRule="auto"/>
        <w:ind w:right="-787"/>
        <w:jc w:val="both"/>
        <w:rPr>
          <w:rFonts w:ascii="Palatino Linotype" w:eastAsia="Palatino Linotype" w:hAnsi="Palatino Linotype" w:cs="Palatino Linotype"/>
        </w:rPr>
      </w:pPr>
    </w:p>
    <w:p w14:paraId="03E75A5B"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En concordancia con lo previó, el artículo 143, fracción I, de la Ley previamente citada, establece que la información privada y los datos personales, concernientes a una persona física o jurídica colectiva identificada o identificable son confidenciales.</w:t>
      </w:r>
    </w:p>
    <w:p w14:paraId="5D82023D" w14:textId="77777777" w:rsidR="00FC58AB" w:rsidRDefault="00FC58AB">
      <w:pPr>
        <w:spacing w:line="360" w:lineRule="auto"/>
        <w:ind w:right="-787"/>
        <w:jc w:val="both"/>
        <w:rPr>
          <w:rFonts w:ascii="Palatino Linotype" w:eastAsia="Palatino Linotype" w:hAnsi="Palatino Linotype" w:cs="Palatino Linotype"/>
        </w:rPr>
      </w:pPr>
    </w:p>
    <w:p w14:paraId="5F9CCC4E"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transmitan entre sujetos obligados en términos de los tratados y los acuerdos interinstitucionales.</w:t>
      </w:r>
    </w:p>
    <w:p w14:paraId="1D56A6A1" w14:textId="77777777" w:rsidR="00FC58AB" w:rsidRDefault="00FC58AB">
      <w:pPr>
        <w:spacing w:line="360" w:lineRule="auto"/>
        <w:ind w:right="-787"/>
        <w:jc w:val="both"/>
        <w:rPr>
          <w:rFonts w:ascii="Palatino Linotype" w:eastAsia="Palatino Linotype" w:hAnsi="Palatino Linotype" w:cs="Palatino Linotype"/>
        </w:rPr>
      </w:pPr>
    </w:p>
    <w:p w14:paraId="20431D3F"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En términos de lo expuesto, la documentación y aquellos datos que se consideren confidenciales, serán una limitante del derecho de acceso a la información, siempre y cuando:</w:t>
      </w:r>
    </w:p>
    <w:p w14:paraId="49C5BA8D" w14:textId="77777777" w:rsidR="00FC58AB" w:rsidRDefault="00382C0E">
      <w:pPr>
        <w:numPr>
          <w:ilvl w:val="0"/>
          <w:numId w:val="8"/>
        </w:numPr>
        <w:spacing w:line="360" w:lineRule="auto"/>
        <w:ind w:right="6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Se trate de datos personales o información privada; esto es, información concerniente a una persona física o jurídica colectiva y que esta sea identificada o identificable. </w:t>
      </w:r>
    </w:p>
    <w:p w14:paraId="419283B2" w14:textId="77777777" w:rsidR="00FC58AB" w:rsidRDefault="00382C0E">
      <w:pPr>
        <w:numPr>
          <w:ilvl w:val="0"/>
          <w:numId w:val="8"/>
        </w:numPr>
        <w:spacing w:line="360" w:lineRule="auto"/>
        <w:ind w:right="6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Para la difusión de los datos, se requiere el consentimiento del titular. </w:t>
      </w:r>
    </w:p>
    <w:p w14:paraId="2CD320A7" w14:textId="77777777" w:rsidR="00FC58AB" w:rsidRDefault="00FC58AB">
      <w:pPr>
        <w:spacing w:line="360" w:lineRule="auto"/>
        <w:ind w:right="-787"/>
        <w:jc w:val="both"/>
        <w:rPr>
          <w:rFonts w:ascii="Palatino Linotype" w:eastAsia="Palatino Linotype" w:hAnsi="Palatino Linotype" w:cs="Palatino Linotype"/>
        </w:rPr>
      </w:pPr>
    </w:p>
    <w:p w14:paraId="3A986A1B"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w:t>
      </w:r>
      <w:r>
        <w:rPr>
          <w:rFonts w:ascii="Palatino Linotype" w:eastAsia="Palatino Linotype" w:hAnsi="Palatino Linotype" w:cs="Palatino Linotype"/>
        </w:rPr>
        <w:lastRenderedPageBreak/>
        <w:t xml:space="preserve">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042B5392" w14:textId="77777777" w:rsidR="00FC58AB" w:rsidRDefault="00FC58AB">
      <w:pPr>
        <w:spacing w:line="360" w:lineRule="auto"/>
        <w:ind w:right="-787"/>
        <w:jc w:val="both"/>
        <w:rPr>
          <w:rFonts w:ascii="Palatino Linotype" w:eastAsia="Palatino Linotype" w:hAnsi="Palatino Linotype" w:cs="Palatino Linotype"/>
        </w:rPr>
      </w:pPr>
    </w:p>
    <w:p w14:paraId="0D31BFA4"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Además, en el artículo 5° de dicho ordenamiento jurídico, establece que es la Ley aplicable para todo tratamiento de datos personales.</w:t>
      </w:r>
    </w:p>
    <w:p w14:paraId="4891A183" w14:textId="77777777" w:rsidR="00FC58AB" w:rsidRDefault="00FC58AB">
      <w:pPr>
        <w:spacing w:line="360" w:lineRule="auto"/>
        <w:ind w:right="-787"/>
        <w:jc w:val="both"/>
        <w:rPr>
          <w:rFonts w:ascii="Palatino Linotype" w:eastAsia="Palatino Linotype" w:hAnsi="Palatino Linotype" w:cs="Palatino Linotype"/>
        </w:rPr>
      </w:pPr>
    </w:p>
    <w:p w14:paraId="15EDFB81"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65D64054" w14:textId="77777777" w:rsidR="00FC58AB" w:rsidRDefault="00FC58AB">
      <w:pPr>
        <w:spacing w:line="360" w:lineRule="auto"/>
        <w:ind w:right="-787"/>
        <w:jc w:val="both"/>
        <w:rPr>
          <w:rFonts w:ascii="Palatino Linotype" w:eastAsia="Palatino Linotype" w:hAnsi="Palatino Linotype" w:cs="Palatino Linotype"/>
        </w:rPr>
      </w:pPr>
    </w:p>
    <w:p w14:paraId="676EC6C2"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tales situaciones, un dato personal es cualquier información que pueda hacer a una persona física identificada e identificable, </w:t>
      </w:r>
      <w:r>
        <w:rPr>
          <w:rFonts w:ascii="Palatino Linotype" w:eastAsia="Palatino Linotype" w:hAnsi="Palatino Linotype" w:cs="Palatino Linotype"/>
          <w:b/>
        </w:rPr>
        <w:t>como su nombre</w:t>
      </w:r>
      <w:r>
        <w:rPr>
          <w:rFonts w:ascii="Palatino Linotype" w:eastAsia="Palatino Linotype" w:hAnsi="Palatino Linotype" w:cs="Palatino Linotype"/>
        </w:rPr>
        <w:t xml:space="preserv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1FCBDE10" w14:textId="77777777" w:rsidR="00FC58AB" w:rsidRDefault="00FC58AB">
      <w:pPr>
        <w:spacing w:line="360" w:lineRule="auto"/>
        <w:ind w:right="-787"/>
        <w:jc w:val="both"/>
        <w:rPr>
          <w:rFonts w:ascii="Palatino Linotype" w:eastAsia="Palatino Linotype" w:hAnsi="Palatino Linotype" w:cs="Palatino Linotype"/>
        </w:rPr>
      </w:pPr>
    </w:p>
    <w:p w14:paraId="6B12E0A1"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4E407201" w14:textId="77777777" w:rsidR="00FC58AB" w:rsidRDefault="00FC58AB">
      <w:pPr>
        <w:spacing w:line="360" w:lineRule="auto"/>
        <w:ind w:right="-787"/>
        <w:jc w:val="both"/>
        <w:rPr>
          <w:rFonts w:ascii="Palatino Linotype" w:eastAsia="Palatino Linotype" w:hAnsi="Palatino Linotype" w:cs="Palatino Linotype"/>
        </w:rPr>
      </w:pPr>
    </w:p>
    <w:p w14:paraId="19627166"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De tal suerte, las instituciones públicas tienen la doble responsabilidad, por un lado, de proteger los datos personales y por otro, darles publicidad cuando la relevancia de esos datos sea de interés público.</w:t>
      </w:r>
    </w:p>
    <w:p w14:paraId="70A51225" w14:textId="77777777" w:rsidR="00FC58AB" w:rsidRDefault="00FC58AB">
      <w:pPr>
        <w:spacing w:line="360" w:lineRule="auto"/>
        <w:ind w:right="-787"/>
        <w:jc w:val="both"/>
        <w:rPr>
          <w:rFonts w:ascii="Palatino Linotype" w:eastAsia="Palatino Linotype" w:hAnsi="Palatino Linotype" w:cs="Palatino Linotype"/>
        </w:rPr>
      </w:pPr>
    </w:p>
    <w:p w14:paraId="07B60936"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6D8C0227"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w:t>
      </w:r>
      <w:r>
        <w:rPr>
          <w:rFonts w:ascii="Palatino Linotype" w:eastAsia="Palatino Linotype" w:hAnsi="Palatino Linotype" w:cs="Palatino Linotype"/>
        </w:rPr>
        <w:lastRenderedPageBreak/>
        <w:t>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2F3B9272" w14:textId="77777777" w:rsidR="00FC58AB" w:rsidRDefault="00FC58AB">
      <w:pPr>
        <w:spacing w:line="360" w:lineRule="auto"/>
        <w:ind w:right="-787"/>
        <w:jc w:val="both"/>
        <w:rPr>
          <w:rFonts w:ascii="Palatino Linotype" w:eastAsia="Palatino Linotype" w:hAnsi="Palatino Linotype" w:cs="Palatino Linotype"/>
        </w:rPr>
      </w:pPr>
    </w:p>
    <w:p w14:paraId="1B6DF80F"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Bajo este esquema a continuación se analizan los datos personales susceptibles de clasificación que podrían estar contenidos en los documentos que se ordenan entregar, tales como el </w:t>
      </w:r>
      <w:r>
        <w:rPr>
          <w:rFonts w:ascii="Palatino Linotype" w:eastAsia="Palatino Linotype" w:hAnsi="Palatino Linotype" w:cs="Palatino Linotype"/>
          <w:b/>
        </w:rPr>
        <w:t>Registro Federal de Contribuyentes</w:t>
      </w:r>
      <w:r>
        <w:rPr>
          <w:rFonts w:ascii="Palatino Linotype" w:eastAsia="Palatino Linotype" w:hAnsi="Palatino Linotype" w:cs="Palatino Linotype"/>
        </w:rPr>
        <w:t xml:space="preserve"> (RFC) y  la </w:t>
      </w:r>
      <w:r>
        <w:rPr>
          <w:rFonts w:ascii="Palatino Linotype" w:eastAsia="Palatino Linotype" w:hAnsi="Palatino Linotype" w:cs="Palatino Linotype"/>
          <w:b/>
        </w:rPr>
        <w:t>Clave Única de Registro de Población</w:t>
      </w:r>
      <w:r>
        <w:rPr>
          <w:rFonts w:ascii="Palatino Linotype" w:eastAsia="Palatino Linotype" w:hAnsi="Palatino Linotype" w:cs="Palatino Linotype"/>
        </w:rPr>
        <w:t xml:space="preserve"> (CURP).</w:t>
      </w:r>
    </w:p>
    <w:p w14:paraId="64D2065A" w14:textId="77777777" w:rsidR="00FC58AB" w:rsidRDefault="00FC58AB">
      <w:pPr>
        <w:spacing w:line="360" w:lineRule="auto"/>
        <w:ind w:right="-787"/>
        <w:jc w:val="both"/>
        <w:rPr>
          <w:rFonts w:ascii="Palatino Linotype" w:eastAsia="Palatino Linotype" w:hAnsi="Palatino Linotype" w:cs="Palatino Linotype"/>
        </w:rPr>
      </w:pPr>
    </w:p>
    <w:p w14:paraId="684A9FA8" w14:textId="77777777" w:rsidR="00FC58AB" w:rsidRDefault="00382C0E">
      <w:pPr>
        <w:numPr>
          <w:ilvl w:val="0"/>
          <w:numId w:val="5"/>
        </w:numPr>
        <w:spacing w:line="360" w:lineRule="auto"/>
        <w:ind w:right="-787"/>
        <w:jc w:val="both"/>
        <w:rPr>
          <w:rFonts w:ascii="Palatino Linotype" w:eastAsia="Palatino Linotype" w:hAnsi="Palatino Linotype" w:cs="Palatino Linotype"/>
        </w:rPr>
      </w:pPr>
      <w:r>
        <w:rPr>
          <w:rFonts w:ascii="Palatino Linotype" w:eastAsia="Palatino Linotype" w:hAnsi="Palatino Linotype" w:cs="Palatino Linotype"/>
          <w:b/>
        </w:rPr>
        <w:t>Registro Federal de Contribuyentes</w:t>
      </w:r>
      <w:r>
        <w:rPr>
          <w:rFonts w:ascii="Palatino Linotype" w:eastAsia="Palatino Linotype" w:hAnsi="Palatino Linotype" w:cs="Palatino Linotype"/>
        </w:rPr>
        <w:t xml:space="preserve"> (RFC)</w:t>
      </w:r>
    </w:p>
    <w:p w14:paraId="11DBDEA1"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3AF87DDC"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acuerdo con lo establecido en el artículo en comento, esta clave se compone de trece caracteres alfanuméricos, con datos obtenidos de los apellidos, nombre (s), fecha de </w:t>
      </w:r>
      <w:r>
        <w:rPr>
          <w:rFonts w:ascii="Palatino Linotype" w:eastAsia="Palatino Linotype" w:hAnsi="Palatino Linotype" w:cs="Palatino Linotype"/>
        </w:rPr>
        <w:lastRenderedPageBreak/>
        <w:t>nacimiento del titular, más una homoclave que establece el sistema automático del Servicio de Administración Tributaria.</w:t>
      </w:r>
    </w:p>
    <w:p w14:paraId="6A0143AD" w14:textId="77777777" w:rsidR="00FC58AB" w:rsidRDefault="00FC58AB">
      <w:pPr>
        <w:spacing w:line="360" w:lineRule="auto"/>
        <w:ind w:right="-787"/>
        <w:jc w:val="both"/>
        <w:rPr>
          <w:rFonts w:ascii="Palatino Linotype" w:eastAsia="Palatino Linotype" w:hAnsi="Palatino Linotype" w:cs="Palatino Linotype"/>
        </w:rPr>
      </w:pPr>
    </w:p>
    <w:p w14:paraId="4D8E2D1F"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6265DFF7" w14:textId="77777777" w:rsidR="00FC58AB" w:rsidRDefault="00FC58AB">
      <w:pPr>
        <w:spacing w:line="360" w:lineRule="auto"/>
        <w:ind w:right="-787"/>
        <w:jc w:val="both"/>
        <w:rPr>
          <w:rFonts w:ascii="Palatino Linotype" w:eastAsia="Palatino Linotype" w:hAnsi="Palatino Linotype" w:cs="Palatino Linotype"/>
        </w:rPr>
      </w:pPr>
    </w:p>
    <w:p w14:paraId="794E0189"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409DD9CF" w14:textId="77777777" w:rsidR="00FC58AB" w:rsidRDefault="00FC58AB">
      <w:pPr>
        <w:spacing w:line="360" w:lineRule="auto"/>
        <w:ind w:right="-787"/>
        <w:jc w:val="both"/>
        <w:rPr>
          <w:rFonts w:ascii="Palatino Linotype" w:eastAsia="Palatino Linotype" w:hAnsi="Palatino Linotype" w:cs="Palatino Linotype"/>
        </w:rPr>
      </w:pPr>
    </w:p>
    <w:p w14:paraId="02B9A98D"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Lo anterior, resulta congruente con el Criterio 19/17 emitido por el Instituto Nacional de Transparencia, Acceso a la Información y Protección de Datos Personales, en el cual se señala lo siguiente:</w:t>
      </w:r>
    </w:p>
    <w:p w14:paraId="27AA4769" w14:textId="77777777" w:rsidR="00FC58AB" w:rsidRDefault="00FC58AB">
      <w:pPr>
        <w:ind w:left="1134" w:right="-787"/>
        <w:jc w:val="both"/>
        <w:rPr>
          <w:rFonts w:ascii="Palatino Linotype" w:eastAsia="Palatino Linotype" w:hAnsi="Palatino Linotype" w:cs="Palatino Linotype"/>
        </w:rPr>
      </w:pPr>
    </w:p>
    <w:p w14:paraId="4A826209" w14:textId="77777777" w:rsidR="00FC58AB" w:rsidRDefault="00382C0E">
      <w:pPr>
        <w:ind w:left="1134"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Registro Federal de Contribuyentes (RFC) de personas físicas</w:t>
      </w:r>
      <w:r>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06F7CA6A" w14:textId="77777777" w:rsidR="00FC58AB" w:rsidRDefault="00FC58AB">
      <w:pPr>
        <w:ind w:left="1134" w:right="-787"/>
        <w:jc w:val="both"/>
        <w:rPr>
          <w:rFonts w:ascii="Palatino Linotype" w:eastAsia="Palatino Linotype" w:hAnsi="Palatino Linotype" w:cs="Palatino Linotype"/>
        </w:rPr>
      </w:pPr>
    </w:p>
    <w:p w14:paraId="6B1D017F"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52CF5FCB" w14:textId="77777777" w:rsidR="00FC58AB" w:rsidRDefault="00FC58AB">
      <w:pPr>
        <w:spacing w:line="360" w:lineRule="auto"/>
        <w:ind w:right="-787"/>
        <w:jc w:val="both"/>
        <w:rPr>
          <w:rFonts w:ascii="Palatino Linotype" w:eastAsia="Palatino Linotype" w:hAnsi="Palatino Linotype" w:cs="Palatino Linotype"/>
        </w:rPr>
      </w:pPr>
    </w:p>
    <w:p w14:paraId="789AD5EB" w14:textId="77777777" w:rsidR="00FC58AB" w:rsidRDefault="00382C0E">
      <w:pPr>
        <w:numPr>
          <w:ilvl w:val="0"/>
          <w:numId w:val="5"/>
        </w:numPr>
        <w:spacing w:line="360" w:lineRule="auto"/>
        <w:ind w:right="-787"/>
        <w:jc w:val="both"/>
        <w:rPr>
          <w:rFonts w:ascii="Palatino Linotype" w:eastAsia="Palatino Linotype" w:hAnsi="Palatino Linotype" w:cs="Palatino Linotype"/>
        </w:rPr>
      </w:pPr>
      <w:r>
        <w:rPr>
          <w:rFonts w:ascii="Palatino Linotype" w:eastAsia="Palatino Linotype" w:hAnsi="Palatino Linotype" w:cs="Palatino Linotype"/>
          <w:b/>
        </w:rPr>
        <w:t>Registro Federal de Contribuyentes</w:t>
      </w:r>
      <w:r>
        <w:rPr>
          <w:rFonts w:ascii="Palatino Linotype" w:eastAsia="Palatino Linotype" w:hAnsi="Palatino Linotype" w:cs="Palatino Linotype"/>
        </w:rPr>
        <w:t xml:space="preserve"> (RFC) de proveedores </w:t>
      </w:r>
    </w:p>
    <w:p w14:paraId="670D9D24"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el RFC de proveedores </w:t>
      </w:r>
      <w:r>
        <w:rPr>
          <w:rFonts w:ascii="Palatino Linotype" w:eastAsia="Palatino Linotype" w:hAnsi="Palatino Linotype" w:cs="Palatino Linotype"/>
          <w:b/>
          <w:u w:val="single"/>
        </w:rPr>
        <w:t>no puede considerarse como clasificado</w:t>
      </w:r>
      <w:r>
        <w:rPr>
          <w:rFonts w:ascii="Palatino Linotype" w:eastAsia="Palatino Linotype" w:hAnsi="Palatino Linotype" w:cs="Palatino Linotype"/>
        </w:rPr>
        <w:t xml:space="preserve"> aun siendo de personas físicas ya que corresponde a un requisito indispensable para ser contratista y/o proveedor y llevar a cabo actividades comerciales con los sujetos obligados de la Entidad, ya que sin este, no se pueden realizar, por lo que su entrega es un elemento adicional que respalda la legalidad de los procesos de contratación de obra pública, como corresponde a lo solicitado.</w:t>
      </w:r>
    </w:p>
    <w:p w14:paraId="10526930" w14:textId="77777777" w:rsidR="00FC58AB" w:rsidRDefault="00FC58AB">
      <w:pPr>
        <w:spacing w:line="360" w:lineRule="auto"/>
        <w:ind w:right="-787"/>
        <w:jc w:val="both"/>
        <w:rPr>
          <w:rFonts w:ascii="Palatino Linotype" w:eastAsia="Palatino Linotype" w:hAnsi="Palatino Linotype" w:cs="Palatino Linotype"/>
        </w:rPr>
      </w:pPr>
    </w:p>
    <w:p w14:paraId="449A1A9F"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En ese contexto, entregar el Registro Federal de Contribuyentes de personas físicas cuando aceptan realizar la construcción de obras públicas con recursos del erario, favorece la rendición de cuentas, al permitir verificar que se cumplió con uno de los requisitos necesarios conforme a la normatividad aplicable en materia de contrataciones, lo cual, transparenta el correcto ejercicio de recursos públicos por parte de los sujetos obligados, lo que es acorde con el principio de máxima publicidad.</w:t>
      </w:r>
    </w:p>
    <w:p w14:paraId="66FC2AD7" w14:textId="77777777" w:rsidR="00FC58AB" w:rsidRDefault="00FC58AB">
      <w:pPr>
        <w:spacing w:line="360" w:lineRule="auto"/>
        <w:ind w:right="-787"/>
        <w:jc w:val="both"/>
        <w:rPr>
          <w:rFonts w:ascii="Palatino Linotype" w:eastAsia="Palatino Linotype" w:hAnsi="Palatino Linotype" w:cs="Palatino Linotype"/>
        </w:rPr>
      </w:pPr>
    </w:p>
    <w:p w14:paraId="73045537"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No debe dejarse de lado, que cualquier persona que pretenda tener cualquier tipo de relación, laboral, empresarial, de trámites, servicios o comercial, para el caso que nos ocupa, </w:t>
      </w:r>
      <w:r>
        <w:rPr>
          <w:rFonts w:ascii="Palatino Linotype" w:eastAsia="Palatino Linotype" w:hAnsi="Palatino Linotype" w:cs="Palatino Linotype"/>
        </w:rPr>
        <w:lastRenderedPageBreak/>
        <w:t>debe en cierta medida ceder información relacionada con su vida, en aras de obtener el beneficio pretendido, como formar parte de los proveedores gubernamentales, al respecto, la información sobre la que se debe conceder publicidad sólo es aquella relacionada con el ejercicio de recursos públicos o de funciones y las facturas, pólizas y documentos en donde constan las transferencias bancarias de pagos de sujetos obligados, están vinculadas directamente con el ejercicio de recursos públicos.</w:t>
      </w:r>
    </w:p>
    <w:p w14:paraId="08461A64" w14:textId="77777777" w:rsidR="00FC58AB" w:rsidRDefault="00FC58AB">
      <w:pPr>
        <w:spacing w:line="360" w:lineRule="auto"/>
        <w:ind w:right="-787"/>
        <w:jc w:val="both"/>
        <w:rPr>
          <w:rFonts w:ascii="Palatino Linotype" w:eastAsia="Palatino Linotype" w:hAnsi="Palatino Linotype" w:cs="Palatino Linotype"/>
        </w:rPr>
      </w:pPr>
    </w:p>
    <w:p w14:paraId="046F281A"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Por lo que refiere al RFC de personas jurídico-colectivas, se reitera que no constituyen información confidencial, tal y como lo estableció en Instituto Nacional de Transparencia, Acceso a la Información Pública y Protección de Datos Personales –INAI-, en su Criterio histórico 1/2014.</w:t>
      </w:r>
    </w:p>
    <w:p w14:paraId="376222A5" w14:textId="77777777" w:rsidR="00FC58AB" w:rsidRDefault="00382C0E">
      <w:pPr>
        <w:ind w:left="1134"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Denominación o razón social, y Registro Federal de Contribuyentes de personas morales, no constituyen información confidencial</w:t>
      </w:r>
      <w:r>
        <w:rPr>
          <w:rFonts w:ascii="Palatino Linotype" w:eastAsia="Palatino Linotype" w:hAnsi="Palatino Linotype" w:cs="Palatino Linotype"/>
          <w:i/>
          <w:sz w:val="22"/>
          <w:szCs w:val="22"/>
        </w:rPr>
        <w:t>. La denominación o razón social de personas morales es pública, por encontrarse inscritas en el Registro Público de Comercio. Por lo que respecta a su Registro Federal de Contribuyentes (RFC), en principio, también es público, ya que no se refiere a hechos o actos de carácter económico, contable, jurídico o administrativo que sean útiles o representen una ventaja a sus competidores, en términos de lo dispuesto en el artículo 18, fracción I de la Ley Federal de Transparencia y Acceso a la Información Pública Gubernamental y en el Trigésimo Sexto de los Lineamientos Generales para la clasificación y desclasificación de la información de las dependencias y entidades de la Administración Pública Federal; aunado al hecho de que tampoco se trata de información concerniente a personas físicas, por lo que no puede considerarse un dato personal, con fundamento en lo previsto en el artículo 18, fracción II de ese ordenamiento legal. Por lo anterior, la denominación o razón social, así como el RFC de personas morales, no constituye información confidencial.</w:t>
      </w:r>
    </w:p>
    <w:p w14:paraId="4AD7EC6E" w14:textId="77777777" w:rsidR="00FC58AB" w:rsidRDefault="00FC58AB">
      <w:pPr>
        <w:spacing w:line="360" w:lineRule="auto"/>
        <w:ind w:right="-787"/>
        <w:jc w:val="both"/>
        <w:rPr>
          <w:rFonts w:ascii="Palatino Linotype" w:eastAsia="Palatino Linotype" w:hAnsi="Palatino Linotype" w:cs="Palatino Linotype"/>
        </w:rPr>
      </w:pPr>
    </w:p>
    <w:p w14:paraId="589625A8"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consiguiente, no procede clasificar como confidencial con fundamento en el artículo 143, fracción I, de la Ley de Transparencia y Acceso a la Información Pública del </w:t>
      </w:r>
      <w:r>
        <w:rPr>
          <w:rFonts w:ascii="Palatino Linotype" w:eastAsia="Palatino Linotype" w:hAnsi="Palatino Linotype" w:cs="Palatino Linotype"/>
        </w:rPr>
        <w:lastRenderedPageBreak/>
        <w:t>Estado de México y Municipios y, eliminar RFC de personas físicas ni de personas jurídico-colectivas en los documentos que pudiera proporcionar el Sujeto Obligado</w:t>
      </w:r>
    </w:p>
    <w:p w14:paraId="132F74E0" w14:textId="77777777" w:rsidR="00FC58AB" w:rsidRDefault="00FC58AB">
      <w:pPr>
        <w:spacing w:line="360" w:lineRule="auto"/>
        <w:ind w:right="-787"/>
        <w:jc w:val="both"/>
        <w:rPr>
          <w:rFonts w:ascii="Palatino Linotype" w:eastAsia="Palatino Linotype" w:hAnsi="Palatino Linotype" w:cs="Palatino Linotype"/>
        </w:rPr>
      </w:pPr>
    </w:p>
    <w:p w14:paraId="1EA37CDC" w14:textId="77777777" w:rsidR="00FC58AB" w:rsidRDefault="00382C0E">
      <w:pPr>
        <w:numPr>
          <w:ilvl w:val="0"/>
          <w:numId w:val="5"/>
        </w:numPr>
        <w:spacing w:line="360" w:lineRule="auto"/>
        <w:ind w:right="-787"/>
        <w:jc w:val="both"/>
        <w:rPr>
          <w:rFonts w:ascii="Palatino Linotype" w:eastAsia="Palatino Linotype" w:hAnsi="Palatino Linotype" w:cs="Palatino Linotype"/>
          <w:b/>
        </w:rPr>
      </w:pPr>
      <w:r>
        <w:rPr>
          <w:rFonts w:ascii="Palatino Linotype" w:eastAsia="Palatino Linotype" w:hAnsi="Palatino Linotype" w:cs="Palatino Linotype"/>
          <w:b/>
        </w:rPr>
        <w:t xml:space="preserve">Clave </w:t>
      </w:r>
      <w:r>
        <w:rPr>
          <w:rFonts w:ascii="Palatino Linotype" w:eastAsia="Palatino Linotype" w:hAnsi="Palatino Linotype" w:cs="Palatino Linotype"/>
          <w:b/>
          <w:smallCaps/>
        </w:rPr>
        <w:t>Ú</w:t>
      </w:r>
      <w:r>
        <w:rPr>
          <w:rFonts w:ascii="Palatino Linotype" w:eastAsia="Palatino Linotype" w:hAnsi="Palatino Linotype" w:cs="Palatino Linotype"/>
          <w:b/>
        </w:rPr>
        <w:t>nica de Registro de Población –CURP-.</w:t>
      </w:r>
    </w:p>
    <w:p w14:paraId="00F9C257"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artículo 36 de la Constitución Política de los Estados Unidos Mexicanos, dispone la obligación de los ciudadanos de inscribirse en el Registro Nacional de Ciudadanos. </w:t>
      </w:r>
    </w:p>
    <w:p w14:paraId="08A142D9" w14:textId="77777777" w:rsidR="00FC58AB" w:rsidRDefault="00FC58AB">
      <w:pPr>
        <w:spacing w:line="360" w:lineRule="auto"/>
        <w:ind w:right="-787"/>
        <w:jc w:val="both"/>
        <w:rPr>
          <w:rFonts w:ascii="Palatino Linotype" w:eastAsia="Palatino Linotype" w:hAnsi="Palatino Linotype" w:cs="Palatino Linotype"/>
        </w:rPr>
      </w:pPr>
    </w:p>
    <w:p w14:paraId="2D8E3E00"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El artículo 85 de la Ley General de Población, prevé que corresponde a la Secretaría de Gobernación el registro y acreditación de la identidad de todas las personas residentes en el país y de los nacionales que residan en el extranjero.</w:t>
      </w:r>
    </w:p>
    <w:p w14:paraId="44ED49B3" w14:textId="77777777" w:rsidR="00FC58AB" w:rsidRDefault="00FC58AB">
      <w:pPr>
        <w:ind w:left="720" w:right="-787"/>
        <w:rPr>
          <w:rFonts w:ascii="Palatino Linotype" w:eastAsia="Palatino Linotype" w:hAnsi="Palatino Linotype" w:cs="Palatino Linotype"/>
        </w:rPr>
      </w:pPr>
    </w:p>
    <w:p w14:paraId="5E3122FE"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1E184D08" w14:textId="77777777" w:rsidR="00FC58AB" w:rsidRDefault="00FC58AB">
      <w:pPr>
        <w:pBdr>
          <w:top w:val="nil"/>
          <w:left w:val="nil"/>
          <w:bottom w:val="nil"/>
          <w:right w:val="nil"/>
          <w:between w:val="nil"/>
        </w:pBdr>
        <w:spacing w:line="360" w:lineRule="auto"/>
        <w:ind w:right="-787"/>
        <w:jc w:val="both"/>
        <w:rPr>
          <w:rFonts w:ascii="Palatino Linotype" w:eastAsia="Palatino Linotype" w:hAnsi="Palatino Linotype" w:cs="Palatino Linotype"/>
        </w:rPr>
      </w:pPr>
    </w:p>
    <w:p w14:paraId="254FEED2"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Pr>
          <w:rFonts w:ascii="Palatino Linotype" w:eastAsia="Palatino Linotype" w:hAnsi="Palatino Linotype" w:cs="Palatino Linotype"/>
          <w:b/>
        </w:rPr>
        <w:t xml:space="preserve">se generan a partir de los datos contenidos en el documento probatorio de la identidad del interesado </w:t>
      </w:r>
      <w:r>
        <w:rPr>
          <w:rFonts w:ascii="Palatino Linotype" w:eastAsia="Palatino Linotype" w:hAnsi="Palatino Linotype" w:cs="Palatino Linotype"/>
        </w:rPr>
        <w:t>(acta de nacimiento, carta de naturalización o documento migratorio) de la siguiente forma:</w:t>
      </w:r>
    </w:p>
    <w:p w14:paraId="0689A9A3" w14:textId="77777777" w:rsidR="00FC58AB" w:rsidRDefault="00382C0E">
      <w:pPr>
        <w:spacing w:line="360" w:lineRule="auto"/>
        <w:ind w:left="720" w:right="-78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 El primero y segundo apellidos, así como el nombre de pila.</w:t>
      </w:r>
    </w:p>
    <w:p w14:paraId="6A3D804B" w14:textId="77777777" w:rsidR="00FC58AB" w:rsidRDefault="00382C0E">
      <w:pPr>
        <w:spacing w:line="360" w:lineRule="auto"/>
        <w:ind w:left="720" w:right="-78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 • La fecha de nacimiento.</w:t>
      </w:r>
    </w:p>
    <w:p w14:paraId="546FB248" w14:textId="77777777" w:rsidR="00FC58AB" w:rsidRDefault="00382C0E">
      <w:pPr>
        <w:spacing w:line="360" w:lineRule="auto"/>
        <w:ind w:left="720" w:right="-78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 El sexo.</w:t>
      </w:r>
    </w:p>
    <w:p w14:paraId="5C1769B8" w14:textId="77777777" w:rsidR="00FC58AB" w:rsidRDefault="00382C0E">
      <w:pPr>
        <w:spacing w:line="360" w:lineRule="auto"/>
        <w:ind w:left="720" w:right="-78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 La entidad federativa de nacimiento.</w:t>
      </w:r>
    </w:p>
    <w:p w14:paraId="093F9176" w14:textId="77777777" w:rsidR="00FC58AB" w:rsidRDefault="00FC58AB">
      <w:pPr>
        <w:spacing w:line="360" w:lineRule="auto"/>
        <w:ind w:right="-787"/>
        <w:jc w:val="both"/>
        <w:rPr>
          <w:rFonts w:ascii="Palatino Linotype" w:eastAsia="Palatino Linotype" w:hAnsi="Palatino Linotype" w:cs="Palatino Linotype"/>
        </w:rPr>
      </w:pPr>
    </w:p>
    <w:p w14:paraId="66BC18A2"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Los dos últimos elementos de la CURP evitan la duplicidad de la clave y garantizan su correcta integración.</w:t>
      </w:r>
    </w:p>
    <w:p w14:paraId="5909E49A" w14:textId="77777777" w:rsidR="00FC58AB" w:rsidRDefault="00FC58AB">
      <w:pPr>
        <w:spacing w:line="360" w:lineRule="auto"/>
        <w:ind w:right="-787"/>
        <w:jc w:val="both"/>
        <w:rPr>
          <w:rFonts w:ascii="Palatino Linotype" w:eastAsia="Palatino Linotype" w:hAnsi="Palatino Linotype" w:cs="Palatino Linotype"/>
        </w:rPr>
      </w:pPr>
    </w:p>
    <w:p w14:paraId="6B93DB68"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22552177" w14:textId="77777777" w:rsidR="00FC58AB" w:rsidRDefault="00FC58AB">
      <w:pPr>
        <w:spacing w:line="360" w:lineRule="auto"/>
        <w:ind w:right="-787"/>
        <w:jc w:val="both"/>
        <w:rPr>
          <w:rFonts w:ascii="Palatino Linotype" w:eastAsia="Palatino Linotype" w:hAnsi="Palatino Linotype" w:cs="Palatino Linotype"/>
        </w:rPr>
      </w:pPr>
    </w:p>
    <w:p w14:paraId="36F18F4C"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Resulta aplicable en la especie, como argumento orientador, el Criterio 3/10, emitido por el INAI.</w:t>
      </w:r>
    </w:p>
    <w:p w14:paraId="6C1331DF" w14:textId="77777777" w:rsidR="00FC58AB" w:rsidRDefault="00382C0E">
      <w:pPr>
        <w:ind w:left="1134"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“Clave Única de Registro de Población (CURP) es un dato personal confidencial. </w:t>
      </w:r>
      <w:r>
        <w:rPr>
          <w:rFonts w:ascii="Palatino Linotype" w:eastAsia="Palatino Linotype" w:hAnsi="Palatino Linotype" w:cs="Palatino Linotype"/>
          <w:i/>
          <w:color w:val="000000"/>
          <w:sz w:val="22"/>
          <w:szCs w:val="22"/>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p>
    <w:p w14:paraId="376D1AFE" w14:textId="77777777" w:rsidR="00FC58AB" w:rsidRDefault="00FC58AB">
      <w:pPr>
        <w:spacing w:line="360" w:lineRule="auto"/>
        <w:ind w:right="-787"/>
        <w:jc w:val="both"/>
        <w:rPr>
          <w:rFonts w:ascii="Palatino Linotype" w:eastAsia="Palatino Linotype" w:hAnsi="Palatino Linotype" w:cs="Palatino Linotype"/>
        </w:rPr>
      </w:pPr>
    </w:p>
    <w:p w14:paraId="6FB15A29"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De acuerdo con lo anterior, la clave CURP, es un dato personal confidencial, en términos del artículo 143, fracción I de la Ley de Transparencia y Acceso a la Información Pública del Estado de México y Municipios.</w:t>
      </w:r>
    </w:p>
    <w:p w14:paraId="01DCD993" w14:textId="77777777" w:rsidR="00FC58AB" w:rsidRDefault="00FC58AB">
      <w:pPr>
        <w:spacing w:line="360" w:lineRule="auto"/>
        <w:ind w:right="-787"/>
        <w:jc w:val="both"/>
        <w:rPr>
          <w:rFonts w:ascii="Palatino Linotype" w:eastAsia="Palatino Linotype" w:hAnsi="Palatino Linotype" w:cs="Palatino Linotype"/>
          <w:color w:val="000000"/>
        </w:rPr>
      </w:pPr>
    </w:p>
    <w:p w14:paraId="1093877D" w14:textId="77777777" w:rsidR="00FC58AB" w:rsidRDefault="00FC58AB">
      <w:pPr>
        <w:pBdr>
          <w:top w:val="nil"/>
          <w:left w:val="nil"/>
          <w:bottom w:val="nil"/>
          <w:right w:val="nil"/>
          <w:between w:val="nil"/>
        </w:pBdr>
        <w:ind w:left="708" w:right="-787"/>
        <w:rPr>
          <w:rFonts w:ascii="Palatino Linotype" w:eastAsia="Palatino Linotype" w:hAnsi="Palatino Linotype" w:cs="Palatino Linotype"/>
          <w:color w:val="000000"/>
          <w:sz w:val="22"/>
          <w:szCs w:val="22"/>
        </w:rPr>
      </w:pPr>
    </w:p>
    <w:p w14:paraId="06C18AE7"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anteriormente expuesto y fundado, el Pleno de este Instituto de Transparencia, Acceso a la Información Pública y Protección de Datos Personales del Estado de México y Municipios, emite los siguientes:</w:t>
      </w:r>
    </w:p>
    <w:p w14:paraId="49FA64C8" w14:textId="77777777" w:rsidR="00FC58AB" w:rsidRDefault="00FC58AB">
      <w:pPr>
        <w:spacing w:line="360" w:lineRule="auto"/>
        <w:ind w:right="-787"/>
        <w:jc w:val="both"/>
        <w:rPr>
          <w:rFonts w:ascii="Palatino Linotype" w:eastAsia="Palatino Linotype" w:hAnsi="Palatino Linotype" w:cs="Palatino Linotype"/>
          <w:color w:val="000000"/>
        </w:rPr>
      </w:pPr>
    </w:p>
    <w:p w14:paraId="25F93495" w14:textId="77777777" w:rsidR="00FC58AB" w:rsidRDefault="00382C0E">
      <w:pPr>
        <w:numPr>
          <w:ilvl w:val="0"/>
          <w:numId w:val="3"/>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Por lo anteriormente expuesto, este Órgano Garante considera fundadas las razones o motivos de inconformidad que plantea 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determinando </w:t>
      </w:r>
      <w:r>
        <w:rPr>
          <w:rFonts w:ascii="Palatino Linotype" w:eastAsia="Palatino Linotype" w:hAnsi="Palatino Linotype" w:cs="Palatino Linotype"/>
          <w:b/>
        </w:rPr>
        <w:t>REVOCAR</w:t>
      </w:r>
      <w:r>
        <w:rPr>
          <w:rFonts w:ascii="Palatino Linotype" w:eastAsia="Palatino Linotype" w:hAnsi="Palatino Linotype" w:cs="Palatino Linotype"/>
        </w:rPr>
        <w:t xml:space="preserve">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Pr>
          <w:rFonts w:ascii="Palatino Linotype" w:eastAsia="Palatino Linotype" w:hAnsi="Palatino Linotype" w:cs="Palatino Linotype"/>
          <w:color w:val="000000"/>
        </w:rPr>
        <w:t xml:space="preserve">este </w:t>
      </w:r>
      <w:r>
        <w:rPr>
          <w:rFonts w:ascii="Palatino Linotype" w:eastAsia="Palatino Linotype" w:hAnsi="Palatino Linotype" w:cs="Palatino Linotype"/>
          <w:b/>
          <w:color w:val="000000"/>
        </w:rPr>
        <w:t>ÓRGANO GARANTE</w:t>
      </w:r>
      <w:r>
        <w:rPr>
          <w:rFonts w:ascii="Palatino Linotype" w:eastAsia="Palatino Linotype" w:hAnsi="Palatino Linotype" w:cs="Palatino Linotype"/>
          <w:color w:val="000000"/>
        </w:rPr>
        <w:t xml:space="preserve"> emite los siguientes.</w:t>
      </w:r>
    </w:p>
    <w:p w14:paraId="47564D09" w14:textId="77777777" w:rsidR="00FC58AB" w:rsidRDefault="00FC58AB">
      <w:pPr>
        <w:spacing w:line="360" w:lineRule="auto"/>
        <w:ind w:right="-787"/>
        <w:jc w:val="both"/>
        <w:rPr>
          <w:rFonts w:ascii="Palatino Linotype" w:eastAsia="Palatino Linotype" w:hAnsi="Palatino Linotype" w:cs="Palatino Linotype"/>
          <w:color w:val="000000"/>
        </w:rPr>
      </w:pPr>
    </w:p>
    <w:p w14:paraId="54D61A33" w14:textId="77777777" w:rsidR="00FC58AB" w:rsidRDefault="00382C0E">
      <w:pPr>
        <w:keepNext/>
        <w:keepLines/>
        <w:spacing w:line="360" w:lineRule="auto"/>
        <w:ind w:right="-78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O L U T I V O S</w:t>
      </w:r>
    </w:p>
    <w:p w14:paraId="34B7FEC1" w14:textId="77777777" w:rsidR="00FC58AB" w:rsidRDefault="00FC58AB">
      <w:pPr>
        <w:spacing w:line="360" w:lineRule="auto"/>
        <w:ind w:right="-787"/>
        <w:jc w:val="center"/>
        <w:rPr>
          <w:rFonts w:ascii="Palatino Linotype" w:eastAsia="Palatino Linotype" w:hAnsi="Palatino Linotype" w:cs="Palatino Linotype"/>
        </w:rPr>
      </w:pPr>
    </w:p>
    <w:p w14:paraId="11B4FEFE" w14:textId="77777777" w:rsidR="00FC58AB" w:rsidRDefault="00382C0E">
      <w:pPr>
        <w:spacing w:line="360" w:lineRule="auto"/>
        <w:ind w:right="-787"/>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Resultan fundadas las razones o motivos de inconformidad hechos valer en los Recursos de Revisión </w:t>
      </w:r>
      <w:r>
        <w:rPr>
          <w:rFonts w:ascii="Palatino Linotype" w:eastAsia="Palatino Linotype" w:hAnsi="Palatino Linotype" w:cs="Palatino Linotype"/>
          <w:b/>
        </w:rPr>
        <w:t xml:space="preserve">01593/INFOEM/IP/RR/2024, 01594/INFOEM/IP/RR/2024, 01596/INFOEM/IP/RR/2024  y 01597/INFOEM/IP/RR/2024 </w:t>
      </w:r>
      <w:r>
        <w:rPr>
          <w:rFonts w:ascii="Palatino Linotype" w:eastAsia="Palatino Linotype" w:hAnsi="Palatino Linotype" w:cs="Palatino Linotype"/>
        </w:rPr>
        <w:t xml:space="preserve">en términos de los Considerandos </w:t>
      </w:r>
      <w:r>
        <w:rPr>
          <w:rFonts w:ascii="Palatino Linotype" w:eastAsia="Palatino Linotype" w:hAnsi="Palatino Linotype" w:cs="Palatino Linotype"/>
          <w:b/>
        </w:rPr>
        <w:t xml:space="preserve">CUARTO y QUINTO </w:t>
      </w:r>
      <w:r>
        <w:rPr>
          <w:rFonts w:ascii="Palatino Linotype" w:eastAsia="Palatino Linotype" w:hAnsi="Palatino Linotype" w:cs="Palatino Linotype"/>
        </w:rPr>
        <w:t xml:space="preserve">de la presente resolución. </w:t>
      </w:r>
    </w:p>
    <w:p w14:paraId="67A717AF" w14:textId="77777777" w:rsidR="00FC58AB" w:rsidRDefault="00FC58AB">
      <w:pPr>
        <w:spacing w:line="360" w:lineRule="auto"/>
        <w:ind w:right="-787"/>
        <w:jc w:val="both"/>
        <w:rPr>
          <w:rFonts w:ascii="Palatino Linotype" w:eastAsia="Palatino Linotype" w:hAnsi="Palatino Linotype" w:cs="Palatino Linotype"/>
        </w:rPr>
      </w:pPr>
    </w:p>
    <w:p w14:paraId="1044845F" w14:textId="77777777" w:rsidR="00FC58AB" w:rsidRPr="00B42529" w:rsidRDefault="00382C0E">
      <w:pPr>
        <w:spacing w:line="360" w:lineRule="auto"/>
        <w:ind w:right="-787"/>
        <w:jc w:val="both"/>
        <w:rPr>
          <w:rFonts w:ascii="Palatino Linotype" w:eastAsia="Palatino Linotype" w:hAnsi="Palatino Linotype" w:cs="Palatino Linotype"/>
        </w:rPr>
      </w:pPr>
      <w:bookmarkStart w:id="12" w:name="_heading=h.26in1rg" w:colFirst="0" w:colLast="0"/>
      <w:bookmarkEnd w:id="12"/>
      <w:r w:rsidRPr="00B42529">
        <w:rPr>
          <w:rFonts w:ascii="Palatino Linotype" w:eastAsia="Palatino Linotype" w:hAnsi="Palatino Linotype" w:cs="Palatino Linotype"/>
          <w:b/>
        </w:rPr>
        <w:t xml:space="preserve">SEGUNDO. </w:t>
      </w:r>
      <w:r w:rsidRPr="00B42529">
        <w:rPr>
          <w:rFonts w:ascii="Palatino Linotype" w:eastAsia="Palatino Linotype" w:hAnsi="Palatino Linotype" w:cs="Palatino Linotype"/>
          <w:color w:val="000000"/>
        </w:rPr>
        <w:t xml:space="preserve">Se </w:t>
      </w:r>
      <w:r w:rsidRPr="00B42529">
        <w:rPr>
          <w:rFonts w:ascii="Palatino Linotype" w:eastAsia="Palatino Linotype" w:hAnsi="Palatino Linotype" w:cs="Palatino Linotype"/>
          <w:b/>
          <w:color w:val="000000"/>
        </w:rPr>
        <w:t xml:space="preserve">REVOCAN </w:t>
      </w:r>
      <w:r w:rsidRPr="00B42529">
        <w:rPr>
          <w:rFonts w:ascii="Palatino Linotype" w:eastAsia="Palatino Linotype" w:hAnsi="Palatino Linotype" w:cs="Palatino Linotype"/>
          <w:color w:val="000000"/>
        </w:rPr>
        <w:t xml:space="preserve">las respuestas </w:t>
      </w:r>
      <w:r w:rsidRPr="00B42529">
        <w:rPr>
          <w:rFonts w:ascii="Palatino Linotype" w:eastAsia="Palatino Linotype" w:hAnsi="Palatino Linotype" w:cs="Palatino Linotype"/>
        </w:rPr>
        <w:t>emitidas</w:t>
      </w:r>
      <w:r w:rsidRPr="00B42529">
        <w:rPr>
          <w:rFonts w:ascii="Palatino Linotype" w:eastAsia="Palatino Linotype" w:hAnsi="Palatino Linotype" w:cs="Palatino Linotype"/>
          <w:color w:val="000000"/>
        </w:rPr>
        <w:t xml:space="preserve"> por el </w:t>
      </w:r>
      <w:r w:rsidR="00FD7E15" w:rsidRPr="00B42529">
        <w:rPr>
          <w:rFonts w:ascii="Palatino Linotype" w:eastAsia="Palatino Linotype" w:hAnsi="Palatino Linotype" w:cs="Palatino Linotype"/>
          <w:color w:val="000000"/>
        </w:rPr>
        <w:t xml:space="preserve">Ayuntamiento de Tlalnepantla de Baz </w:t>
      </w:r>
      <w:r w:rsidRPr="00B42529">
        <w:rPr>
          <w:rFonts w:ascii="Palatino Linotype" w:eastAsia="Palatino Linotype" w:hAnsi="Palatino Linotype" w:cs="Palatino Linotype"/>
          <w:color w:val="000000"/>
        </w:rPr>
        <w:t xml:space="preserve">y se </w:t>
      </w:r>
      <w:r w:rsidRPr="00B42529">
        <w:rPr>
          <w:rFonts w:ascii="Palatino Linotype" w:eastAsia="Palatino Linotype" w:hAnsi="Palatino Linotype" w:cs="Palatino Linotype"/>
          <w:b/>
          <w:color w:val="000000"/>
        </w:rPr>
        <w:t>ORDENA</w:t>
      </w:r>
      <w:r w:rsidRPr="00B42529">
        <w:rPr>
          <w:rFonts w:ascii="Palatino Linotype" w:eastAsia="Palatino Linotype" w:hAnsi="Palatino Linotype" w:cs="Palatino Linotype"/>
          <w:color w:val="000000"/>
        </w:rPr>
        <w:t xml:space="preserve"> entregar vía Sistema de Acceso a la Información Mexiquense </w:t>
      </w:r>
      <w:r w:rsidRPr="00B42529">
        <w:rPr>
          <w:rFonts w:ascii="Palatino Linotype" w:eastAsia="Palatino Linotype" w:hAnsi="Palatino Linotype" w:cs="Palatino Linotype"/>
          <w:b/>
          <w:color w:val="000000"/>
        </w:rPr>
        <w:t>(SAIMEX)</w:t>
      </w:r>
      <w:r w:rsidRPr="00B42529">
        <w:rPr>
          <w:rFonts w:ascii="Palatino Linotype" w:eastAsia="Palatino Linotype" w:hAnsi="Palatino Linotype" w:cs="Palatino Linotype"/>
          <w:color w:val="000000"/>
        </w:rPr>
        <w:t xml:space="preserve">, </w:t>
      </w:r>
      <w:r w:rsidRPr="00B42529">
        <w:rPr>
          <w:rFonts w:ascii="Palatino Linotype" w:eastAsia="Palatino Linotype" w:hAnsi="Palatino Linotype" w:cs="Palatino Linotype"/>
        </w:rPr>
        <w:t xml:space="preserve">en versión pública, del ejercicio fiscal dos mil veintidós. </w:t>
      </w:r>
    </w:p>
    <w:p w14:paraId="2F96E44A" w14:textId="77777777" w:rsidR="00FC58AB" w:rsidRPr="00B42529" w:rsidRDefault="00382C0E">
      <w:pPr>
        <w:spacing w:line="360" w:lineRule="auto"/>
        <w:ind w:right="-787"/>
        <w:jc w:val="both"/>
        <w:rPr>
          <w:rFonts w:ascii="Palatino Linotype" w:eastAsia="Palatino Linotype" w:hAnsi="Palatino Linotype" w:cs="Palatino Linotype"/>
          <w:b/>
        </w:rPr>
      </w:pPr>
      <w:r w:rsidRPr="00B42529">
        <w:rPr>
          <w:rFonts w:ascii="Palatino Linotype" w:eastAsia="Palatino Linotype" w:hAnsi="Palatino Linotype" w:cs="Palatino Linotype"/>
          <w:b/>
        </w:rPr>
        <w:t xml:space="preserve">    </w:t>
      </w:r>
    </w:p>
    <w:p w14:paraId="4AC0B210" w14:textId="77777777" w:rsidR="00FC58AB" w:rsidRPr="00B42529" w:rsidRDefault="004E14D0">
      <w:pPr>
        <w:numPr>
          <w:ilvl w:val="0"/>
          <w:numId w:val="1"/>
        </w:numPr>
        <w:pBdr>
          <w:top w:val="nil"/>
          <w:left w:val="nil"/>
          <w:bottom w:val="nil"/>
          <w:right w:val="nil"/>
          <w:between w:val="nil"/>
        </w:pBdr>
        <w:spacing w:line="360" w:lineRule="auto"/>
        <w:ind w:left="1134" w:right="62" w:firstLine="0"/>
        <w:jc w:val="both"/>
        <w:rPr>
          <w:rFonts w:ascii="Palatino Linotype" w:eastAsia="Palatino Linotype" w:hAnsi="Palatino Linotype" w:cs="Palatino Linotype"/>
          <w:b/>
          <w:color w:val="000000"/>
        </w:rPr>
      </w:pPr>
      <w:r w:rsidRPr="00B42529">
        <w:rPr>
          <w:rFonts w:ascii="Palatino Linotype" w:eastAsia="Palatino Linotype" w:hAnsi="Palatino Linotype" w:cs="Palatino Linotype"/>
          <w:b/>
          <w:color w:val="000000"/>
        </w:rPr>
        <w:t>Expedientes</w:t>
      </w:r>
      <w:r w:rsidR="00382C0E" w:rsidRPr="00B42529">
        <w:rPr>
          <w:rFonts w:ascii="Palatino Linotype" w:eastAsia="Palatino Linotype" w:hAnsi="Palatino Linotype" w:cs="Palatino Linotype"/>
          <w:b/>
          <w:color w:val="000000"/>
        </w:rPr>
        <w:t xml:space="preserve"> </w:t>
      </w:r>
      <w:r w:rsidRPr="00B42529">
        <w:rPr>
          <w:rFonts w:ascii="Palatino Linotype" w:eastAsia="Palatino Linotype" w:hAnsi="Palatino Linotype" w:cs="Palatino Linotype"/>
          <w:b/>
          <w:color w:val="000000"/>
        </w:rPr>
        <w:t xml:space="preserve">de las adjudicaciones directas </w:t>
      </w:r>
      <w:r w:rsidR="00382C0E" w:rsidRPr="00B42529">
        <w:rPr>
          <w:rFonts w:ascii="Palatino Linotype" w:eastAsia="Palatino Linotype" w:hAnsi="Palatino Linotype" w:cs="Palatino Linotype"/>
          <w:b/>
          <w:color w:val="000000"/>
        </w:rPr>
        <w:t>de las obras</w:t>
      </w:r>
      <w:r w:rsidRPr="00B42529">
        <w:rPr>
          <w:rFonts w:ascii="Palatino Linotype" w:eastAsia="Palatino Linotype" w:hAnsi="Palatino Linotype" w:cs="Palatino Linotype"/>
          <w:b/>
          <w:color w:val="000000"/>
        </w:rPr>
        <w:t xml:space="preserve"> públicas </w:t>
      </w:r>
      <w:r w:rsidR="00382C0E" w:rsidRPr="00B42529">
        <w:rPr>
          <w:rFonts w:ascii="Palatino Linotype" w:eastAsia="Palatino Linotype" w:hAnsi="Palatino Linotype" w:cs="Palatino Linotype"/>
          <w:b/>
          <w:color w:val="000000"/>
        </w:rPr>
        <w:t xml:space="preserve"> y servicios referidos en la solicitud de información. </w:t>
      </w:r>
    </w:p>
    <w:p w14:paraId="5D7BFF14" w14:textId="77777777" w:rsidR="00FC58AB" w:rsidRDefault="00FC58AB">
      <w:pPr>
        <w:pBdr>
          <w:top w:val="nil"/>
          <w:left w:val="nil"/>
          <w:bottom w:val="nil"/>
          <w:right w:val="nil"/>
          <w:between w:val="nil"/>
        </w:pBdr>
        <w:tabs>
          <w:tab w:val="left" w:pos="8080"/>
        </w:tabs>
        <w:spacing w:line="360" w:lineRule="auto"/>
        <w:ind w:left="1134" w:right="-787"/>
        <w:jc w:val="both"/>
        <w:rPr>
          <w:rFonts w:ascii="Palatino Linotype" w:eastAsia="Palatino Linotype" w:hAnsi="Palatino Linotype" w:cs="Palatino Linotype"/>
          <w:color w:val="000000"/>
          <w:sz w:val="22"/>
          <w:szCs w:val="22"/>
        </w:rPr>
      </w:pPr>
    </w:p>
    <w:p w14:paraId="78F59859" w14:textId="77777777" w:rsidR="00FC58AB" w:rsidRDefault="00382C0E">
      <w:pPr>
        <w:pBdr>
          <w:top w:val="nil"/>
          <w:left w:val="nil"/>
          <w:bottom w:val="nil"/>
          <w:right w:val="nil"/>
          <w:between w:val="nil"/>
        </w:pBdr>
        <w:tabs>
          <w:tab w:val="left" w:pos="8080"/>
        </w:tabs>
        <w:spacing w:line="360" w:lineRule="auto"/>
        <w:ind w:right="-787"/>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Pr>
          <w:rFonts w:ascii="Palatino Linotype" w:eastAsia="Palatino Linotype" w:hAnsi="Palatino Linotype" w:cs="Palatino Linotype"/>
          <w:b/>
          <w:color w:val="000000"/>
        </w:rPr>
        <w:t>RECURRENTE.</w:t>
      </w:r>
    </w:p>
    <w:p w14:paraId="00E298BB" w14:textId="77777777" w:rsidR="00FC58AB" w:rsidRDefault="00FC58AB">
      <w:pPr>
        <w:pBdr>
          <w:top w:val="nil"/>
          <w:left w:val="nil"/>
          <w:bottom w:val="nil"/>
          <w:right w:val="nil"/>
          <w:between w:val="nil"/>
        </w:pBdr>
        <w:tabs>
          <w:tab w:val="left" w:pos="8080"/>
        </w:tabs>
        <w:spacing w:line="360" w:lineRule="auto"/>
        <w:ind w:right="-787"/>
        <w:jc w:val="both"/>
        <w:rPr>
          <w:rFonts w:ascii="Palatino Linotype" w:eastAsia="Palatino Linotype" w:hAnsi="Palatino Linotype" w:cs="Palatino Linotype"/>
          <w:b/>
          <w:color w:val="000000"/>
        </w:rPr>
      </w:pPr>
    </w:p>
    <w:p w14:paraId="1009DDEE" w14:textId="77777777" w:rsidR="00FC58AB" w:rsidRDefault="00FC58AB">
      <w:pPr>
        <w:spacing w:line="360" w:lineRule="auto"/>
        <w:ind w:right="-787"/>
        <w:jc w:val="both"/>
        <w:rPr>
          <w:rFonts w:ascii="Palatino Linotype" w:eastAsia="Palatino Linotype" w:hAnsi="Palatino Linotype" w:cs="Palatino Linotype"/>
          <w:b/>
        </w:rPr>
      </w:pPr>
    </w:p>
    <w:p w14:paraId="6593BC71" w14:textId="77777777" w:rsidR="00FC58AB" w:rsidRDefault="00382C0E">
      <w:pPr>
        <w:spacing w:line="360" w:lineRule="auto"/>
        <w:ind w:right="-787"/>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rPr>
        <w:t xml:space="preserve">. </w:t>
      </w:r>
      <w:r>
        <w:rPr>
          <w:rFonts w:ascii="Palatino Linotype" w:eastAsia="Palatino Linotype" w:hAnsi="Palatino Linotype" w:cs="Palatino Linotype"/>
          <w:b/>
        </w:rPr>
        <w:t>NOTIFÍQUESE</w:t>
      </w:r>
      <w:r>
        <w:rPr>
          <w:rFonts w:ascii="Palatino Linotype" w:eastAsia="Palatino Linotype" w:hAnsi="Palatino Linotype" w:cs="Palatino Linotype"/>
        </w:rPr>
        <w:t xml:space="preserve"> la presente resolución al Titular de la Unidad de Transparencia del Sujeto Obligado </w:t>
      </w:r>
      <w:r>
        <w:rPr>
          <w:rFonts w:ascii="Palatino Linotype" w:eastAsia="Palatino Linotype" w:hAnsi="Palatino Linotype" w:cs="Palatino Linotype"/>
          <w:b/>
        </w:rPr>
        <w:t>vía SAIMEX</w:t>
      </w:r>
      <w:r>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w:t>
      </w:r>
      <w:r>
        <w:rPr>
          <w:rFonts w:ascii="Palatino Linotype" w:eastAsia="Palatino Linotype" w:hAnsi="Palatino Linotype" w:cs="Palatino Linotype"/>
          <w:b/>
        </w:rPr>
        <w:t>dé cumplimiento a lo ordenado dentro del plazo de diez días hábiles</w:t>
      </w:r>
      <w:r>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w:t>
      </w:r>
      <w:r>
        <w:rPr>
          <w:rFonts w:ascii="Palatino Linotype" w:eastAsia="Palatino Linotype" w:hAnsi="Palatino Linotype" w:cs="Palatino Linotype"/>
        </w:rPr>
        <w:lastRenderedPageBreak/>
        <w:t>conformidad con lo previsto en los artículos 198, 200, fracción III; 214, 215 y 216 de la Ley  de Transparencia y Acceso a la Información Pública del Estado de México y Municipios.</w:t>
      </w:r>
    </w:p>
    <w:p w14:paraId="6FB11D3E" w14:textId="77777777" w:rsidR="00FC58AB" w:rsidRDefault="00FC58AB">
      <w:pPr>
        <w:tabs>
          <w:tab w:val="left" w:pos="8080"/>
        </w:tabs>
        <w:spacing w:line="360" w:lineRule="auto"/>
        <w:ind w:right="-787"/>
        <w:jc w:val="both"/>
        <w:rPr>
          <w:rFonts w:ascii="Palatino Linotype" w:eastAsia="Palatino Linotype" w:hAnsi="Palatino Linotype" w:cs="Palatino Linotype"/>
          <w:highlight w:val="white"/>
        </w:rPr>
      </w:pPr>
    </w:p>
    <w:p w14:paraId="78BBC21D" w14:textId="77777777" w:rsidR="00FC58AB" w:rsidRDefault="00382C0E">
      <w:pPr>
        <w:spacing w:line="360" w:lineRule="auto"/>
        <w:ind w:right="-787"/>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5612D6A2" w14:textId="77777777" w:rsidR="00FC58AB" w:rsidRDefault="00FC58AB">
      <w:pPr>
        <w:spacing w:line="360" w:lineRule="auto"/>
        <w:ind w:right="-787"/>
        <w:jc w:val="both"/>
        <w:rPr>
          <w:rFonts w:ascii="Palatino Linotype" w:eastAsia="Palatino Linotype" w:hAnsi="Palatino Linotype" w:cs="Palatino Linotype"/>
        </w:rPr>
      </w:pPr>
    </w:p>
    <w:p w14:paraId="2BC0E7AF" w14:textId="77777777" w:rsidR="00FC58AB" w:rsidRDefault="00382C0E">
      <w:pPr>
        <w:tabs>
          <w:tab w:val="left" w:pos="8080"/>
        </w:tabs>
        <w:spacing w:line="360" w:lineRule="auto"/>
        <w:ind w:right="-787"/>
        <w:jc w:val="both"/>
        <w:rPr>
          <w:rFonts w:ascii="Palatino Linotype" w:eastAsia="Palatino Linotype" w:hAnsi="Palatino Linotype" w:cs="Palatino Linotype"/>
        </w:rPr>
      </w:pPr>
      <w:bookmarkStart w:id="13" w:name="_heading=h.lnxbz9" w:colFirst="0" w:colLast="0"/>
      <w:bookmarkEnd w:id="13"/>
      <w:r>
        <w:rPr>
          <w:rFonts w:ascii="Palatino Linotype" w:eastAsia="Palatino Linotype" w:hAnsi="Palatino Linotype" w:cs="Palatino Linotype"/>
          <w:b/>
        </w:rPr>
        <w:t xml:space="preserve">QUINTO. </w:t>
      </w:r>
      <w:r>
        <w:rPr>
          <w:rFonts w:ascii="Palatino Linotype" w:eastAsia="Palatino Linotype" w:hAnsi="Palatino Linotype" w:cs="Palatino Linotype"/>
        </w:rPr>
        <w:t xml:space="preserve">Notifíquese a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la presente resolución, vía SAIMEX.</w:t>
      </w:r>
    </w:p>
    <w:p w14:paraId="2284EE75" w14:textId="77777777" w:rsidR="00FC58AB" w:rsidRDefault="00FC58AB">
      <w:pPr>
        <w:tabs>
          <w:tab w:val="left" w:pos="8080"/>
        </w:tabs>
        <w:spacing w:line="360" w:lineRule="auto"/>
        <w:ind w:right="-787"/>
        <w:jc w:val="both"/>
        <w:rPr>
          <w:rFonts w:ascii="Palatino Linotype" w:eastAsia="Palatino Linotype" w:hAnsi="Palatino Linotype" w:cs="Palatino Linotype"/>
        </w:rPr>
      </w:pPr>
    </w:p>
    <w:p w14:paraId="60BCB5B9" w14:textId="77777777" w:rsidR="00FC58AB" w:rsidRDefault="00382C0E">
      <w:pPr>
        <w:shd w:val="clear" w:color="auto" w:fill="FFFFFF"/>
        <w:spacing w:line="360" w:lineRule="auto"/>
        <w:ind w:right="-787"/>
        <w:jc w:val="both"/>
        <w:rPr>
          <w:rFonts w:ascii="Palatino Linotype" w:eastAsia="Palatino Linotype" w:hAnsi="Palatino Linotype" w:cs="Palatino Linotype"/>
        </w:rPr>
      </w:pPr>
      <w:r>
        <w:rPr>
          <w:rFonts w:ascii="Palatino Linotype" w:eastAsia="Palatino Linotype" w:hAnsi="Palatino Linotype" w:cs="Palatino Linotype"/>
          <w:b/>
        </w:rPr>
        <w:t>SEXTO.</w:t>
      </w:r>
      <w:r>
        <w:rPr>
          <w:rFonts w:ascii="Palatino Linotype" w:eastAsia="Palatino Linotype" w:hAnsi="Palatino Linotype" w:cs="Palatino Linotype"/>
        </w:rPr>
        <w:t xml:space="preserve"> Se hace del conocimiento de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3156A405" w14:textId="77777777" w:rsidR="00B42529" w:rsidRDefault="00B42529">
      <w:pPr>
        <w:shd w:val="clear" w:color="auto" w:fill="FFFFFF"/>
        <w:spacing w:line="360" w:lineRule="auto"/>
        <w:ind w:right="-787"/>
        <w:jc w:val="both"/>
        <w:rPr>
          <w:rFonts w:ascii="Palatino Linotype" w:eastAsia="Palatino Linotype" w:hAnsi="Palatino Linotype" w:cs="Palatino Linotype"/>
        </w:rPr>
      </w:pPr>
    </w:p>
    <w:p w14:paraId="743D6674" w14:textId="77777777" w:rsidR="00B42529" w:rsidRPr="003C7186" w:rsidRDefault="00B42529" w:rsidP="00B42529">
      <w:pPr>
        <w:spacing w:line="360" w:lineRule="auto"/>
        <w:ind w:left="-142" w:right="-801" w:firstLine="1"/>
        <w:jc w:val="both"/>
        <w:rPr>
          <w:rFonts w:ascii="Palatino Linotype" w:hAnsi="Palatino Linotype"/>
        </w:rPr>
      </w:pPr>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hAnsi="Palatino Linotype"/>
        </w:rPr>
        <w:t xml:space="preserve"> Y GUADALUPE RAMÍREZ PEÑA; </w:t>
      </w:r>
      <w:r w:rsidRPr="003C7186">
        <w:rPr>
          <w:rFonts w:ascii="Palatino Linotype" w:hAnsi="Palatino Linotype"/>
        </w:rPr>
        <w:t xml:space="preserve">EN LA </w:t>
      </w:r>
      <w:r>
        <w:rPr>
          <w:rFonts w:ascii="Palatino Linotype" w:hAnsi="Palatino Linotype"/>
        </w:rPr>
        <w:t>TRIGÉSIMA</w:t>
      </w:r>
      <w:r w:rsidRPr="003C7186">
        <w:rPr>
          <w:rFonts w:ascii="Palatino Linotype" w:hAnsi="Palatino Linotype"/>
        </w:rPr>
        <w:t xml:space="preserve"> </w:t>
      </w:r>
      <w:r>
        <w:rPr>
          <w:rFonts w:ascii="Palatino Linotype" w:hAnsi="Palatino Linotype"/>
        </w:rPr>
        <w:t xml:space="preserve">NOVENA </w:t>
      </w:r>
      <w:r w:rsidRPr="003C7186">
        <w:rPr>
          <w:rFonts w:ascii="Palatino Linotype" w:hAnsi="Palatino Linotype"/>
        </w:rPr>
        <w:t xml:space="preserve">SESIÓN ORDINARIA CELEBRADA EL </w:t>
      </w:r>
      <w:r>
        <w:rPr>
          <w:rFonts w:ascii="Palatino Linotype" w:hAnsi="Palatino Linotype"/>
        </w:rPr>
        <w:t>TRECE</w:t>
      </w:r>
      <w:r w:rsidRPr="003C7186">
        <w:rPr>
          <w:rFonts w:ascii="Palatino Linotype" w:hAnsi="Palatino Linotype"/>
        </w:rPr>
        <w:t xml:space="preserve"> </w:t>
      </w:r>
      <w:r>
        <w:rPr>
          <w:rFonts w:ascii="Palatino Linotype" w:hAnsi="Palatino Linotype"/>
        </w:rPr>
        <w:t>(13) DE NOVIEMBRE</w:t>
      </w:r>
      <w:r w:rsidRPr="003C7186">
        <w:rPr>
          <w:rFonts w:ascii="Palatino Linotype" w:hAnsi="Palatino Linotype"/>
        </w:rPr>
        <w:t xml:space="preserve"> DE DOS MIL VEINTICUATRO, ANTE EL SECRETARIO TÉCNICO DEL PLENO ALEXIS TAPIA RAMÍREZ. </w:t>
      </w:r>
    </w:p>
    <w:p w14:paraId="72906FE4" w14:textId="77777777" w:rsidR="00B42529" w:rsidRPr="00902BA4" w:rsidRDefault="00B42529" w:rsidP="00B42529">
      <w:pPr>
        <w:widowControl w:val="0"/>
        <w:autoSpaceDE w:val="0"/>
        <w:autoSpaceDN w:val="0"/>
        <w:adjustRightInd w:val="0"/>
        <w:spacing w:after="200" w:line="276" w:lineRule="auto"/>
        <w:ind w:left="-142" w:right="-801"/>
        <w:rPr>
          <w:rFonts w:ascii="Calibri" w:hAnsi="Calibri" w:cs="Calibri"/>
        </w:rPr>
      </w:pPr>
    </w:p>
    <w:p w14:paraId="4A84446B" w14:textId="77777777" w:rsidR="00FC58AB" w:rsidRDefault="00FC58AB" w:rsidP="00B42529">
      <w:pPr>
        <w:spacing w:line="360" w:lineRule="auto"/>
        <w:ind w:right="-801"/>
        <w:rPr>
          <w:rFonts w:ascii="Palatino Linotype" w:eastAsia="Palatino Linotype" w:hAnsi="Palatino Linotype" w:cs="Palatino Linotype"/>
        </w:rPr>
      </w:pPr>
    </w:p>
    <w:p w14:paraId="4F4188EC" w14:textId="77777777" w:rsidR="00FC58AB" w:rsidRDefault="00FC58AB" w:rsidP="00B42529">
      <w:pPr>
        <w:spacing w:line="360" w:lineRule="auto"/>
        <w:ind w:right="-801"/>
        <w:rPr>
          <w:rFonts w:ascii="Palatino Linotype" w:eastAsia="Palatino Linotype" w:hAnsi="Palatino Linotype" w:cs="Palatino Linotype"/>
        </w:rPr>
      </w:pPr>
    </w:p>
    <w:p w14:paraId="202EAD96" w14:textId="77777777" w:rsidR="00FC58AB" w:rsidRDefault="00FC58AB" w:rsidP="00B42529">
      <w:pPr>
        <w:spacing w:line="360" w:lineRule="auto"/>
        <w:ind w:right="-801"/>
        <w:rPr>
          <w:rFonts w:ascii="Palatino Linotype" w:eastAsia="Palatino Linotype" w:hAnsi="Palatino Linotype" w:cs="Palatino Linotype"/>
        </w:rPr>
      </w:pPr>
    </w:p>
    <w:p w14:paraId="39C623E4" w14:textId="77777777" w:rsidR="00FC58AB" w:rsidRDefault="00FC58AB" w:rsidP="00B42529">
      <w:pPr>
        <w:spacing w:line="360" w:lineRule="auto"/>
        <w:ind w:right="-801"/>
        <w:rPr>
          <w:rFonts w:ascii="Palatino Linotype" w:eastAsia="Palatino Linotype" w:hAnsi="Palatino Linotype" w:cs="Palatino Linotype"/>
        </w:rPr>
      </w:pPr>
    </w:p>
    <w:p w14:paraId="015BB7DA" w14:textId="77777777" w:rsidR="00FC58AB" w:rsidRDefault="00FC58AB">
      <w:pPr>
        <w:spacing w:line="360" w:lineRule="auto"/>
        <w:ind w:right="-787"/>
        <w:rPr>
          <w:rFonts w:ascii="Palatino Linotype" w:eastAsia="Palatino Linotype" w:hAnsi="Palatino Linotype" w:cs="Palatino Linotype"/>
        </w:rPr>
      </w:pPr>
    </w:p>
    <w:p w14:paraId="36A8C764" w14:textId="77777777" w:rsidR="00FC58AB" w:rsidRDefault="00FC58AB">
      <w:pPr>
        <w:spacing w:line="360" w:lineRule="auto"/>
        <w:ind w:right="-787"/>
        <w:rPr>
          <w:rFonts w:ascii="Palatino Linotype" w:eastAsia="Palatino Linotype" w:hAnsi="Palatino Linotype" w:cs="Palatino Linotype"/>
        </w:rPr>
      </w:pPr>
    </w:p>
    <w:p w14:paraId="03F60CB8" w14:textId="77777777" w:rsidR="00FC58AB" w:rsidRDefault="00FC58AB">
      <w:pPr>
        <w:spacing w:line="360" w:lineRule="auto"/>
        <w:ind w:right="-787"/>
        <w:rPr>
          <w:rFonts w:ascii="Palatino Linotype" w:eastAsia="Palatino Linotype" w:hAnsi="Palatino Linotype" w:cs="Palatino Linotype"/>
        </w:rPr>
      </w:pPr>
    </w:p>
    <w:p w14:paraId="11528F11" w14:textId="77777777" w:rsidR="00FC58AB" w:rsidRDefault="00FC58AB">
      <w:pPr>
        <w:spacing w:line="360" w:lineRule="auto"/>
        <w:ind w:right="-787"/>
        <w:rPr>
          <w:rFonts w:ascii="Palatino Linotype" w:eastAsia="Palatino Linotype" w:hAnsi="Palatino Linotype" w:cs="Palatino Linotype"/>
        </w:rPr>
      </w:pPr>
    </w:p>
    <w:p w14:paraId="274736B3" w14:textId="77777777" w:rsidR="00FC58AB" w:rsidRDefault="00FC58AB">
      <w:pPr>
        <w:spacing w:line="360" w:lineRule="auto"/>
        <w:ind w:right="-787"/>
        <w:rPr>
          <w:rFonts w:ascii="Palatino Linotype" w:eastAsia="Palatino Linotype" w:hAnsi="Palatino Linotype" w:cs="Palatino Linotype"/>
        </w:rPr>
      </w:pPr>
    </w:p>
    <w:p w14:paraId="720A3B5A" w14:textId="77777777" w:rsidR="00FC58AB" w:rsidRDefault="00FC58AB">
      <w:pPr>
        <w:spacing w:line="360" w:lineRule="auto"/>
        <w:ind w:right="-787"/>
        <w:rPr>
          <w:rFonts w:ascii="Palatino Linotype" w:eastAsia="Palatino Linotype" w:hAnsi="Palatino Linotype" w:cs="Palatino Linotype"/>
        </w:rPr>
      </w:pPr>
    </w:p>
    <w:p w14:paraId="0D93F318" w14:textId="77777777" w:rsidR="00FC58AB" w:rsidRDefault="00FC58AB">
      <w:pPr>
        <w:spacing w:line="360" w:lineRule="auto"/>
        <w:ind w:right="-787"/>
        <w:rPr>
          <w:rFonts w:ascii="Palatino Linotype" w:eastAsia="Palatino Linotype" w:hAnsi="Palatino Linotype" w:cs="Palatino Linotype"/>
        </w:rPr>
      </w:pPr>
    </w:p>
    <w:p w14:paraId="7FE19BE2" w14:textId="77777777" w:rsidR="00FC58AB" w:rsidRDefault="00FC58AB">
      <w:pPr>
        <w:spacing w:line="360" w:lineRule="auto"/>
        <w:ind w:right="-787"/>
        <w:rPr>
          <w:rFonts w:ascii="Palatino Linotype" w:eastAsia="Palatino Linotype" w:hAnsi="Palatino Linotype" w:cs="Palatino Linotype"/>
        </w:rPr>
      </w:pPr>
    </w:p>
    <w:p w14:paraId="0D2627D6" w14:textId="77777777" w:rsidR="00FC58AB" w:rsidRDefault="00FC58AB">
      <w:pPr>
        <w:spacing w:line="360" w:lineRule="auto"/>
        <w:ind w:right="-787"/>
        <w:rPr>
          <w:rFonts w:ascii="Palatino Linotype" w:eastAsia="Palatino Linotype" w:hAnsi="Palatino Linotype" w:cs="Palatino Linotype"/>
        </w:rPr>
      </w:pPr>
    </w:p>
    <w:p w14:paraId="0BD3049A" w14:textId="77777777" w:rsidR="00FC58AB" w:rsidRDefault="00FC58AB">
      <w:pPr>
        <w:spacing w:line="360" w:lineRule="auto"/>
        <w:ind w:right="-787"/>
        <w:rPr>
          <w:rFonts w:ascii="Palatino Linotype" w:eastAsia="Palatino Linotype" w:hAnsi="Palatino Linotype" w:cs="Palatino Linotype"/>
        </w:rPr>
      </w:pPr>
    </w:p>
    <w:p w14:paraId="396442D7" w14:textId="77777777" w:rsidR="00FC58AB" w:rsidRDefault="00FC58AB">
      <w:pPr>
        <w:ind w:right="-787"/>
        <w:rPr>
          <w:rFonts w:ascii="Palatino Linotype" w:eastAsia="Palatino Linotype" w:hAnsi="Palatino Linotype" w:cs="Palatino Linotype"/>
        </w:rPr>
      </w:pPr>
    </w:p>
    <w:p w14:paraId="5665031A" w14:textId="77777777" w:rsidR="00FC58AB" w:rsidRDefault="00FC58AB">
      <w:pPr>
        <w:ind w:right="-787"/>
        <w:rPr>
          <w:rFonts w:ascii="Palatino Linotype" w:eastAsia="Palatino Linotype" w:hAnsi="Palatino Linotype" w:cs="Palatino Linotype"/>
        </w:rPr>
      </w:pPr>
    </w:p>
    <w:p w14:paraId="7C34E3D8" w14:textId="77777777" w:rsidR="00FC58AB" w:rsidRDefault="00FC58AB">
      <w:pPr>
        <w:ind w:right="-787"/>
        <w:rPr>
          <w:rFonts w:ascii="Palatino Linotype" w:eastAsia="Palatino Linotype" w:hAnsi="Palatino Linotype" w:cs="Palatino Linotype"/>
        </w:rPr>
      </w:pPr>
    </w:p>
    <w:p w14:paraId="1415C8C9" w14:textId="77777777" w:rsidR="00FC58AB" w:rsidRDefault="00FC58AB">
      <w:pPr>
        <w:ind w:right="-787"/>
        <w:rPr>
          <w:rFonts w:ascii="Palatino Linotype" w:eastAsia="Palatino Linotype" w:hAnsi="Palatino Linotype" w:cs="Palatino Linotype"/>
        </w:rPr>
      </w:pPr>
    </w:p>
    <w:p w14:paraId="22C48F7A" w14:textId="77777777" w:rsidR="00FC58AB" w:rsidRDefault="00FC58AB">
      <w:pPr>
        <w:ind w:right="-787"/>
        <w:rPr>
          <w:rFonts w:ascii="Palatino Linotype" w:eastAsia="Palatino Linotype" w:hAnsi="Palatino Linotype" w:cs="Palatino Linotype"/>
        </w:rPr>
      </w:pPr>
    </w:p>
    <w:sectPr w:rsidR="00FC58AB">
      <w:headerReference w:type="default" r:id="rId15"/>
      <w:footerReference w:type="default" r:id="rId16"/>
      <w:headerReference w:type="first" r:id="rId17"/>
      <w:footerReference w:type="first" r:id="rId18"/>
      <w:pgSz w:w="12240" w:h="15840"/>
      <w:pgMar w:top="2410" w:right="1701" w:bottom="1985"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46910" w14:textId="77777777" w:rsidR="00600542" w:rsidRDefault="00600542">
      <w:r>
        <w:separator/>
      </w:r>
    </w:p>
  </w:endnote>
  <w:endnote w:type="continuationSeparator" w:id="0">
    <w:p w14:paraId="78317D78" w14:textId="77777777" w:rsidR="00600542" w:rsidRDefault="00600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EA75F" w14:textId="77777777" w:rsidR="00F86BBC" w:rsidRDefault="00F86BB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E0FCA">
      <w:rPr>
        <w:rFonts w:ascii="Arial" w:eastAsia="Arial" w:hAnsi="Arial" w:cs="Arial"/>
        <w:b/>
        <w:noProof/>
        <w:color w:val="000000"/>
        <w:sz w:val="20"/>
        <w:szCs w:val="20"/>
      </w:rPr>
      <w:t>61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E0FCA">
      <w:rPr>
        <w:rFonts w:ascii="Arial" w:eastAsia="Arial" w:hAnsi="Arial" w:cs="Arial"/>
        <w:b/>
        <w:noProof/>
        <w:color w:val="000000"/>
        <w:sz w:val="20"/>
        <w:szCs w:val="20"/>
      </w:rPr>
      <w:t>63</w:t>
    </w:r>
    <w:r>
      <w:rPr>
        <w:rFonts w:ascii="Arial" w:eastAsia="Arial" w:hAnsi="Arial" w:cs="Arial"/>
        <w:b/>
        <w:color w:val="000000"/>
        <w:sz w:val="20"/>
        <w:szCs w:val="20"/>
      </w:rPr>
      <w:fldChar w:fldCharType="end"/>
    </w:r>
  </w:p>
  <w:p w14:paraId="1577E41F" w14:textId="77777777" w:rsidR="00F86BBC" w:rsidRDefault="00F86BBC">
    <w:pPr>
      <w:pBdr>
        <w:top w:val="nil"/>
        <w:left w:val="nil"/>
        <w:bottom w:val="nil"/>
        <w:right w:val="nil"/>
        <w:between w:val="nil"/>
      </w:pBdr>
      <w:tabs>
        <w:tab w:val="center" w:pos="4252"/>
        <w:tab w:val="right" w:pos="8504"/>
      </w:tabs>
      <w:rPr>
        <w:color w:val="000000"/>
      </w:rPr>
    </w:pPr>
  </w:p>
  <w:p w14:paraId="33772F5C" w14:textId="77777777" w:rsidR="00F86BBC" w:rsidRDefault="00F86BBC">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5432A" w14:textId="77777777" w:rsidR="00F86BBC" w:rsidRDefault="00F86BB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E0FCA">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E0FCA">
      <w:rPr>
        <w:rFonts w:ascii="Arial" w:eastAsia="Arial" w:hAnsi="Arial" w:cs="Arial"/>
        <w:b/>
        <w:noProof/>
        <w:color w:val="000000"/>
        <w:sz w:val="20"/>
        <w:szCs w:val="20"/>
      </w:rPr>
      <w:t>63</w:t>
    </w:r>
    <w:r>
      <w:rPr>
        <w:rFonts w:ascii="Arial" w:eastAsia="Arial" w:hAnsi="Arial" w:cs="Arial"/>
        <w:b/>
        <w:color w:val="000000"/>
        <w:sz w:val="20"/>
        <w:szCs w:val="20"/>
      </w:rPr>
      <w:fldChar w:fldCharType="end"/>
    </w:r>
  </w:p>
  <w:p w14:paraId="7DEE9199" w14:textId="77777777" w:rsidR="00F86BBC" w:rsidRDefault="00F86BBC">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88024" w14:textId="77777777" w:rsidR="00600542" w:rsidRDefault="00600542">
      <w:r>
        <w:separator/>
      </w:r>
    </w:p>
  </w:footnote>
  <w:footnote w:type="continuationSeparator" w:id="0">
    <w:p w14:paraId="7482A989" w14:textId="77777777" w:rsidR="00600542" w:rsidRDefault="00600542">
      <w:r>
        <w:continuationSeparator/>
      </w:r>
    </w:p>
  </w:footnote>
  <w:footnote w:id="1">
    <w:p w14:paraId="40075302" w14:textId="77777777" w:rsidR="00F86BBC" w:rsidRDefault="00F86BB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Emitidos por este Instituto y publicados en el Periódico Oficial del Gobierno del Estado de México “Gaceta del Gobierno” en fecha treinta de octubre de dos mil ocho.</w:t>
      </w:r>
    </w:p>
  </w:footnote>
  <w:footnote w:id="2">
    <w:p w14:paraId="740850DC" w14:textId="77777777" w:rsidR="00F86BBC" w:rsidRDefault="00F86BB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3">
    <w:p w14:paraId="7E12FFA7" w14:textId="77777777" w:rsidR="00F86BBC" w:rsidRDefault="00F86BB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4">
    <w:p w14:paraId="39E6B410" w14:textId="77777777" w:rsidR="00F86BBC" w:rsidRDefault="00F86BB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5">
    <w:p w14:paraId="6296902B" w14:textId="77777777" w:rsidR="00F86BBC" w:rsidRDefault="00F86BB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 w:id="6">
    <w:p w14:paraId="4525B0F7" w14:textId="77777777" w:rsidR="00646F3A" w:rsidRPr="003464DC" w:rsidRDefault="00646F3A" w:rsidP="00646F3A">
      <w:pPr>
        <w:pStyle w:val="Textonotapie"/>
        <w:rPr>
          <w:rFonts w:ascii="Palatino Linotype" w:hAnsi="Palatino Linotype" w:cs="Arial"/>
          <w:i/>
          <w:sz w:val="18"/>
        </w:rPr>
      </w:pPr>
      <w:r>
        <w:rPr>
          <w:rStyle w:val="Refdenotaalpie"/>
        </w:rPr>
        <w:footnoteRef/>
      </w:r>
      <w:r>
        <w:t xml:space="preserve"> </w:t>
      </w:r>
      <w:r w:rsidRPr="003464DC">
        <w:rPr>
          <w:rFonts w:ascii="Palatino Linotype" w:hAnsi="Palatino Linotype" w:cs="Arial"/>
          <w:i/>
          <w:sz w:val="18"/>
        </w:rPr>
        <w:t>https://legislacion.edomex.gob.mx/sites/legislacion.edomex.gob.mx/files/files/pdf/gct/2016/dic021.pdf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C5B33" w14:textId="77777777" w:rsidR="00F86BBC" w:rsidRDefault="00F86BBC">
    <w:pPr>
      <w:widowControl w:val="0"/>
      <w:pBdr>
        <w:top w:val="nil"/>
        <w:left w:val="nil"/>
        <w:bottom w:val="nil"/>
        <w:right w:val="nil"/>
        <w:between w:val="nil"/>
      </w:pBdr>
      <w:spacing w:line="276" w:lineRule="auto"/>
      <w:rPr>
        <w:color w:val="000000"/>
        <w:sz w:val="20"/>
        <w:szCs w:val="20"/>
      </w:rPr>
    </w:pPr>
  </w:p>
  <w:tbl>
    <w:tblPr>
      <w:tblStyle w:val="a3"/>
      <w:tblW w:w="7080" w:type="dxa"/>
      <w:tblInd w:w="2977" w:type="dxa"/>
      <w:tblLayout w:type="fixed"/>
      <w:tblLook w:val="0400" w:firstRow="0" w:lastRow="0" w:firstColumn="0" w:lastColumn="0" w:noHBand="0" w:noVBand="1"/>
    </w:tblPr>
    <w:tblGrid>
      <w:gridCol w:w="2550"/>
      <w:gridCol w:w="4530"/>
    </w:tblGrid>
    <w:tr w:rsidR="00F86BBC" w14:paraId="4289C33A" w14:textId="77777777">
      <w:tc>
        <w:tcPr>
          <w:tcW w:w="2550" w:type="dxa"/>
          <w:vAlign w:val="center"/>
        </w:tcPr>
        <w:p w14:paraId="047370E6" w14:textId="77777777" w:rsidR="00F86BBC" w:rsidRDefault="00F86BB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30" w:type="dxa"/>
          <w:vAlign w:val="center"/>
        </w:tcPr>
        <w:p w14:paraId="5BBED1F6" w14:textId="77777777" w:rsidR="00F86BBC" w:rsidRDefault="00F86BBC">
          <w:pPr>
            <w:ind w:right="-1518"/>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01593/INFOEM/IP/RR/2024 y Acumulados</w:t>
          </w:r>
        </w:p>
      </w:tc>
    </w:tr>
    <w:tr w:rsidR="00F86BBC" w14:paraId="543F8C94" w14:textId="77777777">
      <w:trPr>
        <w:trHeight w:val="228"/>
      </w:trPr>
      <w:tc>
        <w:tcPr>
          <w:tcW w:w="2550" w:type="dxa"/>
          <w:vAlign w:val="center"/>
        </w:tcPr>
        <w:p w14:paraId="3A136163" w14:textId="77777777" w:rsidR="00F86BBC" w:rsidRDefault="00F86BB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30" w:type="dxa"/>
          <w:shd w:val="clear" w:color="auto" w:fill="auto"/>
          <w:vAlign w:val="center"/>
        </w:tcPr>
        <w:p w14:paraId="148BDA3A" w14:textId="77777777" w:rsidR="00F86BBC" w:rsidRDefault="00F86BBC">
          <w:pPr>
            <w:ind w:right="-1518"/>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Ayuntamiento de Tlalnepantla de Baz</w:t>
          </w:r>
        </w:p>
      </w:tc>
    </w:tr>
    <w:tr w:rsidR="00F86BBC" w14:paraId="17C6E15F" w14:textId="77777777">
      <w:tc>
        <w:tcPr>
          <w:tcW w:w="2550" w:type="dxa"/>
          <w:vAlign w:val="center"/>
        </w:tcPr>
        <w:p w14:paraId="2500FBBC" w14:textId="77777777" w:rsidR="00F86BBC" w:rsidRDefault="00F86BB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30" w:type="dxa"/>
          <w:vAlign w:val="center"/>
        </w:tcPr>
        <w:p w14:paraId="31C61957" w14:textId="77777777" w:rsidR="00F86BBC" w:rsidRDefault="00F86BBC">
          <w:pPr>
            <w:ind w:right="-1518"/>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tc>
    </w:tr>
  </w:tbl>
  <w:p w14:paraId="43C0A6EB" w14:textId="77777777" w:rsidR="00F86BBC" w:rsidRDefault="00F86BBC">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2081CDF0" wp14:editId="2EC62B75">
          <wp:simplePos x="0" y="0"/>
          <wp:positionH relativeFrom="column">
            <wp:posOffset>-1080134</wp:posOffset>
          </wp:positionH>
          <wp:positionV relativeFrom="paragraph">
            <wp:posOffset>-1492935</wp:posOffset>
          </wp:positionV>
          <wp:extent cx="7813085" cy="10170000"/>
          <wp:effectExtent l="0" t="0" r="0" b="0"/>
          <wp:wrapNone/>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1B071" w14:textId="77777777" w:rsidR="00F86BBC" w:rsidRDefault="00F86BBC">
    <w:pPr>
      <w:pBdr>
        <w:top w:val="nil"/>
        <w:left w:val="nil"/>
        <w:bottom w:val="nil"/>
        <w:right w:val="nil"/>
        <w:between w:val="nil"/>
      </w:pBdr>
      <w:tabs>
        <w:tab w:val="center" w:pos="4252"/>
        <w:tab w:val="right" w:pos="8504"/>
        <w:tab w:val="left" w:pos="7154"/>
      </w:tabs>
      <w:jc w:val="both"/>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color w:val="000000"/>
      </w:rPr>
      <w:tab/>
    </w:r>
    <w:r>
      <w:rPr>
        <w:noProof/>
        <w:lang w:val="es-MX"/>
      </w:rPr>
      <w:drawing>
        <wp:anchor distT="0" distB="0" distL="0" distR="0" simplePos="0" relativeHeight="251659264" behindDoc="1" locked="0" layoutInCell="1" hidden="0" allowOverlap="1" wp14:anchorId="037DF4FC" wp14:editId="122C13FC">
          <wp:simplePos x="0" y="0"/>
          <wp:positionH relativeFrom="column">
            <wp:posOffset>-1078864</wp:posOffset>
          </wp:positionH>
          <wp:positionV relativeFrom="paragraph">
            <wp:posOffset>-411479</wp:posOffset>
          </wp:positionV>
          <wp:extent cx="7813085" cy="10170000"/>
          <wp:effectExtent l="0" t="0" r="0" b="0"/>
          <wp:wrapNone/>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tbl>
    <w:tblPr>
      <w:tblStyle w:val="a4"/>
      <w:tblW w:w="7005" w:type="dxa"/>
      <w:tblInd w:w="3119" w:type="dxa"/>
      <w:tblLayout w:type="fixed"/>
      <w:tblLook w:val="0400" w:firstRow="0" w:lastRow="0" w:firstColumn="0" w:lastColumn="0" w:noHBand="0" w:noVBand="1"/>
    </w:tblPr>
    <w:tblGrid>
      <w:gridCol w:w="2520"/>
      <w:gridCol w:w="4485"/>
    </w:tblGrid>
    <w:tr w:rsidR="00F86BBC" w14:paraId="52FC51B4" w14:textId="77777777">
      <w:trPr>
        <w:trHeight w:val="578"/>
      </w:trPr>
      <w:tc>
        <w:tcPr>
          <w:tcW w:w="2520" w:type="dxa"/>
          <w:vAlign w:val="center"/>
        </w:tcPr>
        <w:p w14:paraId="21AABA64" w14:textId="77777777" w:rsidR="00F86BBC" w:rsidRDefault="00F86BB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85" w:type="dxa"/>
          <w:vAlign w:val="center"/>
        </w:tcPr>
        <w:p w14:paraId="2DBD51EA" w14:textId="77777777" w:rsidR="00F86BBC" w:rsidRDefault="00F86BBC">
          <w:pPr>
            <w:ind w:right="-432"/>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01593/INFOEM/IP/RR/2024 y Acumulados</w:t>
          </w:r>
        </w:p>
      </w:tc>
    </w:tr>
    <w:tr w:rsidR="00F86BBC" w14:paraId="1F25CA37" w14:textId="77777777">
      <w:trPr>
        <w:trHeight w:val="289"/>
      </w:trPr>
      <w:tc>
        <w:tcPr>
          <w:tcW w:w="2520" w:type="dxa"/>
          <w:vAlign w:val="center"/>
        </w:tcPr>
        <w:p w14:paraId="34D73C1C" w14:textId="77777777" w:rsidR="00F86BBC" w:rsidRDefault="00F86BBC">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485" w:type="dxa"/>
          <w:shd w:val="clear" w:color="auto" w:fill="auto"/>
          <w:vAlign w:val="center"/>
        </w:tcPr>
        <w:p w14:paraId="4029D038" w14:textId="5F0DC0DE" w:rsidR="00F86BBC" w:rsidRDefault="00E672DB">
          <w:pPr>
            <w:ind w:right="-432"/>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XXX XXX</w:t>
          </w:r>
        </w:p>
      </w:tc>
    </w:tr>
    <w:tr w:rsidR="00F86BBC" w14:paraId="70EF5FC5" w14:textId="77777777">
      <w:trPr>
        <w:trHeight w:val="289"/>
      </w:trPr>
      <w:tc>
        <w:tcPr>
          <w:tcW w:w="2520" w:type="dxa"/>
          <w:vAlign w:val="center"/>
        </w:tcPr>
        <w:p w14:paraId="07CB599B" w14:textId="77777777" w:rsidR="00F86BBC" w:rsidRDefault="00F86BB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85" w:type="dxa"/>
          <w:shd w:val="clear" w:color="auto" w:fill="auto"/>
          <w:vAlign w:val="center"/>
        </w:tcPr>
        <w:p w14:paraId="1F393693" w14:textId="77777777" w:rsidR="00F86BBC" w:rsidRDefault="00F86BBC">
          <w:pPr>
            <w:ind w:left="35" w:right="-432" w:hanging="35"/>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Ayuntamiento de Tlalnepantla de Baz</w:t>
          </w:r>
        </w:p>
      </w:tc>
    </w:tr>
    <w:tr w:rsidR="00F86BBC" w14:paraId="052F5265" w14:textId="77777777">
      <w:trPr>
        <w:trHeight w:val="289"/>
      </w:trPr>
      <w:tc>
        <w:tcPr>
          <w:tcW w:w="2520" w:type="dxa"/>
          <w:vAlign w:val="center"/>
        </w:tcPr>
        <w:p w14:paraId="2A39F584" w14:textId="77777777" w:rsidR="00F86BBC" w:rsidRDefault="00F86BB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85" w:type="dxa"/>
          <w:vAlign w:val="center"/>
        </w:tcPr>
        <w:p w14:paraId="0C8C80A1" w14:textId="77777777" w:rsidR="00F86BBC" w:rsidRDefault="00F86BBC">
          <w:pPr>
            <w:ind w:right="-432"/>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tc>
    </w:tr>
  </w:tbl>
  <w:p w14:paraId="03789F1F" w14:textId="77777777" w:rsidR="00F86BBC" w:rsidRDefault="00F86BBC">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52478"/>
    <w:multiLevelType w:val="multilevel"/>
    <w:tmpl w:val="87D6A2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A22586"/>
    <w:multiLevelType w:val="multilevel"/>
    <w:tmpl w:val="5DE82304"/>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 w15:restartNumberingAfterBreak="0">
    <w:nsid w:val="3802513C"/>
    <w:multiLevelType w:val="multilevel"/>
    <w:tmpl w:val="7E20F31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39146DF3"/>
    <w:multiLevelType w:val="multilevel"/>
    <w:tmpl w:val="BF46703A"/>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 w15:restartNumberingAfterBreak="0">
    <w:nsid w:val="4A641D0A"/>
    <w:multiLevelType w:val="multilevel"/>
    <w:tmpl w:val="670CCA2E"/>
    <w:lvl w:ilvl="0">
      <w:start w:val="1"/>
      <w:numFmt w:val="decimal"/>
      <w:lvlText w:val="%1."/>
      <w:lvlJc w:val="left"/>
      <w:pPr>
        <w:ind w:left="928"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4"/>
      <w:numFmt w:val="lowerRoman"/>
      <w:lvlText w:val="%3."/>
      <w:lvlJc w:val="right"/>
      <w:pPr>
        <w:ind w:left="2160" w:hanging="180"/>
      </w:pPr>
    </w:lvl>
    <w:lvl w:ilvl="3">
      <w:start w:val="1"/>
      <w:numFmt w:val="lowerLetter"/>
      <w:lvlText w:val="%4)"/>
      <w:lvlJc w:val="left"/>
      <w:pPr>
        <w:ind w:left="1353" w:hanging="359"/>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BD85FF5"/>
    <w:multiLevelType w:val="multilevel"/>
    <w:tmpl w:val="FBCA00EC"/>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5BE81464"/>
    <w:multiLevelType w:val="multilevel"/>
    <w:tmpl w:val="D8888AB0"/>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7" w15:restartNumberingAfterBreak="0">
    <w:nsid w:val="645C757C"/>
    <w:multiLevelType w:val="multilevel"/>
    <w:tmpl w:val="F4FCF32C"/>
    <w:lvl w:ilvl="0">
      <w:start w:val="1"/>
      <w:numFmt w:val="upperRoman"/>
      <w:lvlText w:val="%1."/>
      <w:lvlJc w:val="left"/>
      <w:pPr>
        <w:ind w:left="1854" w:hanging="720"/>
      </w:pPr>
      <w:rPr>
        <w:b/>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8" w15:restartNumberingAfterBreak="0">
    <w:nsid w:val="73600B55"/>
    <w:multiLevelType w:val="multilevel"/>
    <w:tmpl w:val="DCAC4FD2"/>
    <w:lvl w:ilvl="0">
      <w:start w:val="1"/>
      <w:numFmt w:val="lowerLetter"/>
      <w:lvlText w:val="%1)"/>
      <w:lvlJc w:val="left"/>
      <w:pPr>
        <w:ind w:left="1636"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9" w15:restartNumberingAfterBreak="0">
    <w:nsid w:val="739202C4"/>
    <w:multiLevelType w:val="multilevel"/>
    <w:tmpl w:val="9FE833B8"/>
    <w:lvl w:ilvl="0">
      <w:start w:val="1"/>
      <w:numFmt w:val="decimal"/>
      <w:lvlText w:val="%1."/>
      <w:lvlJc w:val="left"/>
      <w:pPr>
        <w:ind w:left="928"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407775C"/>
    <w:multiLevelType w:val="multilevel"/>
    <w:tmpl w:val="B50635EA"/>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1" w15:restartNumberingAfterBreak="0">
    <w:nsid w:val="77986733"/>
    <w:multiLevelType w:val="multilevel"/>
    <w:tmpl w:val="BBF89164"/>
    <w:lvl w:ilvl="0">
      <w:start w:val="1"/>
      <w:numFmt w:val="lowerLetter"/>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60139341">
    <w:abstractNumId w:val="8"/>
  </w:num>
  <w:num w:numId="2" w16cid:durableId="1260987408">
    <w:abstractNumId w:val="6"/>
  </w:num>
  <w:num w:numId="3" w16cid:durableId="1867862799">
    <w:abstractNumId w:val="9"/>
  </w:num>
  <w:num w:numId="4" w16cid:durableId="629435309">
    <w:abstractNumId w:val="2"/>
  </w:num>
  <w:num w:numId="5" w16cid:durableId="609313315">
    <w:abstractNumId w:val="0"/>
  </w:num>
  <w:num w:numId="6" w16cid:durableId="412820695">
    <w:abstractNumId w:val="5"/>
  </w:num>
  <w:num w:numId="7" w16cid:durableId="1356612327">
    <w:abstractNumId w:val="4"/>
  </w:num>
  <w:num w:numId="8" w16cid:durableId="966659967">
    <w:abstractNumId w:val="11"/>
  </w:num>
  <w:num w:numId="9" w16cid:durableId="547686181">
    <w:abstractNumId w:val="1"/>
  </w:num>
  <w:num w:numId="10" w16cid:durableId="1964538123">
    <w:abstractNumId w:val="7"/>
  </w:num>
  <w:num w:numId="11" w16cid:durableId="1594510983">
    <w:abstractNumId w:val="3"/>
  </w:num>
  <w:num w:numId="12" w16cid:durableId="6242386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8AB"/>
    <w:rsid w:val="0005552D"/>
    <w:rsid w:val="000A3022"/>
    <w:rsid w:val="000A4791"/>
    <w:rsid w:val="00382C0E"/>
    <w:rsid w:val="004E14D0"/>
    <w:rsid w:val="005841AD"/>
    <w:rsid w:val="005D1D80"/>
    <w:rsid w:val="00600542"/>
    <w:rsid w:val="006338DD"/>
    <w:rsid w:val="00641EED"/>
    <w:rsid w:val="00646F3A"/>
    <w:rsid w:val="006E0FCA"/>
    <w:rsid w:val="007E6F62"/>
    <w:rsid w:val="008D6BB0"/>
    <w:rsid w:val="00925549"/>
    <w:rsid w:val="009B3561"/>
    <w:rsid w:val="00A10F79"/>
    <w:rsid w:val="00A10F9B"/>
    <w:rsid w:val="00A62963"/>
    <w:rsid w:val="00AA2404"/>
    <w:rsid w:val="00B42529"/>
    <w:rsid w:val="00D12352"/>
    <w:rsid w:val="00D54A9A"/>
    <w:rsid w:val="00E672DB"/>
    <w:rsid w:val="00F86BBC"/>
    <w:rsid w:val="00FC58AB"/>
    <w:rsid w:val="00FD7E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D5F19"/>
  <w15:docId w15:val="{AC5DDB1F-10A4-4200-AEBE-7E8470C5A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C6E"/>
  </w:style>
  <w:style w:type="paragraph" w:styleId="Ttulo1">
    <w:name w:val="heading 1"/>
    <w:basedOn w:val="Normal"/>
    <w:next w:val="Normal"/>
    <w:link w:val="Ttulo1Car"/>
    <w:uiPriority w:val="9"/>
    <w:qFormat/>
    <w:rsid w:val="00F50CE4"/>
    <w:pPr>
      <w:keepNext/>
      <w:keepLines/>
      <w:spacing w:before="240"/>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F50CE4"/>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F50CE4"/>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F50CE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F50CE4"/>
    <w:pPr>
      <w:tabs>
        <w:tab w:val="center" w:pos="4252"/>
        <w:tab w:val="right" w:pos="8504"/>
      </w:tabs>
    </w:pPr>
    <w:rPr>
      <w:rFonts w:asciiTheme="minorHAnsi" w:eastAsiaTheme="minorEastAsia" w:hAnsiTheme="minorHAnsi" w:cstheme="minorBidi"/>
      <w:lang w:eastAsia="es-ES"/>
    </w:rPr>
  </w:style>
  <w:style w:type="character" w:customStyle="1" w:styleId="EncabezadoCar">
    <w:name w:val="Encabezado Car"/>
    <w:basedOn w:val="Fuentedeprrafopredeter"/>
    <w:link w:val="Encabezado"/>
    <w:uiPriority w:val="99"/>
    <w:rsid w:val="00F50CE4"/>
    <w:rPr>
      <w:rFonts w:eastAsiaTheme="minorEastAsia"/>
      <w:sz w:val="24"/>
      <w:szCs w:val="24"/>
      <w:lang w:val="es-ES_tradnl" w:eastAsia="es-ES"/>
    </w:rPr>
  </w:style>
  <w:style w:type="paragraph" w:styleId="Piedepgina">
    <w:name w:val="footer"/>
    <w:basedOn w:val="Normal"/>
    <w:link w:val="PiedepginaCar"/>
    <w:uiPriority w:val="99"/>
    <w:unhideWhenUsed/>
    <w:rsid w:val="00F50CE4"/>
    <w:pPr>
      <w:tabs>
        <w:tab w:val="center" w:pos="4252"/>
        <w:tab w:val="right" w:pos="8504"/>
      </w:tabs>
    </w:pPr>
    <w:rPr>
      <w:rFonts w:asciiTheme="minorHAnsi" w:eastAsiaTheme="minorEastAsia" w:hAnsiTheme="minorHAnsi" w:cstheme="minorBidi"/>
      <w:lang w:eastAsia="es-ES"/>
    </w:rPr>
  </w:style>
  <w:style w:type="character" w:customStyle="1" w:styleId="PiedepginaCar">
    <w:name w:val="Pie de página Car"/>
    <w:basedOn w:val="Fuentedeprrafopredeter"/>
    <w:link w:val="Piedepgina"/>
    <w:uiPriority w:val="99"/>
    <w:rsid w:val="00F50CE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50CE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50CE4"/>
    <w:pPr>
      <w:ind w:left="708"/>
    </w:pPr>
    <w:rPr>
      <w:sz w:val="22"/>
      <w:szCs w:val="22"/>
      <w:lang w:val="es-ES" w:eastAsia="en-US"/>
    </w:rPr>
  </w:style>
  <w:style w:type="table" w:styleId="Tablaconcuadrcula">
    <w:name w:val="Table Grid"/>
    <w:basedOn w:val="Tablanormal"/>
    <w:uiPriority w:val="59"/>
    <w:rsid w:val="00F50CE4"/>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50CE4"/>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50CE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50CE4"/>
    <w:rPr>
      <w:vertAlign w:val="superscript"/>
    </w:rPr>
  </w:style>
  <w:style w:type="paragraph" w:styleId="Continuarlista">
    <w:name w:val="List Continue"/>
    <w:basedOn w:val="Normal"/>
    <w:uiPriority w:val="99"/>
    <w:unhideWhenUsed/>
    <w:rsid w:val="00F50CE4"/>
    <w:pPr>
      <w:spacing w:after="120"/>
      <w:ind w:left="283"/>
      <w:contextualSpacing/>
    </w:pPr>
  </w:style>
  <w:style w:type="paragraph" w:styleId="Sangradetextonormal">
    <w:name w:val="Body Text Indent"/>
    <w:basedOn w:val="Normal"/>
    <w:link w:val="SangradetextonormalCar"/>
    <w:uiPriority w:val="99"/>
    <w:unhideWhenUsed/>
    <w:rsid w:val="00F50CE4"/>
    <w:pPr>
      <w:spacing w:after="120"/>
      <w:ind w:left="283"/>
    </w:pPr>
  </w:style>
  <w:style w:type="character" w:customStyle="1" w:styleId="SangradetextonormalCar">
    <w:name w:val="Sangría de texto normal Car"/>
    <w:basedOn w:val="Fuentedeprrafopredeter"/>
    <w:link w:val="Sangradetextonormal"/>
    <w:uiPriority w:val="99"/>
    <w:rsid w:val="00F50CE4"/>
    <w:rPr>
      <w:rFonts w:ascii="Times New Roman" w:eastAsia="Times New Roman" w:hAnsi="Times New Roman" w:cs="Times New Roman"/>
      <w:sz w:val="24"/>
      <w:szCs w:val="24"/>
      <w:lang w:eastAsia="es-MX"/>
    </w:rPr>
  </w:style>
  <w:style w:type="paragraph" w:styleId="Textoindependienteprimerasangra2">
    <w:name w:val="Body Text First Indent 2"/>
    <w:basedOn w:val="Sangradetextonormal"/>
    <w:link w:val="Textoindependienteprimerasangra2Car"/>
    <w:uiPriority w:val="99"/>
    <w:unhideWhenUsed/>
    <w:rsid w:val="00F50CE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50CE4"/>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F50CE4"/>
    <w:rPr>
      <w:color w:val="0563C1" w:themeColor="hyperlink"/>
      <w:u w:val="single"/>
    </w:rPr>
  </w:style>
  <w:style w:type="character" w:styleId="Hipervnculovisitado">
    <w:name w:val="FollowedHyperlink"/>
    <w:basedOn w:val="Fuentedeprrafopredeter"/>
    <w:uiPriority w:val="99"/>
    <w:semiHidden/>
    <w:unhideWhenUsed/>
    <w:rsid w:val="00F50CE4"/>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omawww.sat.gob.mx/factura/Paginas/solicita_requisitos.ht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NVv1Kqj/RuSBaKTtF8rb6qlTFg==">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63</Pages>
  <Words>15699</Words>
  <Characters>86347</Characters>
  <Application>Microsoft Office Word</Application>
  <DocSecurity>0</DocSecurity>
  <Lines>719</Lines>
  <Paragraphs>203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inf03m612@outlook.com</cp:lastModifiedBy>
  <cp:revision>8</cp:revision>
  <cp:lastPrinted>2024-11-14T20:03:00Z</cp:lastPrinted>
  <dcterms:created xsi:type="dcterms:W3CDTF">2024-11-11T19:50:00Z</dcterms:created>
  <dcterms:modified xsi:type="dcterms:W3CDTF">2024-11-27T18:51:00Z</dcterms:modified>
</cp:coreProperties>
</file>