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E49D1" w:rsidRDefault="00AE3DA7" w:rsidP="00DE49D1">
          <w:pPr>
            <w:pStyle w:val="TtulodeTDC"/>
            <w:spacing w:before="0" w:line="240" w:lineRule="auto"/>
            <w:rPr>
              <w:rFonts w:ascii="Palatino Linotype" w:hAnsi="Palatino Linotype"/>
              <w:color w:val="auto"/>
              <w:sz w:val="24"/>
              <w:szCs w:val="24"/>
              <w:lang w:val="es-ES"/>
            </w:rPr>
          </w:pPr>
          <w:r w:rsidRPr="00DE49D1">
            <w:rPr>
              <w:rFonts w:ascii="Palatino Linotype" w:hAnsi="Palatino Linotype"/>
              <w:color w:val="auto"/>
              <w:sz w:val="24"/>
              <w:szCs w:val="24"/>
              <w:lang w:val="es-ES"/>
            </w:rPr>
            <w:t>Contenido</w:t>
          </w:r>
        </w:p>
        <w:p w14:paraId="3EB312A7" w14:textId="77777777" w:rsidR="00AA6EA9" w:rsidRPr="00DE49D1" w:rsidRDefault="00AA6EA9" w:rsidP="00DE49D1">
          <w:pPr>
            <w:spacing w:line="240" w:lineRule="auto"/>
            <w:rPr>
              <w:sz w:val="16"/>
              <w:szCs w:val="16"/>
              <w:lang w:val="es-ES" w:eastAsia="es-MX"/>
            </w:rPr>
          </w:pPr>
        </w:p>
        <w:p w14:paraId="08ECCDEE" w14:textId="77777777" w:rsidR="00DE49D1" w:rsidRDefault="00AE3DA7">
          <w:pPr>
            <w:pStyle w:val="TDC1"/>
            <w:tabs>
              <w:tab w:val="right" w:leader="dot" w:pos="9034"/>
            </w:tabs>
            <w:rPr>
              <w:rFonts w:asciiTheme="minorHAnsi" w:eastAsiaTheme="minorEastAsia" w:hAnsiTheme="minorHAnsi" w:cstheme="minorBidi"/>
              <w:noProof/>
              <w:szCs w:val="22"/>
              <w:lang w:eastAsia="es-MX"/>
            </w:rPr>
          </w:pPr>
          <w:r w:rsidRPr="00DE49D1">
            <w:rPr>
              <w:sz w:val="16"/>
              <w:szCs w:val="16"/>
            </w:rPr>
            <w:fldChar w:fldCharType="begin"/>
          </w:r>
          <w:r w:rsidRPr="00DE49D1">
            <w:rPr>
              <w:sz w:val="16"/>
              <w:szCs w:val="16"/>
            </w:rPr>
            <w:instrText xml:space="preserve"> TOC \o "1-3" \h \z \u </w:instrText>
          </w:r>
          <w:r w:rsidRPr="00DE49D1">
            <w:rPr>
              <w:sz w:val="16"/>
              <w:szCs w:val="16"/>
            </w:rPr>
            <w:fldChar w:fldCharType="separate"/>
          </w:r>
          <w:hyperlink w:anchor="_Toc184230514" w:history="1">
            <w:r w:rsidR="00DE49D1" w:rsidRPr="00BF1627">
              <w:rPr>
                <w:rStyle w:val="Hipervnculo"/>
                <w:noProof/>
              </w:rPr>
              <w:t>ANTECEDENTES</w:t>
            </w:r>
            <w:r w:rsidR="00DE49D1">
              <w:rPr>
                <w:noProof/>
                <w:webHidden/>
              </w:rPr>
              <w:tab/>
            </w:r>
            <w:r w:rsidR="00DE49D1">
              <w:rPr>
                <w:noProof/>
                <w:webHidden/>
              </w:rPr>
              <w:fldChar w:fldCharType="begin"/>
            </w:r>
            <w:r w:rsidR="00DE49D1">
              <w:rPr>
                <w:noProof/>
                <w:webHidden/>
              </w:rPr>
              <w:instrText xml:space="preserve"> PAGEREF _Toc184230514 \h </w:instrText>
            </w:r>
            <w:r w:rsidR="00DE49D1">
              <w:rPr>
                <w:noProof/>
                <w:webHidden/>
              </w:rPr>
            </w:r>
            <w:r w:rsidR="00DE49D1">
              <w:rPr>
                <w:noProof/>
                <w:webHidden/>
              </w:rPr>
              <w:fldChar w:fldCharType="separate"/>
            </w:r>
            <w:r w:rsidR="00AA23EF">
              <w:rPr>
                <w:noProof/>
                <w:webHidden/>
              </w:rPr>
              <w:t>1</w:t>
            </w:r>
            <w:r w:rsidR="00DE49D1">
              <w:rPr>
                <w:noProof/>
                <w:webHidden/>
              </w:rPr>
              <w:fldChar w:fldCharType="end"/>
            </w:r>
          </w:hyperlink>
        </w:p>
        <w:p w14:paraId="7FA4EA57" w14:textId="77777777" w:rsidR="00DE49D1" w:rsidRDefault="00F252AE">
          <w:pPr>
            <w:pStyle w:val="TDC2"/>
            <w:rPr>
              <w:rFonts w:asciiTheme="minorHAnsi" w:eastAsiaTheme="minorEastAsia" w:hAnsiTheme="minorHAnsi" w:cstheme="minorBidi"/>
              <w:noProof/>
              <w:szCs w:val="22"/>
              <w:lang w:eastAsia="es-MX"/>
            </w:rPr>
          </w:pPr>
          <w:hyperlink w:anchor="_Toc184230515" w:history="1">
            <w:r w:rsidR="00DE49D1" w:rsidRPr="00BF1627">
              <w:rPr>
                <w:rStyle w:val="Hipervnculo"/>
                <w:noProof/>
              </w:rPr>
              <w:t>DE LA SOLICITUD DE INFORMACIÓN</w:t>
            </w:r>
            <w:r w:rsidR="00DE49D1">
              <w:rPr>
                <w:noProof/>
                <w:webHidden/>
              </w:rPr>
              <w:tab/>
            </w:r>
            <w:r w:rsidR="00DE49D1">
              <w:rPr>
                <w:noProof/>
                <w:webHidden/>
              </w:rPr>
              <w:fldChar w:fldCharType="begin"/>
            </w:r>
            <w:r w:rsidR="00DE49D1">
              <w:rPr>
                <w:noProof/>
                <w:webHidden/>
              </w:rPr>
              <w:instrText xml:space="preserve"> PAGEREF _Toc184230515 \h </w:instrText>
            </w:r>
            <w:r w:rsidR="00DE49D1">
              <w:rPr>
                <w:noProof/>
                <w:webHidden/>
              </w:rPr>
            </w:r>
            <w:r w:rsidR="00DE49D1">
              <w:rPr>
                <w:noProof/>
                <w:webHidden/>
              </w:rPr>
              <w:fldChar w:fldCharType="separate"/>
            </w:r>
            <w:r w:rsidR="00AA23EF">
              <w:rPr>
                <w:noProof/>
                <w:webHidden/>
              </w:rPr>
              <w:t>1</w:t>
            </w:r>
            <w:r w:rsidR="00DE49D1">
              <w:rPr>
                <w:noProof/>
                <w:webHidden/>
              </w:rPr>
              <w:fldChar w:fldCharType="end"/>
            </w:r>
          </w:hyperlink>
        </w:p>
        <w:p w14:paraId="74BF055C" w14:textId="77777777" w:rsidR="00DE49D1" w:rsidRDefault="00F252AE">
          <w:pPr>
            <w:pStyle w:val="TDC3"/>
            <w:rPr>
              <w:rFonts w:asciiTheme="minorHAnsi" w:eastAsiaTheme="minorEastAsia" w:hAnsiTheme="minorHAnsi" w:cstheme="minorBidi"/>
              <w:noProof/>
              <w:szCs w:val="22"/>
              <w:lang w:eastAsia="es-MX"/>
            </w:rPr>
          </w:pPr>
          <w:hyperlink w:anchor="_Toc184230516" w:history="1">
            <w:r w:rsidR="00DE49D1" w:rsidRPr="00BF1627">
              <w:rPr>
                <w:rStyle w:val="Hipervnculo"/>
                <w:noProof/>
              </w:rPr>
              <w:t>a) Solicitud de información</w:t>
            </w:r>
            <w:r w:rsidR="00DE49D1">
              <w:rPr>
                <w:noProof/>
                <w:webHidden/>
              </w:rPr>
              <w:tab/>
            </w:r>
            <w:r w:rsidR="00DE49D1">
              <w:rPr>
                <w:noProof/>
                <w:webHidden/>
              </w:rPr>
              <w:fldChar w:fldCharType="begin"/>
            </w:r>
            <w:r w:rsidR="00DE49D1">
              <w:rPr>
                <w:noProof/>
                <w:webHidden/>
              </w:rPr>
              <w:instrText xml:space="preserve"> PAGEREF _Toc184230516 \h </w:instrText>
            </w:r>
            <w:r w:rsidR="00DE49D1">
              <w:rPr>
                <w:noProof/>
                <w:webHidden/>
              </w:rPr>
            </w:r>
            <w:r w:rsidR="00DE49D1">
              <w:rPr>
                <w:noProof/>
                <w:webHidden/>
              </w:rPr>
              <w:fldChar w:fldCharType="separate"/>
            </w:r>
            <w:r w:rsidR="00AA23EF">
              <w:rPr>
                <w:noProof/>
                <w:webHidden/>
              </w:rPr>
              <w:t>1</w:t>
            </w:r>
            <w:r w:rsidR="00DE49D1">
              <w:rPr>
                <w:noProof/>
                <w:webHidden/>
              </w:rPr>
              <w:fldChar w:fldCharType="end"/>
            </w:r>
          </w:hyperlink>
        </w:p>
        <w:p w14:paraId="5F3DA111" w14:textId="77777777" w:rsidR="00DE49D1" w:rsidRDefault="00F252AE">
          <w:pPr>
            <w:pStyle w:val="TDC3"/>
            <w:rPr>
              <w:rFonts w:asciiTheme="minorHAnsi" w:eastAsiaTheme="minorEastAsia" w:hAnsiTheme="minorHAnsi" w:cstheme="minorBidi"/>
              <w:noProof/>
              <w:szCs w:val="22"/>
              <w:lang w:eastAsia="es-MX"/>
            </w:rPr>
          </w:pPr>
          <w:hyperlink w:anchor="_Toc184230517" w:history="1">
            <w:r w:rsidR="00DE49D1" w:rsidRPr="00BF1627">
              <w:rPr>
                <w:rStyle w:val="Hipervnculo"/>
                <w:noProof/>
              </w:rPr>
              <w:t xml:space="preserve">b) </w:t>
            </w:r>
            <w:r w:rsidR="00DE49D1" w:rsidRPr="00BF1627">
              <w:rPr>
                <w:rStyle w:val="Hipervnculo"/>
                <w:noProof/>
                <w:lang w:val="es-ES"/>
              </w:rPr>
              <w:t xml:space="preserve">Respuesta </w:t>
            </w:r>
            <w:r w:rsidR="00DE49D1" w:rsidRPr="00BF1627">
              <w:rPr>
                <w:rStyle w:val="Hipervnculo"/>
                <w:rFonts w:eastAsia="Calibri"/>
                <w:noProof/>
                <w:lang w:eastAsia="en-US"/>
              </w:rPr>
              <w:t>del Sujeto Obligado</w:t>
            </w:r>
            <w:r w:rsidR="00DE49D1">
              <w:rPr>
                <w:noProof/>
                <w:webHidden/>
              </w:rPr>
              <w:tab/>
            </w:r>
            <w:r w:rsidR="00DE49D1">
              <w:rPr>
                <w:noProof/>
                <w:webHidden/>
              </w:rPr>
              <w:fldChar w:fldCharType="begin"/>
            </w:r>
            <w:r w:rsidR="00DE49D1">
              <w:rPr>
                <w:noProof/>
                <w:webHidden/>
              </w:rPr>
              <w:instrText xml:space="preserve"> PAGEREF _Toc184230517 \h </w:instrText>
            </w:r>
            <w:r w:rsidR="00DE49D1">
              <w:rPr>
                <w:noProof/>
                <w:webHidden/>
              </w:rPr>
            </w:r>
            <w:r w:rsidR="00DE49D1">
              <w:rPr>
                <w:noProof/>
                <w:webHidden/>
              </w:rPr>
              <w:fldChar w:fldCharType="separate"/>
            </w:r>
            <w:r w:rsidR="00AA23EF">
              <w:rPr>
                <w:noProof/>
                <w:webHidden/>
              </w:rPr>
              <w:t>2</w:t>
            </w:r>
            <w:r w:rsidR="00DE49D1">
              <w:rPr>
                <w:noProof/>
                <w:webHidden/>
              </w:rPr>
              <w:fldChar w:fldCharType="end"/>
            </w:r>
          </w:hyperlink>
        </w:p>
        <w:p w14:paraId="5A58F2C0" w14:textId="77777777" w:rsidR="00DE49D1" w:rsidRDefault="00F252AE">
          <w:pPr>
            <w:pStyle w:val="TDC2"/>
            <w:rPr>
              <w:rFonts w:asciiTheme="minorHAnsi" w:eastAsiaTheme="minorEastAsia" w:hAnsiTheme="minorHAnsi" w:cstheme="minorBidi"/>
              <w:noProof/>
              <w:szCs w:val="22"/>
              <w:lang w:eastAsia="es-MX"/>
            </w:rPr>
          </w:pPr>
          <w:hyperlink w:anchor="_Toc184230518" w:history="1">
            <w:r w:rsidR="00DE49D1" w:rsidRPr="00BF1627">
              <w:rPr>
                <w:rStyle w:val="Hipervnculo"/>
                <w:noProof/>
              </w:rPr>
              <w:t>DEL RECURSO DE REVISIÓN</w:t>
            </w:r>
            <w:r w:rsidR="00DE49D1">
              <w:rPr>
                <w:noProof/>
                <w:webHidden/>
              </w:rPr>
              <w:tab/>
            </w:r>
            <w:r w:rsidR="00DE49D1">
              <w:rPr>
                <w:noProof/>
                <w:webHidden/>
              </w:rPr>
              <w:fldChar w:fldCharType="begin"/>
            </w:r>
            <w:r w:rsidR="00DE49D1">
              <w:rPr>
                <w:noProof/>
                <w:webHidden/>
              </w:rPr>
              <w:instrText xml:space="preserve"> PAGEREF _Toc184230518 \h </w:instrText>
            </w:r>
            <w:r w:rsidR="00DE49D1">
              <w:rPr>
                <w:noProof/>
                <w:webHidden/>
              </w:rPr>
            </w:r>
            <w:r w:rsidR="00DE49D1">
              <w:rPr>
                <w:noProof/>
                <w:webHidden/>
              </w:rPr>
              <w:fldChar w:fldCharType="separate"/>
            </w:r>
            <w:r w:rsidR="00AA23EF">
              <w:rPr>
                <w:noProof/>
                <w:webHidden/>
              </w:rPr>
              <w:t>3</w:t>
            </w:r>
            <w:r w:rsidR="00DE49D1">
              <w:rPr>
                <w:noProof/>
                <w:webHidden/>
              </w:rPr>
              <w:fldChar w:fldCharType="end"/>
            </w:r>
          </w:hyperlink>
        </w:p>
        <w:p w14:paraId="216586F8" w14:textId="77777777" w:rsidR="00DE49D1" w:rsidRDefault="00F252AE">
          <w:pPr>
            <w:pStyle w:val="TDC3"/>
            <w:rPr>
              <w:rFonts w:asciiTheme="minorHAnsi" w:eastAsiaTheme="minorEastAsia" w:hAnsiTheme="minorHAnsi" w:cstheme="minorBidi"/>
              <w:noProof/>
              <w:szCs w:val="22"/>
              <w:lang w:eastAsia="es-MX"/>
            </w:rPr>
          </w:pPr>
          <w:hyperlink w:anchor="_Toc184230519" w:history="1">
            <w:r w:rsidR="00DE49D1" w:rsidRPr="00BF1627">
              <w:rPr>
                <w:rStyle w:val="Hipervnculo"/>
                <w:noProof/>
              </w:rPr>
              <w:t>a) Interposición del Recurso de Revisión</w:t>
            </w:r>
            <w:r w:rsidR="00DE49D1">
              <w:rPr>
                <w:noProof/>
                <w:webHidden/>
              </w:rPr>
              <w:tab/>
            </w:r>
            <w:r w:rsidR="00DE49D1">
              <w:rPr>
                <w:noProof/>
                <w:webHidden/>
              </w:rPr>
              <w:fldChar w:fldCharType="begin"/>
            </w:r>
            <w:r w:rsidR="00DE49D1">
              <w:rPr>
                <w:noProof/>
                <w:webHidden/>
              </w:rPr>
              <w:instrText xml:space="preserve"> PAGEREF _Toc184230519 \h </w:instrText>
            </w:r>
            <w:r w:rsidR="00DE49D1">
              <w:rPr>
                <w:noProof/>
                <w:webHidden/>
              </w:rPr>
            </w:r>
            <w:r w:rsidR="00DE49D1">
              <w:rPr>
                <w:noProof/>
                <w:webHidden/>
              </w:rPr>
              <w:fldChar w:fldCharType="separate"/>
            </w:r>
            <w:r w:rsidR="00AA23EF">
              <w:rPr>
                <w:noProof/>
                <w:webHidden/>
              </w:rPr>
              <w:t>3</w:t>
            </w:r>
            <w:r w:rsidR="00DE49D1">
              <w:rPr>
                <w:noProof/>
                <w:webHidden/>
              </w:rPr>
              <w:fldChar w:fldCharType="end"/>
            </w:r>
          </w:hyperlink>
        </w:p>
        <w:p w14:paraId="4EF79C0E" w14:textId="77777777" w:rsidR="00DE49D1" w:rsidRDefault="00F252AE">
          <w:pPr>
            <w:pStyle w:val="TDC3"/>
            <w:rPr>
              <w:rFonts w:asciiTheme="minorHAnsi" w:eastAsiaTheme="minorEastAsia" w:hAnsiTheme="minorHAnsi" w:cstheme="minorBidi"/>
              <w:noProof/>
              <w:szCs w:val="22"/>
              <w:lang w:eastAsia="es-MX"/>
            </w:rPr>
          </w:pPr>
          <w:hyperlink w:anchor="_Toc184230520" w:history="1">
            <w:r w:rsidR="00DE49D1" w:rsidRPr="00BF1627">
              <w:rPr>
                <w:rStyle w:val="Hipervnculo"/>
                <w:noProof/>
              </w:rPr>
              <w:t>b) Turno del Recurso de Revisión</w:t>
            </w:r>
            <w:r w:rsidR="00DE49D1">
              <w:rPr>
                <w:noProof/>
                <w:webHidden/>
              </w:rPr>
              <w:tab/>
            </w:r>
            <w:r w:rsidR="00DE49D1">
              <w:rPr>
                <w:noProof/>
                <w:webHidden/>
              </w:rPr>
              <w:fldChar w:fldCharType="begin"/>
            </w:r>
            <w:r w:rsidR="00DE49D1">
              <w:rPr>
                <w:noProof/>
                <w:webHidden/>
              </w:rPr>
              <w:instrText xml:space="preserve"> PAGEREF _Toc184230520 \h </w:instrText>
            </w:r>
            <w:r w:rsidR="00DE49D1">
              <w:rPr>
                <w:noProof/>
                <w:webHidden/>
              </w:rPr>
            </w:r>
            <w:r w:rsidR="00DE49D1">
              <w:rPr>
                <w:noProof/>
                <w:webHidden/>
              </w:rPr>
              <w:fldChar w:fldCharType="separate"/>
            </w:r>
            <w:r w:rsidR="00AA23EF">
              <w:rPr>
                <w:noProof/>
                <w:webHidden/>
              </w:rPr>
              <w:t>4</w:t>
            </w:r>
            <w:r w:rsidR="00DE49D1">
              <w:rPr>
                <w:noProof/>
                <w:webHidden/>
              </w:rPr>
              <w:fldChar w:fldCharType="end"/>
            </w:r>
          </w:hyperlink>
        </w:p>
        <w:p w14:paraId="0C2A9543" w14:textId="77777777" w:rsidR="00DE49D1" w:rsidRDefault="00F252AE">
          <w:pPr>
            <w:pStyle w:val="TDC3"/>
            <w:rPr>
              <w:rFonts w:asciiTheme="minorHAnsi" w:eastAsiaTheme="minorEastAsia" w:hAnsiTheme="minorHAnsi" w:cstheme="minorBidi"/>
              <w:noProof/>
              <w:szCs w:val="22"/>
              <w:lang w:eastAsia="es-MX"/>
            </w:rPr>
          </w:pPr>
          <w:hyperlink w:anchor="_Toc184230521" w:history="1">
            <w:r w:rsidR="00DE49D1" w:rsidRPr="00BF1627">
              <w:rPr>
                <w:rStyle w:val="Hipervnculo"/>
                <w:noProof/>
              </w:rPr>
              <w:t>c) Admisión del Recurso de Revisión</w:t>
            </w:r>
            <w:r w:rsidR="00DE49D1">
              <w:rPr>
                <w:noProof/>
                <w:webHidden/>
              </w:rPr>
              <w:tab/>
            </w:r>
            <w:r w:rsidR="00DE49D1">
              <w:rPr>
                <w:noProof/>
                <w:webHidden/>
              </w:rPr>
              <w:fldChar w:fldCharType="begin"/>
            </w:r>
            <w:r w:rsidR="00DE49D1">
              <w:rPr>
                <w:noProof/>
                <w:webHidden/>
              </w:rPr>
              <w:instrText xml:space="preserve"> PAGEREF _Toc184230521 \h </w:instrText>
            </w:r>
            <w:r w:rsidR="00DE49D1">
              <w:rPr>
                <w:noProof/>
                <w:webHidden/>
              </w:rPr>
            </w:r>
            <w:r w:rsidR="00DE49D1">
              <w:rPr>
                <w:noProof/>
                <w:webHidden/>
              </w:rPr>
              <w:fldChar w:fldCharType="separate"/>
            </w:r>
            <w:r w:rsidR="00AA23EF">
              <w:rPr>
                <w:noProof/>
                <w:webHidden/>
              </w:rPr>
              <w:t>4</w:t>
            </w:r>
            <w:r w:rsidR="00DE49D1">
              <w:rPr>
                <w:noProof/>
                <w:webHidden/>
              </w:rPr>
              <w:fldChar w:fldCharType="end"/>
            </w:r>
          </w:hyperlink>
        </w:p>
        <w:p w14:paraId="58ACEC74" w14:textId="77777777" w:rsidR="00DE49D1" w:rsidRDefault="00F252AE">
          <w:pPr>
            <w:pStyle w:val="TDC3"/>
            <w:rPr>
              <w:rFonts w:asciiTheme="minorHAnsi" w:eastAsiaTheme="minorEastAsia" w:hAnsiTheme="minorHAnsi" w:cstheme="minorBidi"/>
              <w:noProof/>
              <w:szCs w:val="22"/>
              <w:lang w:eastAsia="es-MX"/>
            </w:rPr>
          </w:pPr>
          <w:hyperlink w:anchor="_Toc184230522" w:history="1">
            <w:r w:rsidR="00DE49D1" w:rsidRPr="00BF1627">
              <w:rPr>
                <w:rStyle w:val="Hipervnculo"/>
                <w:noProof/>
              </w:rPr>
              <w:t>d) Informe Justificado del Sujeto Obligado</w:t>
            </w:r>
            <w:r w:rsidR="00DE49D1">
              <w:rPr>
                <w:noProof/>
                <w:webHidden/>
              </w:rPr>
              <w:tab/>
            </w:r>
            <w:r w:rsidR="00DE49D1">
              <w:rPr>
                <w:noProof/>
                <w:webHidden/>
              </w:rPr>
              <w:fldChar w:fldCharType="begin"/>
            </w:r>
            <w:r w:rsidR="00DE49D1">
              <w:rPr>
                <w:noProof/>
                <w:webHidden/>
              </w:rPr>
              <w:instrText xml:space="preserve"> PAGEREF _Toc184230522 \h </w:instrText>
            </w:r>
            <w:r w:rsidR="00DE49D1">
              <w:rPr>
                <w:noProof/>
                <w:webHidden/>
              </w:rPr>
            </w:r>
            <w:r w:rsidR="00DE49D1">
              <w:rPr>
                <w:noProof/>
                <w:webHidden/>
              </w:rPr>
              <w:fldChar w:fldCharType="separate"/>
            </w:r>
            <w:r w:rsidR="00AA23EF">
              <w:rPr>
                <w:noProof/>
                <w:webHidden/>
              </w:rPr>
              <w:t>4</w:t>
            </w:r>
            <w:r w:rsidR="00DE49D1">
              <w:rPr>
                <w:noProof/>
                <w:webHidden/>
              </w:rPr>
              <w:fldChar w:fldCharType="end"/>
            </w:r>
          </w:hyperlink>
        </w:p>
        <w:p w14:paraId="7CF7F20F" w14:textId="77777777" w:rsidR="00DE49D1" w:rsidRDefault="00F252AE">
          <w:pPr>
            <w:pStyle w:val="TDC3"/>
            <w:rPr>
              <w:rFonts w:asciiTheme="minorHAnsi" w:eastAsiaTheme="minorEastAsia" w:hAnsiTheme="minorHAnsi" w:cstheme="minorBidi"/>
              <w:noProof/>
              <w:szCs w:val="22"/>
              <w:lang w:eastAsia="es-MX"/>
            </w:rPr>
          </w:pPr>
          <w:hyperlink w:anchor="_Toc184230523" w:history="1">
            <w:r w:rsidR="00DE49D1" w:rsidRPr="00BF1627">
              <w:rPr>
                <w:rStyle w:val="Hipervnculo"/>
                <w:rFonts w:eastAsia="Calibri"/>
                <w:bCs/>
                <w:noProof/>
                <w:lang w:eastAsia="en-US"/>
              </w:rPr>
              <w:t>e)</w:t>
            </w:r>
            <w:r w:rsidR="00DE49D1" w:rsidRPr="00BF1627">
              <w:rPr>
                <w:rStyle w:val="Hipervnculo"/>
                <w:noProof/>
              </w:rPr>
              <w:t xml:space="preserve"> </w:t>
            </w:r>
            <w:r w:rsidR="00DE49D1" w:rsidRPr="00BF1627">
              <w:rPr>
                <w:rStyle w:val="Hipervnculo"/>
                <w:noProof/>
                <w:lang w:val="es-ES"/>
              </w:rPr>
              <w:t>Manifestaciones de la Parte Recurrente</w:t>
            </w:r>
            <w:r w:rsidR="00DE49D1">
              <w:rPr>
                <w:noProof/>
                <w:webHidden/>
              </w:rPr>
              <w:tab/>
            </w:r>
            <w:r w:rsidR="00DE49D1">
              <w:rPr>
                <w:noProof/>
                <w:webHidden/>
              </w:rPr>
              <w:fldChar w:fldCharType="begin"/>
            </w:r>
            <w:r w:rsidR="00DE49D1">
              <w:rPr>
                <w:noProof/>
                <w:webHidden/>
              </w:rPr>
              <w:instrText xml:space="preserve"> PAGEREF _Toc184230523 \h </w:instrText>
            </w:r>
            <w:r w:rsidR="00DE49D1">
              <w:rPr>
                <w:noProof/>
                <w:webHidden/>
              </w:rPr>
            </w:r>
            <w:r w:rsidR="00DE49D1">
              <w:rPr>
                <w:noProof/>
                <w:webHidden/>
              </w:rPr>
              <w:fldChar w:fldCharType="separate"/>
            </w:r>
            <w:r w:rsidR="00AA23EF">
              <w:rPr>
                <w:noProof/>
                <w:webHidden/>
              </w:rPr>
              <w:t>5</w:t>
            </w:r>
            <w:r w:rsidR="00DE49D1">
              <w:rPr>
                <w:noProof/>
                <w:webHidden/>
              </w:rPr>
              <w:fldChar w:fldCharType="end"/>
            </w:r>
          </w:hyperlink>
        </w:p>
        <w:p w14:paraId="4F0E1412" w14:textId="77777777" w:rsidR="00DE49D1" w:rsidRDefault="00F252AE">
          <w:pPr>
            <w:pStyle w:val="TDC3"/>
            <w:rPr>
              <w:rFonts w:asciiTheme="minorHAnsi" w:eastAsiaTheme="minorEastAsia" w:hAnsiTheme="minorHAnsi" w:cstheme="minorBidi"/>
              <w:noProof/>
              <w:szCs w:val="22"/>
              <w:lang w:eastAsia="es-MX"/>
            </w:rPr>
          </w:pPr>
          <w:hyperlink w:anchor="_Toc184230524" w:history="1">
            <w:r w:rsidR="00DE49D1" w:rsidRPr="00BF1627">
              <w:rPr>
                <w:rStyle w:val="Hipervnculo"/>
                <w:rFonts w:eastAsia="Calibri"/>
                <w:noProof/>
              </w:rPr>
              <w:t xml:space="preserve">f) </w:t>
            </w:r>
            <w:r w:rsidR="00DE49D1" w:rsidRPr="00BF1627">
              <w:rPr>
                <w:rStyle w:val="Hipervnculo"/>
                <w:noProof/>
              </w:rPr>
              <w:t>Cierre de instrucción</w:t>
            </w:r>
            <w:r w:rsidR="00DE49D1">
              <w:rPr>
                <w:noProof/>
                <w:webHidden/>
              </w:rPr>
              <w:tab/>
            </w:r>
            <w:r w:rsidR="00DE49D1">
              <w:rPr>
                <w:noProof/>
                <w:webHidden/>
              </w:rPr>
              <w:fldChar w:fldCharType="begin"/>
            </w:r>
            <w:r w:rsidR="00DE49D1">
              <w:rPr>
                <w:noProof/>
                <w:webHidden/>
              </w:rPr>
              <w:instrText xml:space="preserve"> PAGEREF _Toc184230524 \h </w:instrText>
            </w:r>
            <w:r w:rsidR="00DE49D1">
              <w:rPr>
                <w:noProof/>
                <w:webHidden/>
              </w:rPr>
            </w:r>
            <w:r w:rsidR="00DE49D1">
              <w:rPr>
                <w:noProof/>
                <w:webHidden/>
              </w:rPr>
              <w:fldChar w:fldCharType="separate"/>
            </w:r>
            <w:r w:rsidR="00AA23EF">
              <w:rPr>
                <w:noProof/>
                <w:webHidden/>
              </w:rPr>
              <w:t>5</w:t>
            </w:r>
            <w:r w:rsidR="00DE49D1">
              <w:rPr>
                <w:noProof/>
                <w:webHidden/>
              </w:rPr>
              <w:fldChar w:fldCharType="end"/>
            </w:r>
          </w:hyperlink>
        </w:p>
        <w:p w14:paraId="6A24E2A9" w14:textId="77777777" w:rsidR="00DE49D1" w:rsidRDefault="00F252AE">
          <w:pPr>
            <w:pStyle w:val="TDC1"/>
            <w:tabs>
              <w:tab w:val="right" w:leader="dot" w:pos="9034"/>
            </w:tabs>
            <w:rPr>
              <w:rFonts w:asciiTheme="minorHAnsi" w:eastAsiaTheme="minorEastAsia" w:hAnsiTheme="minorHAnsi" w:cstheme="minorBidi"/>
              <w:noProof/>
              <w:szCs w:val="22"/>
              <w:lang w:eastAsia="es-MX"/>
            </w:rPr>
          </w:pPr>
          <w:hyperlink w:anchor="_Toc184230525" w:history="1">
            <w:r w:rsidR="00DE49D1" w:rsidRPr="00BF1627">
              <w:rPr>
                <w:rStyle w:val="Hipervnculo"/>
                <w:rFonts w:eastAsiaTheme="minorHAnsi"/>
                <w:noProof/>
                <w:lang w:eastAsia="en-US"/>
              </w:rPr>
              <w:t>CONSIDERANDOS</w:t>
            </w:r>
            <w:r w:rsidR="00DE49D1">
              <w:rPr>
                <w:noProof/>
                <w:webHidden/>
              </w:rPr>
              <w:tab/>
            </w:r>
            <w:r w:rsidR="00DE49D1">
              <w:rPr>
                <w:noProof/>
                <w:webHidden/>
              </w:rPr>
              <w:fldChar w:fldCharType="begin"/>
            </w:r>
            <w:r w:rsidR="00DE49D1">
              <w:rPr>
                <w:noProof/>
                <w:webHidden/>
              </w:rPr>
              <w:instrText xml:space="preserve"> PAGEREF _Toc184230525 \h </w:instrText>
            </w:r>
            <w:r w:rsidR="00DE49D1">
              <w:rPr>
                <w:noProof/>
                <w:webHidden/>
              </w:rPr>
            </w:r>
            <w:r w:rsidR="00DE49D1">
              <w:rPr>
                <w:noProof/>
                <w:webHidden/>
              </w:rPr>
              <w:fldChar w:fldCharType="separate"/>
            </w:r>
            <w:r w:rsidR="00AA23EF">
              <w:rPr>
                <w:noProof/>
                <w:webHidden/>
              </w:rPr>
              <w:t>5</w:t>
            </w:r>
            <w:r w:rsidR="00DE49D1">
              <w:rPr>
                <w:noProof/>
                <w:webHidden/>
              </w:rPr>
              <w:fldChar w:fldCharType="end"/>
            </w:r>
          </w:hyperlink>
        </w:p>
        <w:p w14:paraId="24184B5B" w14:textId="77777777" w:rsidR="00DE49D1" w:rsidRDefault="00F252AE">
          <w:pPr>
            <w:pStyle w:val="TDC2"/>
            <w:rPr>
              <w:rFonts w:asciiTheme="minorHAnsi" w:eastAsiaTheme="minorEastAsia" w:hAnsiTheme="minorHAnsi" w:cstheme="minorBidi"/>
              <w:noProof/>
              <w:szCs w:val="22"/>
              <w:lang w:eastAsia="es-MX"/>
            </w:rPr>
          </w:pPr>
          <w:hyperlink w:anchor="_Toc184230526" w:history="1">
            <w:r w:rsidR="00DE49D1" w:rsidRPr="00BF1627">
              <w:rPr>
                <w:rStyle w:val="Hipervnculo"/>
                <w:rFonts w:eastAsia="Batang"/>
                <w:noProof/>
              </w:rPr>
              <w:t>PRIMERO. Procedibilidad</w:t>
            </w:r>
            <w:r w:rsidR="00DE49D1">
              <w:rPr>
                <w:noProof/>
                <w:webHidden/>
              </w:rPr>
              <w:tab/>
            </w:r>
            <w:r w:rsidR="00DE49D1">
              <w:rPr>
                <w:noProof/>
                <w:webHidden/>
              </w:rPr>
              <w:fldChar w:fldCharType="begin"/>
            </w:r>
            <w:r w:rsidR="00DE49D1">
              <w:rPr>
                <w:noProof/>
                <w:webHidden/>
              </w:rPr>
              <w:instrText xml:space="preserve"> PAGEREF _Toc184230526 \h </w:instrText>
            </w:r>
            <w:r w:rsidR="00DE49D1">
              <w:rPr>
                <w:noProof/>
                <w:webHidden/>
              </w:rPr>
            </w:r>
            <w:r w:rsidR="00DE49D1">
              <w:rPr>
                <w:noProof/>
                <w:webHidden/>
              </w:rPr>
              <w:fldChar w:fldCharType="separate"/>
            </w:r>
            <w:r w:rsidR="00AA23EF">
              <w:rPr>
                <w:noProof/>
                <w:webHidden/>
              </w:rPr>
              <w:t>5</w:t>
            </w:r>
            <w:r w:rsidR="00DE49D1">
              <w:rPr>
                <w:noProof/>
                <w:webHidden/>
              </w:rPr>
              <w:fldChar w:fldCharType="end"/>
            </w:r>
          </w:hyperlink>
        </w:p>
        <w:p w14:paraId="530FB35B" w14:textId="77777777" w:rsidR="00DE49D1" w:rsidRDefault="00F252AE">
          <w:pPr>
            <w:pStyle w:val="TDC3"/>
            <w:rPr>
              <w:rFonts w:asciiTheme="minorHAnsi" w:eastAsiaTheme="minorEastAsia" w:hAnsiTheme="minorHAnsi" w:cstheme="minorBidi"/>
              <w:noProof/>
              <w:szCs w:val="22"/>
              <w:lang w:eastAsia="es-MX"/>
            </w:rPr>
          </w:pPr>
          <w:hyperlink w:anchor="_Toc184230527" w:history="1">
            <w:r w:rsidR="00DE49D1" w:rsidRPr="00BF1627">
              <w:rPr>
                <w:rStyle w:val="Hipervnculo"/>
                <w:noProof/>
              </w:rPr>
              <w:t>a) Competencia del Instituto</w:t>
            </w:r>
            <w:r w:rsidR="00DE49D1">
              <w:rPr>
                <w:noProof/>
                <w:webHidden/>
              </w:rPr>
              <w:tab/>
            </w:r>
            <w:r w:rsidR="00DE49D1">
              <w:rPr>
                <w:noProof/>
                <w:webHidden/>
              </w:rPr>
              <w:fldChar w:fldCharType="begin"/>
            </w:r>
            <w:r w:rsidR="00DE49D1">
              <w:rPr>
                <w:noProof/>
                <w:webHidden/>
              </w:rPr>
              <w:instrText xml:space="preserve"> PAGEREF _Toc184230527 \h </w:instrText>
            </w:r>
            <w:r w:rsidR="00DE49D1">
              <w:rPr>
                <w:noProof/>
                <w:webHidden/>
              </w:rPr>
            </w:r>
            <w:r w:rsidR="00DE49D1">
              <w:rPr>
                <w:noProof/>
                <w:webHidden/>
              </w:rPr>
              <w:fldChar w:fldCharType="separate"/>
            </w:r>
            <w:r w:rsidR="00AA23EF">
              <w:rPr>
                <w:noProof/>
                <w:webHidden/>
              </w:rPr>
              <w:t>5</w:t>
            </w:r>
            <w:r w:rsidR="00DE49D1">
              <w:rPr>
                <w:noProof/>
                <w:webHidden/>
              </w:rPr>
              <w:fldChar w:fldCharType="end"/>
            </w:r>
          </w:hyperlink>
        </w:p>
        <w:p w14:paraId="1C6086F9" w14:textId="77777777" w:rsidR="00DE49D1" w:rsidRDefault="00F252AE">
          <w:pPr>
            <w:pStyle w:val="TDC3"/>
            <w:rPr>
              <w:rFonts w:asciiTheme="minorHAnsi" w:eastAsiaTheme="minorEastAsia" w:hAnsiTheme="minorHAnsi" w:cstheme="minorBidi"/>
              <w:noProof/>
              <w:szCs w:val="22"/>
              <w:lang w:eastAsia="es-MX"/>
            </w:rPr>
          </w:pPr>
          <w:hyperlink w:anchor="_Toc184230528" w:history="1">
            <w:r w:rsidR="00DE49D1" w:rsidRPr="00BF1627">
              <w:rPr>
                <w:rStyle w:val="Hipervnculo"/>
                <w:noProof/>
              </w:rPr>
              <w:t>b) Legitimidad de la parte recurrente</w:t>
            </w:r>
            <w:r w:rsidR="00DE49D1">
              <w:rPr>
                <w:noProof/>
                <w:webHidden/>
              </w:rPr>
              <w:tab/>
            </w:r>
            <w:r w:rsidR="00DE49D1">
              <w:rPr>
                <w:noProof/>
                <w:webHidden/>
              </w:rPr>
              <w:fldChar w:fldCharType="begin"/>
            </w:r>
            <w:r w:rsidR="00DE49D1">
              <w:rPr>
                <w:noProof/>
                <w:webHidden/>
              </w:rPr>
              <w:instrText xml:space="preserve"> PAGEREF _Toc184230528 \h </w:instrText>
            </w:r>
            <w:r w:rsidR="00DE49D1">
              <w:rPr>
                <w:noProof/>
                <w:webHidden/>
              </w:rPr>
            </w:r>
            <w:r w:rsidR="00DE49D1">
              <w:rPr>
                <w:noProof/>
                <w:webHidden/>
              </w:rPr>
              <w:fldChar w:fldCharType="separate"/>
            </w:r>
            <w:r w:rsidR="00AA23EF">
              <w:rPr>
                <w:noProof/>
                <w:webHidden/>
              </w:rPr>
              <w:t>6</w:t>
            </w:r>
            <w:r w:rsidR="00DE49D1">
              <w:rPr>
                <w:noProof/>
                <w:webHidden/>
              </w:rPr>
              <w:fldChar w:fldCharType="end"/>
            </w:r>
          </w:hyperlink>
        </w:p>
        <w:p w14:paraId="3E26BAED" w14:textId="77777777" w:rsidR="00DE49D1" w:rsidRDefault="00F252AE">
          <w:pPr>
            <w:pStyle w:val="TDC3"/>
            <w:rPr>
              <w:rFonts w:asciiTheme="minorHAnsi" w:eastAsiaTheme="minorEastAsia" w:hAnsiTheme="minorHAnsi" w:cstheme="minorBidi"/>
              <w:noProof/>
              <w:szCs w:val="22"/>
              <w:lang w:eastAsia="es-MX"/>
            </w:rPr>
          </w:pPr>
          <w:hyperlink w:anchor="_Toc184230529" w:history="1">
            <w:r w:rsidR="00DE49D1" w:rsidRPr="00BF1627">
              <w:rPr>
                <w:rStyle w:val="Hipervnculo"/>
                <w:rFonts w:eastAsia="Calibri"/>
                <w:noProof/>
                <w:lang w:eastAsia="es-ES_tradnl"/>
              </w:rPr>
              <w:t>c) Plazo para interponer el recurso</w:t>
            </w:r>
            <w:r w:rsidR="00DE49D1">
              <w:rPr>
                <w:noProof/>
                <w:webHidden/>
              </w:rPr>
              <w:tab/>
            </w:r>
            <w:r w:rsidR="00DE49D1">
              <w:rPr>
                <w:noProof/>
                <w:webHidden/>
              </w:rPr>
              <w:fldChar w:fldCharType="begin"/>
            </w:r>
            <w:r w:rsidR="00DE49D1">
              <w:rPr>
                <w:noProof/>
                <w:webHidden/>
              </w:rPr>
              <w:instrText xml:space="preserve"> PAGEREF _Toc184230529 \h </w:instrText>
            </w:r>
            <w:r w:rsidR="00DE49D1">
              <w:rPr>
                <w:noProof/>
                <w:webHidden/>
              </w:rPr>
            </w:r>
            <w:r w:rsidR="00DE49D1">
              <w:rPr>
                <w:noProof/>
                <w:webHidden/>
              </w:rPr>
              <w:fldChar w:fldCharType="separate"/>
            </w:r>
            <w:r w:rsidR="00AA23EF">
              <w:rPr>
                <w:noProof/>
                <w:webHidden/>
              </w:rPr>
              <w:t>6</w:t>
            </w:r>
            <w:r w:rsidR="00DE49D1">
              <w:rPr>
                <w:noProof/>
                <w:webHidden/>
              </w:rPr>
              <w:fldChar w:fldCharType="end"/>
            </w:r>
          </w:hyperlink>
        </w:p>
        <w:p w14:paraId="6EDDDFF9" w14:textId="77777777" w:rsidR="00DE49D1" w:rsidRDefault="00F252AE">
          <w:pPr>
            <w:pStyle w:val="TDC3"/>
            <w:rPr>
              <w:rFonts w:asciiTheme="minorHAnsi" w:eastAsiaTheme="minorEastAsia" w:hAnsiTheme="minorHAnsi" w:cstheme="minorBidi"/>
              <w:noProof/>
              <w:szCs w:val="22"/>
              <w:lang w:eastAsia="es-MX"/>
            </w:rPr>
          </w:pPr>
          <w:hyperlink w:anchor="_Toc184230530" w:history="1">
            <w:r w:rsidR="00DE49D1" w:rsidRPr="00BF1627">
              <w:rPr>
                <w:rStyle w:val="Hipervnculo"/>
                <w:rFonts w:eastAsia="Calibri"/>
                <w:noProof/>
                <w:lang w:eastAsia="es-ES_tradnl"/>
              </w:rPr>
              <w:t xml:space="preserve">d) </w:t>
            </w:r>
            <w:r w:rsidR="00DE49D1" w:rsidRPr="00BF1627">
              <w:rPr>
                <w:rStyle w:val="Hipervnculo"/>
                <w:noProof/>
              </w:rPr>
              <w:t>Requisitos formales para la interposición del recurso</w:t>
            </w:r>
            <w:r w:rsidR="00DE49D1">
              <w:rPr>
                <w:noProof/>
                <w:webHidden/>
              </w:rPr>
              <w:tab/>
            </w:r>
            <w:r w:rsidR="00DE49D1">
              <w:rPr>
                <w:noProof/>
                <w:webHidden/>
              </w:rPr>
              <w:fldChar w:fldCharType="begin"/>
            </w:r>
            <w:r w:rsidR="00DE49D1">
              <w:rPr>
                <w:noProof/>
                <w:webHidden/>
              </w:rPr>
              <w:instrText xml:space="preserve"> PAGEREF _Toc184230530 \h </w:instrText>
            </w:r>
            <w:r w:rsidR="00DE49D1">
              <w:rPr>
                <w:noProof/>
                <w:webHidden/>
              </w:rPr>
            </w:r>
            <w:r w:rsidR="00DE49D1">
              <w:rPr>
                <w:noProof/>
                <w:webHidden/>
              </w:rPr>
              <w:fldChar w:fldCharType="separate"/>
            </w:r>
            <w:r w:rsidR="00AA23EF">
              <w:rPr>
                <w:noProof/>
                <w:webHidden/>
              </w:rPr>
              <w:t>6</w:t>
            </w:r>
            <w:r w:rsidR="00DE49D1">
              <w:rPr>
                <w:noProof/>
                <w:webHidden/>
              </w:rPr>
              <w:fldChar w:fldCharType="end"/>
            </w:r>
          </w:hyperlink>
        </w:p>
        <w:p w14:paraId="50E65768" w14:textId="77777777" w:rsidR="00DE49D1" w:rsidRDefault="00F252AE">
          <w:pPr>
            <w:pStyle w:val="TDC2"/>
            <w:rPr>
              <w:rFonts w:asciiTheme="minorHAnsi" w:eastAsiaTheme="minorEastAsia" w:hAnsiTheme="minorHAnsi" w:cstheme="minorBidi"/>
              <w:noProof/>
              <w:szCs w:val="22"/>
              <w:lang w:eastAsia="es-MX"/>
            </w:rPr>
          </w:pPr>
          <w:hyperlink w:anchor="_Toc184230531" w:history="1">
            <w:r w:rsidR="00DE49D1" w:rsidRPr="00BF1627">
              <w:rPr>
                <w:rStyle w:val="Hipervnculo"/>
                <w:noProof/>
              </w:rPr>
              <w:t>SEGUNDO. Sobreseimiento.</w:t>
            </w:r>
            <w:r w:rsidR="00DE49D1">
              <w:rPr>
                <w:noProof/>
                <w:webHidden/>
              </w:rPr>
              <w:tab/>
            </w:r>
            <w:r w:rsidR="00DE49D1">
              <w:rPr>
                <w:noProof/>
                <w:webHidden/>
              </w:rPr>
              <w:fldChar w:fldCharType="begin"/>
            </w:r>
            <w:r w:rsidR="00DE49D1">
              <w:rPr>
                <w:noProof/>
                <w:webHidden/>
              </w:rPr>
              <w:instrText xml:space="preserve"> PAGEREF _Toc184230531 \h </w:instrText>
            </w:r>
            <w:r w:rsidR="00DE49D1">
              <w:rPr>
                <w:noProof/>
                <w:webHidden/>
              </w:rPr>
            </w:r>
            <w:r w:rsidR="00DE49D1">
              <w:rPr>
                <w:noProof/>
                <w:webHidden/>
              </w:rPr>
              <w:fldChar w:fldCharType="separate"/>
            </w:r>
            <w:r w:rsidR="00AA23EF">
              <w:rPr>
                <w:noProof/>
                <w:webHidden/>
              </w:rPr>
              <w:t>6</w:t>
            </w:r>
            <w:r w:rsidR="00DE49D1">
              <w:rPr>
                <w:noProof/>
                <w:webHidden/>
              </w:rPr>
              <w:fldChar w:fldCharType="end"/>
            </w:r>
          </w:hyperlink>
        </w:p>
        <w:p w14:paraId="2FB405AD" w14:textId="77777777" w:rsidR="00DE49D1" w:rsidRDefault="00F252AE">
          <w:pPr>
            <w:pStyle w:val="TDC3"/>
            <w:tabs>
              <w:tab w:val="left" w:pos="880"/>
            </w:tabs>
            <w:rPr>
              <w:rFonts w:asciiTheme="minorHAnsi" w:eastAsiaTheme="minorEastAsia" w:hAnsiTheme="minorHAnsi" w:cstheme="minorBidi"/>
              <w:noProof/>
              <w:szCs w:val="22"/>
              <w:lang w:eastAsia="es-MX"/>
            </w:rPr>
          </w:pPr>
          <w:hyperlink w:anchor="_Toc184230532" w:history="1">
            <w:r w:rsidR="00DE49D1" w:rsidRPr="00BF1627">
              <w:rPr>
                <w:rStyle w:val="Hipervnculo"/>
                <w:rFonts w:eastAsia="Palatino Linotype"/>
                <w:noProof/>
                <w:lang w:val="es-ES" w:eastAsia="es-MX"/>
              </w:rPr>
              <w:t>a)</w:t>
            </w:r>
            <w:r w:rsidR="00DE49D1">
              <w:rPr>
                <w:rFonts w:asciiTheme="minorHAnsi" w:eastAsiaTheme="minorEastAsia" w:hAnsiTheme="minorHAnsi" w:cstheme="minorBidi"/>
                <w:noProof/>
                <w:szCs w:val="22"/>
                <w:lang w:eastAsia="es-MX"/>
              </w:rPr>
              <w:tab/>
            </w:r>
            <w:r w:rsidR="00DE49D1" w:rsidRPr="00BF1627">
              <w:rPr>
                <w:rStyle w:val="Hipervnculo"/>
                <w:rFonts w:eastAsia="Palatino Linotype"/>
                <w:noProof/>
                <w:lang w:val="es-ES" w:eastAsia="es-MX"/>
              </w:rPr>
              <w:t>Derecho de acceso a la información.</w:t>
            </w:r>
            <w:r w:rsidR="00DE49D1">
              <w:rPr>
                <w:noProof/>
                <w:webHidden/>
              </w:rPr>
              <w:tab/>
            </w:r>
            <w:r w:rsidR="00DE49D1">
              <w:rPr>
                <w:noProof/>
                <w:webHidden/>
              </w:rPr>
              <w:fldChar w:fldCharType="begin"/>
            </w:r>
            <w:r w:rsidR="00DE49D1">
              <w:rPr>
                <w:noProof/>
                <w:webHidden/>
              </w:rPr>
              <w:instrText xml:space="preserve"> PAGEREF _Toc184230532 \h </w:instrText>
            </w:r>
            <w:r w:rsidR="00DE49D1">
              <w:rPr>
                <w:noProof/>
                <w:webHidden/>
              </w:rPr>
            </w:r>
            <w:r w:rsidR="00DE49D1">
              <w:rPr>
                <w:noProof/>
                <w:webHidden/>
              </w:rPr>
              <w:fldChar w:fldCharType="separate"/>
            </w:r>
            <w:r w:rsidR="00AA23EF">
              <w:rPr>
                <w:noProof/>
                <w:webHidden/>
              </w:rPr>
              <w:t>7</w:t>
            </w:r>
            <w:r w:rsidR="00DE49D1">
              <w:rPr>
                <w:noProof/>
                <w:webHidden/>
              </w:rPr>
              <w:fldChar w:fldCharType="end"/>
            </w:r>
          </w:hyperlink>
        </w:p>
        <w:p w14:paraId="284A8FF9" w14:textId="77777777" w:rsidR="00DE49D1" w:rsidRDefault="00F252AE">
          <w:pPr>
            <w:pStyle w:val="TDC3"/>
            <w:tabs>
              <w:tab w:val="left" w:pos="880"/>
            </w:tabs>
            <w:rPr>
              <w:rFonts w:asciiTheme="minorHAnsi" w:eastAsiaTheme="minorEastAsia" w:hAnsiTheme="minorHAnsi" w:cstheme="minorBidi"/>
              <w:noProof/>
              <w:szCs w:val="22"/>
              <w:lang w:eastAsia="es-MX"/>
            </w:rPr>
          </w:pPr>
          <w:hyperlink w:anchor="_Toc184230533" w:history="1">
            <w:r w:rsidR="00DE49D1" w:rsidRPr="00BF1627">
              <w:rPr>
                <w:rStyle w:val="Hipervnculo"/>
                <w:noProof/>
              </w:rPr>
              <w:t>b)</w:t>
            </w:r>
            <w:r w:rsidR="00DE49D1">
              <w:rPr>
                <w:rFonts w:asciiTheme="minorHAnsi" w:eastAsiaTheme="minorEastAsia" w:hAnsiTheme="minorHAnsi" w:cstheme="minorBidi"/>
                <w:noProof/>
                <w:szCs w:val="22"/>
                <w:lang w:eastAsia="es-MX"/>
              </w:rPr>
              <w:tab/>
            </w:r>
            <w:r w:rsidR="00DE49D1" w:rsidRPr="00BF1627">
              <w:rPr>
                <w:rStyle w:val="Hipervnculo"/>
                <w:noProof/>
              </w:rPr>
              <w:t>Análisis de la solicitud.</w:t>
            </w:r>
            <w:r w:rsidR="00DE49D1">
              <w:rPr>
                <w:noProof/>
                <w:webHidden/>
              </w:rPr>
              <w:tab/>
            </w:r>
            <w:r w:rsidR="00DE49D1">
              <w:rPr>
                <w:noProof/>
                <w:webHidden/>
              </w:rPr>
              <w:fldChar w:fldCharType="begin"/>
            </w:r>
            <w:r w:rsidR="00DE49D1">
              <w:rPr>
                <w:noProof/>
                <w:webHidden/>
              </w:rPr>
              <w:instrText xml:space="preserve"> PAGEREF _Toc184230533 \h </w:instrText>
            </w:r>
            <w:r w:rsidR="00DE49D1">
              <w:rPr>
                <w:noProof/>
                <w:webHidden/>
              </w:rPr>
            </w:r>
            <w:r w:rsidR="00DE49D1">
              <w:rPr>
                <w:noProof/>
                <w:webHidden/>
              </w:rPr>
              <w:fldChar w:fldCharType="separate"/>
            </w:r>
            <w:r w:rsidR="00AA23EF">
              <w:rPr>
                <w:noProof/>
                <w:webHidden/>
              </w:rPr>
              <w:t>11</w:t>
            </w:r>
            <w:r w:rsidR="00DE49D1">
              <w:rPr>
                <w:noProof/>
                <w:webHidden/>
              </w:rPr>
              <w:fldChar w:fldCharType="end"/>
            </w:r>
          </w:hyperlink>
        </w:p>
        <w:p w14:paraId="4F81F9EE" w14:textId="77777777" w:rsidR="00DE49D1" w:rsidRDefault="00F252AE">
          <w:pPr>
            <w:pStyle w:val="TDC3"/>
            <w:tabs>
              <w:tab w:val="left" w:pos="880"/>
            </w:tabs>
            <w:rPr>
              <w:rFonts w:asciiTheme="minorHAnsi" w:eastAsiaTheme="minorEastAsia" w:hAnsiTheme="minorHAnsi" w:cstheme="minorBidi"/>
              <w:noProof/>
              <w:szCs w:val="22"/>
              <w:lang w:eastAsia="es-MX"/>
            </w:rPr>
          </w:pPr>
          <w:hyperlink w:anchor="_Toc184230534" w:history="1">
            <w:r w:rsidR="00DE49D1" w:rsidRPr="00BF1627">
              <w:rPr>
                <w:rStyle w:val="Hipervnculo"/>
                <w:noProof/>
              </w:rPr>
              <w:t>c)</w:t>
            </w:r>
            <w:r w:rsidR="00DE49D1">
              <w:rPr>
                <w:rFonts w:asciiTheme="minorHAnsi" w:eastAsiaTheme="minorEastAsia" w:hAnsiTheme="minorHAnsi" w:cstheme="minorBidi"/>
                <w:noProof/>
                <w:szCs w:val="22"/>
                <w:lang w:eastAsia="es-MX"/>
              </w:rPr>
              <w:tab/>
            </w:r>
            <w:r w:rsidR="00DE49D1" w:rsidRPr="00BF1627">
              <w:rPr>
                <w:rStyle w:val="Hipervnculo"/>
                <w:noProof/>
              </w:rPr>
              <w:t>Conclusión</w:t>
            </w:r>
            <w:r w:rsidR="00DE49D1">
              <w:rPr>
                <w:noProof/>
                <w:webHidden/>
              </w:rPr>
              <w:tab/>
            </w:r>
            <w:r w:rsidR="00DE49D1">
              <w:rPr>
                <w:noProof/>
                <w:webHidden/>
              </w:rPr>
              <w:fldChar w:fldCharType="begin"/>
            </w:r>
            <w:r w:rsidR="00DE49D1">
              <w:rPr>
                <w:noProof/>
                <w:webHidden/>
              </w:rPr>
              <w:instrText xml:space="preserve"> PAGEREF _Toc184230534 \h </w:instrText>
            </w:r>
            <w:r w:rsidR="00DE49D1">
              <w:rPr>
                <w:noProof/>
                <w:webHidden/>
              </w:rPr>
            </w:r>
            <w:r w:rsidR="00DE49D1">
              <w:rPr>
                <w:noProof/>
                <w:webHidden/>
              </w:rPr>
              <w:fldChar w:fldCharType="separate"/>
            </w:r>
            <w:r w:rsidR="00AA23EF">
              <w:rPr>
                <w:noProof/>
                <w:webHidden/>
              </w:rPr>
              <w:t>14</w:t>
            </w:r>
            <w:r w:rsidR="00DE49D1">
              <w:rPr>
                <w:noProof/>
                <w:webHidden/>
              </w:rPr>
              <w:fldChar w:fldCharType="end"/>
            </w:r>
          </w:hyperlink>
        </w:p>
        <w:p w14:paraId="485DFB53" w14:textId="77777777" w:rsidR="00DE49D1" w:rsidRDefault="00F252AE">
          <w:pPr>
            <w:pStyle w:val="TDC1"/>
            <w:tabs>
              <w:tab w:val="right" w:leader="dot" w:pos="9034"/>
            </w:tabs>
            <w:rPr>
              <w:rFonts w:asciiTheme="minorHAnsi" w:eastAsiaTheme="minorEastAsia" w:hAnsiTheme="minorHAnsi" w:cstheme="minorBidi"/>
              <w:noProof/>
              <w:szCs w:val="22"/>
              <w:lang w:eastAsia="es-MX"/>
            </w:rPr>
          </w:pPr>
          <w:hyperlink w:anchor="_Toc184230535" w:history="1">
            <w:r w:rsidR="00DE49D1" w:rsidRPr="00BF1627">
              <w:rPr>
                <w:rStyle w:val="Hipervnculo"/>
                <w:noProof/>
              </w:rPr>
              <w:t>RESUELVE</w:t>
            </w:r>
            <w:r w:rsidR="00DE49D1">
              <w:rPr>
                <w:noProof/>
                <w:webHidden/>
              </w:rPr>
              <w:tab/>
            </w:r>
            <w:r w:rsidR="00DE49D1">
              <w:rPr>
                <w:noProof/>
                <w:webHidden/>
              </w:rPr>
              <w:fldChar w:fldCharType="begin"/>
            </w:r>
            <w:r w:rsidR="00DE49D1">
              <w:rPr>
                <w:noProof/>
                <w:webHidden/>
              </w:rPr>
              <w:instrText xml:space="preserve"> PAGEREF _Toc184230535 \h </w:instrText>
            </w:r>
            <w:r w:rsidR="00DE49D1">
              <w:rPr>
                <w:noProof/>
                <w:webHidden/>
              </w:rPr>
            </w:r>
            <w:r w:rsidR="00DE49D1">
              <w:rPr>
                <w:noProof/>
                <w:webHidden/>
              </w:rPr>
              <w:fldChar w:fldCharType="separate"/>
            </w:r>
            <w:r w:rsidR="00AA23EF">
              <w:rPr>
                <w:noProof/>
                <w:webHidden/>
              </w:rPr>
              <w:t>14</w:t>
            </w:r>
            <w:r w:rsidR="00DE49D1">
              <w:rPr>
                <w:noProof/>
                <w:webHidden/>
              </w:rPr>
              <w:fldChar w:fldCharType="end"/>
            </w:r>
          </w:hyperlink>
        </w:p>
        <w:p w14:paraId="0C82FD7A" w14:textId="56536608" w:rsidR="009B2945" w:rsidRPr="00DE49D1" w:rsidRDefault="00AE3DA7" w:rsidP="00DE49D1">
          <w:pPr>
            <w:spacing w:line="240" w:lineRule="auto"/>
            <w:rPr>
              <w:b/>
              <w:bCs/>
              <w:lang w:val="es-ES"/>
            </w:rPr>
          </w:pPr>
          <w:r w:rsidRPr="00DE49D1">
            <w:rPr>
              <w:b/>
              <w:bCs/>
              <w:sz w:val="16"/>
              <w:szCs w:val="16"/>
              <w:lang w:val="es-ES"/>
            </w:rPr>
            <w:fldChar w:fldCharType="end"/>
          </w:r>
        </w:p>
      </w:sdtContent>
    </w:sdt>
    <w:p w14:paraId="603A07E2" w14:textId="77777777" w:rsidR="00646436" w:rsidRPr="00DE49D1" w:rsidRDefault="00646436" w:rsidP="00DE49D1">
      <w:pPr>
        <w:rPr>
          <w:rFonts w:cs="Tahoma"/>
          <w:szCs w:val="22"/>
        </w:rPr>
        <w:sectPr w:rsidR="00646436" w:rsidRPr="00DE49D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8FA3C04" w:rsidR="00775BFC" w:rsidRPr="00DE49D1" w:rsidRDefault="00775BFC" w:rsidP="00DE49D1">
      <w:r w:rsidRPr="00DE49D1">
        <w:lastRenderedPageBreak/>
        <w:t>Resolución del Pleno del Instituto de Transparencia, Acceso a la Información Pública y Protección de Datos Personales del Estado de México y Municipios, con domicilio e</w:t>
      </w:r>
      <w:r w:rsidR="004D0573" w:rsidRPr="00DE49D1">
        <w:t xml:space="preserve">n Metepec, Estado de México, de </w:t>
      </w:r>
      <w:r w:rsidR="00A52758" w:rsidRPr="00DE49D1">
        <w:rPr>
          <w:b/>
        </w:rPr>
        <w:t xml:space="preserve">cuatro de diciembre </w:t>
      </w:r>
      <w:r w:rsidR="00586236" w:rsidRPr="00DE49D1">
        <w:rPr>
          <w:b/>
        </w:rPr>
        <w:t>de</w:t>
      </w:r>
      <w:r w:rsidR="004D0573" w:rsidRPr="00DE49D1">
        <w:rPr>
          <w:b/>
        </w:rPr>
        <w:t xml:space="preserve"> dos mil veinticuatro</w:t>
      </w:r>
      <w:r w:rsidRPr="00DE49D1">
        <w:t>.</w:t>
      </w:r>
    </w:p>
    <w:p w14:paraId="0AF3AAC4" w14:textId="77777777" w:rsidR="00775BFC" w:rsidRPr="00DE49D1" w:rsidRDefault="00775BFC" w:rsidP="00DE49D1"/>
    <w:p w14:paraId="40EAE038" w14:textId="46E59134" w:rsidR="00775BFC" w:rsidRPr="00DE49D1" w:rsidRDefault="00775BFC" w:rsidP="00DE49D1">
      <w:r w:rsidRPr="00DE49D1">
        <w:rPr>
          <w:b/>
        </w:rPr>
        <w:t xml:space="preserve">VISTO </w:t>
      </w:r>
      <w:r w:rsidRPr="00DE49D1">
        <w:t xml:space="preserve">el expediente formado con motivo del Recurso de Revisión </w:t>
      </w:r>
      <w:r w:rsidR="004D0573" w:rsidRPr="00DE49D1">
        <w:rPr>
          <w:rFonts w:eastAsia="Calibri"/>
          <w:b/>
          <w:lang w:eastAsia="en-US"/>
        </w:rPr>
        <w:t>0</w:t>
      </w:r>
      <w:r w:rsidR="00D94E9D" w:rsidRPr="00DE49D1">
        <w:rPr>
          <w:rFonts w:eastAsia="Calibri"/>
          <w:b/>
          <w:lang w:eastAsia="en-US"/>
        </w:rPr>
        <w:t>7137</w:t>
      </w:r>
      <w:r w:rsidR="004D0573" w:rsidRPr="00DE49D1">
        <w:rPr>
          <w:rFonts w:eastAsia="Calibri"/>
          <w:b/>
          <w:lang w:eastAsia="en-US"/>
        </w:rPr>
        <w:t>/</w:t>
      </w:r>
      <w:r w:rsidRPr="00DE49D1">
        <w:rPr>
          <w:rFonts w:eastAsia="Calibri"/>
          <w:b/>
          <w:lang w:eastAsia="en-US"/>
        </w:rPr>
        <w:t>INFOEM/IP/RR/</w:t>
      </w:r>
      <w:r w:rsidR="004D0573" w:rsidRPr="00DE49D1">
        <w:rPr>
          <w:rFonts w:eastAsia="Calibri"/>
          <w:b/>
          <w:lang w:eastAsia="en-US"/>
        </w:rPr>
        <w:t>2024</w:t>
      </w:r>
      <w:r w:rsidRPr="00DE49D1">
        <w:rPr>
          <w:rFonts w:eastAsia="Calibri"/>
          <w:lang w:eastAsia="en-US"/>
        </w:rPr>
        <w:t xml:space="preserve"> </w:t>
      </w:r>
      <w:r w:rsidRPr="00DE49D1">
        <w:t xml:space="preserve">interpuesto por </w:t>
      </w:r>
      <w:r w:rsidR="00503821" w:rsidRPr="00DE49D1">
        <w:rPr>
          <w:rFonts w:ascii="Arial" w:hAnsi="Arial" w:cs="Arial"/>
          <w:b/>
          <w:bCs/>
          <w:sz w:val="15"/>
          <w:szCs w:val="15"/>
          <w:shd w:val="clear" w:color="auto" w:fill="F7F7F8"/>
        </w:rPr>
        <w:t> </w:t>
      </w:r>
      <w:bookmarkStart w:id="2" w:name="_GoBack"/>
      <w:r w:rsidR="001A3371">
        <w:rPr>
          <w:rFonts w:eastAsia="Calibri" w:cs="Tahoma"/>
          <w:b/>
          <w:szCs w:val="22"/>
          <w:lang w:eastAsia="en-US"/>
        </w:rPr>
        <w:t xml:space="preserve">XXXX XXXXXXX </w:t>
      </w:r>
      <w:proofErr w:type="spellStart"/>
      <w:r w:rsidR="001A3371">
        <w:rPr>
          <w:rFonts w:eastAsia="Calibri" w:cs="Tahoma"/>
          <w:b/>
          <w:szCs w:val="22"/>
          <w:lang w:eastAsia="en-US"/>
        </w:rPr>
        <w:t>XXXXXXX</w:t>
      </w:r>
      <w:bookmarkEnd w:id="2"/>
      <w:proofErr w:type="spellEnd"/>
      <w:r w:rsidRPr="00DE49D1">
        <w:rPr>
          <w:rFonts w:eastAsia="Calibri"/>
          <w:b/>
          <w:lang w:eastAsia="en-US"/>
        </w:rPr>
        <w:t>,</w:t>
      </w:r>
      <w:r w:rsidRPr="00DE49D1">
        <w:t xml:space="preserve"> a quien en lo subsecuente se le denominará </w:t>
      </w:r>
      <w:r w:rsidRPr="00DE49D1">
        <w:rPr>
          <w:b/>
          <w:bCs/>
        </w:rPr>
        <w:t>LA PARTE RECURRENTE</w:t>
      </w:r>
      <w:r w:rsidRPr="00DE49D1">
        <w:t xml:space="preserve">, en contra de la </w:t>
      </w:r>
      <w:r w:rsidR="00773DD6" w:rsidRPr="00DE49D1">
        <w:t xml:space="preserve">respuesta </w:t>
      </w:r>
      <w:r w:rsidR="00BA1AB6" w:rsidRPr="00DE49D1">
        <w:t>de</w:t>
      </w:r>
      <w:r w:rsidR="00AC25A6" w:rsidRPr="00DE49D1">
        <w:t xml:space="preserve">l </w:t>
      </w:r>
      <w:r w:rsidR="00D94E9D" w:rsidRPr="00DE49D1">
        <w:rPr>
          <w:rFonts w:eastAsia="Calibri"/>
          <w:b/>
          <w:lang w:eastAsia="en-US"/>
        </w:rPr>
        <w:t>Ayuntamiento de Nextlalpan</w:t>
      </w:r>
      <w:r w:rsidRPr="00DE49D1">
        <w:rPr>
          <w:b/>
          <w:bCs/>
        </w:rPr>
        <w:t>,</w:t>
      </w:r>
      <w:r w:rsidRPr="00DE49D1">
        <w:t xml:space="preserve"> en adelante </w:t>
      </w:r>
      <w:r w:rsidRPr="00DE49D1">
        <w:rPr>
          <w:b/>
          <w:bCs/>
        </w:rPr>
        <w:t>EL SUJETO OBLIGADO</w:t>
      </w:r>
      <w:r w:rsidRPr="00DE49D1">
        <w:rPr>
          <w:rFonts w:eastAsia="Calibri"/>
          <w:lang w:eastAsia="en-US"/>
        </w:rPr>
        <w:t xml:space="preserve">, </w:t>
      </w:r>
      <w:r w:rsidRPr="00DE49D1">
        <w:t>se emite la presente Resolución con base en los Antecedentes y Considerandos que se exponen a continuación:</w:t>
      </w:r>
    </w:p>
    <w:p w14:paraId="2116968C" w14:textId="77777777" w:rsidR="00775BFC" w:rsidRPr="00DE49D1" w:rsidRDefault="00775BFC" w:rsidP="00DE49D1"/>
    <w:p w14:paraId="5A444FB6" w14:textId="639D3567" w:rsidR="00664420" w:rsidRPr="00DE49D1" w:rsidRDefault="00664420" w:rsidP="00DE49D1">
      <w:pPr>
        <w:pStyle w:val="Ttulo1"/>
      </w:pPr>
      <w:bookmarkStart w:id="3" w:name="_Toc184230514"/>
      <w:r w:rsidRPr="00DE49D1">
        <w:t>ANTECEDENTES</w:t>
      </w:r>
      <w:bookmarkEnd w:id="3"/>
    </w:p>
    <w:p w14:paraId="5CB5034E" w14:textId="77777777" w:rsidR="00AC2DB8" w:rsidRPr="00DE49D1" w:rsidRDefault="00AC2DB8" w:rsidP="00DE49D1"/>
    <w:p w14:paraId="09B2D38F" w14:textId="6E49D146" w:rsidR="00664420" w:rsidRPr="00DE49D1" w:rsidRDefault="00E37A3F" w:rsidP="00DE49D1">
      <w:pPr>
        <w:pStyle w:val="Ttulo2"/>
      </w:pPr>
      <w:bookmarkStart w:id="4" w:name="_Toc184230515"/>
      <w:r w:rsidRPr="00DE49D1">
        <w:t>DE LA SOLICITUD DE INFORMACIÓN</w:t>
      </w:r>
      <w:bookmarkEnd w:id="4"/>
    </w:p>
    <w:p w14:paraId="2C6AD1A5" w14:textId="0405B3CD" w:rsidR="00664420" w:rsidRPr="00DE49D1" w:rsidRDefault="00E37A3F" w:rsidP="00DE49D1">
      <w:pPr>
        <w:pStyle w:val="Ttulo3"/>
      </w:pPr>
      <w:bookmarkStart w:id="5" w:name="_Toc184230516"/>
      <w:r w:rsidRPr="00DE49D1">
        <w:t xml:space="preserve">a) </w:t>
      </w:r>
      <w:r w:rsidR="006B10B0" w:rsidRPr="00DE49D1">
        <w:t>S</w:t>
      </w:r>
      <w:r w:rsidR="00664420" w:rsidRPr="00DE49D1">
        <w:t xml:space="preserve">olicitud de </w:t>
      </w:r>
      <w:r w:rsidR="006B10B0" w:rsidRPr="00DE49D1">
        <w:t>i</w:t>
      </w:r>
      <w:r w:rsidR="00664420" w:rsidRPr="00DE49D1">
        <w:t>nformación</w:t>
      </w:r>
      <w:bookmarkEnd w:id="5"/>
    </w:p>
    <w:p w14:paraId="3C26397A" w14:textId="322622FA" w:rsidR="00B169A2" w:rsidRPr="00DE49D1" w:rsidRDefault="00B169A2" w:rsidP="00DE49D1">
      <w:pPr>
        <w:pStyle w:val="Prrafodelista"/>
        <w:tabs>
          <w:tab w:val="left" w:pos="0"/>
        </w:tabs>
        <w:ind w:left="0"/>
        <w:contextualSpacing w:val="0"/>
        <w:rPr>
          <w:rFonts w:cs="Tahoma"/>
        </w:rPr>
      </w:pPr>
      <w:r w:rsidRPr="00DE49D1">
        <w:rPr>
          <w:rFonts w:cs="Tahoma"/>
        </w:rPr>
        <w:t xml:space="preserve">El </w:t>
      </w:r>
      <w:r w:rsidR="00D94E9D" w:rsidRPr="00DE49D1">
        <w:rPr>
          <w:rFonts w:cs="Tahoma"/>
          <w:b/>
          <w:bCs/>
        </w:rPr>
        <w:t xml:space="preserve">cuatro </w:t>
      </w:r>
      <w:r w:rsidR="00586236" w:rsidRPr="00DE49D1">
        <w:rPr>
          <w:rFonts w:cs="Tahoma"/>
          <w:b/>
          <w:bCs/>
        </w:rPr>
        <w:t xml:space="preserve">de </w:t>
      </w:r>
      <w:r w:rsidR="00D94E9D" w:rsidRPr="00DE49D1">
        <w:rPr>
          <w:rFonts w:cs="Tahoma"/>
          <w:b/>
          <w:bCs/>
        </w:rPr>
        <w:t xml:space="preserve">noviembre </w:t>
      </w:r>
      <w:r w:rsidRPr="00DE49D1">
        <w:rPr>
          <w:rFonts w:cs="Tahoma"/>
          <w:b/>
          <w:bCs/>
        </w:rPr>
        <w:t>de dos mil veinticuatro</w:t>
      </w:r>
      <w:r w:rsidRPr="00DE49D1">
        <w:rPr>
          <w:rFonts w:cs="Tahoma"/>
        </w:rPr>
        <w:t xml:space="preserve">, </w:t>
      </w:r>
      <w:r w:rsidRPr="00DE49D1">
        <w:rPr>
          <w:b/>
          <w:bCs/>
        </w:rPr>
        <w:t>LA PARTE RECURRENTE</w:t>
      </w:r>
      <w:r w:rsidRPr="00DE49D1">
        <w:rPr>
          <w:rFonts w:cs="Tahoma"/>
        </w:rPr>
        <w:t xml:space="preserve"> presentó una solicitud de acceso a la información pública ante el </w:t>
      </w:r>
      <w:r w:rsidRPr="00DE49D1">
        <w:rPr>
          <w:rFonts w:cs="Tahoma"/>
          <w:b/>
          <w:bCs/>
        </w:rPr>
        <w:t>SUJETO OBLIGADO</w:t>
      </w:r>
      <w:r w:rsidRPr="00DE49D1">
        <w:rPr>
          <w:rFonts w:cs="Tahoma"/>
        </w:rPr>
        <w:t>, a través del Sistema de Acceso a la Información Mexiquense (</w:t>
      </w:r>
      <w:r w:rsidRPr="00DE49D1">
        <w:rPr>
          <w:rFonts w:cs="Tahoma"/>
          <w:b/>
        </w:rPr>
        <w:t>SAIMEX</w:t>
      </w:r>
      <w:r w:rsidRPr="00DE49D1">
        <w:rPr>
          <w:rFonts w:cs="Tahoma"/>
        </w:rPr>
        <w:t>). Dicha solicitud quedó registrada con el número de folio</w:t>
      </w:r>
      <w:r w:rsidRPr="00DE49D1">
        <w:rPr>
          <w:rFonts w:cs="Tahoma"/>
          <w:b/>
          <w:bCs/>
        </w:rPr>
        <w:t xml:space="preserve"> </w:t>
      </w:r>
      <w:r w:rsidR="00D94E9D" w:rsidRPr="00DE49D1">
        <w:rPr>
          <w:b/>
          <w:bCs/>
        </w:rPr>
        <w:t>00072/NEXTLAL/IP/2024</w:t>
      </w:r>
      <w:r w:rsidR="00D94E9D" w:rsidRPr="00DE49D1">
        <w:rPr>
          <w:rFonts w:cs="Tahoma"/>
        </w:rPr>
        <w:t xml:space="preserve"> </w:t>
      </w:r>
      <w:r w:rsidRPr="00DE49D1">
        <w:rPr>
          <w:rFonts w:cs="Tahoma"/>
        </w:rPr>
        <w:t>y en ella se requirió la siguiente información:</w:t>
      </w:r>
    </w:p>
    <w:p w14:paraId="0459D6AC" w14:textId="77777777" w:rsidR="00664420" w:rsidRPr="00DE49D1" w:rsidRDefault="00664420" w:rsidP="00DE49D1">
      <w:pPr>
        <w:tabs>
          <w:tab w:val="left" w:pos="4667"/>
        </w:tabs>
        <w:ind w:left="567" w:right="567"/>
        <w:rPr>
          <w:rFonts w:cs="Tahoma"/>
          <w:b/>
          <w:bCs/>
        </w:rPr>
      </w:pPr>
    </w:p>
    <w:p w14:paraId="64B27DE3" w14:textId="2E4AF866" w:rsidR="00664420" w:rsidRPr="00DE49D1" w:rsidRDefault="002B1D44" w:rsidP="00DE49D1">
      <w:pPr>
        <w:pStyle w:val="Puesto"/>
      </w:pPr>
      <w:r w:rsidRPr="00DE49D1">
        <w:t>“</w:t>
      </w:r>
      <w:r w:rsidR="00D94E9D" w:rsidRPr="00DE49D1">
        <w:t>¿Cuál son las capacidades técnicas, administrativas y humanas con las que cuenta el Ayuntamiento de Nextlalpan para adjuntar respuestas a solicitudes realizadas a través de la plataforma del sistema de Acceso a la Información Pública?</w:t>
      </w:r>
      <w:r w:rsidRPr="00DE49D1">
        <w:t>”</w:t>
      </w:r>
      <w:r w:rsidR="00BA1AB6" w:rsidRPr="00DE49D1">
        <w:t xml:space="preserve"> (</w:t>
      </w:r>
      <w:proofErr w:type="gramStart"/>
      <w:r w:rsidR="00BA1AB6" w:rsidRPr="00DE49D1">
        <w:t>sic</w:t>
      </w:r>
      <w:proofErr w:type="gramEnd"/>
      <w:r w:rsidR="00BA1AB6" w:rsidRPr="00DE49D1">
        <w:t>)</w:t>
      </w:r>
    </w:p>
    <w:p w14:paraId="07B1E1B5" w14:textId="77777777" w:rsidR="004D0573" w:rsidRPr="00DE49D1" w:rsidRDefault="004D0573" w:rsidP="00DE49D1">
      <w:pPr>
        <w:pStyle w:val="Puesto"/>
      </w:pPr>
    </w:p>
    <w:p w14:paraId="0BD6321D" w14:textId="5D8567EA" w:rsidR="00664420" w:rsidRPr="00DE49D1" w:rsidRDefault="009A2D78" w:rsidP="00DE49D1">
      <w:pPr>
        <w:tabs>
          <w:tab w:val="left" w:pos="4667"/>
        </w:tabs>
        <w:ind w:left="567" w:right="567"/>
        <w:rPr>
          <w:rFonts w:cs="Tahoma"/>
          <w:bCs/>
          <w:szCs w:val="22"/>
        </w:rPr>
      </w:pPr>
      <w:r w:rsidRPr="00DE49D1">
        <w:rPr>
          <w:rFonts w:cs="Tahoma"/>
          <w:b/>
          <w:bCs/>
          <w:szCs w:val="22"/>
        </w:rPr>
        <w:t>Modalidad de entrega</w:t>
      </w:r>
      <w:r w:rsidRPr="00DE49D1">
        <w:rPr>
          <w:rFonts w:cs="Tahoma"/>
          <w:bCs/>
          <w:szCs w:val="22"/>
        </w:rPr>
        <w:t>: a</w:t>
      </w:r>
      <w:r w:rsidR="00664420" w:rsidRPr="00DE49D1">
        <w:rPr>
          <w:rFonts w:cs="Tahoma"/>
          <w:bCs/>
          <w:i/>
          <w:szCs w:val="22"/>
        </w:rPr>
        <w:t xml:space="preserve"> través del </w:t>
      </w:r>
      <w:r w:rsidR="00664420" w:rsidRPr="00DE49D1">
        <w:rPr>
          <w:rFonts w:cs="Tahoma"/>
          <w:b/>
          <w:bCs/>
          <w:i/>
          <w:szCs w:val="22"/>
        </w:rPr>
        <w:t>SAIMEX</w:t>
      </w:r>
      <w:r w:rsidRPr="00DE49D1">
        <w:rPr>
          <w:rFonts w:cs="Tahoma"/>
          <w:bCs/>
          <w:i/>
          <w:szCs w:val="22"/>
        </w:rPr>
        <w:t>.</w:t>
      </w:r>
    </w:p>
    <w:p w14:paraId="334D2860" w14:textId="77777777" w:rsidR="00664420" w:rsidRPr="00DE49D1" w:rsidRDefault="00664420" w:rsidP="00DE49D1">
      <w:pPr>
        <w:autoSpaceDE w:val="0"/>
        <w:autoSpaceDN w:val="0"/>
        <w:adjustRightInd w:val="0"/>
        <w:ind w:right="-28"/>
        <w:rPr>
          <w:rFonts w:cs="Tahoma"/>
          <w:bCs/>
          <w:i/>
          <w:szCs w:val="22"/>
        </w:rPr>
      </w:pPr>
    </w:p>
    <w:p w14:paraId="3212BA4D" w14:textId="63953841" w:rsidR="00664420" w:rsidRPr="00DE49D1" w:rsidRDefault="005A5BF2" w:rsidP="00DE49D1">
      <w:pPr>
        <w:pStyle w:val="Ttulo3"/>
      </w:pPr>
      <w:bookmarkStart w:id="6" w:name="_Toc170932807"/>
      <w:bookmarkStart w:id="7" w:name="_Toc184230517"/>
      <w:r w:rsidRPr="00DE49D1">
        <w:lastRenderedPageBreak/>
        <w:t xml:space="preserve">b) </w:t>
      </w:r>
      <w:bookmarkEnd w:id="6"/>
      <w:r w:rsidR="00664420" w:rsidRPr="00DE49D1">
        <w:rPr>
          <w:lang w:val="es-ES"/>
        </w:rPr>
        <w:t xml:space="preserve">Respuesta </w:t>
      </w:r>
      <w:r w:rsidR="00664420" w:rsidRPr="00DE49D1">
        <w:rPr>
          <w:rFonts w:eastAsia="Calibri"/>
          <w:lang w:eastAsia="en-US"/>
        </w:rPr>
        <w:t>del Sujeto Obligado</w:t>
      </w:r>
      <w:bookmarkEnd w:id="7"/>
    </w:p>
    <w:p w14:paraId="2143017E" w14:textId="12D01CAB" w:rsidR="00BA1AB6" w:rsidRPr="00DE49D1" w:rsidRDefault="003B0255" w:rsidP="00DE49D1">
      <w:pPr>
        <w:rPr>
          <w:lang w:val="es-ES"/>
        </w:rPr>
      </w:pPr>
      <w:r w:rsidRPr="00DE49D1">
        <w:rPr>
          <w:lang w:val="es-ES"/>
        </w:rPr>
        <w:t xml:space="preserve">El </w:t>
      </w:r>
      <w:r w:rsidR="007A4289" w:rsidRPr="00DE49D1">
        <w:rPr>
          <w:b/>
          <w:bCs/>
          <w:lang w:val="es-ES"/>
        </w:rPr>
        <w:t xml:space="preserve">siete </w:t>
      </w:r>
      <w:r w:rsidR="00D16C2D" w:rsidRPr="00DE49D1">
        <w:rPr>
          <w:b/>
          <w:bCs/>
          <w:lang w:val="es-ES"/>
        </w:rPr>
        <w:t xml:space="preserve">de </w:t>
      </w:r>
      <w:r w:rsidR="007A4289" w:rsidRPr="00DE49D1">
        <w:rPr>
          <w:b/>
          <w:bCs/>
          <w:lang w:val="es-ES"/>
        </w:rPr>
        <w:t xml:space="preserve">noviembre </w:t>
      </w:r>
      <w:r w:rsidRPr="00DE49D1">
        <w:rPr>
          <w:b/>
          <w:bCs/>
          <w:lang w:val="es-ES"/>
        </w:rPr>
        <w:t>de dos mil veinticuatro</w:t>
      </w:r>
      <w:r w:rsidRPr="00DE49D1">
        <w:rPr>
          <w:lang w:val="es-ES"/>
        </w:rPr>
        <w:t xml:space="preserve">, el Titular de la Unidad de Transparencia del </w:t>
      </w:r>
      <w:r w:rsidRPr="00DE49D1">
        <w:rPr>
          <w:b/>
          <w:lang w:val="es-ES"/>
        </w:rPr>
        <w:t>SUJETO OBLIGADO</w:t>
      </w:r>
      <w:r w:rsidRPr="00DE49D1">
        <w:rPr>
          <w:lang w:val="es-ES"/>
        </w:rPr>
        <w:t xml:space="preserve"> notificó la siguiente respuesta a través del </w:t>
      </w:r>
      <w:r w:rsidRPr="00DE49D1">
        <w:rPr>
          <w:b/>
          <w:lang w:val="es-ES"/>
        </w:rPr>
        <w:t>SAIMEX</w:t>
      </w:r>
      <w:r w:rsidRPr="00DE49D1">
        <w:rPr>
          <w:lang w:val="es-ES"/>
        </w:rPr>
        <w:t>:</w:t>
      </w:r>
    </w:p>
    <w:p w14:paraId="64166B4B" w14:textId="77777777" w:rsidR="003B0255" w:rsidRPr="00DE49D1" w:rsidRDefault="003B0255" w:rsidP="00DE49D1"/>
    <w:p w14:paraId="1C10ACFC" w14:textId="7B8171DF" w:rsidR="007A4289" w:rsidRPr="00DE49D1" w:rsidRDefault="003B0255" w:rsidP="00DE49D1">
      <w:pPr>
        <w:pStyle w:val="Puesto"/>
      </w:pPr>
      <w:r w:rsidRPr="00DE49D1">
        <w:t>“</w:t>
      </w:r>
      <w:r w:rsidR="007A4289" w:rsidRPr="00DE49D1">
        <w:t xml:space="preserve">En respuesta a lo anterior, a través del presente en términos de lo previsto por el artículo 167 de la Ley de Transparencia y Acceso a la Información Pública del Estado de México y Municipios que a su letra dice: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Se informa que la presente solicitud NO ES COMPETENCIA del Ayuntamiento de Nextlalpan; ya que es una determinación de la Ley de Transparencia y Acceso a la Información Pública del Estado de México y Municipios, y que deberá ser interpretada, explicada, y contestada por el Instituto de Transparencia, Acceso a la Información Pública y Protección de Datos Personales del Estado de México y Municipios (INFOEM); por lo que se orienta al solicitante a presentar la solicitud en el siguiente link: </w:t>
      </w:r>
      <w:hyperlink r:id="rId14" w:history="1">
        <w:r w:rsidR="007A4289" w:rsidRPr="00DE49D1">
          <w:rPr>
            <w:rStyle w:val="Hipervnculo"/>
            <w:color w:val="auto"/>
          </w:rPr>
          <w:t>https://www.infoem.org.mx/</w:t>
        </w:r>
      </w:hyperlink>
      <w:r w:rsidR="007A4289" w:rsidRPr="00DE49D1">
        <w:t>.</w:t>
      </w:r>
    </w:p>
    <w:p w14:paraId="6F62391A" w14:textId="77777777" w:rsidR="007A4289" w:rsidRPr="00DE49D1" w:rsidRDefault="007A4289" w:rsidP="00DE49D1"/>
    <w:p w14:paraId="46C8FAE4" w14:textId="77777777" w:rsidR="007A4289" w:rsidRPr="00DE49D1" w:rsidRDefault="007A4289" w:rsidP="00DE49D1">
      <w:pPr>
        <w:pStyle w:val="Puesto"/>
      </w:pPr>
      <w:r w:rsidRPr="00DE49D1">
        <w:t>ATENTAMENTE</w:t>
      </w:r>
    </w:p>
    <w:p w14:paraId="2FFA77D7" w14:textId="77777777" w:rsidR="007A4289" w:rsidRPr="00DE49D1" w:rsidRDefault="007A4289" w:rsidP="00DE49D1"/>
    <w:p w14:paraId="4A08B1BE" w14:textId="274DD146" w:rsidR="003B0255" w:rsidRPr="00DE49D1" w:rsidRDefault="007A4289" w:rsidP="00DE49D1">
      <w:pPr>
        <w:pStyle w:val="Puesto"/>
      </w:pPr>
      <w:r w:rsidRPr="00DE49D1">
        <w:t>C. ISABELA MARIANA ARENAS ZARATE</w:t>
      </w:r>
      <w:r w:rsidR="003B0255" w:rsidRPr="00DE49D1">
        <w:t>” (sic)</w:t>
      </w:r>
    </w:p>
    <w:p w14:paraId="4B1F18A0" w14:textId="77777777" w:rsidR="003B0255" w:rsidRPr="00DE49D1" w:rsidRDefault="003B0255" w:rsidP="00DE49D1"/>
    <w:p w14:paraId="58766A93" w14:textId="67D7A911" w:rsidR="007A4289" w:rsidRPr="00DE49D1" w:rsidRDefault="00824D9A" w:rsidP="00DE49D1">
      <w:pPr>
        <w:autoSpaceDE w:val="0"/>
        <w:autoSpaceDN w:val="0"/>
        <w:adjustRightInd w:val="0"/>
        <w:ind w:right="-28"/>
        <w:rPr>
          <w:rFonts w:cs="Tahoma"/>
          <w:szCs w:val="22"/>
          <w:lang w:val="es-ES"/>
        </w:rPr>
      </w:pPr>
      <w:r w:rsidRPr="00DE49D1">
        <w:rPr>
          <w:rFonts w:cs="Tahoma"/>
          <w:bCs/>
          <w:szCs w:val="22"/>
          <w:lang w:val="es-ES"/>
        </w:rPr>
        <w:t xml:space="preserve">Asimismo, </w:t>
      </w:r>
      <w:r w:rsidRPr="00DE49D1">
        <w:rPr>
          <w:rFonts w:cs="Tahoma"/>
          <w:b/>
          <w:szCs w:val="22"/>
          <w:lang w:val="es-ES"/>
        </w:rPr>
        <w:t xml:space="preserve">EL SUJETO OBLIGADO </w:t>
      </w:r>
      <w:r w:rsidRPr="00DE49D1">
        <w:rPr>
          <w:rFonts w:cs="Tahoma"/>
          <w:bCs/>
          <w:szCs w:val="22"/>
          <w:lang w:val="es-ES"/>
        </w:rPr>
        <w:t xml:space="preserve">adjuntó a su respuesta </w:t>
      </w:r>
      <w:r w:rsidR="00586236" w:rsidRPr="00DE49D1">
        <w:rPr>
          <w:rFonts w:cs="Tahoma"/>
          <w:bCs/>
          <w:szCs w:val="22"/>
          <w:lang w:val="es-ES"/>
        </w:rPr>
        <w:t xml:space="preserve">el </w:t>
      </w:r>
      <w:r w:rsidRPr="00DE49D1">
        <w:rPr>
          <w:rFonts w:cs="Tahoma"/>
          <w:bCs/>
          <w:szCs w:val="22"/>
          <w:lang w:val="es-ES"/>
        </w:rPr>
        <w:t xml:space="preserve">archivo electrónico </w:t>
      </w:r>
      <w:r w:rsidR="007A4289" w:rsidRPr="00DE49D1">
        <w:rPr>
          <w:rFonts w:cs="Tahoma"/>
          <w:b/>
          <w:i/>
          <w:szCs w:val="22"/>
          <w:lang w:val="es-ES"/>
        </w:rPr>
        <w:t xml:space="preserve">RESPUESTA-SOLICITUD-00072-2024.pdf, </w:t>
      </w:r>
      <w:r w:rsidR="00D16C2D" w:rsidRPr="00DE49D1">
        <w:rPr>
          <w:rFonts w:cs="Tahoma"/>
          <w:szCs w:val="22"/>
          <w:lang w:val="es-ES"/>
        </w:rPr>
        <w:t xml:space="preserve">el cual contiene </w:t>
      </w:r>
      <w:r w:rsidR="007A4289" w:rsidRPr="00DE49D1">
        <w:rPr>
          <w:rFonts w:cs="Tahoma"/>
          <w:szCs w:val="22"/>
          <w:lang w:val="es-ES"/>
        </w:rPr>
        <w:t xml:space="preserve">el oficio número NEXUTAIP/130/2024 del siete de noviembre de dos mil veinticuatro, por medio del cual el Titular de la Unidad de Transparencia, Acceso a la Información Pública y Protección de Datos Personales, por medio del cual informa que la presente solicitud no es competencia, la cual </w:t>
      </w:r>
      <w:r w:rsidR="007A4289" w:rsidRPr="00DE49D1">
        <w:rPr>
          <w:rFonts w:cs="Tahoma"/>
          <w:szCs w:val="22"/>
          <w:lang w:val="es-ES"/>
        </w:rPr>
        <w:lastRenderedPageBreak/>
        <w:t xml:space="preserve">deberá ser contestada por el </w:t>
      </w:r>
      <w:r w:rsidR="007A4289" w:rsidRPr="00DE49D1">
        <w:t xml:space="preserve">Instituto de Transparencia, Acceso a la Información Pública y Protección de Datos Personales del Estado de México y Municipios, por lo que orienta al solicitante presentar la solicitud ante dicho Instituto. </w:t>
      </w:r>
      <w:r w:rsidR="007A4289" w:rsidRPr="00DE49D1">
        <w:rPr>
          <w:rFonts w:cs="Tahoma"/>
          <w:szCs w:val="22"/>
          <w:lang w:val="es-ES"/>
        </w:rPr>
        <w:t xml:space="preserve"> </w:t>
      </w:r>
    </w:p>
    <w:p w14:paraId="1FB8A147" w14:textId="77777777" w:rsidR="007A4289" w:rsidRPr="00DE49D1" w:rsidRDefault="007A4289" w:rsidP="00DE49D1">
      <w:pPr>
        <w:autoSpaceDE w:val="0"/>
        <w:autoSpaceDN w:val="0"/>
        <w:adjustRightInd w:val="0"/>
        <w:ind w:right="-28"/>
        <w:rPr>
          <w:rFonts w:cs="Tahoma"/>
          <w:szCs w:val="22"/>
          <w:lang w:val="es-ES"/>
        </w:rPr>
      </w:pPr>
    </w:p>
    <w:p w14:paraId="0F24A322" w14:textId="7F9E5F9A" w:rsidR="00B137E8" w:rsidRPr="00DE49D1" w:rsidRDefault="00B137E8" w:rsidP="00DE49D1">
      <w:pPr>
        <w:pStyle w:val="Ttulo2"/>
        <w:jc w:val="left"/>
      </w:pPr>
      <w:bookmarkStart w:id="8" w:name="_Toc171527280"/>
      <w:bookmarkStart w:id="9" w:name="_Toc184230518"/>
      <w:r w:rsidRPr="00DE49D1">
        <w:t>DEL RECURSO DE REVISIÓN</w:t>
      </w:r>
      <w:bookmarkEnd w:id="8"/>
      <w:bookmarkEnd w:id="9"/>
    </w:p>
    <w:p w14:paraId="2B216813" w14:textId="61ADBB2B" w:rsidR="00664420" w:rsidRPr="00DE49D1" w:rsidRDefault="006E25BC" w:rsidP="00DE49D1">
      <w:pPr>
        <w:pStyle w:val="Ttulo3"/>
      </w:pPr>
      <w:bookmarkStart w:id="10" w:name="_Toc184230519"/>
      <w:r w:rsidRPr="00DE49D1">
        <w:rPr>
          <w:szCs w:val="32"/>
        </w:rPr>
        <w:t>a)</w:t>
      </w:r>
      <w:r w:rsidRPr="00DE49D1">
        <w:t xml:space="preserve"> </w:t>
      </w:r>
      <w:r w:rsidR="00664420" w:rsidRPr="00DE49D1">
        <w:t>Interposición del Recurso de Revisión</w:t>
      </w:r>
      <w:bookmarkEnd w:id="10"/>
    </w:p>
    <w:p w14:paraId="6279C622" w14:textId="15FE8538" w:rsidR="00664420" w:rsidRPr="00DE49D1" w:rsidRDefault="00664420" w:rsidP="00DE49D1">
      <w:pPr>
        <w:autoSpaceDE w:val="0"/>
        <w:autoSpaceDN w:val="0"/>
        <w:adjustRightInd w:val="0"/>
        <w:ind w:right="-28"/>
        <w:rPr>
          <w:rFonts w:cs="Tahoma"/>
          <w:szCs w:val="22"/>
        </w:rPr>
      </w:pPr>
      <w:r w:rsidRPr="00DE49D1">
        <w:rPr>
          <w:rFonts w:cs="Tahoma"/>
          <w:szCs w:val="22"/>
        </w:rPr>
        <w:t xml:space="preserve">El </w:t>
      </w:r>
      <w:r w:rsidR="007A4289" w:rsidRPr="00DE49D1">
        <w:rPr>
          <w:rFonts w:cs="Tahoma"/>
          <w:b/>
          <w:bCs/>
          <w:szCs w:val="22"/>
        </w:rPr>
        <w:t>once</w:t>
      </w:r>
      <w:r w:rsidR="00755414" w:rsidRPr="00DE49D1">
        <w:rPr>
          <w:rStyle w:val="Refdenotaalpie"/>
          <w:rFonts w:cs="Tahoma"/>
          <w:b/>
          <w:bCs/>
          <w:szCs w:val="22"/>
        </w:rPr>
        <w:footnoteReference w:id="1"/>
      </w:r>
      <w:r w:rsidR="007A4289" w:rsidRPr="00DE49D1">
        <w:rPr>
          <w:rFonts w:cs="Tahoma"/>
          <w:b/>
          <w:bCs/>
          <w:szCs w:val="22"/>
        </w:rPr>
        <w:t xml:space="preserve"> de noviembre </w:t>
      </w:r>
      <w:r w:rsidR="00475FF6" w:rsidRPr="00DE49D1">
        <w:rPr>
          <w:rFonts w:cs="Tahoma"/>
          <w:b/>
          <w:bCs/>
          <w:szCs w:val="22"/>
        </w:rPr>
        <w:t xml:space="preserve">de </w:t>
      </w:r>
      <w:r w:rsidRPr="00DE49D1">
        <w:rPr>
          <w:rFonts w:cs="Tahoma"/>
          <w:b/>
          <w:bCs/>
          <w:szCs w:val="22"/>
        </w:rPr>
        <w:t>dos mil</w:t>
      </w:r>
      <w:r w:rsidR="00F45902" w:rsidRPr="00DE49D1">
        <w:rPr>
          <w:rFonts w:cs="Tahoma"/>
          <w:b/>
          <w:bCs/>
          <w:szCs w:val="22"/>
        </w:rPr>
        <w:t xml:space="preserve"> veinticuatro</w:t>
      </w:r>
      <w:r w:rsidRPr="00DE49D1">
        <w:rPr>
          <w:rFonts w:cs="Tahoma"/>
          <w:szCs w:val="22"/>
        </w:rPr>
        <w:t xml:space="preserve"> </w:t>
      </w:r>
      <w:r w:rsidR="00F75D23" w:rsidRPr="00DE49D1">
        <w:rPr>
          <w:rFonts w:cs="Tahoma"/>
          <w:b/>
          <w:bCs/>
          <w:szCs w:val="22"/>
        </w:rPr>
        <w:t>LA PARTE RECURRENTE</w:t>
      </w:r>
      <w:r w:rsidR="00F75D23" w:rsidRPr="00DE49D1">
        <w:rPr>
          <w:rFonts w:cs="Tahoma"/>
          <w:szCs w:val="22"/>
        </w:rPr>
        <w:t xml:space="preserve"> interpuso el recurso de revisión en contra de la respuesta emitida por el </w:t>
      </w:r>
      <w:r w:rsidR="00F75D23" w:rsidRPr="00DE49D1">
        <w:rPr>
          <w:rFonts w:cs="Tahoma"/>
          <w:b/>
          <w:bCs/>
          <w:szCs w:val="22"/>
        </w:rPr>
        <w:t>SUJETO OBLIGADO</w:t>
      </w:r>
      <w:r w:rsidR="00953430" w:rsidRPr="00DE49D1">
        <w:rPr>
          <w:rFonts w:cs="Tahoma"/>
          <w:szCs w:val="22"/>
        </w:rPr>
        <w:t xml:space="preserve">, mismo que fue registrado en el </w:t>
      </w:r>
      <w:r w:rsidR="00953430" w:rsidRPr="00DE49D1">
        <w:rPr>
          <w:rFonts w:cs="Tahoma"/>
          <w:b/>
          <w:szCs w:val="22"/>
        </w:rPr>
        <w:t>SAIMEX</w:t>
      </w:r>
      <w:r w:rsidR="00953430" w:rsidRPr="00DE49D1">
        <w:rPr>
          <w:rFonts w:cs="Tahoma"/>
          <w:szCs w:val="22"/>
        </w:rPr>
        <w:t xml:space="preserve"> con el número de expediente </w:t>
      </w:r>
      <w:r w:rsidR="00F45902" w:rsidRPr="00DE49D1">
        <w:rPr>
          <w:rFonts w:cs="Tahoma"/>
          <w:b/>
          <w:bCs/>
          <w:szCs w:val="22"/>
        </w:rPr>
        <w:t>0</w:t>
      </w:r>
      <w:r w:rsidR="00F85D31" w:rsidRPr="00DE49D1">
        <w:rPr>
          <w:rFonts w:cs="Tahoma"/>
          <w:b/>
          <w:bCs/>
          <w:szCs w:val="22"/>
        </w:rPr>
        <w:t>7137</w:t>
      </w:r>
      <w:r w:rsidR="00F45902" w:rsidRPr="00DE49D1">
        <w:rPr>
          <w:rFonts w:cs="Tahoma"/>
          <w:b/>
          <w:bCs/>
          <w:szCs w:val="22"/>
        </w:rPr>
        <w:t>/</w:t>
      </w:r>
      <w:r w:rsidR="00953430" w:rsidRPr="00DE49D1">
        <w:rPr>
          <w:rFonts w:cs="Tahoma"/>
          <w:b/>
          <w:bCs/>
          <w:szCs w:val="22"/>
        </w:rPr>
        <w:t>INFOEM/IP/RR/</w:t>
      </w:r>
      <w:r w:rsidR="00F45902" w:rsidRPr="00DE49D1">
        <w:rPr>
          <w:rFonts w:cs="Tahoma"/>
          <w:b/>
          <w:bCs/>
          <w:szCs w:val="22"/>
        </w:rPr>
        <w:t>2024</w:t>
      </w:r>
      <w:r w:rsidR="00953430" w:rsidRPr="00DE49D1">
        <w:rPr>
          <w:rFonts w:cs="Tahoma"/>
          <w:szCs w:val="22"/>
        </w:rPr>
        <w:t>, y en el cual manifiesta lo siguiente</w:t>
      </w:r>
      <w:r w:rsidRPr="00DE49D1">
        <w:rPr>
          <w:rFonts w:cs="Tahoma"/>
          <w:szCs w:val="22"/>
        </w:rPr>
        <w:t>:</w:t>
      </w:r>
    </w:p>
    <w:p w14:paraId="74B30008" w14:textId="77777777" w:rsidR="00664420" w:rsidRPr="00DE49D1" w:rsidRDefault="00664420" w:rsidP="00DE49D1">
      <w:pPr>
        <w:tabs>
          <w:tab w:val="left" w:pos="4667"/>
        </w:tabs>
        <w:ind w:right="539"/>
        <w:rPr>
          <w:rFonts w:cs="Tahoma"/>
          <w:szCs w:val="22"/>
        </w:rPr>
      </w:pPr>
    </w:p>
    <w:p w14:paraId="12153283" w14:textId="77777777" w:rsidR="00664420" w:rsidRPr="00DE49D1" w:rsidRDefault="00664420" w:rsidP="00DE49D1">
      <w:pPr>
        <w:tabs>
          <w:tab w:val="left" w:pos="4667"/>
        </w:tabs>
        <w:ind w:right="539"/>
        <w:rPr>
          <w:rFonts w:cs="Tahoma"/>
          <w:b/>
          <w:iCs/>
        </w:rPr>
      </w:pPr>
      <w:r w:rsidRPr="00DE49D1">
        <w:rPr>
          <w:rFonts w:cs="Tahoma"/>
          <w:b/>
          <w:iCs/>
        </w:rPr>
        <w:t>ACTO IMPUGNADO</w:t>
      </w:r>
      <w:r w:rsidRPr="00DE49D1">
        <w:rPr>
          <w:rFonts w:cs="Tahoma"/>
          <w:b/>
          <w:iCs/>
        </w:rPr>
        <w:tab/>
      </w:r>
    </w:p>
    <w:p w14:paraId="177EE3D5" w14:textId="77777777" w:rsidR="00F45902" w:rsidRPr="00DE49D1" w:rsidRDefault="00F45902" w:rsidP="00DE49D1">
      <w:pPr>
        <w:pStyle w:val="Puesto"/>
      </w:pPr>
    </w:p>
    <w:p w14:paraId="523F8BF4" w14:textId="5FF96428" w:rsidR="00664420" w:rsidRPr="00DE49D1" w:rsidRDefault="00F45902" w:rsidP="00DE49D1">
      <w:pPr>
        <w:pStyle w:val="Puesto"/>
      </w:pPr>
      <w:r w:rsidRPr="00DE49D1">
        <w:t>“</w:t>
      </w:r>
      <w:r w:rsidR="00755414" w:rsidRPr="00DE49D1">
        <w:t>¿Cuál son las capacidades técnicas, administrativas y humanas con las que cuenta el Ayuntamiento de Nextlalpan para adjuntar respuestas a solicitudes realizadas a través de la plataforma del sistema de Acceso a la Información Pública?</w:t>
      </w:r>
      <w:r w:rsidRPr="00DE49D1">
        <w:t>” (</w:t>
      </w:r>
      <w:proofErr w:type="gramStart"/>
      <w:r w:rsidRPr="00DE49D1">
        <w:t>sic</w:t>
      </w:r>
      <w:proofErr w:type="gramEnd"/>
      <w:r w:rsidRPr="00DE49D1">
        <w:t xml:space="preserve">) </w:t>
      </w:r>
    </w:p>
    <w:p w14:paraId="6AE8EA9A" w14:textId="77777777" w:rsidR="00664420" w:rsidRPr="00DE49D1" w:rsidRDefault="00664420" w:rsidP="00DE49D1">
      <w:pPr>
        <w:pStyle w:val="Puesto"/>
      </w:pPr>
    </w:p>
    <w:p w14:paraId="19F223B6" w14:textId="6E75938F" w:rsidR="009233A1" w:rsidRPr="00DE49D1" w:rsidRDefault="009233A1" w:rsidP="00DE49D1">
      <w:pPr>
        <w:tabs>
          <w:tab w:val="left" w:pos="4667"/>
        </w:tabs>
        <w:ind w:right="539"/>
        <w:rPr>
          <w:rFonts w:cs="Tahoma"/>
          <w:b/>
          <w:iCs/>
        </w:rPr>
      </w:pPr>
      <w:r w:rsidRPr="00DE49D1">
        <w:rPr>
          <w:rFonts w:cs="Tahoma"/>
          <w:b/>
          <w:iCs/>
        </w:rPr>
        <w:t>RAZONES O MOTIVOS DE INCONFORMIDAD</w:t>
      </w:r>
      <w:r w:rsidRPr="00DE49D1">
        <w:rPr>
          <w:rFonts w:cs="Tahoma"/>
          <w:b/>
          <w:iCs/>
        </w:rPr>
        <w:tab/>
      </w:r>
    </w:p>
    <w:p w14:paraId="3E0326BE" w14:textId="77777777" w:rsidR="009233A1" w:rsidRPr="00DE49D1" w:rsidRDefault="009233A1" w:rsidP="00DE49D1">
      <w:pPr>
        <w:pStyle w:val="Puesto"/>
      </w:pPr>
    </w:p>
    <w:p w14:paraId="34E2E57F" w14:textId="42BB0B8D" w:rsidR="008A7480" w:rsidRPr="00DE49D1" w:rsidRDefault="008A7480" w:rsidP="00DE49D1">
      <w:pPr>
        <w:pStyle w:val="Puesto"/>
      </w:pPr>
      <w:r w:rsidRPr="00DE49D1">
        <w:t>“</w:t>
      </w:r>
      <w:r w:rsidR="00755414" w:rsidRPr="00DE49D1">
        <w:t xml:space="preserve">Alegan no ser competentes de entregar la información porque suponen que esa respuesta la debe de tener el Infoem; sin embargo lo que se solicita es conocer con que capacidades cuenta el Ayuntamiento para procesar las solicitudes de acceso a la información pública ya que en diversas ocasiones contestan "la información solicitada implica el procesamiento de documentos, cuya entrega o reproducción sobrepasa las capacidades técnicas, administrativas y humanas del sujeto obligado" (sic). Tal como puede verse en el oficio TESMUN/00117/2024 fechado el 9 de abril del presente (se adjunta). Además de que la </w:t>
      </w:r>
      <w:r w:rsidR="00755414" w:rsidRPr="00DE49D1">
        <w:lastRenderedPageBreak/>
        <w:t xml:space="preserve">contestación en su oficio NEXUTAIP/130/2024 </w:t>
      </w:r>
      <w:proofErr w:type="spellStart"/>
      <w:r w:rsidR="00755414" w:rsidRPr="00DE49D1">
        <w:t>esta</w:t>
      </w:r>
      <w:proofErr w:type="spellEnd"/>
      <w:r w:rsidR="00755414" w:rsidRPr="00DE49D1">
        <w:t xml:space="preserve"> mal elaborada puesto que no es lo que se solicita.</w:t>
      </w:r>
      <w:r w:rsidRPr="00DE49D1">
        <w:t>” (</w:t>
      </w:r>
      <w:proofErr w:type="gramStart"/>
      <w:r w:rsidRPr="00DE49D1">
        <w:t>sic</w:t>
      </w:r>
      <w:proofErr w:type="gramEnd"/>
      <w:r w:rsidRPr="00DE49D1">
        <w:t xml:space="preserve">) </w:t>
      </w:r>
    </w:p>
    <w:p w14:paraId="13390B75" w14:textId="77777777" w:rsidR="008A7480" w:rsidRPr="00DE49D1" w:rsidRDefault="008A7480" w:rsidP="00DE49D1">
      <w:pPr>
        <w:pStyle w:val="Puesto"/>
      </w:pPr>
    </w:p>
    <w:p w14:paraId="044FE2D2" w14:textId="08C3500A" w:rsidR="006D362F" w:rsidRPr="00DE49D1" w:rsidRDefault="006D362F" w:rsidP="00DE49D1">
      <w:pPr>
        <w:rPr>
          <w:lang w:val="es-ES_tradnl"/>
        </w:rPr>
      </w:pPr>
      <w:r w:rsidRPr="00DE49D1">
        <w:rPr>
          <w:lang w:val="es-ES_tradnl"/>
        </w:rPr>
        <w:t xml:space="preserve">Asimismo, </w:t>
      </w:r>
      <w:r w:rsidRPr="00DE49D1">
        <w:rPr>
          <w:b/>
          <w:lang w:val="es-ES_tradnl"/>
        </w:rPr>
        <w:t>EL RECURRENTE</w:t>
      </w:r>
      <w:r w:rsidRPr="00DE49D1">
        <w:rPr>
          <w:lang w:val="es-ES_tradnl"/>
        </w:rPr>
        <w:t xml:space="preserve"> adjuntó a su Recurso de Revisión el archivo electrónico denominado </w:t>
      </w:r>
      <w:r w:rsidRPr="00DE49D1">
        <w:rPr>
          <w:b/>
          <w:lang w:val="es-ES_tradnl"/>
        </w:rPr>
        <w:t xml:space="preserve">SAIMEX 00018 2024.pdf, </w:t>
      </w:r>
      <w:r w:rsidRPr="00DE49D1">
        <w:rPr>
          <w:lang w:val="es-ES_tradnl"/>
        </w:rPr>
        <w:t xml:space="preserve">el cual contiene </w:t>
      </w:r>
      <w:r w:rsidR="004D541B" w:rsidRPr="00DE49D1">
        <w:rPr>
          <w:lang w:val="es-ES_tradnl"/>
        </w:rPr>
        <w:t xml:space="preserve">los </w:t>
      </w:r>
      <w:r w:rsidRPr="00DE49D1">
        <w:rPr>
          <w:lang w:val="es-ES_tradnl"/>
        </w:rPr>
        <w:t xml:space="preserve">oficios de respuesta de diversa solicitud. </w:t>
      </w:r>
    </w:p>
    <w:p w14:paraId="4633CB7B" w14:textId="77777777" w:rsidR="006D362F" w:rsidRPr="00DE49D1" w:rsidRDefault="006D362F" w:rsidP="00DE49D1">
      <w:pPr>
        <w:rPr>
          <w:lang w:val="es-ES_tradnl"/>
        </w:rPr>
      </w:pPr>
    </w:p>
    <w:p w14:paraId="6804DEF1" w14:textId="7F8B0483" w:rsidR="00664420" w:rsidRPr="00DE49D1" w:rsidRDefault="006E25BC" w:rsidP="00DE49D1">
      <w:pPr>
        <w:pStyle w:val="Ttulo3"/>
      </w:pPr>
      <w:bookmarkStart w:id="11" w:name="_Toc184230520"/>
      <w:r w:rsidRPr="00DE49D1">
        <w:t>b</w:t>
      </w:r>
      <w:r w:rsidR="00664420" w:rsidRPr="00DE49D1">
        <w:t>) Turno del Recurso de Revisión</w:t>
      </w:r>
      <w:bookmarkEnd w:id="11"/>
    </w:p>
    <w:p w14:paraId="1173671B" w14:textId="5C28A83A" w:rsidR="00C72DAA" w:rsidRPr="00DE49D1" w:rsidRDefault="00C72DAA" w:rsidP="00DE49D1">
      <w:r w:rsidRPr="00DE49D1">
        <w:t>Con fundamento en el artículo 185, fracción I de la Ley de Transparencia y Acceso a la Información Pública del Estado de México y Municipios, el</w:t>
      </w:r>
      <w:r w:rsidRPr="00DE49D1">
        <w:rPr>
          <w:b/>
          <w:bCs/>
        </w:rPr>
        <w:t xml:space="preserve"> </w:t>
      </w:r>
      <w:r w:rsidR="00576F64" w:rsidRPr="00DE49D1">
        <w:rPr>
          <w:rFonts w:eastAsia="Palatino Linotype" w:cs="Palatino Linotype"/>
          <w:b/>
        </w:rPr>
        <w:t>nueve</w:t>
      </w:r>
      <w:r w:rsidR="00755414" w:rsidRPr="00DE49D1">
        <w:rPr>
          <w:rFonts w:eastAsia="Palatino Linotype" w:cs="Palatino Linotype"/>
          <w:b/>
        </w:rPr>
        <w:t xml:space="preserve"> de noviembre </w:t>
      </w:r>
      <w:r w:rsidR="00586236" w:rsidRPr="00DE49D1">
        <w:rPr>
          <w:rFonts w:eastAsia="Palatino Linotype" w:cs="Palatino Linotype"/>
          <w:b/>
        </w:rPr>
        <w:t>d</w:t>
      </w:r>
      <w:r w:rsidRPr="00DE49D1">
        <w:rPr>
          <w:rFonts w:eastAsia="Palatino Linotype" w:cs="Palatino Linotype"/>
          <w:b/>
        </w:rPr>
        <w:t xml:space="preserve">e dos mil </w:t>
      </w:r>
      <w:r w:rsidR="00657603" w:rsidRPr="00DE49D1">
        <w:rPr>
          <w:rFonts w:eastAsia="Palatino Linotype" w:cs="Palatino Linotype"/>
          <w:b/>
        </w:rPr>
        <w:t xml:space="preserve">veinticuatro </w:t>
      </w:r>
      <w:r w:rsidRPr="00DE49D1">
        <w:t>se turnó el recurso de revisión a través del</w:t>
      </w:r>
      <w:r w:rsidRPr="00DE49D1">
        <w:rPr>
          <w:rFonts w:eastAsia="Arial Unicode MS"/>
        </w:rPr>
        <w:t xml:space="preserve"> </w:t>
      </w:r>
      <w:r w:rsidRPr="00DE49D1">
        <w:rPr>
          <w:rFonts w:eastAsia="Arial Unicode MS"/>
          <w:bCs/>
        </w:rPr>
        <w:t>SAIMEX</w:t>
      </w:r>
      <w:r w:rsidRPr="00DE49D1">
        <w:t xml:space="preserve"> a la </w:t>
      </w:r>
      <w:r w:rsidRPr="00DE49D1">
        <w:rPr>
          <w:b/>
        </w:rPr>
        <w:t>Comisionada Sharon Cristina Morales Martínez</w:t>
      </w:r>
      <w:r w:rsidRPr="00DE49D1">
        <w:rPr>
          <w:bCs/>
        </w:rPr>
        <w:t xml:space="preserve">, </w:t>
      </w:r>
      <w:r w:rsidRPr="00DE49D1">
        <w:t xml:space="preserve">a efecto de decretar su admisión o </w:t>
      </w:r>
      <w:proofErr w:type="spellStart"/>
      <w:r w:rsidRPr="00DE49D1">
        <w:t>desechamiento</w:t>
      </w:r>
      <w:proofErr w:type="spellEnd"/>
      <w:r w:rsidRPr="00DE49D1">
        <w:t xml:space="preserve">. </w:t>
      </w:r>
    </w:p>
    <w:p w14:paraId="18F305CB" w14:textId="77777777" w:rsidR="00664420" w:rsidRPr="00DE49D1" w:rsidRDefault="00664420" w:rsidP="00DE49D1">
      <w:pPr>
        <w:rPr>
          <w:rFonts w:eastAsia="Batang" w:cs="Tahoma"/>
          <w:bCs/>
          <w:szCs w:val="22"/>
        </w:rPr>
      </w:pPr>
    </w:p>
    <w:p w14:paraId="3E31EC2D" w14:textId="295256A1" w:rsidR="00664420" w:rsidRPr="00DE49D1" w:rsidRDefault="006E25BC" w:rsidP="00DE49D1">
      <w:pPr>
        <w:pStyle w:val="Ttulo3"/>
      </w:pPr>
      <w:bookmarkStart w:id="12" w:name="_Toc184230521"/>
      <w:r w:rsidRPr="00DE49D1">
        <w:t>c</w:t>
      </w:r>
      <w:r w:rsidR="00664420" w:rsidRPr="00DE49D1">
        <w:t>) Admisión del Recurso de Revisión</w:t>
      </w:r>
      <w:bookmarkEnd w:id="12"/>
    </w:p>
    <w:p w14:paraId="240447D5" w14:textId="1BCCB5D2" w:rsidR="000E09C4" w:rsidRPr="00DE49D1" w:rsidRDefault="000E09C4" w:rsidP="00DE49D1">
      <w:pPr>
        <w:rPr>
          <w:rFonts w:cs="Arial"/>
        </w:rPr>
      </w:pPr>
      <w:r w:rsidRPr="00DE49D1">
        <w:rPr>
          <w:rFonts w:cs="Arial"/>
        </w:rPr>
        <w:t xml:space="preserve">El </w:t>
      </w:r>
      <w:r w:rsidR="00755414" w:rsidRPr="00DE49D1">
        <w:rPr>
          <w:rFonts w:eastAsia="Palatino Linotype" w:cs="Palatino Linotype"/>
          <w:b/>
        </w:rPr>
        <w:t>doce de</w:t>
      </w:r>
      <w:r w:rsidR="00586236" w:rsidRPr="00DE49D1">
        <w:rPr>
          <w:rFonts w:eastAsia="Palatino Linotype" w:cs="Palatino Linotype"/>
          <w:b/>
        </w:rPr>
        <w:t xml:space="preserve"> </w:t>
      </w:r>
      <w:r w:rsidR="00D16C2D" w:rsidRPr="00DE49D1">
        <w:rPr>
          <w:rFonts w:eastAsia="Palatino Linotype" w:cs="Palatino Linotype"/>
          <w:b/>
        </w:rPr>
        <w:t xml:space="preserve">noviembre </w:t>
      </w:r>
      <w:r w:rsidR="003A67CC" w:rsidRPr="00DE49D1">
        <w:rPr>
          <w:rFonts w:eastAsia="Palatino Linotype" w:cs="Palatino Linotype"/>
          <w:b/>
        </w:rPr>
        <w:t>d</w:t>
      </w:r>
      <w:r w:rsidR="00657603" w:rsidRPr="00DE49D1">
        <w:rPr>
          <w:rFonts w:eastAsia="Palatino Linotype" w:cs="Palatino Linotype"/>
          <w:b/>
        </w:rPr>
        <w:t>e dos mil veinticuatro</w:t>
      </w:r>
      <w:r w:rsidRPr="00DE49D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E49D1">
        <w:rPr>
          <w:rFonts w:cs="Arial"/>
        </w:rPr>
        <w:t>, fracción II</w:t>
      </w:r>
      <w:r w:rsidRPr="00DE49D1">
        <w:rPr>
          <w:rFonts w:cs="Arial"/>
        </w:rPr>
        <w:t xml:space="preserve"> de la Ley de Transparencia y Acceso a la Información Pública del Estado de México y Municipios.</w:t>
      </w:r>
    </w:p>
    <w:p w14:paraId="34EC3F86" w14:textId="77777777" w:rsidR="00D2790D" w:rsidRPr="00DE49D1" w:rsidRDefault="00D2790D" w:rsidP="00DE49D1">
      <w:pPr>
        <w:rPr>
          <w:rFonts w:cs="Arial"/>
        </w:rPr>
      </w:pPr>
    </w:p>
    <w:p w14:paraId="3B820F58" w14:textId="503F9071" w:rsidR="00865CF4" w:rsidRPr="00DE49D1" w:rsidRDefault="0075751F" w:rsidP="00DE49D1">
      <w:pPr>
        <w:pStyle w:val="Ttulo3"/>
      </w:pPr>
      <w:bookmarkStart w:id="13" w:name="_Toc184230522"/>
      <w:r w:rsidRPr="00DE49D1">
        <w:t>d</w:t>
      </w:r>
      <w:r w:rsidR="00664420" w:rsidRPr="00DE49D1">
        <w:t xml:space="preserve">) </w:t>
      </w:r>
      <w:r w:rsidR="00865CF4" w:rsidRPr="00DE49D1">
        <w:t>Informe Justificado del Sujeto Obligado</w:t>
      </w:r>
      <w:bookmarkEnd w:id="13"/>
    </w:p>
    <w:p w14:paraId="6D9A44B9" w14:textId="77777777" w:rsidR="00755414" w:rsidRPr="00DE49D1" w:rsidRDefault="00755414" w:rsidP="00DE49D1">
      <w:pPr>
        <w:rPr>
          <w:rFonts w:eastAsia="Arial Unicode MS" w:cs="Arial"/>
        </w:rPr>
      </w:pPr>
      <w:r w:rsidRPr="00DE49D1">
        <w:rPr>
          <w:rFonts w:cs="Tahoma"/>
          <w:b/>
          <w:szCs w:val="24"/>
        </w:rPr>
        <w:t xml:space="preserve">EL SUJETO OBLIGADO </w:t>
      </w:r>
      <w:r w:rsidRPr="00DE49D1">
        <w:rPr>
          <w:rFonts w:eastAsia="Arial Unicode MS" w:cs="Arial"/>
        </w:rPr>
        <w:t>no rindió su informe justificado dentro del término legalmente concedido para tal efecto.</w:t>
      </w:r>
    </w:p>
    <w:p w14:paraId="0D60FAD5" w14:textId="77777777" w:rsidR="00AC25A6" w:rsidRPr="00DE49D1" w:rsidRDefault="00AC25A6" w:rsidP="00DE49D1">
      <w:pPr>
        <w:pStyle w:val="Ttulo3"/>
        <w:rPr>
          <w:rFonts w:eastAsia="Calibri"/>
          <w:bCs/>
          <w:lang w:eastAsia="en-US"/>
        </w:rPr>
      </w:pPr>
    </w:p>
    <w:p w14:paraId="755B7730" w14:textId="3EA3E31D" w:rsidR="00664420" w:rsidRPr="00DE49D1" w:rsidRDefault="0075751F" w:rsidP="00DE49D1">
      <w:pPr>
        <w:pStyle w:val="Ttulo3"/>
        <w:rPr>
          <w:lang w:val="es-ES"/>
        </w:rPr>
      </w:pPr>
      <w:bookmarkStart w:id="14" w:name="_Toc184230523"/>
      <w:r w:rsidRPr="00DE49D1">
        <w:rPr>
          <w:rFonts w:eastAsia="Calibri"/>
          <w:bCs/>
          <w:lang w:eastAsia="en-US"/>
        </w:rPr>
        <w:t>e</w:t>
      </w:r>
      <w:r w:rsidR="00664420" w:rsidRPr="00DE49D1">
        <w:rPr>
          <w:rFonts w:eastAsia="Calibri"/>
          <w:bCs/>
          <w:lang w:eastAsia="en-US"/>
        </w:rPr>
        <w:t>)</w:t>
      </w:r>
      <w:r w:rsidR="00664420" w:rsidRPr="00DE49D1">
        <w:t xml:space="preserve"> </w:t>
      </w:r>
      <w:r w:rsidR="00865CF4" w:rsidRPr="00DE49D1">
        <w:rPr>
          <w:lang w:val="es-ES"/>
        </w:rPr>
        <w:t>Manifestaciones de la Parte Recurrente</w:t>
      </w:r>
      <w:bookmarkEnd w:id="14"/>
    </w:p>
    <w:p w14:paraId="4E8AF011" w14:textId="77777777" w:rsidR="00865CF4" w:rsidRPr="00DE49D1" w:rsidRDefault="00865CF4" w:rsidP="00DE49D1">
      <w:pPr>
        <w:rPr>
          <w:rFonts w:eastAsia="Arial Unicode MS" w:cs="Arial"/>
        </w:rPr>
      </w:pPr>
      <w:r w:rsidRPr="00DE49D1">
        <w:rPr>
          <w:rFonts w:cs="Tahoma"/>
          <w:b/>
          <w:szCs w:val="24"/>
        </w:rPr>
        <w:t xml:space="preserve">LA PARTE RECURRENTE </w:t>
      </w:r>
      <w:r w:rsidRPr="00DE49D1">
        <w:rPr>
          <w:rFonts w:eastAsia="Arial Unicode MS" w:cs="Arial"/>
        </w:rPr>
        <w:t>no realizó manifestación alguna dentro del término legalmente concedido para tal efecto, ni presentó pruebas o alegatos.</w:t>
      </w:r>
    </w:p>
    <w:p w14:paraId="43289D82" w14:textId="77777777" w:rsidR="00865CF4" w:rsidRPr="00DE49D1" w:rsidRDefault="00865CF4" w:rsidP="00DE49D1">
      <w:pPr>
        <w:rPr>
          <w:rFonts w:eastAsia="Arial Unicode MS" w:cs="Arial"/>
        </w:rPr>
      </w:pPr>
    </w:p>
    <w:p w14:paraId="0E651988" w14:textId="07B7DBA4" w:rsidR="00664420" w:rsidRPr="00DE49D1" w:rsidRDefault="007517BD" w:rsidP="00DE49D1">
      <w:pPr>
        <w:pStyle w:val="Ttulo3"/>
      </w:pPr>
      <w:bookmarkStart w:id="15" w:name="_Toc184230524"/>
      <w:r w:rsidRPr="00DE49D1">
        <w:rPr>
          <w:rFonts w:eastAsia="Calibri"/>
        </w:rPr>
        <w:t xml:space="preserve">f) </w:t>
      </w:r>
      <w:r w:rsidR="00664420" w:rsidRPr="00DE49D1">
        <w:t>Cierre de instrucción</w:t>
      </w:r>
      <w:bookmarkEnd w:id="15"/>
    </w:p>
    <w:p w14:paraId="79AF95DC" w14:textId="261C7C60" w:rsidR="00664420" w:rsidRPr="00DE49D1" w:rsidRDefault="00BF091A" w:rsidP="00DE49D1">
      <w:r w:rsidRPr="00DE49D1">
        <w:rPr>
          <w:rFonts w:cs="Tahoma"/>
          <w:szCs w:val="22"/>
        </w:rPr>
        <w:t>Al no existir diligencias pendientes por desahogar</w:t>
      </w:r>
      <w:r w:rsidRPr="00DE49D1">
        <w:rPr>
          <w:rFonts w:cs="Arial"/>
        </w:rPr>
        <w:t xml:space="preserve">, el </w:t>
      </w:r>
      <w:bookmarkStart w:id="16" w:name="_Hlk104892386"/>
      <w:r w:rsidR="00755414" w:rsidRPr="00DE49D1">
        <w:rPr>
          <w:rFonts w:cs="Arial"/>
          <w:b/>
        </w:rPr>
        <w:t xml:space="preserve">veintiséis </w:t>
      </w:r>
      <w:r w:rsidR="00CF4420" w:rsidRPr="00DE49D1">
        <w:rPr>
          <w:rFonts w:cs="Arial"/>
          <w:b/>
        </w:rPr>
        <w:t xml:space="preserve">de </w:t>
      </w:r>
      <w:r w:rsidR="006D287D" w:rsidRPr="00DE49D1">
        <w:rPr>
          <w:rFonts w:cs="Arial"/>
          <w:b/>
        </w:rPr>
        <w:t xml:space="preserve">noviembre </w:t>
      </w:r>
      <w:bookmarkEnd w:id="16"/>
      <w:r w:rsidRPr="00DE49D1">
        <w:rPr>
          <w:rFonts w:cs="Arial"/>
          <w:b/>
        </w:rPr>
        <w:t xml:space="preserve">de dos mil </w:t>
      </w:r>
      <w:r w:rsidR="0075751F" w:rsidRPr="00DE49D1">
        <w:rPr>
          <w:rFonts w:cs="Arial"/>
          <w:b/>
        </w:rPr>
        <w:t xml:space="preserve">veinticuatro </w:t>
      </w:r>
      <w:r w:rsidRPr="00DE49D1">
        <w:rPr>
          <w:rFonts w:cs="Arial"/>
        </w:rPr>
        <w:t xml:space="preserve">la </w:t>
      </w:r>
      <w:r w:rsidRPr="00DE49D1">
        <w:rPr>
          <w:rFonts w:cs="Arial"/>
          <w:b/>
          <w:bCs/>
        </w:rPr>
        <w:t xml:space="preserve">Comisionada </w:t>
      </w:r>
      <w:r w:rsidRPr="00DE49D1">
        <w:rPr>
          <w:b/>
        </w:rPr>
        <w:t xml:space="preserve">Sharon Cristina Morales Martínez </w:t>
      </w:r>
      <w:r w:rsidRPr="00DE49D1">
        <w:rPr>
          <w:rFonts w:cs="Arial"/>
        </w:rPr>
        <w:t>acordó el cierre de instrucción</w:t>
      </w:r>
      <w:r w:rsidR="0011350D" w:rsidRPr="00DE49D1">
        <w:rPr>
          <w:rFonts w:cs="Arial"/>
        </w:rPr>
        <w:t xml:space="preserve"> y</w:t>
      </w:r>
      <w:r w:rsidRPr="00DE49D1">
        <w:rPr>
          <w:rFonts w:cs="Arial"/>
        </w:rPr>
        <w:t xml:space="preserve"> </w:t>
      </w:r>
      <w:r w:rsidR="0011350D" w:rsidRPr="00DE49D1">
        <w:rPr>
          <w:rFonts w:cs="Arial"/>
        </w:rPr>
        <w:t xml:space="preserve">la </w:t>
      </w:r>
      <w:r w:rsidRPr="00DE49D1">
        <w:rPr>
          <w:rFonts w:cs="Arial"/>
        </w:rPr>
        <w:t>remisión del expediente a efecto de ser resuelto, de conformidad con lo establecido en el artículo 185 fracciones VI y VIII de la Ley de Transparencia y Acceso a la Información Pública del Estado de México y Municipios</w:t>
      </w:r>
      <w:r w:rsidRPr="00DE49D1">
        <w:t>.</w:t>
      </w:r>
      <w:r w:rsidR="0011350D" w:rsidRPr="00DE49D1">
        <w:t xml:space="preserve"> Dicho acuerdo </w:t>
      </w:r>
      <w:r w:rsidR="00664420" w:rsidRPr="00DE49D1">
        <w:rPr>
          <w:rFonts w:cs="Tahoma"/>
          <w:szCs w:val="22"/>
        </w:rPr>
        <w:t xml:space="preserve">fue notificado a las partes el mismo día a través del </w:t>
      </w:r>
      <w:r w:rsidR="00664420" w:rsidRPr="00DE49D1">
        <w:rPr>
          <w:rFonts w:cs="Tahoma"/>
          <w:szCs w:val="22"/>
          <w:lang w:val="es-ES"/>
        </w:rPr>
        <w:t>SAIMEX</w:t>
      </w:r>
      <w:r w:rsidR="00664420" w:rsidRPr="00DE49D1">
        <w:rPr>
          <w:rFonts w:cs="Tahoma"/>
          <w:szCs w:val="22"/>
        </w:rPr>
        <w:t>.</w:t>
      </w:r>
    </w:p>
    <w:p w14:paraId="741683E3" w14:textId="77777777" w:rsidR="0011350D" w:rsidRPr="00DE49D1" w:rsidRDefault="0011350D" w:rsidP="00DE49D1">
      <w:pPr>
        <w:rPr>
          <w:rFonts w:cs="Tahoma"/>
          <w:szCs w:val="22"/>
        </w:rPr>
      </w:pPr>
    </w:p>
    <w:p w14:paraId="7A9629DE" w14:textId="77777777" w:rsidR="00664420" w:rsidRPr="00DE49D1" w:rsidRDefault="00664420" w:rsidP="00DE49D1">
      <w:pPr>
        <w:pStyle w:val="Ttulo1"/>
        <w:rPr>
          <w:rFonts w:eastAsiaTheme="minorHAnsi"/>
          <w:lang w:eastAsia="en-US"/>
        </w:rPr>
      </w:pPr>
      <w:bookmarkStart w:id="17" w:name="_Toc184230525"/>
      <w:r w:rsidRPr="00DE49D1">
        <w:rPr>
          <w:rFonts w:eastAsiaTheme="minorHAnsi"/>
          <w:lang w:eastAsia="en-US"/>
        </w:rPr>
        <w:t>CONSIDERANDOS</w:t>
      </w:r>
      <w:bookmarkEnd w:id="17"/>
    </w:p>
    <w:p w14:paraId="6DD1243B" w14:textId="77777777" w:rsidR="00664420" w:rsidRPr="00DE49D1" w:rsidRDefault="00664420" w:rsidP="00DE49D1">
      <w:pPr>
        <w:contextualSpacing/>
        <w:jc w:val="center"/>
        <w:rPr>
          <w:rFonts w:eastAsiaTheme="minorHAnsi" w:cs="Tahoma"/>
          <w:b/>
          <w:szCs w:val="22"/>
          <w:lang w:eastAsia="en-US"/>
        </w:rPr>
      </w:pPr>
    </w:p>
    <w:p w14:paraId="0B67CB92" w14:textId="2E307D3B" w:rsidR="00664420" w:rsidRPr="00DE49D1" w:rsidRDefault="00664420" w:rsidP="00DE49D1">
      <w:pPr>
        <w:pStyle w:val="Ttulo2"/>
        <w:rPr>
          <w:rFonts w:eastAsia="Batang"/>
        </w:rPr>
      </w:pPr>
      <w:bookmarkStart w:id="18" w:name="_Toc184230526"/>
      <w:r w:rsidRPr="00DE49D1">
        <w:rPr>
          <w:rFonts w:eastAsia="Batang"/>
        </w:rPr>
        <w:t xml:space="preserve">PRIMERO. </w:t>
      </w:r>
      <w:proofErr w:type="spellStart"/>
      <w:r w:rsidR="00BA55A8" w:rsidRPr="00DE49D1">
        <w:rPr>
          <w:rFonts w:eastAsia="Batang"/>
        </w:rPr>
        <w:t>Procedibilidad</w:t>
      </w:r>
      <w:bookmarkEnd w:id="18"/>
      <w:proofErr w:type="spellEnd"/>
    </w:p>
    <w:p w14:paraId="39C52BC1" w14:textId="56FCC20D" w:rsidR="00BA55A8" w:rsidRPr="00DE49D1" w:rsidRDefault="00BA55A8" w:rsidP="00DE49D1">
      <w:pPr>
        <w:pStyle w:val="Ttulo3"/>
      </w:pPr>
      <w:bookmarkStart w:id="19" w:name="_Toc184230527"/>
      <w:r w:rsidRPr="00DE49D1">
        <w:t>a) Competencia</w:t>
      </w:r>
      <w:r w:rsidR="00150C49" w:rsidRPr="00DE49D1">
        <w:t xml:space="preserve"> del Instituto</w:t>
      </w:r>
      <w:bookmarkEnd w:id="19"/>
    </w:p>
    <w:p w14:paraId="56E64942" w14:textId="6572EDF7" w:rsidR="0011350D" w:rsidRPr="00DE49D1" w:rsidRDefault="0011350D" w:rsidP="00DE49D1">
      <w:pPr>
        <w:rPr>
          <w:rFonts w:cs="Arial"/>
        </w:rPr>
      </w:pPr>
      <w:r w:rsidRPr="00DE49D1">
        <w:t xml:space="preserve">Este Instituto de Transparencia, Acceso a la Información Pública y Protección de Datos Personales del Estado de México y Municipios es competente para conocer y resolver </w:t>
      </w:r>
      <w:r w:rsidR="005F65B7" w:rsidRPr="00DE49D1">
        <w:t xml:space="preserve">el </w:t>
      </w:r>
      <w:r w:rsidRPr="00DE49D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E49D1">
        <w:rPr>
          <w:rFonts w:cs="Arial"/>
        </w:rPr>
        <w:t xml:space="preserve">; y 9, fracciones I y XXIII y 11 del Reglamento Interior del Instituto de </w:t>
      </w:r>
      <w:r w:rsidRPr="00DE49D1">
        <w:rPr>
          <w:rFonts w:cs="Arial"/>
        </w:rPr>
        <w:lastRenderedPageBreak/>
        <w:t>Transparencia, Acceso a la Información Pública y Protección de Datos Personales del Estado de México y Municipios.</w:t>
      </w:r>
    </w:p>
    <w:p w14:paraId="6C36A399" w14:textId="77777777" w:rsidR="00DB1C09" w:rsidRPr="00DE49D1" w:rsidRDefault="00DB1C09" w:rsidP="00DE49D1">
      <w:pPr>
        <w:rPr>
          <w:rFonts w:cs="Arial"/>
        </w:rPr>
      </w:pPr>
    </w:p>
    <w:p w14:paraId="517A2DD6" w14:textId="4169BE4D" w:rsidR="00664420" w:rsidRPr="00DE49D1" w:rsidRDefault="00BA55A8" w:rsidP="00DE49D1">
      <w:pPr>
        <w:pStyle w:val="Ttulo3"/>
      </w:pPr>
      <w:bookmarkStart w:id="20" w:name="_Toc184230528"/>
      <w:r w:rsidRPr="00DE49D1">
        <w:t>b)</w:t>
      </w:r>
      <w:r w:rsidR="00664420" w:rsidRPr="00DE49D1">
        <w:t xml:space="preserve"> </w:t>
      </w:r>
      <w:r w:rsidR="00D91CB4" w:rsidRPr="00DE49D1">
        <w:t>Legitimidad</w:t>
      </w:r>
      <w:r w:rsidRPr="00DE49D1">
        <w:t xml:space="preserve"> de la parte recurrente</w:t>
      </w:r>
      <w:bookmarkEnd w:id="20"/>
    </w:p>
    <w:p w14:paraId="26FEA382" w14:textId="0B06695C" w:rsidR="00D91CB4" w:rsidRPr="00DE49D1" w:rsidRDefault="00D91CB4" w:rsidP="00DE49D1">
      <w:pPr>
        <w:rPr>
          <w:rFonts w:cs="Arial"/>
          <w:bCs/>
        </w:rPr>
      </w:pPr>
      <w:r w:rsidRPr="00DE49D1">
        <w:rPr>
          <w:rFonts w:cs="Arial"/>
          <w:bCs/>
        </w:rPr>
        <w:t>El recurso de revisión fue interpuesto por parte legítima, ya que se presentó por la misma persona que formuló la solicitud de acceso a la Información Pública,</w:t>
      </w:r>
      <w:r w:rsidRPr="00DE49D1">
        <w:rPr>
          <w:rFonts w:cs="Arial"/>
          <w:b/>
          <w:bCs/>
        </w:rPr>
        <w:t xml:space="preserve"> </w:t>
      </w:r>
      <w:r w:rsidRPr="00DE49D1">
        <w:rPr>
          <w:rFonts w:cs="Arial"/>
        </w:rPr>
        <w:t>debido a que los datos de acceso</w:t>
      </w:r>
      <w:r w:rsidRPr="00DE49D1">
        <w:rPr>
          <w:rFonts w:cs="Arial"/>
          <w:b/>
          <w:bCs/>
        </w:rPr>
        <w:t xml:space="preserve"> </w:t>
      </w:r>
      <w:r w:rsidRPr="00DE49D1">
        <w:rPr>
          <w:rFonts w:cs="Arial"/>
          <w:b/>
        </w:rPr>
        <w:t>SAIMEX</w:t>
      </w:r>
      <w:r w:rsidRPr="00DE49D1">
        <w:rPr>
          <w:rFonts w:eastAsia="Calibri" w:cs="Arial"/>
          <w:lang w:eastAsia="en-US"/>
        </w:rPr>
        <w:t xml:space="preserve"> son personales e irrepetibles.</w:t>
      </w:r>
    </w:p>
    <w:p w14:paraId="2C367810" w14:textId="77777777" w:rsidR="00D91CB4" w:rsidRPr="00DE49D1" w:rsidRDefault="00D91CB4" w:rsidP="00DE49D1"/>
    <w:p w14:paraId="5C5FA5A8" w14:textId="77777777" w:rsidR="004565C2" w:rsidRPr="00DE49D1" w:rsidRDefault="004565C2" w:rsidP="00DE49D1">
      <w:pPr>
        <w:pStyle w:val="Ttulo3"/>
        <w:rPr>
          <w:rFonts w:eastAsia="Calibri"/>
          <w:lang w:eastAsia="es-ES_tradnl"/>
        </w:rPr>
      </w:pPr>
      <w:bookmarkStart w:id="21" w:name="_Toc170932820"/>
      <w:bookmarkStart w:id="22" w:name="_Toc184230529"/>
      <w:r w:rsidRPr="00DE49D1">
        <w:rPr>
          <w:rFonts w:eastAsia="Calibri"/>
          <w:lang w:eastAsia="es-ES_tradnl"/>
        </w:rPr>
        <w:t>c) Plazo para interponer el recurso</w:t>
      </w:r>
      <w:bookmarkEnd w:id="21"/>
      <w:bookmarkEnd w:id="22"/>
    </w:p>
    <w:p w14:paraId="5C63152A" w14:textId="6EA96961" w:rsidR="004565C2" w:rsidRPr="00DE49D1" w:rsidRDefault="004565C2" w:rsidP="00DE49D1">
      <w:pPr>
        <w:rPr>
          <w:rFonts w:eastAsiaTheme="minorEastAsia" w:cs="Arial"/>
          <w:lang w:val="es-ES_tradnl"/>
        </w:rPr>
      </w:pPr>
      <w:r w:rsidRPr="00DE49D1">
        <w:rPr>
          <w:rFonts w:cs="Arial"/>
          <w:b/>
        </w:rPr>
        <w:t>EL SUJETO OBLIGADO</w:t>
      </w:r>
      <w:r w:rsidRPr="00DE49D1">
        <w:rPr>
          <w:rFonts w:cs="Arial"/>
        </w:rPr>
        <w:t xml:space="preserve"> notificó la respuesta a la solicitud de acceso a la Información Pública el </w:t>
      </w:r>
      <w:r w:rsidR="00755414" w:rsidRPr="00DE49D1">
        <w:rPr>
          <w:rFonts w:eastAsia="Palatino Linotype" w:cs="Palatino Linotype"/>
          <w:b/>
        </w:rPr>
        <w:t xml:space="preserve">siete de noviembre </w:t>
      </w:r>
      <w:r w:rsidR="003F72B0" w:rsidRPr="00DE49D1">
        <w:rPr>
          <w:rFonts w:eastAsia="Palatino Linotype" w:cs="Palatino Linotype"/>
          <w:b/>
        </w:rPr>
        <w:t>d</w:t>
      </w:r>
      <w:r w:rsidR="00101093" w:rsidRPr="00DE49D1">
        <w:rPr>
          <w:rFonts w:eastAsia="Palatino Linotype" w:cs="Palatino Linotype"/>
          <w:b/>
        </w:rPr>
        <w:t>e</w:t>
      </w:r>
      <w:r w:rsidRPr="00DE49D1">
        <w:rPr>
          <w:rFonts w:eastAsia="Palatino Linotype" w:cs="Palatino Linotype"/>
          <w:b/>
        </w:rPr>
        <w:t xml:space="preserve"> dos mil veinticuatro </w:t>
      </w:r>
      <w:r w:rsidRPr="00DE49D1">
        <w:rPr>
          <w:rFonts w:cs="Arial"/>
        </w:rPr>
        <w:t xml:space="preserve">y el recurso </w:t>
      </w:r>
      <w:r w:rsidRPr="00DE49D1">
        <w:rPr>
          <w:rFonts w:eastAsia="Palatino Linotype" w:cs="Palatino Linotype"/>
        </w:rPr>
        <w:t xml:space="preserve">que nos ocupa se interpuso el </w:t>
      </w:r>
      <w:r w:rsidR="00755414" w:rsidRPr="00DE49D1">
        <w:rPr>
          <w:rFonts w:eastAsia="Palatino Linotype" w:cs="Palatino Linotype"/>
          <w:b/>
        </w:rPr>
        <w:t xml:space="preserve">nueve de noviembre </w:t>
      </w:r>
      <w:r w:rsidRPr="00DE49D1">
        <w:rPr>
          <w:rFonts w:eastAsia="Palatino Linotype" w:cs="Palatino Linotype"/>
          <w:b/>
        </w:rPr>
        <w:t>de dos mil veinticuatro</w:t>
      </w:r>
      <w:r w:rsidRPr="00DE49D1">
        <w:rPr>
          <w:rFonts w:eastAsia="Palatino Linotype" w:cs="Palatino Linotype"/>
          <w:bCs/>
        </w:rPr>
        <w:t>;</w:t>
      </w:r>
      <w:r w:rsidRPr="00DE49D1">
        <w:rPr>
          <w:rFonts w:eastAsia="Palatino Linotype" w:cs="Palatino Linotype"/>
        </w:rPr>
        <w:t xml:space="preserve"> por lo tanto, éste se encuentra dentro del margen temporal previsto en el artículo 178 de la </w:t>
      </w:r>
      <w:r w:rsidRPr="00DE49D1">
        <w:rPr>
          <w:rFonts w:cs="Arial"/>
        </w:rPr>
        <w:t xml:space="preserve">Ley de Transparencia y Acceso a la Información Pública del Estado de México y Municipios, </w:t>
      </w:r>
      <w:r w:rsidRPr="00DE49D1">
        <w:rPr>
          <w:rFonts w:eastAsia="Calibri"/>
          <w:lang w:eastAsia="es-ES_tradnl"/>
        </w:rPr>
        <w:t xml:space="preserve">el cual </w:t>
      </w:r>
      <w:r w:rsidRPr="00DE49D1">
        <w:rPr>
          <w:rFonts w:cs="Arial"/>
        </w:rPr>
        <w:t xml:space="preserve">transcurrió del </w:t>
      </w:r>
      <w:r w:rsidR="00755414" w:rsidRPr="00DE49D1">
        <w:rPr>
          <w:rFonts w:cs="Arial"/>
          <w:b/>
        </w:rPr>
        <w:t xml:space="preserve">ocho al veintinueve de noviembre </w:t>
      </w:r>
      <w:r w:rsidR="00586236" w:rsidRPr="00DE49D1">
        <w:rPr>
          <w:rFonts w:cs="Arial"/>
          <w:b/>
        </w:rPr>
        <w:t xml:space="preserve">de dos </w:t>
      </w:r>
      <w:r w:rsidR="00DA54C1" w:rsidRPr="00DE49D1">
        <w:rPr>
          <w:rFonts w:cs="Arial"/>
          <w:b/>
        </w:rPr>
        <w:t xml:space="preserve">mil </w:t>
      </w:r>
      <w:r w:rsidRPr="00DE49D1">
        <w:rPr>
          <w:rFonts w:cs="Arial"/>
          <w:b/>
        </w:rPr>
        <w:t>veinticuatro</w:t>
      </w:r>
      <w:r w:rsidRPr="00DE49D1">
        <w:rPr>
          <w:rFonts w:cs="Arial"/>
        </w:rPr>
        <w:t xml:space="preserve">, </w:t>
      </w:r>
      <w:r w:rsidRPr="00DE49D1">
        <w:rPr>
          <w:rFonts w:eastAsiaTheme="minorEastAsia" w:cs="Arial"/>
          <w:lang w:val="es-ES_tradnl"/>
        </w:rPr>
        <w:t xml:space="preserve">sin contemplar en el cómputo los días </w:t>
      </w:r>
      <w:bookmarkStart w:id="23" w:name="_Hlk62134391"/>
      <w:r w:rsidRPr="00DE49D1">
        <w:rPr>
          <w:rFonts w:eastAsiaTheme="minorEastAsia" w:cs="Arial"/>
          <w:lang w:val="es-ES_tradnl"/>
        </w:rPr>
        <w:t xml:space="preserve">sábados, domingos y aquellos considerados como días inhábiles en términos del </w:t>
      </w:r>
      <w:bookmarkEnd w:id="23"/>
      <w:r w:rsidRPr="00DE49D1">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DE49D1" w:rsidRDefault="004565C2" w:rsidP="00DE49D1"/>
    <w:p w14:paraId="2284D7EB" w14:textId="1747861B" w:rsidR="00BA55A8" w:rsidRPr="00DE49D1" w:rsidRDefault="00BA55A8" w:rsidP="00DE49D1">
      <w:pPr>
        <w:pStyle w:val="Ttulo3"/>
      </w:pPr>
      <w:bookmarkStart w:id="24" w:name="_Toc184230530"/>
      <w:r w:rsidRPr="00DE49D1">
        <w:rPr>
          <w:rFonts w:eastAsia="Calibri"/>
          <w:lang w:eastAsia="es-ES_tradnl"/>
        </w:rPr>
        <w:t>d)</w:t>
      </w:r>
      <w:r w:rsidR="00D91CB4" w:rsidRPr="00DE49D1">
        <w:rPr>
          <w:rFonts w:eastAsia="Calibri"/>
          <w:lang w:eastAsia="es-ES_tradnl"/>
        </w:rPr>
        <w:t xml:space="preserve"> </w:t>
      </w:r>
      <w:r w:rsidR="00362A11" w:rsidRPr="00DE49D1">
        <w:t>Requisitos formales para la interposición del recurso</w:t>
      </w:r>
      <w:bookmarkEnd w:id="24"/>
    </w:p>
    <w:p w14:paraId="1646C66E" w14:textId="685512AF" w:rsidR="00101093" w:rsidRPr="00DE49D1" w:rsidRDefault="00101093" w:rsidP="00DE49D1">
      <w:pPr>
        <w:rPr>
          <w:rFonts w:cs="Arial"/>
        </w:rPr>
      </w:pPr>
      <w:r w:rsidRPr="00DE49D1">
        <w:rPr>
          <w:rFonts w:cs="Arial"/>
          <w:b/>
          <w:bCs/>
        </w:rPr>
        <w:t xml:space="preserve">LA PARTE RECURRENTE </w:t>
      </w:r>
      <w:r w:rsidRPr="00DE49D1">
        <w:rPr>
          <w:rFonts w:cs="Arial"/>
        </w:rPr>
        <w:t>acreditó los elementos formales exigidos por el artículo 180 de la misma normatividad.</w:t>
      </w:r>
    </w:p>
    <w:p w14:paraId="343723E2" w14:textId="77777777" w:rsidR="00101093" w:rsidRPr="00DE49D1" w:rsidRDefault="00101093" w:rsidP="00DE49D1">
      <w:pPr>
        <w:rPr>
          <w:rFonts w:cs="Arial"/>
        </w:rPr>
      </w:pPr>
    </w:p>
    <w:p w14:paraId="457548E9" w14:textId="6A1FC3A0" w:rsidR="00C71CEF" w:rsidRPr="00DE49D1" w:rsidRDefault="00C71CEF" w:rsidP="00DE49D1">
      <w:pPr>
        <w:pStyle w:val="Ttulo2"/>
      </w:pPr>
      <w:bookmarkStart w:id="25" w:name="_Toc184230531"/>
      <w:r w:rsidRPr="00DE49D1">
        <w:t xml:space="preserve">SEGUNDO. </w:t>
      </w:r>
      <w:r w:rsidR="00C66A9B" w:rsidRPr="00DE49D1">
        <w:t>Sobreseimiento</w:t>
      </w:r>
      <w:r w:rsidR="009155CE" w:rsidRPr="00DE49D1">
        <w:t>.</w:t>
      </w:r>
      <w:bookmarkEnd w:id="25"/>
    </w:p>
    <w:p w14:paraId="5FA0BBBF" w14:textId="77777777" w:rsidR="009155CE" w:rsidRPr="00DE49D1" w:rsidRDefault="009155CE" w:rsidP="00DE49D1"/>
    <w:p w14:paraId="4A3DB238" w14:textId="19322912" w:rsidR="009155CE" w:rsidRPr="00DE49D1" w:rsidRDefault="009155CE" w:rsidP="00DE49D1">
      <w:pPr>
        <w:pStyle w:val="Ttulo3"/>
        <w:numPr>
          <w:ilvl w:val="0"/>
          <w:numId w:val="5"/>
        </w:numPr>
        <w:rPr>
          <w:rFonts w:eastAsia="Palatino Linotype"/>
          <w:lang w:val="es-ES" w:eastAsia="es-MX"/>
        </w:rPr>
      </w:pPr>
      <w:bookmarkStart w:id="26" w:name="_Toc184230532"/>
      <w:r w:rsidRPr="00DE49D1">
        <w:rPr>
          <w:rFonts w:eastAsia="Palatino Linotype"/>
          <w:lang w:val="es-ES" w:eastAsia="es-MX"/>
        </w:rPr>
        <w:lastRenderedPageBreak/>
        <w:t>Derecho de acceso a la información.</w:t>
      </w:r>
      <w:bookmarkEnd w:id="26"/>
    </w:p>
    <w:p w14:paraId="51E7767D" w14:textId="6323A938" w:rsidR="009155CE" w:rsidRPr="00DE49D1" w:rsidRDefault="009155CE" w:rsidP="00DE49D1">
      <w:pPr>
        <w:rPr>
          <w:rFonts w:eastAsia="Palatino Linotype"/>
          <w:lang w:val="es-ES" w:eastAsia="es-MX"/>
        </w:rPr>
      </w:pPr>
      <w:r w:rsidRPr="00DE49D1">
        <w:rPr>
          <w:rFonts w:eastAsia="Palatino Linotype"/>
          <w:lang w:val="es-ES" w:eastAsia="es-MX"/>
        </w:rPr>
        <w:t>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37B981A3" w14:textId="77777777" w:rsidR="009155CE" w:rsidRPr="00DE49D1" w:rsidRDefault="009155CE" w:rsidP="00DE49D1">
      <w:pPr>
        <w:rPr>
          <w:rFonts w:eastAsia="Palatino Linotype"/>
          <w:lang w:val="es-ES" w:eastAsia="es-MX"/>
        </w:rPr>
      </w:pPr>
    </w:p>
    <w:p w14:paraId="62AF1717" w14:textId="77777777" w:rsidR="009155CE" w:rsidRPr="00DE49D1" w:rsidRDefault="009155CE" w:rsidP="00DE49D1">
      <w:pPr>
        <w:rPr>
          <w:rFonts w:eastAsia="Palatino Linotype"/>
          <w:lang w:val="es-ES" w:eastAsia="es-MX"/>
        </w:rPr>
      </w:pPr>
      <w:r w:rsidRPr="00DE49D1">
        <w:rPr>
          <w:rFonts w:eastAsia="Palatino Linotype"/>
          <w:lang w:val="es-ES" w:eastAsia="es-MX"/>
        </w:rPr>
        <w:t>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w:t>
      </w:r>
    </w:p>
    <w:p w14:paraId="7215B521" w14:textId="77777777" w:rsidR="009155CE" w:rsidRPr="00DE49D1" w:rsidRDefault="009155CE" w:rsidP="00DE49D1">
      <w:pPr>
        <w:rPr>
          <w:rFonts w:eastAsia="Palatino Linotype"/>
          <w:lang w:val="es-ES" w:eastAsia="es-MX"/>
        </w:rPr>
      </w:pPr>
    </w:p>
    <w:p w14:paraId="45D2A2C8" w14:textId="77777777" w:rsidR="009155CE" w:rsidRPr="00DE49D1" w:rsidRDefault="009155CE" w:rsidP="00DE49D1">
      <w:pPr>
        <w:rPr>
          <w:rFonts w:eastAsia="Palatino Linotype"/>
          <w:lang w:val="es-ES" w:eastAsia="es-MX"/>
        </w:rPr>
      </w:pPr>
      <w:r w:rsidRPr="00DE49D1">
        <w:rPr>
          <w:rFonts w:eastAsia="Palatino Linotype"/>
          <w:lang w:val="es-ES" w:eastAsia="es-MX"/>
        </w:rPr>
        <w:t>En esa tesitura, los Sujetos Obligados deberán poner en práctica, políticas y programas de acceso a la información que se apeguen a criterios de publicidad, veracidad, oportunidad, precisión y suficiencia en beneficio de los solicitantes Por lo que, 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3CBBACCC" w14:textId="77777777" w:rsidR="009155CE" w:rsidRPr="00DE49D1" w:rsidRDefault="009155CE" w:rsidP="00DE49D1">
      <w:pPr>
        <w:rPr>
          <w:rFonts w:eastAsia="Palatino Linotype"/>
          <w:lang w:val="es-ES" w:eastAsia="es-MX"/>
        </w:rPr>
      </w:pPr>
    </w:p>
    <w:p w14:paraId="06E0D54C" w14:textId="77777777" w:rsidR="009155CE" w:rsidRPr="00DE49D1" w:rsidRDefault="009155CE" w:rsidP="00DE49D1">
      <w:pPr>
        <w:rPr>
          <w:rFonts w:eastAsia="Palatino Linotype"/>
          <w:lang w:val="es-ES" w:eastAsia="es-MX"/>
        </w:rPr>
      </w:pPr>
      <w:r w:rsidRPr="00DE49D1">
        <w:rPr>
          <w:rFonts w:eastAsia="Palatino Linotype"/>
          <w:lang w:val="es-ES" w:eastAsia="es-MX"/>
        </w:rPr>
        <w:t xml:space="preserve">Ahora bien, si bien es cierto que la Constitución y la Ley de la materia otorgan a los particulares el derecho de acceder a los documentos generados o en posesión de las autoridades; también lo es que, la obligación de proporcionar información no comprende el </w:t>
      </w:r>
      <w:r w:rsidRPr="00DE49D1">
        <w:rPr>
          <w:rFonts w:eastAsia="Palatino Linotype"/>
          <w:lang w:val="es-ES" w:eastAsia="es-MX"/>
        </w:rPr>
        <w:lastRenderedPageBreak/>
        <w:t>procesamiento de esta, ni el presentarla conforme al interés del solicitante ya que no estarán constreñidos a generarla, resumirla, efectuar cálculos o practicar investigaciones.</w:t>
      </w:r>
    </w:p>
    <w:p w14:paraId="7A636726" w14:textId="77777777" w:rsidR="009155CE" w:rsidRPr="00DE49D1" w:rsidRDefault="009155CE" w:rsidP="00DE49D1">
      <w:pPr>
        <w:rPr>
          <w:rFonts w:eastAsia="Palatino Linotype"/>
          <w:lang w:val="es-ES" w:eastAsia="es-MX"/>
        </w:rPr>
      </w:pPr>
    </w:p>
    <w:p w14:paraId="527912E4" w14:textId="77777777" w:rsidR="009155CE" w:rsidRPr="00DE49D1" w:rsidRDefault="009155CE" w:rsidP="00DE49D1">
      <w:pPr>
        <w:rPr>
          <w:rFonts w:eastAsia="Palatino Linotype"/>
          <w:lang w:val="es-ES" w:eastAsia="es-MX"/>
        </w:rPr>
      </w:pPr>
      <w:r w:rsidRPr="00DE49D1">
        <w:rPr>
          <w:rFonts w:eastAsia="Palatino Linotype"/>
          <w:lang w:val="es-ES" w:eastAsia="es-MX"/>
        </w:rPr>
        <w:t xml:space="preserve">Aunado a lo anterior, es de señalar que el doctrinario Ernesto Villanueva </w:t>
      </w:r>
      <w:proofErr w:type="spellStart"/>
      <w:r w:rsidRPr="00DE49D1">
        <w:rPr>
          <w:rFonts w:eastAsia="Palatino Linotype"/>
          <w:lang w:val="es-ES" w:eastAsia="es-MX"/>
        </w:rPr>
        <w:t>Villanueva</w:t>
      </w:r>
      <w:proofErr w:type="spellEnd"/>
      <w:r w:rsidRPr="00DE49D1">
        <w:rPr>
          <w:rFonts w:eastAsia="Palatino Linotype"/>
          <w:lang w:val="es-ES" w:eastAsia="es-MX"/>
        </w:rPr>
        <w:t xml:space="preserve"> define al derecho de acceso a la información como:</w:t>
      </w:r>
    </w:p>
    <w:p w14:paraId="09D698DC" w14:textId="77777777" w:rsidR="009155CE" w:rsidRPr="00DE49D1" w:rsidRDefault="009155CE" w:rsidP="00DE49D1">
      <w:pPr>
        <w:pStyle w:val="Puesto"/>
        <w:rPr>
          <w:rFonts w:eastAsia="Palatino Linotype"/>
          <w:lang w:val="es-ES" w:eastAsia="es-MX"/>
        </w:rPr>
      </w:pPr>
    </w:p>
    <w:p w14:paraId="08B2F635" w14:textId="77777777" w:rsidR="009155CE" w:rsidRPr="00DE49D1" w:rsidRDefault="009155CE" w:rsidP="00DE49D1">
      <w:pPr>
        <w:pStyle w:val="Puesto"/>
        <w:rPr>
          <w:rFonts w:eastAsia="Palatino Linotype"/>
          <w:szCs w:val="22"/>
          <w:lang w:eastAsia="es-MX"/>
        </w:rPr>
      </w:pPr>
      <w:r w:rsidRPr="00DE49D1">
        <w:rPr>
          <w:rFonts w:eastAsia="Palatino Linotype"/>
          <w:szCs w:val="22"/>
          <w:lang w:eastAsia="es-MX"/>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(Sic)</w:t>
      </w:r>
    </w:p>
    <w:p w14:paraId="549C1144" w14:textId="77777777" w:rsidR="009155CE" w:rsidRPr="00DE49D1" w:rsidRDefault="009155CE" w:rsidP="00DE49D1">
      <w:pPr>
        <w:pStyle w:val="Puesto"/>
        <w:rPr>
          <w:rFonts w:eastAsia="Palatino Linotype"/>
          <w:lang w:eastAsia="es-MX"/>
        </w:rPr>
      </w:pPr>
    </w:p>
    <w:p w14:paraId="024F3885" w14:textId="77777777" w:rsidR="009155CE" w:rsidRPr="00DE49D1" w:rsidRDefault="009155CE" w:rsidP="00DE49D1">
      <w:pPr>
        <w:rPr>
          <w:rFonts w:eastAsia="Palatino Linotype"/>
          <w:lang w:eastAsia="es-MX"/>
        </w:rPr>
      </w:pPr>
      <w:r w:rsidRPr="00DE49D1">
        <w:rPr>
          <w:rFonts w:eastAsia="Palatino Linotype"/>
          <w:lang w:eastAsia="es-MX"/>
        </w:rPr>
        <w:t>Por lo que se puede advertir que el derecho de acceso a la información pública estriba principalmente en permitir el acceso a datos, registros y todo tipo de información pública que conste en documentos ya sea generada o que se encuentre en posesión de la autoridad.</w:t>
      </w:r>
    </w:p>
    <w:p w14:paraId="3437FF7D" w14:textId="77777777" w:rsidR="009155CE" w:rsidRPr="00DE49D1" w:rsidRDefault="009155CE" w:rsidP="00DE49D1">
      <w:pPr>
        <w:rPr>
          <w:rFonts w:eastAsia="Palatino Linotype"/>
          <w:lang w:eastAsia="es-MX"/>
        </w:rPr>
      </w:pPr>
    </w:p>
    <w:p w14:paraId="63512897" w14:textId="77777777" w:rsidR="009155CE" w:rsidRPr="00DE49D1" w:rsidRDefault="009155CE" w:rsidP="00DE49D1">
      <w:pPr>
        <w:rPr>
          <w:rFonts w:eastAsia="Palatino Linotype"/>
          <w:lang w:eastAsia="es-MX"/>
        </w:rPr>
      </w:pPr>
      <w:r w:rsidRPr="00DE49D1">
        <w:rPr>
          <w:rFonts w:eastAsia="Palatino Linotype"/>
          <w:lang w:eastAsia="es-MX"/>
        </w:rPr>
        <w:t xml:space="preserve">Aunado a ello, es importante mencionar que del análisis de la solicitud de información en comento, se observa que el particular manifiesta una inquietud, así como los inconvenientes que ha tenido para un problema en específico, es decir, no se deduce derecho alguno de acceso a la información pública que pueda colmarse con documento, por lo que se pone en evidencia que no se está ante una hipótesis prevista por la Ley de Transparencia y Acceso a la Información Pública del Estado de México y Municipios y que constriña al </w:t>
      </w:r>
      <w:r w:rsidRPr="00DE49D1">
        <w:rPr>
          <w:rFonts w:eastAsia="Palatino Linotype"/>
          <w:b/>
          <w:lang w:eastAsia="es-MX"/>
        </w:rPr>
        <w:t>SUJETO OBLIGADO</w:t>
      </w:r>
      <w:r w:rsidRPr="00DE49D1">
        <w:rPr>
          <w:rFonts w:eastAsia="Palatino Linotype"/>
          <w:lang w:eastAsia="es-MX"/>
        </w:rPr>
        <w:t xml:space="preserve"> a generar, administrar o que de algún modo forme parte de sus archivos.</w:t>
      </w:r>
      <w:r w:rsidRPr="00DE49D1">
        <w:rPr>
          <w:rFonts w:eastAsia="Palatino Linotype"/>
          <w:lang w:eastAsia="es-MX"/>
        </w:rPr>
        <w:cr/>
      </w:r>
    </w:p>
    <w:p w14:paraId="3B8F12F4" w14:textId="77777777" w:rsidR="009155CE" w:rsidRPr="00DE49D1" w:rsidRDefault="009155CE" w:rsidP="00DE49D1">
      <w:pPr>
        <w:rPr>
          <w:rFonts w:eastAsia="Palatino Linotype"/>
          <w:lang w:eastAsia="es-MX"/>
        </w:rPr>
      </w:pPr>
      <w:r w:rsidRPr="00DE49D1">
        <w:rPr>
          <w:rFonts w:eastAsia="Palatino Linotype"/>
          <w:lang w:eastAsia="es-MX"/>
        </w:rPr>
        <w:t xml:space="preserve">Bajo esa perspectiva, se advierte que la pretensión del peticionario consiste en obligar a la autoridad responsable a que actúe en el sentido de contestar lo solicitado, es así que, la entrega de una razón o un razonamiento por parte del </w:t>
      </w:r>
      <w:r w:rsidRPr="00DE49D1">
        <w:rPr>
          <w:rFonts w:eastAsia="Palatino Linotype"/>
          <w:b/>
          <w:lang w:eastAsia="es-MX"/>
        </w:rPr>
        <w:t>SUJETO OBLIGADO</w:t>
      </w:r>
      <w:r w:rsidRPr="00DE49D1">
        <w:rPr>
          <w:rFonts w:eastAsia="Palatino Linotype"/>
          <w:lang w:eastAsia="es-MX"/>
        </w:rPr>
        <w:t xml:space="preserve"> no es algo que la ley establezca como atribución, derecho, o facultad; pues ello implicaría un juicio de valor </w:t>
      </w:r>
      <w:r w:rsidRPr="00DE49D1">
        <w:rPr>
          <w:rFonts w:eastAsia="Palatino Linotype"/>
          <w:lang w:eastAsia="es-MX"/>
        </w:rPr>
        <w:lastRenderedPageBreak/>
        <w:t>referente a un cuestionamiento realizado, los cuales, al constituir interrogantes, inquietudes y manifestaciones se satisfacen vía derecho de petición.</w:t>
      </w:r>
    </w:p>
    <w:p w14:paraId="7AD6FC45" w14:textId="77777777" w:rsidR="009155CE" w:rsidRPr="00DE49D1" w:rsidRDefault="009155CE" w:rsidP="00DE49D1">
      <w:pPr>
        <w:rPr>
          <w:rFonts w:eastAsia="Palatino Linotype"/>
          <w:lang w:eastAsia="es-MX"/>
        </w:rPr>
      </w:pPr>
    </w:p>
    <w:p w14:paraId="2498D6E8" w14:textId="77777777" w:rsidR="009155CE" w:rsidRPr="00DE49D1" w:rsidRDefault="009155CE" w:rsidP="00DE49D1">
      <w:pPr>
        <w:rPr>
          <w:rFonts w:eastAsia="Palatino Linotype"/>
          <w:lang w:eastAsia="es-MX"/>
        </w:rPr>
      </w:pPr>
      <w:r w:rsidRPr="00DE49D1">
        <w:rPr>
          <w:rFonts w:eastAsia="Palatino Linotype"/>
          <w:lang w:eastAsia="es-MX"/>
        </w:rPr>
        <w:t>Bajo ese contexto, es importante dejar en claro lo que debe entenderse por derecho de petición y por derecho de acceso a la información pública.</w:t>
      </w:r>
    </w:p>
    <w:p w14:paraId="1679553B" w14:textId="77777777" w:rsidR="009155CE" w:rsidRPr="00DE49D1" w:rsidRDefault="009155CE" w:rsidP="00DE49D1">
      <w:pPr>
        <w:rPr>
          <w:rFonts w:eastAsia="Palatino Linotype"/>
          <w:lang w:eastAsia="es-MX"/>
        </w:rPr>
      </w:pPr>
    </w:p>
    <w:p w14:paraId="47C76ED5" w14:textId="77777777" w:rsidR="009155CE" w:rsidRPr="00DE49D1" w:rsidRDefault="009155CE" w:rsidP="00DE49D1">
      <w:pPr>
        <w:rPr>
          <w:rFonts w:eastAsia="Palatino Linotype"/>
          <w:lang w:eastAsia="es-MX"/>
        </w:rPr>
      </w:pPr>
      <w:r w:rsidRPr="00DE49D1">
        <w:rPr>
          <w:rFonts w:eastAsia="Palatino Linotype"/>
          <w:lang w:eastAsia="es-MX"/>
        </w:rPr>
        <w:t>Por lo que respecta a la definición de Derecho de Petición, el Maestro Ignacio Burgoa</w:t>
      </w:r>
    </w:p>
    <w:p w14:paraId="48F3B646" w14:textId="77777777" w:rsidR="009155CE" w:rsidRPr="00DE49D1" w:rsidRDefault="009155CE" w:rsidP="00DE49D1">
      <w:pPr>
        <w:pStyle w:val="Puesto"/>
        <w:rPr>
          <w:rFonts w:eastAsia="Palatino Linotype"/>
          <w:lang w:eastAsia="es-MX"/>
        </w:rPr>
      </w:pPr>
      <w:r w:rsidRPr="00DE49D1">
        <w:rPr>
          <w:rFonts w:eastAsia="Palatino Linotype"/>
          <w:lang w:eastAsia="es-MX"/>
        </w:rPr>
        <w:t>Orihuela refiere:</w:t>
      </w:r>
      <w:r w:rsidRPr="00DE49D1">
        <w:rPr>
          <w:rFonts w:eastAsia="Palatino Linotype"/>
          <w:lang w:eastAsia="es-MX"/>
        </w:rPr>
        <w:cr/>
      </w:r>
    </w:p>
    <w:p w14:paraId="48A46D8D" w14:textId="77777777" w:rsidR="009155CE" w:rsidRPr="00DE49D1" w:rsidRDefault="009155CE" w:rsidP="00DE49D1">
      <w:pPr>
        <w:pStyle w:val="Puesto"/>
        <w:rPr>
          <w:rFonts w:eastAsia="Palatino Linotype" w:cs="Palatino Linotype"/>
          <w:sz w:val="24"/>
          <w:szCs w:val="24"/>
          <w:lang w:eastAsia="es-MX"/>
        </w:rPr>
      </w:pPr>
      <w:r w:rsidRPr="00DE49D1">
        <w:rPr>
          <w:rFonts w:eastAsia="Palatino Linotype" w:cs="Palatino Linotype"/>
          <w:szCs w:val="22"/>
          <w:lang w:eastAsia="es-MX"/>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“(Sic)</w:t>
      </w:r>
    </w:p>
    <w:p w14:paraId="670B970F" w14:textId="77777777" w:rsidR="009155CE" w:rsidRPr="00DE49D1" w:rsidRDefault="009155CE" w:rsidP="00DE49D1">
      <w:pPr>
        <w:pStyle w:val="Puesto"/>
        <w:rPr>
          <w:rFonts w:eastAsia="Palatino Linotype" w:cs="Palatino Linotype"/>
          <w:sz w:val="24"/>
          <w:szCs w:val="24"/>
          <w:lang w:eastAsia="es-MX"/>
        </w:rPr>
      </w:pPr>
    </w:p>
    <w:p w14:paraId="42AEF650" w14:textId="77777777" w:rsidR="009155CE" w:rsidRPr="00DE49D1" w:rsidRDefault="009155CE" w:rsidP="00DE49D1">
      <w:pPr>
        <w:rPr>
          <w:rFonts w:eastAsia="Palatino Linotype"/>
          <w:lang w:eastAsia="es-MX"/>
        </w:rPr>
      </w:pPr>
      <w:r w:rsidRPr="00DE49D1">
        <w:rPr>
          <w:rFonts w:eastAsia="Palatino Linotype"/>
          <w:lang w:eastAsia="es-MX"/>
        </w:rPr>
        <w:t>Por su parte, David Cienfuegos Salgado, concibe al derecho de petición como:</w:t>
      </w:r>
    </w:p>
    <w:p w14:paraId="4D2C2910" w14:textId="77777777" w:rsidR="009155CE" w:rsidRPr="00DE49D1" w:rsidRDefault="009155CE" w:rsidP="00DE49D1">
      <w:pPr>
        <w:pStyle w:val="Puesto"/>
        <w:rPr>
          <w:rFonts w:eastAsia="Palatino Linotype"/>
          <w:lang w:eastAsia="es-MX"/>
        </w:rPr>
      </w:pPr>
    </w:p>
    <w:p w14:paraId="32302806" w14:textId="77777777" w:rsidR="009155CE" w:rsidRPr="00DE49D1" w:rsidRDefault="009155CE" w:rsidP="00DE49D1">
      <w:pPr>
        <w:pStyle w:val="Puesto"/>
        <w:rPr>
          <w:rFonts w:eastAsia="Palatino Linotype"/>
          <w:lang w:eastAsia="es-MX"/>
        </w:rPr>
      </w:pPr>
      <w:r w:rsidRPr="00DE49D1">
        <w:rPr>
          <w:rFonts w:eastAsia="Palatino Linotype"/>
          <w:szCs w:val="22"/>
          <w:lang w:eastAsia="es-MX"/>
        </w:rPr>
        <w:t>“el derecho de toda persona a ser escuchado por quienes ejercen el poder público.” (Sic)</w:t>
      </w:r>
    </w:p>
    <w:p w14:paraId="7C7C4684" w14:textId="77777777" w:rsidR="009155CE" w:rsidRPr="00DE49D1" w:rsidRDefault="009155CE" w:rsidP="00DE49D1">
      <w:pPr>
        <w:pStyle w:val="Puesto"/>
        <w:rPr>
          <w:rFonts w:eastAsia="Palatino Linotype"/>
          <w:lang w:eastAsia="es-MX"/>
        </w:rPr>
      </w:pPr>
    </w:p>
    <w:p w14:paraId="46AA3C13" w14:textId="77777777" w:rsidR="009155CE" w:rsidRPr="00DE49D1" w:rsidRDefault="009155CE" w:rsidP="00DE49D1">
      <w:pPr>
        <w:rPr>
          <w:rFonts w:eastAsia="Palatino Linotype"/>
          <w:lang w:eastAsia="es-MX"/>
        </w:rPr>
      </w:pPr>
      <w:r w:rsidRPr="00DE49D1">
        <w:rPr>
          <w:rFonts w:eastAsia="Palatino Linotype"/>
          <w:lang w:eastAsia="es-MX"/>
        </w:rPr>
        <w:t>Robustece lo anterior, el criterio Jurisprudencial, emitido por los Tribunales Colegiados de Circuito, encontrado en el Tomo XXXIII, de marzo de 2011, página 2167, en el Semanario Judicial de la Federación y su Gaceta Novena Época, cuyo tenor literal es el siguiente:</w:t>
      </w:r>
    </w:p>
    <w:p w14:paraId="0BCF8424" w14:textId="77777777" w:rsidR="009155CE" w:rsidRPr="00DE49D1" w:rsidRDefault="009155CE" w:rsidP="00DE49D1">
      <w:pPr>
        <w:rPr>
          <w:rFonts w:eastAsia="Palatino Linotype"/>
          <w:lang w:eastAsia="es-MX"/>
        </w:rPr>
      </w:pPr>
    </w:p>
    <w:p w14:paraId="330D0763" w14:textId="77777777" w:rsidR="009155CE" w:rsidRPr="00DE49D1" w:rsidRDefault="009155CE" w:rsidP="00DE49D1">
      <w:pPr>
        <w:pStyle w:val="Puesto"/>
        <w:rPr>
          <w:rFonts w:eastAsia="Palatino Linotype"/>
          <w:sz w:val="24"/>
          <w:szCs w:val="24"/>
          <w:lang w:eastAsia="es-MX"/>
        </w:rPr>
      </w:pPr>
      <w:r w:rsidRPr="00DE49D1">
        <w:rPr>
          <w:rFonts w:eastAsia="Palatino Linotype"/>
          <w:lang w:eastAsia="es-MX"/>
        </w:rPr>
        <w:t>“</w:t>
      </w:r>
      <w:r w:rsidRPr="00DE49D1">
        <w:rPr>
          <w:rFonts w:eastAsia="Palatino Linotype"/>
          <w:b/>
          <w:lang w:eastAsia="es-MX"/>
        </w:rPr>
        <w:t>DERECHO DE PETICIÓN. SUS ELEMENTOS</w:t>
      </w:r>
      <w:r w:rsidRPr="00DE49D1">
        <w:rPr>
          <w:rFonts w:eastAsia="Palatino Linotype"/>
          <w:lang w:eastAsia="es-MX"/>
        </w:rPr>
        <w:t xml:space="preserve">.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w:t>
      </w:r>
      <w:r w:rsidRPr="00DE49D1">
        <w:rPr>
          <w:rFonts w:eastAsia="Palatino Linotype"/>
          <w:lang w:eastAsia="es-MX"/>
        </w:rPr>
        <w:lastRenderedPageBreak/>
        <w:t xml:space="preserve">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sidRPr="00DE49D1">
        <w:rPr>
          <w:rFonts w:eastAsia="Palatino Linotype"/>
          <w:lang w:eastAsia="es-MX"/>
        </w:rPr>
        <w:t>promovente</w:t>
      </w:r>
      <w:proofErr w:type="spellEnd"/>
      <w:r w:rsidRPr="00DE49D1">
        <w:rPr>
          <w:rFonts w:eastAsia="Palatino Linotype"/>
          <w:lang w:eastAsia="es-MX"/>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15E11E2F" w14:textId="77777777" w:rsidR="009155CE" w:rsidRPr="00DE49D1" w:rsidRDefault="009155CE" w:rsidP="00DE49D1">
      <w:pPr>
        <w:rPr>
          <w:rFonts w:eastAsia="Palatino Linotype"/>
          <w:lang w:eastAsia="es-MX"/>
        </w:rPr>
      </w:pPr>
    </w:p>
    <w:p w14:paraId="784FB3E8" w14:textId="77777777" w:rsidR="009155CE" w:rsidRPr="00DE49D1" w:rsidRDefault="009155CE" w:rsidP="00DE49D1">
      <w:pPr>
        <w:rPr>
          <w:rFonts w:eastAsia="Palatino Linotype" w:cs="Palatino Linotype"/>
          <w:lang w:eastAsia="es-MX"/>
        </w:rPr>
      </w:pPr>
      <w:r w:rsidRPr="00DE49D1">
        <w:rPr>
          <w:rFonts w:eastAsia="Palatino Linotype" w:cs="Palatino Linotype"/>
          <w:lang w:eastAsia="es-MX"/>
        </w:rPr>
        <w:t>Al respecto, para diferenciar el derecho de petición del derecho de acceso a la información, resulta conducente señalar que José Guadalupe Robles, conceptualiza el derecho a la información como:</w:t>
      </w:r>
    </w:p>
    <w:p w14:paraId="24B5CC62" w14:textId="77777777" w:rsidR="009155CE" w:rsidRPr="00DE49D1" w:rsidRDefault="009155CE" w:rsidP="00DE49D1">
      <w:pPr>
        <w:pStyle w:val="Puesto"/>
        <w:rPr>
          <w:rFonts w:eastAsia="Palatino Linotype"/>
          <w:lang w:eastAsia="es-MX"/>
        </w:rPr>
      </w:pPr>
    </w:p>
    <w:p w14:paraId="6D6EA43D" w14:textId="77777777" w:rsidR="009155CE" w:rsidRPr="00DE49D1" w:rsidRDefault="009155CE" w:rsidP="00DE49D1">
      <w:pPr>
        <w:pStyle w:val="Puesto"/>
        <w:rPr>
          <w:rFonts w:eastAsia="Palatino Linotype"/>
          <w:szCs w:val="22"/>
          <w:lang w:eastAsia="es-MX"/>
        </w:rPr>
      </w:pPr>
      <w:r w:rsidRPr="00DE49D1">
        <w:rPr>
          <w:rFonts w:eastAsia="Palatino Linotype"/>
          <w:szCs w:val="22"/>
          <w:lang w:eastAsia="es-MX"/>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(Sic)</w:t>
      </w:r>
    </w:p>
    <w:p w14:paraId="489FB3CB" w14:textId="77777777" w:rsidR="009155CE" w:rsidRPr="00DE49D1" w:rsidRDefault="009155CE" w:rsidP="00DE49D1">
      <w:pPr>
        <w:pStyle w:val="Puesto"/>
        <w:rPr>
          <w:rFonts w:eastAsia="Palatino Linotype"/>
          <w:sz w:val="24"/>
          <w:szCs w:val="24"/>
          <w:lang w:eastAsia="es-MX"/>
        </w:rPr>
      </w:pPr>
    </w:p>
    <w:p w14:paraId="31C1417F" w14:textId="77777777" w:rsidR="009155CE" w:rsidRPr="00DE49D1" w:rsidRDefault="009155CE" w:rsidP="00DE49D1">
      <w:pPr>
        <w:rPr>
          <w:rFonts w:eastAsia="Calibri"/>
          <w:lang w:eastAsia="en-US"/>
        </w:rPr>
      </w:pPr>
      <w:r w:rsidRPr="00DE49D1">
        <w:rPr>
          <w:rFonts w:eastAsia="Calibri"/>
          <w:lang w:eastAsia="en-US"/>
        </w:rPr>
        <w:t>Ahora bien, el artículo 4 de la Ley de Transparencia y Acceso a la Información Pública del Estado de México, establece que el derecho de acceso a la información pública implica el conocimiento de los particulares de la información contenida en los documentos que posean los órganos del estado:</w:t>
      </w:r>
    </w:p>
    <w:p w14:paraId="5DFA7B4E" w14:textId="77777777" w:rsidR="009155CE" w:rsidRPr="00DE49D1" w:rsidRDefault="009155CE" w:rsidP="00DE49D1">
      <w:pPr>
        <w:pStyle w:val="Puesto"/>
        <w:rPr>
          <w:rFonts w:eastAsia="Calibri"/>
          <w:lang w:eastAsia="en-US"/>
        </w:rPr>
      </w:pPr>
    </w:p>
    <w:p w14:paraId="6D5934D4" w14:textId="77777777" w:rsidR="009155CE" w:rsidRPr="00DE49D1" w:rsidRDefault="009155CE" w:rsidP="00DE49D1">
      <w:pPr>
        <w:pStyle w:val="Puesto"/>
        <w:rPr>
          <w:rFonts w:eastAsia="Palatino Linotype" w:cs="Palatino Linotype"/>
          <w:b/>
          <w:szCs w:val="22"/>
          <w:u w:val="single"/>
          <w:lang w:eastAsia="es-MX"/>
        </w:rPr>
      </w:pPr>
      <w:r w:rsidRPr="00DE49D1">
        <w:rPr>
          <w:rFonts w:eastAsia="Palatino Linotype" w:cs="Palatino Linotype"/>
          <w:szCs w:val="22"/>
          <w:lang w:eastAsia="es-MX"/>
        </w:rPr>
        <w:t>“</w:t>
      </w:r>
      <w:r w:rsidRPr="00DE49D1">
        <w:rPr>
          <w:rFonts w:eastAsia="Palatino Linotype" w:cs="Palatino Linotype"/>
          <w:b/>
          <w:szCs w:val="22"/>
          <w:lang w:eastAsia="es-MX"/>
        </w:rPr>
        <w:t>Artículo 4.</w:t>
      </w:r>
      <w:r w:rsidRPr="00DE49D1">
        <w:rPr>
          <w:rFonts w:eastAsia="Palatino Linotype" w:cs="Palatino Linotype"/>
          <w:szCs w:val="22"/>
          <w:lang w:eastAsia="es-MX"/>
        </w:rPr>
        <w:t xml:space="preserve"> </w:t>
      </w:r>
      <w:r w:rsidRPr="00DE49D1">
        <w:rPr>
          <w:rFonts w:eastAsia="Palatino Linotype" w:cs="Palatino Linotype"/>
          <w:b/>
          <w:szCs w:val="22"/>
          <w:u w:val="single"/>
          <w:lang w:eastAsia="es-MX"/>
        </w:rPr>
        <w:t>El derecho humano de acceso a la información pública es la prerrogativa de las personas para buscar, difundir, investigar, recabar, recibir y solicitar información pública, sin necesidad de acreditar personalidad ni interés jurídico.</w:t>
      </w:r>
    </w:p>
    <w:p w14:paraId="124C8C86" w14:textId="77777777" w:rsidR="009155CE" w:rsidRPr="00DE49D1" w:rsidRDefault="009155CE" w:rsidP="00DE49D1">
      <w:pPr>
        <w:pStyle w:val="Puesto"/>
        <w:rPr>
          <w:rFonts w:eastAsia="Palatino Linotype" w:cs="Palatino Linotype"/>
          <w:b/>
          <w:szCs w:val="22"/>
          <w:u w:val="single"/>
          <w:lang w:eastAsia="es-MX"/>
        </w:rPr>
      </w:pPr>
      <w:r w:rsidRPr="00DE49D1">
        <w:rPr>
          <w:rFonts w:eastAsia="Palatino Linotype" w:cs="Palatino Linotype"/>
          <w:b/>
          <w:szCs w:val="22"/>
          <w:u w:val="single"/>
          <w:lang w:eastAsia="es-MX"/>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w:t>
      </w:r>
      <w:r w:rsidRPr="00DE49D1">
        <w:rPr>
          <w:rFonts w:eastAsia="Palatino Linotype" w:cs="Palatino Linotype"/>
          <w:b/>
          <w:szCs w:val="22"/>
          <w:u w:val="single"/>
          <w:lang w:eastAsia="es-MX"/>
        </w:rPr>
        <w:lastRenderedPageBreak/>
        <w:t>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DB7AC8D" w14:textId="77777777" w:rsidR="009155CE" w:rsidRPr="00DE49D1" w:rsidRDefault="009155CE" w:rsidP="00DE49D1">
      <w:pPr>
        <w:pStyle w:val="Puesto"/>
        <w:rPr>
          <w:rFonts w:eastAsia="Palatino Linotype" w:cs="Palatino Linotype"/>
          <w:szCs w:val="22"/>
          <w:lang w:eastAsia="es-MX"/>
        </w:rPr>
      </w:pPr>
      <w:r w:rsidRPr="00DE49D1">
        <w:rPr>
          <w:rFonts w:eastAsia="Palatino Linotype" w:cs="Palatino Linotype"/>
          <w:b/>
          <w:szCs w:val="22"/>
          <w:u w:val="single"/>
          <w:lang w:eastAsia="es-MX"/>
        </w:rPr>
        <w:t>Los sujetos obligados deben poner en práctica, políticas y programas de acceso a la información que se apeguen a criterios de publicidad, veracidad, oportunidad, precisión y suficiencia en beneficio de los solicitantes.</w:t>
      </w:r>
      <w:r w:rsidRPr="00DE49D1">
        <w:rPr>
          <w:rFonts w:eastAsia="Palatino Linotype" w:cs="Palatino Linotype"/>
          <w:szCs w:val="22"/>
          <w:lang w:eastAsia="es-MX"/>
        </w:rPr>
        <w:t>” (Sic)</w:t>
      </w:r>
    </w:p>
    <w:p w14:paraId="02147AF0" w14:textId="015DC718" w:rsidR="00C66A9B" w:rsidRPr="00DE49D1" w:rsidRDefault="009155CE" w:rsidP="00DE49D1">
      <w:pPr>
        <w:widowControl w:val="0"/>
        <w:pBdr>
          <w:top w:val="nil"/>
          <w:left w:val="nil"/>
          <w:bottom w:val="nil"/>
          <w:right w:val="nil"/>
          <w:between w:val="nil"/>
        </w:pBdr>
        <w:spacing w:line="240" w:lineRule="auto"/>
        <w:ind w:left="851" w:right="616"/>
        <w:jc w:val="right"/>
        <w:rPr>
          <w:rFonts w:eastAsia="Palatino Linotype" w:cs="Palatino Linotype"/>
          <w:sz w:val="16"/>
          <w:szCs w:val="16"/>
          <w:lang w:eastAsia="es-MX"/>
        </w:rPr>
      </w:pPr>
      <w:r w:rsidRPr="00DE49D1">
        <w:rPr>
          <w:rFonts w:eastAsia="Palatino Linotype" w:cs="Palatino Linotype"/>
          <w:sz w:val="16"/>
          <w:szCs w:val="16"/>
          <w:lang w:eastAsia="es-MX"/>
        </w:rPr>
        <w:t xml:space="preserve"> </w:t>
      </w:r>
      <w:r w:rsidR="00C66A9B" w:rsidRPr="00DE49D1">
        <w:rPr>
          <w:rFonts w:eastAsia="Palatino Linotype" w:cs="Palatino Linotype"/>
          <w:sz w:val="16"/>
          <w:szCs w:val="16"/>
          <w:lang w:eastAsia="es-MX"/>
        </w:rPr>
        <w:t>(Énfasis añadido)</w:t>
      </w:r>
    </w:p>
    <w:p w14:paraId="36883DC4" w14:textId="77777777" w:rsidR="00C66A9B" w:rsidRPr="00DE49D1" w:rsidRDefault="00C66A9B" w:rsidP="00DE49D1"/>
    <w:p w14:paraId="05ABA4AF" w14:textId="18D2BC9A" w:rsidR="009155CE" w:rsidRPr="00DE49D1" w:rsidRDefault="009155CE" w:rsidP="00DE49D1">
      <w:pPr>
        <w:pStyle w:val="Ttulo3"/>
        <w:numPr>
          <w:ilvl w:val="0"/>
          <w:numId w:val="5"/>
        </w:numPr>
      </w:pPr>
      <w:bookmarkStart w:id="27" w:name="_Toc184230533"/>
      <w:r w:rsidRPr="00DE49D1">
        <w:t>Análisis de la solicitud.</w:t>
      </w:r>
      <w:bookmarkEnd w:id="27"/>
    </w:p>
    <w:p w14:paraId="5CDC2D68" w14:textId="0454A59C" w:rsidR="000E19BB" w:rsidRPr="00DE49D1" w:rsidRDefault="009155CE" w:rsidP="00DE49D1">
      <w:r w:rsidRPr="00DE49D1">
        <w:rPr>
          <w:rFonts w:eastAsia="Palatino Linotype"/>
          <w:lang w:eastAsia="es-MX"/>
        </w:rPr>
        <w:t xml:space="preserve">Una vez establecido que el acceso a la información corresponde al acceso a documentos generados, administrados o poseídos por los Sujetos Obligados, de la </w:t>
      </w:r>
      <w:r w:rsidR="00C66A9B" w:rsidRPr="00DE49D1">
        <w:t xml:space="preserve">solicitud presentada </w:t>
      </w:r>
      <w:r w:rsidRPr="00DE49D1">
        <w:t>por</w:t>
      </w:r>
      <w:r w:rsidR="00C66A9B" w:rsidRPr="00DE49D1">
        <w:t xml:space="preserve"> la ahora </w:t>
      </w:r>
      <w:r w:rsidR="00C66A9B" w:rsidRPr="00DE49D1">
        <w:rPr>
          <w:b/>
        </w:rPr>
        <w:t>PARTE RECURRENTE</w:t>
      </w:r>
      <w:r w:rsidR="00C66A9B" w:rsidRPr="00DE49D1">
        <w:t xml:space="preserve"> </w:t>
      </w:r>
      <w:r w:rsidRPr="00DE49D1">
        <w:t>se observa</w:t>
      </w:r>
      <w:r w:rsidR="00C66A9B" w:rsidRPr="00DE49D1">
        <w:t>:</w:t>
      </w:r>
    </w:p>
    <w:p w14:paraId="062EE842" w14:textId="77777777" w:rsidR="009155CE" w:rsidRPr="00DE49D1" w:rsidRDefault="009155CE" w:rsidP="00DE49D1">
      <w:pPr>
        <w:pStyle w:val="Puesto"/>
      </w:pPr>
    </w:p>
    <w:p w14:paraId="73523273" w14:textId="77777777" w:rsidR="00C66A9B" w:rsidRPr="00DE49D1" w:rsidRDefault="00C66A9B" w:rsidP="00DE49D1">
      <w:pPr>
        <w:pStyle w:val="Puesto"/>
      </w:pPr>
      <w:r w:rsidRPr="00DE49D1">
        <w:t>“¿Cuál son las capacidades técnicas, administrativas y humanas con las que cuenta el Ayuntamiento de Nextlalpan para adjuntar respuestas a solicitudes realizadas a través de la plataforma del sistema de Acceso a la Información Pública?” (</w:t>
      </w:r>
      <w:proofErr w:type="gramStart"/>
      <w:r w:rsidRPr="00DE49D1">
        <w:t>sic</w:t>
      </w:r>
      <w:proofErr w:type="gramEnd"/>
      <w:r w:rsidRPr="00DE49D1">
        <w:t>)</w:t>
      </w:r>
    </w:p>
    <w:p w14:paraId="33666D2D" w14:textId="77777777" w:rsidR="00C66A9B" w:rsidRPr="00DE49D1" w:rsidRDefault="00C66A9B" w:rsidP="00DE49D1">
      <w:pPr>
        <w:pStyle w:val="Puesto"/>
      </w:pPr>
    </w:p>
    <w:p w14:paraId="1591A453" w14:textId="6C7218C7" w:rsidR="00C66A9B" w:rsidRPr="00DE49D1" w:rsidRDefault="00C66A9B" w:rsidP="00DE49D1">
      <w:r w:rsidRPr="00DE49D1">
        <w:t xml:space="preserve">Como se puede observar, el planteamiento consiste en una pregunta, que no conduce a expresión documental alguna que pueda </w:t>
      </w:r>
      <w:r w:rsidR="009155CE" w:rsidRPr="00DE49D1">
        <w:t xml:space="preserve">atender </w:t>
      </w:r>
      <w:r w:rsidRPr="00DE49D1">
        <w:t>su planteamiento.</w:t>
      </w:r>
    </w:p>
    <w:p w14:paraId="5BFFD818" w14:textId="77777777" w:rsidR="00C66A9B" w:rsidRPr="00DE49D1" w:rsidRDefault="00C66A9B" w:rsidP="00DE49D1">
      <w:pPr>
        <w:rPr>
          <w:rFonts w:eastAsia="Palatino Linotype" w:cs="Palatino Linotype"/>
          <w:sz w:val="24"/>
          <w:szCs w:val="24"/>
          <w:lang w:eastAsia="es-MX"/>
        </w:rPr>
      </w:pPr>
    </w:p>
    <w:p w14:paraId="32565475" w14:textId="2C54F02C" w:rsidR="00C66A9B" w:rsidRPr="00DE49D1" w:rsidRDefault="009155CE" w:rsidP="00DE49D1">
      <w:r w:rsidRPr="00DE49D1">
        <w:t>En ese sentido, el requerimiento realizado por LA PARTE RECURRENTE mediante solicitud de acceso a la información pública resulta improcedente, en razón a que lo pretendido por el particular consiste en coaccionar a la autoridad responsable a que actúe enfocada a contestar a través de un documento específico; siendo que, la materia de acceso a la información versa sobre los documentos generados, obtenidos, adquiridos, transformados, administrados o en posesión de los sujetos obligados, por lo que, no puede solicitarse la elaboración de los mismos a fin de satisfacer lo pretendido por el solicitante.</w:t>
      </w:r>
    </w:p>
    <w:p w14:paraId="4D7F34E7" w14:textId="77777777" w:rsidR="00C66A9B" w:rsidRPr="00DE49D1" w:rsidRDefault="00C66A9B" w:rsidP="00DE49D1"/>
    <w:p w14:paraId="27F93C90" w14:textId="518E9B14" w:rsidR="009155CE" w:rsidRPr="00DE49D1" w:rsidRDefault="009155CE" w:rsidP="00DE49D1">
      <w:pPr>
        <w:rPr>
          <w:rFonts w:eastAsia="Palatino Linotype"/>
          <w:lang w:eastAsia="es-MX"/>
        </w:rPr>
      </w:pPr>
      <w:r w:rsidRPr="00DE49D1">
        <w:rPr>
          <w:rFonts w:eastAsia="Palatino Linotype"/>
          <w:lang w:eastAsia="es-MX"/>
        </w:rPr>
        <w:lastRenderedPageBreak/>
        <w:t xml:space="preserve">Lo anterior es así, pues el particular pretende obtener un pronunciamiento del </w:t>
      </w:r>
      <w:r w:rsidRPr="00DE49D1">
        <w:rPr>
          <w:rFonts w:eastAsia="Palatino Linotype"/>
          <w:b/>
          <w:lang w:eastAsia="es-MX"/>
        </w:rPr>
        <w:t>SUJETO OBLIGADO</w:t>
      </w:r>
      <w:r w:rsidRPr="00DE49D1">
        <w:rPr>
          <w:rFonts w:eastAsia="Palatino Linotype"/>
          <w:lang w:eastAsia="es-MX"/>
        </w:rPr>
        <w:t xml:space="preserve"> respecto de las razones referidas en su solicitud y no así a información generada, obtenida, adquirida, transformada, administrada o en su posesión; mediante el ejercicio de derecho de acceso a la información.</w:t>
      </w:r>
    </w:p>
    <w:p w14:paraId="52D89A5B" w14:textId="77777777" w:rsidR="00F111BD" w:rsidRPr="00DE49D1" w:rsidRDefault="00F111BD" w:rsidP="00DE49D1">
      <w:pPr>
        <w:rPr>
          <w:rFonts w:eastAsia="Palatino Linotype"/>
          <w:lang w:eastAsia="es-MX"/>
        </w:rPr>
      </w:pPr>
    </w:p>
    <w:p w14:paraId="5F1075FE" w14:textId="527B1B9A" w:rsidR="006F1D3A" w:rsidRPr="00DE49D1" w:rsidRDefault="006F1D3A" w:rsidP="00DE49D1">
      <w:pPr>
        <w:rPr>
          <w:rFonts w:eastAsia="MS Mincho" w:cs="Arial"/>
        </w:rPr>
      </w:pPr>
      <w:r w:rsidRPr="00DE49D1">
        <w:rPr>
          <w:rFonts w:eastAsia="Palatino Linotype"/>
          <w:lang w:eastAsia="es-MX"/>
        </w:rPr>
        <w:t xml:space="preserve">Así, nos encontramos ante la solicitud de un derecho de petición,  lo que actualiza </w:t>
      </w:r>
      <w:r w:rsidRPr="00DE49D1">
        <w:rPr>
          <w:rFonts w:eastAsia="MS Mincho" w:cs="Arial"/>
        </w:rPr>
        <w:t xml:space="preserve">lo dispuesto en el artículo 191 fracción VI </w:t>
      </w:r>
      <w:r w:rsidRPr="00DE49D1">
        <w:rPr>
          <w:rFonts w:eastAsia="Calibri" w:cs="Arial"/>
        </w:rPr>
        <w:t>de la Ley de Transparencia y Acceso a la Información Pública del Estado de México y Municipios, el cual dispone lo siguiente:</w:t>
      </w:r>
    </w:p>
    <w:p w14:paraId="158B8C16" w14:textId="77777777" w:rsidR="006F1D3A" w:rsidRPr="00DE49D1" w:rsidRDefault="006F1D3A" w:rsidP="00DE49D1">
      <w:pPr>
        <w:pStyle w:val="Puesto"/>
      </w:pPr>
    </w:p>
    <w:p w14:paraId="2589DBC5" w14:textId="77777777" w:rsidR="006F1D3A" w:rsidRPr="00DE49D1" w:rsidRDefault="006F1D3A" w:rsidP="00DE49D1">
      <w:pPr>
        <w:pStyle w:val="Puesto"/>
        <w:rPr>
          <w:szCs w:val="22"/>
        </w:rPr>
      </w:pPr>
      <w:r w:rsidRPr="00DE49D1">
        <w:rPr>
          <w:b/>
          <w:bCs/>
          <w:szCs w:val="22"/>
        </w:rPr>
        <w:t>“Artículo 191.</w:t>
      </w:r>
      <w:r w:rsidRPr="00DE49D1">
        <w:rPr>
          <w:szCs w:val="22"/>
        </w:rPr>
        <w:t xml:space="preserve"> El recurso será desechado por improcedente cuando:</w:t>
      </w:r>
    </w:p>
    <w:p w14:paraId="34C0DBC0" w14:textId="77777777" w:rsidR="006F1D3A" w:rsidRPr="00DE49D1" w:rsidRDefault="006F1D3A" w:rsidP="00DE49D1">
      <w:pPr>
        <w:pStyle w:val="Puesto"/>
        <w:rPr>
          <w:szCs w:val="22"/>
        </w:rPr>
      </w:pPr>
      <w:r w:rsidRPr="00DE49D1">
        <w:rPr>
          <w:szCs w:val="22"/>
        </w:rPr>
        <w:t xml:space="preserve">I. Sea extemporáneo por haber transcurrido el plazo establecido en la presente Ley, a partir de la respuesta; </w:t>
      </w:r>
    </w:p>
    <w:p w14:paraId="65BB1DA7" w14:textId="77777777" w:rsidR="006F1D3A" w:rsidRPr="00DE49D1" w:rsidRDefault="006F1D3A" w:rsidP="00DE49D1">
      <w:pPr>
        <w:pStyle w:val="Puesto"/>
        <w:rPr>
          <w:szCs w:val="22"/>
        </w:rPr>
      </w:pPr>
      <w:r w:rsidRPr="00DE49D1">
        <w:rPr>
          <w:szCs w:val="22"/>
        </w:rPr>
        <w:t xml:space="preserve">II. Se esté tramitando ante el Poder Judicial de la Federación algún recurso o medio de defensa interpuesto por el recurrente; </w:t>
      </w:r>
    </w:p>
    <w:p w14:paraId="566D85C1" w14:textId="77777777" w:rsidR="006F1D3A" w:rsidRPr="00DE49D1" w:rsidRDefault="006F1D3A" w:rsidP="00DE49D1">
      <w:pPr>
        <w:pStyle w:val="Puesto"/>
        <w:rPr>
          <w:szCs w:val="22"/>
        </w:rPr>
      </w:pPr>
      <w:r w:rsidRPr="00DE49D1">
        <w:rPr>
          <w:szCs w:val="22"/>
        </w:rPr>
        <w:t xml:space="preserve">III. No actualice alguno de los supuestos previstos en la presente Ley; </w:t>
      </w:r>
    </w:p>
    <w:p w14:paraId="42B12125" w14:textId="77777777" w:rsidR="006F1D3A" w:rsidRPr="00DE49D1" w:rsidRDefault="006F1D3A" w:rsidP="00DE49D1">
      <w:pPr>
        <w:pStyle w:val="Puesto"/>
        <w:rPr>
          <w:szCs w:val="22"/>
        </w:rPr>
      </w:pPr>
      <w:r w:rsidRPr="00DE49D1">
        <w:rPr>
          <w:szCs w:val="22"/>
        </w:rPr>
        <w:t xml:space="preserve">IV. No se haya desahogado la prevención en los términos establecidos en la presente Ley; </w:t>
      </w:r>
    </w:p>
    <w:p w14:paraId="20514EBA" w14:textId="77777777" w:rsidR="006F1D3A" w:rsidRPr="00DE49D1" w:rsidRDefault="006F1D3A" w:rsidP="00DE49D1">
      <w:pPr>
        <w:pStyle w:val="Puesto"/>
        <w:rPr>
          <w:szCs w:val="22"/>
        </w:rPr>
      </w:pPr>
      <w:r w:rsidRPr="00DE49D1">
        <w:rPr>
          <w:szCs w:val="22"/>
        </w:rPr>
        <w:t xml:space="preserve">V. Se impugne la veracidad de la información proporcionada; </w:t>
      </w:r>
    </w:p>
    <w:p w14:paraId="6A45F794" w14:textId="77777777" w:rsidR="006F1D3A" w:rsidRPr="00DE49D1" w:rsidRDefault="006F1D3A" w:rsidP="00DE49D1">
      <w:pPr>
        <w:pStyle w:val="Puesto"/>
        <w:rPr>
          <w:b/>
          <w:szCs w:val="22"/>
        </w:rPr>
      </w:pPr>
      <w:r w:rsidRPr="00DE49D1">
        <w:rPr>
          <w:b/>
          <w:szCs w:val="22"/>
        </w:rPr>
        <w:t xml:space="preserve">VI. Se trate de una consulta, o trámite en específico; y </w:t>
      </w:r>
    </w:p>
    <w:p w14:paraId="1937E9F2" w14:textId="77777777" w:rsidR="006F1D3A" w:rsidRPr="00DE49D1" w:rsidRDefault="006F1D3A" w:rsidP="00DE49D1">
      <w:pPr>
        <w:pStyle w:val="Puesto"/>
        <w:rPr>
          <w:szCs w:val="22"/>
        </w:rPr>
      </w:pPr>
      <w:r w:rsidRPr="00DE49D1">
        <w:rPr>
          <w:szCs w:val="22"/>
        </w:rPr>
        <w:t>VII. El recurrente amplíe su solicitud en el recurso de revisión, únicamente respecto de los nuevos contenidos.”</w:t>
      </w:r>
    </w:p>
    <w:p w14:paraId="1116A216" w14:textId="77777777" w:rsidR="006F1D3A" w:rsidRPr="00DE49D1" w:rsidRDefault="006F1D3A" w:rsidP="00DE49D1">
      <w:pPr>
        <w:pStyle w:val="Puesto"/>
        <w:rPr>
          <w:rFonts w:cs="Palatino Linotype"/>
          <w:sz w:val="24"/>
          <w:szCs w:val="24"/>
          <w:lang w:eastAsia="es-MX"/>
        </w:rPr>
      </w:pPr>
    </w:p>
    <w:p w14:paraId="77F23CF0" w14:textId="77777777" w:rsidR="006F1D3A" w:rsidRPr="00DE49D1" w:rsidRDefault="006F1D3A" w:rsidP="00DE49D1">
      <w:pPr>
        <w:rPr>
          <w:rFonts w:eastAsia="Palatino Linotype"/>
          <w:lang w:eastAsia="es-MX"/>
        </w:rPr>
      </w:pPr>
      <w:r w:rsidRPr="00DE49D1">
        <w:rPr>
          <w:rFonts w:eastAsia="Palatino Linotype"/>
          <w:lang w:eastAsia="es-MX"/>
        </w:rPr>
        <w:t>Según se puede advertir, la fracción VI del citado precepto legal, contempla la improcedencia del recurso de revisión cuando se trate de una consulta o trámite en específico, hipótesis que se observa en la solicitud de acceso a la información pública en estudio.</w:t>
      </w:r>
    </w:p>
    <w:p w14:paraId="2318B288" w14:textId="77777777" w:rsidR="006F1D3A" w:rsidRPr="00DE49D1" w:rsidRDefault="006F1D3A" w:rsidP="00DE49D1">
      <w:pPr>
        <w:rPr>
          <w:rFonts w:eastAsia="Palatino Linotype"/>
          <w:lang w:eastAsia="es-MX"/>
        </w:rPr>
      </w:pPr>
    </w:p>
    <w:p w14:paraId="0585E241" w14:textId="77777777" w:rsidR="006F1D3A" w:rsidRPr="00DE49D1" w:rsidRDefault="006F1D3A" w:rsidP="00DE49D1">
      <w:pPr>
        <w:rPr>
          <w:rFonts w:eastAsia="Calibri" w:cs="Arial"/>
        </w:rPr>
      </w:pPr>
      <w:r w:rsidRPr="00DE49D1">
        <w:rPr>
          <w:rFonts w:eastAsia="Calibri" w:cs="Arial"/>
        </w:rPr>
        <w:t>Sin embargo, al haber sido admitido el recurso de revisión, aún y cuando actualiza una causal de improcedencia, es necesario traer a contexto el artículo 192 fracción IV, de la multicitada Ley de Transparencia:</w:t>
      </w:r>
    </w:p>
    <w:p w14:paraId="7C4578BA" w14:textId="77777777" w:rsidR="006F1D3A" w:rsidRPr="00DE49D1" w:rsidRDefault="006F1D3A" w:rsidP="00DE49D1">
      <w:pPr>
        <w:tabs>
          <w:tab w:val="left" w:pos="567"/>
        </w:tabs>
        <w:contextualSpacing/>
        <w:rPr>
          <w:rFonts w:eastAsia="Calibri" w:cs="Arial"/>
          <w:sz w:val="24"/>
          <w:szCs w:val="24"/>
        </w:rPr>
      </w:pPr>
    </w:p>
    <w:p w14:paraId="103582B7" w14:textId="77777777" w:rsidR="006F1D3A" w:rsidRPr="00DE49D1" w:rsidRDefault="006F1D3A" w:rsidP="00DE49D1">
      <w:pPr>
        <w:pStyle w:val="Puesto"/>
        <w:rPr>
          <w:rFonts w:cs="Arial"/>
        </w:rPr>
      </w:pPr>
      <w:r w:rsidRPr="00DE49D1">
        <w:lastRenderedPageBreak/>
        <w:t>“</w:t>
      </w:r>
      <w:r w:rsidRPr="00DE49D1">
        <w:rPr>
          <w:b/>
          <w:bCs/>
        </w:rPr>
        <w:t>Artículo 192.</w:t>
      </w:r>
      <w:r w:rsidRPr="00DE49D1">
        <w:t xml:space="preserve"> El recurso será sobreseído, en todo o en parte, cuando una vez admitido, se actualicen alguno de los siguientes supuestos:</w:t>
      </w:r>
    </w:p>
    <w:p w14:paraId="6FE465CB" w14:textId="77777777" w:rsidR="006F1D3A" w:rsidRPr="00DE49D1" w:rsidRDefault="006F1D3A" w:rsidP="00DE49D1">
      <w:pPr>
        <w:pStyle w:val="Puesto"/>
      </w:pPr>
      <w:r w:rsidRPr="00DE49D1">
        <w:t xml:space="preserve">I. El recurrente se desista expresamente del recurso; </w:t>
      </w:r>
    </w:p>
    <w:p w14:paraId="2822093E" w14:textId="77777777" w:rsidR="006F1D3A" w:rsidRPr="00DE49D1" w:rsidRDefault="006F1D3A" w:rsidP="00DE49D1">
      <w:pPr>
        <w:pStyle w:val="Puesto"/>
      </w:pPr>
      <w:r w:rsidRPr="00DE49D1">
        <w:t xml:space="preserve">II. El recurrente fallezca o, tratándose de personas jurídicas colectivas, se disuelva; </w:t>
      </w:r>
    </w:p>
    <w:p w14:paraId="3CC969F6" w14:textId="77777777" w:rsidR="006F1D3A" w:rsidRPr="00DE49D1" w:rsidRDefault="006F1D3A" w:rsidP="00DE49D1">
      <w:pPr>
        <w:pStyle w:val="Puesto"/>
      </w:pPr>
      <w:r w:rsidRPr="00DE49D1">
        <w:t xml:space="preserve">III. El sujeto obligado responsable del acto lo modifique o revoque de tal manera que el recurso de revisión quede sin materia; </w:t>
      </w:r>
    </w:p>
    <w:p w14:paraId="15F2E56D" w14:textId="77777777" w:rsidR="006F1D3A" w:rsidRPr="00DE49D1" w:rsidRDefault="006F1D3A" w:rsidP="00DE49D1">
      <w:pPr>
        <w:pStyle w:val="Puesto"/>
        <w:rPr>
          <w:b/>
        </w:rPr>
      </w:pPr>
      <w:r w:rsidRPr="00DE49D1">
        <w:rPr>
          <w:b/>
        </w:rPr>
        <w:t xml:space="preserve">IV. Admitido el recurso de revisión, aparezca alguna causal de improcedencia en los términos de la presente Ley; y </w:t>
      </w:r>
    </w:p>
    <w:p w14:paraId="22583F05" w14:textId="77777777" w:rsidR="006F1D3A" w:rsidRPr="00DE49D1" w:rsidRDefault="006F1D3A" w:rsidP="00DE49D1">
      <w:pPr>
        <w:pStyle w:val="Puesto"/>
        <w:rPr>
          <w:rFonts w:cs="Arial"/>
        </w:rPr>
      </w:pPr>
      <w:r w:rsidRPr="00DE49D1">
        <w:t>V. Cuando por cualquier motivo quede sin materia el recurso.”</w:t>
      </w:r>
    </w:p>
    <w:p w14:paraId="2E76740A" w14:textId="77777777" w:rsidR="006F1D3A" w:rsidRPr="00DE49D1" w:rsidRDefault="006F1D3A" w:rsidP="00DE49D1">
      <w:pPr>
        <w:rPr>
          <w:rFonts w:eastAsia="Palatino Linotype"/>
          <w:lang w:eastAsia="es-MX"/>
        </w:rPr>
      </w:pPr>
    </w:p>
    <w:p w14:paraId="114E7994" w14:textId="77777777" w:rsidR="006F1D3A" w:rsidRPr="00DE49D1" w:rsidRDefault="006F1D3A" w:rsidP="00DE49D1">
      <w:pPr>
        <w:rPr>
          <w:rFonts w:eastAsia="Calibri" w:cs="Arial"/>
        </w:rPr>
      </w:pPr>
      <w:r w:rsidRPr="00DE49D1">
        <w:rPr>
          <w:rFonts w:eastAsia="Calibri" w:cs="Arial"/>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0A9AE35B" w14:textId="77777777" w:rsidR="006F1D3A" w:rsidRPr="00DE49D1" w:rsidRDefault="006F1D3A" w:rsidP="00DE49D1">
      <w:pPr>
        <w:rPr>
          <w:rFonts w:eastAsia="Palatino Linotype"/>
          <w:lang w:eastAsia="es-MX"/>
        </w:rPr>
      </w:pPr>
    </w:p>
    <w:p w14:paraId="7310E38F" w14:textId="77777777" w:rsidR="006F1D3A" w:rsidRPr="00DE49D1" w:rsidRDefault="006F1D3A" w:rsidP="00DE49D1">
      <w:pPr>
        <w:rPr>
          <w:rFonts w:eastAsia="MS Mincho" w:cs="Arial"/>
        </w:rPr>
      </w:pPr>
      <w:r w:rsidRPr="00DE49D1">
        <w:rPr>
          <w:rFonts w:eastAsia="MS Mincho"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B738F0B" w14:textId="77777777" w:rsidR="00F111BD" w:rsidRPr="00DE49D1" w:rsidRDefault="00F111BD" w:rsidP="00DE49D1">
      <w:pPr>
        <w:rPr>
          <w:rFonts w:eastAsia="MS Mincho"/>
        </w:rPr>
      </w:pPr>
    </w:p>
    <w:p w14:paraId="69F6EC6B" w14:textId="77777777" w:rsidR="006F1D3A" w:rsidRPr="00DE49D1" w:rsidRDefault="006F1D3A" w:rsidP="00DE49D1">
      <w:pPr>
        <w:spacing w:line="240" w:lineRule="auto"/>
        <w:ind w:left="567" w:right="567"/>
        <w:rPr>
          <w:rFonts w:eastAsia="MS Mincho" w:cs="Arial"/>
          <w:i/>
          <w:szCs w:val="22"/>
        </w:rPr>
      </w:pPr>
      <w:r w:rsidRPr="00DE49D1">
        <w:rPr>
          <w:rFonts w:eastAsia="MS Mincho" w:cs="Arial"/>
          <w:i/>
          <w:szCs w:val="22"/>
        </w:rPr>
        <w:t>“</w:t>
      </w:r>
      <w:r w:rsidRPr="00DE49D1">
        <w:rPr>
          <w:rFonts w:eastAsia="MS Mincho" w:cs="Arial"/>
          <w:b/>
          <w:i/>
          <w:szCs w:val="22"/>
        </w:rPr>
        <w:t>SOBRESEIMIENTO EN EL JUICIO DE AMPARO DIRECTO. IMPIDE EL ESTUDIO DE LAS VIOLACIONES PROCESALES PLANTEADAS EN LOS CONCEPTOS DE VIOLACIÓN.</w:t>
      </w:r>
      <w:r w:rsidRPr="00DE49D1">
        <w:rPr>
          <w:rFonts w:eastAsia="MS Mincho" w:cs="Arial"/>
          <w:i/>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0D8AE4C" w14:textId="77777777" w:rsidR="006F1D3A" w:rsidRPr="00DE49D1" w:rsidRDefault="006F1D3A" w:rsidP="00DE49D1">
      <w:pPr>
        <w:spacing w:line="240" w:lineRule="auto"/>
        <w:ind w:left="567" w:right="567"/>
        <w:rPr>
          <w:rFonts w:eastAsia="MS Mincho" w:cs="Arial"/>
          <w:i/>
          <w:szCs w:val="22"/>
        </w:rPr>
      </w:pPr>
      <w:r w:rsidRPr="00DE49D1">
        <w:rPr>
          <w:rFonts w:eastAsia="MS Mincho" w:cs="Arial"/>
          <w:i/>
          <w:szCs w:val="22"/>
        </w:rPr>
        <w:t>SEPTIMO TRIBUNAL COLEGIADO EN MATERIA CIVIL DEL PRIMER CIRCUITO</w:t>
      </w:r>
    </w:p>
    <w:p w14:paraId="53A362E3" w14:textId="77777777" w:rsidR="006F1D3A" w:rsidRPr="00DE49D1" w:rsidRDefault="006F1D3A" w:rsidP="00DE49D1">
      <w:pPr>
        <w:spacing w:line="240" w:lineRule="auto"/>
        <w:ind w:left="567" w:right="567"/>
        <w:rPr>
          <w:rFonts w:eastAsia="MS Mincho" w:cs="Arial"/>
          <w:i/>
          <w:szCs w:val="22"/>
        </w:rPr>
      </w:pPr>
      <w:r w:rsidRPr="00DE49D1">
        <w:rPr>
          <w:rFonts w:eastAsia="MS Mincho" w:cs="Arial"/>
          <w:i/>
          <w:szCs w:val="22"/>
        </w:rPr>
        <w:t xml:space="preserve">Amparo directo 699/2008. Mariana Leticia González </w:t>
      </w:r>
      <w:proofErr w:type="spellStart"/>
      <w:r w:rsidRPr="00DE49D1">
        <w:rPr>
          <w:rFonts w:eastAsia="MS Mincho" w:cs="Arial"/>
          <w:i/>
          <w:szCs w:val="22"/>
        </w:rPr>
        <w:t>Steele</w:t>
      </w:r>
      <w:proofErr w:type="spellEnd"/>
      <w:r w:rsidRPr="00DE49D1">
        <w:rPr>
          <w:rFonts w:eastAsia="MS Mincho" w:cs="Arial"/>
          <w:i/>
          <w:szCs w:val="22"/>
        </w:rPr>
        <w:t>. 13 de noviembre de 2008. Unanimidad de votos. Ponente: Sara Judith Montalvo Trejo. Secretario: Arnulfo Mateos García.”</w:t>
      </w:r>
    </w:p>
    <w:p w14:paraId="3E159108" w14:textId="77777777" w:rsidR="006F1D3A" w:rsidRPr="00DE49D1" w:rsidRDefault="006F1D3A" w:rsidP="00DE49D1">
      <w:pPr>
        <w:ind w:right="-91"/>
        <w:rPr>
          <w:rFonts w:eastAsia="Palatino Linotype" w:cs="Palatino Linotype"/>
          <w:sz w:val="24"/>
          <w:szCs w:val="24"/>
          <w:lang w:eastAsia="es-MX"/>
        </w:rPr>
      </w:pPr>
    </w:p>
    <w:p w14:paraId="5C69AF54" w14:textId="34585547" w:rsidR="006F1D3A" w:rsidRPr="00DE49D1" w:rsidRDefault="006F1D3A" w:rsidP="00DE49D1">
      <w:pPr>
        <w:rPr>
          <w:rFonts w:eastAsia="Calibri"/>
        </w:rPr>
      </w:pPr>
      <w:r w:rsidRPr="00DE49D1">
        <w:rPr>
          <w:rFonts w:eastAsia="Calibri"/>
        </w:rPr>
        <w:lastRenderedPageBreak/>
        <w:t xml:space="preserve">No obstante, a efecto de no vulnerar los derechos de </w:t>
      </w:r>
      <w:r w:rsidRPr="00DE49D1">
        <w:rPr>
          <w:rFonts w:eastAsia="Calibri"/>
          <w:b/>
        </w:rPr>
        <w:t>LA PARTE RECURRENTE</w:t>
      </w:r>
      <w:r w:rsidRPr="00DE49D1">
        <w:rPr>
          <w:rFonts w:eastAsia="Calibri"/>
        </w:rPr>
        <w:t>, este Órgano Garante deja a salvo sus derechos para que, si así lo desea, presente una nueva solicitud de acceso a la información requiriendo documentación que sea de su interés.</w:t>
      </w:r>
    </w:p>
    <w:p w14:paraId="5D781809" w14:textId="77777777" w:rsidR="006F1D3A" w:rsidRPr="00DE49D1" w:rsidRDefault="006F1D3A" w:rsidP="00DE49D1">
      <w:pPr>
        <w:rPr>
          <w:rFonts w:eastAsia="Palatino Linotype" w:cs="Palatino Linotype"/>
          <w:lang w:eastAsia="es-MX"/>
        </w:rPr>
      </w:pPr>
    </w:p>
    <w:p w14:paraId="633EE809" w14:textId="77777777" w:rsidR="006F1D3A" w:rsidRPr="00DE49D1" w:rsidRDefault="006F1D3A" w:rsidP="00DE49D1">
      <w:pPr>
        <w:rPr>
          <w:rFonts w:eastAsia="Palatino Linotype" w:cs="Palatino Linotype"/>
          <w:lang w:eastAsia="es-MX"/>
        </w:rPr>
      </w:pPr>
      <w:r w:rsidRPr="00DE49D1">
        <w:rPr>
          <w:rFonts w:eastAsia="Palatino Linotype" w:cs="Palatino Linotype"/>
          <w:lang w:eastAsia="es-MX"/>
        </w:rPr>
        <w:t>Así, con fundamento en lo prescrito en los artículos 5, párrafos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0A3C3D6" w14:textId="77777777" w:rsidR="006F1D3A" w:rsidRPr="00DE49D1" w:rsidRDefault="006F1D3A" w:rsidP="00DE49D1"/>
    <w:p w14:paraId="46596A64" w14:textId="0F68D2BE" w:rsidR="005C3733" w:rsidRPr="00DE49D1" w:rsidRDefault="005C3733" w:rsidP="00DE49D1">
      <w:pPr>
        <w:pStyle w:val="Ttulo3"/>
        <w:numPr>
          <w:ilvl w:val="0"/>
          <w:numId w:val="5"/>
        </w:numPr>
      </w:pPr>
      <w:bookmarkStart w:id="28" w:name="_Toc178101322"/>
      <w:bookmarkStart w:id="29" w:name="_Toc184230534"/>
      <w:r w:rsidRPr="00DE49D1">
        <w:t>Conclusión</w:t>
      </w:r>
      <w:bookmarkEnd w:id="28"/>
      <w:bookmarkEnd w:id="29"/>
    </w:p>
    <w:p w14:paraId="6F5346EE" w14:textId="4DD22965" w:rsidR="005C3733" w:rsidRPr="00DE49D1" w:rsidRDefault="00C66A9B" w:rsidP="00DE49D1">
      <w:pPr>
        <w:rPr>
          <w:rFonts w:eastAsia="Calibri"/>
          <w:b/>
          <w:lang w:val="es-ES"/>
        </w:rPr>
      </w:pPr>
      <w:r w:rsidRPr="00DE49D1">
        <w:t>Al haberse evidenciado</w:t>
      </w:r>
      <w:r w:rsidR="000E19BB" w:rsidRPr="00DE49D1">
        <w:t xml:space="preserve"> que </w:t>
      </w:r>
      <w:r w:rsidRPr="00DE49D1">
        <w:t xml:space="preserve">la solicitud de información consiste en una consulta, es procedente sobreseer </w:t>
      </w:r>
      <w:r w:rsidR="006F1D3A" w:rsidRPr="00DE49D1">
        <w:t>el Recurso de Revisión</w:t>
      </w:r>
      <w:r w:rsidR="000E19BB" w:rsidRPr="00DE49D1">
        <w:t>.</w:t>
      </w:r>
    </w:p>
    <w:p w14:paraId="68D51909" w14:textId="77777777" w:rsidR="005C3733" w:rsidRPr="00DE49D1" w:rsidRDefault="005C3733" w:rsidP="00DE49D1"/>
    <w:p w14:paraId="522E62C8" w14:textId="77777777" w:rsidR="005C3733" w:rsidRDefault="005C3733" w:rsidP="00DE49D1">
      <w:bookmarkStart w:id="30" w:name="_Hlk165381027"/>
      <w:r w:rsidRPr="00DE49D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A3717EF" w14:textId="77777777" w:rsidR="005C3733" w:rsidRPr="00DE49D1" w:rsidRDefault="005C3733" w:rsidP="00DE49D1">
      <w:pPr>
        <w:pStyle w:val="Ttulo1"/>
      </w:pPr>
      <w:bookmarkStart w:id="31" w:name="_Toc178101323"/>
      <w:bookmarkStart w:id="32" w:name="_Toc184230535"/>
      <w:bookmarkEnd w:id="30"/>
      <w:r w:rsidRPr="00DE49D1">
        <w:t>RESUELVE</w:t>
      </w:r>
      <w:bookmarkEnd w:id="31"/>
      <w:bookmarkEnd w:id="32"/>
    </w:p>
    <w:p w14:paraId="6E9E0C54" w14:textId="77777777" w:rsidR="005C3733" w:rsidRPr="00DE49D1" w:rsidRDefault="005C3733" w:rsidP="00DE49D1">
      <w:pPr>
        <w:ind w:right="113"/>
        <w:rPr>
          <w:rFonts w:cs="Arial"/>
          <w:b/>
          <w:szCs w:val="22"/>
        </w:rPr>
      </w:pPr>
    </w:p>
    <w:p w14:paraId="032AAB40" w14:textId="1FA6B117" w:rsidR="006F1D3A" w:rsidRPr="00DE49D1" w:rsidRDefault="005C3733" w:rsidP="00DE49D1">
      <w:pPr>
        <w:rPr>
          <w:lang w:val="es-ES" w:eastAsia="es-MX"/>
        </w:rPr>
      </w:pPr>
      <w:r w:rsidRPr="00DE49D1">
        <w:rPr>
          <w:b/>
          <w:bCs/>
        </w:rPr>
        <w:t>PRIMERO.</w:t>
      </w:r>
      <w:r w:rsidRPr="00DE49D1">
        <w:t xml:space="preserve"> </w:t>
      </w:r>
      <w:r w:rsidR="006F1D3A" w:rsidRPr="00DE49D1">
        <w:rPr>
          <w:lang w:eastAsia="es-MX"/>
        </w:rPr>
        <w:t xml:space="preserve">Se </w:t>
      </w:r>
      <w:r w:rsidR="006F1D3A" w:rsidRPr="00DE49D1">
        <w:rPr>
          <w:b/>
          <w:lang w:eastAsia="es-MX"/>
        </w:rPr>
        <w:t>SOBRESEE</w:t>
      </w:r>
      <w:r w:rsidR="006F1D3A" w:rsidRPr="00DE49D1">
        <w:rPr>
          <w:lang w:eastAsia="es-MX"/>
        </w:rPr>
        <w:t xml:space="preserve"> el Recurso de Revisión número </w:t>
      </w:r>
      <w:r w:rsidR="00077F9A" w:rsidRPr="00077F9A">
        <w:rPr>
          <w:b/>
          <w:szCs w:val="24"/>
          <w:lang w:eastAsia="es-MX"/>
        </w:rPr>
        <w:t>07137/INFOEM/IP/RR/2024</w:t>
      </w:r>
      <w:r w:rsidR="00077F9A">
        <w:rPr>
          <w:b/>
          <w:szCs w:val="24"/>
          <w:lang w:eastAsia="es-MX"/>
        </w:rPr>
        <w:t xml:space="preserve"> </w:t>
      </w:r>
      <w:r w:rsidR="006F1D3A" w:rsidRPr="00DE49D1">
        <w:rPr>
          <w:lang w:val="es-ES" w:eastAsia="es-MX"/>
        </w:rPr>
        <w:t xml:space="preserve">porque una vez admitido se actualizó la causal establecida en el artículo 192 fracción IV, </w:t>
      </w:r>
      <w:r w:rsidR="006F1D3A" w:rsidRPr="00DE49D1">
        <w:rPr>
          <w:szCs w:val="24"/>
          <w:lang w:eastAsia="es-MX"/>
        </w:rPr>
        <w:t>por</w:t>
      </w:r>
      <w:r w:rsidR="006F1D3A" w:rsidRPr="00DE49D1">
        <w:rPr>
          <w:lang w:val="es-ES" w:eastAsia="es-MX"/>
        </w:rPr>
        <w:t xml:space="preserve"> ser improcedente en términos de la </w:t>
      </w:r>
      <w:r w:rsidR="006F1D3A" w:rsidRPr="00DE49D1">
        <w:rPr>
          <w:szCs w:val="24"/>
          <w:lang w:eastAsia="es-ES_tradnl"/>
        </w:rPr>
        <w:t>Ley de Transparencia y Acceso a la Información Pública del Estado de México y Municipios</w:t>
      </w:r>
      <w:r w:rsidR="006F1D3A" w:rsidRPr="00DE49D1">
        <w:rPr>
          <w:lang w:val="es-ES" w:eastAsia="es-MX"/>
        </w:rPr>
        <w:t xml:space="preserve">, en términos del Considerando </w:t>
      </w:r>
      <w:r w:rsidR="00F111BD" w:rsidRPr="00DE49D1">
        <w:rPr>
          <w:b/>
          <w:lang w:val="es-ES" w:eastAsia="es-MX"/>
        </w:rPr>
        <w:t>SEGUND</w:t>
      </w:r>
      <w:r w:rsidR="006F1D3A" w:rsidRPr="00DE49D1">
        <w:rPr>
          <w:b/>
          <w:lang w:val="es-ES" w:eastAsia="es-MX"/>
        </w:rPr>
        <w:t>O</w:t>
      </w:r>
      <w:r w:rsidR="006F1D3A" w:rsidRPr="00DE49D1">
        <w:rPr>
          <w:lang w:val="es-ES" w:eastAsia="es-MX"/>
        </w:rPr>
        <w:t xml:space="preserve"> de la presente resolución.</w:t>
      </w:r>
    </w:p>
    <w:p w14:paraId="3C6651B2" w14:textId="77777777" w:rsidR="005C3733" w:rsidRPr="00DE49D1" w:rsidRDefault="005C3733" w:rsidP="00DE49D1">
      <w:pPr>
        <w:widowControl w:val="0"/>
        <w:rPr>
          <w:rFonts w:eastAsia="Calibri" w:cs="Tahoma"/>
          <w:bCs/>
          <w:sz w:val="18"/>
          <w:szCs w:val="22"/>
          <w:lang w:eastAsia="en-US"/>
        </w:rPr>
      </w:pPr>
    </w:p>
    <w:p w14:paraId="2688883A" w14:textId="508D1F5D" w:rsidR="00AE6F77" w:rsidRPr="00DE49D1" w:rsidRDefault="00F111BD" w:rsidP="00DE49D1">
      <w:r w:rsidRPr="00DE49D1">
        <w:rPr>
          <w:b/>
        </w:rPr>
        <w:t>SEGUND</w:t>
      </w:r>
      <w:r w:rsidR="00AE6F77" w:rsidRPr="00DE49D1">
        <w:rPr>
          <w:b/>
        </w:rPr>
        <w:t>O.</w:t>
      </w:r>
      <w:r w:rsidR="00AE6F77" w:rsidRPr="00DE49D1">
        <w:t xml:space="preserve"> </w:t>
      </w:r>
      <w:r w:rsidR="00AE6F77" w:rsidRPr="00DE49D1">
        <w:rPr>
          <w:b/>
        </w:rPr>
        <w:t>Notifíquese</w:t>
      </w:r>
      <w:r w:rsidR="00AE6F77" w:rsidRPr="00DE49D1">
        <w:t xml:space="preserve"> vía </w:t>
      </w:r>
      <w:r w:rsidR="00AE6F77" w:rsidRPr="00DE49D1">
        <w:rPr>
          <w:b/>
        </w:rPr>
        <w:t>SAIMEX</w:t>
      </w:r>
      <w:r w:rsidR="00AE6F77" w:rsidRPr="00DE49D1">
        <w:t xml:space="preserve"> la presente resolución al Titular de la Unidad de Transparencia del </w:t>
      </w:r>
      <w:r w:rsidR="00AE6F77" w:rsidRPr="00DE49D1">
        <w:rPr>
          <w:b/>
        </w:rPr>
        <w:t>SUJETO OBLIGADO</w:t>
      </w:r>
      <w:r w:rsidR="00AE6F77" w:rsidRPr="00DE49D1">
        <w:t xml:space="preserve">, para </w:t>
      </w:r>
      <w:r w:rsidRPr="00DE49D1">
        <w:t>su conocimiento</w:t>
      </w:r>
      <w:r w:rsidR="00AE6F77" w:rsidRPr="00DE49D1">
        <w:t>.</w:t>
      </w:r>
    </w:p>
    <w:p w14:paraId="5EDEDE3A" w14:textId="77777777" w:rsidR="00AE6F77" w:rsidRPr="00DE49D1" w:rsidRDefault="00AE6F77" w:rsidP="00DE49D1">
      <w:pPr>
        <w:rPr>
          <w:sz w:val="16"/>
        </w:rPr>
      </w:pPr>
    </w:p>
    <w:p w14:paraId="27004A03" w14:textId="5F564B6B" w:rsidR="00AE6F77" w:rsidRPr="00DE49D1" w:rsidRDefault="00F111BD" w:rsidP="00DE49D1">
      <w:r w:rsidRPr="00DE49D1">
        <w:rPr>
          <w:b/>
        </w:rPr>
        <w:t>TERCER</w:t>
      </w:r>
      <w:r w:rsidR="00AE6F77" w:rsidRPr="00DE49D1">
        <w:rPr>
          <w:b/>
        </w:rPr>
        <w:t>O.</w:t>
      </w:r>
      <w:r w:rsidR="00AE6F77" w:rsidRPr="00DE49D1">
        <w:t xml:space="preserve"> </w:t>
      </w:r>
      <w:r w:rsidRPr="00DE49D1">
        <w:rPr>
          <w:b/>
          <w:szCs w:val="17"/>
          <w:lang w:eastAsia="es-ES_tradnl"/>
        </w:rPr>
        <w:t>Notifíquese</w:t>
      </w:r>
      <w:r w:rsidRPr="00DE49D1">
        <w:rPr>
          <w:szCs w:val="17"/>
          <w:lang w:eastAsia="es-ES_tradnl"/>
        </w:rPr>
        <w:t xml:space="preserve"> a </w:t>
      </w:r>
      <w:r w:rsidRPr="00DE49D1">
        <w:rPr>
          <w:b/>
        </w:rPr>
        <w:t xml:space="preserve">LA PARTE </w:t>
      </w:r>
      <w:r w:rsidRPr="00DE49D1">
        <w:rPr>
          <w:b/>
          <w:szCs w:val="17"/>
          <w:lang w:eastAsia="es-ES_tradnl"/>
        </w:rPr>
        <w:t>RECURRENTE</w:t>
      </w:r>
      <w:r w:rsidRPr="00DE49D1">
        <w:rPr>
          <w:szCs w:val="17"/>
          <w:lang w:eastAsia="es-ES_tradnl"/>
        </w:rPr>
        <w:t xml:space="preserve"> la presente resolución vía </w:t>
      </w:r>
      <w:r w:rsidRPr="00DE49D1">
        <w:rPr>
          <w:rFonts w:cs="Arial"/>
          <w:b/>
          <w:bCs/>
          <w:lang w:eastAsia="es-MX"/>
        </w:rPr>
        <w:t>SAIMEX</w:t>
      </w:r>
      <w:r w:rsidRPr="00DE49D1">
        <w:rPr>
          <w:rFonts w:cs="Arial"/>
          <w:lang w:eastAsia="es-MX"/>
        </w:rPr>
        <w:t>.</w:t>
      </w:r>
    </w:p>
    <w:p w14:paraId="512420FE" w14:textId="77777777" w:rsidR="00AE6F77" w:rsidRPr="00DE49D1" w:rsidRDefault="00AE6F77" w:rsidP="00DE49D1"/>
    <w:p w14:paraId="2143D09C" w14:textId="22CB251A" w:rsidR="00AE6F77" w:rsidRPr="00DE49D1" w:rsidRDefault="00F111BD" w:rsidP="00DE49D1">
      <w:r w:rsidRPr="00DE49D1">
        <w:rPr>
          <w:b/>
        </w:rPr>
        <w:t>CUARTO</w:t>
      </w:r>
      <w:r w:rsidR="00AE6F77" w:rsidRPr="00DE49D1">
        <w:rPr>
          <w:b/>
        </w:rPr>
        <w:t>.</w:t>
      </w:r>
      <w:r w:rsidR="00AE6F77" w:rsidRPr="00DE49D1">
        <w:t xml:space="preserve"> </w:t>
      </w:r>
      <w:r w:rsidRPr="00DE49D1">
        <w:rPr>
          <w:b/>
          <w:lang w:eastAsia="es-ES_tradnl"/>
        </w:rPr>
        <w:t>Hágase</w:t>
      </w:r>
      <w:r w:rsidRPr="00DE49D1">
        <w:rPr>
          <w:lang w:eastAsia="es-ES_tradnl"/>
        </w:rPr>
        <w:t xml:space="preserve"> </w:t>
      </w:r>
      <w:r w:rsidRPr="00DE49D1">
        <w:rPr>
          <w:b/>
          <w:lang w:eastAsia="es-ES_tradnl"/>
        </w:rPr>
        <w:t xml:space="preserve">del </w:t>
      </w:r>
      <w:r w:rsidRPr="00DE49D1">
        <w:rPr>
          <w:b/>
          <w:lang w:eastAsia="es-MX"/>
        </w:rPr>
        <w:t>conocimiento</w:t>
      </w:r>
      <w:r w:rsidRPr="00DE49D1">
        <w:rPr>
          <w:b/>
          <w:lang w:eastAsia="es-ES_tradnl"/>
        </w:rPr>
        <w:t xml:space="preserve"> </w:t>
      </w:r>
      <w:r w:rsidRPr="00DE49D1">
        <w:rPr>
          <w:lang w:eastAsia="es-ES_tradnl"/>
        </w:rPr>
        <w:t>de</w:t>
      </w:r>
      <w:r w:rsidRPr="00DE49D1">
        <w:rPr>
          <w:rFonts w:ascii="Times New Roman" w:hAnsi="Times New Roman"/>
          <w:lang w:eastAsia="es-MX"/>
        </w:rPr>
        <w:t xml:space="preserve"> </w:t>
      </w:r>
      <w:r w:rsidRPr="00DE49D1">
        <w:rPr>
          <w:b/>
          <w:bCs/>
          <w:lang w:eastAsia="es-ES_tradnl"/>
        </w:rPr>
        <w:t>LA PARTE</w:t>
      </w:r>
      <w:r w:rsidRPr="00DE49D1">
        <w:rPr>
          <w:lang w:eastAsia="es-ES_tradnl"/>
        </w:rPr>
        <w:t xml:space="preserve"> </w:t>
      </w:r>
      <w:r w:rsidRPr="00DE49D1">
        <w:rPr>
          <w:b/>
          <w:lang w:eastAsia="es-ES_tradnl"/>
        </w:rPr>
        <w:t>RECURRENTE</w:t>
      </w:r>
      <w:r w:rsidRPr="00DE49D1">
        <w:rPr>
          <w:lang w:eastAsia="es-ES_tradnl"/>
        </w:rPr>
        <w:t xml:space="preserve">, que de </w:t>
      </w:r>
      <w:r w:rsidRPr="00DE49D1">
        <w:rPr>
          <w:lang w:eastAsia="es-MX"/>
        </w:rPr>
        <w:t>conformidad</w:t>
      </w:r>
      <w:r w:rsidRPr="00DE49D1">
        <w:rPr>
          <w:lang w:eastAsia="es-ES_tradnl"/>
        </w:rPr>
        <w:t xml:space="preserve"> </w:t>
      </w:r>
      <w:r w:rsidRPr="00DE49D1">
        <w:rPr>
          <w:rFonts w:cs="Arial"/>
          <w:lang w:eastAsia="es-MX"/>
        </w:rPr>
        <w:t>con</w:t>
      </w:r>
      <w:r w:rsidRPr="00DE49D1">
        <w:rPr>
          <w:lang w:eastAsia="es-ES_tradnl"/>
        </w:rPr>
        <w:t xml:space="preserve"> lo </w:t>
      </w:r>
      <w:r w:rsidRPr="00DE49D1">
        <w:rPr>
          <w:rFonts w:cs="Arial"/>
          <w:lang w:eastAsia="es-MX"/>
        </w:rPr>
        <w:t>establecido</w:t>
      </w:r>
      <w:r w:rsidRPr="00DE49D1">
        <w:rPr>
          <w:lang w:eastAsia="es-ES_tradnl"/>
        </w:rPr>
        <w:t xml:space="preserve"> en el artículo 196 de la Ley de Transparencia y Acceso a la Información Pública del Estado de México y Municipios, podrá impugnarla vía Juicio de Amparo en los términos de las leyes aplicables.</w:t>
      </w:r>
    </w:p>
    <w:p w14:paraId="430D4192" w14:textId="77777777" w:rsidR="00B137E8" w:rsidRPr="00DE49D1" w:rsidRDefault="00B137E8" w:rsidP="00DE49D1">
      <w:pPr>
        <w:ind w:right="113"/>
        <w:rPr>
          <w:rFonts w:cs="Arial"/>
          <w:b/>
          <w:sz w:val="16"/>
          <w:szCs w:val="22"/>
        </w:rPr>
      </w:pPr>
    </w:p>
    <w:p w14:paraId="2279B883" w14:textId="665B25B8" w:rsidR="001A13B4" w:rsidRPr="00DE49D1" w:rsidRDefault="001A13B4" w:rsidP="00DE49D1">
      <w:r w:rsidRPr="00DE49D1">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w:t>
      </w:r>
      <w:r w:rsidR="00AE6F77" w:rsidRPr="00DE49D1">
        <w:t>SEGUNDA</w:t>
      </w:r>
      <w:r w:rsidRPr="00DE49D1">
        <w:t xml:space="preserve"> SESIÓN ORDINARIA, CELEBRADA EL </w:t>
      </w:r>
      <w:r w:rsidR="00AE6F77" w:rsidRPr="00DE49D1">
        <w:t>CUATRO</w:t>
      </w:r>
      <w:r w:rsidRPr="00DE49D1">
        <w:t xml:space="preserve"> DE </w:t>
      </w:r>
      <w:r w:rsidR="00AE6F77" w:rsidRPr="00DE49D1">
        <w:t>DIC</w:t>
      </w:r>
      <w:r w:rsidRPr="00DE49D1">
        <w:t>IEMBRE DE DOS MIL VEINTICUATRO, ANTE EL SECRETARIO TÉCNICO DEL PLENO, ALEXIS TAPIA RAMÍREZ.</w:t>
      </w:r>
    </w:p>
    <w:p w14:paraId="0C41CE60" w14:textId="77777777" w:rsidR="00AE6F77" w:rsidRPr="00DE49D1" w:rsidRDefault="00AE6F77" w:rsidP="00DE49D1">
      <w:pPr>
        <w:ind w:right="-93"/>
      </w:pPr>
      <w:r w:rsidRPr="00DE49D1">
        <w:t>SCMM/AGZ/DEMF/ESS</w:t>
      </w:r>
    </w:p>
    <w:p w14:paraId="696BC976" w14:textId="77777777" w:rsidR="00664420" w:rsidRPr="00DE49D1" w:rsidRDefault="00664420" w:rsidP="00DE49D1">
      <w:pPr>
        <w:ind w:right="-93"/>
        <w:rPr>
          <w:rFonts w:eastAsia="Calibri" w:cs="Tahoma"/>
          <w:bCs/>
          <w:szCs w:val="22"/>
          <w:lang w:val="es-ES" w:eastAsia="en-US"/>
        </w:rPr>
      </w:pPr>
    </w:p>
    <w:p w14:paraId="671CB0C5" w14:textId="77777777" w:rsidR="00664420" w:rsidRPr="00DE49D1" w:rsidRDefault="00664420" w:rsidP="00DE49D1">
      <w:pPr>
        <w:ind w:right="-93"/>
        <w:rPr>
          <w:rFonts w:eastAsia="Calibri" w:cs="Tahoma"/>
          <w:bCs/>
          <w:szCs w:val="22"/>
          <w:lang w:val="es-ES_tradnl" w:eastAsia="en-US"/>
        </w:rPr>
      </w:pPr>
    </w:p>
    <w:p w14:paraId="52B66DE7" w14:textId="77777777" w:rsidR="00664420" w:rsidRPr="00DE49D1" w:rsidRDefault="00664420" w:rsidP="00DE49D1">
      <w:pPr>
        <w:ind w:right="-93"/>
        <w:rPr>
          <w:rFonts w:eastAsia="Calibri" w:cs="Tahoma"/>
          <w:bCs/>
          <w:szCs w:val="22"/>
          <w:lang w:val="es-ES_tradnl" w:eastAsia="en-US"/>
        </w:rPr>
      </w:pPr>
    </w:p>
    <w:p w14:paraId="3BA305D1" w14:textId="77777777" w:rsidR="00664420" w:rsidRPr="00DE49D1" w:rsidRDefault="00664420" w:rsidP="00DE49D1">
      <w:pPr>
        <w:ind w:right="-93"/>
        <w:rPr>
          <w:rFonts w:eastAsia="Calibri" w:cs="Tahoma"/>
          <w:bCs/>
          <w:szCs w:val="22"/>
          <w:lang w:val="es-ES_tradnl" w:eastAsia="en-US"/>
        </w:rPr>
      </w:pPr>
    </w:p>
    <w:p w14:paraId="78230707" w14:textId="77777777" w:rsidR="00664420" w:rsidRPr="00DE49D1" w:rsidRDefault="00664420" w:rsidP="00DE49D1">
      <w:pPr>
        <w:ind w:right="-93"/>
        <w:rPr>
          <w:rFonts w:eastAsia="Calibri" w:cs="Tahoma"/>
          <w:bCs/>
          <w:szCs w:val="22"/>
          <w:lang w:val="es-ES_tradnl" w:eastAsia="en-US"/>
        </w:rPr>
      </w:pPr>
    </w:p>
    <w:p w14:paraId="72D18B28" w14:textId="77777777" w:rsidR="00664420" w:rsidRPr="00DE49D1" w:rsidRDefault="00664420" w:rsidP="00DE49D1">
      <w:pPr>
        <w:ind w:right="-93"/>
        <w:rPr>
          <w:rFonts w:eastAsia="Calibri" w:cs="Tahoma"/>
          <w:bCs/>
          <w:szCs w:val="22"/>
          <w:lang w:val="es-ES_tradnl" w:eastAsia="en-US"/>
        </w:rPr>
      </w:pPr>
    </w:p>
    <w:p w14:paraId="6BD461DC" w14:textId="77777777" w:rsidR="00664420" w:rsidRPr="00DE49D1" w:rsidRDefault="00664420" w:rsidP="00DE49D1">
      <w:pPr>
        <w:tabs>
          <w:tab w:val="center" w:pos="4568"/>
        </w:tabs>
        <w:ind w:right="-93"/>
        <w:rPr>
          <w:rFonts w:eastAsia="Calibri" w:cs="Tahoma"/>
          <w:bCs/>
          <w:szCs w:val="22"/>
          <w:lang w:eastAsia="en-US"/>
        </w:rPr>
      </w:pPr>
    </w:p>
    <w:p w14:paraId="4DBB1727" w14:textId="77777777" w:rsidR="00664420" w:rsidRPr="00DE49D1" w:rsidRDefault="00664420" w:rsidP="00DE49D1">
      <w:pPr>
        <w:tabs>
          <w:tab w:val="center" w:pos="4568"/>
        </w:tabs>
        <w:ind w:right="-93"/>
        <w:rPr>
          <w:rFonts w:eastAsia="Calibri" w:cs="Tahoma"/>
          <w:bCs/>
          <w:szCs w:val="22"/>
          <w:lang w:eastAsia="en-US"/>
        </w:rPr>
      </w:pPr>
    </w:p>
    <w:p w14:paraId="1D74121B" w14:textId="77777777" w:rsidR="00664420" w:rsidRPr="00DE49D1" w:rsidRDefault="00664420" w:rsidP="00DE49D1">
      <w:pPr>
        <w:tabs>
          <w:tab w:val="center" w:pos="4568"/>
        </w:tabs>
        <w:ind w:right="-93"/>
        <w:rPr>
          <w:rFonts w:eastAsia="Calibri" w:cs="Tahoma"/>
          <w:bCs/>
          <w:szCs w:val="22"/>
          <w:lang w:eastAsia="en-US"/>
        </w:rPr>
      </w:pPr>
    </w:p>
    <w:p w14:paraId="08E74E9C" w14:textId="77777777" w:rsidR="00664420" w:rsidRPr="00DE49D1" w:rsidRDefault="00664420" w:rsidP="00DE49D1">
      <w:pPr>
        <w:tabs>
          <w:tab w:val="center" w:pos="4568"/>
        </w:tabs>
        <w:ind w:right="-93"/>
        <w:rPr>
          <w:rFonts w:eastAsia="Calibri" w:cs="Tahoma"/>
          <w:bCs/>
          <w:szCs w:val="22"/>
          <w:lang w:eastAsia="en-US"/>
        </w:rPr>
      </w:pPr>
    </w:p>
    <w:p w14:paraId="2CBF5E03" w14:textId="77777777" w:rsidR="00664420" w:rsidRPr="00DE49D1" w:rsidRDefault="00664420" w:rsidP="00DE49D1">
      <w:pPr>
        <w:tabs>
          <w:tab w:val="center" w:pos="4568"/>
        </w:tabs>
        <w:ind w:right="-93"/>
        <w:rPr>
          <w:rFonts w:eastAsia="Calibri" w:cs="Tahoma"/>
          <w:bCs/>
          <w:szCs w:val="22"/>
          <w:lang w:eastAsia="en-US"/>
        </w:rPr>
      </w:pPr>
    </w:p>
    <w:p w14:paraId="44865A6D" w14:textId="77777777" w:rsidR="00664420" w:rsidRPr="00DE49D1" w:rsidRDefault="00664420" w:rsidP="00DE49D1">
      <w:pPr>
        <w:tabs>
          <w:tab w:val="center" w:pos="4568"/>
        </w:tabs>
        <w:ind w:right="-93"/>
        <w:rPr>
          <w:rFonts w:eastAsia="Calibri" w:cs="Tahoma"/>
          <w:bCs/>
          <w:szCs w:val="22"/>
          <w:lang w:eastAsia="en-US"/>
        </w:rPr>
      </w:pPr>
    </w:p>
    <w:p w14:paraId="7147F06B" w14:textId="77777777" w:rsidR="00664420" w:rsidRPr="00DE49D1" w:rsidRDefault="00664420" w:rsidP="00DE49D1">
      <w:pPr>
        <w:tabs>
          <w:tab w:val="center" w:pos="4568"/>
        </w:tabs>
        <w:ind w:right="-93"/>
        <w:rPr>
          <w:rFonts w:eastAsia="Calibri" w:cs="Tahoma"/>
          <w:bCs/>
          <w:szCs w:val="22"/>
          <w:lang w:eastAsia="en-US"/>
        </w:rPr>
      </w:pPr>
    </w:p>
    <w:p w14:paraId="6FDF3D7E" w14:textId="77777777" w:rsidR="00664420" w:rsidRPr="00DE49D1" w:rsidRDefault="00664420" w:rsidP="00DE49D1">
      <w:pPr>
        <w:tabs>
          <w:tab w:val="center" w:pos="4568"/>
        </w:tabs>
        <w:ind w:right="-93"/>
        <w:rPr>
          <w:rFonts w:eastAsia="Calibri" w:cs="Tahoma"/>
          <w:bCs/>
          <w:szCs w:val="22"/>
          <w:lang w:eastAsia="en-US"/>
        </w:rPr>
      </w:pPr>
    </w:p>
    <w:p w14:paraId="6246F818" w14:textId="77777777" w:rsidR="00664420" w:rsidRPr="00DE49D1" w:rsidRDefault="00664420" w:rsidP="00DE49D1">
      <w:pPr>
        <w:tabs>
          <w:tab w:val="center" w:pos="4568"/>
        </w:tabs>
        <w:ind w:right="-93"/>
        <w:rPr>
          <w:rFonts w:eastAsia="Calibri" w:cs="Tahoma"/>
          <w:bCs/>
          <w:szCs w:val="22"/>
          <w:lang w:eastAsia="en-US"/>
        </w:rPr>
      </w:pPr>
    </w:p>
    <w:p w14:paraId="57A88B28" w14:textId="77777777" w:rsidR="00664420" w:rsidRPr="00DE49D1" w:rsidRDefault="00664420" w:rsidP="00DE49D1">
      <w:pPr>
        <w:tabs>
          <w:tab w:val="center" w:pos="4568"/>
        </w:tabs>
        <w:ind w:right="-93"/>
        <w:rPr>
          <w:rFonts w:eastAsia="Calibri" w:cs="Tahoma"/>
          <w:bCs/>
          <w:szCs w:val="22"/>
          <w:lang w:eastAsia="en-US"/>
        </w:rPr>
      </w:pPr>
    </w:p>
    <w:p w14:paraId="77EF6095" w14:textId="77777777" w:rsidR="00664420" w:rsidRPr="00DE49D1" w:rsidRDefault="00664420" w:rsidP="00DE49D1">
      <w:pPr>
        <w:tabs>
          <w:tab w:val="center" w:pos="4568"/>
        </w:tabs>
        <w:ind w:right="-93"/>
        <w:rPr>
          <w:rFonts w:eastAsia="Calibri" w:cs="Tahoma"/>
          <w:bCs/>
          <w:szCs w:val="22"/>
          <w:lang w:eastAsia="en-US"/>
        </w:rPr>
      </w:pPr>
    </w:p>
    <w:p w14:paraId="35593947" w14:textId="77777777" w:rsidR="00664420" w:rsidRPr="00DE49D1" w:rsidRDefault="00664420" w:rsidP="00DE49D1">
      <w:pPr>
        <w:tabs>
          <w:tab w:val="center" w:pos="4568"/>
        </w:tabs>
        <w:ind w:right="-93"/>
        <w:rPr>
          <w:rFonts w:eastAsia="Calibri" w:cs="Tahoma"/>
          <w:bCs/>
          <w:szCs w:val="22"/>
          <w:lang w:eastAsia="en-US"/>
        </w:rPr>
      </w:pPr>
    </w:p>
    <w:p w14:paraId="3AF72A17" w14:textId="77777777" w:rsidR="00664420" w:rsidRPr="00DE49D1" w:rsidRDefault="00664420" w:rsidP="00DE49D1">
      <w:pPr>
        <w:tabs>
          <w:tab w:val="center" w:pos="4568"/>
        </w:tabs>
        <w:ind w:right="-93"/>
        <w:rPr>
          <w:rFonts w:eastAsia="Calibri" w:cs="Tahoma"/>
          <w:bCs/>
          <w:szCs w:val="22"/>
          <w:lang w:eastAsia="en-US"/>
        </w:rPr>
      </w:pPr>
    </w:p>
    <w:p w14:paraId="37169144" w14:textId="77777777" w:rsidR="00664420" w:rsidRPr="00DE49D1" w:rsidRDefault="00664420" w:rsidP="00DE49D1">
      <w:pPr>
        <w:tabs>
          <w:tab w:val="center" w:pos="4568"/>
        </w:tabs>
        <w:ind w:right="-93"/>
        <w:rPr>
          <w:rFonts w:eastAsia="Calibri" w:cs="Tahoma"/>
          <w:bCs/>
          <w:szCs w:val="22"/>
          <w:lang w:eastAsia="en-US"/>
        </w:rPr>
      </w:pPr>
    </w:p>
    <w:p w14:paraId="77CFC088" w14:textId="77777777" w:rsidR="00664420" w:rsidRPr="00DE49D1" w:rsidRDefault="00664420" w:rsidP="00DE49D1">
      <w:pPr>
        <w:tabs>
          <w:tab w:val="center" w:pos="4568"/>
        </w:tabs>
        <w:ind w:right="-93"/>
        <w:rPr>
          <w:rFonts w:eastAsia="Calibri" w:cs="Tahoma"/>
          <w:bCs/>
          <w:szCs w:val="22"/>
          <w:lang w:eastAsia="en-US"/>
        </w:rPr>
      </w:pPr>
    </w:p>
    <w:p w14:paraId="781A11A5" w14:textId="77777777" w:rsidR="00664420" w:rsidRPr="00DE49D1" w:rsidRDefault="00664420" w:rsidP="00DE49D1">
      <w:pPr>
        <w:tabs>
          <w:tab w:val="center" w:pos="4568"/>
        </w:tabs>
        <w:ind w:right="-93"/>
        <w:rPr>
          <w:rFonts w:eastAsia="Calibri" w:cs="Tahoma"/>
          <w:bCs/>
          <w:szCs w:val="22"/>
          <w:lang w:eastAsia="en-US"/>
        </w:rPr>
      </w:pPr>
    </w:p>
    <w:p w14:paraId="5B4ADFF3" w14:textId="77777777" w:rsidR="00A131AC" w:rsidRPr="00DE49D1" w:rsidRDefault="00A131AC" w:rsidP="00DE49D1"/>
    <w:sectPr w:rsidR="00A131AC" w:rsidRPr="00DE49D1"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A7A51" w14:textId="77777777" w:rsidR="00F252AE" w:rsidRDefault="00F252AE" w:rsidP="00664420">
      <w:pPr>
        <w:spacing w:line="240" w:lineRule="auto"/>
      </w:pPr>
      <w:r>
        <w:separator/>
      </w:r>
    </w:p>
  </w:endnote>
  <w:endnote w:type="continuationSeparator" w:id="0">
    <w:p w14:paraId="717B9DC8" w14:textId="77777777" w:rsidR="00F252AE" w:rsidRDefault="00F252A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155CE" w:rsidRDefault="009155CE">
    <w:pPr>
      <w:tabs>
        <w:tab w:val="center" w:pos="4550"/>
        <w:tab w:val="left" w:pos="5818"/>
      </w:tabs>
      <w:ind w:right="260"/>
      <w:jc w:val="right"/>
      <w:rPr>
        <w:color w:val="071320" w:themeColor="text2" w:themeShade="80"/>
        <w:sz w:val="24"/>
        <w:szCs w:val="24"/>
      </w:rPr>
    </w:pPr>
  </w:p>
  <w:p w14:paraId="1BCA7F23" w14:textId="77777777" w:rsidR="009155CE" w:rsidRDefault="009155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155CE" w:rsidRDefault="009155C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A3371" w:rsidRPr="001A3371">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A3371" w:rsidRPr="001A3371">
      <w:rPr>
        <w:noProof/>
        <w:color w:val="0A1D30" w:themeColor="text2" w:themeShade="BF"/>
        <w:sz w:val="24"/>
        <w:szCs w:val="24"/>
        <w:lang w:val="es-ES"/>
      </w:rPr>
      <w:t>17</w:t>
    </w:r>
    <w:r>
      <w:rPr>
        <w:color w:val="0A1D30" w:themeColor="text2" w:themeShade="BF"/>
        <w:sz w:val="24"/>
        <w:szCs w:val="24"/>
      </w:rPr>
      <w:fldChar w:fldCharType="end"/>
    </w:r>
  </w:p>
  <w:p w14:paraId="310E15C0" w14:textId="77777777" w:rsidR="009155CE" w:rsidRDefault="009155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54ED" w14:textId="77777777" w:rsidR="00F252AE" w:rsidRDefault="00F252AE" w:rsidP="00664420">
      <w:pPr>
        <w:spacing w:line="240" w:lineRule="auto"/>
      </w:pPr>
      <w:r>
        <w:separator/>
      </w:r>
    </w:p>
  </w:footnote>
  <w:footnote w:type="continuationSeparator" w:id="0">
    <w:p w14:paraId="5A5D370F" w14:textId="77777777" w:rsidR="00F252AE" w:rsidRDefault="00F252AE" w:rsidP="00664420">
      <w:pPr>
        <w:spacing w:line="240" w:lineRule="auto"/>
      </w:pPr>
      <w:r>
        <w:continuationSeparator/>
      </w:r>
    </w:p>
  </w:footnote>
  <w:footnote w:id="1">
    <w:p w14:paraId="1D752A3A" w14:textId="62B11F1A" w:rsidR="009155CE" w:rsidRPr="002C7AFB" w:rsidRDefault="009155CE" w:rsidP="00755414">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nueve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5C509685" w14:textId="3A27A1C1" w:rsidR="009155CE" w:rsidRDefault="009155C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155CE" w:rsidRPr="00330DA7" w14:paraId="070A4B18" w14:textId="77777777" w:rsidTr="003F35FD">
      <w:trPr>
        <w:trHeight w:val="144"/>
        <w:jc w:val="right"/>
      </w:trPr>
      <w:tc>
        <w:tcPr>
          <w:tcW w:w="2727" w:type="dxa"/>
        </w:tcPr>
        <w:p w14:paraId="62B7493A" w14:textId="77777777" w:rsidR="009155CE" w:rsidRPr="00330DA7" w:rsidRDefault="009155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63329BA" w:rsidR="009155CE" w:rsidRPr="00A90C72" w:rsidRDefault="009155CE" w:rsidP="00D94E9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7137</w:t>
          </w:r>
          <w:r w:rsidRPr="004D0573">
            <w:rPr>
              <w:rFonts w:eastAsia="Calibri" w:cs="Tahoma"/>
              <w:szCs w:val="22"/>
              <w:lang w:eastAsia="en-US"/>
            </w:rPr>
            <w:t>/INFOEM/IP/RR/2024</w:t>
          </w:r>
        </w:p>
      </w:tc>
    </w:tr>
    <w:tr w:rsidR="009155CE" w:rsidRPr="00330DA7" w14:paraId="4521E058" w14:textId="77777777" w:rsidTr="003F35FD">
      <w:trPr>
        <w:trHeight w:val="283"/>
        <w:jc w:val="right"/>
      </w:trPr>
      <w:tc>
        <w:tcPr>
          <w:tcW w:w="2727" w:type="dxa"/>
        </w:tcPr>
        <w:p w14:paraId="0B68C086" w14:textId="77777777" w:rsidR="009155CE" w:rsidRPr="00330DA7" w:rsidRDefault="009155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5C43CC9" w:rsidR="009155CE" w:rsidRPr="009233A1" w:rsidRDefault="009155CE" w:rsidP="00D16C2D">
          <w:pPr>
            <w:tabs>
              <w:tab w:val="right" w:pos="8838"/>
            </w:tabs>
            <w:spacing w:line="240" w:lineRule="auto"/>
            <w:ind w:left="-74" w:right="-105"/>
            <w:rPr>
              <w:rFonts w:eastAsia="Calibri" w:cs="Tahoma"/>
              <w:szCs w:val="22"/>
              <w:lang w:val="es-MX" w:eastAsia="en-US"/>
            </w:rPr>
          </w:pPr>
          <w:r w:rsidRPr="00D94E9D">
            <w:rPr>
              <w:rFonts w:eastAsia="Calibri" w:cs="Tahoma"/>
              <w:szCs w:val="22"/>
              <w:lang w:eastAsia="en-US"/>
            </w:rPr>
            <w:t>Ayuntamiento de Nextlalpan</w:t>
          </w:r>
        </w:p>
      </w:tc>
    </w:tr>
    <w:tr w:rsidR="009155CE" w:rsidRPr="00330DA7" w14:paraId="6331D9B6" w14:textId="77777777" w:rsidTr="003F35FD">
      <w:trPr>
        <w:trHeight w:val="283"/>
        <w:jc w:val="right"/>
      </w:trPr>
      <w:tc>
        <w:tcPr>
          <w:tcW w:w="2727" w:type="dxa"/>
        </w:tcPr>
        <w:p w14:paraId="3FA86BAE" w14:textId="6568823B" w:rsidR="009155CE" w:rsidRPr="00330DA7" w:rsidRDefault="009155C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155CE" w:rsidRPr="00EA66FC" w:rsidRDefault="009155C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53D4B9E8" w:rsidR="009155CE" w:rsidRPr="00443C6B" w:rsidRDefault="00077F9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D3EDEB1">
          <wp:simplePos x="0" y="0"/>
          <wp:positionH relativeFrom="margin">
            <wp:posOffset>-880745</wp:posOffset>
          </wp:positionH>
          <wp:positionV relativeFrom="margin">
            <wp:align>center</wp:align>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155CE" w:rsidRPr="00330DA7" w14:paraId="29CFF901" w14:textId="77777777" w:rsidTr="004D0573">
      <w:trPr>
        <w:trHeight w:val="1435"/>
      </w:trPr>
      <w:tc>
        <w:tcPr>
          <w:tcW w:w="283" w:type="dxa"/>
          <w:shd w:val="clear" w:color="auto" w:fill="auto"/>
        </w:tcPr>
        <w:p w14:paraId="046B9F8F" w14:textId="77777777" w:rsidR="009155CE" w:rsidRPr="00330DA7" w:rsidRDefault="009155CE"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155CE" w:rsidRPr="00330DA7" w14:paraId="04F272D2" w14:textId="77777777" w:rsidTr="004D0573">
            <w:trPr>
              <w:trHeight w:val="144"/>
            </w:trPr>
            <w:tc>
              <w:tcPr>
                <w:tcW w:w="2727" w:type="dxa"/>
              </w:tcPr>
              <w:p w14:paraId="2FD4DBF6" w14:textId="77777777" w:rsidR="009155CE" w:rsidRPr="00330DA7" w:rsidRDefault="009155CE"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0008A35" w:rsidR="009155CE" w:rsidRPr="004D0573" w:rsidRDefault="009155CE" w:rsidP="00D94E9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7137</w:t>
                </w:r>
                <w:r w:rsidRPr="004D0573">
                  <w:rPr>
                    <w:rFonts w:eastAsia="Calibri" w:cs="Tahoma"/>
                    <w:szCs w:val="22"/>
                    <w:lang w:eastAsia="en-US"/>
                  </w:rPr>
                  <w:t xml:space="preserve">/INFOEM/IP/RR/2024 </w:t>
                </w:r>
              </w:p>
            </w:tc>
            <w:tc>
              <w:tcPr>
                <w:tcW w:w="3402" w:type="dxa"/>
              </w:tcPr>
              <w:p w14:paraId="71DEA1CF" w14:textId="77777777" w:rsidR="009155CE" w:rsidRDefault="009155CE" w:rsidP="004D0573">
                <w:pPr>
                  <w:tabs>
                    <w:tab w:val="right" w:pos="8838"/>
                  </w:tabs>
                  <w:spacing w:line="240" w:lineRule="auto"/>
                  <w:ind w:left="-74" w:right="-105"/>
                  <w:rPr>
                    <w:rFonts w:eastAsia="Calibri" w:cs="Tahoma"/>
                    <w:szCs w:val="22"/>
                    <w:lang w:eastAsia="en-US"/>
                  </w:rPr>
                </w:pPr>
              </w:p>
            </w:tc>
          </w:tr>
          <w:tr w:rsidR="009155CE" w:rsidRPr="00330DA7" w14:paraId="05C58951" w14:textId="77777777" w:rsidTr="004D0573">
            <w:trPr>
              <w:trHeight w:val="144"/>
            </w:trPr>
            <w:tc>
              <w:tcPr>
                <w:tcW w:w="2727" w:type="dxa"/>
              </w:tcPr>
              <w:p w14:paraId="642B9610" w14:textId="77777777" w:rsidR="009155CE" w:rsidRPr="00330DA7" w:rsidRDefault="009155CE"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DFE07E0" w:rsidR="009155CE" w:rsidRPr="004D0573" w:rsidRDefault="001A3371" w:rsidP="00503821">
                <w:pPr>
                  <w:tabs>
                    <w:tab w:val="right" w:pos="8838"/>
                  </w:tabs>
                  <w:spacing w:line="240" w:lineRule="auto"/>
                  <w:ind w:left="-74" w:right="-105"/>
                  <w:rPr>
                    <w:rFonts w:eastAsia="Calibri" w:cs="Tahoma"/>
                    <w:szCs w:val="22"/>
                    <w:lang w:eastAsia="en-US"/>
                  </w:rPr>
                </w:pPr>
                <w:r>
                  <w:rPr>
                    <w:rFonts w:eastAsia="Calibri" w:cs="Tahoma"/>
                    <w:szCs w:val="22"/>
                    <w:lang w:eastAsia="en-US"/>
                  </w:rPr>
                  <w:t xml:space="preserve">XXXX XXXXXXX </w:t>
                </w:r>
                <w:proofErr w:type="spellStart"/>
                <w:r>
                  <w:rPr>
                    <w:rFonts w:eastAsia="Calibri" w:cs="Tahoma"/>
                    <w:szCs w:val="22"/>
                    <w:lang w:eastAsia="en-US"/>
                  </w:rPr>
                  <w:t>XXXXXXX</w:t>
                </w:r>
                <w:proofErr w:type="spellEnd"/>
                <w:r w:rsidR="009155CE" w:rsidRPr="00D94E9D">
                  <w:rPr>
                    <w:rFonts w:eastAsia="Calibri" w:cs="Tahoma"/>
                    <w:szCs w:val="22"/>
                    <w:lang w:eastAsia="en-US"/>
                  </w:rPr>
                  <w:t xml:space="preserve"> SANCHEZ</w:t>
                </w:r>
              </w:p>
            </w:tc>
            <w:tc>
              <w:tcPr>
                <w:tcW w:w="3402" w:type="dxa"/>
              </w:tcPr>
              <w:p w14:paraId="73F47F53" w14:textId="77777777" w:rsidR="009155CE" w:rsidRPr="005F19B1" w:rsidRDefault="009155CE" w:rsidP="004D0573">
                <w:pPr>
                  <w:tabs>
                    <w:tab w:val="left" w:pos="3122"/>
                    <w:tab w:val="right" w:pos="8838"/>
                  </w:tabs>
                  <w:spacing w:line="240" w:lineRule="auto"/>
                  <w:ind w:left="-105" w:right="-105"/>
                  <w:rPr>
                    <w:rFonts w:eastAsia="Calibri" w:cs="Tahoma"/>
                    <w:szCs w:val="22"/>
                    <w:lang w:eastAsia="en-US"/>
                  </w:rPr>
                </w:pPr>
              </w:p>
            </w:tc>
          </w:tr>
          <w:bookmarkEnd w:id="1"/>
          <w:tr w:rsidR="009155CE" w:rsidRPr="00330DA7" w14:paraId="00E6CDC1" w14:textId="77777777" w:rsidTr="004D0573">
            <w:trPr>
              <w:trHeight w:val="283"/>
            </w:trPr>
            <w:tc>
              <w:tcPr>
                <w:tcW w:w="2727" w:type="dxa"/>
              </w:tcPr>
              <w:p w14:paraId="0631AD24" w14:textId="77777777" w:rsidR="009155CE" w:rsidRPr="00330DA7" w:rsidRDefault="009155CE"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951126A" w:rsidR="009155CE" w:rsidRPr="004D0573" w:rsidRDefault="009155CE" w:rsidP="00D16C2D">
                <w:pPr>
                  <w:tabs>
                    <w:tab w:val="right" w:pos="8838"/>
                  </w:tabs>
                  <w:spacing w:line="240" w:lineRule="auto"/>
                  <w:ind w:left="-74" w:right="-105"/>
                  <w:rPr>
                    <w:rFonts w:eastAsia="Calibri" w:cs="Tahoma"/>
                    <w:szCs w:val="22"/>
                    <w:lang w:eastAsia="en-US"/>
                  </w:rPr>
                </w:pPr>
                <w:r w:rsidRPr="00D94E9D">
                  <w:rPr>
                    <w:rFonts w:eastAsia="Calibri" w:cs="Tahoma"/>
                    <w:szCs w:val="22"/>
                    <w:lang w:eastAsia="en-US"/>
                  </w:rPr>
                  <w:t>Ayuntamiento de Nextlalpan</w:t>
                </w:r>
              </w:p>
            </w:tc>
            <w:tc>
              <w:tcPr>
                <w:tcW w:w="3402" w:type="dxa"/>
              </w:tcPr>
              <w:p w14:paraId="3A7DA319" w14:textId="77777777" w:rsidR="009155CE" w:rsidRPr="00A90C72" w:rsidRDefault="009155CE" w:rsidP="004D0573">
                <w:pPr>
                  <w:tabs>
                    <w:tab w:val="left" w:pos="2834"/>
                    <w:tab w:val="right" w:pos="8838"/>
                  </w:tabs>
                  <w:spacing w:line="240" w:lineRule="auto"/>
                  <w:ind w:left="-108" w:right="-105"/>
                  <w:rPr>
                    <w:rFonts w:eastAsia="Calibri" w:cs="Tahoma"/>
                    <w:szCs w:val="22"/>
                    <w:lang w:eastAsia="en-US"/>
                  </w:rPr>
                </w:pPr>
              </w:p>
            </w:tc>
          </w:tr>
          <w:tr w:rsidR="009155CE" w:rsidRPr="00330DA7" w14:paraId="0F6CD8D2" w14:textId="77777777" w:rsidTr="004D0573">
            <w:trPr>
              <w:trHeight w:val="283"/>
            </w:trPr>
            <w:tc>
              <w:tcPr>
                <w:tcW w:w="2727" w:type="dxa"/>
              </w:tcPr>
              <w:p w14:paraId="31700628" w14:textId="0565A62A" w:rsidR="009155CE" w:rsidRPr="00330DA7" w:rsidRDefault="009155CE"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155CE" w:rsidRPr="00EA66FC" w:rsidRDefault="009155CE"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155CE" w:rsidRPr="00330DA7" w:rsidRDefault="009155CE" w:rsidP="004D0573">
                <w:pPr>
                  <w:tabs>
                    <w:tab w:val="right" w:pos="8838"/>
                  </w:tabs>
                  <w:spacing w:line="240" w:lineRule="auto"/>
                  <w:ind w:left="-108" w:right="-105"/>
                  <w:rPr>
                    <w:rFonts w:eastAsia="Calibri" w:cs="Tahoma"/>
                    <w:szCs w:val="22"/>
                    <w:lang w:eastAsia="en-US"/>
                  </w:rPr>
                </w:pPr>
              </w:p>
            </w:tc>
          </w:tr>
        </w:tbl>
        <w:p w14:paraId="5DC6AC61" w14:textId="77777777" w:rsidR="009155CE" w:rsidRPr="00330DA7" w:rsidRDefault="009155CE" w:rsidP="004D0573">
          <w:pPr>
            <w:tabs>
              <w:tab w:val="right" w:pos="8838"/>
            </w:tabs>
            <w:ind w:left="-28"/>
            <w:rPr>
              <w:rFonts w:ascii="Arial" w:eastAsia="Calibri" w:hAnsi="Arial" w:cs="Arial"/>
              <w:b/>
              <w:szCs w:val="22"/>
              <w:lang w:eastAsia="en-US"/>
            </w:rPr>
          </w:pPr>
        </w:p>
      </w:tc>
    </w:tr>
  </w:tbl>
  <w:p w14:paraId="2A906731" w14:textId="77777777" w:rsidR="009155CE" w:rsidRPr="00765661" w:rsidRDefault="00F252A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15pt;margin-top:-132.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D2114"/>
    <w:multiLevelType w:val="hybridMultilevel"/>
    <w:tmpl w:val="58F8A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A14F6E"/>
    <w:multiLevelType w:val="hybridMultilevel"/>
    <w:tmpl w:val="E716DC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F737CC"/>
    <w:multiLevelType w:val="multilevel"/>
    <w:tmpl w:val="A0A0B1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D06E2C"/>
    <w:multiLevelType w:val="hybridMultilevel"/>
    <w:tmpl w:val="3D7E8F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4"/>
  </w:num>
  <w:num w:numId="3">
    <w:abstractNumId w:val="2"/>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42FBB"/>
    <w:rsid w:val="00057B2D"/>
    <w:rsid w:val="00065518"/>
    <w:rsid w:val="00067FB9"/>
    <w:rsid w:val="0007336D"/>
    <w:rsid w:val="000777E2"/>
    <w:rsid w:val="00077F9A"/>
    <w:rsid w:val="00080071"/>
    <w:rsid w:val="000816A8"/>
    <w:rsid w:val="0009055D"/>
    <w:rsid w:val="000A0798"/>
    <w:rsid w:val="000C3BBA"/>
    <w:rsid w:val="000D0D67"/>
    <w:rsid w:val="000E09C4"/>
    <w:rsid w:val="000E19BB"/>
    <w:rsid w:val="000E23B9"/>
    <w:rsid w:val="000E72B3"/>
    <w:rsid w:val="00101093"/>
    <w:rsid w:val="00107F71"/>
    <w:rsid w:val="00111B33"/>
    <w:rsid w:val="0011350D"/>
    <w:rsid w:val="001144FB"/>
    <w:rsid w:val="001167FB"/>
    <w:rsid w:val="00117DDB"/>
    <w:rsid w:val="00127130"/>
    <w:rsid w:val="00135056"/>
    <w:rsid w:val="001374F7"/>
    <w:rsid w:val="00141876"/>
    <w:rsid w:val="0014207B"/>
    <w:rsid w:val="00150C49"/>
    <w:rsid w:val="001600F1"/>
    <w:rsid w:val="00171A83"/>
    <w:rsid w:val="00185C7C"/>
    <w:rsid w:val="001A13B4"/>
    <w:rsid w:val="001A3371"/>
    <w:rsid w:val="001A58B3"/>
    <w:rsid w:val="001C6BE2"/>
    <w:rsid w:val="001C7688"/>
    <w:rsid w:val="001D2464"/>
    <w:rsid w:val="001D5BAD"/>
    <w:rsid w:val="001E0CFD"/>
    <w:rsid w:val="001F3515"/>
    <w:rsid w:val="002015AE"/>
    <w:rsid w:val="00233005"/>
    <w:rsid w:val="00233F17"/>
    <w:rsid w:val="00237120"/>
    <w:rsid w:val="00245D19"/>
    <w:rsid w:val="00262116"/>
    <w:rsid w:val="002739A1"/>
    <w:rsid w:val="002958FA"/>
    <w:rsid w:val="002961A6"/>
    <w:rsid w:val="002961B5"/>
    <w:rsid w:val="0029641C"/>
    <w:rsid w:val="002A3601"/>
    <w:rsid w:val="002B1D44"/>
    <w:rsid w:val="002B7C6F"/>
    <w:rsid w:val="002C0F02"/>
    <w:rsid w:val="002D111C"/>
    <w:rsid w:val="002E18F0"/>
    <w:rsid w:val="002F6393"/>
    <w:rsid w:val="00301715"/>
    <w:rsid w:val="00302476"/>
    <w:rsid w:val="00304C8C"/>
    <w:rsid w:val="00331F35"/>
    <w:rsid w:val="00335CDF"/>
    <w:rsid w:val="00341E94"/>
    <w:rsid w:val="00345112"/>
    <w:rsid w:val="00346BC2"/>
    <w:rsid w:val="00350198"/>
    <w:rsid w:val="003509D7"/>
    <w:rsid w:val="00352A6F"/>
    <w:rsid w:val="00362A11"/>
    <w:rsid w:val="003858C2"/>
    <w:rsid w:val="00386CD1"/>
    <w:rsid w:val="00393AF2"/>
    <w:rsid w:val="003A40C1"/>
    <w:rsid w:val="003A67CC"/>
    <w:rsid w:val="003B0255"/>
    <w:rsid w:val="003B0AEC"/>
    <w:rsid w:val="003B5D3E"/>
    <w:rsid w:val="003D416E"/>
    <w:rsid w:val="003F35FD"/>
    <w:rsid w:val="003F72B0"/>
    <w:rsid w:val="0041385B"/>
    <w:rsid w:val="00416357"/>
    <w:rsid w:val="00441BFA"/>
    <w:rsid w:val="00454FBD"/>
    <w:rsid w:val="004565C2"/>
    <w:rsid w:val="00475FF6"/>
    <w:rsid w:val="004761EB"/>
    <w:rsid w:val="00484FB8"/>
    <w:rsid w:val="004A05F6"/>
    <w:rsid w:val="004B001B"/>
    <w:rsid w:val="004B2C64"/>
    <w:rsid w:val="004C43D3"/>
    <w:rsid w:val="004D0573"/>
    <w:rsid w:val="004D541B"/>
    <w:rsid w:val="004D7CD8"/>
    <w:rsid w:val="004E2939"/>
    <w:rsid w:val="004E3051"/>
    <w:rsid w:val="004E5068"/>
    <w:rsid w:val="004F7A00"/>
    <w:rsid w:val="00501E64"/>
    <w:rsid w:val="00503821"/>
    <w:rsid w:val="005074EA"/>
    <w:rsid w:val="005122DD"/>
    <w:rsid w:val="00515129"/>
    <w:rsid w:val="00523E60"/>
    <w:rsid w:val="00523F48"/>
    <w:rsid w:val="005365FA"/>
    <w:rsid w:val="00536C50"/>
    <w:rsid w:val="005432B1"/>
    <w:rsid w:val="00550AB5"/>
    <w:rsid w:val="0055624C"/>
    <w:rsid w:val="005723CB"/>
    <w:rsid w:val="00575400"/>
    <w:rsid w:val="00576F64"/>
    <w:rsid w:val="00580C45"/>
    <w:rsid w:val="00586236"/>
    <w:rsid w:val="00591A20"/>
    <w:rsid w:val="005A468E"/>
    <w:rsid w:val="005A5BF2"/>
    <w:rsid w:val="005B18AF"/>
    <w:rsid w:val="005C3733"/>
    <w:rsid w:val="005C4AB7"/>
    <w:rsid w:val="005D5A50"/>
    <w:rsid w:val="005F5301"/>
    <w:rsid w:val="005F65B7"/>
    <w:rsid w:val="00602B7B"/>
    <w:rsid w:val="00603D8C"/>
    <w:rsid w:val="006067C7"/>
    <w:rsid w:val="00606BE9"/>
    <w:rsid w:val="006159AD"/>
    <w:rsid w:val="00623E13"/>
    <w:rsid w:val="0063170D"/>
    <w:rsid w:val="00646436"/>
    <w:rsid w:val="00657603"/>
    <w:rsid w:val="00662040"/>
    <w:rsid w:val="00664420"/>
    <w:rsid w:val="00690F2C"/>
    <w:rsid w:val="006A21FC"/>
    <w:rsid w:val="006A3DFC"/>
    <w:rsid w:val="006A646A"/>
    <w:rsid w:val="006B10B0"/>
    <w:rsid w:val="006D19A1"/>
    <w:rsid w:val="006D287D"/>
    <w:rsid w:val="006D362F"/>
    <w:rsid w:val="006E13CF"/>
    <w:rsid w:val="006E25BC"/>
    <w:rsid w:val="006E6BBC"/>
    <w:rsid w:val="006F0A31"/>
    <w:rsid w:val="006F1D3A"/>
    <w:rsid w:val="006F1EFA"/>
    <w:rsid w:val="006F7768"/>
    <w:rsid w:val="00717E59"/>
    <w:rsid w:val="0072420E"/>
    <w:rsid w:val="00724F22"/>
    <w:rsid w:val="00741A0C"/>
    <w:rsid w:val="007517BD"/>
    <w:rsid w:val="00755414"/>
    <w:rsid w:val="0075751F"/>
    <w:rsid w:val="00773DD6"/>
    <w:rsid w:val="00773EAB"/>
    <w:rsid w:val="00775BFC"/>
    <w:rsid w:val="00794BA5"/>
    <w:rsid w:val="007A2B8D"/>
    <w:rsid w:val="007A3459"/>
    <w:rsid w:val="007A4289"/>
    <w:rsid w:val="007B6074"/>
    <w:rsid w:val="007C7C47"/>
    <w:rsid w:val="007D1C55"/>
    <w:rsid w:val="007D1C84"/>
    <w:rsid w:val="007D317F"/>
    <w:rsid w:val="007D51B8"/>
    <w:rsid w:val="007E07E1"/>
    <w:rsid w:val="007F5D06"/>
    <w:rsid w:val="007F7906"/>
    <w:rsid w:val="00805A6E"/>
    <w:rsid w:val="00811211"/>
    <w:rsid w:val="0081189F"/>
    <w:rsid w:val="008164F0"/>
    <w:rsid w:val="00823BA5"/>
    <w:rsid w:val="00824D9A"/>
    <w:rsid w:val="00826C28"/>
    <w:rsid w:val="0083153B"/>
    <w:rsid w:val="00831728"/>
    <w:rsid w:val="0085569B"/>
    <w:rsid w:val="00864CC1"/>
    <w:rsid w:val="00865CF4"/>
    <w:rsid w:val="00876DBC"/>
    <w:rsid w:val="00882589"/>
    <w:rsid w:val="00884371"/>
    <w:rsid w:val="00886628"/>
    <w:rsid w:val="008950DC"/>
    <w:rsid w:val="008A6003"/>
    <w:rsid w:val="008A6F88"/>
    <w:rsid w:val="008A7480"/>
    <w:rsid w:val="008B1E16"/>
    <w:rsid w:val="008E1316"/>
    <w:rsid w:val="008E6224"/>
    <w:rsid w:val="008E69A4"/>
    <w:rsid w:val="0090194A"/>
    <w:rsid w:val="00903DBE"/>
    <w:rsid w:val="00910FD2"/>
    <w:rsid w:val="009155CE"/>
    <w:rsid w:val="009233A1"/>
    <w:rsid w:val="00923CB1"/>
    <w:rsid w:val="00931437"/>
    <w:rsid w:val="00936B5A"/>
    <w:rsid w:val="009522D6"/>
    <w:rsid w:val="0095335D"/>
    <w:rsid w:val="00953430"/>
    <w:rsid w:val="009609EC"/>
    <w:rsid w:val="00965890"/>
    <w:rsid w:val="0096709E"/>
    <w:rsid w:val="0096752F"/>
    <w:rsid w:val="00970EB3"/>
    <w:rsid w:val="0097369C"/>
    <w:rsid w:val="00974BD9"/>
    <w:rsid w:val="00976247"/>
    <w:rsid w:val="00982877"/>
    <w:rsid w:val="0098693C"/>
    <w:rsid w:val="00993ED0"/>
    <w:rsid w:val="009A2D78"/>
    <w:rsid w:val="009A2EDE"/>
    <w:rsid w:val="009A7C10"/>
    <w:rsid w:val="009B2945"/>
    <w:rsid w:val="009E2DEE"/>
    <w:rsid w:val="009E45F2"/>
    <w:rsid w:val="009E4644"/>
    <w:rsid w:val="009F797C"/>
    <w:rsid w:val="009F7CCA"/>
    <w:rsid w:val="00A10B4F"/>
    <w:rsid w:val="00A131AC"/>
    <w:rsid w:val="00A15141"/>
    <w:rsid w:val="00A16D85"/>
    <w:rsid w:val="00A17634"/>
    <w:rsid w:val="00A21A20"/>
    <w:rsid w:val="00A251A4"/>
    <w:rsid w:val="00A35DA7"/>
    <w:rsid w:val="00A36A99"/>
    <w:rsid w:val="00A41792"/>
    <w:rsid w:val="00A52758"/>
    <w:rsid w:val="00A53315"/>
    <w:rsid w:val="00A5433B"/>
    <w:rsid w:val="00A57BE6"/>
    <w:rsid w:val="00A6091A"/>
    <w:rsid w:val="00A63966"/>
    <w:rsid w:val="00A6415E"/>
    <w:rsid w:val="00A70EF0"/>
    <w:rsid w:val="00A76102"/>
    <w:rsid w:val="00A815EA"/>
    <w:rsid w:val="00A9208D"/>
    <w:rsid w:val="00A964CC"/>
    <w:rsid w:val="00AA23EF"/>
    <w:rsid w:val="00AA6EA9"/>
    <w:rsid w:val="00AB6D79"/>
    <w:rsid w:val="00AC25A6"/>
    <w:rsid w:val="00AC2DB8"/>
    <w:rsid w:val="00AC3CA0"/>
    <w:rsid w:val="00AD4855"/>
    <w:rsid w:val="00AE3DA7"/>
    <w:rsid w:val="00AE5AEF"/>
    <w:rsid w:val="00AE6F77"/>
    <w:rsid w:val="00AF03C4"/>
    <w:rsid w:val="00B00806"/>
    <w:rsid w:val="00B0093A"/>
    <w:rsid w:val="00B07A25"/>
    <w:rsid w:val="00B137E8"/>
    <w:rsid w:val="00B169A2"/>
    <w:rsid w:val="00B22A80"/>
    <w:rsid w:val="00B237A9"/>
    <w:rsid w:val="00B360F1"/>
    <w:rsid w:val="00B36848"/>
    <w:rsid w:val="00B65555"/>
    <w:rsid w:val="00B76159"/>
    <w:rsid w:val="00BA1AB6"/>
    <w:rsid w:val="00BA55A8"/>
    <w:rsid w:val="00BB2ABF"/>
    <w:rsid w:val="00BB37BE"/>
    <w:rsid w:val="00BB64F4"/>
    <w:rsid w:val="00BC62F8"/>
    <w:rsid w:val="00BD2738"/>
    <w:rsid w:val="00BD3F4F"/>
    <w:rsid w:val="00BD5A7C"/>
    <w:rsid w:val="00BE10BE"/>
    <w:rsid w:val="00BE7A1B"/>
    <w:rsid w:val="00BF0221"/>
    <w:rsid w:val="00BF091A"/>
    <w:rsid w:val="00BF1403"/>
    <w:rsid w:val="00BF4EAD"/>
    <w:rsid w:val="00C00D03"/>
    <w:rsid w:val="00C02244"/>
    <w:rsid w:val="00C049E2"/>
    <w:rsid w:val="00C30616"/>
    <w:rsid w:val="00C351EC"/>
    <w:rsid w:val="00C36795"/>
    <w:rsid w:val="00C369A4"/>
    <w:rsid w:val="00C4456F"/>
    <w:rsid w:val="00C461EC"/>
    <w:rsid w:val="00C507D4"/>
    <w:rsid w:val="00C53E5E"/>
    <w:rsid w:val="00C66A9B"/>
    <w:rsid w:val="00C71CEF"/>
    <w:rsid w:val="00C72DAA"/>
    <w:rsid w:val="00C7571D"/>
    <w:rsid w:val="00C75997"/>
    <w:rsid w:val="00C80B14"/>
    <w:rsid w:val="00C87D60"/>
    <w:rsid w:val="00CA50B3"/>
    <w:rsid w:val="00CB7C31"/>
    <w:rsid w:val="00CB7E9A"/>
    <w:rsid w:val="00CD0B92"/>
    <w:rsid w:val="00CD3244"/>
    <w:rsid w:val="00CD70E5"/>
    <w:rsid w:val="00CE1DFB"/>
    <w:rsid w:val="00CE29D3"/>
    <w:rsid w:val="00CE58F2"/>
    <w:rsid w:val="00CF2D8B"/>
    <w:rsid w:val="00CF4420"/>
    <w:rsid w:val="00CF7586"/>
    <w:rsid w:val="00CF7F0C"/>
    <w:rsid w:val="00D036D3"/>
    <w:rsid w:val="00D0562A"/>
    <w:rsid w:val="00D07C17"/>
    <w:rsid w:val="00D16C2D"/>
    <w:rsid w:val="00D228A6"/>
    <w:rsid w:val="00D2562C"/>
    <w:rsid w:val="00D2790D"/>
    <w:rsid w:val="00D44B43"/>
    <w:rsid w:val="00D45259"/>
    <w:rsid w:val="00D51ECD"/>
    <w:rsid w:val="00D5461D"/>
    <w:rsid w:val="00D55FDA"/>
    <w:rsid w:val="00D6170E"/>
    <w:rsid w:val="00D91CB4"/>
    <w:rsid w:val="00D94E9D"/>
    <w:rsid w:val="00DA54C1"/>
    <w:rsid w:val="00DB1C09"/>
    <w:rsid w:val="00DC30FA"/>
    <w:rsid w:val="00DC3210"/>
    <w:rsid w:val="00DE1133"/>
    <w:rsid w:val="00DE284D"/>
    <w:rsid w:val="00DE49D1"/>
    <w:rsid w:val="00DE7108"/>
    <w:rsid w:val="00E02E1A"/>
    <w:rsid w:val="00E11AA0"/>
    <w:rsid w:val="00E16BF5"/>
    <w:rsid w:val="00E33233"/>
    <w:rsid w:val="00E37A3F"/>
    <w:rsid w:val="00E37D3C"/>
    <w:rsid w:val="00E62E6A"/>
    <w:rsid w:val="00E73A29"/>
    <w:rsid w:val="00E7681C"/>
    <w:rsid w:val="00E83EF5"/>
    <w:rsid w:val="00E85032"/>
    <w:rsid w:val="00E9335C"/>
    <w:rsid w:val="00EA5ED0"/>
    <w:rsid w:val="00EB3991"/>
    <w:rsid w:val="00EC2872"/>
    <w:rsid w:val="00ED1C1E"/>
    <w:rsid w:val="00ED45C7"/>
    <w:rsid w:val="00EE2AF2"/>
    <w:rsid w:val="00EE7028"/>
    <w:rsid w:val="00EE73FD"/>
    <w:rsid w:val="00EE77E9"/>
    <w:rsid w:val="00EF5F54"/>
    <w:rsid w:val="00F07EE6"/>
    <w:rsid w:val="00F111BD"/>
    <w:rsid w:val="00F252AE"/>
    <w:rsid w:val="00F26302"/>
    <w:rsid w:val="00F26C8B"/>
    <w:rsid w:val="00F32348"/>
    <w:rsid w:val="00F33CC8"/>
    <w:rsid w:val="00F3465D"/>
    <w:rsid w:val="00F4481C"/>
    <w:rsid w:val="00F45902"/>
    <w:rsid w:val="00F52005"/>
    <w:rsid w:val="00F52089"/>
    <w:rsid w:val="00F57A5A"/>
    <w:rsid w:val="00F6167D"/>
    <w:rsid w:val="00F67A9C"/>
    <w:rsid w:val="00F75D23"/>
    <w:rsid w:val="00F85D31"/>
    <w:rsid w:val="00F86DF5"/>
    <w:rsid w:val="00F9701D"/>
    <w:rsid w:val="00FA5957"/>
    <w:rsid w:val="00FC3CE0"/>
    <w:rsid w:val="00FC7090"/>
    <w:rsid w:val="00FD06A8"/>
    <w:rsid w:val="00FE3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97"/>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39794683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327818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84709044">
      <w:bodyDiv w:val="1"/>
      <w:marLeft w:val="0"/>
      <w:marRight w:val="0"/>
      <w:marTop w:val="0"/>
      <w:marBottom w:val="0"/>
      <w:divBdr>
        <w:top w:val="none" w:sz="0" w:space="0" w:color="auto"/>
        <w:left w:val="none" w:sz="0" w:space="0" w:color="auto"/>
        <w:bottom w:val="none" w:sz="0" w:space="0" w:color="auto"/>
        <w:right w:val="none" w:sz="0" w:space="0" w:color="auto"/>
      </w:divBdr>
    </w:div>
    <w:div w:id="20528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em.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58A8ACF-6AC1-4205-B1C6-978DD18B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4292</Words>
  <Characters>23610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2024-12-06T16:11:00Z</cp:lastPrinted>
  <dcterms:created xsi:type="dcterms:W3CDTF">2024-12-03T00:34:00Z</dcterms:created>
  <dcterms:modified xsi:type="dcterms:W3CDTF">2025-01-22T18:24:00Z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