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2535EE05"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05154">
        <w:rPr>
          <w:rFonts w:ascii="Palatino Linotype" w:eastAsia="Times New Roman" w:hAnsi="Palatino Linotype" w:cs="Arial"/>
          <w:color w:val="000000"/>
          <w:sz w:val="24"/>
          <w:szCs w:val="24"/>
          <w:lang w:eastAsia="es-MX"/>
        </w:rPr>
        <w:t>veintiocho</w:t>
      </w:r>
      <w:r w:rsidR="00E14C9D">
        <w:rPr>
          <w:rFonts w:ascii="Palatino Linotype" w:eastAsia="Times New Roman" w:hAnsi="Palatino Linotype" w:cs="Arial"/>
          <w:color w:val="000000"/>
          <w:sz w:val="24"/>
          <w:szCs w:val="24"/>
          <w:lang w:eastAsia="es-MX"/>
        </w:rPr>
        <w:t xml:space="preserve"> de agosto de dos mil veinticuatro.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149F8F2" w14:textId="0C9C6F0F" w:rsidR="00EA4E95" w:rsidRPr="00EA4E95" w:rsidRDefault="0009491C" w:rsidP="00E14C9D">
      <w:pPr>
        <w:tabs>
          <w:tab w:val="left" w:pos="1701"/>
        </w:tabs>
        <w:spacing w:after="0" w:line="360" w:lineRule="auto"/>
        <w:jc w:val="both"/>
        <w:rPr>
          <w:rFonts w:ascii="Palatino Linotype" w:eastAsia="Palatino Linotype" w:hAnsi="Palatino Linotype" w:cs="Palatino Linotype"/>
          <w:bCs/>
          <w:color w:val="000000"/>
          <w:sz w:val="24"/>
          <w:szCs w:val="24"/>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bookmarkStart w:id="0" w:name="_GoBack"/>
      <w:r w:rsidR="00E14C9D" w:rsidRPr="00EA4E95">
        <w:rPr>
          <w:rFonts w:ascii="Palatino Linotype" w:hAnsi="Palatino Linotype" w:cs="Arial"/>
          <w:b/>
          <w:bCs/>
          <w:sz w:val="24"/>
          <w:szCs w:val="24"/>
          <w:lang w:eastAsia="es-MX"/>
        </w:rPr>
        <w:t>0</w:t>
      </w:r>
      <w:r w:rsidR="00B05154">
        <w:rPr>
          <w:rFonts w:ascii="Palatino Linotype" w:hAnsi="Palatino Linotype" w:cs="Arial"/>
          <w:b/>
          <w:bCs/>
          <w:sz w:val="24"/>
          <w:szCs w:val="24"/>
          <w:lang w:eastAsia="es-MX"/>
        </w:rPr>
        <w:t>4660/INFOEM/IP/RR/2024</w:t>
      </w:r>
      <w:bookmarkEnd w:id="0"/>
      <w:r w:rsidR="00B05154">
        <w:rPr>
          <w:rFonts w:ascii="Palatino Linotype" w:hAnsi="Palatino Linotype" w:cs="Arial"/>
          <w:b/>
          <w:bCs/>
          <w:sz w:val="24"/>
          <w:szCs w:val="24"/>
          <w:lang w:eastAsia="es-MX"/>
        </w:rPr>
        <w:t xml:space="preserve">, </w:t>
      </w:r>
      <w:r w:rsidR="00B05154">
        <w:rPr>
          <w:rFonts w:ascii="Palatino Linotype" w:hAnsi="Palatino Linotype" w:cs="Arial"/>
          <w:sz w:val="24"/>
          <w:szCs w:val="24"/>
          <w:lang w:eastAsia="es-MX"/>
        </w:rPr>
        <w:t xml:space="preserve">interpuesto por un particular, a quien en lo sucesivo </w:t>
      </w:r>
      <w:r w:rsidR="00EA4E95" w:rsidRPr="00EA4E95">
        <w:rPr>
          <w:rFonts w:ascii="Palatino Linotype" w:eastAsia="Palatino Linotype" w:hAnsi="Palatino Linotype" w:cs="Palatino Linotype"/>
          <w:color w:val="000000"/>
          <w:sz w:val="24"/>
          <w:szCs w:val="24"/>
        </w:rPr>
        <w:t xml:space="preserve">se le denominará como la parte </w:t>
      </w:r>
      <w:r w:rsidR="00EA4E95" w:rsidRPr="00EA4E95">
        <w:rPr>
          <w:rFonts w:ascii="Palatino Linotype" w:eastAsia="Palatino Linotype" w:hAnsi="Palatino Linotype" w:cs="Palatino Linotype"/>
          <w:b/>
          <w:bCs/>
          <w:color w:val="000000"/>
          <w:sz w:val="24"/>
          <w:szCs w:val="24"/>
        </w:rPr>
        <w:t xml:space="preserve">Recurrente, </w:t>
      </w:r>
      <w:r w:rsidR="00EA4E95" w:rsidRPr="00EA4E95">
        <w:rPr>
          <w:rFonts w:ascii="Palatino Linotype" w:eastAsia="Palatino Linotype" w:hAnsi="Palatino Linotype" w:cs="Palatino Linotype"/>
          <w:color w:val="000000"/>
          <w:sz w:val="24"/>
          <w:szCs w:val="24"/>
        </w:rPr>
        <w:t xml:space="preserve">en contra de la falta de respuesta del </w:t>
      </w:r>
      <w:r w:rsidR="00B05154">
        <w:rPr>
          <w:rFonts w:ascii="Palatino Linotype" w:eastAsia="Palatino Linotype" w:hAnsi="Palatino Linotype" w:cs="Palatino Linotype"/>
          <w:b/>
          <w:bCs/>
          <w:color w:val="000000"/>
          <w:sz w:val="24"/>
          <w:szCs w:val="24"/>
        </w:rPr>
        <w:t xml:space="preserve">Ayuntamiento de Malinalco, </w:t>
      </w:r>
      <w:r w:rsidR="00EA4E95" w:rsidRPr="00EA4E95">
        <w:rPr>
          <w:rFonts w:ascii="Palatino Linotype" w:hAnsi="Palatino Linotype" w:cs="Arial"/>
          <w:bCs/>
          <w:sz w:val="24"/>
          <w:szCs w:val="24"/>
        </w:rPr>
        <w:t xml:space="preserve">en lo subsecuente </w:t>
      </w:r>
      <w:r w:rsidR="00EA4E95" w:rsidRPr="00EA4E95">
        <w:rPr>
          <w:rFonts w:ascii="Palatino Linotype" w:hAnsi="Palatino Linotype" w:cs="Arial"/>
          <w:b/>
          <w:sz w:val="24"/>
          <w:szCs w:val="24"/>
        </w:rPr>
        <w:t xml:space="preserve">El Sujeto Obligado, </w:t>
      </w:r>
      <w:r w:rsidR="00EA4E95" w:rsidRPr="00EA4E95">
        <w:rPr>
          <w:rFonts w:ascii="Palatino Linotype" w:hAnsi="Palatino Linotype" w:cs="Arial"/>
          <w:bCs/>
          <w:sz w:val="24"/>
          <w:szCs w:val="24"/>
        </w:rPr>
        <w:t xml:space="preserve">se procede a dictar la presente resolución. </w:t>
      </w:r>
    </w:p>
    <w:p w14:paraId="1AF37547" w14:textId="77777777" w:rsidR="00EA4E95" w:rsidRDefault="00EA4E95" w:rsidP="00E14C9D">
      <w:pPr>
        <w:tabs>
          <w:tab w:val="left" w:pos="1701"/>
        </w:tabs>
        <w:spacing w:after="0" w:line="360" w:lineRule="auto"/>
        <w:jc w:val="both"/>
        <w:rPr>
          <w:rFonts w:ascii="Palatino Linotype" w:hAnsi="Palatino Linotype" w:cs="Arial"/>
          <w:bCs/>
          <w:sz w:val="24"/>
          <w:szCs w:val="24"/>
        </w:rPr>
      </w:pPr>
    </w:p>
    <w:p w14:paraId="28B2EFB7" w14:textId="77777777" w:rsidR="00E14C9D" w:rsidRDefault="00E14C9D" w:rsidP="00B34049">
      <w:pPr>
        <w:tabs>
          <w:tab w:val="left" w:pos="1701"/>
        </w:tabs>
        <w:spacing w:after="0" w:line="360" w:lineRule="auto"/>
        <w:jc w:val="both"/>
        <w:rPr>
          <w:rFonts w:ascii="Palatino Linotype" w:hAnsi="Palatino Linotype" w:cs="Arial"/>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5D16E95B" w14:textId="613DDB21" w:rsidR="00B05154" w:rsidRDefault="008A04A3" w:rsidP="00EA4E95">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B05154">
        <w:rPr>
          <w:rFonts w:ascii="Palatino Linotype" w:hAnsi="Palatino Linotype" w:cs="Arial"/>
          <w:b/>
          <w:sz w:val="24"/>
          <w:szCs w:val="24"/>
        </w:rPr>
        <w:t xml:space="preserve">treinta de mayo de dos mil veinticuatro, </w:t>
      </w:r>
      <w:r w:rsidR="00B05154">
        <w:rPr>
          <w:rFonts w:ascii="Palatino Linotype" w:hAnsi="Palatino Linotype" w:cs="Arial"/>
          <w:bCs/>
          <w:sz w:val="24"/>
          <w:szCs w:val="24"/>
        </w:rPr>
        <w:t xml:space="preserve">la parte </w:t>
      </w:r>
      <w:r w:rsidR="00B05154">
        <w:rPr>
          <w:rFonts w:ascii="Palatino Linotype" w:hAnsi="Palatino Linotype" w:cs="Arial"/>
          <w:b/>
          <w:sz w:val="24"/>
          <w:szCs w:val="24"/>
        </w:rPr>
        <w:t xml:space="preserve">Recurrente, </w:t>
      </w:r>
      <w:r w:rsidR="00B05154" w:rsidRPr="007947A9">
        <w:rPr>
          <w:rFonts w:ascii="Palatino Linotype" w:hAnsi="Palatino Linotype" w:cs="Arial"/>
          <w:sz w:val="24"/>
          <w:szCs w:val="24"/>
        </w:rPr>
        <w:t>presentó a través del Sistema de Acceso a la Información Mexiquense (</w:t>
      </w:r>
      <w:r w:rsidR="00B05154" w:rsidRPr="007947A9">
        <w:rPr>
          <w:rFonts w:ascii="Palatino Linotype" w:hAnsi="Palatino Linotype" w:cs="Arial"/>
          <w:b/>
          <w:sz w:val="24"/>
          <w:szCs w:val="24"/>
        </w:rPr>
        <w:t>SAIMEX)</w:t>
      </w:r>
      <w:r w:rsidR="00B05154" w:rsidRPr="007947A9">
        <w:rPr>
          <w:rFonts w:ascii="Palatino Linotype" w:hAnsi="Palatino Linotype" w:cs="Arial"/>
          <w:sz w:val="24"/>
          <w:szCs w:val="24"/>
        </w:rPr>
        <w:t>, la solicitud de acceso a la información pública, con número de folio</w:t>
      </w:r>
      <w:r w:rsidR="00B05154">
        <w:rPr>
          <w:rFonts w:ascii="Palatino Linotype" w:hAnsi="Palatino Linotype" w:cs="Arial"/>
          <w:sz w:val="24"/>
          <w:szCs w:val="24"/>
        </w:rPr>
        <w:t xml:space="preserve"> </w:t>
      </w:r>
      <w:r w:rsidR="00B05154">
        <w:rPr>
          <w:rFonts w:ascii="Palatino Linotype" w:hAnsi="Palatino Linotype" w:cs="Arial"/>
          <w:b/>
          <w:bCs/>
          <w:sz w:val="24"/>
          <w:szCs w:val="24"/>
        </w:rPr>
        <w:t xml:space="preserve">00073/MALINAL/IP/2024, </w:t>
      </w:r>
      <w:r w:rsidR="00B05154">
        <w:rPr>
          <w:rFonts w:ascii="Palatino Linotype" w:hAnsi="Palatino Linotype" w:cs="Arial"/>
          <w:sz w:val="24"/>
          <w:szCs w:val="24"/>
        </w:rPr>
        <w:t>lo siguiente:</w:t>
      </w:r>
    </w:p>
    <w:p w14:paraId="02D95115" w14:textId="06A42458" w:rsidR="00B05154" w:rsidRPr="00B05154" w:rsidRDefault="00B05154" w:rsidP="00B05154">
      <w:pPr>
        <w:pStyle w:val="Citas"/>
        <w:rPr>
          <w:b/>
          <w:bCs/>
        </w:rPr>
      </w:pPr>
      <w:r>
        <w:t>“</w:t>
      </w:r>
      <w:r w:rsidRPr="00B05154">
        <w:t>LA CERTIFICACIÓN EN LAS SIGUIENTES NORMAS: "Administrar la Obra Pública Municipal y Servicios relacionados con las mismas en el Estado de México" y "Gerenciar el Desarrollo Urbano y Ordenamiento Territorial en el ámbito de la Administración Pública Municipal", DEL DIRECTOR DE OBRAS PÚBLICAS Y DESARROLLO URBAN</w:t>
      </w:r>
      <w:r>
        <w:t xml:space="preserve">O” </w:t>
      </w:r>
      <w:r>
        <w:rPr>
          <w:b/>
          <w:bCs/>
        </w:rPr>
        <w:t>(Sic)</w:t>
      </w:r>
    </w:p>
    <w:p w14:paraId="36172013" w14:textId="77777777"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Modalidad de entrega: 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lastRenderedPageBreak/>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39AC77E7"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B05154">
        <w:rPr>
          <w:rFonts w:ascii="Palatino Linotype" w:hAnsi="Palatino Linotype" w:cs="Arial"/>
          <w:b/>
          <w:bCs/>
          <w:sz w:val="24"/>
          <w:szCs w:val="24"/>
        </w:rPr>
        <w:t xml:space="preserve">treinta y uno de julio de dos mil veinticuatro, </w:t>
      </w:r>
      <w:r w:rsidR="00B05154">
        <w:rPr>
          <w:rFonts w:ascii="Palatino Linotype" w:hAnsi="Palatino Linotype" w:cs="Arial"/>
          <w:sz w:val="24"/>
          <w:szCs w:val="24"/>
        </w:rPr>
        <w:t xml:space="preserve">registrado en el </w:t>
      </w:r>
      <w:r w:rsidR="00B05154">
        <w:rPr>
          <w:rFonts w:ascii="Palatino Linotype" w:hAnsi="Palatino Linotype" w:cs="Arial"/>
          <w:b/>
          <w:bCs/>
          <w:sz w:val="24"/>
          <w:szCs w:val="24"/>
        </w:rPr>
        <w:t xml:space="preserve">SAIMEX </w:t>
      </w:r>
      <w:r w:rsidR="00B05154">
        <w:rPr>
          <w:rFonts w:ascii="Palatino Linotype" w:hAnsi="Palatino Linotype" w:cs="Arial"/>
          <w:sz w:val="24"/>
          <w:szCs w:val="24"/>
        </w:rPr>
        <w:t xml:space="preserve">con número de expediente </w:t>
      </w:r>
      <w:r w:rsidR="00B05154">
        <w:rPr>
          <w:rFonts w:ascii="Palatino Linotype" w:hAnsi="Palatino Linotype" w:cs="Arial"/>
          <w:b/>
          <w:bCs/>
          <w:sz w:val="24"/>
          <w:szCs w:val="24"/>
        </w:rPr>
        <w:t xml:space="preserve">04660/INFOEM/IP/RR/2024,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6BA5E2A4" w14:textId="1CFD05C1" w:rsidR="00EA4E95" w:rsidRDefault="00B05154"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b/>
          <w:bCs/>
          <w:color w:val="000000"/>
          <w:sz w:val="24"/>
          <w:szCs w:val="24"/>
          <w:lang w:val="es-ES_tradnl"/>
        </w:rPr>
      </w:pPr>
      <w:r>
        <w:rPr>
          <w:rFonts w:ascii="Palatino Linotype" w:eastAsia="Palatino Linotype" w:hAnsi="Palatino Linotype" w:cs="Palatino Linotype"/>
          <w:b/>
          <w:bCs/>
          <w:color w:val="000000"/>
          <w:sz w:val="24"/>
          <w:szCs w:val="24"/>
          <w:lang w:val="es-ES_tradnl"/>
        </w:rPr>
        <w:t>Acto impugnado:</w:t>
      </w:r>
    </w:p>
    <w:p w14:paraId="72C5B08C" w14:textId="5A7791D6" w:rsidR="00B05154" w:rsidRPr="00B05154" w:rsidRDefault="00B05154" w:rsidP="00B05154">
      <w:pPr>
        <w:pStyle w:val="Citas"/>
        <w:rPr>
          <w:b/>
          <w:bCs/>
          <w:lang w:val="es-ES_tradnl"/>
        </w:rPr>
      </w:pPr>
      <w:r>
        <w:t>“</w:t>
      </w:r>
      <w:r w:rsidRPr="00B05154">
        <w:t>OMISIÓN DE LA ENTREGA DE INFORMACIÓN EN TIEMPO Y FORM</w:t>
      </w:r>
      <w:r>
        <w:t xml:space="preserve">A” </w:t>
      </w:r>
      <w:r>
        <w:rPr>
          <w:b/>
          <w:bCs/>
        </w:rPr>
        <w:t>(Sic)</w:t>
      </w:r>
    </w:p>
    <w:p w14:paraId="68E9D597" w14:textId="09C534E6" w:rsidR="00B05154" w:rsidRDefault="00B05154"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b/>
          <w:bCs/>
          <w:color w:val="000000"/>
          <w:sz w:val="24"/>
          <w:szCs w:val="24"/>
          <w:lang w:val="es-ES_tradnl"/>
        </w:rPr>
      </w:pPr>
      <w:r>
        <w:rPr>
          <w:rFonts w:ascii="Palatino Linotype" w:eastAsia="Palatino Linotype" w:hAnsi="Palatino Linotype" w:cs="Palatino Linotype"/>
          <w:b/>
          <w:bCs/>
          <w:color w:val="000000"/>
          <w:sz w:val="24"/>
          <w:szCs w:val="24"/>
          <w:lang w:val="es-ES_tradnl"/>
        </w:rPr>
        <w:t>Razones o motivos de inconformidad:</w:t>
      </w:r>
    </w:p>
    <w:p w14:paraId="0D955782" w14:textId="3D971341" w:rsidR="00B05154" w:rsidRPr="00B05154" w:rsidRDefault="00B05154" w:rsidP="00B05154">
      <w:pPr>
        <w:pStyle w:val="Citas"/>
        <w:rPr>
          <w:b/>
          <w:bCs/>
          <w:lang w:val="es-ES_tradnl"/>
        </w:rPr>
      </w:pPr>
      <w:r>
        <w:t>“</w:t>
      </w:r>
      <w:r w:rsidRPr="00B05154">
        <w:t>EL SUJETO OBLIGADO SE NEGO A REMITIR LA INFORMACIÓN SOLICITADA, PUESTO QUE DE ACUERDO A LAS FECHAS DE LA SOLICITUD NO SE HA CUMPLIDO EN TIEMPO Y FORMA CON EL REQUERIMIENT</w:t>
      </w:r>
      <w:r>
        <w:t xml:space="preserve">O” </w:t>
      </w:r>
      <w:r>
        <w:rPr>
          <w:b/>
          <w:bCs/>
        </w:rPr>
        <w:t>(Sic)</w:t>
      </w:r>
    </w:p>
    <w:p w14:paraId="2C52BB8C" w14:textId="77777777" w:rsidR="00B05154" w:rsidRDefault="00B05154"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380421C1"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desechamiento, por lo que el </w:t>
      </w:r>
      <w:r w:rsidR="00B05154">
        <w:rPr>
          <w:rFonts w:ascii="Palatino Linotype" w:eastAsia="Palatino Linotype" w:hAnsi="Palatino Linotype" w:cs="Palatino Linotype"/>
          <w:b/>
          <w:bCs/>
          <w:color w:val="000000"/>
          <w:sz w:val="24"/>
          <w:szCs w:val="24"/>
          <w:lang w:val="es-ES_tradnl"/>
        </w:rPr>
        <w:t xml:space="preserve">siete de </w:t>
      </w:r>
      <w:r w:rsidR="00B05154">
        <w:rPr>
          <w:rFonts w:ascii="Palatino Linotype" w:eastAsia="Palatino Linotype" w:hAnsi="Palatino Linotype" w:cs="Palatino Linotype"/>
          <w:b/>
          <w:bCs/>
          <w:color w:val="000000"/>
          <w:sz w:val="24"/>
          <w:szCs w:val="24"/>
          <w:lang w:val="es-ES_tradnl"/>
        </w:rPr>
        <w:lastRenderedPageBreak/>
        <w:t>agosto</w:t>
      </w:r>
      <w:r w:rsidR="00EA4E95">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1AF04B5C"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B05154">
        <w:rPr>
          <w:rFonts w:ascii="Palatino Linotype" w:eastAsia="Palatino Linotype" w:hAnsi="Palatino Linotype" w:cs="Palatino Linotype"/>
          <w:b/>
          <w:bCs/>
          <w:color w:val="000000"/>
          <w:sz w:val="24"/>
          <w:szCs w:val="24"/>
          <w:lang w:val="es-ES_tradnl"/>
        </w:rPr>
        <w:t>diecinueve</w:t>
      </w:r>
      <w:r w:rsidR="00C46F12">
        <w:rPr>
          <w:rFonts w:ascii="Palatino Linotype" w:eastAsia="Palatino Linotype" w:hAnsi="Palatino Linotype" w:cs="Palatino Linotype"/>
          <w:b/>
          <w:bCs/>
          <w:color w:val="000000"/>
          <w:sz w:val="24"/>
          <w:szCs w:val="24"/>
          <w:lang w:val="es-ES_tradnl"/>
        </w:rPr>
        <w:t xml:space="preserve"> de agosto</w:t>
      </w:r>
      <w:r w:rsidR="0007277A" w:rsidRPr="00C46F12">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w:t>
      </w:r>
      <w:r w:rsidRPr="007947A9">
        <w:rPr>
          <w:rFonts w:ascii="Palatino Linotype" w:hAnsi="Palatino Linotype" w:cs="Arial"/>
          <w:sz w:val="24"/>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w:t>
      </w:r>
      <w:r w:rsidRPr="00552E32">
        <w:rPr>
          <w:rFonts w:ascii="Palatino Linotype" w:eastAsia="Times New Roman" w:hAnsi="Palatino Linotype" w:cs="Arial"/>
          <w:sz w:val="24"/>
          <w:szCs w:val="24"/>
          <w:lang w:val="es-ES" w:eastAsia="es-MX"/>
        </w:rPr>
        <w:lastRenderedPageBreak/>
        <w:t xml:space="preserve">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lastRenderedPageBreak/>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 xml:space="preserve">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sidR="0009491C" w:rsidRPr="0068506C">
        <w:rPr>
          <w:rFonts w:ascii="Palatino Linotype" w:hAnsi="Palatino Linotype" w:cs="Arial"/>
          <w:sz w:val="24"/>
          <w:szCs w:val="24"/>
        </w:rPr>
        <w:lastRenderedPageBreak/>
        <w:t>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353B54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883E2A">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883E2A"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664473A9"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001FDC">
        <w:rPr>
          <w:rFonts w:ascii="Palatino Linotype" w:hAnsi="Palatino Linotype" w:cs="Arial"/>
          <w:b/>
          <w:sz w:val="24"/>
          <w:szCs w:val="24"/>
        </w:rPr>
        <w:t>00073/MALINAL/IP/2024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Por lo antes expuesto y fundado es de resolverse y,</w:t>
      </w:r>
    </w:p>
    <w:p w14:paraId="18D3021C"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6013FD4E"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001FDC">
        <w:rPr>
          <w:rFonts w:ascii="Palatino Linotype" w:hAnsi="Palatino Linotype" w:cs="Arial"/>
          <w:b/>
          <w:sz w:val="24"/>
          <w:szCs w:val="24"/>
        </w:rPr>
        <w:t>00073/MALINAL/IP/2024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lastRenderedPageBreak/>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180C9E54" w14:textId="729CA877"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LO ACORDÓ, POR UNANIMIDAD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w:t>
      </w:r>
      <w:r>
        <w:rPr>
          <w:rFonts w:ascii="Palatino Linotype" w:hAnsi="Palatino Linotype" w:cs="Arial"/>
          <w:lang w:val="es-MX"/>
        </w:rPr>
        <w:t xml:space="preserve">,  </w:t>
      </w:r>
      <w:r w:rsidRPr="00705FE6">
        <w:rPr>
          <w:rFonts w:ascii="Palatino Linotype" w:hAnsi="Palatino Linotype" w:cs="Arial"/>
          <w:lang w:val="es-MX"/>
        </w:rPr>
        <w:t xml:space="preserve">LUIS GUSTAVO </w:t>
      </w:r>
      <w:r w:rsidRPr="00705FE6">
        <w:rPr>
          <w:rFonts w:ascii="Palatino Linotype" w:hAnsi="Palatino Linotype" w:cs="Arial"/>
          <w:lang w:val="es-MX"/>
        </w:rPr>
        <w:lastRenderedPageBreak/>
        <w:t xml:space="preserve">PARRA NORIEGA Y GUADALUPE RAMÍREZ PEÑA; EN LA </w:t>
      </w:r>
      <w:r w:rsidR="00001FDC">
        <w:rPr>
          <w:rFonts w:ascii="Palatino Linotype" w:hAnsi="Palatino Linotype" w:cs="Arial"/>
          <w:lang w:val="es-MX"/>
        </w:rPr>
        <w:t xml:space="preserve">TRIGÉSIMA </w:t>
      </w:r>
      <w:r w:rsidRPr="00705FE6">
        <w:rPr>
          <w:rFonts w:ascii="Palatino Linotype" w:hAnsi="Palatino Linotype" w:cs="Arial"/>
          <w:lang w:val="es-MX"/>
        </w:rPr>
        <w:t>SESIÓN ORDINARIA CELEBRADA EL</w:t>
      </w:r>
      <w:r>
        <w:rPr>
          <w:rFonts w:ascii="Palatino Linotype" w:hAnsi="Palatino Linotype" w:cs="Arial"/>
          <w:lang w:val="es-MX"/>
        </w:rPr>
        <w:t xml:space="preserve"> </w:t>
      </w:r>
      <w:r w:rsidR="00001FDC">
        <w:rPr>
          <w:rFonts w:ascii="Palatino Linotype" w:hAnsi="Palatino Linotype" w:cs="Arial"/>
          <w:lang w:val="es-MX"/>
        </w:rPr>
        <w:t xml:space="preserve">VEINTIOCHO </w:t>
      </w:r>
      <w:r>
        <w:rPr>
          <w:rFonts w:ascii="Palatino Linotype" w:hAnsi="Palatino Linotype" w:cs="Arial"/>
          <w:lang w:val="es-MX"/>
        </w:rPr>
        <w:t xml:space="preserve">DE AGOSTO DE DOS MIL VEINTICUATRO, </w:t>
      </w:r>
      <w:r w:rsidRPr="00705FE6">
        <w:rPr>
          <w:rFonts w:ascii="Palatino Linotype" w:hAnsi="Palatino Linotype" w:cs="Arial"/>
          <w:lang w:val="es-MX"/>
        </w:rPr>
        <w:t xml:space="preserve">ANTE EL SECRETARIO TÉCNICO DEL PLENO, ALEXIS TAPIA RAMÍREZ. </w:t>
      </w:r>
    </w:p>
    <w:p w14:paraId="3722CDE3" w14:textId="77777777"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26710BC7" w14:textId="2373C662" w:rsidR="0009491C" w:rsidRPr="00360DF2" w:rsidRDefault="006415FA" w:rsidP="00B34049">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2B8E6FF3" wp14:editId="7192F921">
                <wp:simplePos x="0" y="0"/>
                <wp:positionH relativeFrom="column">
                  <wp:posOffset>-151881</wp:posOffset>
                </wp:positionH>
                <wp:positionV relativeFrom="paragraph">
                  <wp:posOffset>197138</wp:posOffset>
                </wp:positionV>
                <wp:extent cx="6386945" cy="5721927"/>
                <wp:effectExtent l="0" t="0" r="33020" b="31750"/>
                <wp:wrapNone/>
                <wp:docPr id="1535886873" name="Straight Connector 1"/>
                <wp:cNvGraphicFramePr/>
                <a:graphic xmlns:a="http://schemas.openxmlformats.org/drawingml/2006/main">
                  <a:graphicData uri="http://schemas.microsoft.com/office/word/2010/wordprocessingShape">
                    <wps:wsp>
                      <wps:cNvCnPr/>
                      <wps:spPr>
                        <a:xfrm>
                          <a:off x="0" y="0"/>
                          <a:ext cx="6386945" cy="57219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49CA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5.5pt" to="490.95pt,4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" strokecolor="#5b9bd5 [3204]" strokeweight=".5pt">
                <v:stroke joinstyle="miter"/>
              </v:line>
            </w:pict>
          </mc:Fallback>
        </mc:AlternateContent>
      </w: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DC59ED" w:rsidRDefault="00DC59ED" w:rsidP="00B34049">
      <w:pPr>
        <w:spacing w:after="0"/>
      </w:pPr>
    </w:p>
    <w:p w14:paraId="782ED6E4" w14:textId="77777777" w:rsidR="006415FA" w:rsidRDefault="006415FA" w:rsidP="00B34049">
      <w:pPr>
        <w:spacing w:after="0"/>
      </w:pPr>
    </w:p>
    <w:p w14:paraId="17453EFF" w14:textId="77777777" w:rsidR="006415FA" w:rsidRDefault="006415FA" w:rsidP="00B34049">
      <w:pPr>
        <w:spacing w:after="0"/>
      </w:pPr>
    </w:p>
    <w:p w14:paraId="33F0DD5E" w14:textId="77777777" w:rsidR="006415FA" w:rsidRDefault="006415FA" w:rsidP="00B34049">
      <w:pPr>
        <w:spacing w:after="0"/>
      </w:pPr>
    </w:p>
    <w:p w14:paraId="71ECF161" w14:textId="77777777" w:rsidR="006415FA" w:rsidRDefault="006415FA" w:rsidP="00B34049">
      <w:pPr>
        <w:spacing w:after="0"/>
      </w:pPr>
    </w:p>
    <w:p w14:paraId="3B595424" w14:textId="77777777" w:rsidR="006415FA" w:rsidRDefault="006415FA" w:rsidP="00B34049">
      <w:pPr>
        <w:spacing w:after="0"/>
      </w:pPr>
    </w:p>
    <w:p w14:paraId="5AECC86B" w14:textId="77777777" w:rsidR="006415FA" w:rsidRDefault="006415FA" w:rsidP="00B34049">
      <w:pPr>
        <w:spacing w:after="0"/>
      </w:pPr>
    </w:p>
    <w:p w14:paraId="29F6F776" w14:textId="77777777" w:rsidR="006415FA" w:rsidRDefault="006415FA" w:rsidP="00B34049">
      <w:pPr>
        <w:spacing w:after="0"/>
      </w:pPr>
    </w:p>
    <w:p w14:paraId="0E02C4CF" w14:textId="77777777" w:rsidR="006415FA" w:rsidRDefault="006415FA" w:rsidP="00B34049">
      <w:pPr>
        <w:spacing w:after="0"/>
      </w:pPr>
    </w:p>
    <w:p w14:paraId="3E1BD2D1" w14:textId="77777777" w:rsidR="006415FA" w:rsidRDefault="006415FA" w:rsidP="00B34049">
      <w:pPr>
        <w:spacing w:after="0"/>
      </w:pPr>
    </w:p>
    <w:p w14:paraId="0379DD64" w14:textId="77777777" w:rsidR="006415FA" w:rsidRDefault="006415FA" w:rsidP="00B34049">
      <w:pPr>
        <w:spacing w:after="0"/>
      </w:pPr>
    </w:p>
    <w:p w14:paraId="03CBF61C" w14:textId="77777777" w:rsidR="00001FDC" w:rsidRDefault="00001FDC" w:rsidP="00B34049">
      <w:pPr>
        <w:spacing w:after="0"/>
      </w:pPr>
    </w:p>
    <w:p w14:paraId="0C87834A" w14:textId="77777777" w:rsidR="00001FDC" w:rsidRDefault="00001FDC" w:rsidP="00B34049">
      <w:pPr>
        <w:spacing w:after="0"/>
      </w:pPr>
    </w:p>
    <w:p w14:paraId="1B5906C4" w14:textId="77777777" w:rsidR="00001FDC" w:rsidRDefault="00001FDC" w:rsidP="00B34049">
      <w:pPr>
        <w:spacing w:after="0"/>
      </w:pPr>
    </w:p>
    <w:p w14:paraId="67D8FD91" w14:textId="77777777" w:rsidR="00001FDC" w:rsidRDefault="00001FDC"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CBCD3" w14:textId="77777777" w:rsidR="008F4FFA" w:rsidRDefault="008F4FFA" w:rsidP="0009491C">
      <w:pPr>
        <w:spacing w:after="0" w:line="240" w:lineRule="auto"/>
      </w:pPr>
      <w:r>
        <w:separator/>
      </w:r>
    </w:p>
  </w:endnote>
  <w:endnote w:type="continuationSeparator" w:id="0">
    <w:p w14:paraId="19CC351A" w14:textId="77777777" w:rsidR="008F4FFA" w:rsidRDefault="008F4FFA"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17CF4">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17CF4">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17CF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17CF4">
      <w:rPr>
        <w:rFonts w:ascii="Palatino Linotype" w:hAnsi="Palatino Linotype"/>
        <w:bCs/>
        <w:noProof/>
        <w:sz w:val="20"/>
      </w:rPr>
      <w:t>15</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DBB6" w14:textId="77777777" w:rsidR="008F4FFA" w:rsidRDefault="008F4FFA" w:rsidP="0009491C">
      <w:pPr>
        <w:spacing w:after="0" w:line="240" w:lineRule="auto"/>
      </w:pPr>
      <w:r>
        <w:separator/>
      </w:r>
    </w:p>
  </w:footnote>
  <w:footnote w:type="continuationSeparator" w:id="0">
    <w:p w14:paraId="7FFD6289" w14:textId="77777777" w:rsidR="008F4FFA" w:rsidRDefault="008F4FFA"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2EDF95CA" w:rsidR="00DC59ED" w:rsidRPr="00641471" w:rsidRDefault="00E14C9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B05154">
            <w:rPr>
              <w:rFonts w:ascii="Palatino Linotype" w:hAnsi="Palatino Linotype" w:cs="Arial"/>
              <w:b/>
              <w:bCs/>
              <w:sz w:val="24"/>
              <w:lang w:eastAsia="es-MX"/>
            </w:rPr>
            <w:t>4660</w:t>
          </w:r>
          <w:r w:rsidR="006E6DC1">
            <w:rPr>
              <w:rFonts w:ascii="Palatino Linotype" w:hAnsi="Palatino Linotype" w:cs="Arial"/>
              <w:b/>
              <w:bCs/>
              <w:sz w:val="24"/>
              <w:lang w:eastAsia="es-MX"/>
            </w:rPr>
            <w:t>/INFOEM/IP/RR/202</w:t>
          </w:r>
          <w:r>
            <w:rPr>
              <w:rFonts w:ascii="Palatino Linotype" w:hAnsi="Palatino Linotype" w:cs="Arial"/>
              <w:b/>
              <w:bCs/>
              <w:sz w:val="24"/>
              <w:lang w:eastAsia="es-MX"/>
            </w:rPr>
            <w:t>4</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3E2F2F82" w:rsidR="00E14C9D" w:rsidRPr="00641471" w:rsidRDefault="00B05154"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Ayuntamiento de Malinalco</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0472DA30" w:rsidR="00DC59ED" w:rsidRPr="00641471" w:rsidRDefault="00B05154"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04660</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63421B23" w:rsidR="00DC59ED" w:rsidRPr="00641471" w:rsidRDefault="00B05154"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Ayuntamiento de Malinalco</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67DE577" w:rsidR="00DC59ED" w:rsidRPr="00641471" w:rsidRDefault="00817CF4" w:rsidP="00817CF4">
          <w:pPr>
            <w:tabs>
              <w:tab w:val="left" w:pos="3212"/>
              <w:tab w:val="right" w:pos="4465"/>
            </w:tabs>
            <w:spacing w:after="120" w:line="256" w:lineRule="auto"/>
            <w:ind w:left="-486" w:right="214" w:firstLine="567"/>
            <w:rPr>
              <w:rFonts w:ascii="Palatino Linotype" w:hAnsi="Palatino Linotype" w:cs="Arial"/>
              <w:b/>
            </w:rPr>
          </w:pPr>
          <w:r>
            <w:rPr>
              <w:rFonts w:ascii="Palatino Linotype" w:hAnsi="Palatino Linotype" w:cs="Arial"/>
              <w:b/>
            </w:rPr>
            <w:tab/>
          </w:r>
          <w:r>
            <w:rPr>
              <w:rFonts w:ascii="Palatino Linotype" w:hAnsi="Palatino Linotype" w:cs="Arial"/>
              <w:b/>
            </w:rPr>
            <w:tab/>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noProof/>
              <w:szCs w:val="20"/>
              <w:lang w:eastAsia="es-MX"/>
            </w:rPr>
            <w:t>XXXX</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7277A"/>
    <w:rsid w:val="0009491C"/>
    <w:rsid w:val="0009532D"/>
    <w:rsid w:val="00095986"/>
    <w:rsid w:val="000B12F7"/>
    <w:rsid w:val="00106670"/>
    <w:rsid w:val="00115D6C"/>
    <w:rsid w:val="00167BBD"/>
    <w:rsid w:val="00171EAB"/>
    <w:rsid w:val="00174E4E"/>
    <w:rsid w:val="00181CA1"/>
    <w:rsid w:val="00190E63"/>
    <w:rsid w:val="001E05EB"/>
    <w:rsid w:val="0023365E"/>
    <w:rsid w:val="002436FA"/>
    <w:rsid w:val="00252E84"/>
    <w:rsid w:val="002D2C0C"/>
    <w:rsid w:val="00341A68"/>
    <w:rsid w:val="0041247E"/>
    <w:rsid w:val="0044350B"/>
    <w:rsid w:val="00460D49"/>
    <w:rsid w:val="0048739B"/>
    <w:rsid w:val="004B0546"/>
    <w:rsid w:val="004D1A2D"/>
    <w:rsid w:val="00530960"/>
    <w:rsid w:val="00552E32"/>
    <w:rsid w:val="0059361F"/>
    <w:rsid w:val="0061125D"/>
    <w:rsid w:val="006278C1"/>
    <w:rsid w:val="00636559"/>
    <w:rsid w:val="006415FA"/>
    <w:rsid w:val="00647509"/>
    <w:rsid w:val="00670BA4"/>
    <w:rsid w:val="006B3607"/>
    <w:rsid w:val="006E6DC1"/>
    <w:rsid w:val="00703118"/>
    <w:rsid w:val="007947A9"/>
    <w:rsid w:val="007B123F"/>
    <w:rsid w:val="007C2B27"/>
    <w:rsid w:val="007E201A"/>
    <w:rsid w:val="00817CF4"/>
    <w:rsid w:val="00863BE9"/>
    <w:rsid w:val="008832C3"/>
    <w:rsid w:val="00883E2A"/>
    <w:rsid w:val="008A04A3"/>
    <w:rsid w:val="008A52F7"/>
    <w:rsid w:val="008B3790"/>
    <w:rsid w:val="008D27DD"/>
    <w:rsid w:val="008F4FFA"/>
    <w:rsid w:val="00946989"/>
    <w:rsid w:val="009477CE"/>
    <w:rsid w:val="00953ACF"/>
    <w:rsid w:val="00977664"/>
    <w:rsid w:val="00A0464A"/>
    <w:rsid w:val="00A14BA5"/>
    <w:rsid w:val="00A768CA"/>
    <w:rsid w:val="00A95E4F"/>
    <w:rsid w:val="00AC0022"/>
    <w:rsid w:val="00AF5D72"/>
    <w:rsid w:val="00AF60A1"/>
    <w:rsid w:val="00B05154"/>
    <w:rsid w:val="00B34049"/>
    <w:rsid w:val="00B37E25"/>
    <w:rsid w:val="00BC0FCE"/>
    <w:rsid w:val="00C27A9E"/>
    <w:rsid w:val="00C43AAB"/>
    <w:rsid w:val="00C46F12"/>
    <w:rsid w:val="00C92BDF"/>
    <w:rsid w:val="00CA31E0"/>
    <w:rsid w:val="00D14C70"/>
    <w:rsid w:val="00D42741"/>
    <w:rsid w:val="00D80CEC"/>
    <w:rsid w:val="00DC59ED"/>
    <w:rsid w:val="00DD3A4F"/>
    <w:rsid w:val="00E14C9D"/>
    <w:rsid w:val="00E54257"/>
    <w:rsid w:val="00EA4E95"/>
    <w:rsid w:val="00EE79AF"/>
    <w:rsid w:val="00EF611D"/>
    <w:rsid w:val="00F1703E"/>
    <w:rsid w:val="00F175A2"/>
    <w:rsid w:val="00F2788A"/>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15</Pages>
  <Words>3132</Words>
  <Characters>17231</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28</cp:revision>
  <dcterms:created xsi:type="dcterms:W3CDTF">2023-11-24T19:25:00Z</dcterms:created>
  <dcterms:modified xsi:type="dcterms:W3CDTF">2024-09-05T20:36:00Z</dcterms:modified>
</cp:coreProperties>
</file>