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1C001B" w14:textId="77777777" w:rsidR="003E4E89" w:rsidRPr="00964919" w:rsidRDefault="000D4BA5">
      <w:pPr>
        <w:spacing w:before="120" w:after="0" w:line="360" w:lineRule="auto"/>
        <w:ind w:right="49"/>
        <w:jc w:val="both"/>
        <w:rPr>
          <w:rFonts w:ascii="Palatino Linotype" w:eastAsia="Palatino Linotype" w:hAnsi="Palatino Linotype" w:cs="Palatino Linotype"/>
        </w:rPr>
      </w:pPr>
      <w:r w:rsidRPr="00964919">
        <w:rPr>
          <w:rFonts w:ascii="Palatino Linotype" w:eastAsia="Palatino Linotype" w:hAnsi="Palatino Linotype" w:cs="Palatino Linotype"/>
        </w:rPr>
        <w:t>Resolución del Pleno del Instituto de Transparencia, Acceso a la Información Pública y Protección de Datos Personales del Estado de México y Municipios, con domicilio en Metepec, Estado de México, a cuatro de diciembre de dos mil veinticuatro.</w:t>
      </w:r>
    </w:p>
    <w:p w14:paraId="4F3D0C63" w14:textId="77777777" w:rsidR="003E4E89" w:rsidRPr="00964919" w:rsidRDefault="003E4E89">
      <w:pPr>
        <w:rPr>
          <w:rFonts w:ascii="Palatino Linotype" w:eastAsia="Palatino Linotype" w:hAnsi="Palatino Linotype" w:cs="Palatino Linotype"/>
        </w:rPr>
      </w:pPr>
    </w:p>
    <w:p w14:paraId="7411001D" w14:textId="77777777" w:rsidR="003E4E89" w:rsidRPr="00964919" w:rsidRDefault="000D4BA5">
      <w:pPr>
        <w:spacing w:before="120" w:after="0"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b/>
        </w:rPr>
        <w:t xml:space="preserve">Visto </w:t>
      </w:r>
      <w:r w:rsidRPr="00964919">
        <w:rPr>
          <w:rFonts w:ascii="Palatino Linotype" w:eastAsia="Palatino Linotype" w:hAnsi="Palatino Linotype" w:cs="Palatino Linotype"/>
        </w:rPr>
        <w:t xml:space="preserve">el expediente relativo al recurso de revisión </w:t>
      </w:r>
      <w:r w:rsidRPr="00964919">
        <w:rPr>
          <w:rFonts w:ascii="Palatino Linotype" w:eastAsia="Palatino Linotype" w:hAnsi="Palatino Linotype" w:cs="Palatino Linotype"/>
          <w:b/>
        </w:rPr>
        <w:t>06899/INFOEM/IP/RR/2024</w:t>
      </w:r>
      <w:r w:rsidRPr="00964919">
        <w:rPr>
          <w:rFonts w:ascii="Palatino Linotype" w:eastAsia="Palatino Linotype" w:hAnsi="Palatino Linotype" w:cs="Palatino Linotype"/>
        </w:rPr>
        <w:t>, interpuesto por</w:t>
      </w:r>
      <w:r w:rsidRPr="00964919">
        <w:rPr>
          <w:rFonts w:ascii="Palatino Linotype" w:eastAsia="Palatino Linotype" w:hAnsi="Palatino Linotype" w:cs="Palatino Linotype"/>
          <w:b/>
        </w:rPr>
        <w:t xml:space="preserve"> un particular que no proporcionó nombre o seudónimo</w:t>
      </w:r>
      <w:r w:rsidRPr="00964919">
        <w:rPr>
          <w:rFonts w:ascii="Palatino Linotype" w:eastAsia="Palatino Linotype" w:hAnsi="Palatino Linotype" w:cs="Palatino Linotype"/>
        </w:rPr>
        <w:t>, en lo sucesivo se le denominara la parte</w:t>
      </w:r>
      <w:r w:rsidRPr="00964919">
        <w:rPr>
          <w:rFonts w:ascii="Palatino Linotype" w:eastAsia="Palatino Linotype" w:hAnsi="Palatino Linotype" w:cs="Palatino Linotype"/>
          <w:b/>
        </w:rPr>
        <w:t xml:space="preserve"> Recurrente</w:t>
      </w:r>
      <w:r w:rsidRPr="00964919">
        <w:rPr>
          <w:rFonts w:ascii="Palatino Linotype" w:eastAsia="Palatino Linotype" w:hAnsi="Palatino Linotype" w:cs="Palatino Linotype"/>
        </w:rPr>
        <w:t xml:space="preserve">, en contra de la respuesta a la solicitud de información con número de folio </w:t>
      </w:r>
      <w:r w:rsidRPr="00964919">
        <w:rPr>
          <w:rFonts w:ascii="Palatino Linotype" w:eastAsia="Palatino Linotype" w:hAnsi="Palatino Linotype" w:cs="Palatino Linotype"/>
          <w:b/>
        </w:rPr>
        <w:t>00649/TEMAMATL/IP/2024</w:t>
      </w:r>
      <w:r w:rsidRPr="00964919">
        <w:rPr>
          <w:rFonts w:ascii="Palatino Linotype" w:eastAsia="Palatino Linotype" w:hAnsi="Palatino Linotype" w:cs="Palatino Linotype"/>
        </w:rPr>
        <w:t>, por parte del</w:t>
      </w:r>
      <w:r w:rsidRPr="00964919">
        <w:rPr>
          <w:rFonts w:ascii="Palatino Linotype" w:eastAsia="Palatino Linotype" w:hAnsi="Palatino Linotype" w:cs="Palatino Linotype"/>
          <w:b/>
        </w:rPr>
        <w:t xml:space="preserve"> Ayuntamiento de Temamatla</w:t>
      </w:r>
      <w:r w:rsidRPr="00964919">
        <w:rPr>
          <w:rFonts w:ascii="Palatino Linotype" w:eastAsia="Palatino Linotype" w:hAnsi="Palatino Linotype" w:cs="Palatino Linotype"/>
        </w:rPr>
        <w:t>, en lo sucesivo</w:t>
      </w:r>
      <w:r w:rsidRPr="00964919">
        <w:rPr>
          <w:rFonts w:ascii="Palatino Linotype" w:eastAsia="Palatino Linotype" w:hAnsi="Palatino Linotype" w:cs="Palatino Linotype"/>
          <w:b/>
        </w:rPr>
        <w:t xml:space="preserve"> </w:t>
      </w:r>
      <w:r w:rsidRPr="00964919">
        <w:rPr>
          <w:rFonts w:ascii="Palatino Linotype" w:eastAsia="Palatino Linotype" w:hAnsi="Palatino Linotype" w:cs="Palatino Linotype"/>
        </w:rPr>
        <w:t>el</w:t>
      </w:r>
      <w:r w:rsidRPr="00964919">
        <w:rPr>
          <w:rFonts w:ascii="Palatino Linotype" w:eastAsia="Palatino Linotype" w:hAnsi="Palatino Linotype" w:cs="Palatino Linotype"/>
          <w:b/>
        </w:rPr>
        <w:t xml:space="preserve"> Sujeto Obligado; </w:t>
      </w:r>
      <w:r w:rsidRPr="00964919">
        <w:rPr>
          <w:rFonts w:ascii="Palatino Linotype" w:eastAsia="Palatino Linotype" w:hAnsi="Palatino Linotype" w:cs="Palatino Linotype"/>
        </w:rPr>
        <w:t xml:space="preserve">se procede a dictar la presente resolución, con base en lo siguiente. </w:t>
      </w:r>
    </w:p>
    <w:p w14:paraId="4B3E43AF" w14:textId="77777777" w:rsidR="003E4E89" w:rsidRPr="00964919" w:rsidRDefault="000D4BA5">
      <w:pPr>
        <w:spacing w:after="0" w:line="360" w:lineRule="auto"/>
        <w:ind w:right="49"/>
        <w:jc w:val="center"/>
        <w:rPr>
          <w:rFonts w:ascii="Palatino Linotype" w:eastAsia="Palatino Linotype" w:hAnsi="Palatino Linotype" w:cs="Palatino Linotype"/>
          <w:b/>
        </w:rPr>
      </w:pPr>
      <w:r w:rsidRPr="00964919">
        <w:rPr>
          <w:rFonts w:ascii="Palatino Linotype" w:eastAsia="Palatino Linotype" w:hAnsi="Palatino Linotype" w:cs="Palatino Linotype"/>
          <w:b/>
        </w:rPr>
        <w:t>A N T E C E D E N T E S</w:t>
      </w:r>
    </w:p>
    <w:p w14:paraId="2EB760D3" w14:textId="77777777" w:rsidR="003E4E89" w:rsidRPr="00964919" w:rsidRDefault="003E4E89">
      <w:pPr>
        <w:spacing w:after="0" w:line="360" w:lineRule="auto"/>
        <w:ind w:right="49"/>
        <w:jc w:val="center"/>
        <w:rPr>
          <w:rFonts w:ascii="Palatino Linotype" w:eastAsia="Palatino Linotype" w:hAnsi="Palatino Linotype" w:cs="Palatino Linotype"/>
        </w:rPr>
      </w:pPr>
    </w:p>
    <w:p w14:paraId="4C0A46BC" w14:textId="77777777" w:rsidR="003E4E89" w:rsidRPr="00964919" w:rsidRDefault="000D4BA5">
      <w:pPr>
        <w:spacing w:after="0" w:line="360" w:lineRule="auto"/>
        <w:ind w:right="49"/>
        <w:jc w:val="both"/>
        <w:rPr>
          <w:rFonts w:ascii="Palatino Linotype" w:eastAsia="Palatino Linotype" w:hAnsi="Palatino Linotype" w:cs="Palatino Linotype"/>
        </w:rPr>
      </w:pPr>
      <w:r w:rsidRPr="00964919">
        <w:rPr>
          <w:rFonts w:ascii="Palatino Linotype" w:eastAsia="Palatino Linotype" w:hAnsi="Palatino Linotype" w:cs="Palatino Linotype"/>
          <w:b/>
        </w:rPr>
        <w:t>1.</w:t>
      </w:r>
      <w:r w:rsidRPr="00964919">
        <w:rPr>
          <w:rFonts w:ascii="Palatino Linotype" w:eastAsia="Palatino Linotype" w:hAnsi="Palatino Linotype" w:cs="Palatino Linotype"/>
        </w:rPr>
        <w:t xml:space="preserve"> </w:t>
      </w:r>
      <w:r w:rsidRPr="00964919">
        <w:rPr>
          <w:rFonts w:ascii="Palatino Linotype" w:eastAsia="Palatino Linotype" w:hAnsi="Palatino Linotype" w:cs="Palatino Linotype"/>
          <w:b/>
        </w:rPr>
        <w:t xml:space="preserve">Solicitud de Información. </w:t>
      </w:r>
      <w:r w:rsidRPr="00964919">
        <w:rPr>
          <w:rFonts w:ascii="Palatino Linotype" w:eastAsia="Palatino Linotype" w:hAnsi="Palatino Linotype" w:cs="Palatino Linotype"/>
        </w:rPr>
        <w:t>Con fecha siete de octubre de dos mil veinticuatro, la parte</w:t>
      </w:r>
      <w:r w:rsidRPr="00964919">
        <w:rPr>
          <w:rFonts w:ascii="Palatino Linotype" w:eastAsia="Palatino Linotype" w:hAnsi="Palatino Linotype" w:cs="Palatino Linotype"/>
          <w:b/>
        </w:rPr>
        <w:t xml:space="preserve"> Recurrente</w:t>
      </w:r>
      <w:r w:rsidRPr="00964919">
        <w:rPr>
          <w:rFonts w:ascii="Palatino Linotype" w:eastAsia="Palatino Linotype" w:hAnsi="Palatino Linotype" w:cs="Palatino Linotype"/>
        </w:rPr>
        <w:t>, presentó a través del Sistema de Acceso a la Información Mexiquense (</w:t>
      </w:r>
      <w:r w:rsidRPr="00964919">
        <w:rPr>
          <w:rFonts w:ascii="Palatino Linotype" w:eastAsia="Palatino Linotype" w:hAnsi="Palatino Linotype" w:cs="Palatino Linotype"/>
          <w:b/>
        </w:rPr>
        <w:t>SAIMEX)</w:t>
      </w:r>
      <w:r w:rsidRPr="00964919">
        <w:rPr>
          <w:rFonts w:ascii="Palatino Linotype" w:eastAsia="Palatino Linotype" w:hAnsi="Palatino Linotype" w:cs="Palatino Linotype"/>
        </w:rPr>
        <w:t xml:space="preserve"> ante el</w:t>
      </w:r>
      <w:r w:rsidRPr="00964919">
        <w:rPr>
          <w:rFonts w:ascii="Palatino Linotype" w:eastAsia="Palatino Linotype" w:hAnsi="Palatino Linotype" w:cs="Palatino Linotype"/>
          <w:b/>
        </w:rPr>
        <w:t xml:space="preserve"> Sujeto Obligado</w:t>
      </w:r>
      <w:r w:rsidRPr="00964919">
        <w:rPr>
          <w:rFonts w:ascii="Palatino Linotype" w:eastAsia="Palatino Linotype" w:hAnsi="Palatino Linotype" w:cs="Palatino Linotype"/>
        </w:rPr>
        <w:t>, solicitud de acceso a la información pública, registrada bajo el número de expediente</w:t>
      </w:r>
      <w:r w:rsidRPr="00964919">
        <w:rPr>
          <w:rFonts w:ascii="Palatino Linotype" w:eastAsia="Palatino Linotype" w:hAnsi="Palatino Linotype" w:cs="Palatino Linotype"/>
          <w:b/>
        </w:rPr>
        <w:t> 00649/TEMAMATL/IP/2024</w:t>
      </w:r>
      <w:r w:rsidRPr="00964919">
        <w:rPr>
          <w:rFonts w:ascii="Palatino Linotype" w:eastAsia="Palatino Linotype" w:hAnsi="Palatino Linotype" w:cs="Palatino Linotype"/>
        </w:rPr>
        <w:t>,</w:t>
      </w:r>
      <w:r w:rsidRPr="00964919">
        <w:rPr>
          <w:rFonts w:ascii="Palatino Linotype" w:eastAsia="Palatino Linotype" w:hAnsi="Palatino Linotype" w:cs="Palatino Linotype"/>
          <w:b/>
        </w:rPr>
        <w:t xml:space="preserve"> </w:t>
      </w:r>
      <w:r w:rsidRPr="00964919">
        <w:rPr>
          <w:rFonts w:ascii="Palatino Linotype" w:eastAsia="Palatino Linotype" w:hAnsi="Palatino Linotype" w:cs="Palatino Linotype"/>
        </w:rPr>
        <w:t>mediante la cual solicitó la siguiente información:</w:t>
      </w:r>
    </w:p>
    <w:p w14:paraId="41486A19" w14:textId="77777777" w:rsidR="003E4E89" w:rsidRPr="00964919" w:rsidRDefault="003E4E89">
      <w:pPr>
        <w:spacing w:after="0" w:line="360" w:lineRule="auto"/>
        <w:ind w:right="49"/>
        <w:jc w:val="both"/>
        <w:rPr>
          <w:rFonts w:ascii="Palatino Linotype" w:eastAsia="Palatino Linotype" w:hAnsi="Palatino Linotype" w:cs="Palatino Linotype"/>
        </w:rPr>
      </w:pPr>
    </w:p>
    <w:p w14:paraId="121B05B8" w14:textId="77777777" w:rsidR="003E4E89" w:rsidRPr="00964919" w:rsidRDefault="000D4BA5">
      <w:pPr>
        <w:spacing w:after="0" w:line="276" w:lineRule="auto"/>
        <w:ind w:left="851" w:right="616"/>
        <w:jc w:val="both"/>
        <w:rPr>
          <w:rFonts w:ascii="Palatino Linotype" w:eastAsia="Palatino Linotype" w:hAnsi="Palatino Linotype" w:cs="Palatino Linotype"/>
          <w:i/>
        </w:rPr>
      </w:pPr>
      <w:bookmarkStart w:id="0" w:name="_heading=h.gjdgxs" w:colFirst="0" w:colLast="0"/>
      <w:bookmarkEnd w:id="0"/>
      <w:r w:rsidRPr="00964919">
        <w:rPr>
          <w:rFonts w:ascii="Palatino Linotype" w:eastAsia="Palatino Linotype" w:hAnsi="Palatino Linotype" w:cs="Palatino Linotype"/>
          <w:i/>
        </w:rPr>
        <w:t>“solicito el monto del gasto ejercido por concepto de adquisición de despensas, pólizas de egresos de este gasto, facturas y respaldos del mismo durante la administración 2022-2024.” (Sic).</w:t>
      </w:r>
    </w:p>
    <w:p w14:paraId="31B72602" w14:textId="77777777" w:rsidR="003E4E89" w:rsidRPr="00964919" w:rsidRDefault="003E4E89">
      <w:pPr>
        <w:spacing w:after="0" w:line="360" w:lineRule="auto"/>
        <w:ind w:right="758"/>
        <w:jc w:val="both"/>
        <w:rPr>
          <w:rFonts w:ascii="Palatino Linotype" w:eastAsia="Palatino Linotype" w:hAnsi="Palatino Linotype" w:cs="Palatino Linotype"/>
        </w:rPr>
      </w:pPr>
    </w:p>
    <w:p w14:paraId="5A39DD1D" w14:textId="77777777" w:rsidR="003E4E89" w:rsidRPr="00964919" w:rsidRDefault="000D4BA5">
      <w:pPr>
        <w:spacing w:after="0" w:line="360" w:lineRule="auto"/>
        <w:ind w:right="49"/>
        <w:jc w:val="both"/>
        <w:rPr>
          <w:rFonts w:ascii="Palatino Linotype" w:eastAsia="Palatino Linotype" w:hAnsi="Palatino Linotype" w:cs="Palatino Linotype"/>
        </w:rPr>
      </w:pPr>
      <w:r w:rsidRPr="00964919">
        <w:rPr>
          <w:rFonts w:ascii="Palatino Linotype" w:eastAsia="Palatino Linotype" w:hAnsi="Palatino Linotype" w:cs="Palatino Linotype"/>
        </w:rPr>
        <w:t xml:space="preserve">Modalidad de entrega: A través del </w:t>
      </w:r>
      <w:r w:rsidRPr="00964919">
        <w:rPr>
          <w:rFonts w:ascii="Palatino Linotype" w:eastAsia="Palatino Linotype" w:hAnsi="Palatino Linotype" w:cs="Palatino Linotype"/>
          <w:b/>
        </w:rPr>
        <w:t>SAIMEX</w:t>
      </w:r>
      <w:r w:rsidRPr="00964919">
        <w:rPr>
          <w:rFonts w:ascii="Palatino Linotype" w:eastAsia="Palatino Linotype" w:hAnsi="Palatino Linotype" w:cs="Palatino Linotype"/>
        </w:rPr>
        <w:t xml:space="preserve">. </w:t>
      </w:r>
    </w:p>
    <w:p w14:paraId="78E478D3" w14:textId="77777777" w:rsidR="003E4E89" w:rsidRPr="00964919" w:rsidRDefault="003E4E89">
      <w:pPr>
        <w:spacing w:after="0" w:line="360" w:lineRule="auto"/>
        <w:ind w:right="49"/>
        <w:jc w:val="both"/>
        <w:rPr>
          <w:rFonts w:ascii="Palatino Linotype" w:eastAsia="Palatino Linotype" w:hAnsi="Palatino Linotype" w:cs="Palatino Linotype"/>
        </w:rPr>
      </w:pPr>
    </w:p>
    <w:p w14:paraId="6FFC27F1" w14:textId="77777777" w:rsidR="003E4E89" w:rsidRPr="00964919" w:rsidRDefault="000D4BA5">
      <w:pPr>
        <w:spacing w:after="0"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b/>
        </w:rPr>
        <w:lastRenderedPageBreak/>
        <w:t xml:space="preserve">2. Respuesta. </w:t>
      </w:r>
      <w:r w:rsidRPr="00964919">
        <w:rPr>
          <w:rFonts w:ascii="Palatino Linotype" w:eastAsia="Palatino Linotype" w:hAnsi="Palatino Linotype" w:cs="Palatino Linotype"/>
        </w:rPr>
        <w:t>Con fecha veinticinco de octubre de dos mil veinticuatro, el</w:t>
      </w:r>
      <w:r w:rsidRPr="00964919">
        <w:rPr>
          <w:rFonts w:ascii="Palatino Linotype" w:eastAsia="Palatino Linotype" w:hAnsi="Palatino Linotype" w:cs="Palatino Linotype"/>
          <w:b/>
        </w:rPr>
        <w:t xml:space="preserve"> Sujeto Obligado</w:t>
      </w:r>
      <w:r w:rsidRPr="00964919">
        <w:rPr>
          <w:rFonts w:ascii="Palatino Linotype" w:eastAsia="Palatino Linotype" w:hAnsi="Palatino Linotype" w:cs="Palatino Linotype"/>
        </w:rPr>
        <w:t xml:space="preserve"> otorgó, a través del SAIMEX, respuesta a la solicitud de acceso a la información de la siguiente manera: </w:t>
      </w:r>
    </w:p>
    <w:p w14:paraId="37953AF8" w14:textId="77777777" w:rsidR="003E4E89" w:rsidRPr="00964919" w:rsidRDefault="000D4BA5">
      <w:pPr>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t>“En respuesta a la solicitud recibida, nos permitimos hacer de su conocimiento que con fundamento en el artículo 53, Fracciones: II, V y VI de la Ley de Transparencia y Acceso a la Información Pública del Estado de México y Municipios, le contestamos que:</w:t>
      </w:r>
    </w:p>
    <w:p w14:paraId="7303FDA7" w14:textId="77777777" w:rsidR="003E4E89" w:rsidRPr="00964919" w:rsidRDefault="000D4BA5">
      <w:pPr>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t xml:space="preserve">SOLICITANTE SEA ESTE EL MEDIO IDÓNEO PARA SALUDARLO Y A SU VEZ DAR CONTESTACIÓN A LA SOLICITUD EN CITA, CON FUNDAMENTO EN EL ARTICULO 6° DE LA CARTA MAGNA, 5° DE LA CONSTITUCIÓN LOCAL Y 4° DE LA LEY DE TRANSPARENCIA Y ACCESO A LA INFORMACIÓN PUBLICA DEL ESTADO DE MÉXICO Y MUNICIPIOS. SE DA CABAL CUMPLIMIENTO, OBSERVANDO LOS PRINCIPIOS DE CERTEZA, EFICIENCIA, IMPARCIALIDAD, INDEPENDENCIA. LEGALIDAD, MÁXIMA PUBLICIDAD, OBJETIVIDAD, PROFESIONALISMO Y TRANSPARENCIA. CABE PUNTUALIZAR QUE ESTE SUJETO OBLIGADO AYUNTAMIENTO DE TEMAMATLA, TIENE COMO PRINCIPAL OBJETIVO GARANTIZAR EL DERECHO DE ACCESO A LA INFORMACIÓN Y DARLE CERTEZA QUE LA RESPUESTA QUE SE ENTREGA ES CUIDANDO EN TODO MOMENTO LOS PRINCIPIOS DEL INFOEM Y LA PROTECCIÓN DE DATOS PERSONALES. ASÍ MISMO EN RELACIÓN AL NUMERAL 12. LTAIPEMYM QUIENES GENEREN, RECOPILEN, ADMINISTREN, MANEJEN, PROCESEN, ARCHIVEN O CONSERVEN INFORMACIÓN PÚBLICA SERÁN RESPONSABLES DE LA MISMA EN LOS TÉRMINOS DE LAS DISPOSICIONES JURÍDICAS APLICABLES. LOS SUJETOS OBLIGADOS SÓLO PROPORCIONARÁN LA INFORMACIÓN PÚBLICA QUE SE LES REQUIERA Y QUE OBRE EN SUS ARCHIVOS Y EN EL ESTADO EN QUE ÉSTA SE ENCUENTRE. LA OBLIGACIÓN DE PROPORCIONAR INFORMACIÓN NO COMPRENDE EL PROCESAMIENTO DE LA MISMA, NI EL PRESENTARLA CONFORME AL INTERÉS DEL SOLICITANTE; NO ESTARÁN OBLIGADOS A GENERARLA, RESUMIRLA, EFECTUAR CÁLCULOS O PRACTICAR INVESTIGACIONES. SE ENTREGA LA INFORMACIÓN EN EL ESTADO EN QUE SE ENCUENTRA, REFORZANDO LO ANTERIORMENTE EXPRESADO EL </w:t>
      </w:r>
      <w:r w:rsidRPr="00964919">
        <w:rPr>
          <w:rFonts w:ascii="Palatino Linotype" w:eastAsia="Palatino Linotype" w:hAnsi="Palatino Linotype" w:cs="Palatino Linotype"/>
          <w:i/>
        </w:rPr>
        <w:lastRenderedPageBreak/>
        <w:t>NUMERAL 160. LOS SUJETOS OBLIGADOS DEBERÁN OTORGAR ACCESO A LOS DOCUMENTOS QUE SE ENCUENTREN EN SUS ARCHIVOS O QUE ESTÉN OBLIGADOS A DOCUMENTAR DE ACUERDO CON SUS FACULTADES, COMPETENCIAS O FUNCIONES EN EL FORMATO QUE EL SOLICITANTE MANIFIESTE, DE ENTRE AQUELLOS FORMATOS EXISTENTES, CONFORME A LAS CARACTERÍSTICAS FÍSICAS DE LA INFORMACIÓN O DEL LUGAR DONDE SE ENCUENTRE ASÍ LO PERMITA. EN CASO QUE LA INFORMACIÓN SOLICITADA CONSISTA EN BASES DE DATOS SE DEBERÁ PRIVILEGIAR LA ENTREGA DE LA MISMA EN FORMATOS ABIERTOS. POR LO QUE SE DA CERTEZA QUE LA INFORMACION QUE SE ENTREGA, ES LA QUE OBRA EN LOS ARCHIVOS DE ESTE SUJETO OBLIGADO. RESPUESTA FUNDADA Y MOTIVADA EN EL CONTENIDO DEL OFICIO QUE SE ADJUNTA, DANDO RESPUESTA CLARA Y PRECISA DADA LA INDAGATORIA DEL SOLICITANTE. SIN OTRA PARTICULAR QUEDA A LA ORDEN ESTA UNIDAD DE TRANSPARENCIA DEL MUNICIPIO DE TEMAMATLA, CON DOMICILIO EN CALLE GUERRERO NO. 40, TEMAMATLA. PARA CUALQUIER DUDA O ACLARACIÓN. ATENTAMENTE TITULAR DE LA UNIDAD DE TRANSPARENCIA Y ACCESO A LA INFORMACIÓN PÚBLICA DEL MUNICIPIO DE TEMAMATLA, ESTADO DE MÉXICO”</w:t>
      </w:r>
    </w:p>
    <w:p w14:paraId="7B26ED65" w14:textId="77777777" w:rsidR="003E4E89" w:rsidRPr="00964919" w:rsidRDefault="003E4E89">
      <w:pPr>
        <w:spacing w:after="0" w:line="360" w:lineRule="auto"/>
        <w:jc w:val="both"/>
        <w:rPr>
          <w:rFonts w:ascii="Palatino Linotype" w:eastAsia="Palatino Linotype" w:hAnsi="Palatino Linotype" w:cs="Palatino Linotype"/>
          <w:b/>
        </w:rPr>
      </w:pPr>
    </w:p>
    <w:p w14:paraId="1F6E341A" w14:textId="77777777" w:rsidR="003E4E89" w:rsidRPr="00964919" w:rsidRDefault="000D4BA5">
      <w:pPr>
        <w:spacing w:after="0"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rPr>
        <w:t>El</w:t>
      </w:r>
      <w:r w:rsidRPr="00964919">
        <w:rPr>
          <w:rFonts w:ascii="Palatino Linotype" w:eastAsia="Palatino Linotype" w:hAnsi="Palatino Linotype" w:cs="Palatino Linotype"/>
          <w:b/>
        </w:rPr>
        <w:t xml:space="preserve"> Sujeto Obligado</w:t>
      </w:r>
      <w:r w:rsidRPr="00964919">
        <w:rPr>
          <w:rFonts w:ascii="Palatino Linotype" w:eastAsia="Palatino Linotype" w:hAnsi="Palatino Linotype" w:cs="Palatino Linotype"/>
        </w:rPr>
        <w:t xml:space="preserve">, hace entrega de los siguientes archivos electrónicos, los cuales contienen: </w:t>
      </w:r>
    </w:p>
    <w:p w14:paraId="61D19F63" w14:textId="77777777" w:rsidR="003E4E89" w:rsidRPr="00964919" w:rsidRDefault="003E4E89">
      <w:pPr>
        <w:spacing w:after="0" w:line="360" w:lineRule="auto"/>
        <w:jc w:val="both"/>
        <w:rPr>
          <w:rFonts w:ascii="Palatino Linotype" w:eastAsia="Palatino Linotype" w:hAnsi="Palatino Linotype" w:cs="Palatino Linotype"/>
        </w:rPr>
      </w:pPr>
    </w:p>
    <w:p w14:paraId="41DC7FEB" w14:textId="77777777" w:rsidR="003E4E89" w:rsidRPr="00964919" w:rsidRDefault="000D4BA5" w:rsidP="00DC454F">
      <w:pPr>
        <w:numPr>
          <w:ilvl w:val="0"/>
          <w:numId w:val="8"/>
        </w:numPr>
        <w:pBdr>
          <w:top w:val="nil"/>
          <w:left w:val="nil"/>
          <w:bottom w:val="nil"/>
          <w:right w:val="nil"/>
          <w:between w:val="nil"/>
        </w:pBdr>
        <w:spacing w:after="0" w:line="360" w:lineRule="auto"/>
        <w:ind w:left="851" w:right="616" w:hanging="284"/>
        <w:jc w:val="both"/>
        <w:rPr>
          <w:rFonts w:ascii="Palatino Linotype" w:eastAsia="Palatino Linotype" w:hAnsi="Palatino Linotype" w:cs="Palatino Linotype"/>
          <w:color w:val="000000"/>
        </w:rPr>
      </w:pPr>
      <w:r w:rsidRPr="00964919">
        <w:rPr>
          <w:rFonts w:ascii="Palatino Linotype" w:eastAsia="Palatino Linotype" w:hAnsi="Palatino Linotype" w:cs="Palatino Linotype"/>
          <w:b/>
          <w:i/>
          <w:color w:val="000000"/>
        </w:rPr>
        <w:t>SOL_00649.pdf:</w:t>
      </w:r>
      <w:r w:rsidRPr="00964919">
        <w:rPr>
          <w:rFonts w:ascii="Palatino Linotype" w:eastAsia="Palatino Linotype" w:hAnsi="Palatino Linotype" w:cs="Palatino Linotype"/>
          <w:color w:val="000000"/>
        </w:rPr>
        <w:t xml:space="preserve"> Oficio número MT/TESORERIAMPAL/</w:t>
      </w:r>
      <w:proofErr w:type="spellStart"/>
      <w:r w:rsidRPr="00964919">
        <w:rPr>
          <w:rFonts w:ascii="Palatino Linotype" w:eastAsia="Palatino Linotype" w:hAnsi="Palatino Linotype" w:cs="Palatino Linotype"/>
          <w:color w:val="000000"/>
        </w:rPr>
        <w:t>Ol</w:t>
      </w:r>
      <w:proofErr w:type="spellEnd"/>
      <w:r w:rsidRPr="00964919">
        <w:rPr>
          <w:rFonts w:ascii="Palatino Linotype" w:eastAsia="Palatino Linotype" w:hAnsi="Palatino Linotype" w:cs="Palatino Linotype"/>
          <w:color w:val="000000"/>
        </w:rPr>
        <w:t xml:space="preserve">/517/2024, de fecha diez de octubre de dos mil veinticuatro, signado por la Tesorera Municipal, mediante el cual propone la consulta directa derivado de la cantidad, volumen, los recursos materiales y humanos con que cuenta son limitados, así como el cambio de administración, la entrega de recepción y mesas de transición, observando lo siguiente: </w:t>
      </w:r>
    </w:p>
    <w:p w14:paraId="432423E0" w14:textId="77777777" w:rsidR="003E4E89" w:rsidRPr="00964919" w:rsidRDefault="003E4E89">
      <w:pPr>
        <w:pBdr>
          <w:top w:val="nil"/>
          <w:left w:val="nil"/>
          <w:bottom w:val="nil"/>
          <w:right w:val="nil"/>
          <w:between w:val="nil"/>
        </w:pBdr>
        <w:spacing w:after="0" w:line="360" w:lineRule="auto"/>
        <w:ind w:left="720" w:right="616"/>
        <w:jc w:val="both"/>
        <w:rPr>
          <w:rFonts w:ascii="Palatino Linotype" w:eastAsia="Palatino Linotype" w:hAnsi="Palatino Linotype" w:cs="Palatino Linotype"/>
          <w:b/>
          <w:i/>
          <w:color w:val="000000"/>
        </w:rPr>
      </w:pPr>
    </w:p>
    <w:p w14:paraId="5C81297B" w14:textId="77777777" w:rsidR="003E4E89" w:rsidRPr="00964919" w:rsidRDefault="000D4BA5">
      <w:pPr>
        <w:pBdr>
          <w:top w:val="nil"/>
          <w:left w:val="nil"/>
          <w:bottom w:val="nil"/>
          <w:right w:val="nil"/>
          <w:between w:val="nil"/>
        </w:pBdr>
        <w:tabs>
          <w:tab w:val="left" w:pos="8080"/>
        </w:tabs>
        <w:spacing w:after="0" w:line="240" w:lineRule="auto"/>
        <w:ind w:left="1276" w:right="1183"/>
        <w:jc w:val="both"/>
        <w:rPr>
          <w:rFonts w:ascii="Palatino Linotype" w:eastAsia="Palatino Linotype" w:hAnsi="Palatino Linotype" w:cs="Palatino Linotype"/>
          <w:i/>
          <w:color w:val="000000"/>
        </w:rPr>
      </w:pPr>
      <w:r w:rsidRPr="00964919">
        <w:rPr>
          <w:rFonts w:ascii="Palatino Linotype" w:eastAsia="Palatino Linotype" w:hAnsi="Palatino Linotype" w:cs="Palatino Linotype"/>
          <w:i/>
          <w:color w:val="000000"/>
        </w:rPr>
        <w:lastRenderedPageBreak/>
        <w:t xml:space="preserve">“… se propone la consulta el día 29 de octubre de 2024, en un horario de 9:00 –a10:00 am, en el área de Tesorería, ubicada en Plaza Hidalgo N°1, Temamatla, edo. de México. </w:t>
      </w:r>
    </w:p>
    <w:p w14:paraId="62213D1B" w14:textId="77777777" w:rsidR="003E4E89" w:rsidRPr="00964919" w:rsidRDefault="000D4BA5">
      <w:pPr>
        <w:pBdr>
          <w:top w:val="nil"/>
          <w:left w:val="nil"/>
          <w:bottom w:val="nil"/>
          <w:right w:val="nil"/>
          <w:between w:val="nil"/>
        </w:pBdr>
        <w:tabs>
          <w:tab w:val="left" w:pos="8080"/>
        </w:tabs>
        <w:spacing w:after="0" w:line="240" w:lineRule="auto"/>
        <w:ind w:left="1276" w:right="1183"/>
        <w:jc w:val="both"/>
        <w:rPr>
          <w:rFonts w:ascii="Palatino Linotype" w:eastAsia="Palatino Linotype" w:hAnsi="Palatino Linotype" w:cs="Palatino Linotype"/>
          <w:i/>
          <w:color w:val="000000"/>
        </w:rPr>
      </w:pPr>
      <w:r w:rsidRPr="00964919">
        <w:rPr>
          <w:rFonts w:ascii="Palatino Linotype" w:eastAsia="Palatino Linotype" w:hAnsi="Palatino Linotype" w:cs="Palatino Linotype"/>
          <w:i/>
          <w:color w:val="000000"/>
        </w:rPr>
        <w:t>…</w:t>
      </w:r>
    </w:p>
    <w:p w14:paraId="30322474" w14:textId="77777777" w:rsidR="003E4E89" w:rsidRPr="00964919" w:rsidRDefault="000D4BA5">
      <w:pPr>
        <w:pBdr>
          <w:top w:val="nil"/>
          <w:left w:val="nil"/>
          <w:bottom w:val="nil"/>
          <w:right w:val="nil"/>
          <w:between w:val="nil"/>
        </w:pBdr>
        <w:tabs>
          <w:tab w:val="left" w:pos="8080"/>
        </w:tabs>
        <w:spacing w:after="0" w:line="240" w:lineRule="auto"/>
        <w:ind w:left="1276" w:right="1183"/>
        <w:jc w:val="both"/>
        <w:rPr>
          <w:rFonts w:ascii="Palatino Linotype" w:eastAsia="Palatino Linotype" w:hAnsi="Palatino Linotype" w:cs="Palatino Linotype"/>
          <w:i/>
          <w:color w:val="000000"/>
        </w:rPr>
      </w:pPr>
      <w:r w:rsidRPr="00964919">
        <w:rPr>
          <w:rFonts w:ascii="Palatino Linotype" w:eastAsia="Palatino Linotype" w:hAnsi="Palatino Linotype" w:cs="Palatino Linotype"/>
          <w:i/>
          <w:color w:val="000000"/>
        </w:rPr>
        <w:t xml:space="preserve">Para el caso de solicitar alguna traducción en alguna lengua indígena, podrá solicitarlo el día y hora señalada en el punto anterior para contar con algún intérprete o traductor y poder garantizar en todo momento el derecho de acceso a la información. </w:t>
      </w:r>
    </w:p>
    <w:p w14:paraId="0EAD4259" w14:textId="77777777" w:rsidR="003E4E89" w:rsidRPr="00964919" w:rsidRDefault="000D4BA5">
      <w:pPr>
        <w:pBdr>
          <w:top w:val="nil"/>
          <w:left w:val="nil"/>
          <w:bottom w:val="nil"/>
          <w:right w:val="nil"/>
          <w:between w:val="nil"/>
        </w:pBdr>
        <w:tabs>
          <w:tab w:val="left" w:pos="8080"/>
        </w:tabs>
        <w:spacing w:after="0" w:line="240" w:lineRule="auto"/>
        <w:ind w:left="1276" w:right="1183"/>
        <w:jc w:val="both"/>
        <w:rPr>
          <w:rFonts w:ascii="Palatino Linotype" w:eastAsia="Palatino Linotype" w:hAnsi="Palatino Linotype" w:cs="Palatino Linotype"/>
          <w:i/>
          <w:color w:val="000000"/>
        </w:rPr>
      </w:pPr>
      <w:r w:rsidRPr="00964919">
        <w:rPr>
          <w:rFonts w:ascii="Palatino Linotype" w:eastAsia="Palatino Linotype" w:hAnsi="Palatino Linotype" w:cs="Palatino Linotype"/>
          <w:i/>
          <w:color w:val="000000"/>
        </w:rPr>
        <w:t>…</w:t>
      </w:r>
    </w:p>
    <w:p w14:paraId="27D6F965" w14:textId="77777777" w:rsidR="003E4E89" w:rsidRPr="00964919" w:rsidRDefault="000D4BA5">
      <w:pPr>
        <w:pBdr>
          <w:top w:val="nil"/>
          <w:left w:val="nil"/>
          <w:bottom w:val="nil"/>
          <w:right w:val="nil"/>
          <w:between w:val="nil"/>
        </w:pBdr>
        <w:tabs>
          <w:tab w:val="left" w:pos="8080"/>
        </w:tabs>
        <w:spacing w:after="0" w:line="240" w:lineRule="auto"/>
        <w:ind w:left="1276" w:right="1183"/>
        <w:jc w:val="both"/>
        <w:rPr>
          <w:rFonts w:ascii="Palatino Linotype" w:eastAsia="Palatino Linotype" w:hAnsi="Palatino Linotype" w:cs="Palatino Linotype"/>
          <w:i/>
          <w:color w:val="000000"/>
        </w:rPr>
      </w:pPr>
      <w:r w:rsidRPr="00964919">
        <w:rPr>
          <w:rFonts w:ascii="Palatino Linotype" w:eastAsia="Palatino Linotype" w:hAnsi="Palatino Linotype" w:cs="Palatino Linotype"/>
          <w:i/>
          <w:color w:val="000000"/>
        </w:rPr>
        <w:t xml:space="preserve">Por la cantidad de información, esta consulta se </w:t>
      </w:r>
      <w:proofErr w:type="gramStart"/>
      <w:r w:rsidRPr="00964919">
        <w:rPr>
          <w:rFonts w:ascii="Palatino Linotype" w:eastAsia="Palatino Linotype" w:hAnsi="Palatino Linotype" w:cs="Palatino Linotype"/>
          <w:i/>
          <w:color w:val="000000"/>
        </w:rPr>
        <w:t>realizara</w:t>
      </w:r>
      <w:proofErr w:type="gramEnd"/>
      <w:r w:rsidRPr="00964919">
        <w:rPr>
          <w:rFonts w:ascii="Palatino Linotype" w:eastAsia="Palatino Linotype" w:hAnsi="Palatino Linotype" w:cs="Palatino Linotype"/>
          <w:i/>
          <w:color w:val="000000"/>
        </w:rPr>
        <w:t xml:space="preserve"> en el área de Tesorería, ubicada en Plaza Hidalgo N°1, Temamatla, edo. de México, en presencia de la Titular de la Unidad de Transparencia, Claudia </w:t>
      </w:r>
      <w:proofErr w:type="spellStart"/>
      <w:r w:rsidRPr="00964919">
        <w:rPr>
          <w:rFonts w:ascii="Palatino Linotype" w:eastAsia="Palatino Linotype" w:hAnsi="Palatino Linotype" w:cs="Palatino Linotype"/>
          <w:i/>
          <w:color w:val="000000"/>
        </w:rPr>
        <w:t>Jimenez</w:t>
      </w:r>
      <w:proofErr w:type="spellEnd"/>
      <w:r w:rsidRPr="00964919">
        <w:rPr>
          <w:rFonts w:ascii="Palatino Linotype" w:eastAsia="Palatino Linotype" w:hAnsi="Palatino Linotype" w:cs="Palatino Linotype"/>
          <w:i/>
          <w:color w:val="000000"/>
        </w:rPr>
        <w:t xml:space="preserve"> Maldonado, y un elemento de seguridad de la policía municipal. </w:t>
      </w:r>
    </w:p>
    <w:p w14:paraId="7D2A5FD8" w14:textId="77777777" w:rsidR="003E4E89" w:rsidRPr="00964919" w:rsidRDefault="000D4BA5">
      <w:pPr>
        <w:pBdr>
          <w:top w:val="nil"/>
          <w:left w:val="nil"/>
          <w:bottom w:val="nil"/>
          <w:right w:val="nil"/>
          <w:between w:val="nil"/>
        </w:pBdr>
        <w:tabs>
          <w:tab w:val="left" w:pos="8080"/>
        </w:tabs>
        <w:spacing w:after="0" w:line="240" w:lineRule="auto"/>
        <w:ind w:left="1276" w:right="1183"/>
        <w:jc w:val="both"/>
        <w:rPr>
          <w:rFonts w:ascii="Palatino Linotype" w:eastAsia="Palatino Linotype" w:hAnsi="Palatino Linotype" w:cs="Palatino Linotype"/>
          <w:i/>
          <w:color w:val="000000"/>
        </w:rPr>
      </w:pPr>
      <w:r w:rsidRPr="00964919">
        <w:rPr>
          <w:rFonts w:ascii="Palatino Linotype" w:eastAsia="Palatino Linotype" w:hAnsi="Palatino Linotype" w:cs="Palatino Linotype"/>
          <w:i/>
          <w:color w:val="000000"/>
        </w:rPr>
        <w:t xml:space="preserve">… </w:t>
      </w:r>
    </w:p>
    <w:p w14:paraId="5DABDE99" w14:textId="77777777" w:rsidR="003E4E89" w:rsidRPr="00964919" w:rsidRDefault="000D4BA5">
      <w:pPr>
        <w:pBdr>
          <w:top w:val="nil"/>
          <w:left w:val="nil"/>
          <w:bottom w:val="nil"/>
          <w:right w:val="nil"/>
          <w:between w:val="nil"/>
        </w:pBdr>
        <w:tabs>
          <w:tab w:val="left" w:pos="8080"/>
        </w:tabs>
        <w:spacing w:after="0" w:line="240" w:lineRule="auto"/>
        <w:ind w:left="1276" w:right="1183"/>
        <w:jc w:val="both"/>
        <w:rPr>
          <w:rFonts w:ascii="Palatino Linotype" w:eastAsia="Palatino Linotype" w:hAnsi="Palatino Linotype" w:cs="Palatino Linotype"/>
          <w:i/>
          <w:color w:val="000000"/>
        </w:rPr>
      </w:pPr>
      <w:r w:rsidRPr="00964919">
        <w:rPr>
          <w:rFonts w:ascii="Palatino Linotype" w:eastAsia="Palatino Linotype" w:hAnsi="Palatino Linotype" w:cs="Palatino Linotype"/>
          <w:i/>
          <w:color w:val="000000"/>
        </w:rPr>
        <w:t xml:space="preserve">Se dejara a la vista todas y cada una de los documentos para dar contestación a la solicitud que en supra líneas se menciona, motivo de la presente solicitud para su consulta, no podrá tomar fotografías, tener acceso a cualquier otro archivo, documento, carpeta o información ajena a la solicitud que refiere, conducirse de forma correcta y apropiada, sin ocupar lenguaje obsceno o faltas de respeto al personal, de caso contrario se interrumpirá la consulta y se solicitara retirarse de las oficinas. </w:t>
      </w:r>
    </w:p>
    <w:p w14:paraId="25877A9C" w14:textId="77777777" w:rsidR="003E4E89" w:rsidRPr="00964919" w:rsidRDefault="000D4BA5">
      <w:pPr>
        <w:pBdr>
          <w:top w:val="nil"/>
          <w:left w:val="nil"/>
          <w:bottom w:val="nil"/>
          <w:right w:val="nil"/>
          <w:between w:val="nil"/>
        </w:pBdr>
        <w:tabs>
          <w:tab w:val="left" w:pos="8080"/>
        </w:tabs>
        <w:spacing w:after="0" w:line="240" w:lineRule="auto"/>
        <w:ind w:left="1276" w:right="1183"/>
        <w:jc w:val="both"/>
        <w:rPr>
          <w:rFonts w:ascii="Palatino Linotype" w:eastAsia="Palatino Linotype" w:hAnsi="Palatino Linotype" w:cs="Palatino Linotype"/>
          <w:i/>
          <w:color w:val="000000"/>
        </w:rPr>
      </w:pPr>
      <w:r w:rsidRPr="00964919">
        <w:rPr>
          <w:rFonts w:ascii="Palatino Linotype" w:eastAsia="Palatino Linotype" w:hAnsi="Palatino Linotype" w:cs="Palatino Linotype"/>
          <w:i/>
          <w:color w:val="000000"/>
        </w:rPr>
        <w:t xml:space="preserve">… </w:t>
      </w:r>
    </w:p>
    <w:p w14:paraId="59778325" w14:textId="77777777" w:rsidR="003E4E89" w:rsidRPr="00964919" w:rsidRDefault="000D4BA5">
      <w:pPr>
        <w:pBdr>
          <w:top w:val="nil"/>
          <w:left w:val="nil"/>
          <w:bottom w:val="nil"/>
          <w:right w:val="nil"/>
          <w:between w:val="nil"/>
        </w:pBdr>
        <w:tabs>
          <w:tab w:val="left" w:pos="8080"/>
        </w:tabs>
        <w:spacing w:after="0" w:line="240" w:lineRule="auto"/>
        <w:ind w:left="1276" w:right="1183"/>
        <w:jc w:val="both"/>
        <w:rPr>
          <w:rFonts w:ascii="Palatino Linotype" w:eastAsia="Palatino Linotype" w:hAnsi="Palatino Linotype" w:cs="Palatino Linotype"/>
          <w:i/>
          <w:color w:val="000000"/>
        </w:rPr>
      </w:pPr>
      <w:r w:rsidRPr="00964919">
        <w:rPr>
          <w:rFonts w:ascii="Palatino Linotype" w:eastAsia="Palatino Linotype" w:hAnsi="Palatino Linotype" w:cs="Palatino Linotype"/>
          <w:i/>
          <w:color w:val="000000"/>
        </w:rPr>
        <w:t xml:space="preserve">El solicitante se </w:t>
      </w:r>
      <w:proofErr w:type="gramStart"/>
      <w:r w:rsidRPr="00964919">
        <w:rPr>
          <w:rFonts w:ascii="Palatino Linotype" w:eastAsia="Palatino Linotype" w:hAnsi="Palatino Linotype" w:cs="Palatino Linotype"/>
          <w:i/>
          <w:color w:val="000000"/>
        </w:rPr>
        <w:t>identificara</w:t>
      </w:r>
      <w:proofErr w:type="gramEnd"/>
      <w:r w:rsidRPr="00964919">
        <w:rPr>
          <w:rFonts w:ascii="Palatino Linotype" w:eastAsia="Palatino Linotype" w:hAnsi="Palatino Linotype" w:cs="Palatino Linotype"/>
          <w:i/>
          <w:color w:val="000000"/>
        </w:rPr>
        <w:t xml:space="preserve"> con un documento oficial para tener registro y demostrar que se brindó y atendió de forma correcta la solicitud, previa firma de acta circunstanciada y registro. </w:t>
      </w:r>
    </w:p>
    <w:p w14:paraId="58EEFF6D" w14:textId="77777777" w:rsidR="003E4E89" w:rsidRPr="00964919" w:rsidRDefault="000D4BA5">
      <w:pPr>
        <w:pBdr>
          <w:top w:val="nil"/>
          <w:left w:val="nil"/>
          <w:bottom w:val="nil"/>
          <w:right w:val="nil"/>
          <w:between w:val="nil"/>
        </w:pBdr>
        <w:tabs>
          <w:tab w:val="left" w:pos="8080"/>
        </w:tabs>
        <w:spacing w:after="0" w:line="240" w:lineRule="auto"/>
        <w:ind w:left="1276" w:right="1183"/>
        <w:jc w:val="both"/>
        <w:rPr>
          <w:rFonts w:ascii="Palatino Linotype" w:eastAsia="Palatino Linotype" w:hAnsi="Palatino Linotype" w:cs="Palatino Linotype"/>
          <w:i/>
          <w:color w:val="000000"/>
        </w:rPr>
      </w:pPr>
      <w:r w:rsidRPr="00964919">
        <w:rPr>
          <w:rFonts w:ascii="Palatino Linotype" w:eastAsia="Palatino Linotype" w:hAnsi="Palatino Linotype" w:cs="Palatino Linotype"/>
          <w:i/>
          <w:color w:val="000000"/>
        </w:rPr>
        <w:t xml:space="preserve">… </w:t>
      </w:r>
    </w:p>
    <w:p w14:paraId="63C9E265" w14:textId="77777777" w:rsidR="003E4E89" w:rsidRPr="00964919" w:rsidRDefault="000D4BA5">
      <w:pPr>
        <w:pBdr>
          <w:top w:val="nil"/>
          <w:left w:val="nil"/>
          <w:bottom w:val="nil"/>
          <w:right w:val="nil"/>
          <w:between w:val="nil"/>
        </w:pBdr>
        <w:tabs>
          <w:tab w:val="left" w:pos="8080"/>
        </w:tabs>
        <w:spacing w:after="0" w:line="240" w:lineRule="auto"/>
        <w:ind w:left="1276" w:right="1183"/>
        <w:jc w:val="both"/>
        <w:rPr>
          <w:rFonts w:ascii="Palatino Linotype" w:eastAsia="Palatino Linotype" w:hAnsi="Palatino Linotype" w:cs="Palatino Linotype"/>
          <w:i/>
          <w:color w:val="000000"/>
        </w:rPr>
      </w:pPr>
      <w:r w:rsidRPr="00964919">
        <w:rPr>
          <w:rFonts w:ascii="Palatino Linotype" w:eastAsia="Palatino Linotype" w:hAnsi="Palatino Linotype" w:cs="Palatino Linotype"/>
          <w:i/>
          <w:color w:val="000000"/>
        </w:rPr>
        <w:t xml:space="preserve">Por tal motivo se requiere un elemento de seguridad pública que brinde la proximidad y protección de los documentos, equipos, instalaciones y del personal que se involucra en la consulta directa…” </w:t>
      </w:r>
    </w:p>
    <w:p w14:paraId="52FF28D0" w14:textId="77777777" w:rsidR="003E4E89" w:rsidRPr="00964919" w:rsidRDefault="003E4E89">
      <w:pPr>
        <w:pBdr>
          <w:top w:val="nil"/>
          <w:left w:val="nil"/>
          <w:bottom w:val="nil"/>
          <w:right w:val="nil"/>
          <w:between w:val="nil"/>
        </w:pBdr>
        <w:spacing w:after="0" w:line="360" w:lineRule="auto"/>
        <w:ind w:left="720" w:right="616"/>
        <w:jc w:val="both"/>
        <w:rPr>
          <w:rFonts w:ascii="Palatino Linotype" w:eastAsia="Palatino Linotype" w:hAnsi="Palatino Linotype" w:cs="Palatino Linotype"/>
          <w:color w:val="000000"/>
        </w:rPr>
      </w:pPr>
    </w:p>
    <w:p w14:paraId="21CD9186" w14:textId="77777777" w:rsidR="003E4E89" w:rsidRPr="00964919" w:rsidRDefault="000D4BA5" w:rsidP="00DC454F">
      <w:pPr>
        <w:numPr>
          <w:ilvl w:val="0"/>
          <w:numId w:val="8"/>
        </w:numPr>
        <w:pBdr>
          <w:top w:val="nil"/>
          <w:left w:val="nil"/>
          <w:bottom w:val="nil"/>
          <w:right w:val="nil"/>
          <w:between w:val="nil"/>
        </w:pBdr>
        <w:spacing w:after="0" w:line="360" w:lineRule="auto"/>
        <w:ind w:left="851" w:right="616" w:hanging="284"/>
        <w:jc w:val="both"/>
        <w:rPr>
          <w:rFonts w:ascii="Palatino Linotype" w:eastAsia="Palatino Linotype" w:hAnsi="Palatino Linotype" w:cs="Palatino Linotype"/>
          <w:color w:val="000000"/>
        </w:rPr>
      </w:pPr>
      <w:r w:rsidRPr="00964919">
        <w:rPr>
          <w:rFonts w:ascii="Palatino Linotype" w:eastAsia="Palatino Linotype" w:hAnsi="Palatino Linotype" w:cs="Palatino Linotype"/>
          <w:b/>
          <w:i/>
          <w:color w:val="000000"/>
        </w:rPr>
        <w:t>ACTA 85.pdf:</w:t>
      </w:r>
      <w:r w:rsidRPr="00964919">
        <w:rPr>
          <w:rFonts w:ascii="Palatino Linotype" w:eastAsia="Palatino Linotype" w:hAnsi="Palatino Linotype" w:cs="Palatino Linotype"/>
          <w:color w:val="000000"/>
        </w:rPr>
        <w:t xml:space="preserve"> Acta de la Octogésima Quinta Sesión Ordinaria del Comité de Transparencia del Ayuntamiento de Temamatla, de fecha veinticuatro de octubre de dos mil veinticuatro, en la que se aprueba por unanimidad de votos de los integrantes del Comité de Transparencia, mediante Acuerdo número ACT/TEMA/UTAIP/ORDINARIA/85/2024/TERCERO, el cambio de modalidad de conformidad con el artículo 158 y 164 de la Ley de </w:t>
      </w:r>
      <w:r w:rsidRPr="00964919">
        <w:rPr>
          <w:rFonts w:ascii="Palatino Linotype" w:eastAsia="Palatino Linotype" w:hAnsi="Palatino Linotype" w:cs="Palatino Linotype"/>
          <w:color w:val="000000"/>
        </w:rPr>
        <w:lastRenderedPageBreak/>
        <w:t xml:space="preserve">Transparencia Local de las solicitudes que se señalan, derivado a la carga de trabajo de las áreas, la falta de capacidad técnica, humana, material y las más de 1185 solicitudes que llegaron a las distintas áreas; asimismo, mediante acuerdo número ACT/TEMA/UTAIP/ORDINARIA/85/2024/QUINTO, se aprobó la clasificación de la información como confidencial y versión pública de la información contenida en la solicitud de mérito. </w:t>
      </w:r>
    </w:p>
    <w:p w14:paraId="665492FA" w14:textId="77777777" w:rsidR="003E4E89" w:rsidRPr="00964919" w:rsidRDefault="003E4E89">
      <w:pPr>
        <w:pBdr>
          <w:top w:val="nil"/>
          <w:left w:val="nil"/>
          <w:bottom w:val="nil"/>
          <w:right w:val="nil"/>
          <w:between w:val="nil"/>
        </w:pBdr>
        <w:spacing w:after="0" w:line="360" w:lineRule="auto"/>
        <w:ind w:left="720"/>
        <w:jc w:val="both"/>
        <w:rPr>
          <w:rFonts w:ascii="Palatino Linotype" w:eastAsia="Palatino Linotype" w:hAnsi="Palatino Linotype" w:cs="Palatino Linotype"/>
          <w:b/>
          <w:i/>
          <w:color w:val="000000"/>
        </w:rPr>
      </w:pPr>
    </w:p>
    <w:p w14:paraId="55975DBB" w14:textId="77777777" w:rsidR="003E4E89" w:rsidRPr="00964919" w:rsidRDefault="000D4BA5">
      <w:pPr>
        <w:spacing w:after="0" w:line="360" w:lineRule="auto"/>
        <w:ind w:right="-234"/>
        <w:jc w:val="both"/>
        <w:rPr>
          <w:rFonts w:ascii="Palatino Linotype" w:eastAsia="Palatino Linotype" w:hAnsi="Palatino Linotype" w:cs="Palatino Linotype"/>
        </w:rPr>
      </w:pPr>
      <w:r w:rsidRPr="00964919">
        <w:rPr>
          <w:rFonts w:ascii="Palatino Linotype" w:eastAsia="Palatino Linotype" w:hAnsi="Palatino Linotype" w:cs="Palatino Linotype"/>
          <w:b/>
        </w:rPr>
        <w:t xml:space="preserve">3. Del Recurso de Revisión. </w:t>
      </w:r>
      <w:r w:rsidRPr="00964919">
        <w:rPr>
          <w:rFonts w:ascii="Palatino Linotype" w:eastAsia="Palatino Linotype" w:hAnsi="Palatino Linotype" w:cs="Palatino Linotype"/>
        </w:rPr>
        <w:t>Inconforme con la respuesta del</w:t>
      </w:r>
      <w:r w:rsidRPr="00964919">
        <w:rPr>
          <w:rFonts w:ascii="Palatino Linotype" w:eastAsia="Palatino Linotype" w:hAnsi="Palatino Linotype" w:cs="Palatino Linotype"/>
          <w:b/>
        </w:rPr>
        <w:t xml:space="preserve"> Sujeto Obligado, </w:t>
      </w:r>
      <w:r w:rsidRPr="00964919">
        <w:rPr>
          <w:rFonts w:ascii="Palatino Linotype" w:eastAsia="Palatino Linotype" w:hAnsi="Palatino Linotype" w:cs="Palatino Linotype"/>
        </w:rPr>
        <w:t>en fecha treinta de octubre de dos mil veinticuatro,</w:t>
      </w:r>
      <w:r w:rsidRPr="00964919">
        <w:rPr>
          <w:rFonts w:ascii="Palatino Linotype" w:eastAsia="Palatino Linotype" w:hAnsi="Palatino Linotype" w:cs="Palatino Linotype"/>
          <w:b/>
        </w:rPr>
        <w:t xml:space="preserve"> </w:t>
      </w:r>
      <w:r w:rsidRPr="00964919">
        <w:rPr>
          <w:rFonts w:ascii="Palatino Linotype" w:eastAsia="Palatino Linotype" w:hAnsi="Palatino Linotype" w:cs="Palatino Linotype"/>
        </w:rPr>
        <w:t>la parte</w:t>
      </w:r>
      <w:r w:rsidRPr="00964919">
        <w:rPr>
          <w:rFonts w:ascii="Palatino Linotype" w:eastAsia="Palatino Linotype" w:hAnsi="Palatino Linotype" w:cs="Palatino Linotype"/>
          <w:b/>
        </w:rPr>
        <w:t xml:space="preserve"> Recurrente </w:t>
      </w:r>
      <w:r w:rsidRPr="00964919">
        <w:rPr>
          <w:rFonts w:ascii="Palatino Linotype" w:eastAsia="Palatino Linotype" w:hAnsi="Palatino Linotype" w:cs="Palatino Linotype"/>
        </w:rPr>
        <w:t>interpuso el recurso de revisión, el cual fue registrado</w:t>
      </w:r>
      <w:r w:rsidRPr="00964919">
        <w:rPr>
          <w:rFonts w:ascii="Palatino Linotype" w:eastAsia="Palatino Linotype" w:hAnsi="Palatino Linotype" w:cs="Palatino Linotype"/>
          <w:b/>
        </w:rPr>
        <w:t xml:space="preserve"> </w:t>
      </w:r>
      <w:r w:rsidRPr="00964919">
        <w:rPr>
          <w:rFonts w:ascii="Palatino Linotype" w:eastAsia="Palatino Linotype" w:hAnsi="Palatino Linotype" w:cs="Palatino Linotype"/>
        </w:rPr>
        <w:t xml:space="preserve">en el sistema electrónico con el expediente número </w:t>
      </w:r>
      <w:r w:rsidRPr="00964919">
        <w:rPr>
          <w:rFonts w:ascii="Palatino Linotype" w:eastAsia="Palatino Linotype" w:hAnsi="Palatino Linotype" w:cs="Palatino Linotype"/>
          <w:b/>
        </w:rPr>
        <w:t>06899/INFOEM/IP/RR/2024</w:t>
      </w:r>
      <w:r w:rsidRPr="00964919">
        <w:rPr>
          <w:rFonts w:ascii="Palatino Linotype" w:eastAsia="Palatino Linotype" w:hAnsi="Palatino Linotype" w:cs="Palatino Linotype"/>
        </w:rPr>
        <w:t>, en el cual manifiesta, lo siguiente:</w:t>
      </w:r>
    </w:p>
    <w:p w14:paraId="2AF3B1C4" w14:textId="77777777" w:rsidR="003E4E89" w:rsidRPr="00964919" w:rsidRDefault="000D4BA5">
      <w:pPr>
        <w:spacing w:after="0" w:line="360" w:lineRule="auto"/>
        <w:ind w:right="-234"/>
        <w:jc w:val="both"/>
        <w:rPr>
          <w:rFonts w:ascii="Palatino Linotype" w:eastAsia="Palatino Linotype" w:hAnsi="Palatino Linotype" w:cs="Palatino Linotype"/>
          <w:b/>
        </w:rPr>
      </w:pPr>
      <w:r w:rsidRPr="00964919">
        <w:rPr>
          <w:rFonts w:ascii="Palatino Linotype" w:eastAsia="Palatino Linotype" w:hAnsi="Palatino Linotype" w:cs="Palatino Linotype"/>
        </w:rPr>
        <w:t xml:space="preserve"> </w:t>
      </w:r>
    </w:p>
    <w:p w14:paraId="61F77615" w14:textId="77777777" w:rsidR="003E4E89" w:rsidRPr="00964919" w:rsidRDefault="000D4BA5" w:rsidP="00DC454F">
      <w:pPr>
        <w:numPr>
          <w:ilvl w:val="0"/>
          <w:numId w:val="1"/>
        </w:numPr>
        <w:pBdr>
          <w:top w:val="nil"/>
          <w:left w:val="nil"/>
          <w:bottom w:val="nil"/>
          <w:right w:val="nil"/>
          <w:between w:val="nil"/>
        </w:pBdr>
        <w:spacing w:after="240" w:line="360" w:lineRule="auto"/>
        <w:ind w:left="851" w:right="616"/>
        <w:jc w:val="both"/>
        <w:rPr>
          <w:rFonts w:ascii="Palatino Linotype" w:eastAsia="Palatino Linotype" w:hAnsi="Palatino Linotype" w:cs="Palatino Linotype"/>
          <w:b/>
          <w:i/>
        </w:rPr>
      </w:pPr>
      <w:r w:rsidRPr="00964919">
        <w:rPr>
          <w:rFonts w:ascii="Palatino Linotype" w:eastAsia="Palatino Linotype" w:hAnsi="Palatino Linotype" w:cs="Palatino Linotype"/>
          <w:b/>
          <w:i/>
        </w:rPr>
        <w:t>Acto Impugnado:</w:t>
      </w:r>
    </w:p>
    <w:p w14:paraId="6D79E136" w14:textId="77777777" w:rsidR="003E4E89" w:rsidRPr="00964919" w:rsidRDefault="000D4BA5" w:rsidP="00DC454F">
      <w:pPr>
        <w:tabs>
          <w:tab w:val="left" w:pos="8222"/>
        </w:tabs>
        <w:spacing w:before="240" w:after="24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t>“RESPUESTA OTORGADA” [sic]</w:t>
      </w:r>
    </w:p>
    <w:p w14:paraId="77C1CFCC" w14:textId="77777777" w:rsidR="003E4E89" w:rsidRPr="00964919" w:rsidRDefault="000D4BA5" w:rsidP="00DC454F">
      <w:pPr>
        <w:numPr>
          <w:ilvl w:val="0"/>
          <w:numId w:val="1"/>
        </w:numPr>
        <w:pBdr>
          <w:top w:val="nil"/>
          <w:left w:val="nil"/>
          <w:bottom w:val="nil"/>
          <w:right w:val="nil"/>
          <w:between w:val="nil"/>
        </w:pBdr>
        <w:spacing w:before="240" w:after="240" w:line="360" w:lineRule="auto"/>
        <w:ind w:left="851" w:right="616"/>
        <w:rPr>
          <w:rFonts w:ascii="Palatino Linotype" w:eastAsia="Palatino Linotype" w:hAnsi="Palatino Linotype" w:cs="Palatino Linotype"/>
          <w:i/>
        </w:rPr>
      </w:pPr>
      <w:r w:rsidRPr="00964919">
        <w:rPr>
          <w:rFonts w:ascii="Palatino Linotype" w:eastAsia="Palatino Linotype" w:hAnsi="Palatino Linotype" w:cs="Palatino Linotype"/>
          <w:b/>
          <w:i/>
        </w:rPr>
        <w:t>Razones o Motivos de Inconformidad</w:t>
      </w:r>
      <w:r w:rsidRPr="00964919">
        <w:rPr>
          <w:rFonts w:ascii="Palatino Linotype" w:eastAsia="Palatino Linotype" w:hAnsi="Palatino Linotype" w:cs="Palatino Linotype"/>
          <w:i/>
        </w:rPr>
        <w:t>:</w:t>
      </w:r>
    </w:p>
    <w:p w14:paraId="614DB6A0" w14:textId="77777777" w:rsidR="003E4E89" w:rsidRPr="00964919" w:rsidRDefault="000D4BA5" w:rsidP="00DC454F">
      <w:pPr>
        <w:spacing w:before="240" w:after="0" w:line="276" w:lineRule="auto"/>
        <w:ind w:left="851" w:right="616"/>
        <w:jc w:val="both"/>
        <w:rPr>
          <w:rFonts w:ascii="Palatino Linotype" w:eastAsia="Palatino Linotype" w:hAnsi="Palatino Linotype" w:cs="Palatino Linotype"/>
          <w:i/>
        </w:rPr>
      </w:pPr>
      <w:bookmarkStart w:id="1" w:name="_heading=h.30j0zll" w:colFirst="0" w:colLast="0"/>
      <w:bookmarkEnd w:id="1"/>
      <w:r w:rsidRPr="00964919">
        <w:rPr>
          <w:rFonts w:ascii="Palatino Linotype" w:eastAsia="Palatino Linotype" w:hAnsi="Palatino Linotype" w:cs="Palatino Linotype"/>
          <w:i/>
        </w:rPr>
        <w:t xml:space="preserve">“EL SUJETO OBLIGADO MANIFIESTA QUE LA ENTREGA DE INFORMACION SERA MEDIANTE CONSULTA DIRECTA EN UNA FECHA Y UN HORARIO IGUAL AL ESTABLECIDO EN LAS SOLICITUDES 625,651,649,638,623,637,639,635,626,681,668,667,621,620,619,611,605,663,664,665 Y 666 PONIENDO A DISPOCISION LA INFORMACION EN LUGARES TOTALMENTE DISTINTOS ENTRE UNA SOLICITUD Y OTRA, HACIENDO ESTO HUMANAMENTE IMPOSIBLE DE SOLVENTAR, EN UN ACTO DE TOTAL OPACIDAD E IRREGULARIDAD, MENOSCABANDO LO ESTIPULADO EN LOS ARTICULOS 4, 7 Y 24 FRACCION XVII, XIX, XXII, XXIII DE LA LEY DE TRANSPARENCIA Y ACCESO A LA INFORMACION PUBLICA DEL ESTADO DE MEXICO, DEMOSTRANDO DE MANERA RECURRENTE QUE EL SUJETO OBLIGADO ENTORPESE EL DERECHO AL ACCESO DE LA INFORMACION SOLICITADA, POR LO QUE </w:t>
      </w:r>
      <w:r w:rsidRPr="00964919">
        <w:rPr>
          <w:rFonts w:ascii="Palatino Linotype" w:eastAsia="Palatino Linotype" w:hAnsi="Palatino Linotype" w:cs="Palatino Linotype"/>
          <w:b/>
          <w:i/>
        </w:rPr>
        <w:lastRenderedPageBreak/>
        <w:t xml:space="preserve">SOLICITO QUE LA INFORMACION SEA ENTREGADA A TRAVES DE ESTA PLATAFORMA </w:t>
      </w:r>
      <w:r w:rsidRPr="00964919">
        <w:rPr>
          <w:rFonts w:ascii="Palatino Linotype" w:eastAsia="Palatino Linotype" w:hAnsi="Palatino Linotype" w:cs="Palatino Linotype"/>
          <w:i/>
        </w:rPr>
        <w:t xml:space="preserve">CONSIDERANDO MI SOLICITUD Y LA JURISPRIDENCIA DE LOS MAS ALTOS TRIBUNALES LA CUAL ESTABLECE Registro digital: 2027906 Instancia: Tribunales Colegiados de Circuito Undécima Época Materia(s): Administrativa, Constitucional Tesis: I.18o.A.1 CS (11a.) Fuente: Gaceta del Semanario Judicial de la Federación. Libro 33, </w:t>
      </w:r>
      <w:proofErr w:type="gramStart"/>
      <w:r w:rsidRPr="00964919">
        <w:rPr>
          <w:rFonts w:ascii="Palatino Linotype" w:eastAsia="Palatino Linotype" w:hAnsi="Palatino Linotype" w:cs="Palatino Linotype"/>
          <w:i/>
        </w:rPr>
        <w:t>Enero</w:t>
      </w:r>
      <w:proofErr w:type="gramEnd"/>
      <w:r w:rsidRPr="00964919">
        <w:rPr>
          <w:rFonts w:ascii="Palatino Linotype" w:eastAsia="Palatino Linotype" w:hAnsi="Palatino Linotype" w:cs="Palatino Linotype"/>
          <w:i/>
        </w:rPr>
        <w:t xml:space="preserve"> de 2024, Tomo VI, página 5953 Tipo: Aislada DERECHO DE ACCESO A LA INFORMACIÓN. PARA GARANTIZARLO DE MANERA EFECTIVA, EL SUJETO OBLIGADO DEBE PRIVILEGIAR EL MEDIO Y FORMATO SOLICITADOS POR EL INTERESADO PARA RECIBIRLA. Criterio jurídico: Este Tribunal Colegiado de Circuito determina que el derecho a solicitar y recibir la información comprende la forma o medio en el cual pide su entrega, a fin de garantizar al interesado el pleno acceso y disposición de la información solicitada, sin que se pueda dejar al arbitrio del sujeto obligado el medio para entregarla, y sin atender la forma como la solicitó el peticionario. Justificación: Los artículos 6o. de la Constitución Política de los Estados Unidos Mexicanos y 121 a 126, 128, 130, 132, 136, 138, 142 y 145 de la Ley Federal de Transparencia y Acceso a la Información Pública, establecen que toda persona tiene derecho al libre acceso a la información plural y oportuna, y a buscar, recibir y difundir información e ideas de toda índole por cualquier medio de expresión, así como el procedimiento para su acceso. Por tanto, para garantizar de la mejor manera posible el derecho de acceso a la información, incluso cuando el sujeto obligado cuente con distintos medios físicos o electrónicos para entregarla, se debe privilegiar el medio o formato elegido por el solicitante, sin que obste a lo anterior que, incluso, el Instituto Nacional de Transparencia, Acceso a la Información y Protección de Datos Personales hubiera indicado en la resolución del recurso de revisión la posibilidad de otorgar los datos por distintos medios, pues eso no faculta al sujeto obligado a decidir con cuál cumple su obligación, sino que debe privilegiar el modo de entrega que elija el interesado, por ser su derecho de acceder y disponer de la información de la forma que le permita de mejor manera su manejo y disposición. DÉCIMO OCTAVO TRIBUNAL COLEGIADO EN MATERIA ADMINISTRATIVA DEL PRIMER CIRCUITO.” [sic]</w:t>
      </w:r>
    </w:p>
    <w:p w14:paraId="7D63F927" w14:textId="77777777" w:rsidR="003E4E89" w:rsidRPr="00964919" w:rsidRDefault="003E4E89">
      <w:pPr>
        <w:spacing w:after="0" w:line="360" w:lineRule="auto"/>
        <w:jc w:val="both"/>
        <w:rPr>
          <w:rFonts w:ascii="Palatino Linotype" w:eastAsia="Palatino Linotype" w:hAnsi="Palatino Linotype" w:cs="Palatino Linotype"/>
        </w:rPr>
      </w:pPr>
    </w:p>
    <w:p w14:paraId="7F5A55FC" w14:textId="77777777" w:rsidR="003E4E89" w:rsidRPr="00964919" w:rsidRDefault="000D4BA5">
      <w:pPr>
        <w:spacing w:after="0"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b/>
        </w:rPr>
        <w:lastRenderedPageBreak/>
        <w:t xml:space="preserve">4. Turno. </w:t>
      </w:r>
      <w:r w:rsidRPr="00964919">
        <w:rPr>
          <w:rFonts w:ascii="Palatino Linotype" w:eastAsia="Palatino Linotype" w:hAnsi="Palatino Linotype" w:cs="Palatino Linotype"/>
        </w:rPr>
        <w:t xml:space="preserve">De conformidad con el artículo 185 fracción I de la Ley de Transparencia y Acceso a la Información Pública del Estado de México y Municipios vigente, el presente recurso de revisión se turnó por el sistema electrónico del Instituto de Transparencia, Acceso a la Información Pública y Protección de Datos Personales del Estado de México y Municipios, a la Comisionada </w:t>
      </w:r>
      <w:r w:rsidRPr="00964919">
        <w:rPr>
          <w:rFonts w:ascii="Palatino Linotype" w:eastAsia="Palatino Linotype" w:hAnsi="Palatino Linotype" w:cs="Palatino Linotype"/>
          <w:b/>
        </w:rPr>
        <w:t xml:space="preserve">Guadalupe Ramírez Peña, </w:t>
      </w:r>
      <w:r w:rsidRPr="00964919">
        <w:rPr>
          <w:rFonts w:ascii="Palatino Linotype" w:eastAsia="Palatino Linotype" w:hAnsi="Palatino Linotype" w:cs="Palatino Linotype"/>
        </w:rPr>
        <w:t xml:space="preserve">a efecto de que analizara sobre su admisión o su </w:t>
      </w:r>
      <w:proofErr w:type="spellStart"/>
      <w:r w:rsidRPr="00964919">
        <w:rPr>
          <w:rFonts w:ascii="Palatino Linotype" w:eastAsia="Palatino Linotype" w:hAnsi="Palatino Linotype" w:cs="Palatino Linotype"/>
        </w:rPr>
        <w:t>desechamiento</w:t>
      </w:r>
      <w:proofErr w:type="spellEnd"/>
      <w:r w:rsidRPr="00964919">
        <w:rPr>
          <w:rFonts w:ascii="Palatino Linotype" w:eastAsia="Palatino Linotype" w:hAnsi="Palatino Linotype" w:cs="Palatino Linotype"/>
        </w:rPr>
        <w:t>.</w:t>
      </w:r>
    </w:p>
    <w:p w14:paraId="47A19876" w14:textId="77777777" w:rsidR="003E4E89" w:rsidRPr="00964919" w:rsidRDefault="003E4E89">
      <w:pPr>
        <w:spacing w:after="0" w:line="360" w:lineRule="auto"/>
        <w:jc w:val="both"/>
        <w:rPr>
          <w:rFonts w:ascii="Palatino Linotype" w:eastAsia="Palatino Linotype" w:hAnsi="Palatino Linotype" w:cs="Palatino Linotype"/>
        </w:rPr>
      </w:pPr>
    </w:p>
    <w:p w14:paraId="1D62C0B5" w14:textId="77777777" w:rsidR="003E4E89" w:rsidRPr="00964919" w:rsidRDefault="000D4BA5">
      <w:pPr>
        <w:spacing w:after="0"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b/>
        </w:rPr>
        <w:t>5. Admisión del Recurso de Revisión.</w:t>
      </w:r>
      <w:r w:rsidRPr="00964919">
        <w:rPr>
          <w:rFonts w:ascii="Palatino Linotype" w:eastAsia="Palatino Linotype" w:hAnsi="Palatino Linotype" w:cs="Palatino Linotype"/>
        </w:rPr>
        <w:t xml:space="preserve"> Con fecha</w:t>
      </w:r>
      <w:r w:rsidRPr="00964919">
        <w:rPr>
          <w:rFonts w:ascii="Palatino Linotype" w:eastAsia="Palatino Linotype" w:hAnsi="Palatino Linotype" w:cs="Palatino Linotype"/>
          <w:b/>
        </w:rPr>
        <w:t xml:space="preserve"> cinco de noviembre de dos mil veinticuatro</w:t>
      </w:r>
      <w:r w:rsidRPr="00964919">
        <w:rPr>
          <w:rFonts w:ascii="Palatino Linotype" w:eastAsia="Palatino Linotype" w:hAnsi="Palatino Linotype" w:cs="Palatino Linotype"/>
        </w:rPr>
        <w:t>,</w:t>
      </w:r>
      <w:r w:rsidRPr="00964919">
        <w:rPr>
          <w:rFonts w:ascii="Palatino Linotype" w:eastAsia="Palatino Linotype" w:hAnsi="Palatino Linotype" w:cs="Palatino Linotype"/>
          <w:b/>
        </w:rPr>
        <w:t xml:space="preserve"> </w:t>
      </w:r>
      <w:r w:rsidRPr="00964919">
        <w:rPr>
          <w:rFonts w:ascii="Palatino Linotype" w:eastAsia="Palatino Linotype" w:hAnsi="Palatino Linotype" w:cs="Palatino Linotype"/>
        </w:rPr>
        <w:t>este Instituto de Transparencia, Acceso a la Información Pública y Protección de Datos Personales del Estado de México y Municipios, admitió a trámite el recurso de revisión que ahora se resuelve, dando un plazo máximo de siete días hábiles para que las partes manifestaran lo que a su derecho resultara conveniente, ofrecieran pruebas, formularan alegatos y el</w:t>
      </w:r>
      <w:r w:rsidRPr="00964919">
        <w:rPr>
          <w:rFonts w:ascii="Palatino Linotype" w:eastAsia="Palatino Linotype" w:hAnsi="Palatino Linotype" w:cs="Palatino Linotype"/>
          <w:b/>
        </w:rPr>
        <w:t xml:space="preserve"> Sujeto Obligado </w:t>
      </w:r>
      <w:r w:rsidRPr="00964919">
        <w:rPr>
          <w:rFonts w:ascii="Palatino Linotype" w:eastAsia="Palatino Linotype" w:hAnsi="Palatino Linotype" w:cs="Palatino Linotype"/>
        </w:rPr>
        <w:t>presentará su informe justificado.</w:t>
      </w:r>
    </w:p>
    <w:p w14:paraId="7087B16C" w14:textId="77777777" w:rsidR="003E4E89" w:rsidRPr="00964919" w:rsidRDefault="003E4E89">
      <w:pPr>
        <w:spacing w:after="0" w:line="360" w:lineRule="auto"/>
        <w:jc w:val="both"/>
        <w:rPr>
          <w:rFonts w:ascii="Palatino Linotype" w:eastAsia="Palatino Linotype" w:hAnsi="Palatino Linotype" w:cs="Palatino Linotype"/>
        </w:rPr>
      </w:pPr>
    </w:p>
    <w:p w14:paraId="20AE7BFD" w14:textId="77777777" w:rsidR="003E4E89" w:rsidRPr="00964919" w:rsidRDefault="000D4BA5">
      <w:pPr>
        <w:spacing w:after="0" w:line="360" w:lineRule="auto"/>
        <w:ind w:right="49"/>
        <w:jc w:val="both"/>
        <w:rPr>
          <w:rFonts w:ascii="Palatino Linotype" w:eastAsia="Palatino Linotype" w:hAnsi="Palatino Linotype" w:cs="Palatino Linotype"/>
        </w:rPr>
      </w:pPr>
      <w:r w:rsidRPr="00964919">
        <w:rPr>
          <w:rFonts w:ascii="Palatino Linotype" w:eastAsia="Palatino Linotype" w:hAnsi="Palatino Linotype" w:cs="Palatino Linotype"/>
          <w:b/>
        </w:rPr>
        <w:t>6. Manifestaciones.</w:t>
      </w:r>
      <w:r w:rsidRPr="00964919">
        <w:rPr>
          <w:rFonts w:ascii="Palatino Linotype" w:eastAsia="Palatino Linotype" w:hAnsi="Palatino Linotype" w:cs="Palatino Linotype"/>
        </w:rPr>
        <w:t xml:space="preserve"> De las </w:t>
      </w:r>
      <w:r w:rsidRPr="00964919">
        <w:rPr>
          <w:rFonts w:ascii="Palatino Linotype" w:eastAsia="Palatino Linotype" w:hAnsi="Palatino Linotype" w:cs="Palatino Linotype"/>
          <w:color w:val="000000"/>
        </w:rPr>
        <w:t xml:space="preserve">constancias que obran en el expediente electrónico del SAIMEX se desprende que el </w:t>
      </w:r>
      <w:r w:rsidRPr="00964919">
        <w:rPr>
          <w:rFonts w:ascii="Palatino Linotype" w:eastAsia="Palatino Linotype" w:hAnsi="Palatino Linotype" w:cs="Palatino Linotype"/>
          <w:b/>
          <w:color w:val="000000"/>
        </w:rPr>
        <w:t>Sujeto Obligado</w:t>
      </w:r>
      <w:r w:rsidRPr="00964919">
        <w:rPr>
          <w:rFonts w:ascii="Palatino Linotype" w:eastAsia="Palatino Linotype" w:hAnsi="Palatino Linotype" w:cs="Palatino Linotype"/>
          <w:color w:val="000000"/>
        </w:rPr>
        <w:t xml:space="preserve"> no rindió su informe justificado, del mismo modo la parte </w:t>
      </w:r>
      <w:r w:rsidRPr="00964919">
        <w:rPr>
          <w:rFonts w:ascii="Palatino Linotype" w:eastAsia="Palatino Linotype" w:hAnsi="Palatino Linotype" w:cs="Palatino Linotype"/>
          <w:b/>
          <w:color w:val="000000"/>
        </w:rPr>
        <w:t>Recurrente</w:t>
      </w:r>
      <w:r w:rsidRPr="00964919">
        <w:rPr>
          <w:rFonts w:ascii="Palatino Linotype" w:eastAsia="Palatino Linotype" w:hAnsi="Palatino Linotype" w:cs="Palatino Linotype"/>
          <w:color w:val="000000"/>
        </w:rPr>
        <w:t xml:space="preserve"> omitió realizar manifestaciones, como se observa a continuación:</w:t>
      </w:r>
    </w:p>
    <w:p w14:paraId="60D76735" w14:textId="77777777" w:rsidR="003E4E89" w:rsidRPr="00964919" w:rsidRDefault="003E4E89">
      <w:pPr>
        <w:spacing w:after="0" w:line="360" w:lineRule="auto"/>
        <w:jc w:val="both"/>
        <w:rPr>
          <w:rFonts w:ascii="Palatino Linotype" w:eastAsia="Palatino Linotype" w:hAnsi="Palatino Linotype" w:cs="Palatino Linotype"/>
        </w:rPr>
      </w:pPr>
    </w:p>
    <w:p w14:paraId="429F5557" w14:textId="77777777" w:rsidR="003E4E89" w:rsidRPr="00964919" w:rsidRDefault="000D4BA5">
      <w:pPr>
        <w:spacing w:after="0"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noProof/>
        </w:rPr>
        <w:drawing>
          <wp:inline distT="0" distB="0" distL="0" distR="0" wp14:anchorId="6C0B7B14" wp14:editId="0F7DA7CD">
            <wp:extent cx="5612130" cy="1221105"/>
            <wp:effectExtent l="0" t="0" r="0" b="0"/>
            <wp:docPr id="158852182"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8"/>
                    <a:srcRect/>
                    <a:stretch>
                      <a:fillRect/>
                    </a:stretch>
                  </pic:blipFill>
                  <pic:spPr>
                    <a:xfrm>
                      <a:off x="0" y="0"/>
                      <a:ext cx="5612130" cy="1221105"/>
                    </a:xfrm>
                    <a:prstGeom prst="rect">
                      <a:avLst/>
                    </a:prstGeom>
                    <a:ln/>
                  </pic:spPr>
                </pic:pic>
              </a:graphicData>
            </a:graphic>
          </wp:inline>
        </w:drawing>
      </w:r>
    </w:p>
    <w:p w14:paraId="7599B275" w14:textId="77777777" w:rsidR="003E4E89" w:rsidRPr="00964919" w:rsidRDefault="000D4BA5">
      <w:pPr>
        <w:spacing w:after="0"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b/>
        </w:rPr>
        <w:t>7. Requerimiento de Información Adicional.</w:t>
      </w:r>
      <w:r w:rsidRPr="00964919">
        <w:rPr>
          <w:rFonts w:ascii="Palatino Linotype" w:eastAsia="Palatino Linotype" w:hAnsi="Palatino Linotype" w:cs="Palatino Linotype"/>
        </w:rPr>
        <w:t xml:space="preserve"> El </w:t>
      </w:r>
      <w:r w:rsidRPr="00964919">
        <w:rPr>
          <w:rFonts w:ascii="Palatino Linotype" w:eastAsia="Palatino Linotype" w:hAnsi="Palatino Linotype" w:cs="Palatino Linotype"/>
          <w:b/>
        </w:rPr>
        <w:t>veintiuno de noviembre de dos mil veinticuatro</w:t>
      </w:r>
      <w:r w:rsidRPr="00964919">
        <w:rPr>
          <w:rFonts w:ascii="Palatino Linotype" w:eastAsia="Palatino Linotype" w:hAnsi="Palatino Linotype" w:cs="Palatino Linotype"/>
        </w:rPr>
        <w:t xml:space="preserve">, se envió por correo electrónico un requerimiento de información adicional al </w:t>
      </w:r>
      <w:r w:rsidRPr="00964919">
        <w:rPr>
          <w:rFonts w:ascii="Palatino Linotype" w:eastAsia="Palatino Linotype" w:hAnsi="Palatino Linotype" w:cs="Palatino Linotype"/>
          <w:b/>
        </w:rPr>
        <w:t>Sujeto Obligado</w:t>
      </w:r>
      <w:r w:rsidRPr="00964919">
        <w:rPr>
          <w:rFonts w:ascii="Palatino Linotype" w:eastAsia="Palatino Linotype" w:hAnsi="Palatino Linotype" w:cs="Palatino Linotype"/>
        </w:rPr>
        <w:t>, el cual consistió en lo siguiente:</w:t>
      </w:r>
    </w:p>
    <w:p w14:paraId="24603A20" w14:textId="77777777" w:rsidR="003E4E89" w:rsidRPr="00964919" w:rsidRDefault="003E4E89">
      <w:pPr>
        <w:spacing w:after="0" w:line="360" w:lineRule="auto"/>
        <w:jc w:val="both"/>
        <w:rPr>
          <w:rFonts w:ascii="Palatino Linotype" w:eastAsia="Palatino Linotype" w:hAnsi="Palatino Linotype" w:cs="Palatino Linotype"/>
        </w:rPr>
      </w:pPr>
    </w:p>
    <w:p w14:paraId="1AA2AEC6" w14:textId="77777777" w:rsidR="003E4E89" w:rsidRPr="00964919" w:rsidRDefault="000D4BA5">
      <w:pPr>
        <w:spacing w:after="0" w:line="360" w:lineRule="auto"/>
        <w:jc w:val="center"/>
        <w:rPr>
          <w:rFonts w:ascii="Palatino Linotype" w:eastAsia="Palatino Linotype" w:hAnsi="Palatino Linotype" w:cs="Palatino Linotype"/>
        </w:rPr>
      </w:pPr>
      <w:r w:rsidRPr="00964919">
        <w:rPr>
          <w:rFonts w:ascii="Palatino Linotype" w:eastAsia="Palatino Linotype" w:hAnsi="Palatino Linotype" w:cs="Palatino Linotype"/>
          <w:noProof/>
        </w:rPr>
        <w:lastRenderedPageBreak/>
        <w:drawing>
          <wp:inline distT="0" distB="0" distL="0" distR="0" wp14:anchorId="629B2EEC" wp14:editId="76641090">
            <wp:extent cx="5612130" cy="3830320"/>
            <wp:effectExtent l="0" t="0" r="0" b="0"/>
            <wp:docPr id="158852184" name="image2.png" descr="Texto, Carta&#10;&#10;Descripción generada automáticamente"/>
            <wp:cNvGraphicFramePr/>
            <a:graphic xmlns:a="http://schemas.openxmlformats.org/drawingml/2006/main">
              <a:graphicData uri="http://schemas.openxmlformats.org/drawingml/2006/picture">
                <pic:pic xmlns:pic="http://schemas.openxmlformats.org/drawingml/2006/picture">
                  <pic:nvPicPr>
                    <pic:cNvPr id="0" name="image2.png" descr="Texto, Carta&#10;&#10;Descripción generada automáticamente"/>
                    <pic:cNvPicPr preferRelativeResize="0"/>
                  </pic:nvPicPr>
                  <pic:blipFill>
                    <a:blip r:embed="rId9"/>
                    <a:srcRect/>
                    <a:stretch>
                      <a:fillRect/>
                    </a:stretch>
                  </pic:blipFill>
                  <pic:spPr>
                    <a:xfrm>
                      <a:off x="0" y="0"/>
                      <a:ext cx="5612130" cy="3830320"/>
                    </a:xfrm>
                    <a:prstGeom prst="rect">
                      <a:avLst/>
                    </a:prstGeom>
                    <a:ln/>
                  </pic:spPr>
                </pic:pic>
              </a:graphicData>
            </a:graphic>
          </wp:inline>
        </w:drawing>
      </w:r>
    </w:p>
    <w:p w14:paraId="6E17B0E7" w14:textId="77777777" w:rsidR="003E4E89" w:rsidRPr="00964919" w:rsidRDefault="003E4E89">
      <w:pPr>
        <w:spacing w:after="0" w:line="360" w:lineRule="auto"/>
        <w:rPr>
          <w:rFonts w:ascii="Palatino Linotype" w:eastAsia="Palatino Linotype" w:hAnsi="Palatino Linotype" w:cs="Palatino Linotype"/>
        </w:rPr>
      </w:pPr>
    </w:p>
    <w:p w14:paraId="1DEA78FE" w14:textId="77777777" w:rsidR="003E4E89" w:rsidRPr="00964919" w:rsidRDefault="000D4BA5">
      <w:pPr>
        <w:spacing w:after="240"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b/>
          <w:color w:val="000000"/>
        </w:rPr>
        <w:t>8. Atención al requerimiento adicional. E</w:t>
      </w:r>
      <w:r w:rsidRPr="00964919">
        <w:rPr>
          <w:rFonts w:ascii="Palatino Linotype" w:eastAsia="Palatino Linotype" w:hAnsi="Palatino Linotype" w:cs="Palatino Linotype"/>
        </w:rPr>
        <w:t xml:space="preserve">l </w:t>
      </w:r>
      <w:r w:rsidRPr="00964919">
        <w:rPr>
          <w:rFonts w:ascii="Palatino Linotype" w:eastAsia="Palatino Linotype" w:hAnsi="Palatino Linotype" w:cs="Palatino Linotype"/>
          <w:b/>
        </w:rPr>
        <w:t>Sujeto Obligado</w:t>
      </w:r>
      <w:r w:rsidRPr="00964919">
        <w:rPr>
          <w:rFonts w:ascii="Palatino Linotype" w:eastAsia="Palatino Linotype" w:hAnsi="Palatino Linotype" w:cs="Palatino Linotype"/>
        </w:rPr>
        <w:t>, fue omiso en atender el requerimiento adicional.</w:t>
      </w:r>
    </w:p>
    <w:p w14:paraId="4730717A" w14:textId="77777777" w:rsidR="003E4E89" w:rsidRPr="00964919" w:rsidRDefault="000D4BA5">
      <w:pPr>
        <w:spacing w:after="0"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b/>
        </w:rPr>
        <w:t xml:space="preserve">9. Cierre de Instrucción. </w:t>
      </w:r>
      <w:r w:rsidRPr="00964919">
        <w:rPr>
          <w:rFonts w:ascii="Palatino Linotype" w:eastAsia="Palatino Linotype" w:hAnsi="Palatino Linotype" w:cs="Palatino Linotype"/>
        </w:rPr>
        <w:t xml:space="preserve">El </w:t>
      </w:r>
      <w:r w:rsidRPr="00964919">
        <w:rPr>
          <w:rFonts w:ascii="Palatino Linotype" w:eastAsia="Palatino Linotype" w:hAnsi="Palatino Linotype" w:cs="Palatino Linotype"/>
          <w:b/>
        </w:rPr>
        <w:t xml:space="preserve">veintisiete de noviembre de dos mil veinticuatro, </w:t>
      </w:r>
      <w:r w:rsidRPr="00964919">
        <w:rPr>
          <w:rFonts w:ascii="Palatino Linotype" w:eastAsia="Palatino Linotype" w:hAnsi="Palatino Linotype" w:cs="Palatino Linotype"/>
        </w:rPr>
        <w:t>al no existir diligencias pendientes por desahogar, se emitió el acuerdo por medio del cual se declaró cerrada la instrucción y se determinó pasar el expediente a resolución, en términos del artículo 185 fracción VI y VIII de la Ley de Transparencia y Acceso a la Información Pública del Estado de México y Municipios, iniciando el término legal para dictar resolución definitiva del asunto.</w:t>
      </w:r>
    </w:p>
    <w:p w14:paraId="287E40EB" w14:textId="77777777" w:rsidR="003E4E89" w:rsidRPr="00964919" w:rsidRDefault="003E4E89">
      <w:pPr>
        <w:spacing w:after="0" w:line="360" w:lineRule="auto"/>
        <w:jc w:val="both"/>
        <w:rPr>
          <w:rFonts w:ascii="Palatino Linotype" w:eastAsia="Palatino Linotype" w:hAnsi="Palatino Linotype" w:cs="Palatino Linotype"/>
        </w:rPr>
      </w:pPr>
    </w:p>
    <w:p w14:paraId="0E8D4AEB" w14:textId="77777777" w:rsidR="003E4E89" w:rsidRPr="00964919" w:rsidRDefault="000D4BA5">
      <w:pPr>
        <w:spacing w:after="0"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rPr>
        <w:lastRenderedPageBreak/>
        <w:t>En razón de que fue debidamente sustanciado el expediente electrónico y no existe diligencia pendiente de desahogo, se emite la Resolución que conforme a Derecho proceda, de acuerdo con los siguientes:</w:t>
      </w:r>
    </w:p>
    <w:p w14:paraId="5D7FE127" w14:textId="77777777" w:rsidR="003E4E89" w:rsidRPr="00964919" w:rsidRDefault="003E4E89">
      <w:pPr>
        <w:spacing w:after="0" w:line="360" w:lineRule="auto"/>
        <w:jc w:val="both"/>
        <w:rPr>
          <w:rFonts w:ascii="Palatino Linotype" w:eastAsia="Palatino Linotype" w:hAnsi="Palatino Linotype" w:cs="Palatino Linotype"/>
        </w:rPr>
      </w:pPr>
    </w:p>
    <w:p w14:paraId="0DED6F76" w14:textId="77777777" w:rsidR="003E4E89" w:rsidRPr="00964919" w:rsidRDefault="000D4BA5">
      <w:pPr>
        <w:widowControl w:val="0"/>
        <w:spacing w:after="0" w:line="360" w:lineRule="auto"/>
        <w:jc w:val="center"/>
        <w:rPr>
          <w:rFonts w:ascii="Palatino Linotype" w:eastAsia="Palatino Linotype" w:hAnsi="Palatino Linotype" w:cs="Palatino Linotype"/>
          <w:b/>
        </w:rPr>
      </w:pPr>
      <w:r w:rsidRPr="00964919">
        <w:rPr>
          <w:rFonts w:ascii="Palatino Linotype" w:eastAsia="Palatino Linotype" w:hAnsi="Palatino Linotype" w:cs="Palatino Linotype"/>
          <w:b/>
        </w:rPr>
        <w:t>C O N S I D E R A N D O S</w:t>
      </w:r>
    </w:p>
    <w:p w14:paraId="68D9B09F" w14:textId="77777777" w:rsidR="003E4E89" w:rsidRPr="00964919" w:rsidRDefault="003E4E89">
      <w:pPr>
        <w:widowControl w:val="0"/>
        <w:spacing w:after="0" w:line="360" w:lineRule="auto"/>
        <w:jc w:val="center"/>
        <w:rPr>
          <w:rFonts w:ascii="Palatino Linotype" w:eastAsia="Palatino Linotype" w:hAnsi="Palatino Linotype" w:cs="Palatino Linotype"/>
          <w:b/>
        </w:rPr>
      </w:pPr>
    </w:p>
    <w:p w14:paraId="0259AACB" w14:textId="77777777" w:rsidR="003E4E89" w:rsidRPr="00964919" w:rsidRDefault="000D4BA5">
      <w:pPr>
        <w:spacing w:after="0"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b/>
        </w:rPr>
        <w:t>Primero. Competencia.</w:t>
      </w:r>
      <w:r w:rsidRPr="00964919">
        <w:rPr>
          <w:rFonts w:ascii="Palatino Linotype" w:eastAsia="Palatino Linotype" w:hAnsi="Palatino Linotype" w:cs="Palatino Linotype"/>
        </w:rPr>
        <w:t xml:space="preserve"> El Instituto de Transparencia, Acceso a la Información Pública y Protección de Datos Personales del Estado de México y Municipios, es competente para conocer y resolver el presente recurso de revisión interpuesto por la parte recurrente, conforme a lo dispuesto en los artículos 6, apartado A de la Constitución Política de los Estados Unidos Mexicanos; 5 párrafos trigésimo segundo, trigésimo tercero y trigésimo cuarto fracciones IV y V de la Constitución Política del Estado Libre y Soberano de México; 2, fracción II; 29, 36 fracciones I y II; 176, 178, 181, 185, fracción I, 186 y 188 de la Ley Transparencia y Acceso a la Información Pública del Estado de México y Municipios; 9, fracciones I y XXIII y 11 del Reglamento Interior del Instituto de Transparencia, Acceso a la Información Pública y Protección de Datos Personales del Estado de México y Municipios.</w:t>
      </w:r>
    </w:p>
    <w:p w14:paraId="44F9D7DB" w14:textId="77777777" w:rsidR="003E4E89" w:rsidRPr="00964919" w:rsidRDefault="003E4E89">
      <w:pPr>
        <w:spacing w:after="0" w:line="360" w:lineRule="auto"/>
        <w:jc w:val="both"/>
        <w:rPr>
          <w:rFonts w:ascii="Palatino Linotype" w:eastAsia="Palatino Linotype" w:hAnsi="Palatino Linotype" w:cs="Palatino Linotype"/>
        </w:rPr>
      </w:pPr>
    </w:p>
    <w:p w14:paraId="3FDAC98C" w14:textId="77777777" w:rsidR="003E4E89" w:rsidRPr="00964919" w:rsidRDefault="000D4BA5">
      <w:pPr>
        <w:spacing w:after="0" w:line="360" w:lineRule="auto"/>
        <w:ind w:right="49"/>
        <w:jc w:val="both"/>
        <w:rPr>
          <w:rFonts w:ascii="Palatino Linotype" w:eastAsia="Palatino Linotype" w:hAnsi="Palatino Linotype" w:cs="Palatino Linotype"/>
        </w:rPr>
      </w:pPr>
      <w:r w:rsidRPr="00964919">
        <w:rPr>
          <w:rFonts w:ascii="Palatino Linotype" w:eastAsia="Palatino Linotype" w:hAnsi="Palatino Linotype" w:cs="Palatino Linotype"/>
          <w:b/>
        </w:rPr>
        <w:t xml:space="preserve">Segundo. Oportunidad y Procedibilidad del Recurso de Revisión. </w:t>
      </w:r>
      <w:r w:rsidRPr="00964919">
        <w:rPr>
          <w:rFonts w:ascii="Palatino Linotype" w:eastAsia="Palatino Linotype" w:hAnsi="Palatino Linotype" w:cs="Palatino Linotype"/>
        </w:rPr>
        <w:t>Previo al estudio del fondo del asunto, se procede a analizar los requisitos de oportunidad y procedibilidad que debe reunir el recurso de revisión interpuesto, previsto en el artículo 178 y 180 de la Ley de Transparencia y Acceso a la Información Pública del Estado de México y Municipios.</w:t>
      </w:r>
    </w:p>
    <w:p w14:paraId="4772DA4C" w14:textId="77777777" w:rsidR="003E4E89" w:rsidRPr="00964919" w:rsidRDefault="003E4E89">
      <w:pPr>
        <w:spacing w:after="0" w:line="360" w:lineRule="auto"/>
        <w:ind w:right="49"/>
        <w:jc w:val="both"/>
        <w:rPr>
          <w:rFonts w:ascii="Palatino Linotype" w:eastAsia="Palatino Linotype" w:hAnsi="Palatino Linotype" w:cs="Palatino Linotype"/>
        </w:rPr>
      </w:pPr>
    </w:p>
    <w:p w14:paraId="1C2D78AB" w14:textId="77777777" w:rsidR="003E4E89" w:rsidRPr="00964919" w:rsidRDefault="000D4BA5">
      <w:pPr>
        <w:spacing w:after="0"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rPr>
        <w:t>El recurso de revisión fue interpuesto dentro del plazo de quince días hábiles previsto en el artículo 178 de la Ley de Transparencia y Acceso a la Información Pública del Estado de México y Municipios, contados a partir de la fecha en que</w:t>
      </w:r>
      <w:r w:rsidRPr="00964919">
        <w:rPr>
          <w:rFonts w:ascii="Palatino Linotype" w:eastAsia="Palatino Linotype" w:hAnsi="Palatino Linotype" w:cs="Palatino Linotype"/>
          <w:b/>
        </w:rPr>
        <w:t xml:space="preserve"> </w:t>
      </w:r>
      <w:r w:rsidRPr="00964919">
        <w:rPr>
          <w:rFonts w:ascii="Palatino Linotype" w:eastAsia="Palatino Linotype" w:hAnsi="Palatino Linotype" w:cs="Palatino Linotype"/>
        </w:rPr>
        <w:t>el</w:t>
      </w:r>
      <w:r w:rsidRPr="00964919">
        <w:rPr>
          <w:rFonts w:ascii="Palatino Linotype" w:eastAsia="Palatino Linotype" w:hAnsi="Palatino Linotype" w:cs="Palatino Linotype"/>
          <w:b/>
        </w:rPr>
        <w:t xml:space="preserve"> Sujeto Obligado </w:t>
      </w:r>
      <w:r w:rsidRPr="00964919">
        <w:rPr>
          <w:rFonts w:ascii="Palatino Linotype" w:eastAsia="Palatino Linotype" w:hAnsi="Palatino Linotype" w:cs="Palatino Linotype"/>
        </w:rPr>
        <w:t xml:space="preserve">emitió la respuesta, toda vez que esta fue pronunciada el día </w:t>
      </w:r>
      <w:r w:rsidRPr="00964919">
        <w:rPr>
          <w:rFonts w:ascii="Palatino Linotype" w:eastAsia="Palatino Linotype" w:hAnsi="Palatino Linotype" w:cs="Palatino Linotype"/>
          <w:b/>
        </w:rPr>
        <w:t>veinticinco de octubre de dos mil veinticuatro</w:t>
      </w:r>
      <w:r w:rsidRPr="00964919">
        <w:rPr>
          <w:rFonts w:ascii="Palatino Linotype" w:eastAsia="Palatino Linotype" w:hAnsi="Palatino Linotype" w:cs="Palatino Linotype"/>
        </w:rPr>
        <w:t xml:space="preserve">, mientras que la parte </w:t>
      </w:r>
      <w:r w:rsidRPr="00964919">
        <w:rPr>
          <w:rFonts w:ascii="Palatino Linotype" w:eastAsia="Palatino Linotype" w:hAnsi="Palatino Linotype" w:cs="Palatino Linotype"/>
          <w:b/>
        </w:rPr>
        <w:t>Recurrente</w:t>
      </w:r>
      <w:r w:rsidRPr="00964919">
        <w:rPr>
          <w:rFonts w:ascii="Palatino Linotype" w:eastAsia="Palatino Linotype" w:hAnsi="Palatino Linotype" w:cs="Palatino Linotype"/>
        </w:rPr>
        <w:t xml:space="preserve"> interpuso el recurso de revisión en fecha </w:t>
      </w:r>
      <w:r w:rsidRPr="00964919">
        <w:rPr>
          <w:rFonts w:ascii="Palatino Linotype" w:eastAsia="Palatino Linotype" w:hAnsi="Palatino Linotype" w:cs="Palatino Linotype"/>
          <w:b/>
        </w:rPr>
        <w:lastRenderedPageBreak/>
        <w:t>treinta de octubre de dos mil veinticuatro</w:t>
      </w:r>
      <w:r w:rsidRPr="00964919">
        <w:rPr>
          <w:rFonts w:ascii="Palatino Linotype" w:eastAsia="Palatino Linotype" w:hAnsi="Palatino Linotype" w:cs="Palatino Linotype"/>
        </w:rPr>
        <w:t xml:space="preserve">, es decir, al cuarto día hábil de haber recibido la respuesta. </w:t>
      </w:r>
    </w:p>
    <w:p w14:paraId="177AF08B" w14:textId="77777777" w:rsidR="003E4E89" w:rsidRPr="00964919" w:rsidRDefault="000D4BA5">
      <w:pPr>
        <w:spacing w:before="240" w:after="240"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rPr>
        <w:t>A efecto de sustentar lo anterior, es de suma importancia mencionar que si bien la persona solicitante</w:t>
      </w:r>
      <w:r w:rsidRPr="00964919">
        <w:rPr>
          <w:rFonts w:ascii="Palatino Linotype" w:eastAsia="Palatino Linotype" w:hAnsi="Palatino Linotype" w:cs="Palatino Linotype"/>
          <w:b/>
        </w:rPr>
        <w:t xml:space="preserve"> no proporcionó nombre o seudónimo, </w:t>
      </w:r>
      <w:r w:rsidRPr="00964919">
        <w:rPr>
          <w:rFonts w:ascii="Palatino Linotype" w:eastAsia="Palatino Linotype" w:hAnsi="Palatino Linotype" w:cs="Palatino Linotype"/>
        </w:rPr>
        <w:t>como se advierte en el detalle de seguimiento del SAIMEX, sin embargo, el no proporcionar un nombre no es motivo para archivar la solicitud de acceso a la información pública como concluida, conforme a lo previsto en el artículo 155, penúltimo párrafo de la Ley de Transparencia y Acceso a la Información Pública del Estado de México y Municipios que establece lo siguiente:</w:t>
      </w:r>
    </w:p>
    <w:p w14:paraId="626AD5B7" w14:textId="77777777" w:rsidR="003E4E89" w:rsidRPr="00964919" w:rsidRDefault="000D4BA5">
      <w:pPr>
        <w:spacing w:before="120" w:after="120"/>
        <w:ind w:left="851" w:right="616"/>
        <w:jc w:val="both"/>
        <w:rPr>
          <w:rFonts w:ascii="Palatino Linotype" w:eastAsia="Palatino Linotype" w:hAnsi="Palatino Linotype" w:cs="Palatino Linotype"/>
        </w:rPr>
      </w:pPr>
      <w:r w:rsidRPr="00964919">
        <w:rPr>
          <w:rFonts w:ascii="Palatino Linotype" w:eastAsia="Palatino Linotype" w:hAnsi="Palatino Linotype" w:cs="Palatino Linotype"/>
          <w:i/>
        </w:rPr>
        <w:t xml:space="preserve">"Las </w:t>
      </w:r>
      <w:r w:rsidRPr="00964919">
        <w:rPr>
          <w:rFonts w:ascii="Palatino Linotype" w:eastAsia="Palatino Linotype" w:hAnsi="Palatino Linotype" w:cs="Palatino Linotype"/>
          <w:b/>
          <w:i/>
        </w:rPr>
        <w:t>solicitudes anónimas,</w:t>
      </w:r>
      <w:r w:rsidRPr="00964919">
        <w:rPr>
          <w:rFonts w:ascii="Palatino Linotype" w:eastAsia="Palatino Linotype" w:hAnsi="Palatino Linotype" w:cs="Palatino Linotype"/>
          <w:i/>
        </w:rPr>
        <w:t xml:space="preserve"> con nombre incompleto o seudónimo </w:t>
      </w:r>
      <w:r w:rsidRPr="00964919">
        <w:rPr>
          <w:rFonts w:ascii="Palatino Linotype" w:eastAsia="Palatino Linotype" w:hAnsi="Palatino Linotype" w:cs="Palatino Linotype"/>
          <w:b/>
          <w:i/>
        </w:rPr>
        <w:t>serán procedentes para su trámite por parte del sujeto obligado ante quien se presente</w:t>
      </w:r>
      <w:r w:rsidRPr="00964919">
        <w:rPr>
          <w:rFonts w:ascii="Palatino Linotype" w:eastAsia="Palatino Linotype" w:hAnsi="Palatino Linotype" w:cs="Palatino Linotype"/>
          <w:i/>
        </w:rPr>
        <w:t>. No podrá requerirse información adicional con motivo del nombre proporcionado por el solicitante."</w:t>
      </w:r>
    </w:p>
    <w:p w14:paraId="3795C9CA" w14:textId="77777777" w:rsidR="003E4E89" w:rsidRPr="00964919" w:rsidRDefault="003E4E89">
      <w:pPr>
        <w:spacing w:after="0" w:line="360" w:lineRule="auto"/>
        <w:jc w:val="both"/>
        <w:rPr>
          <w:rFonts w:ascii="Palatino Linotype" w:eastAsia="Palatino Linotype" w:hAnsi="Palatino Linotype" w:cs="Palatino Linotype"/>
        </w:rPr>
      </w:pPr>
    </w:p>
    <w:p w14:paraId="086B0AFA" w14:textId="77777777" w:rsidR="003E4E89" w:rsidRPr="00964919" w:rsidRDefault="000D4BA5">
      <w:pPr>
        <w:spacing w:after="0" w:line="360" w:lineRule="auto"/>
        <w:ind w:right="49"/>
        <w:jc w:val="both"/>
        <w:rPr>
          <w:rFonts w:ascii="Palatino Linotype" w:eastAsia="Palatino Linotype" w:hAnsi="Palatino Linotype" w:cs="Palatino Linotype"/>
        </w:rPr>
      </w:pPr>
      <w:r w:rsidRPr="00964919">
        <w:rPr>
          <w:rFonts w:ascii="Palatino Linotype" w:eastAsia="Palatino Linotype" w:hAnsi="Palatino Linotype" w:cs="Palatino Linotype"/>
        </w:rPr>
        <w:t xml:space="preserve">Ahora bien, del análisis efectuado se advierte que resulta procedente la interposición del recurso y se concluye la acreditación plena de todos y cada uno de los elementos formales exigidos por el artículo 180 de la Ley de Transparencia y Acceso a la Información Pública del Estado de México y Municipios en vigor, en atención a que fue presentado mediante el formato visible en </w:t>
      </w:r>
      <w:r w:rsidRPr="00964919">
        <w:rPr>
          <w:rFonts w:ascii="Palatino Linotype" w:eastAsia="Palatino Linotype" w:hAnsi="Palatino Linotype" w:cs="Palatino Linotype"/>
          <w:b/>
        </w:rPr>
        <w:t>SAIMEX</w:t>
      </w:r>
      <w:r w:rsidRPr="00964919">
        <w:rPr>
          <w:rFonts w:ascii="Palatino Linotype" w:eastAsia="Palatino Linotype" w:hAnsi="Palatino Linotype" w:cs="Palatino Linotype"/>
        </w:rPr>
        <w:t xml:space="preserve">.  </w:t>
      </w:r>
    </w:p>
    <w:p w14:paraId="0D90BBF7" w14:textId="77777777" w:rsidR="003E4E89" w:rsidRPr="00964919" w:rsidRDefault="003E4E89">
      <w:pPr>
        <w:spacing w:after="0" w:line="276" w:lineRule="auto"/>
        <w:ind w:right="902"/>
        <w:jc w:val="both"/>
        <w:rPr>
          <w:rFonts w:ascii="Palatino Linotype" w:eastAsia="Palatino Linotype" w:hAnsi="Palatino Linotype" w:cs="Palatino Linotype"/>
          <w:i/>
        </w:rPr>
      </w:pPr>
    </w:p>
    <w:p w14:paraId="0487AD7A" w14:textId="77777777" w:rsidR="003E4E89" w:rsidRPr="00964919" w:rsidRDefault="000D4BA5">
      <w:pPr>
        <w:spacing w:after="0" w:line="360" w:lineRule="auto"/>
        <w:ind w:right="49"/>
        <w:jc w:val="both"/>
        <w:rPr>
          <w:rFonts w:ascii="Palatino Linotype" w:eastAsia="Palatino Linotype" w:hAnsi="Palatino Linotype" w:cs="Palatino Linotype"/>
        </w:rPr>
      </w:pPr>
      <w:r w:rsidRPr="00964919">
        <w:rPr>
          <w:rFonts w:ascii="Palatino Linotype" w:eastAsia="Palatino Linotype" w:hAnsi="Palatino Linotype" w:cs="Palatino Linotype"/>
        </w:rPr>
        <w:t>Finalmente, resulta procedente la interposición del recurso de revisión al rubro anotado, toda vez que se actualiza la hipótesis de procedencia prevista en el artículo 179, fracción VIII de la Ley de la materia, que a la letra dice:</w:t>
      </w:r>
    </w:p>
    <w:p w14:paraId="6416E461" w14:textId="77777777" w:rsidR="003E4E89" w:rsidRPr="00964919" w:rsidRDefault="003E4E89">
      <w:pPr>
        <w:spacing w:after="0" w:line="360" w:lineRule="auto"/>
        <w:ind w:right="49"/>
        <w:jc w:val="both"/>
        <w:rPr>
          <w:rFonts w:ascii="Palatino Linotype" w:eastAsia="Palatino Linotype" w:hAnsi="Palatino Linotype" w:cs="Palatino Linotype"/>
        </w:rPr>
      </w:pPr>
    </w:p>
    <w:p w14:paraId="5D444CE1" w14:textId="77777777" w:rsidR="003E4E89" w:rsidRPr="00964919" w:rsidRDefault="000D4BA5">
      <w:pPr>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t>“</w:t>
      </w:r>
      <w:r w:rsidRPr="00964919">
        <w:rPr>
          <w:rFonts w:ascii="Palatino Linotype" w:eastAsia="Palatino Linotype" w:hAnsi="Palatino Linotype" w:cs="Palatino Linotype"/>
          <w:b/>
          <w:i/>
        </w:rPr>
        <w:t>Artículo 179.</w:t>
      </w:r>
      <w:r w:rsidRPr="00964919">
        <w:rPr>
          <w:rFonts w:ascii="Palatino Linotype" w:eastAsia="Palatino Linotype" w:hAnsi="Palatino Linotype" w:cs="Palatino Linotype"/>
          <w:i/>
        </w:rPr>
        <w:t xml:space="preserve"> El recurso de revisión es un medio de protección que la Ley otorga a los particulares, para hacer valer su derecho de acceso a la información pública, y procederá en contra de las siguientes causas:</w:t>
      </w:r>
    </w:p>
    <w:p w14:paraId="2046464E" w14:textId="77777777" w:rsidR="003E4E89" w:rsidRPr="00964919" w:rsidRDefault="000D4BA5">
      <w:pPr>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t>(…)</w:t>
      </w:r>
    </w:p>
    <w:p w14:paraId="4303EDC3" w14:textId="77777777" w:rsidR="003E4E89" w:rsidRPr="00964919" w:rsidRDefault="000D4BA5">
      <w:pPr>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lastRenderedPageBreak/>
        <w:t>VIII. La notificación, entrega o puesta a disposición de información en una modalidad o formato distinto al solicitado;</w:t>
      </w:r>
      <w:r w:rsidRPr="00964919">
        <w:rPr>
          <w:rFonts w:ascii="Palatino Linotype" w:eastAsia="Palatino Linotype" w:hAnsi="Palatino Linotype" w:cs="Palatino Linotype"/>
          <w:i/>
        </w:rPr>
        <w:br/>
        <w:t>…”</w:t>
      </w:r>
    </w:p>
    <w:p w14:paraId="08C51A00" w14:textId="77777777" w:rsidR="003E4E89" w:rsidRPr="00964919" w:rsidRDefault="003E4E89">
      <w:pPr>
        <w:spacing w:after="0" w:line="360" w:lineRule="auto"/>
        <w:ind w:right="49"/>
        <w:jc w:val="both"/>
        <w:rPr>
          <w:rFonts w:ascii="Palatino Linotype" w:eastAsia="Palatino Linotype" w:hAnsi="Palatino Linotype" w:cs="Palatino Linotype"/>
          <w:b/>
        </w:rPr>
      </w:pPr>
    </w:p>
    <w:p w14:paraId="0C832268" w14:textId="77777777" w:rsidR="003E4E89" w:rsidRPr="00964919" w:rsidRDefault="000D4BA5">
      <w:pPr>
        <w:spacing w:after="0" w:line="360" w:lineRule="auto"/>
        <w:ind w:right="-234"/>
        <w:jc w:val="both"/>
        <w:rPr>
          <w:rFonts w:ascii="Palatino Linotype" w:eastAsia="Palatino Linotype" w:hAnsi="Palatino Linotype" w:cs="Palatino Linotype"/>
        </w:rPr>
      </w:pPr>
      <w:r w:rsidRPr="00964919">
        <w:rPr>
          <w:rFonts w:ascii="Palatino Linotype" w:eastAsia="Palatino Linotype" w:hAnsi="Palatino Linotype" w:cs="Palatino Linotype"/>
          <w:b/>
        </w:rPr>
        <w:t xml:space="preserve">Tercero. Materia de la Revisión. </w:t>
      </w:r>
      <w:r w:rsidRPr="00964919">
        <w:rPr>
          <w:rFonts w:ascii="Palatino Linotype" w:eastAsia="Palatino Linotype" w:hAnsi="Palatino Linotype" w:cs="Palatino Linotype"/>
        </w:rPr>
        <w:t>De la revisión a las constancias y documentos que obran en el expediente electrónico se advierte, que el tema sobre el que este Organismo Garante de Transparencia y Acceso a la Información se pronunciará será: verificar si la respuesta, informe justificado y alcance al mismo otorgado por</w:t>
      </w:r>
      <w:r w:rsidRPr="00964919">
        <w:rPr>
          <w:rFonts w:ascii="Palatino Linotype" w:eastAsia="Palatino Linotype" w:hAnsi="Palatino Linotype" w:cs="Palatino Linotype"/>
          <w:b/>
        </w:rPr>
        <w:t xml:space="preserve"> </w:t>
      </w:r>
      <w:r w:rsidRPr="00964919">
        <w:rPr>
          <w:rFonts w:ascii="Palatino Linotype" w:eastAsia="Palatino Linotype" w:hAnsi="Palatino Linotype" w:cs="Palatino Linotype"/>
        </w:rPr>
        <w:t xml:space="preserve">el </w:t>
      </w:r>
      <w:r w:rsidRPr="00964919">
        <w:rPr>
          <w:rFonts w:ascii="Palatino Linotype" w:eastAsia="Palatino Linotype" w:hAnsi="Palatino Linotype" w:cs="Palatino Linotype"/>
          <w:b/>
        </w:rPr>
        <w:t>Sujeto Obligado</w:t>
      </w:r>
      <w:r w:rsidRPr="00964919">
        <w:rPr>
          <w:rFonts w:ascii="Palatino Linotype" w:eastAsia="Palatino Linotype" w:hAnsi="Palatino Linotype" w:cs="Palatino Linotype"/>
        </w:rPr>
        <w:t xml:space="preserve"> es adecuada y suficiente para satisfacer el derecho de acceso a la información pública de la parte </w:t>
      </w:r>
      <w:r w:rsidRPr="00964919">
        <w:rPr>
          <w:rFonts w:ascii="Palatino Linotype" w:eastAsia="Palatino Linotype" w:hAnsi="Palatino Linotype" w:cs="Palatino Linotype"/>
          <w:b/>
        </w:rPr>
        <w:t>Recurrente</w:t>
      </w:r>
      <w:r w:rsidRPr="00964919">
        <w:rPr>
          <w:rFonts w:ascii="Palatino Linotype" w:eastAsia="Palatino Linotype" w:hAnsi="Palatino Linotype" w:cs="Palatino Linotype"/>
        </w:rPr>
        <w:t>, o en su defecto, en caso de ser procedente, ordenar la entrega de información.</w:t>
      </w:r>
    </w:p>
    <w:p w14:paraId="1DCBB04C" w14:textId="77777777" w:rsidR="003E4E89" w:rsidRPr="00964919" w:rsidRDefault="003E4E89">
      <w:pPr>
        <w:spacing w:after="0" w:line="360" w:lineRule="auto"/>
        <w:jc w:val="both"/>
        <w:rPr>
          <w:rFonts w:ascii="Palatino Linotype" w:eastAsia="Palatino Linotype" w:hAnsi="Palatino Linotype" w:cs="Palatino Linotype"/>
        </w:rPr>
      </w:pPr>
    </w:p>
    <w:p w14:paraId="2A371626" w14:textId="77777777" w:rsidR="003E4E89" w:rsidRPr="00964919" w:rsidRDefault="000D4BA5">
      <w:pPr>
        <w:spacing w:after="0"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b/>
        </w:rPr>
        <w:t xml:space="preserve">Cuarto. Estudio y Resolución del Asunto. </w:t>
      </w:r>
      <w:r w:rsidRPr="00964919">
        <w:rPr>
          <w:rFonts w:ascii="Palatino Linotype" w:eastAsia="Palatino Linotype" w:hAnsi="Palatino Linotype" w:cs="Palatino Linotype"/>
        </w:rPr>
        <w:t>En primer término, se estima pertinente mencionar que el derecho de acceso a la información está consagrado en instrumentos internacionales de los cuales el Estado Mexicano se ha adherido, sin oponer reserva alguna sobre lo que nos interesa, adoptando dichas disposiciones al Derecho Interno, específicamente a nivel Constitucional, tal y como lo prevén los arábigos 1 párrafos primero, segundo y tercero y 6 apartado A fracciones I, II, III, IV, V, VI y VII que a la letra señalan:</w:t>
      </w:r>
    </w:p>
    <w:p w14:paraId="1E596EAC" w14:textId="77777777" w:rsidR="003E4E89" w:rsidRPr="00964919" w:rsidRDefault="003E4E89">
      <w:pPr>
        <w:spacing w:after="0" w:line="360" w:lineRule="auto"/>
        <w:jc w:val="both"/>
        <w:rPr>
          <w:rFonts w:ascii="Palatino Linotype" w:eastAsia="Palatino Linotype" w:hAnsi="Palatino Linotype" w:cs="Palatino Linotype"/>
        </w:rPr>
      </w:pPr>
    </w:p>
    <w:p w14:paraId="67F77F2B" w14:textId="77777777" w:rsidR="003E4E89" w:rsidRPr="00964919" w:rsidRDefault="000D4BA5" w:rsidP="00DC454F">
      <w:pPr>
        <w:tabs>
          <w:tab w:val="left" w:pos="851"/>
        </w:tabs>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u w:val="single"/>
        </w:rPr>
        <w:t>“</w:t>
      </w:r>
      <w:r w:rsidRPr="00964919">
        <w:rPr>
          <w:rFonts w:ascii="Palatino Linotype" w:eastAsia="Palatino Linotype" w:hAnsi="Palatino Linotype" w:cs="Palatino Linotype"/>
          <w:b/>
          <w:i/>
          <w:u w:val="single"/>
        </w:rPr>
        <w:t>Artículo 1o. En los Estados Unidos Mexicanos todas las personas gozarán de los derechos humanos reconocidos en esta Constitución y en los tratados internacionales de los que el Estado Mexicano sea parte</w:t>
      </w:r>
      <w:r w:rsidRPr="00964919">
        <w:rPr>
          <w:rFonts w:ascii="Palatino Linotype" w:eastAsia="Palatino Linotype" w:hAnsi="Palatino Linotype" w:cs="Palatino Linotype"/>
          <w:i/>
        </w:rPr>
        <w:t>, así como de las garantías para su protección, cuyo ejercicio no podrá restringirse ni suspenderse, salvo en los casos y bajo las condiciones que esta Constitución establece.</w:t>
      </w:r>
    </w:p>
    <w:p w14:paraId="1CD687CA" w14:textId="77777777" w:rsidR="003E4E89" w:rsidRPr="00964919" w:rsidRDefault="000D4BA5" w:rsidP="00DC454F">
      <w:pPr>
        <w:tabs>
          <w:tab w:val="left" w:pos="851"/>
        </w:tabs>
        <w:spacing w:after="0" w:line="276" w:lineRule="auto"/>
        <w:ind w:left="851" w:right="616"/>
        <w:jc w:val="both"/>
        <w:rPr>
          <w:rFonts w:ascii="Palatino Linotype" w:eastAsia="Palatino Linotype" w:hAnsi="Palatino Linotype" w:cs="Palatino Linotype"/>
          <w:b/>
          <w:i/>
        </w:rPr>
      </w:pPr>
      <w:r w:rsidRPr="00964919">
        <w:rPr>
          <w:rFonts w:ascii="Palatino Linotype" w:eastAsia="Palatino Linotype" w:hAnsi="Palatino Linotype" w:cs="Palatino Linotype"/>
          <w:b/>
          <w:i/>
        </w:rPr>
        <w:t>Las normas relativas a los derechos humanos se interpretarán de conformidad con esta Constitución y con los tratados internacionales de la materia favoreciendo en todo tiempo a las personas la protección más amplia.</w:t>
      </w:r>
    </w:p>
    <w:p w14:paraId="6D240AD3" w14:textId="77777777" w:rsidR="003E4E89" w:rsidRPr="00964919" w:rsidRDefault="000D4BA5" w:rsidP="00DC454F">
      <w:pPr>
        <w:tabs>
          <w:tab w:val="left" w:pos="851"/>
        </w:tabs>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b/>
          <w:i/>
          <w:u w:val="single"/>
        </w:rPr>
        <w:t xml:space="preserve">Todas las autoridades, en el ámbito de sus competencias, tienen la obligación de promover, respetar, proteger y garantizar los derechos humanos de conformidad con los principios de universalidad, </w:t>
      </w:r>
      <w:r w:rsidRPr="00964919">
        <w:rPr>
          <w:rFonts w:ascii="Palatino Linotype" w:eastAsia="Palatino Linotype" w:hAnsi="Palatino Linotype" w:cs="Palatino Linotype"/>
          <w:b/>
          <w:i/>
          <w:u w:val="single"/>
        </w:rPr>
        <w:lastRenderedPageBreak/>
        <w:t>interdependencia, indivisibilidad y progresividad.</w:t>
      </w:r>
      <w:r w:rsidRPr="00964919">
        <w:rPr>
          <w:rFonts w:ascii="Palatino Linotype" w:eastAsia="Palatino Linotype" w:hAnsi="Palatino Linotype" w:cs="Palatino Linotype"/>
          <w:i/>
        </w:rPr>
        <w:t xml:space="preserve"> En consecuencia, el Estado deberá prevenir, investigar, sancionar y reparar las violaciones a los derechos humanos, en los términos que establezca la ley</w:t>
      </w:r>
    </w:p>
    <w:p w14:paraId="1AC03492" w14:textId="77777777" w:rsidR="003E4E89" w:rsidRPr="00964919" w:rsidRDefault="000D4BA5" w:rsidP="00DC454F">
      <w:pPr>
        <w:tabs>
          <w:tab w:val="left" w:pos="851"/>
        </w:tabs>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t>[…]</w:t>
      </w:r>
    </w:p>
    <w:p w14:paraId="5AAD7883" w14:textId="77777777" w:rsidR="003E4E89" w:rsidRPr="00964919" w:rsidRDefault="000D4BA5" w:rsidP="00DC454F">
      <w:pPr>
        <w:tabs>
          <w:tab w:val="left" w:pos="851"/>
        </w:tabs>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b/>
          <w:i/>
        </w:rPr>
        <w:t>“Artículo 6o.</w:t>
      </w:r>
    </w:p>
    <w:p w14:paraId="4BF531A0" w14:textId="77777777" w:rsidR="003E4E89" w:rsidRPr="00964919" w:rsidRDefault="000D4BA5" w:rsidP="00DC454F">
      <w:pPr>
        <w:tabs>
          <w:tab w:val="left" w:pos="851"/>
        </w:tabs>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t>[...]</w:t>
      </w:r>
    </w:p>
    <w:p w14:paraId="187DA084" w14:textId="77777777" w:rsidR="003E4E89" w:rsidRPr="00964919" w:rsidRDefault="000D4BA5" w:rsidP="00DC454F">
      <w:pPr>
        <w:tabs>
          <w:tab w:val="left" w:pos="851"/>
        </w:tabs>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b/>
          <w:i/>
        </w:rPr>
        <w:t xml:space="preserve">A. Para el ejercicio del derecho de acceso a la información, la Federación y </w:t>
      </w:r>
      <w:r w:rsidRPr="00964919">
        <w:rPr>
          <w:rFonts w:ascii="Palatino Linotype" w:eastAsia="Palatino Linotype" w:hAnsi="Palatino Linotype" w:cs="Palatino Linotype"/>
          <w:b/>
          <w:i/>
          <w:u w:val="single"/>
        </w:rPr>
        <w:t>las entidades federativas</w:t>
      </w:r>
      <w:r w:rsidRPr="00964919">
        <w:rPr>
          <w:rFonts w:ascii="Palatino Linotype" w:eastAsia="Palatino Linotype" w:hAnsi="Palatino Linotype" w:cs="Palatino Linotype"/>
          <w:b/>
          <w:i/>
        </w:rPr>
        <w:t>,</w:t>
      </w:r>
      <w:r w:rsidRPr="00964919">
        <w:rPr>
          <w:rFonts w:ascii="Palatino Linotype" w:eastAsia="Palatino Linotype" w:hAnsi="Palatino Linotype" w:cs="Palatino Linotype"/>
          <w:i/>
        </w:rPr>
        <w:t xml:space="preserve"> en el ámbito de sus respectivas competencias, se regirán por los siguientes principios y bases:</w:t>
      </w:r>
    </w:p>
    <w:p w14:paraId="2683B62E" w14:textId="77777777" w:rsidR="003E4E89" w:rsidRPr="00964919" w:rsidRDefault="000D4BA5" w:rsidP="00DC454F">
      <w:pPr>
        <w:tabs>
          <w:tab w:val="left" w:pos="851"/>
        </w:tabs>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t> </w:t>
      </w:r>
    </w:p>
    <w:p w14:paraId="25F0CE77" w14:textId="77777777" w:rsidR="003E4E89" w:rsidRPr="00964919" w:rsidRDefault="000D4BA5" w:rsidP="00DC454F">
      <w:pPr>
        <w:tabs>
          <w:tab w:val="left" w:pos="851"/>
        </w:tabs>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b/>
          <w:i/>
        </w:rPr>
        <w:t xml:space="preserve">I. </w:t>
      </w:r>
      <w:r w:rsidRPr="00964919">
        <w:rPr>
          <w:rFonts w:ascii="Palatino Linotype" w:eastAsia="Palatino Linotype" w:hAnsi="Palatino Linotype" w:cs="Palatino Linotype"/>
          <w:b/>
          <w:i/>
          <w:u w:val="single"/>
        </w:rPr>
        <w:t>Toda la información en posesión de cualquier autoridad, entidad, órgano y organismo de los Poderes</w:t>
      </w:r>
      <w:r w:rsidRPr="00964919">
        <w:rPr>
          <w:rFonts w:ascii="Palatino Linotype" w:eastAsia="Palatino Linotype" w:hAnsi="Palatino Linotype" w:cs="Palatino Linotype"/>
          <w:i/>
        </w:rPr>
        <w:t xml:space="preserve"> Ejecutivo, Legislativo </w:t>
      </w:r>
      <w:r w:rsidRPr="00964919">
        <w:rPr>
          <w:rFonts w:ascii="Palatino Linotype" w:eastAsia="Palatino Linotype" w:hAnsi="Palatino Linotype" w:cs="Palatino Linotype"/>
          <w:b/>
          <w:i/>
          <w:u w:val="single"/>
        </w:rPr>
        <w:t>y Judicial</w:t>
      </w:r>
      <w:r w:rsidRPr="00964919">
        <w:rPr>
          <w:rFonts w:ascii="Palatino Linotype" w:eastAsia="Palatino Linotype" w:hAnsi="Palatino Linotype" w:cs="Palatino Linotype"/>
          <w:i/>
        </w:rPr>
        <w:t xml:space="preserve">, órganos autónomos, partidos políticos, fideicomisos y fondos públicos, así como de cualquier persona física, moral o sindicato que reciba y ejerza recursos públicos o realice actos de autoridad en el ámbito federal, estatal y municipal, </w:t>
      </w:r>
      <w:r w:rsidRPr="00964919">
        <w:rPr>
          <w:rFonts w:ascii="Palatino Linotype" w:eastAsia="Palatino Linotype" w:hAnsi="Palatino Linotype" w:cs="Palatino Linotype"/>
          <w:b/>
          <w:i/>
        </w:rPr>
        <w:t>es pública y sólo podrá ser reservada temporalmente por razones de interés público y seguridad nacional,</w:t>
      </w:r>
      <w:r w:rsidRPr="00964919">
        <w:rPr>
          <w:rFonts w:ascii="Palatino Linotype" w:eastAsia="Palatino Linotype" w:hAnsi="Palatino Linotype" w:cs="Palatino Linotype"/>
          <w:i/>
        </w:rPr>
        <w:t xml:space="preserve"> en los términos que fijen las leyes. En la interpretación de este derecho deberá prevalecer el principio de máxima publicidad. Los sujetos obligados deberán documentar todo acto que derive del ejercicio de sus facultades, competencias o funciones, la ley determinará los supuestos específicos bajo los cuales procederá la declaración de inexistencia de la información.</w:t>
      </w:r>
    </w:p>
    <w:p w14:paraId="222D7736" w14:textId="77777777" w:rsidR="003E4E89" w:rsidRPr="00964919" w:rsidRDefault="000D4BA5" w:rsidP="00DC454F">
      <w:pPr>
        <w:tabs>
          <w:tab w:val="left" w:pos="851"/>
        </w:tabs>
        <w:spacing w:after="0" w:line="276" w:lineRule="auto"/>
        <w:ind w:left="851" w:right="616"/>
        <w:jc w:val="both"/>
        <w:rPr>
          <w:rFonts w:ascii="Palatino Linotype" w:eastAsia="Palatino Linotype" w:hAnsi="Palatino Linotype" w:cs="Palatino Linotype"/>
          <w:b/>
          <w:i/>
        </w:rPr>
      </w:pPr>
      <w:r w:rsidRPr="00964919">
        <w:rPr>
          <w:rFonts w:ascii="Palatino Linotype" w:eastAsia="Palatino Linotype" w:hAnsi="Palatino Linotype" w:cs="Palatino Linotype"/>
          <w:b/>
          <w:i/>
        </w:rPr>
        <w:t>II. La información que se refiere a la vida privada y los datos personales será protegida en los términos y con las excepciones que fijen las leyes.</w:t>
      </w:r>
    </w:p>
    <w:p w14:paraId="45430D23" w14:textId="77777777" w:rsidR="003E4E89" w:rsidRPr="00964919" w:rsidRDefault="000D4BA5" w:rsidP="00DC454F">
      <w:pPr>
        <w:tabs>
          <w:tab w:val="left" w:pos="851"/>
        </w:tabs>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t> </w:t>
      </w:r>
    </w:p>
    <w:p w14:paraId="385BCC3C" w14:textId="77777777" w:rsidR="003E4E89" w:rsidRPr="00964919" w:rsidRDefault="000D4BA5" w:rsidP="00DC454F">
      <w:pPr>
        <w:tabs>
          <w:tab w:val="left" w:pos="851"/>
        </w:tabs>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b/>
          <w:i/>
        </w:rPr>
        <w:t xml:space="preserve">III. </w:t>
      </w:r>
      <w:r w:rsidRPr="00964919">
        <w:rPr>
          <w:rFonts w:ascii="Palatino Linotype" w:eastAsia="Palatino Linotype" w:hAnsi="Palatino Linotype" w:cs="Palatino Linotype"/>
          <w:b/>
          <w:i/>
          <w:u w:val="single"/>
        </w:rPr>
        <w:t>Toda persona, sin necesidad de acreditar interés alguno o justificar su utilización, tendrá acceso gratuito a la información pública,</w:t>
      </w:r>
      <w:r w:rsidRPr="00964919">
        <w:rPr>
          <w:rFonts w:ascii="Palatino Linotype" w:eastAsia="Palatino Linotype" w:hAnsi="Palatino Linotype" w:cs="Palatino Linotype"/>
          <w:i/>
        </w:rPr>
        <w:t xml:space="preserve"> a sus datos personales o a la rectificación de éstos.</w:t>
      </w:r>
    </w:p>
    <w:p w14:paraId="34B6EF71" w14:textId="77777777" w:rsidR="003E4E89" w:rsidRPr="00964919" w:rsidRDefault="000D4BA5" w:rsidP="00DC454F">
      <w:pPr>
        <w:tabs>
          <w:tab w:val="left" w:pos="851"/>
        </w:tabs>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b/>
          <w:i/>
        </w:rPr>
        <w:t xml:space="preserve">IV. </w:t>
      </w:r>
      <w:r w:rsidRPr="00964919">
        <w:rPr>
          <w:rFonts w:ascii="Palatino Linotype" w:eastAsia="Palatino Linotype" w:hAnsi="Palatino Linotype" w:cs="Palatino Linotype"/>
          <w:i/>
        </w:rPr>
        <w:t>Se establecerán mecanismos de acceso a la información y procedimientos de revisión expeditos que se sustanciarán ante los organismos autónomos especializados e imparciales que establece esta Constitución.</w:t>
      </w:r>
    </w:p>
    <w:p w14:paraId="690C8D20" w14:textId="77777777" w:rsidR="003E4E89" w:rsidRPr="00964919" w:rsidRDefault="000D4BA5" w:rsidP="00DC454F">
      <w:pPr>
        <w:tabs>
          <w:tab w:val="left" w:pos="851"/>
        </w:tabs>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b/>
          <w:i/>
        </w:rPr>
        <w:t xml:space="preserve">V. </w:t>
      </w:r>
      <w:r w:rsidRPr="00964919">
        <w:rPr>
          <w:rFonts w:ascii="Palatino Linotype" w:eastAsia="Palatino Linotype" w:hAnsi="Palatino Linotype" w:cs="Palatino Linotype"/>
          <w:i/>
        </w:rPr>
        <w:t>Los sujetos obligados deberán preservar sus documentos en archivos administrativos actualizados y publicarán, a través de los medios electrónicos disponibles, la información completa y actualizada sobre el ejercicio de los recursos públicos y los indicadores que permitan rendir cuenta del cumplimiento de sus objetivos y de los resultados obtenidos.</w:t>
      </w:r>
    </w:p>
    <w:p w14:paraId="218F04FB" w14:textId="77777777" w:rsidR="003E4E89" w:rsidRPr="00964919" w:rsidRDefault="000D4BA5" w:rsidP="00DC454F">
      <w:pPr>
        <w:tabs>
          <w:tab w:val="left" w:pos="851"/>
        </w:tabs>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lastRenderedPageBreak/>
        <w:t> </w:t>
      </w:r>
      <w:r w:rsidRPr="00964919">
        <w:rPr>
          <w:rFonts w:ascii="Palatino Linotype" w:eastAsia="Palatino Linotype" w:hAnsi="Palatino Linotype" w:cs="Palatino Linotype"/>
          <w:b/>
          <w:i/>
        </w:rPr>
        <w:t xml:space="preserve">VI. </w:t>
      </w:r>
      <w:r w:rsidRPr="00964919">
        <w:rPr>
          <w:rFonts w:ascii="Palatino Linotype" w:eastAsia="Palatino Linotype" w:hAnsi="Palatino Linotype" w:cs="Palatino Linotype"/>
          <w:i/>
        </w:rPr>
        <w:t>Las leyes determinarán la manera en que los sujetos obligados deberán hacer pública la información relativa a los recursos públicos que entreguen a personas físicas o morales.</w:t>
      </w:r>
    </w:p>
    <w:p w14:paraId="06BECA6F" w14:textId="77777777" w:rsidR="003E4E89" w:rsidRPr="00964919" w:rsidRDefault="000D4BA5" w:rsidP="00DC454F">
      <w:pPr>
        <w:tabs>
          <w:tab w:val="left" w:pos="851"/>
        </w:tabs>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b/>
          <w:i/>
        </w:rPr>
        <w:t xml:space="preserve">VII. </w:t>
      </w:r>
      <w:r w:rsidRPr="00964919">
        <w:rPr>
          <w:rFonts w:ascii="Palatino Linotype" w:eastAsia="Palatino Linotype" w:hAnsi="Palatino Linotype" w:cs="Palatino Linotype"/>
          <w:i/>
        </w:rPr>
        <w:t>La inobservancia a las disposiciones en materia de acceso a la información pública será sancionada en los términos que dispongan las leyes. [...]</w:t>
      </w:r>
    </w:p>
    <w:p w14:paraId="6068AF1B" w14:textId="77777777" w:rsidR="003E4E89" w:rsidRPr="00964919" w:rsidRDefault="000D4BA5" w:rsidP="00DC454F">
      <w:pPr>
        <w:tabs>
          <w:tab w:val="left" w:pos="851"/>
        </w:tabs>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t>(Énfasis Añadido)</w:t>
      </w:r>
    </w:p>
    <w:p w14:paraId="2B129426" w14:textId="77777777" w:rsidR="003E4E89" w:rsidRPr="00964919" w:rsidRDefault="003E4E89">
      <w:pPr>
        <w:ind w:right="851"/>
        <w:jc w:val="both"/>
        <w:rPr>
          <w:rFonts w:ascii="Palatino Linotype" w:eastAsia="Palatino Linotype" w:hAnsi="Palatino Linotype" w:cs="Palatino Linotype"/>
        </w:rPr>
      </w:pPr>
    </w:p>
    <w:p w14:paraId="02CA3A85" w14:textId="77777777" w:rsidR="003E4E89" w:rsidRPr="00964919" w:rsidRDefault="000D4BA5">
      <w:pPr>
        <w:tabs>
          <w:tab w:val="left" w:pos="709"/>
        </w:tabs>
        <w:spacing w:before="160" w:after="0"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rPr>
        <w:t>Así, de la interpretación sistémica de los numerales inmersos en los instrumentos legales Internacionales y Nacional, el derecho de acceso a la información es un derecho del cual goza toda persona sin discriminación alguna, el cual se ejerce ante los Poderes del Estado, entidades, dependencias o cualquiera persona física o moral que reciba y ejerza recursos públicos, siendo pública toda la información que posean con las excepciones enmarcadas, para lo cual queda demostrado que el presente sujeto obligado debe cumplir con dichos dispositivos legales.</w:t>
      </w:r>
    </w:p>
    <w:p w14:paraId="2333A316" w14:textId="77777777" w:rsidR="003E4E89" w:rsidRPr="00964919" w:rsidRDefault="003E4E89">
      <w:pPr>
        <w:spacing w:after="0" w:line="360" w:lineRule="auto"/>
        <w:jc w:val="both"/>
        <w:rPr>
          <w:rFonts w:ascii="Palatino Linotype" w:eastAsia="Palatino Linotype" w:hAnsi="Palatino Linotype" w:cs="Palatino Linotype"/>
        </w:rPr>
      </w:pPr>
    </w:p>
    <w:p w14:paraId="0F044143" w14:textId="77777777" w:rsidR="003E4E89" w:rsidRPr="00964919" w:rsidRDefault="000D4BA5">
      <w:pPr>
        <w:spacing w:after="0"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rPr>
        <w:t xml:space="preserve">En primer lugar, es conveniente analizar si la respuesta del </w:t>
      </w:r>
      <w:r w:rsidRPr="00964919">
        <w:rPr>
          <w:rFonts w:ascii="Palatino Linotype" w:eastAsia="Palatino Linotype" w:hAnsi="Palatino Linotype" w:cs="Palatino Linotype"/>
          <w:b/>
        </w:rPr>
        <w:t>Sujeto Obligado</w:t>
      </w:r>
      <w:r w:rsidRPr="00964919">
        <w:rPr>
          <w:rFonts w:ascii="Palatino Linotype" w:eastAsia="Palatino Linotype" w:hAnsi="Palatino Linotype" w:cs="Palatino Linotype"/>
        </w:rPr>
        <w:t xml:space="preserve"> cumple con los requisitos y procedimientos del derecho de acceso a la información pública, en atención a que en la Ley de Transparencia y Acceso a la Información Pública del Estado de México y Municipios en su artículo 4, dice que toda la información generada, obtenida, adquirida, transformada, administrada o en posesión de los Sujetos Obligados es pública y accesible de manera permanente a cualquier persona, privilegiando el principio de máxima publicidad, como así lo establece dicha determinación, que a continuación se trascribe para un mejor entendimiento:</w:t>
      </w:r>
    </w:p>
    <w:p w14:paraId="31486FA6" w14:textId="77777777" w:rsidR="003E4E89" w:rsidRPr="00964919" w:rsidRDefault="003E4E89">
      <w:pPr>
        <w:spacing w:after="0" w:line="360" w:lineRule="auto"/>
        <w:jc w:val="both"/>
        <w:rPr>
          <w:rFonts w:ascii="Palatino Linotype" w:eastAsia="Palatino Linotype" w:hAnsi="Palatino Linotype" w:cs="Palatino Linotype"/>
        </w:rPr>
      </w:pPr>
    </w:p>
    <w:p w14:paraId="42EFF1A5" w14:textId="77777777" w:rsidR="003E4E89" w:rsidRPr="00964919" w:rsidRDefault="000D4BA5">
      <w:pPr>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t>“</w:t>
      </w:r>
      <w:r w:rsidRPr="00964919">
        <w:rPr>
          <w:rFonts w:ascii="Palatino Linotype" w:eastAsia="Palatino Linotype" w:hAnsi="Palatino Linotype" w:cs="Palatino Linotype"/>
          <w:b/>
          <w:i/>
        </w:rPr>
        <w:t>Artículo 4.</w:t>
      </w:r>
      <w:r w:rsidRPr="00964919">
        <w:rPr>
          <w:rFonts w:ascii="Palatino Linotype" w:eastAsia="Palatino Linotype" w:hAnsi="Palatino Linotype" w:cs="Palatino Linotype"/>
          <w:i/>
        </w:rPr>
        <w:t xml:space="preserve"> El derecho humano de acceso a la información pública es la prerrogativa de las personas para buscar, difundir, investigar, recabar, recibir y solicitar información pública, sin necesidad de acreditar personalidad ni interés jurídico. </w:t>
      </w:r>
    </w:p>
    <w:p w14:paraId="0A162594" w14:textId="77777777" w:rsidR="003E4E89" w:rsidRPr="00964919" w:rsidRDefault="003E4E89">
      <w:pPr>
        <w:spacing w:after="0" w:line="276" w:lineRule="auto"/>
        <w:ind w:left="851" w:right="616"/>
        <w:jc w:val="both"/>
        <w:rPr>
          <w:rFonts w:ascii="Palatino Linotype" w:eastAsia="Palatino Linotype" w:hAnsi="Palatino Linotype" w:cs="Palatino Linotype"/>
          <w:i/>
        </w:rPr>
      </w:pPr>
    </w:p>
    <w:p w14:paraId="0EAC620E" w14:textId="77777777" w:rsidR="003E4E89" w:rsidRPr="00964919" w:rsidRDefault="000D4BA5">
      <w:pPr>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b/>
          <w:i/>
        </w:rPr>
        <w:lastRenderedPageBreak/>
        <w:t>Toda la información generada, obtenida, adquirida, transformada, administrada o en posesión de los sujetos obligados es pública y accesible de manera permanente a cualquier persona</w:t>
      </w:r>
      <w:r w:rsidRPr="00964919">
        <w:rPr>
          <w:rFonts w:ascii="Palatino Linotype" w:eastAsia="Palatino Linotype" w:hAnsi="Palatino Linotype" w:cs="Palatino Linotype"/>
          <w:i/>
        </w:rPr>
        <w:t>, en los términos y condiciones que se establezcan en los tratados internacionales de los que el Estado mexicano sea parte, en la Ley General, la presente Ley y demás disposiciones de la materia, privilegiando el principio de máxima publicidad de la información. Solo podrá ser clasificada excepcionalmente Ley de Transparencia y Acceso a la Información Pública del Estado de México y Municipios 29 como reservada temporalmente por razones de interés público, en los términos de las causas legítimas y estrictamente necesarias previstas por esta Ley.</w:t>
      </w:r>
    </w:p>
    <w:p w14:paraId="063A6AE9" w14:textId="77777777" w:rsidR="003E4E89" w:rsidRPr="00964919" w:rsidRDefault="000D4BA5">
      <w:pPr>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b/>
          <w:i/>
        </w:rPr>
        <w:t>Los sujetos obligados deben poner en práctica, políticas y programas de acceso a la información que se apeguen a criterios de publicidad, veracidad, oportunidad, precisión y suficiencia en beneficio de los solicitantes</w:t>
      </w:r>
      <w:proofErr w:type="gramStart"/>
      <w:r w:rsidRPr="00964919">
        <w:rPr>
          <w:rFonts w:ascii="Palatino Linotype" w:eastAsia="Palatino Linotype" w:hAnsi="Palatino Linotype" w:cs="Palatino Linotype"/>
          <w:i/>
        </w:rPr>
        <w:t>.”(</w:t>
      </w:r>
      <w:proofErr w:type="gramEnd"/>
      <w:r w:rsidRPr="00964919">
        <w:rPr>
          <w:rFonts w:ascii="Palatino Linotype" w:eastAsia="Palatino Linotype" w:hAnsi="Palatino Linotype" w:cs="Palatino Linotype"/>
          <w:i/>
        </w:rPr>
        <w:t>Sic)</w:t>
      </w:r>
    </w:p>
    <w:p w14:paraId="0A242C7D" w14:textId="77777777" w:rsidR="003E4E89" w:rsidRPr="00964919" w:rsidRDefault="003E4E89">
      <w:pPr>
        <w:spacing w:after="0" w:line="360" w:lineRule="auto"/>
        <w:ind w:left="709" w:right="760" w:firstLine="707"/>
        <w:jc w:val="both"/>
        <w:rPr>
          <w:rFonts w:ascii="Palatino Linotype" w:eastAsia="Palatino Linotype" w:hAnsi="Palatino Linotype" w:cs="Palatino Linotype"/>
        </w:rPr>
      </w:pPr>
    </w:p>
    <w:p w14:paraId="28CB6199" w14:textId="77777777" w:rsidR="003E4E89" w:rsidRPr="00964919" w:rsidRDefault="000D4BA5">
      <w:pPr>
        <w:spacing w:after="0"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rPr>
        <w:t>De lo anterior, se desprende que los Sujetos Obligados tienen el deber de atender las solicitudes de acceso a la información pública que se les hagan de su conocimiento y proporcionar la información pública que obre en su poder conforme el estado que se encuentra y no hacer un procesamiento de la misma, ni presentarla conforme al interés del solicitante; como así lo establece el artículo 12 de la Ley de Transparencia y Acceso a la Información Pública del Estado de México y Municipios, el cual a la letra dice:</w:t>
      </w:r>
    </w:p>
    <w:p w14:paraId="1D6BE82D" w14:textId="77777777" w:rsidR="003E4E89" w:rsidRPr="00964919" w:rsidRDefault="003E4E89">
      <w:pPr>
        <w:spacing w:after="0" w:line="360" w:lineRule="auto"/>
        <w:jc w:val="both"/>
        <w:rPr>
          <w:rFonts w:ascii="Palatino Linotype" w:eastAsia="Palatino Linotype" w:hAnsi="Palatino Linotype" w:cs="Palatino Linotype"/>
        </w:rPr>
      </w:pPr>
    </w:p>
    <w:p w14:paraId="4FB6C5A9" w14:textId="77777777" w:rsidR="003E4E89" w:rsidRPr="00964919" w:rsidRDefault="000D4BA5">
      <w:pPr>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t>“</w:t>
      </w:r>
      <w:r w:rsidRPr="00964919">
        <w:rPr>
          <w:rFonts w:ascii="Palatino Linotype" w:eastAsia="Palatino Linotype" w:hAnsi="Palatino Linotype" w:cs="Palatino Linotype"/>
          <w:b/>
          <w:i/>
        </w:rPr>
        <w:t>Artículo 12.-</w:t>
      </w:r>
      <w:r w:rsidRPr="00964919">
        <w:rPr>
          <w:rFonts w:ascii="Palatino Linotype" w:eastAsia="Palatino Linotype" w:hAnsi="Palatino Linotype" w:cs="Palatino Linotype"/>
          <w:i/>
        </w:rPr>
        <w:t xml:space="preserve"> Quienes generen, recopilen, administren, manejen, procesen, archiven o conserven información pública serán responsables de la misma en los términos de las disposiciones jurídicas aplicables. </w:t>
      </w:r>
    </w:p>
    <w:p w14:paraId="31C9D0E4" w14:textId="77777777" w:rsidR="003E4E89" w:rsidRPr="00964919" w:rsidRDefault="000D4BA5">
      <w:pPr>
        <w:spacing w:after="0" w:line="276" w:lineRule="auto"/>
        <w:ind w:left="851" w:right="616"/>
        <w:jc w:val="both"/>
        <w:rPr>
          <w:rFonts w:ascii="Palatino Linotype" w:eastAsia="Palatino Linotype" w:hAnsi="Palatino Linotype" w:cs="Palatino Linotype"/>
          <w:b/>
          <w:i/>
        </w:rPr>
      </w:pPr>
      <w:r w:rsidRPr="00964919">
        <w:rPr>
          <w:rFonts w:ascii="Palatino Linotype" w:eastAsia="Palatino Linotype" w:hAnsi="Palatino Linotype" w:cs="Palatino Linotype"/>
          <w:b/>
          <w:i/>
        </w:rPr>
        <w:t>Los sujetos obligados sólo proporcionarán la información pública que se les requiera y que obre en sus archivos y en el estado en que ésta se encuentre</w:t>
      </w:r>
      <w:r w:rsidRPr="00964919">
        <w:rPr>
          <w:rFonts w:ascii="Palatino Linotype" w:eastAsia="Palatino Linotype" w:hAnsi="Palatino Linotype" w:cs="Palatino Linotype"/>
          <w:i/>
        </w:rPr>
        <w:t xml:space="preserve">. </w:t>
      </w:r>
      <w:r w:rsidRPr="00964919">
        <w:rPr>
          <w:rFonts w:ascii="Palatino Linotype" w:eastAsia="Palatino Linotype" w:hAnsi="Palatino Linotype" w:cs="Palatino Linotype"/>
          <w:b/>
          <w:i/>
        </w:rPr>
        <w:t>La obligación de proporcionar información no comprende el procesamiento de la misma, ni el presentarla conforme al interés del solicitante; no estarán obligados a generarla, resumirla, efectuar cálculos o practicar investigaciones.” (Sic)</w:t>
      </w:r>
    </w:p>
    <w:p w14:paraId="265F9545" w14:textId="77777777" w:rsidR="003E4E89" w:rsidRPr="00964919" w:rsidRDefault="003E4E89">
      <w:pPr>
        <w:spacing w:after="0" w:line="360" w:lineRule="auto"/>
        <w:ind w:left="567" w:right="758"/>
        <w:jc w:val="both"/>
        <w:rPr>
          <w:rFonts w:ascii="Palatino Linotype" w:eastAsia="Palatino Linotype" w:hAnsi="Palatino Linotype" w:cs="Palatino Linotype"/>
        </w:rPr>
      </w:pPr>
    </w:p>
    <w:p w14:paraId="3BEE34C2" w14:textId="77777777" w:rsidR="003E4E89" w:rsidRPr="00964919" w:rsidRDefault="000D4BA5">
      <w:pPr>
        <w:spacing w:after="0"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rPr>
        <w:lastRenderedPageBreak/>
        <w:t>En esa tesitura, el artículo 24 en su último párrafo de la Ley de la Materia, dispone que los Sujetos Obligados sólo proporcionarán la información pública que generen, administren o posean en el ejercicio de sus atribuciones; por consiguiente, la información pública se encuentra a disposición de cualquier persona, lo que implica que es deber de los Sujetos Obligados, garantizar el Derecho de Acceso a la Información Pública, lo que no sucedió en el presente caso.</w:t>
      </w:r>
    </w:p>
    <w:p w14:paraId="3C6AD543" w14:textId="77777777" w:rsidR="003E4E89" w:rsidRPr="00964919" w:rsidRDefault="003E4E89">
      <w:pPr>
        <w:spacing w:after="0" w:line="360" w:lineRule="auto"/>
        <w:jc w:val="both"/>
        <w:rPr>
          <w:rFonts w:ascii="Palatino Linotype" w:eastAsia="Palatino Linotype" w:hAnsi="Palatino Linotype" w:cs="Palatino Linotype"/>
        </w:rPr>
      </w:pPr>
    </w:p>
    <w:p w14:paraId="69843C8F" w14:textId="77777777" w:rsidR="003E4E89" w:rsidRPr="00964919" w:rsidRDefault="000D4BA5">
      <w:pPr>
        <w:spacing w:after="0" w:line="360" w:lineRule="auto"/>
        <w:ind w:right="49"/>
        <w:jc w:val="both"/>
        <w:rPr>
          <w:rFonts w:ascii="Palatino Linotype" w:eastAsia="Palatino Linotype" w:hAnsi="Palatino Linotype" w:cs="Palatino Linotype"/>
        </w:rPr>
      </w:pPr>
      <w:r w:rsidRPr="00964919">
        <w:rPr>
          <w:rFonts w:ascii="Palatino Linotype" w:eastAsia="Palatino Linotype" w:hAnsi="Palatino Linotype" w:cs="Palatino Linotype"/>
        </w:rPr>
        <w:t>Siempre y cuando no se trate de información reservada o clasificada, que difundirla pondría en riesgo la seguridad jurídica y física del titular de la información, debiendo tener audacia los Sujetos Obligados para cuidar esta información a través del acuerdo clasificatorio del comité de transparencia y la versión pública que emita el servidor público habilitado de cada Sujeto Obligado; como así se establece en la Ley de Transparencia y Acceso a la Información Pública del Estado de México y Municipios.</w:t>
      </w:r>
    </w:p>
    <w:p w14:paraId="11143642" w14:textId="77777777" w:rsidR="003E4E89" w:rsidRPr="00964919" w:rsidRDefault="003E4E89">
      <w:pPr>
        <w:spacing w:after="0" w:line="360" w:lineRule="auto"/>
        <w:ind w:right="49"/>
        <w:jc w:val="both"/>
        <w:rPr>
          <w:rFonts w:ascii="Palatino Linotype" w:eastAsia="Palatino Linotype" w:hAnsi="Palatino Linotype" w:cs="Palatino Linotype"/>
        </w:rPr>
      </w:pPr>
    </w:p>
    <w:p w14:paraId="4F724290" w14:textId="77777777" w:rsidR="003E4E89" w:rsidRPr="00964919" w:rsidRDefault="000D4BA5">
      <w:pPr>
        <w:spacing w:after="0"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rPr>
        <w:t xml:space="preserve">Por otra parte, conviene mencionar que la Ley de Transparencia vigente en el Estado de México refiere: </w:t>
      </w:r>
    </w:p>
    <w:p w14:paraId="6D707E2E" w14:textId="77777777" w:rsidR="003E4E89" w:rsidRPr="00964919" w:rsidRDefault="000D4BA5">
      <w:pPr>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b/>
          <w:i/>
        </w:rPr>
        <w:t>“Artículo 18.</w:t>
      </w:r>
      <w:r w:rsidRPr="00964919">
        <w:rPr>
          <w:rFonts w:ascii="Palatino Linotype" w:eastAsia="Palatino Linotype" w:hAnsi="Palatino Linotype" w:cs="Palatino Linotype"/>
          <w:i/>
        </w:rPr>
        <w:t xml:space="preserve"> </w:t>
      </w:r>
      <w:r w:rsidRPr="00964919">
        <w:rPr>
          <w:rFonts w:ascii="Palatino Linotype" w:eastAsia="Palatino Linotype" w:hAnsi="Palatino Linotype" w:cs="Palatino Linotype"/>
          <w:b/>
          <w:i/>
          <w:u w:val="single"/>
        </w:rPr>
        <w:t>Los sujetos obligados deberán documentar todo acto que derive del ejercicio de sus facultades, competencias o funciones, considerando desde su origen la eventual publicidad</w:t>
      </w:r>
      <w:r w:rsidRPr="00964919">
        <w:rPr>
          <w:rFonts w:ascii="Palatino Linotype" w:eastAsia="Palatino Linotype" w:hAnsi="Palatino Linotype" w:cs="Palatino Linotype"/>
          <w:i/>
        </w:rPr>
        <w:t xml:space="preserve"> y reutilización de la información que generen.</w:t>
      </w:r>
    </w:p>
    <w:p w14:paraId="0FA58BD2" w14:textId="77777777" w:rsidR="003E4E89" w:rsidRPr="00964919" w:rsidRDefault="000D4BA5">
      <w:pPr>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b/>
          <w:i/>
        </w:rPr>
        <w:t xml:space="preserve">Artículo 19. </w:t>
      </w:r>
      <w:r w:rsidRPr="00964919">
        <w:rPr>
          <w:rFonts w:ascii="Palatino Linotype" w:eastAsia="Palatino Linotype" w:hAnsi="Palatino Linotype" w:cs="Palatino Linotype"/>
          <w:b/>
          <w:i/>
          <w:u w:val="single"/>
        </w:rPr>
        <w:t>Se presume que la información debe existir si se refiere a las facultades, competencias y funciones que los ordenamientos jurídicos aplicables otorgan a los sujetos obligados</w:t>
      </w:r>
      <w:r w:rsidRPr="00964919">
        <w:rPr>
          <w:rFonts w:ascii="Palatino Linotype" w:eastAsia="Palatino Linotype" w:hAnsi="Palatino Linotype" w:cs="Palatino Linotype"/>
          <w:i/>
        </w:rPr>
        <w:t>.</w:t>
      </w:r>
    </w:p>
    <w:p w14:paraId="5CF1BA59" w14:textId="77777777" w:rsidR="003E4E89" w:rsidRPr="00964919" w:rsidRDefault="000D4BA5">
      <w:pPr>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t xml:space="preserve">En los casos en que ciertas facultades, competencias o funciones no se hayan ejercido, se debe motivar la respuesta en función de las causas que motiven tal circunstancia. </w:t>
      </w:r>
    </w:p>
    <w:p w14:paraId="4086D7FA" w14:textId="77777777" w:rsidR="003E4E89" w:rsidRPr="00964919" w:rsidRDefault="000D4BA5">
      <w:pPr>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t>Si el sujeto obligado, en el ejercicio de sus atribuciones, debía generar, poseer o administrar la información, pero ésta no se encuentra, el Comité de transparencia deberá emitir un acuerdo de inexistencia, debidamente fundado y motivado, en el que detalle las razones del por qué no obra en sus archivos.”</w:t>
      </w:r>
    </w:p>
    <w:p w14:paraId="10185E07" w14:textId="77777777" w:rsidR="003E4E89" w:rsidRPr="00964919" w:rsidRDefault="003E4E89">
      <w:pPr>
        <w:spacing w:after="0" w:line="360" w:lineRule="auto"/>
        <w:jc w:val="both"/>
        <w:rPr>
          <w:rFonts w:ascii="Palatino Linotype" w:eastAsia="Palatino Linotype" w:hAnsi="Palatino Linotype" w:cs="Palatino Linotype"/>
        </w:rPr>
      </w:pPr>
    </w:p>
    <w:p w14:paraId="11DBDB9B" w14:textId="77777777" w:rsidR="003E4E89" w:rsidRPr="00964919" w:rsidRDefault="000D4BA5">
      <w:pPr>
        <w:spacing w:after="0"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rPr>
        <w:lastRenderedPageBreak/>
        <w:t>De los dispositivos legales en comento, se aprecia que todo acto de autoridad en el ejercicio de sus funciones y atribuciones debe estar documentado, por lo que para dar atención a una solicitud de información el Sujeto Obligado debe entregar el soporte documental en donde conste la información requerida, debiendo contemplar que no se trate de información reservada o confidencial, por lo que debe cuidar dicha información a través del acuerdo clasificatorio del comité de transparencia y la versión pública que emita cada Sujeto Obligado; como así se establece en la Ley de Transparencia y Acceso a la Información Pública del Estado de México y Municipios.</w:t>
      </w:r>
    </w:p>
    <w:p w14:paraId="3A849177" w14:textId="77777777" w:rsidR="003E4E89" w:rsidRPr="00964919" w:rsidRDefault="003E4E89">
      <w:pPr>
        <w:spacing w:after="0" w:line="360" w:lineRule="auto"/>
        <w:jc w:val="both"/>
        <w:rPr>
          <w:rFonts w:ascii="Palatino Linotype" w:eastAsia="Palatino Linotype" w:hAnsi="Palatino Linotype" w:cs="Palatino Linotype"/>
        </w:rPr>
      </w:pPr>
    </w:p>
    <w:p w14:paraId="0ACD5900" w14:textId="77777777" w:rsidR="003E4E89" w:rsidRPr="00964919" w:rsidRDefault="000D4BA5">
      <w:pPr>
        <w:spacing w:after="0"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rPr>
        <w:t xml:space="preserve">En conclusión, el derecho de acceso a la información pública, consiste en que la información solicitada conste en un documento en cualquiera de sus formas, a saber: expedientes, reportes, estudios, actas, resoluciones, oficios, correspondencia, acuerdos, directivas, directrices, circulares, contratos, convenios, instructivos, notas, memorandos, estadísticas o bien, cualquier otro registro que documente el ejercicio de las facultades, funciones y competencias de los Sujetos Obligados; los que, podrán estar en cualquier medio, sea escrito, impreso, sonoro, visual, electrónico, informático u holográfico de conformidad con el artículo 3, fracción XI de la Ley de la materia, el cual señala lo siguiente: </w:t>
      </w:r>
    </w:p>
    <w:p w14:paraId="02DC1584" w14:textId="77777777" w:rsidR="003E4E89" w:rsidRPr="00964919" w:rsidRDefault="003E4E89">
      <w:pPr>
        <w:spacing w:after="0" w:line="360" w:lineRule="auto"/>
        <w:jc w:val="both"/>
        <w:rPr>
          <w:rFonts w:ascii="Palatino Linotype" w:eastAsia="Palatino Linotype" w:hAnsi="Palatino Linotype" w:cs="Palatino Linotype"/>
        </w:rPr>
      </w:pPr>
    </w:p>
    <w:p w14:paraId="50322B7D" w14:textId="77777777" w:rsidR="003E4E89" w:rsidRPr="00964919" w:rsidRDefault="000D4BA5">
      <w:pPr>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t>“</w:t>
      </w:r>
      <w:r w:rsidRPr="00964919">
        <w:rPr>
          <w:rFonts w:ascii="Palatino Linotype" w:eastAsia="Palatino Linotype" w:hAnsi="Palatino Linotype" w:cs="Palatino Linotype"/>
          <w:b/>
          <w:i/>
        </w:rPr>
        <w:t xml:space="preserve">Artículo 3. </w:t>
      </w:r>
      <w:r w:rsidRPr="00964919">
        <w:rPr>
          <w:rFonts w:ascii="Palatino Linotype" w:eastAsia="Palatino Linotype" w:hAnsi="Palatino Linotype" w:cs="Palatino Linotype"/>
          <w:i/>
        </w:rPr>
        <w:t>Para los efectos de la presente Ley se entenderá por:</w:t>
      </w:r>
    </w:p>
    <w:p w14:paraId="2FBB3FA4" w14:textId="77777777" w:rsidR="003E4E89" w:rsidRPr="00964919" w:rsidRDefault="000D4BA5">
      <w:pPr>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t>…</w:t>
      </w:r>
    </w:p>
    <w:p w14:paraId="3D855045" w14:textId="77777777" w:rsidR="003E4E89" w:rsidRPr="00964919" w:rsidRDefault="000D4BA5">
      <w:pPr>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b/>
          <w:i/>
        </w:rPr>
        <w:t>XI. Documento:</w:t>
      </w:r>
      <w:r w:rsidRPr="00964919">
        <w:rPr>
          <w:rFonts w:ascii="Palatino Linotype" w:eastAsia="Palatino Linotype" w:hAnsi="Palatino Linotype" w:cs="Palatino Linotype"/>
          <w:i/>
        </w:rPr>
        <w:t xml:space="preserve"> Los expedientes, reportes, estudios, actas</w:t>
      </w:r>
      <w:r w:rsidRPr="00964919">
        <w:rPr>
          <w:rFonts w:ascii="Palatino Linotype" w:eastAsia="Palatino Linotype" w:hAnsi="Palatino Linotype" w:cs="Palatino Linotype"/>
          <w:b/>
          <w:i/>
        </w:rPr>
        <w:t>,</w:t>
      </w:r>
      <w:r w:rsidRPr="00964919">
        <w:rPr>
          <w:rFonts w:ascii="Palatino Linotype" w:eastAsia="Palatino Linotype" w:hAnsi="Palatino Linotype" w:cs="Palatino Linotype"/>
          <w:i/>
        </w:rPr>
        <w:t xml:space="preserve"> resoluciones, oficios, correspondencia, acuerdos, directivas, directrices, circulares, contratos, convenios, instructivos, notas, memorandos, estadísticas o bien, cualquier otro registro que documente el ejercicio de las facultades, funciones y competencias de los sujetos obligados, sus servidores públicos e integrantes, sin importar su fuente o fecha de elaboración. Los documentos podrán estar en cualquier medio, sea escrito, impreso, sonoro, visual, electrónico, informático u holográfico…” (Sic)</w:t>
      </w:r>
    </w:p>
    <w:p w14:paraId="3E652ACD" w14:textId="77777777" w:rsidR="003E4E89" w:rsidRPr="00964919" w:rsidRDefault="003E4E89">
      <w:pPr>
        <w:spacing w:after="0" w:line="360" w:lineRule="auto"/>
        <w:ind w:left="851" w:right="899"/>
        <w:jc w:val="both"/>
        <w:rPr>
          <w:rFonts w:ascii="Palatino Linotype" w:eastAsia="Palatino Linotype" w:hAnsi="Palatino Linotype" w:cs="Palatino Linotype"/>
        </w:rPr>
      </w:pPr>
    </w:p>
    <w:p w14:paraId="4A27DC1B" w14:textId="77777777" w:rsidR="003E4E89" w:rsidRPr="00964919" w:rsidRDefault="000D4BA5">
      <w:pPr>
        <w:spacing w:after="0"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rPr>
        <w:lastRenderedPageBreak/>
        <w:t>Siendo aplicable, el Criterio de interpretación en el orden administrativo número 0002-11, emitido por Acuerdo del Pleno del Instituto de Transparencia y Acceso a la Información Pública del Estado de México y Municipios; publicado en el Periódico Oficial del Gobierno del Estado Libre y Soberano de México “Gaceta del Gobierno”, el diecinueve de octubre de dos mil once, cuyo rubro y texto refieren lo siguiente:</w:t>
      </w:r>
    </w:p>
    <w:p w14:paraId="7633C548" w14:textId="77777777" w:rsidR="003E4E89" w:rsidRPr="00964919" w:rsidRDefault="003E4E89">
      <w:pPr>
        <w:spacing w:after="0" w:line="360" w:lineRule="auto"/>
        <w:jc w:val="both"/>
        <w:rPr>
          <w:rFonts w:ascii="Palatino Linotype" w:eastAsia="Palatino Linotype" w:hAnsi="Palatino Linotype" w:cs="Palatino Linotype"/>
        </w:rPr>
      </w:pPr>
    </w:p>
    <w:p w14:paraId="3B245451" w14:textId="77777777" w:rsidR="003E4E89" w:rsidRPr="00964919" w:rsidRDefault="000D4BA5">
      <w:pPr>
        <w:spacing w:after="0" w:line="276" w:lineRule="auto"/>
        <w:ind w:left="851" w:right="616"/>
        <w:jc w:val="both"/>
        <w:rPr>
          <w:rFonts w:ascii="Palatino Linotype" w:eastAsia="Palatino Linotype" w:hAnsi="Palatino Linotype" w:cs="Palatino Linotype"/>
          <w:b/>
          <w:i/>
        </w:rPr>
      </w:pPr>
      <w:r w:rsidRPr="00964919">
        <w:rPr>
          <w:rFonts w:ascii="Palatino Linotype" w:eastAsia="Palatino Linotype" w:hAnsi="Palatino Linotype" w:cs="Palatino Linotype"/>
          <w:b/>
        </w:rPr>
        <w:t>“</w:t>
      </w:r>
      <w:r w:rsidRPr="00964919">
        <w:rPr>
          <w:rFonts w:ascii="Palatino Linotype" w:eastAsia="Palatino Linotype" w:hAnsi="Palatino Linotype" w:cs="Palatino Linotype"/>
          <w:b/>
          <w:i/>
        </w:rPr>
        <w:t>CRITERIO 0002-11</w:t>
      </w:r>
    </w:p>
    <w:p w14:paraId="7BC37652" w14:textId="77777777" w:rsidR="003E4E89" w:rsidRPr="00964919" w:rsidRDefault="000D4BA5">
      <w:pPr>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b/>
          <w:i/>
        </w:rPr>
        <w:t>INFORMACIÓN PÚBLICA, CONCEPTO DE, EN MATERIA DE TRANSPARENCIA. INTERPRETACIÓN SISTEMÁTICA DE LOS ARTÍCULOS 2°, FRACCIÓN V, XV, Y XVI, 3°, 4°, 11 Y 41.</w:t>
      </w:r>
      <w:r w:rsidRPr="00964919">
        <w:rPr>
          <w:rFonts w:ascii="Palatino Linotype" w:eastAsia="Palatino Linotype" w:hAnsi="Palatino Linotype" w:cs="Palatino Linotype"/>
          <w:i/>
        </w:rPr>
        <w:t xml:space="preserve"> De conformidad con los artículos antes referidos, el derecho de acceso a la información pública, se define en cuanto a su alcance y resultado material, el acceso a los archivos, registros y documentos públicos, administrados, generados o en posesión de los órganos u organismos públicos, en virtud del ejercicio de sus funciones de derecho público, sin importar su fuente, soporte o fecha de elaboración.</w:t>
      </w:r>
    </w:p>
    <w:p w14:paraId="149F3242" w14:textId="77777777" w:rsidR="003E4E89" w:rsidRPr="00964919" w:rsidRDefault="000D4BA5">
      <w:pPr>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t xml:space="preserve">En </w:t>
      </w:r>
      <w:proofErr w:type="gramStart"/>
      <w:r w:rsidRPr="00964919">
        <w:rPr>
          <w:rFonts w:ascii="Palatino Linotype" w:eastAsia="Palatino Linotype" w:hAnsi="Palatino Linotype" w:cs="Palatino Linotype"/>
          <w:i/>
        </w:rPr>
        <w:t>consecuencia</w:t>
      </w:r>
      <w:proofErr w:type="gramEnd"/>
      <w:r w:rsidRPr="00964919">
        <w:rPr>
          <w:rFonts w:ascii="Palatino Linotype" w:eastAsia="Palatino Linotype" w:hAnsi="Palatino Linotype" w:cs="Palatino Linotype"/>
          <w:i/>
        </w:rPr>
        <w:t xml:space="preserve"> el acceso a la información se refiere a que se cumplan cualquiera de los siguientes tres supuestos:</w:t>
      </w:r>
    </w:p>
    <w:p w14:paraId="3A57DB3A" w14:textId="77777777" w:rsidR="003E4E89" w:rsidRPr="00964919" w:rsidRDefault="000D4BA5">
      <w:pPr>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t xml:space="preserve">1) Que se trate de información registrada en cualquier soporte documental, </w:t>
      </w:r>
      <w:proofErr w:type="gramStart"/>
      <w:r w:rsidRPr="00964919">
        <w:rPr>
          <w:rFonts w:ascii="Palatino Linotype" w:eastAsia="Palatino Linotype" w:hAnsi="Palatino Linotype" w:cs="Palatino Linotype"/>
          <w:i/>
        </w:rPr>
        <w:t>que</w:t>
      </w:r>
      <w:proofErr w:type="gramEnd"/>
      <w:r w:rsidRPr="00964919">
        <w:rPr>
          <w:rFonts w:ascii="Palatino Linotype" w:eastAsia="Palatino Linotype" w:hAnsi="Palatino Linotype" w:cs="Palatino Linotype"/>
          <w:i/>
        </w:rPr>
        <w:t xml:space="preserve"> en ejercicio de las atribuciones conferidas, sea generada por los Sujetos Obligados;</w:t>
      </w:r>
    </w:p>
    <w:p w14:paraId="57822453" w14:textId="77777777" w:rsidR="003E4E89" w:rsidRPr="00964919" w:rsidRDefault="000D4BA5">
      <w:pPr>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t xml:space="preserve">2) Que se trate de información registrada en cualquier soporte documental, </w:t>
      </w:r>
      <w:proofErr w:type="gramStart"/>
      <w:r w:rsidRPr="00964919">
        <w:rPr>
          <w:rFonts w:ascii="Palatino Linotype" w:eastAsia="Palatino Linotype" w:hAnsi="Palatino Linotype" w:cs="Palatino Linotype"/>
          <w:i/>
        </w:rPr>
        <w:t>que</w:t>
      </w:r>
      <w:proofErr w:type="gramEnd"/>
      <w:r w:rsidRPr="00964919">
        <w:rPr>
          <w:rFonts w:ascii="Palatino Linotype" w:eastAsia="Palatino Linotype" w:hAnsi="Palatino Linotype" w:cs="Palatino Linotype"/>
          <w:i/>
        </w:rPr>
        <w:t xml:space="preserve"> en ejercicio de las atribuciones conferidas, sea administrada por los Sujetos Obligados, y</w:t>
      </w:r>
    </w:p>
    <w:p w14:paraId="36B85F57" w14:textId="77777777" w:rsidR="003E4E89" w:rsidRPr="00964919" w:rsidRDefault="000D4BA5">
      <w:pPr>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t xml:space="preserve">3) Que se trate de información registrada en cualquier soporte documental, </w:t>
      </w:r>
      <w:proofErr w:type="gramStart"/>
      <w:r w:rsidRPr="00964919">
        <w:rPr>
          <w:rFonts w:ascii="Palatino Linotype" w:eastAsia="Palatino Linotype" w:hAnsi="Palatino Linotype" w:cs="Palatino Linotype"/>
          <w:i/>
        </w:rPr>
        <w:t>que</w:t>
      </w:r>
      <w:proofErr w:type="gramEnd"/>
      <w:r w:rsidRPr="00964919">
        <w:rPr>
          <w:rFonts w:ascii="Palatino Linotype" w:eastAsia="Palatino Linotype" w:hAnsi="Palatino Linotype" w:cs="Palatino Linotype"/>
          <w:i/>
        </w:rPr>
        <w:t xml:space="preserve"> en ejercicio de las atribuciones conferidas, se encuentre en posesión de los Sujetos Obligados.” </w:t>
      </w:r>
    </w:p>
    <w:p w14:paraId="5A2E689E" w14:textId="77777777" w:rsidR="003E4E89" w:rsidRPr="00964919" w:rsidRDefault="003E4E89">
      <w:pPr>
        <w:spacing w:after="0" w:line="360" w:lineRule="auto"/>
        <w:ind w:left="851" w:right="899"/>
        <w:jc w:val="both"/>
        <w:rPr>
          <w:rFonts w:ascii="Palatino Linotype" w:eastAsia="Palatino Linotype" w:hAnsi="Palatino Linotype" w:cs="Palatino Linotype"/>
        </w:rPr>
      </w:pPr>
    </w:p>
    <w:p w14:paraId="41705156" w14:textId="77777777" w:rsidR="003E4E89" w:rsidRPr="00964919" w:rsidRDefault="000D4BA5">
      <w:pPr>
        <w:spacing w:after="0"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rPr>
        <w:t xml:space="preserve">De ahí que el </w:t>
      </w:r>
      <w:r w:rsidRPr="00964919">
        <w:rPr>
          <w:rFonts w:ascii="Palatino Linotype" w:eastAsia="Palatino Linotype" w:hAnsi="Palatino Linotype" w:cs="Palatino Linotype"/>
          <w:b/>
        </w:rPr>
        <w:t>Sujeto Obligado</w:t>
      </w:r>
      <w:r w:rsidRPr="00964919">
        <w:rPr>
          <w:rFonts w:ascii="Palatino Linotype" w:eastAsia="Palatino Linotype" w:hAnsi="Palatino Linotype" w:cs="Palatino Linotype"/>
        </w:rPr>
        <w:t xml:space="preserve"> cuenta con el deber de satisfacer las solicitudes de acceso a la información que le sean formuladas y entregar la información pública que obre en sus archivos pudiendo ser de manera electrónica; más aún si la misma se trata de información relativa a obligaciones de transparencia, la cual se relaciona con aquella que se genere de </w:t>
      </w:r>
      <w:r w:rsidRPr="00964919">
        <w:rPr>
          <w:rFonts w:ascii="Palatino Linotype" w:eastAsia="Palatino Linotype" w:hAnsi="Palatino Linotype" w:cs="Palatino Linotype"/>
        </w:rPr>
        <w:lastRenderedPageBreak/>
        <w:t>acuerdo con sus facultades, atribuciones y obligaciones señaladas por la Ley en la materia</w:t>
      </w:r>
      <w:r w:rsidRPr="00964919">
        <w:rPr>
          <w:rFonts w:ascii="Palatino Linotype" w:eastAsia="Palatino Linotype" w:hAnsi="Palatino Linotype" w:cs="Palatino Linotype"/>
          <w:vertAlign w:val="superscript"/>
        </w:rPr>
        <w:footnoteReference w:id="1"/>
      </w:r>
      <w:r w:rsidRPr="00964919">
        <w:rPr>
          <w:rFonts w:ascii="Palatino Linotype" w:eastAsia="Palatino Linotype" w:hAnsi="Palatino Linotype" w:cs="Palatino Linotype"/>
        </w:rPr>
        <w:t>, así como de interés público, es decir, aquella que resulta relevante o beneficiosa para la sociedad y no simplemente de interés individual, y cuya divulgación resulta útil para que el público comprenda las actividades que llevan a cabo los Sujetos Obligados</w:t>
      </w:r>
      <w:r w:rsidRPr="00964919">
        <w:rPr>
          <w:rFonts w:ascii="Palatino Linotype" w:eastAsia="Palatino Linotype" w:hAnsi="Palatino Linotype" w:cs="Palatino Linotype"/>
          <w:vertAlign w:val="superscript"/>
        </w:rPr>
        <w:footnoteReference w:id="2"/>
      </w:r>
      <w:r w:rsidRPr="00964919">
        <w:rPr>
          <w:rFonts w:ascii="Palatino Linotype" w:eastAsia="Palatino Linotype" w:hAnsi="Palatino Linotype" w:cs="Palatino Linotype"/>
        </w:rPr>
        <w:t>, como pudiera tratarse de aquella relacionada con las obligaciones de transparencia señalada en los artículo 92 de la Ley de la Materia.</w:t>
      </w:r>
    </w:p>
    <w:p w14:paraId="0CED2537" w14:textId="77777777" w:rsidR="003E4E89" w:rsidRPr="00964919" w:rsidRDefault="003E4E89">
      <w:pPr>
        <w:spacing w:after="0" w:line="360" w:lineRule="auto"/>
        <w:jc w:val="both"/>
        <w:rPr>
          <w:rFonts w:ascii="Palatino Linotype" w:eastAsia="Palatino Linotype" w:hAnsi="Palatino Linotype" w:cs="Palatino Linotype"/>
        </w:rPr>
      </w:pPr>
    </w:p>
    <w:p w14:paraId="00B961B6" w14:textId="77777777" w:rsidR="003E4E89" w:rsidRPr="00964919" w:rsidRDefault="000D4BA5">
      <w:pPr>
        <w:spacing w:after="0"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rPr>
        <w:t xml:space="preserve">En este sentido, cabe reiterar que la persona solicitante requirió al </w:t>
      </w:r>
      <w:r w:rsidRPr="00964919">
        <w:rPr>
          <w:rFonts w:ascii="Palatino Linotype" w:eastAsia="Palatino Linotype" w:hAnsi="Palatino Linotype" w:cs="Palatino Linotype"/>
          <w:b/>
        </w:rPr>
        <w:t xml:space="preserve">Sujeto Obligado, </w:t>
      </w:r>
      <w:r w:rsidRPr="00964919">
        <w:rPr>
          <w:rFonts w:ascii="Palatino Linotype" w:eastAsia="Palatino Linotype" w:hAnsi="Palatino Linotype" w:cs="Palatino Linotype"/>
        </w:rPr>
        <w:t xml:space="preserve">lo siguiente: </w:t>
      </w:r>
    </w:p>
    <w:p w14:paraId="62E63578" w14:textId="77777777" w:rsidR="003E4E89" w:rsidRPr="00964919" w:rsidRDefault="003E4E89">
      <w:pPr>
        <w:spacing w:after="0" w:line="360" w:lineRule="auto"/>
        <w:jc w:val="both"/>
        <w:rPr>
          <w:rFonts w:ascii="Palatino Linotype" w:eastAsia="Palatino Linotype" w:hAnsi="Palatino Linotype" w:cs="Palatino Linotype"/>
        </w:rPr>
      </w:pPr>
    </w:p>
    <w:p w14:paraId="349E18D5" w14:textId="77777777" w:rsidR="003E4E89" w:rsidRPr="00964919" w:rsidRDefault="000D4BA5">
      <w:pPr>
        <w:numPr>
          <w:ilvl w:val="0"/>
          <w:numId w:val="2"/>
        </w:numPr>
        <w:pBdr>
          <w:top w:val="nil"/>
          <w:left w:val="nil"/>
          <w:bottom w:val="nil"/>
          <w:right w:val="nil"/>
          <w:between w:val="nil"/>
        </w:pBdr>
        <w:spacing w:after="0" w:line="360" w:lineRule="auto"/>
        <w:jc w:val="both"/>
        <w:rPr>
          <w:rFonts w:ascii="Palatino Linotype" w:eastAsia="Palatino Linotype" w:hAnsi="Palatino Linotype" w:cs="Palatino Linotype"/>
          <w:color w:val="000000"/>
        </w:rPr>
      </w:pPr>
      <w:r w:rsidRPr="00964919">
        <w:rPr>
          <w:rFonts w:ascii="Palatino Linotype" w:eastAsia="Palatino Linotype" w:hAnsi="Palatino Linotype" w:cs="Palatino Linotype"/>
          <w:color w:val="000000"/>
        </w:rPr>
        <w:t>De la adquisición de despensas, durante la administración 2022-2024:</w:t>
      </w:r>
    </w:p>
    <w:p w14:paraId="302B7953" w14:textId="77777777" w:rsidR="003E4E89" w:rsidRPr="00964919" w:rsidRDefault="000D4BA5">
      <w:pPr>
        <w:numPr>
          <w:ilvl w:val="0"/>
          <w:numId w:val="7"/>
        </w:numPr>
        <w:pBdr>
          <w:top w:val="nil"/>
          <w:left w:val="nil"/>
          <w:bottom w:val="nil"/>
          <w:right w:val="nil"/>
          <w:between w:val="nil"/>
        </w:pBdr>
        <w:spacing w:after="0" w:line="360" w:lineRule="auto"/>
        <w:jc w:val="both"/>
        <w:rPr>
          <w:rFonts w:ascii="Palatino Linotype" w:eastAsia="Palatino Linotype" w:hAnsi="Palatino Linotype" w:cs="Palatino Linotype"/>
          <w:color w:val="000000"/>
        </w:rPr>
      </w:pPr>
      <w:r w:rsidRPr="00964919">
        <w:rPr>
          <w:rFonts w:ascii="Palatino Linotype" w:eastAsia="Palatino Linotype" w:hAnsi="Palatino Linotype" w:cs="Palatino Linotype"/>
          <w:color w:val="000000"/>
        </w:rPr>
        <w:t>El monto del gasto ejercido</w:t>
      </w:r>
    </w:p>
    <w:p w14:paraId="0EDA25BE" w14:textId="77777777" w:rsidR="003E4E89" w:rsidRPr="00964919" w:rsidRDefault="000D4BA5">
      <w:pPr>
        <w:numPr>
          <w:ilvl w:val="0"/>
          <w:numId w:val="7"/>
        </w:numPr>
        <w:pBdr>
          <w:top w:val="nil"/>
          <w:left w:val="nil"/>
          <w:bottom w:val="nil"/>
          <w:right w:val="nil"/>
          <w:between w:val="nil"/>
        </w:pBdr>
        <w:spacing w:after="0" w:line="360" w:lineRule="auto"/>
        <w:jc w:val="both"/>
        <w:rPr>
          <w:rFonts w:ascii="Palatino Linotype" w:eastAsia="Palatino Linotype" w:hAnsi="Palatino Linotype" w:cs="Palatino Linotype"/>
          <w:color w:val="000000"/>
        </w:rPr>
      </w:pPr>
      <w:r w:rsidRPr="00964919">
        <w:rPr>
          <w:rFonts w:ascii="Palatino Linotype" w:eastAsia="Palatino Linotype" w:hAnsi="Palatino Linotype" w:cs="Palatino Linotype"/>
          <w:color w:val="000000"/>
        </w:rPr>
        <w:t>Pólizas de egresos,</w:t>
      </w:r>
    </w:p>
    <w:p w14:paraId="61E6B387" w14:textId="77777777" w:rsidR="003E4E89" w:rsidRPr="00964919" w:rsidRDefault="000D4BA5">
      <w:pPr>
        <w:numPr>
          <w:ilvl w:val="0"/>
          <w:numId w:val="7"/>
        </w:numPr>
        <w:pBdr>
          <w:top w:val="nil"/>
          <w:left w:val="nil"/>
          <w:bottom w:val="nil"/>
          <w:right w:val="nil"/>
          <w:between w:val="nil"/>
        </w:pBdr>
        <w:spacing w:after="0" w:line="360" w:lineRule="auto"/>
        <w:jc w:val="both"/>
        <w:rPr>
          <w:rFonts w:ascii="Palatino Linotype" w:eastAsia="Palatino Linotype" w:hAnsi="Palatino Linotype" w:cs="Palatino Linotype"/>
          <w:color w:val="000000"/>
        </w:rPr>
      </w:pPr>
      <w:r w:rsidRPr="00964919">
        <w:rPr>
          <w:rFonts w:ascii="Palatino Linotype" w:eastAsia="Palatino Linotype" w:hAnsi="Palatino Linotype" w:cs="Palatino Linotype"/>
          <w:color w:val="000000"/>
        </w:rPr>
        <w:t xml:space="preserve">Facturas y respaldos del mismo. </w:t>
      </w:r>
    </w:p>
    <w:p w14:paraId="6A822326" w14:textId="77777777" w:rsidR="003E4E89" w:rsidRPr="00964919" w:rsidRDefault="003E4E89">
      <w:pPr>
        <w:pBdr>
          <w:top w:val="nil"/>
          <w:left w:val="nil"/>
          <w:bottom w:val="nil"/>
          <w:right w:val="nil"/>
          <w:between w:val="nil"/>
        </w:pBdr>
        <w:spacing w:after="0" w:line="360" w:lineRule="auto"/>
        <w:ind w:left="720"/>
        <w:jc w:val="both"/>
        <w:rPr>
          <w:rFonts w:ascii="Palatino Linotype" w:eastAsia="Palatino Linotype" w:hAnsi="Palatino Linotype" w:cs="Palatino Linotype"/>
          <w:color w:val="000000"/>
        </w:rPr>
      </w:pPr>
    </w:p>
    <w:p w14:paraId="1D8B523B" w14:textId="77777777" w:rsidR="003E4E89" w:rsidRPr="00964919" w:rsidRDefault="000D4BA5">
      <w:pPr>
        <w:spacing w:after="0"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rPr>
        <w:t xml:space="preserve">En respuesta, la Tesorera Municipal informó el cambio de modalidad de entrega de la información a consulta directa, haciendo entrega del Acta de la Octogésima Quinta Sesión Ordinaria del Comité de Transparencia del Ayuntamiento de Temamatla, de fecha veinticuatro de octubre de dos mil veinticuatro, en la que se aprueba por unanimidad de votos de los integrantes del Comité de Transparencia, mediante Acuerdo número ACT/TEMA/UTAIP/ORDINARIA/85/2024/TERCERO, el cambio de modalidad, derivado a </w:t>
      </w:r>
      <w:r w:rsidRPr="00964919">
        <w:rPr>
          <w:rFonts w:ascii="Palatino Linotype" w:eastAsia="Palatino Linotype" w:hAnsi="Palatino Linotype" w:cs="Palatino Linotype"/>
        </w:rPr>
        <w:lastRenderedPageBreak/>
        <w:t>la carga de trabajo de las áreas, la falta de capacidad técnica, humana, material y las más de 1,185 solicitudes que llegaron a las distintas áreas</w:t>
      </w:r>
    </w:p>
    <w:p w14:paraId="04DE6AB8" w14:textId="77777777" w:rsidR="003E4E89" w:rsidRPr="00964919" w:rsidRDefault="000D4BA5">
      <w:pPr>
        <w:spacing w:before="240" w:after="240" w:line="360" w:lineRule="auto"/>
        <w:ind w:right="49"/>
        <w:jc w:val="both"/>
        <w:rPr>
          <w:rFonts w:ascii="Palatino Linotype" w:eastAsia="Palatino Linotype" w:hAnsi="Palatino Linotype" w:cs="Palatino Linotype"/>
        </w:rPr>
      </w:pPr>
      <w:r w:rsidRPr="00964919">
        <w:rPr>
          <w:rFonts w:ascii="Palatino Linotype" w:eastAsia="Palatino Linotype" w:hAnsi="Palatino Linotype" w:cs="Palatino Linotype"/>
        </w:rPr>
        <w:t xml:space="preserve">Derivado de ello, la parte </w:t>
      </w:r>
      <w:r w:rsidRPr="00964919">
        <w:rPr>
          <w:rFonts w:ascii="Palatino Linotype" w:eastAsia="Palatino Linotype" w:hAnsi="Palatino Linotype" w:cs="Palatino Linotype"/>
          <w:b/>
        </w:rPr>
        <w:t>Recurrente</w:t>
      </w:r>
      <w:r w:rsidRPr="00964919">
        <w:rPr>
          <w:rFonts w:ascii="Palatino Linotype" w:eastAsia="Palatino Linotype" w:hAnsi="Palatino Linotype" w:cs="Palatino Linotype"/>
        </w:rPr>
        <w:t xml:space="preserve"> interpuso el recurso de revisión que se analiza en el presente asunto, por medio del cual se inconformó medularmente del cambio de modalidad, solicitando que la entrega de la información sea a través del sistema. </w:t>
      </w:r>
    </w:p>
    <w:p w14:paraId="63B0BAAE" w14:textId="77777777" w:rsidR="003E4E89" w:rsidRPr="00964919" w:rsidRDefault="000D4BA5">
      <w:pPr>
        <w:spacing w:before="240" w:after="240" w:line="360" w:lineRule="auto"/>
        <w:ind w:right="49"/>
        <w:jc w:val="both"/>
        <w:rPr>
          <w:rFonts w:ascii="Palatino Linotype" w:eastAsia="Palatino Linotype" w:hAnsi="Palatino Linotype" w:cs="Palatino Linotype"/>
        </w:rPr>
      </w:pPr>
      <w:r w:rsidRPr="00964919">
        <w:rPr>
          <w:rFonts w:ascii="Palatino Linotype" w:eastAsia="Palatino Linotype" w:hAnsi="Palatino Linotype" w:cs="Palatino Linotype"/>
        </w:rPr>
        <w:t xml:space="preserve">De este modo, el </w:t>
      </w:r>
      <w:r w:rsidRPr="00964919">
        <w:rPr>
          <w:rFonts w:ascii="Palatino Linotype" w:eastAsia="Palatino Linotype" w:hAnsi="Palatino Linotype" w:cs="Palatino Linotype"/>
          <w:b/>
        </w:rPr>
        <w:t>Sujeto Obligado</w:t>
      </w:r>
      <w:r w:rsidRPr="00964919">
        <w:rPr>
          <w:rFonts w:ascii="Palatino Linotype" w:eastAsia="Palatino Linotype" w:hAnsi="Palatino Linotype" w:cs="Palatino Linotype"/>
        </w:rPr>
        <w:t xml:space="preserve">, fue omiso en rendir Informe Justificado; mientras que el </w:t>
      </w:r>
      <w:r w:rsidRPr="00964919">
        <w:rPr>
          <w:rFonts w:ascii="Palatino Linotype" w:eastAsia="Palatino Linotype" w:hAnsi="Palatino Linotype" w:cs="Palatino Linotype"/>
          <w:b/>
        </w:rPr>
        <w:t>Recurrente</w:t>
      </w:r>
      <w:r w:rsidRPr="00964919">
        <w:rPr>
          <w:rFonts w:ascii="Palatino Linotype" w:eastAsia="Palatino Linotype" w:hAnsi="Palatino Linotype" w:cs="Palatino Linotype"/>
        </w:rPr>
        <w:t xml:space="preserve"> no realizó manifestaciones, alegatos o pruebas que a su derecho convinieran. </w:t>
      </w:r>
    </w:p>
    <w:p w14:paraId="0DF69B00" w14:textId="77777777" w:rsidR="003E4E89" w:rsidRPr="00964919" w:rsidRDefault="000D4BA5">
      <w:pPr>
        <w:spacing w:after="0"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rPr>
        <w:t xml:space="preserve">Expuesto lo anterior, conviene señalar que el artículo 44 del Bando Municipal del Ayuntamiento de Temamatla, precisa que el </w:t>
      </w:r>
      <w:r w:rsidRPr="00964919">
        <w:rPr>
          <w:rFonts w:ascii="Palatino Linotype" w:eastAsia="Palatino Linotype" w:hAnsi="Palatino Linotype" w:cs="Palatino Linotype"/>
          <w:b/>
        </w:rPr>
        <w:t>Sujeto Obligado</w:t>
      </w:r>
      <w:r w:rsidRPr="00964919">
        <w:rPr>
          <w:rFonts w:ascii="Palatino Linotype" w:eastAsia="Palatino Linotype" w:hAnsi="Palatino Linotype" w:cs="Palatino Linotype"/>
        </w:rPr>
        <w:t xml:space="preserve"> contará con una Tesorería Municipal para el despacho, estudio y planeación de los diversos asuntos de la Administración Municipal. </w:t>
      </w:r>
    </w:p>
    <w:p w14:paraId="48A51728" w14:textId="77777777" w:rsidR="003E4E89" w:rsidRPr="00964919" w:rsidRDefault="003E4E89">
      <w:pPr>
        <w:tabs>
          <w:tab w:val="left" w:pos="4962"/>
        </w:tabs>
        <w:spacing w:after="0" w:line="360" w:lineRule="auto"/>
        <w:ind w:right="-28"/>
        <w:jc w:val="both"/>
        <w:rPr>
          <w:rFonts w:ascii="Palatino Linotype" w:eastAsia="Palatino Linotype" w:hAnsi="Palatino Linotype" w:cs="Palatino Linotype"/>
        </w:rPr>
      </w:pPr>
    </w:p>
    <w:p w14:paraId="0076304D" w14:textId="77777777" w:rsidR="003E4E89" w:rsidRPr="00964919" w:rsidRDefault="000D4BA5">
      <w:pPr>
        <w:tabs>
          <w:tab w:val="left" w:pos="4962"/>
        </w:tabs>
        <w:spacing w:after="0" w:line="360" w:lineRule="auto"/>
        <w:ind w:right="-28"/>
        <w:jc w:val="both"/>
        <w:rPr>
          <w:rFonts w:ascii="Palatino Linotype" w:eastAsia="Palatino Linotype" w:hAnsi="Palatino Linotype" w:cs="Palatino Linotype"/>
        </w:rPr>
      </w:pPr>
      <w:r w:rsidRPr="00964919">
        <w:rPr>
          <w:rFonts w:ascii="Palatino Linotype" w:eastAsia="Palatino Linotype" w:hAnsi="Palatino Linotype" w:cs="Palatino Linotype"/>
        </w:rPr>
        <w:t xml:space="preserve">Asimismo, señala en sus artículos 57 y 58 que, la Tesorería Municipal es responsable de realizar las erogaciones que haga el Ayuntamiento, aplicando las disposiciones financieras, de disciplina y de contabilidad del gasto público inherentes a su encargo, acorde a la legislación aplicable y vigente. </w:t>
      </w:r>
    </w:p>
    <w:p w14:paraId="5127BA7C" w14:textId="77777777" w:rsidR="003E4E89" w:rsidRPr="00964919" w:rsidRDefault="003E4E89">
      <w:pPr>
        <w:tabs>
          <w:tab w:val="left" w:pos="4962"/>
        </w:tabs>
        <w:spacing w:after="0" w:line="360" w:lineRule="auto"/>
        <w:ind w:right="-28"/>
        <w:jc w:val="both"/>
        <w:rPr>
          <w:rFonts w:ascii="Palatino Linotype" w:eastAsia="Palatino Linotype" w:hAnsi="Palatino Linotype" w:cs="Palatino Linotype"/>
        </w:rPr>
      </w:pPr>
    </w:p>
    <w:p w14:paraId="7C2A0FF2" w14:textId="77777777" w:rsidR="003E4E89" w:rsidRPr="00964919" w:rsidRDefault="000D4BA5">
      <w:pPr>
        <w:tabs>
          <w:tab w:val="left" w:pos="4962"/>
        </w:tabs>
        <w:spacing w:after="0" w:line="360" w:lineRule="auto"/>
        <w:ind w:right="-28"/>
        <w:jc w:val="both"/>
        <w:rPr>
          <w:rFonts w:ascii="Palatino Linotype" w:eastAsia="Palatino Linotype" w:hAnsi="Palatino Linotype" w:cs="Palatino Linotype"/>
        </w:rPr>
      </w:pPr>
      <w:r w:rsidRPr="00964919">
        <w:rPr>
          <w:rFonts w:ascii="Palatino Linotype" w:eastAsia="Palatino Linotype" w:hAnsi="Palatino Linotype" w:cs="Palatino Linotype"/>
        </w:rPr>
        <w:t xml:space="preserve">Del mismo modo, el Manual de Organización de la Tesorería Municipal señala que tiene como objetivo obtener, administrar y erogar los recursos públicos, con la finalidad de mantener unas finanzas públicas sanas, y como funciones las siguientes: </w:t>
      </w:r>
    </w:p>
    <w:p w14:paraId="74B2A79A" w14:textId="77777777" w:rsidR="003E4E89" w:rsidRPr="00964919" w:rsidRDefault="003E4E89">
      <w:pPr>
        <w:tabs>
          <w:tab w:val="left" w:pos="4962"/>
        </w:tabs>
        <w:spacing w:after="0" w:line="360" w:lineRule="auto"/>
        <w:ind w:right="-28"/>
        <w:jc w:val="both"/>
        <w:rPr>
          <w:rFonts w:ascii="Palatino Linotype" w:eastAsia="Palatino Linotype" w:hAnsi="Palatino Linotype" w:cs="Palatino Linotype"/>
        </w:rPr>
      </w:pPr>
    </w:p>
    <w:p w14:paraId="04D4C658" w14:textId="77777777" w:rsidR="003E4E89" w:rsidRPr="00964919" w:rsidRDefault="000D4BA5">
      <w:pPr>
        <w:tabs>
          <w:tab w:val="left" w:pos="4962"/>
        </w:tabs>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t>“</w:t>
      </w:r>
      <w:r w:rsidRPr="00964919">
        <w:rPr>
          <w:rFonts w:ascii="Palatino Linotype" w:eastAsia="Palatino Linotype" w:hAnsi="Palatino Linotype" w:cs="Palatino Linotype"/>
          <w:b/>
          <w:i/>
        </w:rPr>
        <w:t>Funciones:</w:t>
      </w:r>
      <w:r w:rsidRPr="00964919">
        <w:rPr>
          <w:rFonts w:ascii="Palatino Linotype" w:eastAsia="Palatino Linotype" w:hAnsi="Palatino Linotype" w:cs="Palatino Linotype"/>
          <w:i/>
        </w:rPr>
        <w:t xml:space="preserve"> </w:t>
      </w:r>
    </w:p>
    <w:p w14:paraId="71C9DA22" w14:textId="77777777" w:rsidR="003E4E89" w:rsidRPr="00964919" w:rsidRDefault="000D4BA5">
      <w:pPr>
        <w:tabs>
          <w:tab w:val="left" w:pos="4962"/>
        </w:tabs>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t>- Administrar la hacienda pública</w:t>
      </w:r>
    </w:p>
    <w:p w14:paraId="67C24515" w14:textId="77777777" w:rsidR="003E4E89" w:rsidRPr="00964919" w:rsidRDefault="000D4BA5">
      <w:pPr>
        <w:tabs>
          <w:tab w:val="left" w:pos="4962"/>
        </w:tabs>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t>- Supervisar de recaudación (cortes de caja diarios)</w:t>
      </w:r>
    </w:p>
    <w:p w14:paraId="22E124DA" w14:textId="77777777" w:rsidR="003E4E89" w:rsidRPr="00964919" w:rsidRDefault="000D4BA5">
      <w:pPr>
        <w:tabs>
          <w:tab w:val="left" w:pos="4962"/>
        </w:tabs>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t>- Custodiar la recaudación</w:t>
      </w:r>
    </w:p>
    <w:p w14:paraId="324F7A17" w14:textId="77777777" w:rsidR="003E4E89" w:rsidRPr="00964919" w:rsidRDefault="000D4BA5">
      <w:pPr>
        <w:tabs>
          <w:tab w:val="left" w:pos="4962"/>
        </w:tabs>
        <w:spacing w:after="0" w:line="276" w:lineRule="auto"/>
        <w:ind w:left="851" w:right="616"/>
        <w:jc w:val="both"/>
        <w:rPr>
          <w:rFonts w:ascii="Palatino Linotype" w:eastAsia="Palatino Linotype" w:hAnsi="Palatino Linotype" w:cs="Palatino Linotype"/>
          <w:b/>
          <w:i/>
        </w:rPr>
      </w:pPr>
      <w:r w:rsidRPr="00964919">
        <w:rPr>
          <w:rFonts w:ascii="Palatino Linotype" w:eastAsia="Palatino Linotype" w:hAnsi="Palatino Linotype" w:cs="Palatino Linotype"/>
          <w:i/>
        </w:rPr>
        <w:t>- Supervisar la integración de informes trimestrales al OSFEM</w:t>
      </w:r>
    </w:p>
    <w:p w14:paraId="2E0B955B" w14:textId="77777777" w:rsidR="003E4E89" w:rsidRPr="00964919" w:rsidRDefault="000D4BA5">
      <w:pPr>
        <w:tabs>
          <w:tab w:val="left" w:pos="4962"/>
        </w:tabs>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lastRenderedPageBreak/>
        <w:t>- Solventar las observaciones a diferentes instancias gubernamentales</w:t>
      </w:r>
    </w:p>
    <w:p w14:paraId="0D6D851A" w14:textId="77777777" w:rsidR="003E4E89" w:rsidRPr="00964919" w:rsidRDefault="000D4BA5">
      <w:pPr>
        <w:tabs>
          <w:tab w:val="left" w:pos="4962"/>
        </w:tabs>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t>- Administrar y dar seguimiento a los ingresos etiquetados</w:t>
      </w:r>
    </w:p>
    <w:p w14:paraId="3D97DD09" w14:textId="77777777" w:rsidR="003E4E89" w:rsidRPr="00964919" w:rsidRDefault="000D4BA5">
      <w:pPr>
        <w:tabs>
          <w:tab w:val="left" w:pos="4962"/>
        </w:tabs>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t>- Aplicar y dar seguimiento a los procedimientos administrativos de ejecución</w:t>
      </w:r>
    </w:p>
    <w:p w14:paraId="06076AA7" w14:textId="77777777" w:rsidR="003E4E89" w:rsidRPr="00964919" w:rsidRDefault="000D4BA5">
      <w:pPr>
        <w:tabs>
          <w:tab w:val="left" w:pos="4962"/>
        </w:tabs>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t xml:space="preserve">- </w:t>
      </w:r>
      <w:r w:rsidRPr="00964919">
        <w:rPr>
          <w:rFonts w:ascii="Palatino Linotype" w:eastAsia="Palatino Linotype" w:hAnsi="Palatino Linotype" w:cs="Palatino Linotype"/>
          <w:b/>
          <w:i/>
        </w:rPr>
        <w:t>Controlar y dar seguimiento a registros contables</w:t>
      </w:r>
    </w:p>
    <w:p w14:paraId="65934DFA" w14:textId="77777777" w:rsidR="003E4E89" w:rsidRPr="00964919" w:rsidRDefault="000D4BA5">
      <w:pPr>
        <w:tabs>
          <w:tab w:val="left" w:pos="4962"/>
        </w:tabs>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t>- Elaborar y entregar diversos informes a diferentes instancias para su revisión</w:t>
      </w:r>
    </w:p>
    <w:p w14:paraId="5F234A55" w14:textId="77777777" w:rsidR="003E4E89" w:rsidRPr="00964919" w:rsidRDefault="000D4BA5">
      <w:pPr>
        <w:tabs>
          <w:tab w:val="left" w:pos="4962"/>
        </w:tabs>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t>- Elaborar los informes especiales según corresponda</w:t>
      </w:r>
    </w:p>
    <w:p w14:paraId="67E788E6" w14:textId="77777777" w:rsidR="003E4E89" w:rsidRPr="00964919" w:rsidRDefault="000D4BA5">
      <w:pPr>
        <w:tabs>
          <w:tab w:val="left" w:pos="4962"/>
        </w:tabs>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t>- Integrar el presupuesto</w:t>
      </w:r>
    </w:p>
    <w:p w14:paraId="387BE095" w14:textId="77777777" w:rsidR="003E4E89" w:rsidRPr="00964919" w:rsidRDefault="000D4BA5">
      <w:pPr>
        <w:tabs>
          <w:tab w:val="left" w:pos="4962"/>
        </w:tabs>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t xml:space="preserve">- </w:t>
      </w:r>
      <w:proofErr w:type="spellStart"/>
      <w:r w:rsidRPr="00964919">
        <w:rPr>
          <w:rFonts w:ascii="Palatino Linotype" w:eastAsia="Palatino Linotype" w:hAnsi="Palatino Linotype" w:cs="Palatino Linotype"/>
          <w:i/>
        </w:rPr>
        <w:t>Recepcionar</w:t>
      </w:r>
      <w:proofErr w:type="spellEnd"/>
      <w:r w:rsidRPr="00964919">
        <w:rPr>
          <w:rFonts w:ascii="Palatino Linotype" w:eastAsia="Palatino Linotype" w:hAnsi="Palatino Linotype" w:cs="Palatino Linotype"/>
          <w:i/>
        </w:rPr>
        <w:t xml:space="preserve"> oficios</w:t>
      </w:r>
    </w:p>
    <w:p w14:paraId="036385BB" w14:textId="77777777" w:rsidR="003E4E89" w:rsidRPr="00964919" w:rsidRDefault="000D4BA5">
      <w:pPr>
        <w:tabs>
          <w:tab w:val="left" w:pos="4962"/>
        </w:tabs>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t>- Contestar oficios</w:t>
      </w:r>
    </w:p>
    <w:p w14:paraId="1C0E02FE" w14:textId="77777777" w:rsidR="003E4E89" w:rsidRPr="00964919" w:rsidRDefault="000D4BA5">
      <w:pPr>
        <w:tabs>
          <w:tab w:val="left" w:pos="4962"/>
        </w:tabs>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t xml:space="preserve">- </w:t>
      </w:r>
      <w:r w:rsidRPr="00964919">
        <w:rPr>
          <w:rFonts w:ascii="Palatino Linotype" w:eastAsia="Palatino Linotype" w:hAnsi="Palatino Linotype" w:cs="Palatino Linotype"/>
          <w:b/>
          <w:i/>
        </w:rPr>
        <w:t>Realizar pago de facturas</w:t>
      </w:r>
      <w:r w:rsidRPr="00964919">
        <w:rPr>
          <w:rFonts w:ascii="Palatino Linotype" w:eastAsia="Palatino Linotype" w:hAnsi="Palatino Linotype" w:cs="Palatino Linotype"/>
          <w:i/>
        </w:rPr>
        <w:t>”</w:t>
      </w:r>
    </w:p>
    <w:p w14:paraId="60959C9E" w14:textId="77777777" w:rsidR="003E4E89" w:rsidRPr="00964919" w:rsidRDefault="000D4BA5">
      <w:pPr>
        <w:tabs>
          <w:tab w:val="left" w:pos="4962"/>
        </w:tabs>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t>(Énfasis Añadido)</w:t>
      </w:r>
    </w:p>
    <w:p w14:paraId="66A64B23" w14:textId="77777777" w:rsidR="003E4E89" w:rsidRPr="00964919" w:rsidRDefault="003E4E89">
      <w:pPr>
        <w:tabs>
          <w:tab w:val="left" w:pos="4962"/>
        </w:tabs>
        <w:spacing w:after="0" w:line="360" w:lineRule="auto"/>
        <w:ind w:right="-28"/>
        <w:jc w:val="both"/>
        <w:rPr>
          <w:rFonts w:ascii="Palatino Linotype" w:eastAsia="Palatino Linotype" w:hAnsi="Palatino Linotype" w:cs="Palatino Linotype"/>
        </w:rPr>
      </w:pPr>
    </w:p>
    <w:p w14:paraId="149D7394" w14:textId="77777777" w:rsidR="003E4E89" w:rsidRPr="00964919" w:rsidRDefault="000D4BA5">
      <w:pPr>
        <w:spacing w:after="0" w:line="360" w:lineRule="auto"/>
        <w:jc w:val="both"/>
        <w:rPr>
          <w:rFonts w:ascii="Palatino Linotype" w:eastAsia="Palatino Linotype" w:hAnsi="Palatino Linotype" w:cs="Palatino Linotype"/>
        </w:rPr>
      </w:pPr>
      <w:bookmarkStart w:id="2" w:name="_heading=h.2et92p0" w:colFirst="0" w:colLast="0"/>
      <w:bookmarkEnd w:id="2"/>
      <w:r w:rsidRPr="00964919">
        <w:rPr>
          <w:rFonts w:ascii="Palatino Linotype" w:eastAsia="Palatino Linotype" w:hAnsi="Palatino Linotype" w:cs="Palatino Linotype"/>
        </w:rPr>
        <w:t xml:space="preserve">Por lo anteriormente expuesto, y de la revisión a las constancias que obran en el expediente electrónico, se logra advertir que el </w:t>
      </w:r>
      <w:r w:rsidRPr="00964919">
        <w:rPr>
          <w:rFonts w:ascii="Palatino Linotype" w:eastAsia="Palatino Linotype" w:hAnsi="Palatino Linotype" w:cs="Palatino Linotype"/>
          <w:b/>
        </w:rPr>
        <w:t>Sujeto Obligado</w:t>
      </w:r>
      <w:r w:rsidRPr="00964919">
        <w:rPr>
          <w:rFonts w:ascii="Palatino Linotype" w:eastAsia="Palatino Linotype" w:hAnsi="Palatino Linotype" w:cs="Palatino Linotype"/>
        </w:rPr>
        <w:t xml:space="preserve"> turnó la solicitud de información a la Tesorería Municipal, por lo que, es necesario hacer referencia al procedimiento de búsqueda que deben de seguir los Sujetos Obligados para localizar la información, el cual se encuentra previsto en los artículos 160 y 162 de la Ley de Transparencia y Acceso a la Información Pública del Estado de México y Municipios, mismo que es el siguiente:</w:t>
      </w:r>
    </w:p>
    <w:p w14:paraId="7767C3E3" w14:textId="77777777" w:rsidR="003E4E89" w:rsidRPr="00964919" w:rsidRDefault="003E4E89">
      <w:pPr>
        <w:spacing w:after="0" w:line="360" w:lineRule="auto"/>
        <w:rPr>
          <w:rFonts w:ascii="Palatino Linotype" w:eastAsia="Palatino Linotype" w:hAnsi="Palatino Linotype" w:cs="Palatino Linotype"/>
        </w:rPr>
      </w:pPr>
    </w:p>
    <w:p w14:paraId="62D2D479" w14:textId="77777777" w:rsidR="003E4E89" w:rsidRPr="00964919" w:rsidRDefault="000D4BA5">
      <w:pPr>
        <w:numPr>
          <w:ilvl w:val="0"/>
          <w:numId w:val="3"/>
        </w:numPr>
        <w:pBdr>
          <w:top w:val="nil"/>
          <w:left w:val="nil"/>
          <w:bottom w:val="nil"/>
          <w:right w:val="nil"/>
          <w:between w:val="nil"/>
        </w:pBdr>
        <w:spacing w:after="0" w:line="360" w:lineRule="auto"/>
        <w:jc w:val="both"/>
        <w:rPr>
          <w:rFonts w:ascii="Palatino Linotype" w:eastAsia="Palatino Linotype" w:hAnsi="Palatino Linotype" w:cs="Palatino Linotype"/>
          <w:color w:val="000000"/>
        </w:rPr>
      </w:pPr>
      <w:r w:rsidRPr="00964919">
        <w:rPr>
          <w:rFonts w:ascii="Palatino Linotype" w:eastAsia="Palatino Linotype" w:hAnsi="Palatino Linotype" w:cs="Palatino Linotype"/>
          <w:color w:val="000000"/>
        </w:rPr>
        <w:t>Las Unidades de Transparencia garantizarán que las solicitudes de acceso a la información se turnen a todas las áreas competentes que cuenten con la información o deban tenerla -de acuerdo a las facultades, competencias y funciones-, con el objeto de que dichas áreas realicen una búsqueda exhaustiva y razonable de la información requerida, y</w:t>
      </w:r>
    </w:p>
    <w:p w14:paraId="4D2E0D48" w14:textId="77777777" w:rsidR="003E4E89" w:rsidRPr="00964919" w:rsidRDefault="000D4BA5">
      <w:pPr>
        <w:numPr>
          <w:ilvl w:val="0"/>
          <w:numId w:val="3"/>
        </w:numPr>
        <w:pBdr>
          <w:top w:val="nil"/>
          <w:left w:val="nil"/>
          <w:bottom w:val="nil"/>
          <w:right w:val="nil"/>
          <w:between w:val="nil"/>
        </w:pBdr>
        <w:spacing w:after="0" w:line="360" w:lineRule="auto"/>
        <w:jc w:val="both"/>
        <w:rPr>
          <w:rFonts w:ascii="Palatino Linotype" w:eastAsia="Palatino Linotype" w:hAnsi="Palatino Linotype" w:cs="Palatino Linotype"/>
          <w:color w:val="000000"/>
        </w:rPr>
      </w:pPr>
      <w:r w:rsidRPr="00964919">
        <w:rPr>
          <w:rFonts w:ascii="Palatino Linotype" w:eastAsia="Palatino Linotype" w:hAnsi="Palatino Linotype" w:cs="Palatino Linotype"/>
          <w:color w:val="000000"/>
        </w:rPr>
        <w:t>Los sujetos obligados otorgaran acceso a los documentos que se encuentren en sus archivos o que estén obligados a documentar de acuerdo con sus facultades, competencias o funciones, en el formato en que el solicitante manifieste, de entre aquellos formatos existentes.</w:t>
      </w:r>
    </w:p>
    <w:p w14:paraId="7AC06F80" w14:textId="77777777" w:rsidR="003E4E89" w:rsidRPr="00964919" w:rsidRDefault="003E4E89">
      <w:pPr>
        <w:tabs>
          <w:tab w:val="left" w:pos="4962"/>
        </w:tabs>
        <w:spacing w:after="0" w:line="360" w:lineRule="auto"/>
        <w:ind w:right="-28"/>
        <w:jc w:val="both"/>
        <w:rPr>
          <w:rFonts w:ascii="Palatino Linotype" w:eastAsia="Palatino Linotype" w:hAnsi="Palatino Linotype" w:cs="Palatino Linotype"/>
        </w:rPr>
      </w:pPr>
    </w:p>
    <w:p w14:paraId="4382745D" w14:textId="77777777" w:rsidR="003E4E89" w:rsidRPr="00964919" w:rsidRDefault="000D4BA5">
      <w:pPr>
        <w:spacing w:after="0"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rPr>
        <w:lastRenderedPageBreak/>
        <w:t xml:space="preserve">De tal circunstancia, se logra colegir que el </w:t>
      </w:r>
      <w:r w:rsidRPr="00964919">
        <w:rPr>
          <w:rFonts w:ascii="Palatino Linotype" w:eastAsia="Palatino Linotype" w:hAnsi="Palatino Linotype" w:cs="Palatino Linotype"/>
          <w:b/>
        </w:rPr>
        <w:t>Sujeto Obligado</w:t>
      </w:r>
      <w:r w:rsidRPr="00964919">
        <w:rPr>
          <w:rFonts w:ascii="Palatino Linotype" w:eastAsia="Palatino Linotype" w:hAnsi="Palatino Linotype" w:cs="Palatino Linotype"/>
        </w:rPr>
        <w:t xml:space="preserve"> cumplió con el procedimiento de búsqueda </w:t>
      </w:r>
      <w:r w:rsidRPr="00964919">
        <w:rPr>
          <w:rFonts w:ascii="Palatino Linotype" w:eastAsia="Palatino Linotype" w:hAnsi="Palatino Linotype" w:cs="Palatino Linotype"/>
          <w:color w:val="000000"/>
        </w:rPr>
        <w:t>establecido en el artículo 162 de la Ley de Transparencia y Acceso a la Información Pública del Estado de México y Municipios, toda vez que turn</w:t>
      </w:r>
      <w:r w:rsidRPr="00964919">
        <w:rPr>
          <w:rFonts w:ascii="Palatino Linotype" w:eastAsia="Palatino Linotype" w:hAnsi="Palatino Linotype" w:cs="Palatino Linotype"/>
        </w:rPr>
        <w:t>ó</w:t>
      </w:r>
      <w:r w:rsidRPr="00964919">
        <w:rPr>
          <w:rFonts w:ascii="Palatino Linotype" w:eastAsia="Palatino Linotype" w:hAnsi="Palatino Linotype" w:cs="Palatino Linotype"/>
          <w:color w:val="000000"/>
        </w:rPr>
        <w:t xml:space="preserve"> la solicitud a la Tesorería Municipal, encargada de </w:t>
      </w:r>
      <w:r w:rsidRPr="00964919">
        <w:rPr>
          <w:rFonts w:ascii="Palatino Linotype" w:eastAsia="Palatino Linotype" w:hAnsi="Palatino Linotype" w:cs="Palatino Linotype"/>
        </w:rPr>
        <w:t xml:space="preserve">realizar las erogaciones que hace el Ayuntamiento. </w:t>
      </w:r>
    </w:p>
    <w:p w14:paraId="7EB6FF27" w14:textId="77777777" w:rsidR="003E4E89" w:rsidRPr="00964919" w:rsidRDefault="003E4E89">
      <w:pPr>
        <w:spacing w:after="0" w:line="360" w:lineRule="auto"/>
        <w:jc w:val="both"/>
        <w:rPr>
          <w:rFonts w:ascii="Palatino Linotype" w:eastAsia="Palatino Linotype" w:hAnsi="Palatino Linotype" w:cs="Palatino Linotype"/>
        </w:rPr>
      </w:pPr>
    </w:p>
    <w:p w14:paraId="4D678689" w14:textId="77777777" w:rsidR="003E4E89" w:rsidRPr="00964919" w:rsidRDefault="000D4BA5">
      <w:pPr>
        <w:spacing w:after="0"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rPr>
        <w:t xml:space="preserve">Ahora bien, toma relevancia señalar que este Instituto localizó el Plan de Desarrollo Municipal 2022-2024 del Ayuntamiento de Temamatla, el cual establece dentro de su Pilar 1 Social. el tema de la </w:t>
      </w:r>
      <w:r w:rsidRPr="00964919">
        <w:rPr>
          <w:rFonts w:ascii="Palatino Linotype" w:eastAsia="Palatino Linotype" w:hAnsi="Palatino Linotype" w:cs="Palatino Linotype"/>
          <w:i/>
        </w:rPr>
        <w:t>“Alimentación y Nutrición para las familias”</w:t>
      </w:r>
      <w:r w:rsidRPr="00964919">
        <w:rPr>
          <w:rFonts w:ascii="Palatino Linotype" w:eastAsia="Palatino Linotype" w:hAnsi="Palatino Linotype" w:cs="Palatino Linotype"/>
        </w:rPr>
        <w:t xml:space="preserve">, que tiene como objetivo generar acciones para el reducimiento de problemáticas relacionadas a la alimentación y nutrición de los sectores más vulnerables del municipio; destacando que dentro de sus líneas de acción se encuentra el promover la entrega de apoyos alimentarios para la población de grupos vulnerables del municipio de Temamatla; establecer acciones de coordinación con el gobierno estatal para la obtención de apoyos alimentarios; y, realizar supervisiones de los apoyos entregados en materia alimentaria. </w:t>
      </w:r>
    </w:p>
    <w:p w14:paraId="17A109EB" w14:textId="77777777" w:rsidR="003E4E89" w:rsidRPr="00964919" w:rsidRDefault="003E4E89">
      <w:pPr>
        <w:spacing w:after="0" w:line="360" w:lineRule="auto"/>
        <w:jc w:val="both"/>
        <w:rPr>
          <w:rFonts w:ascii="Palatino Linotype" w:eastAsia="Palatino Linotype" w:hAnsi="Palatino Linotype" w:cs="Palatino Linotype"/>
        </w:rPr>
      </w:pPr>
    </w:p>
    <w:p w14:paraId="18062F2D" w14:textId="77777777" w:rsidR="003E4E89" w:rsidRPr="00964919" w:rsidRDefault="000D4BA5">
      <w:pPr>
        <w:spacing w:after="0"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rPr>
        <w:t>Aunado a ello, se advierte que la población con carencia por acceso a la alimentación se cuantificaba en términos porcentuales en 12.6% lo que representa en términos absolutos un total de 1,781 ciudadanos, destacando que en el ámbito municipal existen programas desarrollados en conjunto con el organismo descentralizado DIF por medio del cual se distribuyen desayunos y raciones alimentarias a la población que así lo requiere.</w:t>
      </w:r>
    </w:p>
    <w:p w14:paraId="404C8AAB" w14:textId="77777777" w:rsidR="003E4E89" w:rsidRPr="00964919" w:rsidRDefault="003E4E89">
      <w:pPr>
        <w:spacing w:after="0" w:line="360" w:lineRule="auto"/>
        <w:jc w:val="both"/>
        <w:rPr>
          <w:rFonts w:ascii="Palatino Linotype" w:eastAsia="Palatino Linotype" w:hAnsi="Palatino Linotype" w:cs="Palatino Linotype"/>
        </w:rPr>
      </w:pPr>
    </w:p>
    <w:p w14:paraId="53709A3C" w14:textId="77777777" w:rsidR="003E4E89" w:rsidRPr="00964919" w:rsidRDefault="000D4BA5">
      <w:pPr>
        <w:spacing w:after="0" w:line="360" w:lineRule="auto"/>
        <w:ind w:right="51"/>
        <w:jc w:val="both"/>
        <w:rPr>
          <w:rFonts w:ascii="Palatino Linotype" w:eastAsia="Palatino Linotype" w:hAnsi="Palatino Linotype" w:cs="Palatino Linotype"/>
        </w:rPr>
      </w:pPr>
      <w:r w:rsidRPr="00964919">
        <w:rPr>
          <w:rFonts w:ascii="Palatino Linotype" w:eastAsia="Palatino Linotype" w:hAnsi="Palatino Linotype" w:cs="Palatino Linotype"/>
          <w:color w:val="000000"/>
        </w:rPr>
        <w:t xml:space="preserve">Establecido lo anterior, procedemos al análisis de la naturaleza de la información, para ello, debemos observar lo dispuesto por </w:t>
      </w:r>
      <w:r w:rsidRPr="00964919">
        <w:rPr>
          <w:rFonts w:ascii="Palatino Linotype" w:eastAsia="Palatino Linotype" w:hAnsi="Palatino Linotype" w:cs="Palatino Linotype"/>
          <w:color w:val="0D0D0D"/>
        </w:rPr>
        <w:t xml:space="preserve">los </w:t>
      </w:r>
      <w:r w:rsidRPr="00964919">
        <w:rPr>
          <w:rFonts w:ascii="Palatino Linotype" w:eastAsia="Palatino Linotype" w:hAnsi="Palatino Linotype" w:cs="Palatino Linotype"/>
        </w:rPr>
        <w:t>artículos 342, 343, 344 y 345 del Código Financiero del Estado de México y Municipios mismos que disponen el sistema y las políticas que deben seguirse para llevar el registro contable y presupuestal de las operaciones financieras, en los siguientes términos:</w:t>
      </w:r>
    </w:p>
    <w:p w14:paraId="21D9E104" w14:textId="77777777" w:rsidR="003E4E89" w:rsidRPr="00964919" w:rsidRDefault="003E4E89">
      <w:pPr>
        <w:widowControl w:val="0"/>
        <w:spacing w:after="0" w:line="360" w:lineRule="auto"/>
        <w:jc w:val="both"/>
        <w:rPr>
          <w:rFonts w:ascii="Palatino Linotype" w:eastAsia="Palatino Linotype" w:hAnsi="Palatino Linotype" w:cs="Palatino Linotype"/>
          <w:color w:val="0D0D0D"/>
        </w:rPr>
      </w:pPr>
    </w:p>
    <w:p w14:paraId="3E9A1B8A" w14:textId="77777777" w:rsidR="003E4E89" w:rsidRPr="00964919" w:rsidRDefault="000D4BA5">
      <w:pPr>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color w:val="000000"/>
        </w:rPr>
        <w:lastRenderedPageBreak/>
        <w:t>“</w:t>
      </w:r>
      <w:r w:rsidRPr="00964919">
        <w:rPr>
          <w:rFonts w:ascii="Palatino Linotype" w:eastAsia="Palatino Linotype" w:hAnsi="Palatino Linotype" w:cs="Palatino Linotype"/>
          <w:b/>
          <w:i/>
        </w:rPr>
        <w:t>Artículo 342.-</w:t>
      </w:r>
      <w:r w:rsidRPr="00964919">
        <w:rPr>
          <w:rFonts w:ascii="Palatino Linotype" w:eastAsia="Palatino Linotype" w:hAnsi="Palatino Linotype" w:cs="Palatino Linotype"/>
          <w:i/>
        </w:rPr>
        <w:t xml:space="preserve"> El registro contable del efecto patrimonial y presupuestal de las operaciones financieras, se realizará conforme al sistema y a las disposiciones que se aprueben en materia de </w:t>
      </w:r>
      <w:r w:rsidRPr="00964919">
        <w:rPr>
          <w:rFonts w:ascii="Palatino Linotype" w:eastAsia="Palatino Linotype" w:hAnsi="Palatino Linotype" w:cs="Palatino Linotype"/>
          <w:i/>
          <w:color w:val="000000"/>
        </w:rPr>
        <w:t>planeación</w:t>
      </w:r>
      <w:r w:rsidRPr="00964919">
        <w:rPr>
          <w:rFonts w:ascii="Palatino Linotype" w:eastAsia="Palatino Linotype" w:hAnsi="Palatino Linotype" w:cs="Palatino Linotype"/>
          <w:i/>
        </w:rPr>
        <w:t xml:space="preserve">, programación, presupuestación, evaluación y </w:t>
      </w:r>
      <w:r w:rsidRPr="00964919">
        <w:rPr>
          <w:rFonts w:ascii="Palatino Linotype" w:eastAsia="Palatino Linotype" w:hAnsi="Palatino Linotype" w:cs="Palatino Linotype"/>
          <w:i/>
          <w:color w:val="000000"/>
        </w:rPr>
        <w:t>contabilidad</w:t>
      </w:r>
      <w:r w:rsidRPr="00964919">
        <w:rPr>
          <w:rFonts w:ascii="Palatino Linotype" w:eastAsia="Palatino Linotype" w:hAnsi="Palatino Linotype" w:cs="Palatino Linotype"/>
          <w:i/>
        </w:rPr>
        <w:t xml:space="preserve"> gubernamental. </w:t>
      </w:r>
    </w:p>
    <w:p w14:paraId="391F42BE" w14:textId="77777777" w:rsidR="003E4E89" w:rsidRPr="00964919" w:rsidRDefault="000D4BA5">
      <w:pPr>
        <w:spacing w:after="0" w:line="276" w:lineRule="auto"/>
        <w:ind w:left="851" w:right="616"/>
        <w:jc w:val="both"/>
        <w:rPr>
          <w:rFonts w:ascii="Palatino Linotype" w:eastAsia="Palatino Linotype" w:hAnsi="Palatino Linotype" w:cs="Palatino Linotype"/>
          <w:b/>
          <w:i/>
        </w:rPr>
      </w:pPr>
      <w:r w:rsidRPr="00964919">
        <w:rPr>
          <w:rFonts w:ascii="Palatino Linotype" w:eastAsia="Palatino Linotype" w:hAnsi="Palatino Linotype" w:cs="Palatino Linotype"/>
          <w:b/>
          <w:i/>
          <w:color w:val="000000"/>
        </w:rPr>
        <w:t>…</w:t>
      </w:r>
    </w:p>
    <w:p w14:paraId="7F50430B" w14:textId="77777777" w:rsidR="003E4E89" w:rsidRPr="00964919" w:rsidRDefault="000D4BA5">
      <w:pPr>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b/>
          <w:i/>
        </w:rPr>
        <w:t>Artículo 343.-</w:t>
      </w:r>
      <w:r w:rsidRPr="00964919">
        <w:rPr>
          <w:rFonts w:ascii="Palatino Linotype" w:eastAsia="Palatino Linotype" w:hAnsi="Palatino Linotype" w:cs="Palatino Linotype"/>
          <w:i/>
        </w:rPr>
        <w:t xml:space="preserve"> El sistema de contabilidad debe diseñarse sobre base acumulativa total y operarse en forma que facilite la fiscalización de los activos, pasivos, ingresos, egresos y, en general, que posibilite medir la eficacia del gasto público, y contener las medidas de control interno que permitan verificar el registro de la totalidad de las operaciones financieras. </w:t>
      </w:r>
    </w:p>
    <w:p w14:paraId="4528FCE6" w14:textId="77777777" w:rsidR="003E4E89" w:rsidRPr="00964919" w:rsidRDefault="000D4BA5">
      <w:pPr>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t xml:space="preserve">El sistema de contabilidad sobre base acumulativa total se sustentará en los postulados básicos y el marco conceptual de la contabilidad gubernamental. </w:t>
      </w:r>
    </w:p>
    <w:p w14:paraId="507ADFCA" w14:textId="77777777" w:rsidR="003E4E89" w:rsidRPr="00964919" w:rsidRDefault="000D4BA5">
      <w:pPr>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b/>
          <w:i/>
        </w:rPr>
        <w:t xml:space="preserve">Artículo 344.- Las Dependencias, Entidades Públicas y unidades administrativas registrarán contablemente el efecto patrimonial y presupuestal de las operaciones financieras que realicen, en el momento en que ocurran, con base en el sistema y políticas de registro establecidas, </w:t>
      </w:r>
      <w:r w:rsidRPr="00964919">
        <w:rPr>
          <w:rFonts w:ascii="Palatino Linotype" w:eastAsia="Palatino Linotype" w:hAnsi="Palatino Linotype" w:cs="Palatino Linotype"/>
          <w:i/>
        </w:rPr>
        <w:t xml:space="preserve">en el caso de los Municipios se hará por la Tesorería. </w:t>
      </w:r>
    </w:p>
    <w:p w14:paraId="14E8393A" w14:textId="77777777" w:rsidR="003E4E89" w:rsidRPr="00964919" w:rsidRDefault="000D4BA5">
      <w:pPr>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t xml:space="preserve">Derogado. </w:t>
      </w:r>
    </w:p>
    <w:p w14:paraId="2BE82EAD" w14:textId="77777777" w:rsidR="003E4E89" w:rsidRPr="00964919" w:rsidRDefault="000D4BA5">
      <w:pPr>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b/>
          <w:i/>
        </w:rPr>
        <w:t>Todo registro contable y presupuestal deberá estar soportado con los documentos comprobatorios originales, los que deberán permanecer en custodia y conservación de las dependencias, entidades públicas y unidades administrativas que ejercieron el gasto, y a disposición del Órgano Superior de Fiscalización del Estado de México y de los órganos de control interno, por un término de cinco años contados</w:t>
      </w:r>
      <w:r w:rsidRPr="00964919">
        <w:rPr>
          <w:rFonts w:ascii="Palatino Linotype" w:eastAsia="Palatino Linotype" w:hAnsi="Palatino Linotype" w:cs="Palatino Linotype"/>
          <w:i/>
        </w:rPr>
        <w:t xml:space="preserve"> a partir del ejercicio presupuestal siguiente al que corresponda, en el caso de los municipios se hará por la Tesorería. </w:t>
      </w:r>
    </w:p>
    <w:p w14:paraId="05537D11" w14:textId="77777777" w:rsidR="003E4E89" w:rsidRPr="00964919" w:rsidRDefault="000D4BA5">
      <w:pPr>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t>…</w:t>
      </w:r>
    </w:p>
    <w:p w14:paraId="6EF19CF6" w14:textId="77777777" w:rsidR="003E4E89" w:rsidRPr="00964919" w:rsidRDefault="000D4BA5">
      <w:pPr>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b/>
          <w:i/>
        </w:rPr>
        <w:t>Artículo 345.-</w:t>
      </w:r>
      <w:r w:rsidRPr="00964919">
        <w:rPr>
          <w:rFonts w:ascii="Palatino Linotype" w:eastAsia="Palatino Linotype" w:hAnsi="Palatino Linotype" w:cs="Palatino Linotype"/>
          <w:i/>
        </w:rPr>
        <w:t xml:space="preserve"> </w:t>
      </w:r>
      <w:r w:rsidRPr="00964919">
        <w:rPr>
          <w:rFonts w:ascii="Palatino Linotype" w:eastAsia="Palatino Linotype" w:hAnsi="Palatino Linotype" w:cs="Palatino Linotype"/>
          <w:b/>
          <w:i/>
        </w:rPr>
        <w:t>Las Dependencias, Entidades Públicas y unidades administrativas deberán conservar la documentación contable del año en curso y la de ejercicios anteriores cuyas cuentas públicas hayan sido revisadas y fiscalizadas por la Legislatura</w:t>
      </w:r>
      <w:r w:rsidRPr="00964919">
        <w:rPr>
          <w:rFonts w:ascii="Palatino Linotype" w:eastAsia="Palatino Linotype" w:hAnsi="Palatino Linotype" w:cs="Palatino Linotype"/>
          <w:i/>
        </w:rPr>
        <w:t xml:space="preserve">, la remitirán en un plazo que no excederá de seis meses al Archivo Contable Gubernamental. </w:t>
      </w:r>
      <w:r w:rsidRPr="00964919">
        <w:rPr>
          <w:rFonts w:ascii="Palatino Linotype" w:eastAsia="Palatino Linotype" w:hAnsi="Palatino Linotype" w:cs="Palatino Linotype"/>
          <w:b/>
          <w:i/>
        </w:rPr>
        <w:t>Tratándose de los comprobantes fiscales digitales, estos deberán estar agregados en forma electrónica en cada póliza de registro contable</w:t>
      </w:r>
      <w:r w:rsidRPr="00964919">
        <w:rPr>
          <w:rFonts w:ascii="Palatino Linotype" w:eastAsia="Palatino Linotype" w:hAnsi="Palatino Linotype" w:cs="Palatino Linotype"/>
          <w:i/>
        </w:rPr>
        <w:t xml:space="preserve">. </w:t>
      </w:r>
    </w:p>
    <w:p w14:paraId="461F7484" w14:textId="77777777" w:rsidR="003E4E89" w:rsidRPr="00964919" w:rsidRDefault="000D4BA5">
      <w:pPr>
        <w:spacing w:after="0" w:line="276" w:lineRule="auto"/>
        <w:ind w:left="851" w:right="616"/>
        <w:jc w:val="both"/>
        <w:rPr>
          <w:rFonts w:ascii="Palatino Linotype" w:eastAsia="Palatino Linotype" w:hAnsi="Palatino Linotype" w:cs="Palatino Linotype"/>
          <w:i/>
          <w:color w:val="000000"/>
        </w:rPr>
      </w:pPr>
      <w:r w:rsidRPr="00964919">
        <w:rPr>
          <w:rFonts w:ascii="Palatino Linotype" w:eastAsia="Palatino Linotype" w:hAnsi="Palatino Linotype" w:cs="Palatino Linotype"/>
          <w:i/>
        </w:rPr>
        <w:t>El plazo señalado en el párrafo anterior, empezará a contar a partir de la publicación en el Periódico Oficial, del decreto correspondiente.</w:t>
      </w:r>
      <w:r w:rsidRPr="00964919">
        <w:rPr>
          <w:rFonts w:ascii="Palatino Linotype" w:eastAsia="Palatino Linotype" w:hAnsi="Palatino Linotype" w:cs="Palatino Linotype"/>
          <w:i/>
          <w:color w:val="000000"/>
        </w:rPr>
        <w:t xml:space="preserve"> “</w:t>
      </w:r>
    </w:p>
    <w:p w14:paraId="3FC5BC34" w14:textId="77777777" w:rsidR="003E4E89" w:rsidRPr="00964919" w:rsidRDefault="003E4E89">
      <w:pPr>
        <w:spacing w:after="0" w:line="276" w:lineRule="auto"/>
        <w:ind w:left="851" w:right="850"/>
        <w:jc w:val="both"/>
        <w:rPr>
          <w:rFonts w:ascii="Palatino Linotype" w:eastAsia="Palatino Linotype" w:hAnsi="Palatino Linotype" w:cs="Palatino Linotype"/>
          <w:i/>
          <w:color w:val="000000"/>
        </w:rPr>
      </w:pPr>
    </w:p>
    <w:p w14:paraId="1FD1DEF9" w14:textId="77777777" w:rsidR="003E4E89" w:rsidRPr="00964919" w:rsidRDefault="000D4BA5">
      <w:pPr>
        <w:spacing w:after="0" w:line="360" w:lineRule="auto"/>
        <w:jc w:val="both"/>
        <w:rPr>
          <w:rFonts w:ascii="Palatino Linotype" w:eastAsia="Palatino Linotype" w:hAnsi="Palatino Linotype" w:cs="Palatino Linotype"/>
          <w:color w:val="000000"/>
        </w:rPr>
      </w:pPr>
      <w:r w:rsidRPr="00964919">
        <w:rPr>
          <w:rFonts w:ascii="Palatino Linotype" w:eastAsia="Palatino Linotype" w:hAnsi="Palatino Linotype" w:cs="Palatino Linotype"/>
        </w:rPr>
        <w:t>De una interpretación sistemática de los artículos transcritos, se desprende primeramente que el</w:t>
      </w:r>
      <w:r w:rsidRPr="00964919">
        <w:rPr>
          <w:rFonts w:ascii="Palatino Linotype" w:eastAsia="Palatino Linotype" w:hAnsi="Palatino Linotype" w:cs="Palatino Linotype"/>
          <w:color w:val="000000"/>
        </w:rPr>
        <w:t xml:space="preserve"> registro contable del efecto patrimonial y presupuestal de las operaciones financieras se realizará conforme al sistema y a las disposiciones que se aprueben en materia de planeación, programación, presupuestación, evaluación y contabilidad gubernamental.</w:t>
      </w:r>
    </w:p>
    <w:p w14:paraId="5163C641" w14:textId="77777777" w:rsidR="003E4E89" w:rsidRPr="00964919" w:rsidRDefault="003E4E89">
      <w:pPr>
        <w:spacing w:after="0" w:line="360" w:lineRule="auto"/>
        <w:jc w:val="both"/>
        <w:rPr>
          <w:rFonts w:ascii="Palatino Linotype" w:eastAsia="Palatino Linotype" w:hAnsi="Palatino Linotype" w:cs="Palatino Linotype"/>
          <w:color w:val="000000"/>
        </w:rPr>
      </w:pPr>
    </w:p>
    <w:p w14:paraId="7BB9969C" w14:textId="77777777" w:rsidR="003E4E89" w:rsidRPr="00964919" w:rsidRDefault="000D4BA5">
      <w:pPr>
        <w:spacing w:after="0" w:line="360" w:lineRule="auto"/>
        <w:ind w:right="-232"/>
        <w:jc w:val="both"/>
        <w:rPr>
          <w:rFonts w:ascii="Palatino Linotype" w:eastAsia="Palatino Linotype" w:hAnsi="Palatino Linotype" w:cs="Palatino Linotype"/>
        </w:rPr>
      </w:pPr>
      <w:r w:rsidRPr="00964919">
        <w:rPr>
          <w:rFonts w:ascii="Palatino Linotype" w:eastAsia="Palatino Linotype" w:hAnsi="Palatino Linotype" w:cs="Palatino Linotype"/>
        </w:rPr>
        <w:t>En ese sentido, debe decirse que las facturas emitidas en favor de los proveedores, contratistas o prestadores de servicios, la cual se encuentra definida en el Glosario de Términos Hacendarios que emite el Instituto Hacendario del Estado de México, como:</w:t>
      </w:r>
    </w:p>
    <w:p w14:paraId="19D3C733" w14:textId="77777777" w:rsidR="003E4E89" w:rsidRPr="00964919" w:rsidRDefault="003E4E89">
      <w:pPr>
        <w:spacing w:after="0"/>
        <w:ind w:right="902"/>
        <w:jc w:val="both"/>
        <w:rPr>
          <w:rFonts w:ascii="Palatino Linotype" w:eastAsia="Palatino Linotype" w:hAnsi="Palatino Linotype" w:cs="Palatino Linotype"/>
          <w:i/>
        </w:rPr>
      </w:pPr>
    </w:p>
    <w:p w14:paraId="6C8DB1FD" w14:textId="77777777" w:rsidR="003E4E89" w:rsidRPr="00964919" w:rsidRDefault="000D4BA5" w:rsidP="00DC454F">
      <w:pPr>
        <w:spacing w:after="0"/>
        <w:ind w:left="851" w:right="616"/>
        <w:jc w:val="both"/>
        <w:rPr>
          <w:rFonts w:ascii="Palatino Linotype" w:eastAsia="Palatino Linotype" w:hAnsi="Palatino Linotype" w:cs="Palatino Linotype"/>
          <w:b/>
          <w:i/>
        </w:rPr>
      </w:pPr>
      <w:r w:rsidRPr="00964919">
        <w:rPr>
          <w:rFonts w:ascii="Palatino Linotype" w:eastAsia="Palatino Linotype" w:hAnsi="Palatino Linotype" w:cs="Palatino Linotype"/>
          <w:i/>
        </w:rPr>
        <w:t>“</w:t>
      </w:r>
      <w:r w:rsidRPr="00964919">
        <w:rPr>
          <w:rFonts w:ascii="Palatino Linotype" w:eastAsia="Palatino Linotype" w:hAnsi="Palatino Linotype" w:cs="Palatino Linotype"/>
          <w:b/>
          <w:i/>
        </w:rPr>
        <w:t>FACTURA</w:t>
      </w:r>
    </w:p>
    <w:p w14:paraId="12F2152C" w14:textId="77777777" w:rsidR="003E4E89" w:rsidRPr="00964919" w:rsidRDefault="000D4BA5" w:rsidP="00DC454F">
      <w:pPr>
        <w:spacing w:after="0"/>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t>Es el documento fiscal que emite la persona física o moral para comprobar la venta o adquisición de un bien y/o servicio.” (Sic)</w:t>
      </w:r>
    </w:p>
    <w:p w14:paraId="6C22FFF0" w14:textId="77777777" w:rsidR="003E4E89" w:rsidRPr="00964919" w:rsidRDefault="003E4E89" w:rsidP="00DC454F">
      <w:pPr>
        <w:spacing w:after="0"/>
        <w:ind w:left="851" w:right="616"/>
        <w:jc w:val="both"/>
        <w:rPr>
          <w:rFonts w:ascii="Palatino Linotype" w:eastAsia="Palatino Linotype" w:hAnsi="Palatino Linotype" w:cs="Palatino Linotype"/>
        </w:rPr>
      </w:pPr>
    </w:p>
    <w:p w14:paraId="15C19AEB" w14:textId="77777777" w:rsidR="003E4E89" w:rsidRPr="00964919" w:rsidRDefault="000D4BA5">
      <w:pPr>
        <w:spacing w:after="0" w:line="360" w:lineRule="auto"/>
        <w:jc w:val="both"/>
        <w:rPr>
          <w:rFonts w:ascii="Palatino Linotype" w:eastAsia="Palatino Linotype" w:hAnsi="Palatino Linotype" w:cs="Palatino Linotype"/>
          <w:color w:val="000000"/>
        </w:rPr>
      </w:pPr>
      <w:r w:rsidRPr="00964919">
        <w:rPr>
          <w:rFonts w:ascii="Palatino Linotype" w:eastAsia="Palatino Linotype" w:hAnsi="Palatino Linotype" w:cs="Palatino Linotype"/>
        </w:rPr>
        <w:t>Luego entonces las facturas son comprobantes que amparan las erogaciones que se realizan con erario público, tienen naturaleza pública pues, constituyen los medios idóneos de evidencia del gasto realizado con recursos públicos, de ahí que convenga precisar que la Constitución Política del Estado Libre y Soberano de México en su artículo 129 señala que l</w:t>
      </w:r>
      <w:r w:rsidRPr="00964919">
        <w:rPr>
          <w:rFonts w:ascii="Palatino Linotype" w:eastAsia="Palatino Linotype" w:hAnsi="Palatino Linotype" w:cs="Palatino Linotype"/>
          <w:color w:val="000000"/>
        </w:rPr>
        <w:t xml:space="preserve">os recursos económicos del Estado, de los Municipios, así como de los Organismos Autónomos, se administrarán con eficiencia, eficacia y honradez, para cumplir con los objetivos y programas a los que estén destinados. </w:t>
      </w:r>
    </w:p>
    <w:p w14:paraId="3F60DF3F" w14:textId="77777777" w:rsidR="003E4E89" w:rsidRPr="00964919" w:rsidRDefault="003E4E89">
      <w:pPr>
        <w:spacing w:after="0" w:line="360" w:lineRule="auto"/>
        <w:jc w:val="both"/>
        <w:rPr>
          <w:rFonts w:ascii="Palatino Linotype" w:eastAsia="Palatino Linotype" w:hAnsi="Palatino Linotype" w:cs="Palatino Linotype"/>
          <w:color w:val="000000"/>
        </w:rPr>
      </w:pPr>
    </w:p>
    <w:p w14:paraId="02613E5F" w14:textId="77777777" w:rsidR="003E4E89" w:rsidRPr="00964919" w:rsidRDefault="000D4BA5">
      <w:pPr>
        <w:spacing w:after="0"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rPr>
        <w:t xml:space="preserve">Al respecto, si bien es cierto que el Código Financiero del Estado de México y Municipios establece la obligación de los Municipios para llevar los registros contables y presupuestales; también lo es que, dicho ordenamiento jurídico no establece que debemos entender por registro contable y presupuestal; sin embargo, el “Glosario de Términos Administrativos”, emitido por el Instituto Nacional de Administración Pública, A.C. y el “Glosario de Términos para el Proceso de Planeación, Programación, Presupuestación y </w:t>
      </w:r>
      <w:r w:rsidRPr="00964919">
        <w:rPr>
          <w:rFonts w:ascii="Palatino Linotype" w:eastAsia="Palatino Linotype" w:hAnsi="Palatino Linotype" w:cs="Palatino Linotype"/>
        </w:rPr>
        <w:lastRenderedPageBreak/>
        <w:t xml:space="preserve">Evaluación en la Administración Pública”, elaborado por el Grupo de Trabajo de Sistemas de Información Financiera, Contable y Presupuestal de la Comisión Permanente de Funcionarios Fiscales del Instituto para el Desarrollo Técnico de las Haciendas Públicas (INDETEC) señalan las siguientes definiciones de las palabras registro contable y registro presupuestario: </w:t>
      </w:r>
    </w:p>
    <w:p w14:paraId="67A264C0" w14:textId="77777777" w:rsidR="003E4E89" w:rsidRPr="00964919" w:rsidRDefault="003E4E89">
      <w:pPr>
        <w:spacing w:after="0" w:line="360" w:lineRule="auto"/>
        <w:jc w:val="both"/>
        <w:rPr>
          <w:rFonts w:ascii="Palatino Linotype" w:eastAsia="Palatino Linotype" w:hAnsi="Palatino Linotype" w:cs="Palatino Linotype"/>
        </w:rPr>
      </w:pPr>
    </w:p>
    <w:p w14:paraId="5C001A54" w14:textId="77777777" w:rsidR="003E4E89" w:rsidRPr="00964919" w:rsidRDefault="000D4BA5">
      <w:pPr>
        <w:spacing w:after="0" w:line="276" w:lineRule="auto"/>
        <w:ind w:left="851" w:right="616"/>
        <w:jc w:val="both"/>
        <w:rPr>
          <w:rFonts w:ascii="Palatino Linotype" w:eastAsia="Palatino Linotype" w:hAnsi="Palatino Linotype" w:cs="Palatino Linotype"/>
          <w:b/>
          <w:i/>
        </w:rPr>
      </w:pPr>
      <w:r w:rsidRPr="00964919">
        <w:rPr>
          <w:rFonts w:ascii="Palatino Linotype" w:eastAsia="Palatino Linotype" w:hAnsi="Palatino Linotype" w:cs="Palatino Linotype"/>
          <w:i/>
        </w:rPr>
        <w:t>“</w:t>
      </w:r>
      <w:r w:rsidRPr="00964919">
        <w:rPr>
          <w:rFonts w:ascii="Palatino Linotype" w:eastAsia="Palatino Linotype" w:hAnsi="Palatino Linotype" w:cs="Palatino Linotype"/>
          <w:b/>
          <w:i/>
        </w:rPr>
        <w:t xml:space="preserve">REGISTRO CONTABLE </w:t>
      </w:r>
    </w:p>
    <w:p w14:paraId="0AFEEDAC" w14:textId="77777777" w:rsidR="003E4E89" w:rsidRPr="00964919" w:rsidRDefault="000D4BA5">
      <w:pPr>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t>Asiento que se realiza en los libros de contabilidad de las actividades relacionadas con el ingreso y egresos de un ente económico.” (Sic)</w:t>
      </w:r>
    </w:p>
    <w:p w14:paraId="70F09B33" w14:textId="77777777" w:rsidR="003E4E89" w:rsidRPr="00964919" w:rsidRDefault="000D4BA5">
      <w:pPr>
        <w:spacing w:after="0" w:line="276" w:lineRule="auto"/>
        <w:ind w:left="851" w:right="616"/>
        <w:jc w:val="both"/>
        <w:rPr>
          <w:rFonts w:ascii="Palatino Linotype" w:eastAsia="Palatino Linotype" w:hAnsi="Palatino Linotype" w:cs="Palatino Linotype"/>
          <w:b/>
          <w:i/>
        </w:rPr>
      </w:pPr>
      <w:r w:rsidRPr="00964919">
        <w:rPr>
          <w:rFonts w:ascii="Palatino Linotype" w:eastAsia="Palatino Linotype" w:hAnsi="Palatino Linotype" w:cs="Palatino Linotype"/>
          <w:b/>
          <w:i/>
        </w:rPr>
        <w:t>“REGISTRO PRESUPUESTARIO</w:t>
      </w:r>
    </w:p>
    <w:p w14:paraId="597EEAD0" w14:textId="77777777" w:rsidR="003E4E89" w:rsidRPr="00964919" w:rsidRDefault="000D4BA5">
      <w:pPr>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t>Asiento contable de las erogaciones realizadas por las dependencias y entidades con relación a la asignación, modificación y ejercicio de los recursos presupuestarios que se les hayan autorizado.” (Sic)</w:t>
      </w:r>
    </w:p>
    <w:p w14:paraId="75030DFE" w14:textId="77777777" w:rsidR="003E4E89" w:rsidRPr="00964919" w:rsidRDefault="003E4E89">
      <w:pPr>
        <w:spacing w:after="0" w:line="360" w:lineRule="auto"/>
        <w:jc w:val="both"/>
        <w:rPr>
          <w:rFonts w:ascii="Palatino Linotype" w:eastAsia="Palatino Linotype" w:hAnsi="Palatino Linotype" w:cs="Palatino Linotype"/>
          <w:color w:val="000000"/>
        </w:rPr>
      </w:pPr>
    </w:p>
    <w:p w14:paraId="113CC0B6" w14:textId="77777777" w:rsidR="003E4E89" w:rsidRPr="00964919" w:rsidRDefault="000D4BA5">
      <w:pPr>
        <w:spacing w:after="0" w:line="360" w:lineRule="auto"/>
        <w:jc w:val="both"/>
        <w:rPr>
          <w:rFonts w:ascii="Palatino Linotype" w:eastAsia="Palatino Linotype" w:hAnsi="Palatino Linotype" w:cs="Palatino Linotype"/>
          <w:color w:val="000000"/>
        </w:rPr>
      </w:pPr>
      <w:r w:rsidRPr="00964919">
        <w:rPr>
          <w:rFonts w:ascii="Palatino Linotype" w:eastAsia="Palatino Linotype" w:hAnsi="Palatino Linotype" w:cs="Palatino Linotype"/>
          <w:color w:val="000000"/>
        </w:rPr>
        <w:t>Por otra parte, se establece que el sistema de contabilidad sobre base acumulativa total se sustentará en los principios de contabilidad gubernamental.</w:t>
      </w:r>
    </w:p>
    <w:p w14:paraId="62B9CE45" w14:textId="77777777" w:rsidR="003E4E89" w:rsidRPr="00964919" w:rsidRDefault="003E4E89">
      <w:pPr>
        <w:spacing w:after="0" w:line="360" w:lineRule="auto"/>
        <w:jc w:val="both"/>
        <w:rPr>
          <w:rFonts w:ascii="Palatino Linotype" w:eastAsia="Palatino Linotype" w:hAnsi="Palatino Linotype" w:cs="Palatino Linotype"/>
          <w:color w:val="000000"/>
        </w:rPr>
      </w:pPr>
    </w:p>
    <w:p w14:paraId="0D2B2A33" w14:textId="77777777" w:rsidR="003E4E89" w:rsidRPr="00964919" w:rsidRDefault="000D4BA5">
      <w:pPr>
        <w:spacing w:after="0" w:line="360" w:lineRule="auto"/>
        <w:jc w:val="both"/>
        <w:rPr>
          <w:rFonts w:ascii="Palatino Linotype" w:eastAsia="Palatino Linotype" w:hAnsi="Palatino Linotype" w:cs="Palatino Linotype"/>
          <w:color w:val="000000"/>
        </w:rPr>
      </w:pPr>
      <w:r w:rsidRPr="00964919">
        <w:rPr>
          <w:rFonts w:ascii="Palatino Linotype" w:eastAsia="Palatino Linotype" w:hAnsi="Palatino Linotype" w:cs="Palatino Linotype"/>
          <w:color w:val="000000"/>
        </w:rPr>
        <w:t>Igualmente, los preceptos legales citados señalan que los Sujetos Obligados deben contar con una unidad administrativa que registra contablemente el efecto patrimonial y presupuestal de las operaciones financieras que realizan, en el momento en que ocurran, con base en el sistema y políticas de registro establecidas.</w:t>
      </w:r>
    </w:p>
    <w:p w14:paraId="4BFEA70A" w14:textId="77777777" w:rsidR="003E4E89" w:rsidRPr="00964919" w:rsidRDefault="003E4E89">
      <w:pPr>
        <w:spacing w:after="0" w:line="360" w:lineRule="auto"/>
        <w:jc w:val="both"/>
        <w:rPr>
          <w:rFonts w:ascii="Palatino Linotype" w:eastAsia="Palatino Linotype" w:hAnsi="Palatino Linotype" w:cs="Palatino Linotype"/>
          <w:color w:val="000000"/>
        </w:rPr>
      </w:pPr>
    </w:p>
    <w:p w14:paraId="035B1389" w14:textId="77777777" w:rsidR="003E4E89" w:rsidRPr="00964919" w:rsidRDefault="000D4BA5">
      <w:pPr>
        <w:spacing w:after="0"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rPr>
        <w:t xml:space="preserve">Correlativo a lo anterior, es preciso referir una definición de </w:t>
      </w:r>
      <w:r w:rsidRPr="00964919">
        <w:rPr>
          <w:rFonts w:ascii="Palatino Linotype" w:eastAsia="Palatino Linotype" w:hAnsi="Palatino Linotype" w:cs="Palatino Linotype"/>
          <w:i/>
        </w:rPr>
        <w:t>póliza contable</w:t>
      </w:r>
      <w:r w:rsidRPr="00964919">
        <w:rPr>
          <w:rFonts w:ascii="Palatino Linotype" w:eastAsia="Palatino Linotype" w:hAnsi="Palatino Linotype" w:cs="Palatino Linotype"/>
        </w:rPr>
        <w:t xml:space="preserve">, la cual, primeramente, no está definida en el Código Financiero del Estado de México y Municipios; no obstante, los ya mencionados Glosarios la definen como: </w:t>
      </w:r>
    </w:p>
    <w:p w14:paraId="58092DA2" w14:textId="77777777" w:rsidR="003E4E89" w:rsidRPr="00964919" w:rsidRDefault="003E4E89">
      <w:pPr>
        <w:spacing w:after="0"/>
        <w:ind w:left="851" w:right="902"/>
        <w:jc w:val="both"/>
        <w:rPr>
          <w:rFonts w:ascii="Palatino Linotype" w:eastAsia="Palatino Linotype" w:hAnsi="Palatino Linotype" w:cs="Palatino Linotype"/>
          <w:i/>
        </w:rPr>
      </w:pPr>
    </w:p>
    <w:p w14:paraId="732888E6" w14:textId="77777777" w:rsidR="003E4E89" w:rsidRPr="00964919" w:rsidRDefault="000D4BA5">
      <w:pPr>
        <w:spacing w:after="0"/>
        <w:ind w:left="851" w:right="616"/>
        <w:jc w:val="both"/>
        <w:rPr>
          <w:rFonts w:ascii="Palatino Linotype" w:eastAsia="Palatino Linotype" w:hAnsi="Palatino Linotype" w:cs="Palatino Linotype"/>
          <w:b/>
          <w:i/>
        </w:rPr>
      </w:pPr>
      <w:r w:rsidRPr="00964919">
        <w:rPr>
          <w:rFonts w:ascii="Palatino Linotype" w:eastAsia="Palatino Linotype" w:hAnsi="Palatino Linotype" w:cs="Palatino Linotype"/>
          <w:i/>
        </w:rPr>
        <w:t>“</w:t>
      </w:r>
      <w:r w:rsidRPr="00964919">
        <w:rPr>
          <w:rFonts w:ascii="Palatino Linotype" w:eastAsia="Palatino Linotype" w:hAnsi="Palatino Linotype" w:cs="Palatino Linotype"/>
          <w:b/>
          <w:i/>
        </w:rPr>
        <w:t>PÓLIZA CONTABLE</w:t>
      </w:r>
    </w:p>
    <w:p w14:paraId="7518D2B7" w14:textId="77777777" w:rsidR="003E4E89" w:rsidRPr="00964919" w:rsidRDefault="000D4BA5">
      <w:pPr>
        <w:spacing w:after="0"/>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t>Documento en el cual se asientan en forma individual todas y cada una de las operaciones desarrolladas por una institución, así como la información necesaria para la identificación de dichas operaciones.” (sic)</w:t>
      </w:r>
    </w:p>
    <w:p w14:paraId="5458BDBA" w14:textId="77777777" w:rsidR="003E4E89" w:rsidRPr="00964919" w:rsidRDefault="003E4E89">
      <w:pPr>
        <w:spacing w:after="120"/>
        <w:ind w:left="851" w:right="899"/>
        <w:jc w:val="both"/>
        <w:rPr>
          <w:rFonts w:ascii="Palatino Linotype" w:eastAsia="Palatino Linotype" w:hAnsi="Palatino Linotype" w:cs="Palatino Linotype"/>
          <w:i/>
        </w:rPr>
      </w:pPr>
    </w:p>
    <w:p w14:paraId="6B735D29" w14:textId="77777777" w:rsidR="003E4E89" w:rsidRPr="00964919" w:rsidRDefault="000D4BA5">
      <w:pPr>
        <w:spacing w:before="120" w:after="0"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rPr>
        <w:t xml:space="preserve">Así, se advierte que la </w:t>
      </w:r>
      <w:r w:rsidRPr="00964919">
        <w:rPr>
          <w:rFonts w:ascii="Palatino Linotype" w:eastAsia="Palatino Linotype" w:hAnsi="Palatino Linotype" w:cs="Palatino Linotype"/>
          <w:i/>
        </w:rPr>
        <w:t>póliza contable</w:t>
      </w:r>
      <w:r w:rsidRPr="00964919">
        <w:rPr>
          <w:rFonts w:ascii="Palatino Linotype" w:eastAsia="Palatino Linotype" w:hAnsi="Palatino Linotype" w:cs="Palatino Linotype"/>
        </w:rPr>
        <w:t xml:space="preserve"> constituye un registro contable y presupuestal con el que cuentan los Municipios para el registro de sus operaciones relacionadas con sus ingresos y egresos y se anexan los documentos o comprobantes que justifiquen las anotaciones y cantidades en ellas registradas, lo que permite la identificación plena de dichas operaciones. </w:t>
      </w:r>
    </w:p>
    <w:p w14:paraId="43C9F0DF" w14:textId="77777777" w:rsidR="003E4E89" w:rsidRPr="00964919" w:rsidRDefault="003E4E89">
      <w:pPr>
        <w:spacing w:after="0" w:line="360" w:lineRule="auto"/>
        <w:jc w:val="both"/>
        <w:rPr>
          <w:rFonts w:ascii="Palatino Linotype" w:eastAsia="Palatino Linotype" w:hAnsi="Palatino Linotype" w:cs="Palatino Linotype"/>
        </w:rPr>
      </w:pPr>
    </w:p>
    <w:p w14:paraId="352A61F8" w14:textId="77777777" w:rsidR="003E4E89" w:rsidRPr="00964919" w:rsidRDefault="000D4BA5">
      <w:pPr>
        <w:spacing w:after="0"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rPr>
        <w:t xml:space="preserve">En este sentido, existen diversos tipos de pólizas contables de acuerdo a las operaciones realizadas, dentro de las cuales, encontramos las llamadas </w:t>
      </w:r>
      <w:r w:rsidRPr="00964919">
        <w:rPr>
          <w:rFonts w:ascii="Palatino Linotype" w:eastAsia="Palatino Linotype" w:hAnsi="Palatino Linotype" w:cs="Palatino Linotype"/>
          <w:b/>
          <w:i/>
        </w:rPr>
        <w:t>pólizas de egresos</w:t>
      </w:r>
      <w:r w:rsidRPr="00964919">
        <w:rPr>
          <w:rFonts w:ascii="Palatino Linotype" w:eastAsia="Palatino Linotype" w:hAnsi="Palatino Linotype" w:cs="Palatino Linotype"/>
        </w:rPr>
        <w:t>, son aquellas en las cuales se anotan diariamente las operaciones que representan gastos, es decir, salidas de dinero para el</w:t>
      </w:r>
      <w:r w:rsidRPr="00964919">
        <w:rPr>
          <w:rFonts w:ascii="Palatino Linotype" w:eastAsia="Palatino Linotype" w:hAnsi="Palatino Linotype" w:cs="Palatino Linotype"/>
          <w:b/>
        </w:rPr>
        <w:t xml:space="preserve"> Sujeto Obligado</w:t>
      </w:r>
      <w:r w:rsidRPr="00964919">
        <w:rPr>
          <w:rFonts w:ascii="Palatino Linotype" w:eastAsia="Palatino Linotype" w:hAnsi="Palatino Linotype" w:cs="Palatino Linotype"/>
        </w:rPr>
        <w:t xml:space="preserve">, las que, además, deben encontrarse acompañadas de las documentales que sirven de soporte de dicho movimiento, además de que las pólizas contables deben ser integradas por el soporte documental del gasto efectuado, como es la suficiencia y la requisición. </w:t>
      </w:r>
    </w:p>
    <w:p w14:paraId="35FD4175" w14:textId="77777777" w:rsidR="003E4E89" w:rsidRPr="00964919" w:rsidRDefault="003E4E89">
      <w:pPr>
        <w:spacing w:after="0" w:line="360" w:lineRule="auto"/>
        <w:jc w:val="both"/>
        <w:rPr>
          <w:rFonts w:ascii="Palatino Linotype" w:eastAsia="Palatino Linotype" w:hAnsi="Palatino Linotype" w:cs="Palatino Linotype"/>
        </w:rPr>
      </w:pPr>
    </w:p>
    <w:p w14:paraId="4FC50197" w14:textId="77777777" w:rsidR="003E4E89" w:rsidRPr="00964919" w:rsidRDefault="000D4BA5">
      <w:pPr>
        <w:spacing w:after="0"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rPr>
        <w:t xml:space="preserve">En esta tesitura, los “Lineamientos para la integración y entrega del Informe Trimestral Municipal 2024”, emitidos por el Órgano Superior de Fiscalización del Estado de México, OSFEM, establecen los criterios, formatos y documentación necesaria para presentar los informes trimestrales por parte de los entes fiscalizables, integrando la información en cuatro Módulos, advirtiendo que el Módulo 1 cuenta con el submódulo “Pólizas”, mismo que contempla las pólizas de egresos con los respectivos documentos comprobatorios, información que se debe grabar en discos compactos, cada uno con un mes del trimestre, tal y como se muestra a continuación: </w:t>
      </w:r>
    </w:p>
    <w:p w14:paraId="53DAE0C3" w14:textId="77777777" w:rsidR="003E4E89" w:rsidRPr="00964919" w:rsidRDefault="003E4E89">
      <w:pPr>
        <w:spacing w:after="0" w:line="360" w:lineRule="auto"/>
        <w:jc w:val="both"/>
        <w:rPr>
          <w:rFonts w:ascii="Palatino Linotype" w:eastAsia="Palatino Linotype" w:hAnsi="Palatino Linotype" w:cs="Palatino Linotype"/>
        </w:rPr>
      </w:pPr>
    </w:p>
    <w:p w14:paraId="0EED69B1" w14:textId="77777777" w:rsidR="003E4E89" w:rsidRPr="00964919" w:rsidRDefault="000D4BA5">
      <w:pPr>
        <w:spacing w:after="0"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noProof/>
        </w:rPr>
        <w:lastRenderedPageBreak/>
        <w:drawing>
          <wp:inline distT="0" distB="0" distL="0" distR="0" wp14:anchorId="77DC55AD" wp14:editId="5ACFC74E">
            <wp:extent cx="5612130" cy="2334260"/>
            <wp:effectExtent l="0" t="0" r="0" b="0"/>
            <wp:docPr id="158852183"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10"/>
                    <a:srcRect/>
                    <a:stretch>
                      <a:fillRect/>
                    </a:stretch>
                  </pic:blipFill>
                  <pic:spPr>
                    <a:xfrm>
                      <a:off x="0" y="0"/>
                      <a:ext cx="5612130" cy="2334260"/>
                    </a:xfrm>
                    <a:prstGeom prst="rect">
                      <a:avLst/>
                    </a:prstGeom>
                    <a:ln/>
                  </pic:spPr>
                </pic:pic>
              </a:graphicData>
            </a:graphic>
          </wp:inline>
        </w:drawing>
      </w:r>
      <w:r w:rsidRPr="00964919">
        <w:rPr>
          <w:noProof/>
        </w:rPr>
        <mc:AlternateContent>
          <mc:Choice Requires="wpg">
            <w:drawing>
              <wp:anchor distT="0" distB="0" distL="114300" distR="114300" simplePos="0" relativeHeight="251658240" behindDoc="0" locked="0" layoutInCell="1" hidden="0" allowOverlap="1" wp14:anchorId="701DE61B" wp14:editId="461193CB">
                <wp:simplePos x="0" y="0"/>
                <wp:positionH relativeFrom="column">
                  <wp:posOffset>812800</wp:posOffset>
                </wp:positionH>
                <wp:positionV relativeFrom="paragraph">
                  <wp:posOffset>584200</wp:posOffset>
                </wp:positionV>
                <wp:extent cx="4746326" cy="217458"/>
                <wp:effectExtent l="0" t="0" r="0" b="0"/>
                <wp:wrapNone/>
                <wp:docPr id="158852179" name="Rectángulo 158852179"/>
                <wp:cNvGraphicFramePr/>
                <a:graphic xmlns:a="http://schemas.openxmlformats.org/drawingml/2006/main">
                  <a:graphicData uri="http://schemas.microsoft.com/office/word/2010/wordprocessingShape">
                    <wps:wsp>
                      <wps:cNvSpPr/>
                      <wps:spPr>
                        <a:xfrm>
                          <a:off x="2982362" y="3680796"/>
                          <a:ext cx="4727276" cy="198408"/>
                        </a:xfrm>
                        <a:prstGeom prst="rect">
                          <a:avLst/>
                        </a:prstGeom>
                        <a:noFill/>
                        <a:ln w="19050" cap="flat" cmpd="sng">
                          <a:solidFill>
                            <a:srgbClr val="FF0000"/>
                          </a:solidFill>
                          <a:prstDash val="solid"/>
                          <a:miter lim="800000"/>
                          <a:headEnd type="none" w="sm" len="sm"/>
                          <a:tailEnd type="none" w="sm" len="sm"/>
                        </a:ln>
                      </wps:spPr>
                      <wps:txbx>
                        <w:txbxContent>
                          <w:p w14:paraId="00173AB0" w14:textId="77777777" w:rsidR="003E4E89" w:rsidRDefault="003E4E89">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http://schemas.microsoft.com/office/tasks/2019/documenttasks" xmlns:cr="http://schemas.microsoft.com/office/comments/2020/reactions">
            <w:drawing>
              <wp:anchor allowOverlap="1" behindDoc="0" distB="0" distT="0" distL="114300" distR="114300" hidden="0" layoutInCell="1" locked="0" relativeHeight="0" simplePos="0">
                <wp:simplePos x="0" y="0"/>
                <wp:positionH relativeFrom="column">
                  <wp:posOffset>812800</wp:posOffset>
                </wp:positionH>
                <wp:positionV relativeFrom="paragraph">
                  <wp:posOffset>584200</wp:posOffset>
                </wp:positionV>
                <wp:extent cx="4746326" cy="217458"/>
                <wp:effectExtent b="0" l="0" r="0" t="0"/>
                <wp:wrapNone/>
                <wp:docPr id="158852179" name="image9.png"/>
                <a:graphic>
                  <a:graphicData uri="http://schemas.openxmlformats.org/drawingml/2006/picture">
                    <pic:pic>
                      <pic:nvPicPr>
                        <pic:cNvPr id="0" name="image9.png"/>
                        <pic:cNvPicPr preferRelativeResize="0"/>
                      </pic:nvPicPr>
                      <pic:blipFill>
                        <a:blip r:embed="rId11"/>
                        <a:srcRect/>
                        <a:stretch>
                          <a:fillRect/>
                        </a:stretch>
                      </pic:blipFill>
                      <pic:spPr>
                        <a:xfrm>
                          <a:off x="0" y="0"/>
                          <a:ext cx="4746326" cy="217458"/>
                        </a:xfrm>
                        <a:prstGeom prst="rect"/>
                        <a:ln/>
                      </pic:spPr>
                    </pic:pic>
                  </a:graphicData>
                </a:graphic>
              </wp:anchor>
            </w:drawing>
          </mc:Fallback>
        </mc:AlternateContent>
      </w:r>
    </w:p>
    <w:p w14:paraId="44FC5E67" w14:textId="77777777" w:rsidR="003E4E89" w:rsidRPr="00964919" w:rsidRDefault="000D4BA5">
      <w:pPr>
        <w:spacing w:after="0" w:line="360" w:lineRule="auto"/>
        <w:jc w:val="center"/>
        <w:rPr>
          <w:rFonts w:ascii="Palatino Linotype" w:eastAsia="Palatino Linotype" w:hAnsi="Palatino Linotype" w:cs="Palatino Linotype"/>
        </w:rPr>
      </w:pPr>
      <w:r w:rsidRPr="00964919">
        <w:rPr>
          <w:rFonts w:ascii="Palatino Linotype" w:eastAsia="Palatino Linotype" w:hAnsi="Palatino Linotype" w:cs="Palatino Linotype"/>
          <w:noProof/>
        </w:rPr>
        <w:drawing>
          <wp:inline distT="0" distB="0" distL="0" distR="0" wp14:anchorId="2B5FA17F" wp14:editId="0EC35B4F">
            <wp:extent cx="4515330" cy="4468859"/>
            <wp:effectExtent l="0" t="0" r="0" b="0"/>
            <wp:docPr id="158852186"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12"/>
                    <a:srcRect/>
                    <a:stretch>
                      <a:fillRect/>
                    </a:stretch>
                  </pic:blipFill>
                  <pic:spPr>
                    <a:xfrm>
                      <a:off x="0" y="0"/>
                      <a:ext cx="4515330" cy="4468859"/>
                    </a:xfrm>
                    <a:prstGeom prst="rect">
                      <a:avLst/>
                    </a:prstGeom>
                    <a:ln/>
                  </pic:spPr>
                </pic:pic>
              </a:graphicData>
            </a:graphic>
          </wp:inline>
        </w:drawing>
      </w:r>
    </w:p>
    <w:p w14:paraId="20BE6A9D" w14:textId="77777777" w:rsidR="003E4E89" w:rsidRPr="00964919" w:rsidRDefault="003E4E89">
      <w:pPr>
        <w:spacing w:after="0" w:line="360" w:lineRule="auto"/>
        <w:jc w:val="center"/>
        <w:rPr>
          <w:rFonts w:ascii="Palatino Linotype" w:eastAsia="Palatino Linotype" w:hAnsi="Palatino Linotype" w:cs="Palatino Linotype"/>
        </w:rPr>
      </w:pPr>
    </w:p>
    <w:p w14:paraId="440CD0AB" w14:textId="77777777" w:rsidR="003E4E89" w:rsidRPr="00964919" w:rsidRDefault="003E4E89">
      <w:pPr>
        <w:spacing w:after="0" w:line="360" w:lineRule="auto"/>
        <w:jc w:val="center"/>
        <w:rPr>
          <w:rFonts w:ascii="Palatino Linotype" w:eastAsia="Palatino Linotype" w:hAnsi="Palatino Linotype" w:cs="Palatino Linotype"/>
        </w:rPr>
      </w:pPr>
    </w:p>
    <w:p w14:paraId="3AADFC79" w14:textId="77777777" w:rsidR="003E4E89" w:rsidRPr="00964919" w:rsidRDefault="000D4BA5">
      <w:pPr>
        <w:spacing w:after="0" w:line="360" w:lineRule="auto"/>
        <w:jc w:val="center"/>
        <w:rPr>
          <w:rFonts w:ascii="Palatino Linotype" w:eastAsia="Palatino Linotype" w:hAnsi="Palatino Linotype" w:cs="Palatino Linotype"/>
        </w:rPr>
      </w:pPr>
      <w:r w:rsidRPr="00964919">
        <w:rPr>
          <w:rFonts w:ascii="Palatino Linotype" w:eastAsia="Palatino Linotype" w:hAnsi="Palatino Linotype" w:cs="Palatino Linotype"/>
          <w:noProof/>
        </w:rPr>
        <w:lastRenderedPageBreak/>
        <w:drawing>
          <wp:inline distT="0" distB="0" distL="0" distR="0" wp14:anchorId="779294D3" wp14:editId="4D646C85">
            <wp:extent cx="4392224" cy="1040263"/>
            <wp:effectExtent l="0" t="0" r="0" b="0"/>
            <wp:docPr id="15885218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3"/>
                    <a:srcRect/>
                    <a:stretch>
                      <a:fillRect/>
                    </a:stretch>
                  </pic:blipFill>
                  <pic:spPr>
                    <a:xfrm>
                      <a:off x="0" y="0"/>
                      <a:ext cx="4392224" cy="1040263"/>
                    </a:xfrm>
                    <a:prstGeom prst="rect">
                      <a:avLst/>
                    </a:prstGeom>
                    <a:ln/>
                  </pic:spPr>
                </pic:pic>
              </a:graphicData>
            </a:graphic>
          </wp:inline>
        </w:drawing>
      </w:r>
    </w:p>
    <w:p w14:paraId="3FBB8B51" w14:textId="77777777" w:rsidR="003E4E89" w:rsidRPr="00964919" w:rsidRDefault="000D4BA5">
      <w:pPr>
        <w:spacing w:after="0" w:line="360" w:lineRule="auto"/>
        <w:jc w:val="center"/>
        <w:rPr>
          <w:rFonts w:ascii="Palatino Linotype" w:eastAsia="Palatino Linotype" w:hAnsi="Palatino Linotype" w:cs="Palatino Linotype"/>
        </w:rPr>
      </w:pPr>
      <w:r w:rsidRPr="00964919">
        <w:rPr>
          <w:rFonts w:ascii="Palatino Linotype" w:eastAsia="Palatino Linotype" w:hAnsi="Palatino Linotype" w:cs="Palatino Linotype"/>
          <w:noProof/>
        </w:rPr>
        <w:drawing>
          <wp:inline distT="0" distB="0" distL="0" distR="0" wp14:anchorId="20A40C8D" wp14:editId="508235B8">
            <wp:extent cx="4316294" cy="3738542"/>
            <wp:effectExtent l="0" t="0" r="0" b="0"/>
            <wp:docPr id="158852188"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14"/>
                    <a:srcRect/>
                    <a:stretch>
                      <a:fillRect/>
                    </a:stretch>
                  </pic:blipFill>
                  <pic:spPr>
                    <a:xfrm>
                      <a:off x="0" y="0"/>
                      <a:ext cx="4316294" cy="3738542"/>
                    </a:xfrm>
                    <a:prstGeom prst="rect">
                      <a:avLst/>
                    </a:prstGeom>
                    <a:ln/>
                  </pic:spPr>
                </pic:pic>
              </a:graphicData>
            </a:graphic>
          </wp:inline>
        </w:drawing>
      </w:r>
    </w:p>
    <w:p w14:paraId="18DC88B5" w14:textId="77777777" w:rsidR="003E4E89" w:rsidRPr="00964919" w:rsidRDefault="003E4E89">
      <w:pPr>
        <w:pBdr>
          <w:top w:val="nil"/>
          <w:left w:val="nil"/>
          <w:bottom w:val="nil"/>
          <w:right w:val="nil"/>
          <w:between w:val="nil"/>
        </w:pBdr>
        <w:spacing w:line="360" w:lineRule="auto"/>
        <w:ind w:right="49"/>
        <w:jc w:val="both"/>
        <w:rPr>
          <w:rFonts w:ascii="Palatino Linotype" w:eastAsia="Palatino Linotype" w:hAnsi="Palatino Linotype" w:cs="Palatino Linotype"/>
        </w:rPr>
      </w:pPr>
    </w:p>
    <w:p w14:paraId="5F7538E8" w14:textId="77777777" w:rsidR="003E4E89" w:rsidRPr="00964919" w:rsidRDefault="000D4BA5">
      <w:pPr>
        <w:pBdr>
          <w:top w:val="nil"/>
          <w:left w:val="nil"/>
          <w:bottom w:val="nil"/>
          <w:right w:val="nil"/>
          <w:between w:val="nil"/>
        </w:pBdr>
        <w:spacing w:line="360" w:lineRule="auto"/>
        <w:ind w:right="49"/>
        <w:jc w:val="both"/>
        <w:rPr>
          <w:rFonts w:ascii="Palatino Linotype" w:eastAsia="Palatino Linotype" w:hAnsi="Palatino Linotype" w:cs="Palatino Linotype"/>
        </w:rPr>
      </w:pPr>
      <w:r w:rsidRPr="00964919">
        <w:rPr>
          <w:rFonts w:ascii="Palatino Linotype" w:eastAsia="Palatino Linotype" w:hAnsi="Palatino Linotype" w:cs="Palatino Linotype"/>
        </w:rPr>
        <w:t xml:space="preserve">De lo anterior se advierte primeramente que el </w:t>
      </w:r>
      <w:r w:rsidRPr="00964919">
        <w:rPr>
          <w:rFonts w:ascii="Palatino Linotype" w:eastAsia="Palatino Linotype" w:hAnsi="Palatino Linotype" w:cs="Palatino Linotype"/>
          <w:b/>
        </w:rPr>
        <w:t>Sujeto Obligado</w:t>
      </w:r>
      <w:r w:rsidRPr="00964919">
        <w:rPr>
          <w:rFonts w:ascii="Palatino Linotype" w:eastAsia="Palatino Linotype" w:hAnsi="Palatino Linotype" w:cs="Palatino Linotype"/>
        </w:rPr>
        <w:t xml:space="preserve"> cuenta con atribuciones para generar, poseer y/o administrar la información solicitada, toda vez que son documentos que el Ayuntamiento genera en el ejercicio de sus atribuciones, ya que las pólizas de egresos dan cuenta de las operaciones contables en las que se produzca una salida de efectivo o erogaciones, mismas que deben de acompañarse de sus documentos comprobatorios, es decir, las facturas. </w:t>
      </w:r>
    </w:p>
    <w:p w14:paraId="2F14FC1E" w14:textId="77777777" w:rsidR="003E4E89" w:rsidRPr="00964919" w:rsidRDefault="003E4E89">
      <w:pPr>
        <w:pBdr>
          <w:top w:val="nil"/>
          <w:left w:val="nil"/>
          <w:bottom w:val="nil"/>
          <w:right w:val="nil"/>
          <w:between w:val="nil"/>
        </w:pBdr>
        <w:spacing w:line="360" w:lineRule="auto"/>
        <w:ind w:right="49"/>
        <w:jc w:val="both"/>
        <w:rPr>
          <w:rFonts w:ascii="Palatino Linotype" w:eastAsia="Palatino Linotype" w:hAnsi="Palatino Linotype" w:cs="Palatino Linotype"/>
        </w:rPr>
      </w:pPr>
    </w:p>
    <w:p w14:paraId="5318CA96" w14:textId="77777777" w:rsidR="003E4E89" w:rsidRPr="00964919" w:rsidRDefault="000D4BA5">
      <w:pPr>
        <w:spacing w:line="360" w:lineRule="auto"/>
        <w:ind w:right="-91"/>
        <w:jc w:val="both"/>
        <w:rPr>
          <w:rFonts w:ascii="Palatino Linotype" w:eastAsia="Palatino Linotype" w:hAnsi="Palatino Linotype" w:cs="Palatino Linotype"/>
        </w:rPr>
      </w:pPr>
      <w:r w:rsidRPr="00964919">
        <w:rPr>
          <w:rFonts w:ascii="Palatino Linotype" w:eastAsia="Palatino Linotype" w:hAnsi="Palatino Linotype" w:cs="Palatino Linotype"/>
        </w:rPr>
        <w:lastRenderedPageBreak/>
        <w:t xml:space="preserve">Bajo esa premisa, cabe recordar que, en </w:t>
      </w:r>
      <w:r w:rsidRPr="00964919">
        <w:rPr>
          <w:rFonts w:ascii="Palatino Linotype" w:eastAsia="Palatino Linotype" w:hAnsi="Palatino Linotype" w:cs="Palatino Linotype"/>
          <w:color w:val="0D0D0D"/>
        </w:rPr>
        <w:t xml:space="preserve">respuesta el </w:t>
      </w:r>
      <w:r w:rsidRPr="00964919">
        <w:rPr>
          <w:rFonts w:ascii="Palatino Linotype" w:eastAsia="Palatino Linotype" w:hAnsi="Palatino Linotype" w:cs="Palatino Linotype"/>
          <w:b/>
          <w:color w:val="0D0D0D"/>
        </w:rPr>
        <w:t>Sujeto Obligado</w:t>
      </w:r>
      <w:r w:rsidRPr="00964919">
        <w:rPr>
          <w:rFonts w:ascii="Palatino Linotype" w:eastAsia="Palatino Linotype" w:hAnsi="Palatino Linotype" w:cs="Palatino Linotype"/>
          <w:color w:val="0D0D0D"/>
        </w:rPr>
        <w:t xml:space="preserve"> informó el </w:t>
      </w:r>
      <w:r w:rsidRPr="00964919">
        <w:rPr>
          <w:rFonts w:ascii="Palatino Linotype" w:eastAsia="Palatino Linotype" w:hAnsi="Palatino Linotype" w:cs="Palatino Linotype"/>
        </w:rPr>
        <w:t>cambio la modalidad de entrega en consulta directa, esto es con la entrega del acta del Comité de Transparencia en el que se aprobó el cambio de modalidad, derivado a la carga de trabajo de las áreas, la falta de capacidad técnica, humana, material y las más de 1,185 solicitudes que llegaron a las distintas áreas.</w:t>
      </w:r>
    </w:p>
    <w:p w14:paraId="7920C577" w14:textId="77777777" w:rsidR="003E4E89" w:rsidRPr="00964919" w:rsidRDefault="000D4BA5">
      <w:pPr>
        <w:spacing w:line="360" w:lineRule="auto"/>
        <w:ind w:right="-28"/>
        <w:jc w:val="both"/>
        <w:rPr>
          <w:rFonts w:ascii="Palatino Linotype" w:eastAsia="Palatino Linotype" w:hAnsi="Palatino Linotype" w:cs="Palatino Linotype"/>
        </w:rPr>
      </w:pPr>
      <w:r w:rsidRPr="00964919">
        <w:rPr>
          <w:rFonts w:ascii="Palatino Linotype" w:eastAsia="Palatino Linotype" w:hAnsi="Palatino Linotype" w:cs="Palatino Linotype"/>
        </w:rPr>
        <w:t xml:space="preserve">Al respecto, conviene mencionar que </w:t>
      </w:r>
      <w:r w:rsidRPr="00964919">
        <w:rPr>
          <w:rFonts w:ascii="Palatino Linotype" w:eastAsia="Palatino Linotype" w:hAnsi="Palatino Linotype" w:cs="Palatino Linotype"/>
          <w:color w:val="000000"/>
        </w:rPr>
        <w:t>e</w:t>
      </w:r>
      <w:r w:rsidRPr="00964919">
        <w:rPr>
          <w:rFonts w:ascii="Palatino Linotype" w:eastAsia="Palatino Linotype" w:hAnsi="Palatino Linotype" w:cs="Palatino Linotype"/>
        </w:rPr>
        <w:t xml:space="preserve">l artículo 155, fracción V, de la Ley de Transparencia y Acceso a la Información Pública del Estado de México y Municipios, precisa que para presentar una solicitud, el particular podrá señalar </w:t>
      </w:r>
      <w:r w:rsidRPr="00964919">
        <w:rPr>
          <w:rFonts w:ascii="Palatino Linotype" w:eastAsia="Palatino Linotype" w:hAnsi="Palatino Linotype" w:cs="Palatino Linotype"/>
          <w:b/>
        </w:rPr>
        <w:t>la modalidad en la que prefiere se otorgue el acceso a la información</w:t>
      </w:r>
      <w:r w:rsidRPr="00964919">
        <w:rPr>
          <w:rFonts w:ascii="Palatino Linotype" w:eastAsia="Palatino Linotype" w:hAnsi="Palatino Linotype" w:cs="Palatino Linotype"/>
        </w:rPr>
        <w:t>, la cual podrá ser verbal, siempre y cuando sea para fines de orientación, mediante consulta directa, mediante la expedición de copias simples o certificadas o la reproducción en cualquier otro medio, incluidos los electrónicos.</w:t>
      </w:r>
    </w:p>
    <w:p w14:paraId="7944526C" w14:textId="77777777" w:rsidR="003E4E89" w:rsidRPr="00964919" w:rsidRDefault="000D4BA5">
      <w:pPr>
        <w:spacing w:line="360" w:lineRule="auto"/>
        <w:ind w:right="-28"/>
        <w:jc w:val="both"/>
        <w:rPr>
          <w:rFonts w:ascii="Palatino Linotype" w:eastAsia="Palatino Linotype" w:hAnsi="Palatino Linotype" w:cs="Palatino Linotype"/>
          <w:b/>
        </w:rPr>
      </w:pPr>
      <w:r w:rsidRPr="00964919">
        <w:rPr>
          <w:rFonts w:ascii="Palatino Linotype" w:eastAsia="Palatino Linotype" w:hAnsi="Palatino Linotype" w:cs="Palatino Linotype"/>
        </w:rPr>
        <w:t xml:space="preserve">El artículo 158, dispone que, de manera excepcional, cuando de manera fundada y motivada lo determine el Sujeto Obligado, </w:t>
      </w:r>
      <w:r w:rsidRPr="00964919">
        <w:rPr>
          <w:rFonts w:ascii="Palatino Linotype" w:eastAsia="Palatino Linotype" w:hAnsi="Palatino Linotype" w:cs="Palatino Linotype"/>
          <w:b/>
        </w:rPr>
        <w:t>en los casos en que la entrega de la información que se encuentre a su disposición sobrepase las capacidades técnicas, administrativas y humanas del Sujeto Obligado para cumplir con la solicitud, se podrá poner a disposición del solicitante la información en consulta directa.</w:t>
      </w:r>
    </w:p>
    <w:p w14:paraId="4D1B0487" w14:textId="77777777" w:rsidR="003E4E89" w:rsidRPr="00964919" w:rsidRDefault="000D4BA5">
      <w:pPr>
        <w:spacing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rPr>
        <w:t xml:space="preserve">En ese orden de ideas, el artículo 164 de dicho ordenamiento jurídico, prevé que el acceso se dará en la modalidad de entrega y, en su caso, de envío elegidos por el solicitante. </w:t>
      </w:r>
      <w:r w:rsidRPr="00964919">
        <w:rPr>
          <w:rFonts w:ascii="Palatino Linotype" w:eastAsia="Palatino Linotype" w:hAnsi="Palatino Linotype" w:cs="Palatino Linotype"/>
          <w:b/>
        </w:rPr>
        <w:t>Cuando la información no pueda entregarse o enviarse en la modalidad elegida, el Sujeto Obligado deberá ofrecer otra u otras modalidades de entrega.</w:t>
      </w:r>
      <w:r w:rsidRPr="00964919">
        <w:rPr>
          <w:rFonts w:ascii="Palatino Linotype" w:eastAsia="Palatino Linotype" w:hAnsi="Palatino Linotype" w:cs="Palatino Linotype"/>
        </w:rPr>
        <w:t xml:space="preserve"> En cualquier caso, </w:t>
      </w:r>
      <w:r w:rsidRPr="00964919">
        <w:rPr>
          <w:rFonts w:ascii="Palatino Linotype" w:eastAsia="Palatino Linotype" w:hAnsi="Palatino Linotype" w:cs="Palatino Linotype"/>
          <w:b/>
        </w:rPr>
        <w:t>se deberá fundar y motivar</w:t>
      </w:r>
      <w:r w:rsidRPr="00964919">
        <w:rPr>
          <w:rFonts w:ascii="Palatino Linotype" w:eastAsia="Palatino Linotype" w:hAnsi="Palatino Linotype" w:cs="Palatino Linotype"/>
        </w:rPr>
        <w:t xml:space="preserve"> la necesidad de ofrecer otras modalidades.</w:t>
      </w:r>
    </w:p>
    <w:p w14:paraId="20897C4C" w14:textId="77777777" w:rsidR="003E4E89" w:rsidRPr="00964919" w:rsidRDefault="000D4BA5">
      <w:pPr>
        <w:spacing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rPr>
        <w:t xml:space="preserve">Para lo cual, conforme al artículo 174 de la Ley de la materia, indica que los costos de reproducción y, en su caso, de envío para la obtención de la información deberán ser cubiertos por el solicitante de manera previa a la entrega por parte del Sujeto Obligado. En tales consideraciones, la entrega deberá hacerse, </w:t>
      </w:r>
      <w:r w:rsidRPr="00964919">
        <w:rPr>
          <w:rFonts w:ascii="Palatino Linotype" w:eastAsia="Palatino Linotype" w:hAnsi="Palatino Linotype" w:cs="Palatino Linotype"/>
          <w:b/>
        </w:rPr>
        <w:t xml:space="preserve">en la medida de lo posible, en la forma </w:t>
      </w:r>
      <w:r w:rsidRPr="00964919">
        <w:rPr>
          <w:rFonts w:ascii="Palatino Linotype" w:eastAsia="Palatino Linotype" w:hAnsi="Palatino Linotype" w:cs="Palatino Linotype"/>
          <w:b/>
        </w:rPr>
        <w:lastRenderedPageBreak/>
        <w:t>solicitada por el interesado, salvo que exista un impedimento justificado para atenderla</w:t>
      </w:r>
      <w:r w:rsidRPr="00964919">
        <w:rPr>
          <w:rFonts w:ascii="Palatino Linotype" w:eastAsia="Palatino Linotype" w:hAnsi="Palatino Linotype" w:cs="Palatino Linotype"/>
        </w:rPr>
        <w:t xml:space="preserve">, en cuyo caso, deberán exponerse las razones por las cuales no es posible utilizar el medio de reproducción solicitado; en este sentido, la entrega de la información en una modalidad distinta a la elegida por la particular </w:t>
      </w:r>
      <w:r w:rsidRPr="00964919">
        <w:rPr>
          <w:rFonts w:ascii="Palatino Linotype" w:eastAsia="Palatino Linotype" w:hAnsi="Palatino Linotype" w:cs="Palatino Linotype"/>
          <w:b/>
        </w:rPr>
        <w:t>sólo procede, en caso de que se acredite la imposibilidad de atenderla.</w:t>
      </w:r>
      <w:r w:rsidRPr="00964919">
        <w:rPr>
          <w:rFonts w:ascii="Palatino Linotype" w:eastAsia="Palatino Linotype" w:hAnsi="Palatino Linotype" w:cs="Palatino Linotype"/>
        </w:rPr>
        <w:t xml:space="preserve"> </w:t>
      </w:r>
    </w:p>
    <w:p w14:paraId="55722D80" w14:textId="77777777" w:rsidR="003E4E89" w:rsidRPr="00964919" w:rsidRDefault="000D4BA5">
      <w:pPr>
        <w:spacing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rPr>
        <w:t xml:space="preserve">Así, cuando se justifique el impedimento, </w:t>
      </w:r>
      <w:r w:rsidRPr="00964919">
        <w:rPr>
          <w:rFonts w:ascii="Palatino Linotype" w:eastAsia="Palatino Linotype" w:hAnsi="Palatino Linotype" w:cs="Palatino Linotype"/>
          <w:b/>
        </w:rPr>
        <w:t>los Sujetos Obligados deberán ofrecer al particular otras modalidades de entrega que permita la información</w:t>
      </w:r>
      <w:r w:rsidRPr="00964919">
        <w:rPr>
          <w:rFonts w:ascii="Palatino Linotype" w:eastAsia="Palatino Linotype" w:hAnsi="Palatino Linotype" w:cs="Palatino Linotype"/>
        </w:rPr>
        <w:t>, como consulta directa en las oficinas de la Unidad de Transparencia; lo anterior, es robustecido con el Criterio 08/17, emitido por el Pleno del Instituto Nacional de Transparencia, Acceso a la Información y Protección de Datos Personales, el cual establece lo siguiente:</w:t>
      </w:r>
    </w:p>
    <w:p w14:paraId="184862B1" w14:textId="77777777" w:rsidR="003E4E89" w:rsidRPr="00964919" w:rsidRDefault="000D4BA5">
      <w:pPr>
        <w:ind w:left="851" w:right="567"/>
        <w:jc w:val="both"/>
        <w:rPr>
          <w:rFonts w:ascii="Palatino Linotype" w:eastAsia="Palatino Linotype" w:hAnsi="Palatino Linotype" w:cs="Palatino Linotype"/>
          <w:i/>
        </w:rPr>
      </w:pPr>
      <w:r w:rsidRPr="00964919">
        <w:rPr>
          <w:rFonts w:ascii="Palatino Linotype" w:eastAsia="Palatino Linotype" w:hAnsi="Palatino Linotype" w:cs="Palatino Linotype"/>
          <w:b/>
          <w:i/>
        </w:rPr>
        <w:t>“Modalidad de entrega. Procedencia de proporcionar la información solicitada en una diversa a la elegida por el solicitante.</w:t>
      </w:r>
      <w:r w:rsidRPr="00964919">
        <w:rPr>
          <w:rFonts w:ascii="Palatino Linotype" w:eastAsia="Palatino Linotype" w:hAnsi="Palatino Linotype" w:cs="Palatino Linotype"/>
          <w:i/>
        </w:rPr>
        <w:t xml:space="preserve"> De una interpretación a los artículos 133 de la Ley General de Transparencia y Acceso a la Información Pública y 136 de la Ley Federal de Transparencia y Acceso a la Información Pública, cuando no sea posible atender la modalidad elegida, la obligación de acceso a la información se tendrá por cumplida cuando el sujeto obligado: a) justifique el impedimento para atender la misma y b) se notifique al particular la disposición de la información en todas las modalidades que permita el documento de que se trate, procurando reducir, en todo momento, los costos de entrega.”</w:t>
      </w:r>
    </w:p>
    <w:p w14:paraId="2BFED5F3" w14:textId="77777777" w:rsidR="003E4E89" w:rsidRPr="00964919" w:rsidRDefault="003E4E89">
      <w:pPr>
        <w:ind w:left="567" w:right="567"/>
        <w:jc w:val="both"/>
        <w:rPr>
          <w:rFonts w:ascii="Palatino Linotype" w:eastAsia="Palatino Linotype" w:hAnsi="Palatino Linotype" w:cs="Palatino Linotype"/>
          <w:i/>
        </w:rPr>
      </w:pPr>
    </w:p>
    <w:p w14:paraId="6A62A736" w14:textId="77777777" w:rsidR="003E4E89" w:rsidRPr="00964919" w:rsidRDefault="000D4BA5">
      <w:pPr>
        <w:spacing w:line="360" w:lineRule="auto"/>
        <w:jc w:val="both"/>
        <w:rPr>
          <w:rFonts w:ascii="Palatino Linotype" w:eastAsia="Palatino Linotype" w:hAnsi="Palatino Linotype" w:cs="Palatino Linotype"/>
          <w:b/>
        </w:rPr>
      </w:pPr>
      <w:r w:rsidRPr="00964919">
        <w:rPr>
          <w:rFonts w:ascii="Palatino Linotype" w:eastAsia="Palatino Linotype" w:hAnsi="Palatino Linotype" w:cs="Palatino Linotype"/>
        </w:rPr>
        <w:t xml:space="preserve">Del citado criterio, se desprende que cuando no sea posible atender la modalidad elegida por los solicitantes, la obligación de acceso a la información se tendrá por cumplida cuando el </w:t>
      </w:r>
      <w:r w:rsidRPr="00964919">
        <w:rPr>
          <w:rFonts w:ascii="Palatino Linotype" w:eastAsia="Palatino Linotype" w:hAnsi="Palatino Linotype" w:cs="Palatino Linotype"/>
          <w:b/>
        </w:rPr>
        <w:t>Sujeto Obligado</w:t>
      </w:r>
      <w:r w:rsidRPr="00964919">
        <w:rPr>
          <w:rFonts w:ascii="Palatino Linotype" w:eastAsia="Palatino Linotype" w:hAnsi="Palatino Linotype" w:cs="Palatino Linotype"/>
        </w:rPr>
        <w:t xml:space="preserve"> justifique el impedimento para atender la misma y se notifique al particular la puesta a disposición de la </w:t>
      </w:r>
      <w:r w:rsidRPr="00964919">
        <w:rPr>
          <w:rFonts w:ascii="Palatino Linotype" w:eastAsia="Palatino Linotype" w:hAnsi="Palatino Linotype" w:cs="Palatino Linotype"/>
          <w:b/>
        </w:rPr>
        <w:t>información en todas las modalidades que lo permitan, procurando reducir los costos de entrega.</w:t>
      </w:r>
    </w:p>
    <w:p w14:paraId="65B5BDF2" w14:textId="77777777" w:rsidR="003E4E89" w:rsidRPr="00964919" w:rsidRDefault="000D4BA5">
      <w:pPr>
        <w:spacing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rPr>
        <w:t xml:space="preserve">Además, según Calero, Natalia (2016), en la “Ley General de Transparencia y Acceso a la Información Pública Comentada” (pág. 401), cuando los sujetos obligados ofrezcan como modalidad de entrega de la información, consulta directa, estos deberán fundar y motivar </w:t>
      </w:r>
      <w:r w:rsidRPr="00964919">
        <w:rPr>
          <w:rFonts w:ascii="Palatino Linotype" w:eastAsia="Palatino Linotype" w:hAnsi="Palatino Linotype" w:cs="Palatino Linotype"/>
        </w:rPr>
        <w:lastRenderedPageBreak/>
        <w:t>las razones por las cuales no es posible otorgar el acceso a los documentos de otra forma; además que se deberá explicar de manera detallada lo siguiente:</w:t>
      </w:r>
    </w:p>
    <w:p w14:paraId="0844EC5F" w14:textId="77777777" w:rsidR="003E4E89" w:rsidRPr="00964919" w:rsidRDefault="000D4BA5">
      <w:pPr>
        <w:numPr>
          <w:ilvl w:val="0"/>
          <w:numId w:val="4"/>
        </w:numPr>
        <w:spacing w:after="0" w:line="360" w:lineRule="auto"/>
        <w:ind w:left="851" w:right="616"/>
        <w:jc w:val="both"/>
        <w:rPr>
          <w:rFonts w:ascii="Palatino Linotype" w:eastAsia="Palatino Linotype" w:hAnsi="Palatino Linotype" w:cs="Palatino Linotype"/>
        </w:rPr>
      </w:pPr>
      <w:r w:rsidRPr="00964919">
        <w:rPr>
          <w:rFonts w:ascii="Palatino Linotype" w:eastAsia="Palatino Linotype" w:hAnsi="Palatino Linotype" w:cs="Palatino Linotype"/>
        </w:rPr>
        <w:t>Las razones por las cuales la información implicaba un análisis, estudio o procesamiento de datos;</w:t>
      </w:r>
    </w:p>
    <w:p w14:paraId="572CAADD" w14:textId="77777777" w:rsidR="003E4E89" w:rsidRPr="00964919" w:rsidRDefault="000D4BA5">
      <w:pPr>
        <w:numPr>
          <w:ilvl w:val="0"/>
          <w:numId w:val="4"/>
        </w:numPr>
        <w:spacing w:after="0" w:line="360" w:lineRule="auto"/>
        <w:ind w:left="851" w:right="616"/>
        <w:jc w:val="both"/>
        <w:rPr>
          <w:rFonts w:ascii="Palatino Linotype" w:eastAsia="Palatino Linotype" w:hAnsi="Palatino Linotype" w:cs="Palatino Linotype"/>
        </w:rPr>
      </w:pPr>
      <w:r w:rsidRPr="00964919">
        <w:rPr>
          <w:rFonts w:ascii="Palatino Linotype" w:eastAsia="Palatino Linotype" w:hAnsi="Palatino Linotype" w:cs="Palatino Linotype"/>
        </w:rPr>
        <w:t>Por qué motivo el tiempo, que se le otorga al Sujeto Obligado para dar respuesta, en la modalidad elegida a la solicitud de información, no le es suficiente, y</w:t>
      </w:r>
    </w:p>
    <w:p w14:paraId="67A3BC85" w14:textId="77777777" w:rsidR="003E4E89" w:rsidRPr="00964919" w:rsidRDefault="000D4BA5">
      <w:pPr>
        <w:numPr>
          <w:ilvl w:val="0"/>
          <w:numId w:val="4"/>
        </w:numPr>
        <w:spacing w:after="0" w:line="360" w:lineRule="auto"/>
        <w:ind w:left="851" w:right="616"/>
        <w:jc w:val="both"/>
        <w:rPr>
          <w:rFonts w:ascii="Palatino Linotype" w:eastAsia="Palatino Linotype" w:hAnsi="Palatino Linotype" w:cs="Palatino Linotype"/>
        </w:rPr>
      </w:pPr>
      <w:r w:rsidRPr="00964919">
        <w:rPr>
          <w:rFonts w:ascii="Palatino Linotype" w:eastAsia="Palatino Linotype" w:hAnsi="Palatino Linotype" w:cs="Palatino Linotype"/>
        </w:rPr>
        <w:t>La cantidad de recursos humanos y materiales con los que cuenta el Sujeto Obligado son insuficientes.</w:t>
      </w:r>
    </w:p>
    <w:p w14:paraId="0F842B29" w14:textId="77777777" w:rsidR="003E4E89" w:rsidRPr="00964919" w:rsidRDefault="000D4BA5">
      <w:pPr>
        <w:spacing w:before="240" w:after="240" w:line="360" w:lineRule="auto"/>
        <w:ind w:right="49"/>
        <w:jc w:val="both"/>
        <w:rPr>
          <w:rFonts w:ascii="Palatino Linotype" w:eastAsia="Palatino Linotype" w:hAnsi="Palatino Linotype" w:cs="Palatino Linotype"/>
        </w:rPr>
      </w:pPr>
      <w:r w:rsidRPr="00964919">
        <w:rPr>
          <w:rFonts w:ascii="Palatino Linotype" w:eastAsia="Palatino Linotype" w:hAnsi="Palatino Linotype" w:cs="Palatino Linotype"/>
          <w:color w:val="000000"/>
        </w:rPr>
        <w:t xml:space="preserve">Ahora bien, es menester recordar que el </w:t>
      </w:r>
      <w:r w:rsidRPr="00964919">
        <w:rPr>
          <w:rFonts w:ascii="Palatino Linotype" w:eastAsia="Palatino Linotype" w:hAnsi="Palatino Linotype" w:cs="Palatino Linotype"/>
          <w:b/>
          <w:color w:val="000000"/>
        </w:rPr>
        <w:t xml:space="preserve">Sujeto Obligado, </w:t>
      </w:r>
      <w:r w:rsidRPr="00964919">
        <w:rPr>
          <w:rFonts w:ascii="Palatino Linotype" w:eastAsia="Palatino Linotype" w:hAnsi="Palatino Linotype" w:cs="Palatino Linotype"/>
        </w:rPr>
        <w:t>a través del requerimiento adicional realizado por este Organismo Garante, fue omiso en justificar lo siguiente:</w:t>
      </w:r>
    </w:p>
    <w:p w14:paraId="5C788C80" w14:textId="77777777" w:rsidR="003E4E89" w:rsidRPr="00964919" w:rsidRDefault="000D4BA5">
      <w:pPr>
        <w:widowControl w:val="0"/>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t xml:space="preserve">1. Manifieste, de manera clara y precisa, las razones y fundamentos suficientes que impiden a las unidades administrativas indicadas, la entrega de la información a través del SAIMEX. </w:t>
      </w:r>
    </w:p>
    <w:p w14:paraId="17B2E4B7" w14:textId="77777777" w:rsidR="003E4E89" w:rsidRPr="00964919" w:rsidRDefault="003E4E89">
      <w:pPr>
        <w:widowControl w:val="0"/>
        <w:spacing w:after="0" w:line="276" w:lineRule="auto"/>
        <w:ind w:left="851" w:right="616"/>
        <w:jc w:val="both"/>
        <w:rPr>
          <w:rFonts w:ascii="Palatino Linotype" w:eastAsia="Palatino Linotype" w:hAnsi="Palatino Linotype" w:cs="Palatino Linotype"/>
          <w:i/>
        </w:rPr>
      </w:pPr>
    </w:p>
    <w:p w14:paraId="44FD0EA1" w14:textId="77777777" w:rsidR="003E4E89" w:rsidRPr="00964919" w:rsidRDefault="000D4BA5">
      <w:pPr>
        <w:widowControl w:val="0"/>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t xml:space="preserve">2. Se refiera con exactitud, al cúmulo de información de que se trata, señalando el número de hojas y el peso aproximado de esta, y sí excede las capacidades del SAIMEX; esto mediante el reporte de incidencias realizado ante el área de soporte técnico de la Dirección General de Informática del INFOEM. </w:t>
      </w:r>
    </w:p>
    <w:p w14:paraId="3B2721A3" w14:textId="77777777" w:rsidR="003E4E89" w:rsidRPr="00964919" w:rsidRDefault="003E4E89">
      <w:pPr>
        <w:widowControl w:val="0"/>
        <w:spacing w:after="0" w:line="276" w:lineRule="auto"/>
        <w:ind w:left="851" w:right="616"/>
        <w:jc w:val="both"/>
        <w:rPr>
          <w:rFonts w:ascii="Palatino Linotype" w:eastAsia="Palatino Linotype" w:hAnsi="Palatino Linotype" w:cs="Palatino Linotype"/>
          <w:i/>
        </w:rPr>
      </w:pPr>
    </w:p>
    <w:p w14:paraId="67423A50" w14:textId="77777777" w:rsidR="003E4E89" w:rsidRPr="00964919" w:rsidRDefault="000D4BA5">
      <w:pPr>
        <w:widowControl w:val="0"/>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t>3. En caso de que la información solicitada, sobrepase las capacidades técnicas administrativas y humanas del Sujeto Obligado, remita los respectivos medios de convicción.</w:t>
      </w:r>
    </w:p>
    <w:p w14:paraId="72C3EF91" w14:textId="77777777" w:rsidR="003E4E89" w:rsidRPr="00964919" w:rsidRDefault="003E4E89">
      <w:pPr>
        <w:widowControl w:val="0"/>
        <w:spacing w:after="0"/>
        <w:jc w:val="both"/>
        <w:rPr>
          <w:rFonts w:ascii="Palatino Linotype" w:eastAsia="Palatino Linotype" w:hAnsi="Palatino Linotype" w:cs="Palatino Linotype"/>
        </w:rPr>
      </w:pPr>
    </w:p>
    <w:p w14:paraId="61CA8C14" w14:textId="77777777" w:rsidR="003E4E89" w:rsidRPr="00964919" w:rsidRDefault="000D4BA5">
      <w:pPr>
        <w:spacing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rPr>
        <w:t xml:space="preserve">No obstante a lo anterior, este Organismo Garante solicitó a través de correo electrónico al Personal de la Dirección General de Informática, que señalará si el </w:t>
      </w:r>
      <w:r w:rsidRPr="00964919">
        <w:rPr>
          <w:rFonts w:ascii="Palatino Linotype" w:eastAsia="Palatino Linotype" w:hAnsi="Palatino Linotype" w:cs="Palatino Linotype"/>
          <w:b/>
        </w:rPr>
        <w:t>Sujeto Obligado</w:t>
      </w:r>
      <w:r w:rsidRPr="00964919">
        <w:rPr>
          <w:rFonts w:ascii="Palatino Linotype" w:eastAsia="Palatino Linotype" w:hAnsi="Palatino Linotype" w:cs="Palatino Linotype"/>
        </w:rPr>
        <w:t xml:space="preserve"> inscribió en la bitácora alguna incidencia, en la cual se informará a este Instituto una imposibilidad para subir la información al Sistema de Acceso a la Información Mexiquense </w:t>
      </w:r>
      <w:r w:rsidRPr="00964919">
        <w:rPr>
          <w:rFonts w:ascii="Palatino Linotype" w:eastAsia="Palatino Linotype" w:hAnsi="Palatino Linotype" w:cs="Palatino Linotype"/>
        </w:rPr>
        <w:lastRenderedPageBreak/>
        <w:t xml:space="preserve">(SAIMEX), resultado de dicha consulta, la Dirección General de Informática del INFOEM, señaló mediante correo electrónico institucional, lo siguiente: </w:t>
      </w:r>
    </w:p>
    <w:p w14:paraId="326CC597" w14:textId="77777777" w:rsidR="003E4E89" w:rsidRPr="00964919" w:rsidRDefault="000D4BA5">
      <w:pPr>
        <w:spacing w:line="360" w:lineRule="auto"/>
        <w:jc w:val="center"/>
        <w:rPr>
          <w:rFonts w:ascii="Palatino Linotype" w:eastAsia="Palatino Linotype" w:hAnsi="Palatino Linotype" w:cs="Palatino Linotype"/>
        </w:rPr>
      </w:pPr>
      <w:r w:rsidRPr="00964919">
        <w:rPr>
          <w:rFonts w:ascii="Palatino Linotype" w:eastAsia="Palatino Linotype" w:hAnsi="Palatino Linotype" w:cs="Palatino Linotype"/>
          <w:noProof/>
        </w:rPr>
        <w:drawing>
          <wp:inline distT="0" distB="0" distL="0" distR="0" wp14:anchorId="2E53AC09" wp14:editId="5AFBA717">
            <wp:extent cx="5628152" cy="1263534"/>
            <wp:effectExtent l="0" t="0" r="0" b="0"/>
            <wp:docPr id="158852187"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5"/>
                    <a:srcRect/>
                    <a:stretch>
                      <a:fillRect/>
                    </a:stretch>
                  </pic:blipFill>
                  <pic:spPr>
                    <a:xfrm>
                      <a:off x="0" y="0"/>
                      <a:ext cx="5628152" cy="1263534"/>
                    </a:xfrm>
                    <a:prstGeom prst="rect">
                      <a:avLst/>
                    </a:prstGeom>
                    <a:ln/>
                  </pic:spPr>
                </pic:pic>
              </a:graphicData>
            </a:graphic>
          </wp:inline>
        </w:drawing>
      </w:r>
    </w:p>
    <w:p w14:paraId="11E50208" w14:textId="77777777" w:rsidR="003E4E89" w:rsidRPr="00964919" w:rsidRDefault="000D4BA5">
      <w:pPr>
        <w:spacing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rPr>
        <w:t xml:space="preserve">Por lo anterior, la Dirección General de Informática informó que no existen incidencias reportadas por el </w:t>
      </w:r>
      <w:r w:rsidRPr="00964919">
        <w:rPr>
          <w:rFonts w:ascii="Palatino Linotype" w:eastAsia="Palatino Linotype" w:hAnsi="Palatino Linotype" w:cs="Palatino Linotype"/>
          <w:b/>
        </w:rPr>
        <w:t>Sujeto Obligado</w:t>
      </w:r>
      <w:r w:rsidRPr="00964919">
        <w:rPr>
          <w:rFonts w:ascii="Palatino Linotype" w:eastAsia="Palatino Linotype" w:hAnsi="Palatino Linotype" w:cs="Palatino Linotype"/>
        </w:rPr>
        <w:t xml:space="preserve">, además señaló que el Sistema de Acceso a la Información Mexiquense (SAIMEX), cuenta con la capacidad de recibir archivos con un peso aproximado de hasta 500Mb, que corresponde a un aproximado de 8,000 hojas, por cada solicitud de acceso a la información pública. </w:t>
      </w:r>
    </w:p>
    <w:p w14:paraId="198BAE06" w14:textId="77777777" w:rsidR="003E4E89" w:rsidRPr="00964919" w:rsidRDefault="000D4BA5">
      <w:pPr>
        <w:spacing w:line="360" w:lineRule="auto"/>
        <w:jc w:val="both"/>
        <w:rPr>
          <w:rFonts w:ascii="Palatino Linotype" w:eastAsia="Palatino Linotype" w:hAnsi="Palatino Linotype" w:cs="Palatino Linotype"/>
          <w:color w:val="000000"/>
        </w:rPr>
      </w:pPr>
      <w:r w:rsidRPr="00964919">
        <w:rPr>
          <w:rFonts w:ascii="Palatino Linotype" w:eastAsia="Palatino Linotype" w:hAnsi="Palatino Linotype" w:cs="Palatino Linotype"/>
          <w:color w:val="000000"/>
        </w:rPr>
        <w:t xml:space="preserve">En ese contexto, este Instituto reitera que el </w:t>
      </w:r>
      <w:r w:rsidRPr="00964919">
        <w:rPr>
          <w:rFonts w:ascii="Palatino Linotype" w:eastAsia="Palatino Linotype" w:hAnsi="Palatino Linotype" w:cs="Palatino Linotype"/>
          <w:b/>
          <w:color w:val="000000"/>
        </w:rPr>
        <w:t>Sujeto Obligado</w:t>
      </w:r>
      <w:r w:rsidRPr="00964919">
        <w:rPr>
          <w:rFonts w:ascii="Palatino Linotype" w:eastAsia="Palatino Linotype" w:hAnsi="Palatino Linotype" w:cs="Palatino Linotype"/>
          <w:color w:val="000000"/>
        </w:rPr>
        <w:t xml:space="preserve"> no señaló de manera puntual</w:t>
      </w:r>
      <w:r w:rsidRPr="00964919">
        <w:rPr>
          <w:rFonts w:ascii="Palatino Linotype" w:eastAsia="Palatino Linotype" w:hAnsi="Palatino Linotype" w:cs="Palatino Linotype"/>
        </w:rPr>
        <w:t xml:space="preserve"> las </w:t>
      </w:r>
      <w:r w:rsidRPr="00964919">
        <w:rPr>
          <w:rFonts w:ascii="Palatino Linotype" w:eastAsia="Palatino Linotype" w:hAnsi="Palatino Linotype" w:cs="Palatino Linotype"/>
          <w:color w:val="000000"/>
        </w:rPr>
        <w:t>imposibilidades para dar atención a la solicitud relacionada con el recurso de revisión que ahora se resuelve.</w:t>
      </w:r>
    </w:p>
    <w:p w14:paraId="1E9FC9BD" w14:textId="77777777" w:rsidR="003E4E89" w:rsidRPr="00964919" w:rsidRDefault="000D4BA5">
      <w:pPr>
        <w:spacing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rPr>
        <w:t>Además, el</w:t>
      </w:r>
      <w:r w:rsidRPr="00964919">
        <w:rPr>
          <w:rFonts w:ascii="Palatino Linotype" w:eastAsia="Palatino Linotype" w:hAnsi="Palatino Linotype" w:cs="Palatino Linotype"/>
          <w:b/>
        </w:rPr>
        <w:t xml:space="preserve"> Sujeto Obligado</w:t>
      </w:r>
      <w:r w:rsidRPr="00964919">
        <w:rPr>
          <w:rFonts w:ascii="Palatino Linotype" w:eastAsia="Palatino Linotype" w:hAnsi="Palatino Linotype" w:cs="Palatino Linotype"/>
        </w:rPr>
        <w:t xml:space="preserve"> tampoco acreditó que lo peticionado implicaba un análisis, procesamiento o estudio de documentos cuya reproducción sobrepasará las capacidades técnicas, administrativas y humanas, aunado a ello, no se precisó el número de personas que se encontraban en las áreas, ni el formato y sí la información se debería entregar en versión pública; esto es, no proporcionó los elementos necesarios para acreditar el cambio de modalidad, pues no justificó dicho cambio.</w:t>
      </w:r>
    </w:p>
    <w:p w14:paraId="730B1BEB" w14:textId="77777777" w:rsidR="003E4E89" w:rsidRPr="00964919" w:rsidRDefault="000D4BA5">
      <w:pPr>
        <w:spacing w:line="360" w:lineRule="auto"/>
        <w:jc w:val="both"/>
        <w:rPr>
          <w:rFonts w:ascii="Palatino Linotype" w:eastAsia="Palatino Linotype" w:hAnsi="Palatino Linotype" w:cs="Palatino Linotype"/>
          <w:color w:val="000000"/>
        </w:rPr>
      </w:pPr>
      <w:r w:rsidRPr="00964919">
        <w:rPr>
          <w:rFonts w:ascii="Palatino Linotype" w:eastAsia="Palatino Linotype" w:hAnsi="Palatino Linotype" w:cs="Palatino Linotype"/>
        </w:rPr>
        <w:t xml:space="preserve">Asimismo, </w:t>
      </w:r>
      <w:r w:rsidRPr="00964919">
        <w:rPr>
          <w:rFonts w:ascii="Palatino Linotype" w:eastAsia="Palatino Linotype" w:hAnsi="Palatino Linotype" w:cs="Palatino Linotype"/>
          <w:color w:val="000000"/>
        </w:rPr>
        <w:t xml:space="preserve">el </w:t>
      </w:r>
      <w:r w:rsidRPr="00964919">
        <w:rPr>
          <w:rFonts w:ascii="Palatino Linotype" w:eastAsia="Palatino Linotype" w:hAnsi="Palatino Linotype" w:cs="Palatino Linotype"/>
          <w:b/>
          <w:color w:val="000000"/>
        </w:rPr>
        <w:t>Sujeto Obligado</w:t>
      </w:r>
      <w:r w:rsidRPr="00964919">
        <w:rPr>
          <w:rFonts w:ascii="Palatino Linotype" w:eastAsia="Palatino Linotype" w:hAnsi="Palatino Linotype" w:cs="Palatino Linotype"/>
          <w:color w:val="000000"/>
        </w:rPr>
        <w:t xml:space="preserve"> deberá hacer del conocimiento al Particular que la información estará disponible, por un plazo mínimo de sesenta días naturales, a partir de la fecha en que ponga a disposición de la parte </w:t>
      </w:r>
      <w:r w:rsidRPr="00964919">
        <w:rPr>
          <w:rFonts w:ascii="Palatino Linotype" w:eastAsia="Palatino Linotype" w:hAnsi="Palatino Linotype" w:cs="Palatino Linotype"/>
          <w:b/>
          <w:color w:val="000000"/>
        </w:rPr>
        <w:t>Recurrente</w:t>
      </w:r>
      <w:r w:rsidRPr="00964919">
        <w:rPr>
          <w:rFonts w:ascii="Palatino Linotype" w:eastAsia="Palatino Linotype" w:hAnsi="Palatino Linotype" w:cs="Palatino Linotype"/>
          <w:color w:val="000000"/>
        </w:rPr>
        <w:t xml:space="preserve"> la información, en términos del </w:t>
      </w:r>
      <w:r w:rsidRPr="00964919">
        <w:rPr>
          <w:rFonts w:ascii="Palatino Linotype" w:eastAsia="Palatino Linotype" w:hAnsi="Palatino Linotype" w:cs="Palatino Linotype"/>
          <w:color w:val="000000"/>
        </w:rPr>
        <w:lastRenderedPageBreak/>
        <w:t>segundo párrafo del artículo 166 de la Ley de Transparencia y Acceso a la Información Pública del Estado de México y Municipios.</w:t>
      </w:r>
    </w:p>
    <w:p w14:paraId="0C3AF26C" w14:textId="77777777" w:rsidR="003E4E89" w:rsidRPr="00964919" w:rsidRDefault="000D4BA5">
      <w:pPr>
        <w:spacing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rPr>
        <w:t xml:space="preserve">Sobre lo anterior, es de señalar que el Órgano Garante Nacional, a través de diversas resoluciones de los Recursos de Inconformidad, entre las cuales se encuentran el RIA 136/20, RIA 140/20, RIA 153/20 RIA 237/20, RIA 257/20, RIA 258/20, entre otros, ha considerado que no resultaba suficiente justificar una imposibilidad técnica y humana para acreditar un cambio de modalidad, sino que era necesario demostrar otros impedimentos, como la cantidad y formato de la documentación, que fuera de imposible reproducción en el medio elegido por los solicitantes, que la información ameritara el cruce de información en los sistemas de datos, entre otros. Además, precisan que no se debe ceñir el cambio de modalidad, directamente a consulta directa, sino que los sujetos obligados, deben de buscar la posibilidad de proporcionarla en las otras formas que establecen en la Ley, ya sean electrónicas o físicas. </w:t>
      </w:r>
    </w:p>
    <w:p w14:paraId="4C72CA03" w14:textId="77777777" w:rsidR="003E4E89" w:rsidRPr="00964919" w:rsidRDefault="000D4BA5">
      <w:pPr>
        <w:spacing w:line="360" w:lineRule="auto"/>
        <w:jc w:val="both"/>
        <w:rPr>
          <w:rFonts w:ascii="Palatino Linotype" w:eastAsia="Palatino Linotype" w:hAnsi="Palatino Linotype" w:cs="Palatino Linotype"/>
        </w:rPr>
      </w:pPr>
      <w:bookmarkStart w:id="3" w:name="_heading=h.3rdcrjn" w:colFirst="0" w:colLast="0"/>
      <w:bookmarkEnd w:id="3"/>
      <w:r w:rsidRPr="00964919">
        <w:rPr>
          <w:rFonts w:ascii="Palatino Linotype" w:eastAsia="Palatino Linotype" w:hAnsi="Palatino Linotype" w:cs="Palatino Linotype"/>
        </w:rPr>
        <w:t>Siendo las cosas así, cabe invocar el contenido del Capítulo X de Lineamientos Generales en Materia de Clasificación y Desclasificación de la Información, así como para la Elaboración de Versiones Públicas, respecto a la consulta directa, que señala:</w:t>
      </w:r>
    </w:p>
    <w:p w14:paraId="6ABCB871" w14:textId="77777777" w:rsidR="003E4E89" w:rsidRPr="00964919" w:rsidRDefault="000D4BA5">
      <w:pPr>
        <w:spacing w:after="120"/>
        <w:ind w:left="851" w:right="616"/>
        <w:jc w:val="center"/>
        <w:rPr>
          <w:rFonts w:ascii="Palatino Linotype" w:eastAsia="Palatino Linotype" w:hAnsi="Palatino Linotype" w:cs="Palatino Linotype"/>
          <w:b/>
          <w:i/>
        </w:rPr>
      </w:pPr>
      <w:r w:rsidRPr="00964919">
        <w:rPr>
          <w:rFonts w:ascii="Palatino Linotype" w:eastAsia="Palatino Linotype" w:hAnsi="Palatino Linotype" w:cs="Palatino Linotype"/>
          <w:i/>
        </w:rPr>
        <w:t>“</w:t>
      </w:r>
      <w:r w:rsidRPr="00964919">
        <w:rPr>
          <w:rFonts w:ascii="Palatino Linotype" w:eastAsia="Palatino Linotype" w:hAnsi="Palatino Linotype" w:cs="Palatino Linotype"/>
          <w:b/>
          <w:i/>
        </w:rPr>
        <w:t>CAPÍTULO X</w:t>
      </w:r>
    </w:p>
    <w:p w14:paraId="64FCC1B5" w14:textId="77777777" w:rsidR="003E4E89" w:rsidRPr="00964919" w:rsidRDefault="000D4BA5">
      <w:pPr>
        <w:spacing w:before="120" w:after="120"/>
        <w:ind w:left="851" w:right="616"/>
        <w:jc w:val="center"/>
        <w:rPr>
          <w:rFonts w:ascii="Palatino Linotype" w:eastAsia="Palatino Linotype" w:hAnsi="Palatino Linotype" w:cs="Palatino Linotype"/>
          <w:b/>
          <w:i/>
        </w:rPr>
      </w:pPr>
      <w:r w:rsidRPr="00964919">
        <w:rPr>
          <w:rFonts w:ascii="Palatino Linotype" w:eastAsia="Palatino Linotype" w:hAnsi="Palatino Linotype" w:cs="Palatino Linotype"/>
          <w:b/>
          <w:i/>
        </w:rPr>
        <w:t>DE LA CONSULTA DIRECTA</w:t>
      </w:r>
    </w:p>
    <w:p w14:paraId="4FA023DB" w14:textId="77777777" w:rsidR="003E4E89" w:rsidRPr="00964919" w:rsidRDefault="000D4BA5">
      <w:pPr>
        <w:spacing w:before="120" w:after="120"/>
        <w:ind w:left="851" w:right="616"/>
        <w:jc w:val="both"/>
        <w:rPr>
          <w:rFonts w:ascii="Palatino Linotype" w:eastAsia="Palatino Linotype" w:hAnsi="Palatino Linotype" w:cs="Palatino Linotype"/>
          <w:i/>
          <w:color w:val="000000"/>
        </w:rPr>
      </w:pPr>
      <w:r w:rsidRPr="00964919">
        <w:rPr>
          <w:rFonts w:ascii="Palatino Linotype" w:eastAsia="Palatino Linotype" w:hAnsi="Palatino Linotype" w:cs="Palatino Linotype"/>
          <w:b/>
          <w:i/>
        </w:rPr>
        <w:t>Sexagésimo séptimo</w:t>
      </w:r>
      <w:r w:rsidRPr="00964919">
        <w:rPr>
          <w:rFonts w:ascii="Palatino Linotype" w:eastAsia="Palatino Linotype" w:hAnsi="Palatino Linotype" w:cs="Palatino Linotype"/>
          <w:i/>
        </w:rPr>
        <w:t xml:space="preserve">. Para la atención de solicitudes en las que la modalidad de entrega de la información sea la consulta directa y, con el fin de garantizar el acceso a la información que conste en documentos que contengan partes o secciones clasificadas como reservadas o confidenciales en la </w:t>
      </w:r>
      <w:r w:rsidRPr="00964919">
        <w:rPr>
          <w:rFonts w:ascii="Palatino Linotype" w:eastAsia="Palatino Linotype" w:hAnsi="Palatino Linotype" w:cs="Palatino Linotype"/>
          <w:i/>
          <w:color w:val="000000"/>
        </w:rPr>
        <w:t xml:space="preserve">modalidad antes citada, previamente el Comité de Transparencia del sujeto obligado </w:t>
      </w:r>
      <w:r w:rsidRPr="00964919">
        <w:rPr>
          <w:rFonts w:ascii="Palatino Linotype" w:eastAsia="Palatino Linotype" w:hAnsi="Palatino Linotype" w:cs="Palatino Linotype"/>
          <w:b/>
          <w:i/>
          <w:color w:val="000000"/>
        </w:rPr>
        <w:t>deberá emitir la resolución en la que funde y motive la clasificación</w:t>
      </w:r>
      <w:r w:rsidRPr="00964919">
        <w:rPr>
          <w:rFonts w:ascii="Palatino Linotype" w:eastAsia="Palatino Linotype" w:hAnsi="Palatino Linotype" w:cs="Palatino Linotype"/>
          <w:i/>
          <w:color w:val="000000"/>
        </w:rPr>
        <w:t xml:space="preserve"> de las partes o secciones que no podrán dejarse a la vista del solicitante. </w:t>
      </w:r>
    </w:p>
    <w:p w14:paraId="4D8C6000" w14:textId="77777777" w:rsidR="003E4E89" w:rsidRPr="00964919" w:rsidRDefault="000D4BA5">
      <w:pPr>
        <w:spacing w:before="120" w:after="120"/>
        <w:ind w:left="851" w:right="616"/>
        <w:jc w:val="both"/>
        <w:rPr>
          <w:rFonts w:ascii="Palatino Linotype" w:eastAsia="Palatino Linotype" w:hAnsi="Palatino Linotype" w:cs="Palatino Linotype"/>
          <w:i/>
          <w:color w:val="000000"/>
        </w:rPr>
      </w:pPr>
      <w:r w:rsidRPr="00964919">
        <w:rPr>
          <w:rFonts w:ascii="Palatino Linotype" w:eastAsia="Palatino Linotype" w:hAnsi="Palatino Linotype" w:cs="Palatino Linotype"/>
          <w:b/>
          <w:i/>
          <w:color w:val="000000"/>
        </w:rPr>
        <w:t>Sexagésimo octavo</w:t>
      </w:r>
      <w:r w:rsidRPr="00964919">
        <w:rPr>
          <w:rFonts w:ascii="Palatino Linotype" w:eastAsia="Palatino Linotype" w:hAnsi="Palatino Linotype" w:cs="Palatino Linotype"/>
          <w:i/>
          <w:color w:val="000000"/>
        </w:rPr>
        <w:t xml:space="preserve">. En la </w:t>
      </w:r>
      <w:r w:rsidRPr="00964919">
        <w:rPr>
          <w:rFonts w:ascii="Palatino Linotype" w:eastAsia="Palatino Linotype" w:hAnsi="Palatino Linotype" w:cs="Palatino Linotype"/>
          <w:b/>
          <w:i/>
          <w:color w:val="000000"/>
        </w:rPr>
        <w:t>resolución del Comité de Transparencia</w:t>
      </w:r>
      <w:r w:rsidRPr="00964919">
        <w:rPr>
          <w:rFonts w:ascii="Palatino Linotype" w:eastAsia="Palatino Linotype" w:hAnsi="Palatino Linotype" w:cs="Palatino Linotype"/>
          <w:i/>
          <w:color w:val="000000"/>
        </w:rPr>
        <w:t xml:space="preserve"> a que se refiere el lineamiento inmediato anterior, se deberán establecer las medidas que el personal encargado de permitir el acceso al solicitante deberá implementar, a fin de </w:t>
      </w:r>
      <w:r w:rsidRPr="00964919">
        <w:rPr>
          <w:rFonts w:ascii="Palatino Linotype" w:eastAsia="Palatino Linotype" w:hAnsi="Palatino Linotype" w:cs="Palatino Linotype"/>
          <w:i/>
          <w:color w:val="000000"/>
        </w:rPr>
        <w:lastRenderedPageBreak/>
        <w:t xml:space="preserve">que se resguarde la información clasificada, atendiendo a la naturaleza del documento y el formato en el que obra. </w:t>
      </w:r>
    </w:p>
    <w:p w14:paraId="1D4BB8DE" w14:textId="77777777" w:rsidR="003E4E89" w:rsidRPr="00964919" w:rsidRDefault="000D4BA5">
      <w:pPr>
        <w:spacing w:before="120" w:after="120"/>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b/>
          <w:i/>
          <w:color w:val="000000"/>
        </w:rPr>
        <w:t>Sexagésimo noveno</w:t>
      </w:r>
      <w:r w:rsidRPr="00964919">
        <w:rPr>
          <w:rFonts w:ascii="Palatino Linotype" w:eastAsia="Palatino Linotype" w:hAnsi="Palatino Linotype" w:cs="Palatino Linotype"/>
          <w:i/>
          <w:color w:val="000000"/>
        </w:rPr>
        <w:t xml:space="preserve">. En caso de que no sea posible otorgar acceso a la información en la modalidad de consulta directa ya sea por la naturaleza, contenido, el formato del documento o características físicas del mismo, el sujeto obligado deberá justificar el impedimento para el acceso a la consulta directa y, </w:t>
      </w:r>
      <w:r w:rsidRPr="00964919">
        <w:rPr>
          <w:rFonts w:ascii="Palatino Linotype" w:eastAsia="Palatino Linotype" w:hAnsi="Palatino Linotype" w:cs="Palatino Linotype"/>
          <w:i/>
        </w:rPr>
        <w:t xml:space="preserve">de ser posible, ofrecer las demás modalidades en las que es viable el acceso a la información. </w:t>
      </w:r>
    </w:p>
    <w:p w14:paraId="7CFFE075" w14:textId="77777777" w:rsidR="003E4E89" w:rsidRPr="00964919" w:rsidRDefault="000D4BA5">
      <w:pPr>
        <w:spacing w:before="120" w:after="120"/>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b/>
          <w:i/>
        </w:rPr>
        <w:t>Septuagésimo</w:t>
      </w:r>
      <w:r w:rsidRPr="00964919">
        <w:rPr>
          <w:rFonts w:ascii="Palatino Linotype" w:eastAsia="Palatino Linotype" w:hAnsi="Palatino Linotype" w:cs="Palatino Linotype"/>
          <w:i/>
        </w:rPr>
        <w:t xml:space="preserve">. Para el desahogo de las actuaciones tendientes a permitir la consulta directa, en los casos en que ésta resulte procedente, los sujetos obligados deberán observar lo siguiente: </w:t>
      </w:r>
    </w:p>
    <w:p w14:paraId="7F52D11A" w14:textId="77777777" w:rsidR="003E4E89" w:rsidRPr="00964919" w:rsidRDefault="000D4BA5">
      <w:pPr>
        <w:spacing w:before="120" w:after="120"/>
        <w:ind w:left="1134" w:right="616"/>
        <w:jc w:val="both"/>
        <w:rPr>
          <w:rFonts w:ascii="Palatino Linotype" w:eastAsia="Palatino Linotype" w:hAnsi="Palatino Linotype" w:cs="Palatino Linotype"/>
          <w:i/>
        </w:rPr>
      </w:pPr>
      <w:r w:rsidRPr="00964919">
        <w:rPr>
          <w:rFonts w:ascii="Palatino Linotype" w:eastAsia="Palatino Linotype" w:hAnsi="Palatino Linotype" w:cs="Palatino Linotype"/>
          <w:b/>
          <w:i/>
        </w:rPr>
        <w:t>I.</w:t>
      </w:r>
      <w:r w:rsidRPr="00964919">
        <w:rPr>
          <w:rFonts w:ascii="Palatino Linotype" w:eastAsia="Palatino Linotype" w:hAnsi="Palatino Linotype" w:cs="Palatino Linotype"/>
          <w:i/>
        </w:rPr>
        <w:t xml:space="preserve"> Señalar claramente al particular, en la respuesta a su solicitud, el lugar, día y hora en que se podrá llevar a cabo la consulta de la documentación solicitada. En caso de que, derivado del volumen o de las particularidades de los documentos, el sujeto obligado determine que se requiere más de un día para realizar la consulta, en la respuesta a la solicitud también se deberá indicar esta situación al solicitante y los días, y horarios en que podrá llevarse a cabo. </w:t>
      </w:r>
    </w:p>
    <w:p w14:paraId="272CC22A" w14:textId="77777777" w:rsidR="003E4E89" w:rsidRPr="00964919" w:rsidRDefault="000D4BA5">
      <w:pPr>
        <w:spacing w:before="120" w:after="120"/>
        <w:ind w:left="1134" w:right="616"/>
        <w:jc w:val="both"/>
        <w:rPr>
          <w:rFonts w:ascii="Palatino Linotype" w:eastAsia="Palatino Linotype" w:hAnsi="Palatino Linotype" w:cs="Palatino Linotype"/>
          <w:i/>
        </w:rPr>
      </w:pPr>
      <w:r w:rsidRPr="00964919">
        <w:rPr>
          <w:rFonts w:ascii="Palatino Linotype" w:eastAsia="Palatino Linotype" w:hAnsi="Palatino Linotype" w:cs="Palatino Linotype"/>
          <w:b/>
          <w:i/>
        </w:rPr>
        <w:t>II.</w:t>
      </w:r>
      <w:r w:rsidRPr="00964919">
        <w:rPr>
          <w:rFonts w:ascii="Palatino Linotype" w:eastAsia="Palatino Linotype" w:hAnsi="Palatino Linotype" w:cs="Palatino Linotype"/>
          <w:i/>
        </w:rPr>
        <w:t xml:space="preserve"> En su caso, la procedencia de los ajustes razonables solicitados y/o la procedencia de acceso en la lengua indígena requerida; </w:t>
      </w:r>
    </w:p>
    <w:p w14:paraId="7B219880" w14:textId="77777777" w:rsidR="003E4E89" w:rsidRPr="00964919" w:rsidRDefault="000D4BA5">
      <w:pPr>
        <w:spacing w:before="120" w:after="120"/>
        <w:ind w:left="1134" w:right="616"/>
        <w:jc w:val="both"/>
        <w:rPr>
          <w:rFonts w:ascii="Palatino Linotype" w:eastAsia="Palatino Linotype" w:hAnsi="Palatino Linotype" w:cs="Palatino Linotype"/>
          <w:i/>
        </w:rPr>
      </w:pPr>
      <w:r w:rsidRPr="00964919">
        <w:rPr>
          <w:rFonts w:ascii="Palatino Linotype" w:eastAsia="Palatino Linotype" w:hAnsi="Palatino Linotype" w:cs="Palatino Linotype"/>
          <w:b/>
          <w:i/>
        </w:rPr>
        <w:t>III.</w:t>
      </w:r>
      <w:r w:rsidRPr="00964919">
        <w:rPr>
          <w:rFonts w:ascii="Palatino Linotype" w:eastAsia="Palatino Linotype" w:hAnsi="Palatino Linotype" w:cs="Palatino Linotype"/>
          <w:i/>
        </w:rPr>
        <w:t xml:space="preserve"> Indicar claramente la ubicación del lugar en que el solicitante podrá llevar a cabo la consulta de la información debiendo ser éste, en la medida de lo posible, el domicilio de la Unidad de Transparencia, así como el nombre, cargo y datos de contacto del personal que le permitirá el acceso; </w:t>
      </w:r>
    </w:p>
    <w:p w14:paraId="52E45F22" w14:textId="77777777" w:rsidR="003E4E89" w:rsidRPr="00964919" w:rsidRDefault="000D4BA5">
      <w:pPr>
        <w:spacing w:before="120" w:after="120"/>
        <w:ind w:left="1134" w:right="616"/>
        <w:jc w:val="both"/>
        <w:rPr>
          <w:rFonts w:ascii="Palatino Linotype" w:eastAsia="Palatino Linotype" w:hAnsi="Palatino Linotype" w:cs="Palatino Linotype"/>
          <w:i/>
        </w:rPr>
      </w:pPr>
      <w:r w:rsidRPr="00964919">
        <w:rPr>
          <w:rFonts w:ascii="Palatino Linotype" w:eastAsia="Palatino Linotype" w:hAnsi="Palatino Linotype" w:cs="Palatino Linotype"/>
          <w:b/>
          <w:i/>
        </w:rPr>
        <w:t>IV.</w:t>
      </w:r>
      <w:r w:rsidRPr="00964919">
        <w:rPr>
          <w:rFonts w:ascii="Palatino Linotype" w:eastAsia="Palatino Linotype" w:hAnsi="Palatino Linotype" w:cs="Palatino Linotype"/>
          <w:i/>
        </w:rPr>
        <w:t xml:space="preserve"> Proporcionar al solicitante las facilidades y asistencia requerida para la consulta de los documentos;</w:t>
      </w:r>
    </w:p>
    <w:p w14:paraId="1E228647" w14:textId="77777777" w:rsidR="003E4E89" w:rsidRPr="00964919" w:rsidRDefault="000D4BA5">
      <w:pPr>
        <w:spacing w:before="120" w:after="120"/>
        <w:ind w:left="1134" w:right="616"/>
        <w:jc w:val="both"/>
        <w:rPr>
          <w:rFonts w:ascii="Palatino Linotype" w:eastAsia="Palatino Linotype" w:hAnsi="Palatino Linotype" w:cs="Palatino Linotype"/>
          <w:i/>
        </w:rPr>
      </w:pPr>
      <w:r w:rsidRPr="00964919">
        <w:rPr>
          <w:rFonts w:ascii="Palatino Linotype" w:eastAsia="Palatino Linotype" w:hAnsi="Palatino Linotype" w:cs="Palatino Linotype"/>
          <w:b/>
          <w:i/>
        </w:rPr>
        <w:t>V.</w:t>
      </w:r>
      <w:r w:rsidRPr="00964919">
        <w:rPr>
          <w:rFonts w:ascii="Palatino Linotype" w:eastAsia="Palatino Linotype" w:hAnsi="Palatino Linotype" w:cs="Palatino Linotype"/>
          <w:i/>
        </w:rPr>
        <w:t xml:space="preserve"> Abstenerse de requerir al solicitante que acredite interés alguno; </w:t>
      </w:r>
    </w:p>
    <w:p w14:paraId="2D860CFD" w14:textId="77777777" w:rsidR="003E4E89" w:rsidRPr="00964919" w:rsidRDefault="000D4BA5">
      <w:pPr>
        <w:spacing w:before="120" w:after="120"/>
        <w:ind w:left="1134" w:right="616"/>
        <w:jc w:val="both"/>
        <w:rPr>
          <w:rFonts w:ascii="Palatino Linotype" w:eastAsia="Palatino Linotype" w:hAnsi="Palatino Linotype" w:cs="Palatino Linotype"/>
          <w:i/>
        </w:rPr>
      </w:pPr>
      <w:r w:rsidRPr="00964919">
        <w:rPr>
          <w:rFonts w:ascii="Palatino Linotype" w:eastAsia="Palatino Linotype" w:hAnsi="Palatino Linotype" w:cs="Palatino Linotype"/>
          <w:b/>
          <w:i/>
        </w:rPr>
        <w:t>VI.</w:t>
      </w:r>
      <w:r w:rsidRPr="00964919">
        <w:rPr>
          <w:rFonts w:ascii="Palatino Linotype" w:eastAsia="Palatino Linotype" w:hAnsi="Palatino Linotype" w:cs="Palatino Linotype"/>
          <w:i/>
        </w:rPr>
        <w:t xml:space="preserve"> Adoptar las medidas técnicas, físicas, administrativas y demás que resulten necesarias para garantizar la integridad de la información a consultar, de conformidad con las características específicas del documento solicitado, tales como: </w:t>
      </w:r>
    </w:p>
    <w:p w14:paraId="0AAD0C6C" w14:textId="77777777" w:rsidR="003E4E89" w:rsidRPr="00964919" w:rsidRDefault="000D4BA5">
      <w:pPr>
        <w:spacing w:before="120" w:after="120"/>
        <w:ind w:left="1418" w:right="616"/>
        <w:jc w:val="both"/>
        <w:rPr>
          <w:rFonts w:ascii="Palatino Linotype" w:eastAsia="Palatino Linotype" w:hAnsi="Palatino Linotype" w:cs="Palatino Linotype"/>
          <w:i/>
        </w:rPr>
      </w:pPr>
      <w:r w:rsidRPr="00964919">
        <w:rPr>
          <w:rFonts w:ascii="Palatino Linotype" w:eastAsia="Palatino Linotype" w:hAnsi="Palatino Linotype" w:cs="Palatino Linotype"/>
          <w:b/>
          <w:i/>
        </w:rPr>
        <w:t>a)</w:t>
      </w:r>
      <w:r w:rsidRPr="00964919">
        <w:rPr>
          <w:rFonts w:ascii="Palatino Linotype" w:eastAsia="Palatino Linotype" w:hAnsi="Palatino Linotype" w:cs="Palatino Linotype"/>
          <w:i/>
        </w:rPr>
        <w:t xml:space="preserve"> Contar con instalaciones y mobiliario adecuado para asegurar tanto la integridad del documento consultado, como para proporcionar al solicitante las mejores condiciones para poder llevar a cabo la consulta directa; </w:t>
      </w:r>
    </w:p>
    <w:p w14:paraId="2BC23BCA" w14:textId="77777777" w:rsidR="003E4E89" w:rsidRPr="00964919" w:rsidRDefault="000D4BA5">
      <w:pPr>
        <w:spacing w:before="120" w:after="120"/>
        <w:ind w:left="1418" w:right="616"/>
        <w:jc w:val="both"/>
        <w:rPr>
          <w:rFonts w:ascii="Palatino Linotype" w:eastAsia="Palatino Linotype" w:hAnsi="Palatino Linotype" w:cs="Palatino Linotype"/>
          <w:i/>
        </w:rPr>
      </w:pPr>
      <w:r w:rsidRPr="00964919">
        <w:rPr>
          <w:rFonts w:ascii="Palatino Linotype" w:eastAsia="Palatino Linotype" w:hAnsi="Palatino Linotype" w:cs="Palatino Linotype"/>
          <w:b/>
          <w:i/>
        </w:rPr>
        <w:t>b)</w:t>
      </w:r>
      <w:r w:rsidRPr="00964919">
        <w:rPr>
          <w:rFonts w:ascii="Palatino Linotype" w:eastAsia="Palatino Linotype" w:hAnsi="Palatino Linotype" w:cs="Palatino Linotype"/>
          <w:i/>
        </w:rPr>
        <w:t xml:space="preserve"> Equipo y personal de vigilancia;</w:t>
      </w:r>
    </w:p>
    <w:p w14:paraId="557C82D5" w14:textId="77777777" w:rsidR="003E4E89" w:rsidRPr="00964919" w:rsidRDefault="000D4BA5">
      <w:pPr>
        <w:spacing w:before="120" w:after="120"/>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b/>
          <w:i/>
        </w:rPr>
        <w:lastRenderedPageBreak/>
        <w:t>c)</w:t>
      </w:r>
      <w:r w:rsidRPr="00964919">
        <w:rPr>
          <w:rFonts w:ascii="Palatino Linotype" w:eastAsia="Palatino Linotype" w:hAnsi="Palatino Linotype" w:cs="Palatino Linotype"/>
          <w:i/>
        </w:rPr>
        <w:t xml:space="preserve"> Plan de acción contra robo o vandalismo; </w:t>
      </w:r>
    </w:p>
    <w:p w14:paraId="24B4060A" w14:textId="77777777" w:rsidR="003E4E89" w:rsidRPr="00964919" w:rsidRDefault="000D4BA5">
      <w:pPr>
        <w:spacing w:before="120" w:after="120"/>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b/>
          <w:i/>
        </w:rPr>
        <w:t>d)</w:t>
      </w:r>
      <w:r w:rsidRPr="00964919">
        <w:rPr>
          <w:rFonts w:ascii="Palatino Linotype" w:eastAsia="Palatino Linotype" w:hAnsi="Palatino Linotype" w:cs="Palatino Linotype"/>
          <w:i/>
        </w:rPr>
        <w:t xml:space="preserve"> Extintores de fuego de gas inocuo; </w:t>
      </w:r>
    </w:p>
    <w:p w14:paraId="29586D40" w14:textId="77777777" w:rsidR="003E4E89" w:rsidRPr="00964919" w:rsidRDefault="000D4BA5">
      <w:pPr>
        <w:spacing w:before="120" w:after="120"/>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b/>
          <w:i/>
        </w:rPr>
        <w:t>e)</w:t>
      </w:r>
      <w:r w:rsidRPr="00964919">
        <w:rPr>
          <w:rFonts w:ascii="Palatino Linotype" w:eastAsia="Palatino Linotype" w:hAnsi="Palatino Linotype" w:cs="Palatino Linotype"/>
          <w:i/>
        </w:rPr>
        <w:t xml:space="preserve"> Registro e identificación del personal autorizado para el tratamiento de los documentos o expedientes a revisar;</w:t>
      </w:r>
    </w:p>
    <w:p w14:paraId="4063EBE5" w14:textId="77777777" w:rsidR="003E4E89" w:rsidRPr="00964919" w:rsidRDefault="000D4BA5">
      <w:pPr>
        <w:spacing w:before="120" w:after="120"/>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b/>
          <w:i/>
        </w:rPr>
        <w:t>f)</w:t>
      </w:r>
      <w:r w:rsidRPr="00964919">
        <w:rPr>
          <w:rFonts w:ascii="Palatino Linotype" w:eastAsia="Palatino Linotype" w:hAnsi="Palatino Linotype" w:cs="Palatino Linotype"/>
          <w:i/>
        </w:rPr>
        <w:t xml:space="preserve"> Registro e identificación de los particulares autorizados para llevar a cabo la consulta directa, y </w:t>
      </w:r>
    </w:p>
    <w:p w14:paraId="545D7A25" w14:textId="77777777" w:rsidR="003E4E89" w:rsidRPr="00964919" w:rsidRDefault="000D4BA5">
      <w:pPr>
        <w:spacing w:before="120" w:after="120"/>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b/>
          <w:i/>
        </w:rPr>
        <w:t>g)</w:t>
      </w:r>
      <w:r w:rsidRPr="00964919">
        <w:rPr>
          <w:rFonts w:ascii="Palatino Linotype" w:eastAsia="Palatino Linotype" w:hAnsi="Palatino Linotype" w:cs="Palatino Linotype"/>
          <w:i/>
        </w:rPr>
        <w:t xml:space="preserve"> Las demás que, a criterio de los sujetos obligados, resulten necesarias. </w:t>
      </w:r>
    </w:p>
    <w:p w14:paraId="2123C1FF" w14:textId="77777777" w:rsidR="003E4E89" w:rsidRPr="00964919" w:rsidRDefault="000D4BA5">
      <w:pPr>
        <w:spacing w:before="120" w:after="120"/>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b/>
          <w:i/>
        </w:rPr>
        <w:t>VII.</w:t>
      </w:r>
      <w:r w:rsidRPr="00964919">
        <w:rPr>
          <w:rFonts w:ascii="Palatino Linotype" w:eastAsia="Palatino Linotype" w:hAnsi="Palatino Linotype" w:cs="Palatino Linotype"/>
          <w:i/>
        </w:rPr>
        <w:t xml:space="preserve"> Hacer del conocimiento del solicitante, previo al acceso a la información, las reglas a que se sujetará la consulta para garantizar la integridad de los documentos, y</w:t>
      </w:r>
    </w:p>
    <w:p w14:paraId="73D62455" w14:textId="77777777" w:rsidR="003E4E89" w:rsidRPr="00964919" w:rsidRDefault="000D4BA5">
      <w:pPr>
        <w:spacing w:before="120" w:after="120"/>
        <w:ind w:left="851" w:right="616"/>
        <w:jc w:val="both"/>
        <w:rPr>
          <w:rFonts w:ascii="Palatino Linotype" w:eastAsia="Palatino Linotype" w:hAnsi="Palatino Linotype" w:cs="Palatino Linotype"/>
          <w:b/>
          <w:i/>
        </w:rPr>
      </w:pPr>
      <w:r w:rsidRPr="00964919">
        <w:rPr>
          <w:rFonts w:ascii="Palatino Linotype" w:eastAsia="Palatino Linotype" w:hAnsi="Palatino Linotype" w:cs="Palatino Linotype"/>
          <w:b/>
          <w:i/>
        </w:rPr>
        <w:t>VIII.</w:t>
      </w:r>
      <w:r w:rsidRPr="00964919">
        <w:rPr>
          <w:rFonts w:ascii="Palatino Linotype" w:eastAsia="Palatino Linotype" w:hAnsi="Palatino Linotype" w:cs="Palatino Linotype"/>
          <w:i/>
        </w:rPr>
        <w:t xml:space="preserve"> Para el caso de documentos que contengan partes o secciones clasificadas como reservadas o confidenciales, el sujeto obligado deberá hacer del conocimiento del solicitante, </w:t>
      </w:r>
      <w:r w:rsidRPr="00964919">
        <w:rPr>
          <w:rFonts w:ascii="Palatino Linotype" w:eastAsia="Palatino Linotype" w:hAnsi="Palatino Linotype" w:cs="Palatino Linotype"/>
          <w:b/>
          <w:i/>
        </w:rPr>
        <w:t xml:space="preserve">previo al acceso a la información, la resolución debidamente fundada y motivada del Comité de Transparencia, en la que se clasificaron las partes o secciones que no podrán dejarse a la vista del solicitante. </w:t>
      </w:r>
    </w:p>
    <w:p w14:paraId="793CC2C4" w14:textId="77777777" w:rsidR="003E4E89" w:rsidRPr="00964919" w:rsidRDefault="000D4BA5">
      <w:pPr>
        <w:spacing w:before="120" w:after="120"/>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b/>
          <w:i/>
        </w:rPr>
        <w:t xml:space="preserve">Septuagésimo primero. </w:t>
      </w:r>
      <w:r w:rsidRPr="00964919">
        <w:rPr>
          <w:rFonts w:ascii="Palatino Linotype" w:eastAsia="Palatino Linotype" w:hAnsi="Palatino Linotype" w:cs="Palatino Linotype"/>
          <w:i/>
        </w:rPr>
        <w:t xml:space="preserve">La consulta física de la información se realizará en presencia del personal que para tal efecto haya sido designado, quien implementará las medidas para asegurar en todo momento la integridad de la documentación, conforme a la resolución que, al efecto, emita el Comité de Transparencia. </w:t>
      </w:r>
    </w:p>
    <w:p w14:paraId="2B08DD01" w14:textId="77777777" w:rsidR="003E4E89" w:rsidRPr="00964919" w:rsidRDefault="000D4BA5">
      <w:pPr>
        <w:spacing w:before="120" w:after="120"/>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t xml:space="preserve">El solicitante deberá observar en todo momento las reglas que el sujeto obligado haya hecho de su conocimiento para efectos de la conservación de los documentos. </w:t>
      </w:r>
    </w:p>
    <w:p w14:paraId="0E133653" w14:textId="77777777" w:rsidR="003E4E89" w:rsidRPr="00964919" w:rsidRDefault="000D4BA5">
      <w:pPr>
        <w:spacing w:before="120" w:after="120"/>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b/>
          <w:i/>
        </w:rPr>
        <w:t>Septuagésimo segundo.</w:t>
      </w:r>
      <w:r w:rsidRPr="00964919">
        <w:rPr>
          <w:rFonts w:ascii="Palatino Linotype" w:eastAsia="Palatino Linotype" w:hAnsi="Palatino Linotype" w:cs="Palatino Linotype"/>
          <w:i/>
        </w:rPr>
        <w:t xml:space="preserve"> El solicitante deberá realizar la consulta de los documentos requeridos en el lugar, horarios y con la persona destinada para tal efecto. </w:t>
      </w:r>
    </w:p>
    <w:p w14:paraId="1217C228" w14:textId="77777777" w:rsidR="003E4E89" w:rsidRPr="00964919" w:rsidRDefault="000D4BA5">
      <w:pPr>
        <w:spacing w:before="120" w:after="120"/>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t xml:space="preserve">Si una vez realizada la diligencia, en el tiempo previsto para ello, no fuera posible consultar toda la documentación, el solicitante podrá requerir al sujeto obligado una nueva cita, misma que deberá ser programada indicándole al particular los días y horarios en que podrá llevarse a cabo. </w:t>
      </w:r>
    </w:p>
    <w:p w14:paraId="34802E42" w14:textId="77777777" w:rsidR="003E4E89" w:rsidRPr="00964919" w:rsidRDefault="000D4BA5">
      <w:pPr>
        <w:spacing w:before="120" w:after="120"/>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b/>
          <w:i/>
        </w:rPr>
        <w:t>Septuagésimo tercero</w:t>
      </w:r>
      <w:r w:rsidRPr="00964919">
        <w:rPr>
          <w:rFonts w:ascii="Palatino Linotype" w:eastAsia="Palatino Linotype" w:hAnsi="Palatino Linotype" w:cs="Palatino Linotype"/>
          <w:i/>
        </w:rPr>
        <w:t xml:space="preserve">. Si una vez consultada la versión pública de la documentación, el solicitante requiriera la reproducción de la información o de parte de la misma en otra modalidad, salvo impedimento justificado, los sujetos obligados deberán otorgar acceso a ésta, previo el pago correspondiente, sin necesidad de que se presente una nueva solicitud de información. </w:t>
      </w:r>
    </w:p>
    <w:p w14:paraId="347B5685" w14:textId="77777777" w:rsidR="003E4E89" w:rsidRPr="00964919" w:rsidRDefault="000D4BA5">
      <w:pPr>
        <w:spacing w:before="120" w:after="120"/>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lastRenderedPageBreak/>
        <w:t>La información deberá ser entregada sin costo, cuando implique la entrega de no más de veinte hojas simples</w:t>
      </w:r>
      <w:proofErr w:type="gramStart"/>
      <w:r w:rsidRPr="00964919">
        <w:rPr>
          <w:rFonts w:ascii="Palatino Linotype" w:eastAsia="Palatino Linotype" w:hAnsi="Palatino Linotype" w:cs="Palatino Linotype"/>
          <w:i/>
        </w:rPr>
        <w:t>.”(</w:t>
      </w:r>
      <w:proofErr w:type="gramEnd"/>
      <w:r w:rsidRPr="00964919">
        <w:rPr>
          <w:rFonts w:ascii="Palatino Linotype" w:eastAsia="Palatino Linotype" w:hAnsi="Palatino Linotype" w:cs="Palatino Linotype"/>
          <w:i/>
        </w:rPr>
        <w:t>Sic)</w:t>
      </w:r>
    </w:p>
    <w:p w14:paraId="7AB2FD29" w14:textId="77777777" w:rsidR="003E4E89" w:rsidRPr="00964919" w:rsidRDefault="003E4E89">
      <w:pPr>
        <w:tabs>
          <w:tab w:val="left" w:pos="7938"/>
        </w:tabs>
        <w:spacing w:before="120" w:line="360" w:lineRule="auto"/>
        <w:ind w:left="567" w:right="616"/>
        <w:jc w:val="both"/>
        <w:rPr>
          <w:rFonts w:ascii="Palatino Linotype" w:eastAsia="Palatino Linotype" w:hAnsi="Palatino Linotype" w:cs="Palatino Linotype"/>
          <w:i/>
        </w:rPr>
      </w:pPr>
    </w:p>
    <w:p w14:paraId="3FA70DB9" w14:textId="77777777" w:rsidR="003E4E89" w:rsidRPr="00964919" w:rsidRDefault="000D4BA5">
      <w:pPr>
        <w:spacing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rPr>
        <w:t xml:space="preserve">Preceptos legales que de igual forma fueron inobservados por el </w:t>
      </w:r>
      <w:r w:rsidRPr="00964919">
        <w:rPr>
          <w:rFonts w:ascii="Palatino Linotype" w:eastAsia="Palatino Linotype" w:hAnsi="Palatino Linotype" w:cs="Palatino Linotype"/>
          <w:b/>
        </w:rPr>
        <w:t>Sujeto Obligado</w:t>
      </w:r>
      <w:r w:rsidRPr="00964919">
        <w:rPr>
          <w:rFonts w:ascii="Palatino Linotype" w:eastAsia="Palatino Linotype" w:hAnsi="Palatino Linotype" w:cs="Palatino Linotype"/>
        </w:rPr>
        <w:t xml:space="preserve">, para hacer el cambio de modalidad a consulta directa. </w:t>
      </w:r>
    </w:p>
    <w:p w14:paraId="06C6478E" w14:textId="77777777" w:rsidR="003E4E89" w:rsidRPr="00964919" w:rsidRDefault="000D4BA5">
      <w:pPr>
        <w:spacing w:line="360" w:lineRule="auto"/>
        <w:ind w:right="51"/>
        <w:jc w:val="both"/>
        <w:rPr>
          <w:rFonts w:ascii="Palatino Linotype" w:eastAsia="Palatino Linotype" w:hAnsi="Palatino Linotype" w:cs="Palatino Linotype"/>
        </w:rPr>
      </w:pPr>
      <w:r w:rsidRPr="00964919">
        <w:rPr>
          <w:rFonts w:ascii="Palatino Linotype" w:eastAsia="Palatino Linotype" w:hAnsi="Palatino Linotype" w:cs="Palatino Linotype"/>
        </w:rPr>
        <w:t xml:space="preserve">En consecuencia, el </w:t>
      </w:r>
      <w:r w:rsidRPr="00964919">
        <w:rPr>
          <w:rFonts w:ascii="Palatino Linotype" w:eastAsia="Palatino Linotype" w:hAnsi="Palatino Linotype" w:cs="Palatino Linotype"/>
          <w:b/>
        </w:rPr>
        <w:t>Sujeto Obligado</w:t>
      </w:r>
      <w:r w:rsidRPr="00964919">
        <w:rPr>
          <w:rFonts w:ascii="Palatino Linotype" w:eastAsia="Palatino Linotype" w:hAnsi="Palatino Linotype" w:cs="Palatino Linotype"/>
        </w:rPr>
        <w:t xml:space="preserve"> no justificó el impedimento para remitir la información solicitada vía SAIMEX, siendo aplicable por analogía el criterio de interpretación 08/17, emitido por el Instituto Nacional de Transparencia, Acceso a la Información y Protección de Datos Personales, INAI, que es del tenor literal siguiente:</w:t>
      </w:r>
    </w:p>
    <w:p w14:paraId="7FB3C1CA" w14:textId="77777777" w:rsidR="003E4E89" w:rsidRPr="00964919" w:rsidRDefault="000D4BA5">
      <w:pPr>
        <w:spacing w:after="120"/>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t>“</w:t>
      </w:r>
      <w:r w:rsidRPr="00964919">
        <w:rPr>
          <w:rFonts w:ascii="Palatino Linotype" w:eastAsia="Palatino Linotype" w:hAnsi="Palatino Linotype" w:cs="Palatino Linotype"/>
          <w:b/>
          <w:i/>
        </w:rPr>
        <w:t>Modalidad de entrega. Procedencia de proporcionar la información solicitada en una diversa a la elegida por el solicitante</w:t>
      </w:r>
      <w:r w:rsidRPr="00964919">
        <w:rPr>
          <w:rFonts w:ascii="Palatino Linotype" w:eastAsia="Palatino Linotype" w:hAnsi="Palatino Linotype" w:cs="Palatino Linotype"/>
          <w:i/>
        </w:rPr>
        <w:t xml:space="preserve">. De una interpretación a los artículos 133 de la Ley General de Transparencia y Acceso a la Información Pública y 136 de la Ley Federal de Transparencia y Acceso a la Información Pública, cuando no sea posible atender la modalidad elegida, la obligación de acceso a la información se tendrá por cumplida cuando el sujeto obligado: </w:t>
      </w:r>
      <w:r w:rsidRPr="00964919">
        <w:rPr>
          <w:rFonts w:ascii="Palatino Linotype" w:eastAsia="Palatino Linotype" w:hAnsi="Palatino Linotype" w:cs="Palatino Linotype"/>
          <w:b/>
          <w:i/>
        </w:rPr>
        <w:t xml:space="preserve">a) justifique el impedimento para atender la misma </w:t>
      </w:r>
      <w:r w:rsidRPr="00964919">
        <w:rPr>
          <w:rFonts w:ascii="Palatino Linotype" w:eastAsia="Palatino Linotype" w:hAnsi="Palatino Linotype" w:cs="Palatino Linotype"/>
          <w:i/>
        </w:rPr>
        <w:t xml:space="preserve">y </w:t>
      </w:r>
      <w:r w:rsidRPr="00964919">
        <w:rPr>
          <w:rFonts w:ascii="Palatino Linotype" w:eastAsia="Palatino Linotype" w:hAnsi="Palatino Linotype" w:cs="Palatino Linotype"/>
          <w:b/>
          <w:i/>
        </w:rPr>
        <w:t>b) se notifique al particular la disposición de la información en todas las modalidades que permita el documento de que se trate</w:t>
      </w:r>
      <w:r w:rsidRPr="00964919">
        <w:rPr>
          <w:rFonts w:ascii="Palatino Linotype" w:eastAsia="Palatino Linotype" w:hAnsi="Palatino Linotype" w:cs="Palatino Linotype"/>
          <w:i/>
        </w:rPr>
        <w:t>, procurando reducir, en todo momento, los costos de entrega.”(Sic)</w:t>
      </w:r>
    </w:p>
    <w:p w14:paraId="2E1E4CDB" w14:textId="77777777" w:rsidR="003E4E89" w:rsidRPr="00964919" w:rsidRDefault="003E4E89">
      <w:pPr>
        <w:spacing w:after="0" w:line="360" w:lineRule="auto"/>
        <w:jc w:val="both"/>
        <w:rPr>
          <w:rFonts w:ascii="Palatino Linotype" w:eastAsia="Palatino Linotype" w:hAnsi="Palatino Linotype" w:cs="Palatino Linotype"/>
        </w:rPr>
      </w:pPr>
    </w:p>
    <w:p w14:paraId="5B774BBE" w14:textId="77777777" w:rsidR="003E4E89" w:rsidRPr="00964919" w:rsidRDefault="000D4BA5">
      <w:pPr>
        <w:spacing w:after="0"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rPr>
        <w:t xml:space="preserve">Por las consideraciones anteriores, resulta procedente señalar que el </w:t>
      </w:r>
      <w:r w:rsidRPr="00964919">
        <w:rPr>
          <w:rFonts w:ascii="Palatino Linotype" w:eastAsia="Palatino Linotype" w:hAnsi="Palatino Linotype" w:cs="Palatino Linotype"/>
          <w:b/>
        </w:rPr>
        <w:t>Sujeto Obligado</w:t>
      </w:r>
      <w:r w:rsidRPr="00964919">
        <w:rPr>
          <w:rFonts w:ascii="Palatino Linotype" w:eastAsia="Palatino Linotype" w:hAnsi="Palatino Linotype" w:cs="Palatino Linotype"/>
        </w:rPr>
        <w:t xml:space="preserve"> no fundó, motivó, ni mucho menos justificó la imposibilidad de entregar la información solicitada en un formato electrónico a través del SAIMEX, dado que en el acta remitida en respuesta únicamente se aprueba el cambio de modalidad sin señalar las razones, motivos o circunstancias que tomó en cuenta para aprobar el cambio a consulta directa. </w:t>
      </w:r>
    </w:p>
    <w:p w14:paraId="0AA19E3B" w14:textId="77777777" w:rsidR="003E4E89" w:rsidRPr="00964919" w:rsidRDefault="003E4E89">
      <w:pPr>
        <w:spacing w:after="0" w:line="360" w:lineRule="auto"/>
        <w:jc w:val="both"/>
        <w:rPr>
          <w:rFonts w:ascii="Palatino Linotype" w:eastAsia="Palatino Linotype" w:hAnsi="Palatino Linotype" w:cs="Palatino Linotype"/>
        </w:rPr>
      </w:pPr>
    </w:p>
    <w:p w14:paraId="753FE79E" w14:textId="77777777" w:rsidR="003E4E89" w:rsidRPr="00964919" w:rsidRDefault="000D4BA5">
      <w:pPr>
        <w:widowControl w:val="0"/>
        <w:tabs>
          <w:tab w:val="left" w:pos="1276"/>
        </w:tabs>
        <w:spacing w:after="240"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rPr>
        <w:t>Respecto a la fundamentación y motivación es de señalar que el máximo tribunal del país ha establecido jurisprudencia respecto a qué debe entenderse por fundamentación y motivación, en los siguientes términos:</w:t>
      </w:r>
    </w:p>
    <w:p w14:paraId="2FA57C5B" w14:textId="77777777" w:rsidR="003E4E89" w:rsidRPr="00964919" w:rsidRDefault="000D4BA5">
      <w:pPr>
        <w:widowControl w:val="0"/>
        <w:tabs>
          <w:tab w:val="left" w:pos="1276"/>
        </w:tabs>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b/>
          <w:i/>
        </w:rPr>
        <w:lastRenderedPageBreak/>
        <w:t>“FUNDAMENTACIÓN Y MOTIVACIÓN.</w:t>
      </w:r>
      <w:r w:rsidRPr="00964919">
        <w:rPr>
          <w:rFonts w:ascii="Palatino Linotype" w:eastAsia="Palatino Linotype" w:hAnsi="Palatino Linotype" w:cs="Palatino Linotype"/>
          <w:i/>
        </w:rPr>
        <w:t xml:space="preserve"> La debida fundamentación y motivación legal, deben entenderse, por lo primero, la cita del precepto legal aplicable al caso, y por lo segundo, las razones, motivos o circunstancias especiales que llevaron a la autoridad a concluir que el caso particular encuadra en el supuesto previsto por la norma legal invocada como fundamento…” (Sic)</w:t>
      </w:r>
    </w:p>
    <w:p w14:paraId="7AA06E85" w14:textId="77777777" w:rsidR="003E4E89" w:rsidRPr="00964919" w:rsidRDefault="000D4BA5">
      <w:pPr>
        <w:widowControl w:val="0"/>
        <w:tabs>
          <w:tab w:val="left" w:pos="1276"/>
        </w:tabs>
        <w:spacing w:before="240" w:after="240"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rPr>
        <w:t>De tal manera que, en un acto de autoridad se surte la debida fundamentación cuando se cita el precepto legal aplicable al caso concreto y la debida motivación cuando se expresan las razones, motivos o circunstancias que tomó en cuenta la autoridad para adecuar el hecho a los fundamentos de derecho, sirviendo de sustento la diversa jurisprudencia dictada por el Poder Judicial de la Federación que sostiene que la finalidad de la fundamentación o motivación es la de explicar, justificar, posibilitar la defensa y comunicar la decisión de la autoridad:</w:t>
      </w:r>
    </w:p>
    <w:p w14:paraId="77BCDEBF" w14:textId="77777777" w:rsidR="003E4E89" w:rsidRPr="00964919" w:rsidRDefault="000D4BA5">
      <w:pPr>
        <w:widowControl w:val="0"/>
        <w:tabs>
          <w:tab w:val="left" w:pos="1276"/>
        </w:tabs>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t>“</w:t>
      </w:r>
      <w:r w:rsidRPr="00964919">
        <w:rPr>
          <w:rFonts w:ascii="Palatino Linotype" w:eastAsia="Palatino Linotype" w:hAnsi="Palatino Linotype" w:cs="Palatino Linotype"/>
          <w:b/>
          <w:i/>
        </w:rPr>
        <w:t>FUNDAMENTACIÓN Y MOTIVACIÓN. EL ASPECTO FORMAL DE LA GARANTÍA Y SU FINALIDAD SE TRADUCEN EN EXPLICAR, JUSTIFICAR, POSIBILITAR LA DEFENSA Y COMUNICAR LA DECISIÓN.</w:t>
      </w:r>
      <w:r w:rsidRPr="00964919">
        <w:rPr>
          <w:rFonts w:ascii="Palatino Linotype" w:eastAsia="Palatino Linotype" w:hAnsi="Palatino Linotype" w:cs="Palatino Linotype"/>
          <w:i/>
        </w:rPr>
        <w:t xml:space="preserve"> El contenido formal de la garantía de legalidad prevista en el artículo 16 constitucional relativa a la fundamentación y motivación tiene como propósito primordial y ratio que el justiciable conozca el "para qué" de la conducta de la autoridad, lo que se traduce en darle a conocer en detalle y de manera completa la esencia de todas las circunstancias y condiciones que determinaron el acto de voluntad, de manera que sea evidente y muy claro para el afectado poder cuestionar y controvertir el mérito de la decisión, permitiéndole una real y auténtica defensa. Por tanto, no basta que el acto de autoridad apenas observe una motivación pro forma pero de una manera incongruente, insuficiente o imprecisa, que impida la finalidad del conocimiento, comprobación y defensa pertinente, ni es válido exigirle una amplitud o abundancia superflua, pues es suficiente la expresión de lo estrictamente necesario para explicar, justificar y posibilitar la defensa, así como para comunicar la decisión a efecto de que se considere debidamente fundado y motivado, exponiendo los hechos relevantes para decidir, citando la norma habilitante y un argumento mínimo pero suficiente para acreditar el razonamiento del que se deduzca la relación de pertenencia lógica de los hechos al derecho invocado, que es la subsunción.”(Sic)</w:t>
      </w:r>
    </w:p>
    <w:p w14:paraId="23BA3E19" w14:textId="77777777" w:rsidR="003E4E89" w:rsidRPr="00964919" w:rsidRDefault="003E4E89">
      <w:pPr>
        <w:widowControl w:val="0"/>
        <w:tabs>
          <w:tab w:val="left" w:pos="1276"/>
        </w:tabs>
        <w:ind w:left="851" w:right="616"/>
        <w:jc w:val="both"/>
        <w:rPr>
          <w:rFonts w:ascii="Palatino Linotype" w:eastAsia="Palatino Linotype" w:hAnsi="Palatino Linotype" w:cs="Palatino Linotype"/>
          <w:i/>
        </w:rPr>
      </w:pPr>
    </w:p>
    <w:p w14:paraId="3AED1089" w14:textId="77777777" w:rsidR="003E4E89" w:rsidRPr="00964919" w:rsidRDefault="000D4BA5">
      <w:pPr>
        <w:widowControl w:val="0"/>
        <w:tabs>
          <w:tab w:val="left" w:pos="1276"/>
        </w:tabs>
        <w:spacing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rPr>
        <w:lastRenderedPageBreak/>
        <w:t>Por lo cual, la fundamentación y motivación implica que, en el acto de autoridad, además de contenerse los supuestos jurídicos aplicables, debe de explicarse claramente por qué a través de la utilización de la norma se emitió el acto. De este modo, la persona que se siente afectada pueda impugnar la decisión, permitiéndole una real y auténtica defensa.</w:t>
      </w:r>
    </w:p>
    <w:p w14:paraId="33A02E3D" w14:textId="77777777" w:rsidR="003E4E89" w:rsidRPr="00964919" w:rsidRDefault="000D4BA5">
      <w:pPr>
        <w:spacing w:after="0" w:line="360" w:lineRule="auto"/>
        <w:ind w:right="50"/>
        <w:jc w:val="both"/>
        <w:rPr>
          <w:rFonts w:ascii="Times New Roman" w:eastAsia="Times New Roman" w:hAnsi="Times New Roman" w:cs="Times New Roman"/>
          <w:sz w:val="24"/>
          <w:szCs w:val="24"/>
        </w:rPr>
      </w:pPr>
      <w:r w:rsidRPr="00964919">
        <w:rPr>
          <w:rFonts w:ascii="Palatino Linotype" w:eastAsia="Palatino Linotype" w:hAnsi="Palatino Linotype" w:cs="Palatino Linotype"/>
          <w:color w:val="000000"/>
        </w:rPr>
        <w:t xml:space="preserve">Finalmente, no escapa de la óptica de este organismo garante que el </w:t>
      </w:r>
      <w:r w:rsidRPr="00964919">
        <w:rPr>
          <w:rFonts w:ascii="Palatino Linotype" w:eastAsia="Palatino Linotype" w:hAnsi="Palatino Linotype" w:cs="Palatino Linotype"/>
          <w:b/>
          <w:color w:val="000000"/>
        </w:rPr>
        <w:t>Recurrente</w:t>
      </w:r>
      <w:r w:rsidRPr="00964919">
        <w:rPr>
          <w:rFonts w:ascii="Palatino Linotype" w:eastAsia="Palatino Linotype" w:hAnsi="Palatino Linotype" w:cs="Palatino Linotype"/>
          <w:color w:val="000000"/>
        </w:rPr>
        <w:t xml:space="preserve"> requirió la información de la presente administración, es decir, 2022-2024, de modo que este periodo comprendería del uno de enero de dos mil veintidós al treinta y uno de diciembre de dos mil veinticuatro, por lo que para cumplir con dicha temporalidad, implicaría la información sobre hechos que aún no se han generado, correspondiendo son hechos futuros de realización incierta; por lo que no es procedente que los sujetos obligados proporcionen dicha información; siendo aplicable la tesis con número de registro digital 209001 emitida por el Poder Judicial de la Federación, que dispone lo siguiente:</w:t>
      </w:r>
    </w:p>
    <w:p w14:paraId="231AA52A" w14:textId="77777777" w:rsidR="003E4E89" w:rsidRPr="00964919" w:rsidRDefault="003E4E89">
      <w:pPr>
        <w:spacing w:after="0" w:line="360" w:lineRule="auto"/>
        <w:rPr>
          <w:rFonts w:ascii="Times New Roman" w:eastAsia="Times New Roman" w:hAnsi="Times New Roman" w:cs="Times New Roman"/>
          <w:sz w:val="24"/>
          <w:szCs w:val="24"/>
        </w:rPr>
      </w:pPr>
    </w:p>
    <w:p w14:paraId="503F0F47" w14:textId="77777777" w:rsidR="003E4E89" w:rsidRPr="00964919" w:rsidRDefault="000D4BA5">
      <w:pPr>
        <w:spacing w:after="0" w:line="276" w:lineRule="auto"/>
        <w:ind w:left="851" w:right="616"/>
        <w:jc w:val="both"/>
        <w:rPr>
          <w:rFonts w:ascii="Times New Roman" w:eastAsia="Times New Roman" w:hAnsi="Times New Roman" w:cs="Times New Roman"/>
          <w:sz w:val="24"/>
          <w:szCs w:val="24"/>
        </w:rPr>
      </w:pPr>
      <w:r w:rsidRPr="00964919">
        <w:rPr>
          <w:rFonts w:ascii="Palatino Linotype" w:eastAsia="Palatino Linotype" w:hAnsi="Palatino Linotype" w:cs="Palatino Linotype"/>
          <w:i/>
          <w:color w:val="000000"/>
        </w:rPr>
        <w:t>“</w:t>
      </w:r>
      <w:r w:rsidRPr="00964919">
        <w:rPr>
          <w:rFonts w:ascii="Palatino Linotype" w:eastAsia="Palatino Linotype" w:hAnsi="Palatino Linotype" w:cs="Palatino Linotype"/>
          <w:b/>
          <w:i/>
          <w:color w:val="000000"/>
        </w:rPr>
        <w:t>ACTOS FUTUROS DE REALIZACION INCIERTA. NO PROCEDE EL JUICIO DE AMPARO CONTRA LOS.</w:t>
      </w:r>
    </w:p>
    <w:p w14:paraId="1E39FA86" w14:textId="77777777" w:rsidR="003E4E89" w:rsidRPr="00964919" w:rsidRDefault="000D4BA5">
      <w:pPr>
        <w:spacing w:after="0" w:line="276" w:lineRule="auto"/>
        <w:ind w:left="851" w:right="616"/>
        <w:jc w:val="both"/>
        <w:rPr>
          <w:rFonts w:ascii="Times New Roman" w:eastAsia="Times New Roman" w:hAnsi="Times New Roman" w:cs="Times New Roman"/>
          <w:sz w:val="24"/>
          <w:szCs w:val="24"/>
        </w:rPr>
      </w:pPr>
      <w:r w:rsidRPr="00964919">
        <w:rPr>
          <w:rFonts w:ascii="Palatino Linotype" w:eastAsia="Palatino Linotype" w:hAnsi="Palatino Linotype" w:cs="Palatino Linotype"/>
          <w:i/>
          <w:color w:val="000000"/>
        </w:rPr>
        <w:t>Contra actos futuros de realización incierta no procede el juicio de garantías.</w:t>
      </w:r>
    </w:p>
    <w:p w14:paraId="314CB774" w14:textId="77777777" w:rsidR="003E4E89" w:rsidRPr="00964919" w:rsidRDefault="003E4E89">
      <w:pPr>
        <w:spacing w:after="0" w:line="276" w:lineRule="auto"/>
        <w:ind w:left="851" w:right="616"/>
        <w:rPr>
          <w:rFonts w:ascii="Times New Roman" w:eastAsia="Times New Roman" w:hAnsi="Times New Roman" w:cs="Times New Roman"/>
          <w:sz w:val="24"/>
          <w:szCs w:val="24"/>
        </w:rPr>
      </w:pPr>
    </w:p>
    <w:p w14:paraId="6726AFA2" w14:textId="77777777" w:rsidR="003E4E89" w:rsidRPr="00964919" w:rsidRDefault="000D4BA5">
      <w:pPr>
        <w:spacing w:after="0" w:line="276" w:lineRule="auto"/>
        <w:ind w:left="851" w:right="616"/>
        <w:jc w:val="both"/>
        <w:rPr>
          <w:rFonts w:ascii="Times New Roman" w:eastAsia="Times New Roman" w:hAnsi="Times New Roman" w:cs="Times New Roman"/>
          <w:sz w:val="24"/>
          <w:szCs w:val="24"/>
        </w:rPr>
      </w:pPr>
      <w:r w:rsidRPr="00964919">
        <w:rPr>
          <w:rFonts w:ascii="Palatino Linotype" w:eastAsia="Palatino Linotype" w:hAnsi="Palatino Linotype" w:cs="Palatino Linotype"/>
          <w:i/>
          <w:color w:val="000000"/>
        </w:rPr>
        <w:t>En ese sentido, no es procedente la exigencia del hoy Recurrente de que el Sujeto Obligado atienda su solicitud, pues esa autoridad únicamente está constreñida a proporcionar la información pública que genere en uso de sus atribuciones de derecho público con anterioridad a la fecha de la solicitud de información.”</w:t>
      </w:r>
    </w:p>
    <w:p w14:paraId="522CD987" w14:textId="77777777" w:rsidR="003E4E89" w:rsidRPr="00964919" w:rsidRDefault="003E4E89">
      <w:pPr>
        <w:spacing w:after="0" w:line="360" w:lineRule="auto"/>
        <w:rPr>
          <w:rFonts w:ascii="Times New Roman" w:eastAsia="Times New Roman" w:hAnsi="Times New Roman" w:cs="Times New Roman"/>
          <w:sz w:val="24"/>
          <w:szCs w:val="24"/>
        </w:rPr>
      </w:pPr>
    </w:p>
    <w:p w14:paraId="1DA1FDAA" w14:textId="77777777" w:rsidR="003E4E89" w:rsidRPr="00964919" w:rsidRDefault="000D4BA5">
      <w:pPr>
        <w:spacing w:after="0" w:line="360" w:lineRule="auto"/>
        <w:jc w:val="both"/>
        <w:rPr>
          <w:rFonts w:ascii="Palatino Linotype" w:eastAsia="Palatino Linotype" w:hAnsi="Palatino Linotype" w:cs="Palatino Linotype"/>
        </w:rPr>
      </w:pPr>
      <w:bookmarkStart w:id="4" w:name="_heading=h.tyjcwt" w:colFirst="0" w:colLast="0"/>
      <w:bookmarkEnd w:id="4"/>
      <w:r w:rsidRPr="00964919">
        <w:rPr>
          <w:rFonts w:ascii="Palatino Linotype" w:eastAsia="Palatino Linotype" w:hAnsi="Palatino Linotype" w:cs="Palatino Linotype"/>
          <w:color w:val="000000"/>
        </w:rPr>
        <w:t xml:space="preserve">En ese sentido, no es procedente ordenar información que sea posterior a la presentación de la fecha de la solicitud, pues esa autoridad únicamente está constreñida a proporcionar la información pública que genere en uso de sus atribuciones de derecho público a la fecha de la solicitud de información, en consecuencia, </w:t>
      </w:r>
      <w:r w:rsidRPr="00964919">
        <w:rPr>
          <w:rFonts w:ascii="Palatino Linotype" w:eastAsia="Palatino Linotype" w:hAnsi="Palatino Linotype" w:cs="Palatino Linotype"/>
        </w:rPr>
        <w:t xml:space="preserve">resulta procedente ordenar de la adquisición de despensas, la entrega del documento o documentos en donde conste el monto del gasto </w:t>
      </w:r>
      <w:r w:rsidRPr="00964919">
        <w:rPr>
          <w:rFonts w:ascii="Palatino Linotype" w:eastAsia="Palatino Linotype" w:hAnsi="Palatino Linotype" w:cs="Palatino Linotype"/>
        </w:rPr>
        <w:lastRenderedPageBreak/>
        <w:t xml:space="preserve">ejercido, pólizas de egresos y facturas, del primero de enero de dos mil veintidós al siete de octubre de dos mil veinticuatro. </w:t>
      </w:r>
    </w:p>
    <w:p w14:paraId="6A8D32A1" w14:textId="77777777" w:rsidR="003E4E89" w:rsidRPr="00964919" w:rsidRDefault="003E4E89">
      <w:pPr>
        <w:spacing w:after="0" w:line="360" w:lineRule="auto"/>
        <w:jc w:val="both"/>
        <w:rPr>
          <w:rFonts w:ascii="Palatino Linotype" w:eastAsia="Palatino Linotype" w:hAnsi="Palatino Linotype" w:cs="Palatino Linotype"/>
        </w:rPr>
      </w:pPr>
    </w:p>
    <w:p w14:paraId="45DC3C74" w14:textId="77777777" w:rsidR="003E4E89" w:rsidRPr="00964919" w:rsidRDefault="000D4BA5">
      <w:pPr>
        <w:spacing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b/>
        </w:rPr>
        <w:t xml:space="preserve">Quinto. Versión Pública. </w:t>
      </w:r>
      <w:r w:rsidRPr="00964919">
        <w:rPr>
          <w:rFonts w:ascii="Palatino Linotype" w:eastAsia="Palatino Linotype" w:hAnsi="Palatino Linotype" w:cs="Palatino Linotype"/>
        </w:rPr>
        <w:t xml:space="preserve">Finalmente, debe señalarse que de ser el caso en que los documentos que vayan a ser entregados para dar cumplimiento a la presente resolución, contengan datos que deban ser clasificados, el </w:t>
      </w:r>
      <w:r w:rsidRPr="00964919">
        <w:rPr>
          <w:rFonts w:ascii="Palatino Linotype" w:eastAsia="Palatino Linotype" w:hAnsi="Palatino Linotype" w:cs="Palatino Linotype"/>
          <w:b/>
        </w:rPr>
        <w:t>Sujeto Obligado</w:t>
      </w:r>
      <w:r w:rsidRPr="00964919">
        <w:rPr>
          <w:rFonts w:ascii="Palatino Linotype" w:eastAsia="Palatino Linotype" w:hAnsi="Palatino Linotype" w:cs="Palatino Linotype"/>
        </w:rPr>
        <w:t xml:space="preserve"> deberá hacer la elaboración de la versión pública de los mismos a fin de satisfacer el derecho de acceso a la información pública de la parte </w:t>
      </w:r>
      <w:r w:rsidRPr="00964919">
        <w:rPr>
          <w:rFonts w:ascii="Palatino Linotype" w:eastAsia="Palatino Linotype" w:hAnsi="Palatino Linotype" w:cs="Palatino Linotype"/>
          <w:b/>
        </w:rPr>
        <w:t>Recurrente</w:t>
      </w:r>
      <w:r w:rsidRPr="00964919">
        <w:rPr>
          <w:rFonts w:ascii="Palatino Linotype" w:eastAsia="Palatino Linotype" w:hAnsi="Palatino Linotype" w:cs="Palatino Linotype"/>
        </w:rPr>
        <w:t xml:space="preserve"> sin menoscabo al derecho a la protección de los datos personales de terceros.</w:t>
      </w:r>
    </w:p>
    <w:p w14:paraId="2D08128C" w14:textId="77777777" w:rsidR="003E4E89" w:rsidRPr="00964919" w:rsidRDefault="000D4BA5">
      <w:pPr>
        <w:spacing w:before="240" w:after="240"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rPr>
        <w:t>Para efectos de la elaboración de la versión pública se deberá observar lo dispuesto por los artículos 3 fracciones IX, XX, XXI y XLV, 91, 132 fracciones II y III, y 143 fracción I de la Ley de Transparencia y Acceso a la Información Pública del Estado de México y Municipios que establecen:</w:t>
      </w:r>
    </w:p>
    <w:p w14:paraId="29BC479F" w14:textId="77777777" w:rsidR="003E4E89" w:rsidRPr="00964919" w:rsidRDefault="000D4BA5">
      <w:pPr>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t>“</w:t>
      </w:r>
      <w:r w:rsidRPr="00964919">
        <w:rPr>
          <w:rFonts w:ascii="Palatino Linotype" w:eastAsia="Palatino Linotype" w:hAnsi="Palatino Linotype" w:cs="Palatino Linotype"/>
          <w:b/>
          <w:i/>
        </w:rPr>
        <w:t>Artículo 3</w:t>
      </w:r>
      <w:r w:rsidRPr="00964919">
        <w:rPr>
          <w:rFonts w:ascii="Palatino Linotype" w:eastAsia="Palatino Linotype" w:hAnsi="Palatino Linotype" w:cs="Palatino Linotype"/>
          <w:i/>
        </w:rPr>
        <w:t>. Para los efectos de la presente Ley se entenderá por:</w:t>
      </w:r>
    </w:p>
    <w:p w14:paraId="37147288" w14:textId="77777777" w:rsidR="003E4E89" w:rsidRPr="00964919" w:rsidRDefault="000D4BA5">
      <w:pPr>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t>[…]</w:t>
      </w:r>
    </w:p>
    <w:p w14:paraId="267AA818" w14:textId="77777777" w:rsidR="003E4E89" w:rsidRPr="00964919" w:rsidRDefault="000D4BA5">
      <w:pPr>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b/>
          <w:i/>
        </w:rPr>
        <w:t>IX. Datos personales</w:t>
      </w:r>
      <w:r w:rsidRPr="00964919">
        <w:rPr>
          <w:rFonts w:ascii="Palatino Linotype" w:eastAsia="Palatino Linotype" w:hAnsi="Palatino Linotype" w:cs="Palatino Linotype"/>
          <w:i/>
        </w:rPr>
        <w:t xml:space="preserve">: La información concerniente a una persona, identificada o identificable según lo dispuesto por la Ley de Protección de Datos Personales del Estado de México; </w:t>
      </w:r>
    </w:p>
    <w:p w14:paraId="4A8F6EA5" w14:textId="77777777" w:rsidR="003E4E89" w:rsidRPr="00964919" w:rsidRDefault="000D4BA5">
      <w:pPr>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b/>
          <w:i/>
        </w:rPr>
        <w:t>XX. Información clasificada</w:t>
      </w:r>
      <w:r w:rsidRPr="00964919">
        <w:rPr>
          <w:rFonts w:ascii="Palatino Linotype" w:eastAsia="Palatino Linotype" w:hAnsi="Palatino Linotype" w:cs="Palatino Linotype"/>
          <w:i/>
        </w:rPr>
        <w:t>: Aquella considerada por la presente Ley como reservada o confidencial;</w:t>
      </w:r>
    </w:p>
    <w:p w14:paraId="7B94862E" w14:textId="77777777" w:rsidR="003E4E89" w:rsidRPr="00964919" w:rsidRDefault="000D4BA5">
      <w:pPr>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b/>
          <w:i/>
        </w:rPr>
        <w:t>XXI. Información confidencial</w:t>
      </w:r>
      <w:r w:rsidRPr="00964919">
        <w:rPr>
          <w:rFonts w:ascii="Palatino Linotype" w:eastAsia="Palatino Linotype" w:hAnsi="Palatino Linotype" w:cs="Palatino Linotype"/>
          <w:i/>
        </w:rPr>
        <w:t>: Se considera como información confidencial los secretos bancario, fiduciario, industrial, comercial, fiscal, bursátil y postal, cuya titularidad corresponda a particulares, sujetos de derecho internacional o a sujetos obligados cuando no involucren el ejercicio de recursos públicos;</w:t>
      </w:r>
    </w:p>
    <w:p w14:paraId="0BEC958A" w14:textId="77777777" w:rsidR="003E4E89" w:rsidRPr="00964919" w:rsidRDefault="000D4BA5">
      <w:pPr>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b/>
          <w:i/>
        </w:rPr>
        <w:t>XLV. Versión pública</w:t>
      </w:r>
      <w:r w:rsidRPr="00964919">
        <w:rPr>
          <w:rFonts w:ascii="Palatino Linotype" w:eastAsia="Palatino Linotype" w:hAnsi="Palatino Linotype" w:cs="Palatino Linotype"/>
          <w:i/>
        </w:rPr>
        <w:t>: Documento en el que se elimine, suprime o borra la información clasificada como reservada o confidencial para permitir su acceso.</w:t>
      </w:r>
    </w:p>
    <w:p w14:paraId="0E31884E" w14:textId="77777777" w:rsidR="003E4E89" w:rsidRPr="00964919" w:rsidRDefault="000D4BA5">
      <w:pPr>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t>[…]</w:t>
      </w:r>
    </w:p>
    <w:p w14:paraId="1D46E284" w14:textId="77777777" w:rsidR="003E4E89" w:rsidRPr="00964919" w:rsidRDefault="000D4BA5">
      <w:pPr>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b/>
          <w:i/>
        </w:rPr>
        <w:t>Artículo 91.</w:t>
      </w:r>
      <w:r w:rsidRPr="00964919">
        <w:rPr>
          <w:rFonts w:ascii="Palatino Linotype" w:eastAsia="Palatino Linotype" w:hAnsi="Palatino Linotype" w:cs="Palatino Linotype"/>
          <w:i/>
        </w:rPr>
        <w:t xml:space="preserve"> El acceso a la información pública será restringido excepcionalmente, cuando ésta sea clasificada como reservada o confidencial.</w:t>
      </w:r>
    </w:p>
    <w:p w14:paraId="436CB50C" w14:textId="77777777" w:rsidR="003E4E89" w:rsidRPr="00964919" w:rsidRDefault="000D4BA5">
      <w:pPr>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b/>
          <w:i/>
        </w:rPr>
        <w:lastRenderedPageBreak/>
        <w:t>Artículo 132</w:t>
      </w:r>
      <w:r w:rsidRPr="00964919">
        <w:rPr>
          <w:rFonts w:ascii="Palatino Linotype" w:eastAsia="Palatino Linotype" w:hAnsi="Palatino Linotype" w:cs="Palatino Linotype"/>
          <w:i/>
        </w:rPr>
        <w:t>. La clasificación de la información se llevará a cabo en el momento en que:</w:t>
      </w:r>
    </w:p>
    <w:p w14:paraId="3C6A780F" w14:textId="77777777" w:rsidR="003E4E89" w:rsidRPr="00964919" w:rsidRDefault="000D4BA5">
      <w:pPr>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b/>
          <w:i/>
        </w:rPr>
        <w:t>I.</w:t>
      </w:r>
      <w:r w:rsidRPr="00964919">
        <w:rPr>
          <w:rFonts w:ascii="Palatino Linotype" w:eastAsia="Palatino Linotype" w:hAnsi="Palatino Linotype" w:cs="Palatino Linotype"/>
          <w:i/>
        </w:rPr>
        <w:t xml:space="preserve"> Se reciba una solicitud de acceso a la información;</w:t>
      </w:r>
    </w:p>
    <w:p w14:paraId="5B8CA419" w14:textId="77777777" w:rsidR="003E4E89" w:rsidRPr="00964919" w:rsidRDefault="000D4BA5">
      <w:pPr>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b/>
          <w:i/>
        </w:rPr>
        <w:t>II.</w:t>
      </w:r>
      <w:r w:rsidRPr="00964919">
        <w:rPr>
          <w:rFonts w:ascii="Palatino Linotype" w:eastAsia="Palatino Linotype" w:hAnsi="Palatino Linotype" w:cs="Palatino Linotype"/>
          <w:i/>
        </w:rPr>
        <w:t xml:space="preserve"> Se determine mediante resolución de autoridad competente; o</w:t>
      </w:r>
    </w:p>
    <w:p w14:paraId="3D804C51" w14:textId="77777777" w:rsidR="003E4E89" w:rsidRPr="00964919" w:rsidRDefault="000D4BA5">
      <w:pPr>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b/>
          <w:i/>
        </w:rPr>
        <w:t>III.</w:t>
      </w:r>
      <w:r w:rsidRPr="00964919">
        <w:rPr>
          <w:rFonts w:ascii="Palatino Linotype" w:eastAsia="Palatino Linotype" w:hAnsi="Palatino Linotype" w:cs="Palatino Linotype"/>
          <w:i/>
        </w:rPr>
        <w:t xml:space="preserve"> Se generen versiones públicas para dar cumplimiento a las obligaciones de transparencia previstas en esta Ley.</w:t>
      </w:r>
    </w:p>
    <w:p w14:paraId="7DFC9537" w14:textId="77777777" w:rsidR="003E4E89" w:rsidRPr="00964919" w:rsidRDefault="000D4BA5">
      <w:pPr>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t>[…]</w:t>
      </w:r>
    </w:p>
    <w:p w14:paraId="5DF55E5B" w14:textId="77777777" w:rsidR="003E4E89" w:rsidRPr="00964919" w:rsidRDefault="000D4BA5">
      <w:pPr>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b/>
          <w:i/>
        </w:rPr>
        <w:t>Artículo 143.</w:t>
      </w:r>
      <w:r w:rsidRPr="00964919">
        <w:rPr>
          <w:rFonts w:ascii="Palatino Linotype" w:eastAsia="Palatino Linotype" w:hAnsi="Palatino Linotype" w:cs="Palatino Linotype"/>
          <w:i/>
        </w:rPr>
        <w:t xml:space="preserve"> Para los efectos de esta Ley se considera información confidencial, la clasificada como tal, de manera permanente, por su naturaleza, cuando:</w:t>
      </w:r>
    </w:p>
    <w:p w14:paraId="2931C12C" w14:textId="77777777" w:rsidR="003E4E89" w:rsidRPr="00964919" w:rsidRDefault="000D4BA5">
      <w:pPr>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b/>
          <w:i/>
        </w:rPr>
        <w:t>I.</w:t>
      </w:r>
      <w:r w:rsidRPr="00964919">
        <w:rPr>
          <w:rFonts w:ascii="Palatino Linotype" w:eastAsia="Palatino Linotype" w:hAnsi="Palatino Linotype" w:cs="Palatino Linotype"/>
          <w:i/>
        </w:rPr>
        <w:t xml:space="preserve"> Se refiera a la información privada y los datos personales concernientes a una persona física o jurídico colectiva identificada o identificable;</w:t>
      </w:r>
    </w:p>
    <w:p w14:paraId="74CC6EFA" w14:textId="77777777" w:rsidR="003E4E89" w:rsidRPr="00964919" w:rsidRDefault="000D4BA5">
      <w:pPr>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b/>
          <w:i/>
        </w:rPr>
        <w:t>II.</w:t>
      </w:r>
      <w:r w:rsidRPr="00964919">
        <w:rPr>
          <w:rFonts w:ascii="Palatino Linotype" w:eastAsia="Palatino Linotype" w:hAnsi="Palatino Linotype" w:cs="Palatino Linotype"/>
          <w:i/>
        </w:rPr>
        <w:t xml:space="preserve"> Los secretos bancario, fiduciario, industrial, comercial, fiscal, bursátil y postal, cuya titularidad corresponda a particulares, sujetos de derecho internacional o a sujetos obligados cuando no involucren el ejercicio de recursos públicos; y</w:t>
      </w:r>
    </w:p>
    <w:p w14:paraId="61CA5D49" w14:textId="77777777" w:rsidR="003E4E89" w:rsidRPr="00964919" w:rsidRDefault="000D4BA5">
      <w:pPr>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b/>
          <w:i/>
        </w:rPr>
        <w:t>III.</w:t>
      </w:r>
      <w:r w:rsidRPr="00964919">
        <w:rPr>
          <w:rFonts w:ascii="Palatino Linotype" w:eastAsia="Palatino Linotype" w:hAnsi="Palatino Linotype" w:cs="Palatino Linotype"/>
          <w:i/>
        </w:rPr>
        <w:t xml:space="preserve"> La que presenten los particulares a los sujetos obligados, de conformidad con lo dispuesto por las leyes o los tratados internacionales.</w:t>
      </w:r>
    </w:p>
    <w:p w14:paraId="2B69AC16" w14:textId="77777777" w:rsidR="003E4E89" w:rsidRPr="00964919" w:rsidRDefault="000D4BA5">
      <w:pPr>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t>La información confidencial no estará sujeta a temporalidad alguna y sólo podrán tener acceso a ella los titulares de la misma, sus representantes y los servidores públicos facultados para ello.</w:t>
      </w:r>
    </w:p>
    <w:p w14:paraId="0FFB976B" w14:textId="77777777" w:rsidR="003E4E89" w:rsidRPr="00964919" w:rsidRDefault="000D4BA5">
      <w:pPr>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t>No se considerará confidencial la información que se encuentre en los registros públicos o en fuentes de acceso público, ni tampoco la que sea considerada por la presente ley como información pública.”</w:t>
      </w:r>
    </w:p>
    <w:p w14:paraId="41ECAC07" w14:textId="77777777" w:rsidR="003E4E89" w:rsidRPr="00964919" w:rsidRDefault="000D4BA5">
      <w:pPr>
        <w:spacing w:before="240" w:after="240"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rPr>
        <w:t>Igualmente, los Lineamientos Generales en Materia de Clasificación y Desclasificación de la Información, así como para la elaboración de Versiones Públicas, emitidos por el Consejo Nacional del Sistema Nacional de Transparencia, Acceso a la Información Pública y Protección de Datos Personales, publicados en el Diario Oficial de la Federación el día quince de abril de dos mil dieciséis, tienen por objeto establecer los criterios con base en los cuales los sujetos obligados clasificarán como reservada o confidencial la información que posean, desclasificarán y generarán, en su caso, versiones públicas de expedientes o documentos que contengan partes o secciones clasificadas.</w:t>
      </w:r>
    </w:p>
    <w:p w14:paraId="2F905F50" w14:textId="77777777" w:rsidR="003E4E89" w:rsidRPr="00964919" w:rsidRDefault="000D4BA5">
      <w:pPr>
        <w:spacing w:before="240" w:after="240"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rPr>
        <w:lastRenderedPageBreak/>
        <w:t>Entorno a lo que aquí nos interesa, los Lineamientos Quincuagésimo sexto, Quincuagésimo séptimo y Quincuagésimo octavo, establecen lo siguiente:</w:t>
      </w:r>
    </w:p>
    <w:p w14:paraId="50A54093" w14:textId="77777777" w:rsidR="003E4E89" w:rsidRPr="00964919" w:rsidRDefault="000D4BA5">
      <w:pPr>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t>“</w:t>
      </w:r>
      <w:r w:rsidRPr="00964919">
        <w:rPr>
          <w:rFonts w:ascii="Palatino Linotype" w:eastAsia="Palatino Linotype" w:hAnsi="Palatino Linotype" w:cs="Palatino Linotype"/>
          <w:b/>
          <w:i/>
        </w:rPr>
        <w:t>Quincuagésimo sexto.</w:t>
      </w:r>
      <w:r w:rsidRPr="00964919">
        <w:rPr>
          <w:rFonts w:ascii="Palatino Linotype" w:eastAsia="Palatino Linotype" w:hAnsi="Palatino Linotype" w:cs="Palatino Linotype"/>
          <w:i/>
        </w:rPr>
        <w:t xml:space="preserve"> La versión pública del documento o expediente que contenga partes o secciones reservadas o confidenciales, será elaborada por los sujetos obligados, previo pago de los costos de reproducción, a través de sus áreas y deberá ser aprobada por su Comité de Transparencia</w:t>
      </w:r>
    </w:p>
    <w:p w14:paraId="6EAB304D" w14:textId="77777777" w:rsidR="003E4E89" w:rsidRPr="00964919" w:rsidRDefault="000D4BA5">
      <w:pPr>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b/>
          <w:i/>
        </w:rPr>
        <w:t>Quincuagésimo séptimo.</w:t>
      </w:r>
      <w:r w:rsidRPr="00964919">
        <w:rPr>
          <w:rFonts w:ascii="Palatino Linotype" w:eastAsia="Palatino Linotype" w:hAnsi="Palatino Linotype" w:cs="Palatino Linotype"/>
          <w:i/>
        </w:rPr>
        <w:t xml:space="preserve"> Se considera, en principio, como información pública y no podrá omitirse de las versiones públicas la siguiente: </w:t>
      </w:r>
    </w:p>
    <w:p w14:paraId="3868DF34" w14:textId="77777777" w:rsidR="003E4E89" w:rsidRPr="00964919" w:rsidRDefault="000D4BA5">
      <w:pPr>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b/>
          <w:i/>
        </w:rPr>
        <w:t>I.</w:t>
      </w:r>
      <w:r w:rsidRPr="00964919">
        <w:rPr>
          <w:rFonts w:ascii="Palatino Linotype" w:eastAsia="Palatino Linotype" w:hAnsi="Palatino Linotype" w:cs="Palatino Linotype"/>
          <w:i/>
        </w:rPr>
        <w:t xml:space="preserve"> La relativa a las Obligaciones de Transparencia que contempla el Título V de la Ley General y las demás disposiciones legales aplicables; </w:t>
      </w:r>
    </w:p>
    <w:p w14:paraId="2A4790A7" w14:textId="77777777" w:rsidR="003E4E89" w:rsidRPr="00964919" w:rsidRDefault="000D4BA5">
      <w:pPr>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b/>
          <w:i/>
        </w:rPr>
        <w:t>II.</w:t>
      </w:r>
      <w:r w:rsidRPr="00964919">
        <w:rPr>
          <w:rFonts w:ascii="Palatino Linotype" w:eastAsia="Palatino Linotype" w:hAnsi="Palatino Linotype" w:cs="Palatino Linotype"/>
          <w:i/>
        </w:rPr>
        <w:t xml:space="preserve"> El nombre de los servidores públicos en los documentos, y sus firmas autógrafas, cuando sean utilizados en el ejercicio de las facultades conferidas para el desempeño del servicio público, y </w:t>
      </w:r>
    </w:p>
    <w:p w14:paraId="16852A71" w14:textId="77777777" w:rsidR="003E4E89" w:rsidRPr="00964919" w:rsidRDefault="000D4BA5">
      <w:pPr>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b/>
          <w:i/>
        </w:rPr>
        <w:t>III.</w:t>
      </w:r>
      <w:r w:rsidRPr="00964919">
        <w:rPr>
          <w:rFonts w:ascii="Palatino Linotype" w:eastAsia="Palatino Linotype" w:hAnsi="Palatino Linotype" w:cs="Palatino Linotype"/>
          <w:i/>
        </w:rPr>
        <w:t xml:space="preserve"> La información que documente decisiones y los actos de autoridad concluidos de los sujetos obligados, así como el ejercicio de las facultades o actividades de los servidores públicos, de manera que se pueda valorar el desempeño de los mismos.</w:t>
      </w:r>
    </w:p>
    <w:p w14:paraId="0DB9E761" w14:textId="77777777" w:rsidR="003E4E89" w:rsidRPr="00964919" w:rsidRDefault="000D4BA5">
      <w:pPr>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t xml:space="preserve">Lo anterior, siempre y cuando no se acredite alguna causal de clasificación, prevista en las leyes o en los tratados </w:t>
      </w:r>
      <w:proofErr w:type="gramStart"/>
      <w:r w:rsidRPr="00964919">
        <w:rPr>
          <w:rFonts w:ascii="Palatino Linotype" w:eastAsia="Palatino Linotype" w:hAnsi="Palatino Linotype" w:cs="Palatino Linotype"/>
          <w:i/>
        </w:rPr>
        <w:t>internaciones suscritos</w:t>
      </w:r>
      <w:proofErr w:type="gramEnd"/>
      <w:r w:rsidRPr="00964919">
        <w:rPr>
          <w:rFonts w:ascii="Palatino Linotype" w:eastAsia="Palatino Linotype" w:hAnsi="Palatino Linotype" w:cs="Palatino Linotype"/>
          <w:i/>
        </w:rPr>
        <w:t xml:space="preserve"> por el Estado mexicano. </w:t>
      </w:r>
    </w:p>
    <w:p w14:paraId="2FEE1BCD" w14:textId="77777777" w:rsidR="003E4E89" w:rsidRPr="00964919" w:rsidRDefault="000D4BA5">
      <w:pPr>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b/>
          <w:i/>
        </w:rPr>
        <w:t>Quincuagésimo octavo</w:t>
      </w:r>
      <w:r w:rsidRPr="00964919">
        <w:rPr>
          <w:rFonts w:ascii="Palatino Linotype" w:eastAsia="Palatino Linotype" w:hAnsi="Palatino Linotype" w:cs="Palatino Linotype"/>
          <w:i/>
        </w:rPr>
        <w:t>. Los sujetos obligados garantizarán que los sistemas o medios empleados para eliminar la información en las versiones públicas no permitan la recuperación o visualización de la misma.”</w:t>
      </w:r>
    </w:p>
    <w:p w14:paraId="5CAD5DB7" w14:textId="77777777" w:rsidR="003E4E89" w:rsidRPr="00964919" w:rsidRDefault="000D4BA5">
      <w:pPr>
        <w:spacing w:before="240" w:after="240"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rPr>
        <w:t>En el caso específico, la información solicitada puede contener datos susceptibles de clasificarse, que de hacerse públicos afectarían la intimidad y vida privada de particulares; que se ha reiterado en las resoluciones de este Pleno que además de los datos especificados en la Ley de Transparencia y Acceso a la Información Pública del Estado de México y Municipios, se consideran confidenciales cuyo acceso debe ser restringido, los cuales deben testarse al momento de la elaboración de versiones públicas, como pudieran ser de manera enunciativa más no limitativa, clave de elector, número de OCR, CURP, el número de cuenta bancaria, que sean exclusivamente de particulares, entre otros.</w:t>
      </w:r>
    </w:p>
    <w:p w14:paraId="01F111F2" w14:textId="77777777" w:rsidR="003E4E89" w:rsidRPr="00964919" w:rsidRDefault="000D4BA5">
      <w:pPr>
        <w:spacing w:before="240" w:after="240"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rPr>
        <w:lastRenderedPageBreak/>
        <w:t xml:space="preserve">La </w:t>
      </w:r>
      <w:r w:rsidRPr="00964919">
        <w:rPr>
          <w:rFonts w:ascii="Palatino Linotype" w:eastAsia="Palatino Linotype" w:hAnsi="Palatino Linotype" w:cs="Palatino Linotype"/>
          <w:b/>
        </w:rPr>
        <w:t>clave de elector</w:t>
      </w:r>
      <w:r w:rsidRPr="00964919">
        <w:rPr>
          <w:rFonts w:ascii="Palatino Linotype" w:eastAsia="Palatino Linotype" w:hAnsi="Palatino Linotype" w:cs="Palatino Linotype"/>
        </w:rPr>
        <w:t xml:space="preserve">, es la composición alfanumérica compuesta de 18 caracteres, mismos que hacen identificable a una persona física, que se conforma por las primeras letras de los apellidos, año, mes, día, sexo, clave del estado en donde nació su titular, así como una </w:t>
      </w:r>
      <w:proofErr w:type="spellStart"/>
      <w:r w:rsidRPr="00964919">
        <w:rPr>
          <w:rFonts w:ascii="Palatino Linotype" w:eastAsia="Palatino Linotype" w:hAnsi="Palatino Linotype" w:cs="Palatino Linotype"/>
        </w:rPr>
        <w:t>homoclave</w:t>
      </w:r>
      <w:proofErr w:type="spellEnd"/>
      <w:r w:rsidRPr="00964919">
        <w:rPr>
          <w:rFonts w:ascii="Palatino Linotype" w:eastAsia="Palatino Linotype" w:hAnsi="Palatino Linotype" w:cs="Palatino Linotype"/>
        </w:rPr>
        <w:t xml:space="preserve"> que distingue a su titular de cualquier otro homónimo, por lo tanto, se trata de un dato personal que debe ser protegido.</w:t>
      </w:r>
    </w:p>
    <w:p w14:paraId="184A29F0" w14:textId="77777777" w:rsidR="003E4E89" w:rsidRPr="00964919" w:rsidRDefault="000D4BA5">
      <w:pPr>
        <w:spacing w:before="240" w:after="240"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rPr>
        <w:t xml:space="preserve">El </w:t>
      </w:r>
      <w:r w:rsidRPr="00964919">
        <w:rPr>
          <w:rFonts w:ascii="Palatino Linotype" w:eastAsia="Palatino Linotype" w:hAnsi="Palatino Linotype" w:cs="Palatino Linotype"/>
          <w:b/>
        </w:rPr>
        <w:t>número de OCR,</w:t>
      </w:r>
      <w:r w:rsidRPr="00964919">
        <w:rPr>
          <w:rFonts w:ascii="Palatino Linotype" w:eastAsia="Palatino Linotype" w:hAnsi="Palatino Linotype" w:cs="Palatino Linotype"/>
        </w:rPr>
        <w:t xml:space="preserve"> denominado Reconocimiento Óptico de Caracteres (OCR), contiene el número de la sección electoral en donde vota el ciudadano titular de dicho documento, por lo que constituye un dato personal en razón de que revela información concerniente a una persona física identificada o identificable en función de la información </w:t>
      </w:r>
      <w:proofErr w:type="spellStart"/>
      <w:r w:rsidRPr="00964919">
        <w:rPr>
          <w:rFonts w:ascii="Palatino Linotype" w:eastAsia="Palatino Linotype" w:hAnsi="Palatino Linotype" w:cs="Palatino Linotype"/>
        </w:rPr>
        <w:t>geoelectoral</w:t>
      </w:r>
      <w:proofErr w:type="spellEnd"/>
      <w:r w:rsidRPr="00964919">
        <w:rPr>
          <w:rFonts w:ascii="Palatino Linotype" w:eastAsia="Palatino Linotype" w:hAnsi="Palatino Linotype" w:cs="Palatino Linotype"/>
        </w:rPr>
        <w:t xml:space="preserve"> ahí contenida, por lo que es susceptible de resguardarse.</w:t>
      </w:r>
    </w:p>
    <w:p w14:paraId="7037986E" w14:textId="77777777" w:rsidR="003E4E89" w:rsidRPr="00964919" w:rsidRDefault="000D4BA5">
      <w:pPr>
        <w:spacing w:before="240" w:after="240"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rPr>
        <w:t xml:space="preserve">La </w:t>
      </w:r>
      <w:r w:rsidRPr="00964919">
        <w:rPr>
          <w:rFonts w:ascii="Palatino Linotype" w:eastAsia="Palatino Linotype" w:hAnsi="Palatino Linotype" w:cs="Palatino Linotype"/>
          <w:b/>
        </w:rPr>
        <w:t>clave única del registro de población,</w:t>
      </w:r>
      <w:r w:rsidRPr="00964919">
        <w:rPr>
          <w:rFonts w:ascii="Palatino Linotype" w:eastAsia="Palatino Linotype" w:hAnsi="Palatino Linotype" w:cs="Palatino Linotype"/>
          <w:i/>
        </w:rPr>
        <w:t xml:space="preserve"> </w:t>
      </w:r>
      <w:r w:rsidRPr="00964919">
        <w:rPr>
          <w:rFonts w:ascii="Palatino Linotype" w:eastAsia="Palatino Linotype" w:hAnsi="Palatino Linotype" w:cs="Palatino Linotype"/>
        </w:rPr>
        <w:t>se integra por datos personales que sólo conciernen al particular titular de la misma, como lo son su nombre, apellidos, fecha de nacimiento, lugar de nacimiento y sexo. Dichos datos, constituyen información que distingue plenamente a una persona física del resto de los habitantes del país, por lo que está considerada como información confidencial.</w:t>
      </w:r>
    </w:p>
    <w:p w14:paraId="1FDFA64E" w14:textId="77777777" w:rsidR="003E4E89" w:rsidRPr="00964919" w:rsidRDefault="000D4BA5">
      <w:pPr>
        <w:spacing w:before="240" w:after="240" w:line="360" w:lineRule="auto"/>
        <w:ind w:right="50"/>
        <w:jc w:val="both"/>
        <w:rPr>
          <w:rFonts w:ascii="Palatino Linotype" w:eastAsia="Palatino Linotype" w:hAnsi="Palatino Linotype" w:cs="Palatino Linotype"/>
        </w:rPr>
      </w:pPr>
      <w:r w:rsidRPr="00964919">
        <w:rPr>
          <w:rFonts w:ascii="Palatino Linotype" w:eastAsia="Palatino Linotype" w:hAnsi="Palatino Linotype" w:cs="Palatino Linotype"/>
        </w:rPr>
        <w:t xml:space="preserve">Igualmente, resulta importante destacar que el </w:t>
      </w:r>
      <w:r w:rsidRPr="00964919">
        <w:rPr>
          <w:rFonts w:ascii="Palatino Linotype" w:eastAsia="Palatino Linotype" w:hAnsi="Palatino Linotype" w:cs="Palatino Linotype"/>
          <w:b/>
          <w:i/>
        </w:rPr>
        <w:t>número de cuenta bancaria</w:t>
      </w:r>
      <w:r w:rsidRPr="00964919">
        <w:rPr>
          <w:rFonts w:ascii="Palatino Linotype" w:eastAsia="Palatino Linotype" w:hAnsi="Palatino Linotype" w:cs="Palatino Linotype"/>
        </w:rPr>
        <w:t xml:space="preserve"> de las personas físicas es información que sólo su titular o personas autorizadas poseen para el acceso o consulta de información patrimonial, o para la realización de operaciones bancarias de diversa naturaleza, por lo que la difusión pública del mismo facilitaría la afectación al patrimonio del titular de la cuenta.</w:t>
      </w:r>
    </w:p>
    <w:p w14:paraId="61FBB901" w14:textId="77777777" w:rsidR="003E4E89" w:rsidRPr="00964919" w:rsidRDefault="000D4BA5">
      <w:pPr>
        <w:spacing w:before="240" w:after="240" w:line="360" w:lineRule="auto"/>
        <w:ind w:right="50"/>
        <w:jc w:val="both"/>
        <w:rPr>
          <w:rFonts w:ascii="Palatino Linotype" w:eastAsia="Palatino Linotype" w:hAnsi="Palatino Linotype" w:cs="Palatino Linotype"/>
        </w:rPr>
      </w:pPr>
      <w:r w:rsidRPr="00964919">
        <w:rPr>
          <w:rFonts w:ascii="Palatino Linotype" w:eastAsia="Palatino Linotype" w:hAnsi="Palatino Linotype" w:cs="Palatino Linotype"/>
        </w:rPr>
        <w:t>Por lo anterior, el número de cuenta bancaria debe ser clasificado como confidencial con fundamento en las fracciones I y II del artículo 143 de la Ley de la Materia de la Entidad; en razón de que, con su difusión se estaría poniendo en riesgo la seguridad de su titular.</w:t>
      </w:r>
    </w:p>
    <w:p w14:paraId="10F53DD2" w14:textId="77777777" w:rsidR="003E4E89" w:rsidRPr="00964919" w:rsidRDefault="000D4BA5">
      <w:pPr>
        <w:spacing w:before="240" w:after="240" w:line="360" w:lineRule="auto"/>
        <w:ind w:right="50"/>
        <w:jc w:val="both"/>
        <w:rPr>
          <w:rFonts w:ascii="Palatino Linotype" w:eastAsia="Palatino Linotype" w:hAnsi="Palatino Linotype" w:cs="Palatino Linotype"/>
        </w:rPr>
      </w:pPr>
      <w:r w:rsidRPr="00964919">
        <w:rPr>
          <w:rFonts w:ascii="Palatino Linotype" w:eastAsia="Palatino Linotype" w:hAnsi="Palatino Linotype" w:cs="Palatino Linotype"/>
        </w:rPr>
        <w:lastRenderedPageBreak/>
        <w:t xml:space="preserve">Además de que, la publicidad de los números de cuenta bancaria de los particulares en nada contribuye a la rendición de cuentas, sino por el contrario, dar a conocer los números de las cuentas bancarias hace vulnerable a las personas físicas, al abrir la posibilidad de que terceros que cuenten con las posibilidades tecnológicas y/o económicas puedan realizar actos ilícitos mediante operaciones cibernéticas; en esa virtud, este Instituto determina que dicha información no puede ser del dominio público, toda vez que se podría dar un uso inadecuado a la misma o cometer algún ilícito o fraude en contra del patrimonio de los particulares. </w:t>
      </w:r>
    </w:p>
    <w:p w14:paraId="2B516EB1" w14:textId="77777777" w:rsidR="003E4E89" w:rsidRPr="00964919" w:rsidRDefault="000D4BA5">
      <w:pPr>
        <w:spacing w:before="240" w:after="240" w:line="360" w:lineRule="auto"/>
        <w:ind w:right="50"/>
        <w:jc w:val="both"/>
        <w:rPr>
          <w:rFonts w:ascii="Palatino Linotype" w:eastAsia="Palatino Linotype" w:hAnsi="Palatino Linotype" w:cs="Palatino Linotype"/>
        </w:rPr>
      </w:pPr>
      <w:r w:rsidRPr="00964919">
        <w:rPr>
          <w:rFonts w:ascii="Palatino Linotype" w:eastAsia="Palatino Linotype" w:hAnsi="Palatino Linotype" w:cs="Palatino Linotype"/>
        </w:rPr>
        <w:t xml:space="preserve">En esa virtud, este Pleno determina que dicha información no puede ser del dominio público, toda vez que se podría dar un uso inadecuado a la misma o cometer algún ilícito o fraude como ya ha sido expuesto. </w:t>
      </w:r>
    </w:p>
    <w:p w14:paraId="6E104820" w14:textId="77777777" w:rsidR="003E4E89" w:rsidRPr="00964919" w:rsidRDefault="000D4BA5">
      <w:pPr>
        <w:spacing w:before="240" w:after="240" w:line="360" w:lineRule="auto"/>
        <w:ind w:right="50"/>
        <w:jc w:val="both"/>
        <w:rPr>
          <w:rFonts w:ascii="Palatino Linotype" w:eastAsia="Palatino Linotype" w:hAnsi="Palatino Linotype" w:cs="Palatino Linotype"/>
        </w:rPr>
      </w:pPr>
      <w:r w:rsidRPr="00964919">
        <w:rPr>
          <w:rFonts w:ascii="Palatino Linotype" w:eastAsia="Palatino Linotype" w:hAnsi="Palatino Linotype" w:cs="Palatino Linotype"/>
        </w:rPr>
        <w:t>Es por esta razón que se debe omitir el o los números de cuentas bancarias de particulares en las versiones públicas que de las facturas se hagan, para ser entregadas.</w:t>
      </w:r>
    </w:p>
    <w:p w14:paraId="01ABECF0" w14:textId="77777777" w:rsidR="003E4E89" w:rsidRPr="00964919" w:rsidRDefault="000D4BA5">
      <w:pPr>
        <w:spacing w:before="240" w:after="240" w:line="360" w:lineRule="auto"/>
        <w:ind w:right="50"/>
        <w:jc w:val="both"/>
        <w:rPr>
          <w:rFonts w:ascii="Palatino Linotype" w:eastAsia="Palatino Linotype" w:hAnsi="Palatino Linotype" w:cs="Palatino Linotype"/>
        </w:rPr>
      </w:pPr>
      <w:r w:rsidRPr="00964919">
        <w:rPr>
          <w:rFonts w:ascii="Palatino Linotype" w:eastAsia="Palatino Linotype" w:hAnsi="Palatino Linotype" w:cs="Palatino Linotype"/>
        </w:rPr>
        <w:t>Lo anterior, no es así tratándose de las cuentas bancarias o claves interbancarias de los Sujetos Obligados ya que su publicidad cede a la rendición de cuentas al transparentar la forma en que son administrados los recursos públicos.</w:t>
      </w:r>
    </w:p>
    <w:p w14:paraId="3BAD69A9" w14:textId="77777777" w:rsidR="003E4E89" w:rsidRPr="00964919" w:rsidRDefault="000D4BA5">
      <w:pPr>
        <w:spacing w:before="240" w:after="240" w:line="360" w:lineRule="auto"/>
        <w:ind w:right="50"/>
        <w:jc w:val="both"/>
        <w:rPr>
          <w:rFonts w:ascii="Palatino Linotype" w:eastAsia="Palatino Linotype" w:hAnsi="Palatino Linotype" w:cs="Palatino Linotype"/>
        </w:rPr>
      </w:pPr>
      <w:r w:rsidRPr="00964919">
        <w:rPr>
          <w:rFonts w:ascii="Palatino Linotype" w:eastAsia="Palatino Linotype" w:hAnsi="Palatino Linotype" w:cs="Palatino Linotype"/>
        </w:rPr>
        <w:t>Lo argumentado encuentra sustento en los criterios 10/17 y 11/17 emitidos por el Instituto Nacional de Transparencia, Acceso a la Información y Protección de Datos Personales, INAI, que llevan por rubro y texto los siguientes:</w:t>
      </w:r>
    </w:p>
    <w:p w14:paraId="06BB5443" w14:textId="77777777" w:rsidR="003E4E89" w:rsidRPr="00964919" w:rsidRDefault="000D4BA5">
      <w:pPr>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t>“</w:t>
      </w:r>
      <w:r w:rsidRPr="00964919">
        <w:rPr>
          <w:rFonts w:ascii="Palatino Linotype" w:eastAsia="Palatino Linotype" w:hAnsi="Palatino Linotype" w:cs="Palatino Linotype"/>
          <w:b/>
          <w:i/>
        </w:rPr>
        <w:t>Cuentas bancarias y/o CLABE interbancaria de personas físicas y morales privadas.</w:t>
      </w:r>
      <w:r w:rsidRPr="00964919">
        <w:rPr>
          <w:rFonts w:ascii="Palatino Linotype" w:eastAsia="Palatino Linotype" w:hAnsi="Palatino Linotype" w:cs="Palatino Linotype"/>
          <w:i/>
        </w:rPr>
        <w:t xml:space="preserve"> El número de cuenta bancaria y/o CLABE interbancaria de particulares es información confidencial, al tratarse de un conjunto de caracteres numéricos utilizados por los grupos financieros para identificar las cuentas de sus clientes, a través de los cuales se puede acceder a información relacionada con su patrimonio y realizar diversas transacciones; por tanto, constituye información clasificada con </w:t>
      </w:r>
      <w:r w:rsidRPr="00964919">
        <w:rPr>
          <w:rFonts w:ascii="Palatino Linotype" w:eastAsia="Palatino Linotype" w:hAnsi="Palatino Linotype" w:cs="Palatino Linotype"/>
          <w:i/>
        </w:rPr>
        <w:lastRenderedPageBreak/>
        <w:t>fundamento en los artículos 116 de la Ley General de Transparencia y Acceso a la Información Pública y 113 de la Ley Federal de Transparencia y Acceso a la Información Pública.</w:t>
      </w:r>
    </w:p>
    <w:p w14:paraId="5B9C4CFB" w14:textId="77777777" w:rsidR="003E4E89" w:rsidRPr="00964919" w:rsidRDefault="000D4BA5">
      <w:pPr>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b/>
          <w:i/>
        </w:rPr>
        <w:t>Cuentas bancarias y/o CLABE interbancaria de sujetos obligados que reciben y/o transfieren recursos públicos, son información pública</w:t>
      </w:r>
      <w:r w:rsidRPr="00964919">
        <w:rPr>
          <w:rFonts w:ascii="Palatino Linotype" w:eastAsia="Palatino Linotype" w:hAnsi="Palatino Linotype" w:cs="Palatino Linotype"/>
          <w:i/>
        </w:rPr>
        <w:t>. La difusión de las cuentas bancarias y claves interbancarias pertenecientes a un sujeto obligado favorece la rendición de cuentas al transparentar la forma en que se administran los recursos públicos, razón por la cual no pueden considerarse como información clasificada.”</w:t>
      </w:r>
    </w:p>
    <w:p w14:paraId="16420D55" w14:textId="77777777" w:rsidR="003E4E89" w:rsidRPr="00964919" w:rsidRDefault="000D4BA5">
      <w:pPr>
        <w:spacing w:before="240" w:after="240" w:line="360" w:lineRule="auto"/>
        <w:ind w:right="50"/>
        <w:jc w:val="both"/>
        <w:rPr>
          <w:rFonts w:ascii="Palatino Linotype" w:eastAsia="Palatino Linotype" w:hAnsi="Palatino Linotype" w:cs="Palatino Linotype"/>
        </w:rPr>
      </w:pPr>
      <w:r w:rsidRPr="00964919">
        <w:rPr>
          <w:rFonts w:ascii="Palatino Linotype" w:eastAsia="Palatino Linotype" w:hAnsi="Palatino Linotype" w:cs="Palatino Linotype"/>
        </w:rPr>
        <w:t xml:space="preserve">Por cuanto hace al </w:t>
      </w:r>
      <w:r w:rsidRPr="00964919">
        <w:rPr>
          <w:rFonts w:ascii="Palatino Linotype" w:eastAsia="Palatino Linotype" w:hAnsi="Palatino Linotype" w:cs="Palatino Linotype"/>
          <w:b/>
        </w:rPr>
        <w:t xml:space="preserve">Registro Federal de Contribuyentes (RFC) </w:t>
      </w:r>
      <w:r w:rsidRPr="00964919">
        <w:rPr>
          <w:rFonts w:ascii="Palatino Linotype" w:eastAsia="Palatino Linotype" w:hAnsi="Palatino Linotype" w:cs="Palatino Linotype"/>
        </w:rPr>
        <w:t>y</w:t>
      </w:r>
      <w:r w:rsidRPr="00964919">
        <w:rPr>
          <w:rFonts w:ascii="Palatino Linotype" w:eastAsia="Palatino Linotype" w:hAnsi="Palatino Linotype" w:cs="Palatino Linotype"/>
          <w:b/>
        </w:rPr>
        <w:t xml:space="preserve"> el domicilio fiscal </w:t>
      </w:r>
      <w:r w:rsidRPr="00964919">
        <w:rPr>
          <w:rFonts w:ascii="Palatino Linotype" w:eastAsia="Palatino Linotype" w:hAnsi="Palatino Linotype" w:cs="Palatino Linotype"/>
        </w:rPr>
        <w:t>si bien este Instituto ha sostenido que el RFC y domicilio de las personas físicas debe ser testado por los Sujetos Obligados, en las versiones públicas de los documentos que elaboren para atender las solicitudes de información pública, lo cierto es que, tratándose de proveedores, prestadores de servicios o contratistas, dichos datos no deben ser suprimidos de las facturas que vayan a ser entregados.</w:t>
      </w:r>
    </w:p>
    <w:p w14:paraId="7F0628AD" w14:textId="77777777" w:rsidR="003E4E89" w:rsidRPr="00964919" w:rsidRDefault="000D4BA5">
      <w:pPr>
        <w:spacing w:before="240" w:after="240" w:line="360" w:lineRule="auto"/>
        <w:ind w:right="50"/>
        <w:jc w:val="both"/>
        <w:rPr>
          <w:rFonts w:ascii="Palatino Linotype" w:eastAsia="Palatino Linotype" w:hAnsi="Palatino Linotype" w:cs="Palatino Linotype"/>
        </w:rPr>
      </w:pPr>
      <w:r w:rsidRPr="00964919">
        <w:rPr>
          <w:rFonts w:ascii="Palatino Linotype" w:eastAsia="Palatino Linotype" w:hAnsi="Palatino Linotype" w:cs="Palatino Linotype"/>
        </w:rPr>
        <w:t>Ello se debe a que, del ejercicio de ponderación entre el derecho a la protección de datos personales con el derecho de acceso a la información pública, es de mayor trascendencia el que cualquier persona pueda conocer en qué se gastan los recursos públicos, puesto que se trata de erogaciones que realiza un órgano del Estado con base en los recursos que encuentran su origen en mayor medida en las contribuciones aportados por los gobernados, por lo que debe transparentarse su ejercicio.</w:t>
      </w:r>
    </w:p>
    <w:p w14:paraId="2A537AE5" w14:textId="77777777" w:rsidR="003E4E89" w:rsidRPr="00964919" w:rsidRDefault="000D4BA5">
      <w:pPr>
        <w:spacing w:before="240" w:after="240" w:line="360" w:lineRule="auto"/>
        <w:ind w:right="50"/>
        <w:jc w:val="both"/>
        <w:rPr>
          <w:rFonts w:ascii="Palatino Linotype" w:eastAsia="Palatino Linotype" w:hAnsi="Palatino Linotype" w:cs="Palatino Linotype"/>
        </w:rPr>
      </w:pPr>
      <w:r w:rsidRPr="00964919">
        <w:rPr>
          <w:rFonts w:ascii="Palatino Linotype" w:eastAsia="Palatino Linotype" w:hAnsi="Palatino Linotype" w:cs="Palatino Linotype"/>
        </w:rPr>
        <w:t xml:space="preserve">Además, las personas físicas que realicen las actividades contratadas por las instituciones, renuncian implícitamente a una parte de su derecho a la intimidad al obtener beneficios y lucros de los recursos públicos por dicha contratación, por lo que </w:t>
      </w:r>
      <w:r w:rsidRPr="00964919">
        <w:rPr>
          <w:rFonts w:ascii="Palatino Linotype" w:eastAsia="Palatino Linotype" w:hAnsi="Palatino Linotype" w:cs="Palatino Linotype"/>
          <w:b/>
        </w:rPr>
        <w:t>no puede considerarse como información clasificada lo relativo a su nombre, registro federal de contribuyentes y domicilio fiscal</w:t>
      </w:r>
      <w:r w:rsidRPr="00964919">
        <w:rPr>
          <w:rFonts w:ascii="Palatino Linotype" w:eastAsia="Palatino Linotype" w:hAnsi="Palatino Linotype" w:cs="Palatino Linotype"/>
        </w:rPr>
        <w:t>, atento a que dicha información es la que puede generar certeza en los gobernados en que se está ejerciendo debidamente el presupuesto.</w:t>
      </w:r>
    </w:p>
    <w:p w14:paraId="5F9E7B61" w14:textId="77777777" w:rsidR="003E4E89" w:rsidRPr="00964919" w:rsidRDefault="000D4BA5">
      <w:pPr>
        <w:spacing w:before="240" w:after="240"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rPr>
        <w:lastRenderedPageBreak/>
        <w:t>Robustece lo anterior el criterio orientador 04/21 emitido por el Instituto Nacional de Transparencia, Acceso a la Información y Protección de Datos Personales, INAI, el cual refiere:</w:t>
      </w:r>
    </w:p>
    <w:p w14:paraId="5DF0306C" w14:textId="77777777" w:rsidR="003E4E89" w:rsidRPr="00964919" w:rsidRDefault="000D4BA5">
      <w:pPr>
        <w:spacing w:before="120" w:after="120"/>
        <w:ind w:left="851" w:right="902"/>
        <w:jc w:val="both"/>
        <w:rPr>
          <w:rFonts w:ascii="Palatino Linotype" w:eastAsia="Palatino Linotype" w:hAnsi="Palatino Linotype" w:cs="Palatino Linotype"/>
          <w:i/>
        </w:rPr>
      </w:pPr>
      <w:r w:rsidRPr="00964919">
        <w:rPr>
          <w:rFonts w:ascii="Palatino Linotype" w:eastAsia="Palatino Linotype" w:hAnsi="Palatino Linotype" w:cs="Palatino Linotype"/>
          <w:b/>
          <w:i/>
        </w:rPr>
        <w:t xml:space="preserve">“Registro Federal de Contribuyentes (RFC) de personas físicas proveedoras o contratistas. </w:t>
      </w:r>
      <w:r w:rsidRPr="00964919">
        <w:rPr>
          <w:rFonts w:ascii="Palatino Linotype" w:eastAsia="Palatino Linotype" w:hAnsi="Palatino Linotype" w:cs="Palatino Linotype"/>
          <w:i/>
        </w:rPr>
        <w:t xml:space="preserve">El RFC de contratistas o proveedores de los sujetos obligados debe ser público, </w:t>
      </w:r>
      <w:proofErr w:type="gramStart"/>
      <w:r w:rsidRPr="00964919">
        <w:rPr>
          <w:rFonts w:ascii="Palatino Linotype" w:eastAsia="Palatino Linotype" w:hAnsi="Palatino Linotype" w:cs="Palatino Linotype"/>
          <w:i/>
        </w:rPr>
        <w:t>ya que</w:t>
      </w:r>
      <w:proofErr w:type="gramEnd"/>
      <w:r w:rsidRPr="00964919">
        <w:rPr>
          <w:rFonts w:ascii="Palatino Linotype" w:eastAsia="Palatino Linotype" w:hAnsi="Palatino Linotype" w:cs="Palatino Linotype"/>
          <w:i/>
        </w:rPr>
        <w:t xml:space="preserve"> al tratarse de personas con contrataciones públicas, su difusión favorece la transparencia con la que deben administrarse los recursos públicos, en términos del artículo 134 de la Constitución Política de los Estados Unidos Mexicanos.”</w:t>
      </w:r>
    </w:p>
    <w:p w14:paraId="627E868F" w14:textId="77777777" w:rsidR="003E4E89" w:rsidRPr="00964919" w:rsidRDefault="000D4BA5">
      <w:pPr>
        <w:spacing w:before="240" w:after="240" w:line="360" w:lineRule="auto"/>
        <w:ind w:right="50"/>
        <w:jc w:val="both"/>
        <w:rPr>
          <w:rFonts w:ascii="Palatino Linotype" w:eastAsia="Palatino Linotype" w:hAnsi="Palatino Linotype" w:cs="Palatino Linotype"/>
        </w:rPr>
      </w:pPr>
      <w:r w:rsidRPr="00964919">
        <w:rPr>
          <w:rFonts w:ascii="Palatino Linotype" w:eastAsia="Palatino Linotype" w:hAnsi="Palatino Linotype" w:cs="Palatino Linotype"/>
        </w:rPr>
        <w:t xml:space="preserve">Relacionado con lo anterior, el </w:t>
      </w:r>
      <w:r w:rsidRPr="00964919">
        <w:rPr>
          <w:rFonts w:ascii="Palatino Linotype" w:eastAsia="Palatino Linotype" w:hAnsi="Palatino Linotype" w:cs="Palatino Linotype"/>
          <w:b/>
        </w:rPr>
        <w:t>nombre de las personas físicas</w:t>
      </w:r>
      <w:r w:rsidRPr="00964919">
        <w:rPr>
          <w:rFonts w:ascii="Palatino Linotype" w:eastAsia="Palatino Linotype" w:hAnsi="Palatino Linotype" w:cs="Palatino Linotype"/>
        </w:rPr>
        <w:t xml:space="preserve"> o los </w:t>
      </w:r>
      <w:r w:rsidRPr="00964919">
        <w:rPr>
          <w:rFonts w:ascii="Palatino Linotype" w:eastAsia="Palatino Linotype" w:hAnsi="Palatino Linotype" w:cs="Palatino Linotype"/>
          <w:b/>
        </w:rPr>
        <w:t>representantes legales de las personas morales</w:t>
      </w:r>
      <w:r w:rsidRPr="00964919">
        <w:rPr>
          <w:rFonts w:ascii="Palatino Linotype" w:eastAsia="Palatino Linotype" w:hAnsi="Palatino Linotype" w:cs="Palatino Linotype"/>
        </w:rPr>
        <w:t>, en su calidad de proveedores, contratistas o prestadores de servicios, y la firma y rúbrica de estos, que participen en algún proceso de adjudicación en cualquiera de sus modalidades, debe mencionarse que con base en el artículo 23 párrafo segundo y 24 fracción XVIII de la Ley de Transparencia y Acceso a la Información Pública del Estado de México y Municipios, los entes públicos tienen la obligación de difundir toda aquella información relativa a los montos y las personas a quienes entreguen, por cualquier motivo, recursos públicos, así como los informes que dichas personas entreguen sobre el uso y destino de dichos recursos, motivo por el cual los datos del representante legal de la persona moral que resultó favorecida con el procedimiento de licitación no conservan el carácter de confidencial y por tanto no deben ser testados.</w:t>
      </w:r>
    </w:p>
    <w:p w14:paraId="2AFD084C" w14:textId="77777777" w:rsidR="003E4E89" w:rsidRPr="00964919" w:rsidRDefault="000D4BA5">
      <w:pPr>
        <w:spacing w:before="240" w:after="240" w:line="360" w:lineRule="auto"/>
        <w:ind w:right="50"/>
        <w:jc w:val="both"/>
        <w:rPr>
          <w:rFonts w:ascii="Palatino Linotype" w:eastAsia="Palatino Linotype" w:hAnsi="Palatino Linotype" w:cs="Palatino Linotype"/>
        </w:rPr>
      </w:pPr>
      <w:r w:rsidRPr="00964919">
        <w:rPr>
          <w:rFonts w:ascii="Palatino Linotype" w:eastAsia="Palatino Linotype" w:hAnsi="Palatino Linotype" w:cs="Palatino Linotype"/>
        </w:rPr>
        <w:t>Argumentación que guarda sustento en lo estipulado por el artículo 23 de la Ley de Transparencia y Acceso a la Información Pública del Estado de México y Municipios en su penúltimo párrafo, mismo que es del tenor literal siguiente:</w:t>
      </w:r>
    </w:p>
    <w:p w14:paraId="4834181C" w14:textId="77777777" w:rsidR="003E4E89" w:rsidRPr="00964919" w:rsidRDefault="000D4BA5">
      <w:pPr>
        <w:spacing w:before="120" w:after="120"/>
        <w:ind w:left="851" w:right="902"/>
        <w:jc w:val="both"/>
        <w:rPr>
          <w:rFonts w:ascii="Palatino Linotype" w:eastAsia="Palatino Linotype" w:hAnsi="Palatino Linotype" w:cs="Palatino Linotype"/>
          <w:i/>
        </w:rPr>
      </w:pPr>
      <w:r w:rsidRPr="00964919">
        <w:rPr>
          <w:rFonts w:ascii="Palatino Linotype" w:eastAsia="Palatino Linotype" w:hAnsi="Palatino Linotype" w:cs="Palatino Linotype"/>
          <w:i/>
        </w:rPr>
        <w:t>“</w:t>
      </w:r>
      <w:r w:rsidRPr="00964919">
        <w:rPr>
          <w:rFonts w:ascii="Palatino Linotype" w:eastAsia="Palatino Linotype" w:hAnsi="Palatino Linotype" w:cs="Palatino Linotype"/>
          <w:b/>
          <w:i/>
        </w:rPr>
        <w:t>Artículo 23.</w:t>
      </w:r>
      <w:r w:rsidRPr="00964919">
        <w:rPr>
          <w:rFonts w:ascii="Palatino Linotype" w:eastAsia="Palatino Linotype" w:hAnsi="Palatino Linotype" w:cs="Palatino Linotype"/>
          <w:i/>
        </w:rPr>
        <w:t xml:space="preserve"> (…)</w:t>
      </w:r>
    </w:p>
    <w:p w14:paraId="118DD579" w14:textId="77777777" w:rsidR="003E4E89" w:rsidRPr="00964919" w:rsidRDefault="000D4BA5">
      <w:pPr>
        <w:spacing w:before="120" w:after="120"/>
        <w:ind w:left="851" w:right="902"/>
        <w:jc w:val="both"/>
        <w:rPr>
          <w:rFonts w:ascii="Palatino Linotype" w:eastAsia="Palatino Linotype" w:hAnsi="Palatino Linotype" w:cs="Palatino Linotype"/>
          <w:i/>
        </w:rPr>
      </w:pPr>
      <w:r w:rsidRPr="00964919">
        <w:rPr>
          <w:rFonts w:ascii="Palatino Linotype" w:eastAsia="Palatino Linotype" w:hAnsi="Palatino Linotype" w:cs="Palatino Linotype"/>
          <w:i/>
        </w:rPr>
        <w:t xml:space="preserve">Los sujetos obligados deberán hacer pública toda aquella información relativa a los montos y las personas a quienes entreguen, por cualquier motivo, recursos </w:t>
      </w:r>
      <w:r w:rsidRPr="00964919">
        <w:rPr>
          <w:rFonts w:ascii="Palatino Linotype" w:eastAsia="Palatino Linotype" w:hAnsi="Palatino Linotype" w:cs="Palatino Linotype"/>
          <w:i/>
        </w:rPr>
        <w:lastRenderedPageBreak/>
        <w:t>públicos, así como los informes que dichas personas les entreguen sobre el uso y destino de dichos recursos.”</w:t>
      </w:r>
    </w:p>
    <w:p w14:paraId="09433AA2" w14:textId="77777777" w:rsidR="003E4E89" w:rsidRPr="00964919" w:rsidRDefault="000D4BA5">
      <w:pPr>
        <w:spacing w:before="280" w:after="280"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rPr>
        <w:t>Asimismo, resulta aplicable el contenido del criterio de interpretación 01/19 emitido por el Instituto Nacional de Transparencia, Acceso a la Información, y Protección de Datos Personales, INAI, que lleva por rubro y texto los siguientes</w:t>
      </w:r>
    </w:p>
    <w:p w14:paraId="732D0AC0" w14:textId="77777777" w:rsidR="003E4E89" w:rsidRPr="00964919" w:rsidRDefault="000D4BA5">
      <w:pPr>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t>“</w:t>
      </w:r>
      <w:r w:rsidRPr="00964919">
        <w:rPr>
          <w:rFonts w:ascii="Palatino Linotype" w:eastAsia="Palatino Linotype" w:hAnsi="Palatino Linotype" w:cs="Palatino Linotype"/>
          <w:b/>
          <w:i/>
        </w:rPr>
        <w:t>Datos de identificación del representante o apoderado legal.</w:t>
      </w:r>
      <w:r w:rsidRPr="00964919">
        <w:rPr>
          <w:rFonts w:ascii="Palatino Linotype" w:eastAsia="Palatino Linotype" w:hAnsi="Palatino Linotype" w:cs="Palatino Linotype"/>
          <w:i/>
        </w:rPr>
        <w:t xml:space="preserve"> </w:t>
      </w:r>
      <w:r w:rsidRPr="00964919">
        <w:rPr>
          <w:rFonts w:ascii="Palatino Linotype" w:eastAsia="Palatino Linotype" w:hAnsi="Palatino Linotype" w:cs="Palatino Linotype"/>
          <w:b/>
          <w:i/>
        </w:rPr>
        <w:t xml:space="preserve">Naturaleza jurídica. </w:t>
      </w:r>
      <w:r w:rsidRPr="00964919">
        <w:rPr>
          <w:rFonts w:ascii="Palatino Linotype" w:eastAsia="Palatino Linotype" w:hAnsi="Palatino Linotype" w:cs="Palatino Linotype"/>
          <w:i/>
        </w:rPr>
        <w:t xml:space="preserve">El nombre, la firma y la rúbrica de una persona física, que actúe como representante o apoderado legal de un tercero que haya celebrado un acto jurídico, con algún sujeto obligado, </w:t>
      </w:r>
      <w:r w:rsidRPr="00964919">
        <w:rPr>
          <w:rFonts w:ascii="Palatino Linotype" w:eastAsia="Palatino Linotype" w:hAnsi="Palatino Linotype" w:cs="Palatino Linotype"/>
          <w:b/>
          <w:i/>
        </w:rPr>
        <w:t>es información pública, en razón de que tales datos fueron proporcionados con el objeto de expresar el consentimiento obligacional del tercero y otorgar validez a dicho instrumento jurídico</w:t>
      </w:r>
      <w:r w:rsidRPr="00964919">
        <w:rPr>
          <w:rFonts w:ascii="Palatino Linotype" w:eastAsia="Palatino Linotype" w:hAnsi="Palatino Linotype" w:cs="Palatino Linotype"/>
          <w:i/>
        </w:rPr>
        <w:t>.”</w:t>
      </w:r>
    </w:p>
    <w:p w14:paraId="220266E8" w14:textId="77777777" w:rsidR="003E4E89" w:rsidRPr="00964919" w:rsidRDefault="000D4BA5">
      <w:pPr>
        <w:spacing w:before="240" w:after="240"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rPr>
        <w:t xml:space="preserve">En el caso del </w:t>
      </w:r>
      <w:r w:rsidRPr="00964919">
        <w:rPr>
          <w:rFonts w:ascii="Palatino Linotype" w:eastAsia="Palatino Linotype" w:hAnsi="Palatino Linotype" w:cs="Palatino Linotype"/>
          <w:b/>
        </w:rPr>
        <w:t>folio fiscal</w:t>
      </w:r>
      <w:r w:rsidRPr="00964919">
        <w:rPr>
          <w:rFonts w:ascii="Palatino Linotype" w:eastAsia="Palatino Linotype" w:hAnsi="Palatino Linotype" w:cs="Palatino Linotype"/>
        </w:rPr>
        <w:t xml:space="preserve">, la </w:t>
      </w:r>
      <w:r w:rsidRPr="00964919">
        <w:rPr>
          <w:rFonts w:ascii="Palatino Linotype" w:eastAsia="Palatino Linotype" w:hAnsi="Palatino Linotype" w:cs="Palatino Linotype"/>
          <w:b/>
        </w:rPr>
        <w:t xml:space="preserve">cadena original, </w:t>
      </w:r>
      <w:r w:rsidRPr="00964919">
        <w:rPr>
          <w:rFonts w:ascii="Palatino Linotype" w:eastAsia="Palatino Linotype" w:hAnsi="Palatino Linotype" w:cs="Palatino Linotype"/>
        </w:rPr>
        <w:t>los</w:t>
      </w:r>
      <w:r w:rsidRPr="00964919">
        <w:rPr>
          <w:rFonts w:ascii="Palatino Linotype" w:eastAsia="Palatino Linotype" w:hAnsi="Palatino Linotype" w:cs="Palatino Linotype"/>
          <w:b/>
        </w:rPr>
        <w:t xml:space="preserve"> códigos bidimensionales o códigos QR,</w:t>
      </w:r>
      <w:r w:rsidRPr="00964919">
        <w:rPr>
          <w:rFonts w:ascii="Palatino Linotype" w:eastAsia="Palatino Linotype" w:hAnsi="Palatino Linotype" w:cs="Palatino Linotype"/>
        </w:rPr>
        <w:t xml:space="preserve"> y, en general, cualquier información de carácter fiscal, pudiera contener un Comprobante Fiscal Digital por Internet, CFDI, se debe hacer un análisis caso por caso, con la finalidad de determinar si de dicha información se pueden obtener datos personales que no sean susceptibles de conocimiento público, como por ejemplo la Clave Única del Registro de Población, que, de difundirse, pudieran hacer identificable a una persona, debiendo, de ser el caso, clasificarse como información confidencial, de manera fundada y motivada en términos del artículo 143, fracción I de la Ley de Transparencia y Acceso a la Información Pública del Estado de México y Municipios, de lo contrario, no es procedente su clasificación.</w:t>
      </w:r>
    </w:p>
    <w:p w14:paraId="51328F32" w14:textId="77777777" w:rsidR="003E4E89" w:rsidRPr="00964919" w:rsidRDefault="000D4BA5">
      <w:pPr>
        <w:spacing w:before="240" w:after="240"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rPr>
        <w:t>Con base en lo expuesto, se insiste que en la versión pública de los documentos que se ordenan se deben testar aquellos elementos señalados en la presente resolución, en el entendido de que debe ser pública toda la demás información relacionada que no encuadre en los conceptos anteriores.</w:t>
      </w:r>
    </w:p>
    <w:p w14:paraId="1BAC64DB" w14:textId="77777777" w:rsidR="003E4E89" w:rsidRPr="00964919" w:rsidRDefault="000D4BA5">
      <w:pPr>
        <w:spacing w:before="240" w:after="240"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rPr>
        <w:lastRenderedPageBreak/>
        <w:t xml:space="preserve">Asimismo, se destaca que la versión pública que elabore el </w:t>
      </w:r>
      <w:r w:rsidRPr="00964919">
        <w:rPr>
          <w:rFonts w:ascii="Palatino Linotype" w:eastAsia="Palatino Linotype" w:hAnsi="Palatino Linotype" w:cs="Palatino Linotype"/>
          <w:b/>
        </w:rPr>
        <w:t>Sujeto Obligado</w:t>
      </w:r>
      <w:r w:rsidRPr="00964919">
        <w:rPr>
          <w:rFonts w:ascii="Palatino Linotype" w:eastAsia="Palatino Linotype" w:hAnsi="Palatino Linotype" w:cs="Palatino Linotype"/>
        </w:rPr>
        <w:t xml:space="preserve"> debe cumplir con las formalidades exigidas en la Ley, por lo que para tal efecto emitirá el Acuerdo del Comité de Transparencia en el que se expongan los fundamentos y razonamientos que le llevaron a testar, suprimir o eliminar datos de dicho soporte documental, ya que no hacerlo implica que lo entregado no es legal ni formalmente una versión pública, sino más bien una documentación ilegible, incompleta o tachada; pues no señalar las razones por las que no se aprecian determinados datos -ya sea porque se testan o suprimen- deja al solicitante en estado de incertidumbre, al no conocer o comprender porque no aparecen en la documentación respectiva, es decir, si no se exponen de manera puntual las razones de ello se estaría violentando desde un inicio el derecho de acceso a la información del solicitante, por lo que el acuerdo respectivo, deberá hacerse del conocimiento de la parte </w:t>
      </w:r>
      <w:r w:rsidRPr="00964919">
        <w:rPr>
          <w:rFonts w:ascii="Palatino Linotype" w:eastAsia="Palatino Linotype" w:hAnsi="Palatino Linotype" w:cs="Palatino Linotype"/>
          <w:b/>
        </w:rPr>
        <w:t>Recurrente</w:t>
      </w:r>
      <w:r w:rsidRPr="00964919">
        <w:rPr>
          <w:rFonts w:ascii="Palatino Linotype" w:eastAsia="Palatino Linotype" w:hAnsi="Palatino Linotype" w:cs="Palatino Linotype"/>
        </w:rPr>
        <w:t>.</w:t>
      </w:r>
    </w:p>
    <w:p w14:paraId="3FA5EA6B" w14:textId="77777777" w:rsidR="003E4E89" w:rsidRPr="00964919" w:rsidRDefault="000D4BA5">
      <w:pPr>
        <w:spacing w:before="240" w:after="240"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rPr>
        <w:t xml:space="preserve">De este modo, la versión pública que elabore el </w:t>
      </w:r>
      <w:r w:rsidRPr="00964919">
        <w:rPr>
          <w:rFonts w:ascii="Palatino Linotype" w:eastAsia="Palatino Linotype" w:hAnsi="Palatino Linotype" w:cs="Palatino Linotype"/>
          <w:b/>
        </w:rPr>
        <w:t xml:space="preserve">Sujeto Obligado </w:t>
      </w:r>
      <w:r w:rsidRPr="00964919">
        <w:rPr>
          <w:rFonts w:ascii="Palatino Linotype" w:eastAsia="Palatino Linotype" w:hAnsi="Palatino Linotype" w:cs="Palatino Linotype"/>
        </w:rPr>
        <w:t>debe acompañarse del</w:t>
      </w:r>
      <w:r w:rsidRPr="00964919">
        <w:rPr>
          <w:rFonts w:ascii="Palatino Linotype" w:eastAsia="Palatino Linotype" w:hAnsi="Palatino Linotype" w:cs="Palatino Linotype"/>
          <w:b/>
        </w:rPr>
        <w:t xml:space="preserve"> </w:t>
      </w:r>
      <w:r w:rsidRPr="00964919">
        <w:rPr>
          <w:rFonts w:ascii="Palatino Linotype" w:eastAsia="Palatino Linotype" w:hAnsi="Palatino Linotype" w:cs="Palatino Linotype"/>
        </w:rPr>
        <w:t xml:space="preserve">Acuerdo de Clasificación que emita el Comité de Transparencia, para lo cual se deberá observar lo dispuesto en la Ley de Transparencia y Acceso a la Información Pública del Estado de México y Municipios, y en los Lineamientos Generales en Materia de Clasificación y Desclasificación de la Información, así como para la elaboración de Versiones Públicas, publicados en el Diario Oficial de la Federación en fecha quince de abril de la presente anualidad, mediante ACUERDO del Consejo Nacional del Sistema Nacional de Transparencia, Acceso a la Información Pública y Protección de Datos Personales, motivando la referida clasificación al señalar las </w:t>
      </w:r>
      <w:r w:rsidRPr="00964919">
        <w:rPr>
          <w:rFonts w:ascii="Palatino Linotype" w:eastAsia="Palatino Linotype" w:hAnsi="Palatino Linotype" w:cs="Palatino Linotype"/>
          <w:b/>
          <w:u w:val="single"/>
        </w:rPr>
        <w:t>razones, motivos o circunstancias especiales</w:t>
      </w:r>
      <w:r w:rsidRPr="00964919">
        <w:rPr>
          <w:rFonts w:ascii="Palatino Linotype" w:eastAsia="Palatino Linotype" w:hAnsi="Palatino Linotype" w:cs="Palatino Linotype"/>
        </w:rPr>
        <w:t xml:space="preserve"> que lo llevaron a concluir que el caso concreto, se ajustó a los supuestos previstos en la normatividad legal invocada como fundamento.</w:t>
      </w:r>
    </w:p>
    <w:p w14:paraId="5B1EE1F0" w14:textId="77777777" w:rsidR="003E4E89" w:rsidRPr="00964919" w:rsidRDefault="000D4BA5">
      <w:pPr>
        <w:spacing w:before="240" w:after="240"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rPr>
        <w:t>Entorno a lo que aquí nos interesa, el Lineamiento Quincuagésimo segundo de los Lineamientos Generales en Materia de Clasificación y Desclasificación de la Información, así como para la Elaboración de Versiones Públicas, establece lo siguiente:</w:t>
      </w:r>
    </w:p>
    <w:p w14:paraId="4ACE9093" w14:textId="77777777" w:rsidR="003E4E89" w:rsidRPr="00964919" w:rsidRDefault="000D4BA5">
      <w:pPr>
        <w:spacing w:before="120" w:after="120"/>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b/>
          <w:i/>
        </w:rPr>
        <w:lastRenderedPageBreak/>
        <w:t>“Quincuagésimo segundo</w:t>
      </w:r>
      <w:r w:rsidRPr="00964919">
        <w:rPr>
          <w:rFonts w:ascii="Palatino Linotype" w:eastAsia="Palatino Linotype" w:hAnsi="Palatino Linotype" w:cs="Palatino Linotype"/>
          <w:i/>
        </w:rPr>
        <w:t>. Para la clasificación y elaboración de versiones públicas de documentos que contengan información clasificada como reservada o confidencial, las áreas de los sujetos obligados deberán tomar las medidas pertinentes tendientes a asegurar que el espacio utilizado para testar la información no podrá ser empleado para la sobreposición de contenido distinto al autorizado por el Comité.</w:t>
      </w:r>
    </w:p>
    <w:p w14:paraId="718D2FD1" w14:textId="77777777" w:rsidR="003E4E89" w:rsidRPr="00964919" w:rsidRDefault="000D4BA5">
      <w:pPr>
        <w:spacing w:before="120" w:after="120"/>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t xml:space="preserve">En el caso </w:t>
      </w:r>
      <w:proofErr w:type="spellStart"/>
      <w:r w:rsidRPr="00964919">
        <w:rPr>
          <w:rFonts w:ascii="Palatino Linotype" w:eastAsia="Palatino Linotype" w:hAnsi="Palatino Linotype" w:cs="Palatino Linotype"/>
          <w:i/>
        </w:rPr>
        <w:t>especifico</w:t>
      </w:r>
      <w:proofErr w:type="spellEnd"/>
      <w:r w:rsidRPr="00964919">
        <w:rPr>
          <w:rFonts w:ascii="Palatino Linotype" w:eastAsia="Palatino Linotype" w:hAnsi="Palatino Linotype" w:cs="Palatino Linotype"/>
          <w:i/>
        </w:rPr>
        <w:t xml:space="preserve"> de la clasificación y elaboración de versiones públicas de documentos que contengan información confidencial, las áreas de los sujetos obligados deberán: </w:t>
      </w:r>
    </w:p>
    <w:p w14:paraId="50704BA7" w14:textId="77777777" w:rsidR="003E4E89" w:rsidRPr="00964919" w:rsidRDefault="000D4BA5">
      <w:pPr>
        <w:spacing w:before="120" w:after="120"/>
        <w:ind w:left="1134" w:right="616"/>
        <w:jc w:val="both"/>
        <w:rPr>
          <w:rFonts w:ascii="Palatino Linotype" w:eastAsia="Palatino Linotype" w:hAnsi="Palatino Linotype" w:cs="Palatino Linotype"/>
          <w:i/>
        </w:rPr>
      </w:pPr>
      <w:r w:rsidRPr="00964919">
        <w:rPr>
          <w:rFonts w:ascii="Palatino Linotype" w:eastAsia="Palatino Linotype" w:hAnsi="Palatino Linotype" w:cs="Palatino Linotype"/>
          <w:b/>
          <w:i/>
        </w:rPr>
        <w:t>I.</w:t>
      </w:r>
      <w:r w:rsidRPr="00964919">
        <w:rPr>
          <w:rFonts w:ascii="Palatino Linotype" w:eastAsia="Palatino Linotype" w:hAnsi="Palatino Linotype" w:cs="Palatino Linotype"/>
          <w:i/>
        </w:rPr>
        <w:t xml:space="preserve"> Fijar la fecha en que se elaboró la versión pública y la fecha en la cual el Comité de Transparencia confirmó dicha versión;</w:t>
      </w:r>
    </w:p>
    <w:p w14:paraId="7F1320B4" w14:textId="77777777" w:rsidR="003E4E89" w:rsidRPr="00964919" w:rsidRDefault="000D4BA5">
      <w:pPr>
        <w:spacing w:before="120" w:after="120"/>
        <w:ind w:left="1134" w:right="616"/>
        <w:jc w:val="both"/>
        <w:rPr>
          <w:rFonts w:ascii="Palatino Linotype" w:eastAsia="Palatino Linotype" w:hAnsi="Palatino Linotype" w:cs="Palatino Linotype"/>
          <w:i/>
        </w:rPr>
      </w:pPr>
      <w:r w:rsidRPr="00964919">
        <w:rPr>
          <w:rFonts w:ascii="Palatino Linotype" w:eastAsia="Palatino Linotype" w:hAnsi="Palatino Linotype" w:cs="Palatino Linotype"/>
          <w:b/>
          <w:i/>
        </w:rPr>
        <w:t>II.</w:t>
      </w:r>
      <w:r w:rsidRPr="00964919">
        <w:rPr>
          <w:rFonts w:ascii="Palatino Linotype" w:eastAsia="Palatino Linotype" w:hAnsi="Palatino Linotype" w:cs="Palatino Linotype"/>
          <w:i/>
        </w:rPr>
        <w:t xml:space="preserve"> Señalar dentro del documento el tipo de información confidencial que fue testada en cada caso específico, de conformidad con el lineamiento trigésimo octavo; y</w:t>
      </w:r>
    </w:p>
    <w:p w14:paraId="1BDA8DD5" w14:textId="77777777" w:rsidR="003E4E89" w:rsidRPr="00964919" w:rsidRDefault="000D4BA5">
      <w:pPr>
        <w:spacing w:before="120" w:after="120"/>
        <w:ind w:left="1134" w:right="616"/>
        <w:jc w:val="both"/>
        <w:rPr>
          <w:rFonts w:ascii="Palatino Linotype" w:eastAsia="Palatino Linotype" w:hAnsi="Palatino Linotype" w:cs="Palatino Linotype"/>
          <w:i/>
        </w:rPr>
      </w:pPr>
      <w:r w:rsidRPr="00964919">
        <w:rPr>
          <w:rFonts w:ascii="Palatino Linotype" w:eastAsia="Palatino Linotype" w:hAnsi="Palatino Linotype" w:cs="Palatino Linotype"/>
          <w:b/>
          <w:i/>
        </w:rPr>
        <w:t>III.</w:t>
      </w:r>
      <w:r w:rsidRPr="00964919">
        <w:rPr>
          <w:rFonts w:ascii="Palatino Linotype" w:eastAsia="Palatino Linotype" w:hAnsi="Palatino Linotype" w:cs="Palatino Linotype"/>
          <w:i/>
        </w:rPr>
        <w:t xml:space="preserve"> Señalar las personas o instancias autorizadas a acceder a la información clasificada.</w:t>
      </w:r>
    </w:p>
    <w:p w14:paraId="2A7FE259" w14:textId="77777777" w:rsidR="003E4E89" w:rsidRPr="00964919" w:rsidRDefault="000D4BA5">
      <w:pPr>
        <w:spacing w:before="120" w:after="120"/>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t>En los documentos de difusión electrónica, señalar en la primera hoja y en el nombre del archivo, que la versión pública corresponde a un documento que contiene información confidencial.”</w:t>
      </w:r>
    </w:p>
    <w:p w14:paraId="071B2C21" w14:textId="77777777" w:rsidR="003E4E89" w:rsidRPr="00964919" w:rsidRDefault="000D4BA5">
      <w:pPr>
        <w:spacing w:before="240" w:after="240" w:line="360" w:lineRule="auto"/>
        <w:ind w:right="50"/>
        <w:jc w:val="both"/>
        <w:rPr>
          <w:rFonts w:ascii="Palatino Linotype" w:eastAsia="Palatino Linotype" w:hAnsi="Palatino Linotype" w:cs="Palatino Linotype"/>
        </w:rPr>
      </w:pPr>
      <w:r w:rsidRPr="00964919">
        <w:rPr>
          <w:rFonts w:ascii="Palatino Linotype" w:eastAsia="Palatino Linotype" w:hAnsi="Palatino Linotype" w:cs="Palatino Linotype"/>
        </w:rPr>
        <w:t>Deberá observar los Lineamientos Quincuagésimo sexto, Quincuagésimo séptimo y Quincuagésimo octavo, establecen lo siguiente:</w:t>
      </w:r>
    </w:p>
    <w:p w14:paraId="38789F84" w14:textId="77777777" w:rsidR="003E4E89" w:rsidRPr="00964919" w:rsidRDefault="000D4BA5">
      <w:pPr>
        <w:spacing w:before="120" w:after="120"/>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t>“</w:t>
      </w:r>
      <w:r w:rsidRPr="00964919">
        <w:rPr>
          <w:rFonts w:ascii="Palatino Linotype" w:eastAsia="Palatino Linotype" w:hAnsi="Palatino Linotype" w:cs="Palatino Linotype"/>
          <w:b/>
          <w:i/>
        </w:rPr>
        <w:t>Quincuagésimo sexto</w:t>
      </w:r>
      <w:r w:rsidRPr="00964919">
        <w:rPr>
          <w:rFonts w:ascii="Palatino Linotype" w:eastAsia="Palatino Linotype" w:hAnsi="Palatino Linotype" w:cs="Palatino Linotype"/>
          <w:i/>
        </w:rPr>
        <w:t>. Cuando la elaboración de la versión pública del documento o expediente que contenga partes o secciones reservadas o confidenciales, genere costos por reproducción por derivar de una solicitud de información o determinación de una autoridad competente, ésta será elaborada hasta que se haya acreditado el pago correspondiente.</w:t>
      </w:r>
    </w:p>
    <w:p w14:paraId="068C6745" w14:textId="77777777" w:rsidR="003E4E89" w:rsidRPr="00964919" w:rsidRDefault="000D4BA5">
      <w:pPr>
        <w:spacing w:before="120" w:after="120"/>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b/>
          <w:i/>
        </w:rPr>
        <w:t>Quincuagésimo séptimo</w:t>
      </w:r>
      <w:r w:rsidRPr="00964919">
        <w:rPr>
          <w:rFonts w:ascii="Palatino Linotype" w:eastAsia="Palatino Linotype" w:hAnsi="Palatino Linotype" w:cs="Palatino Linotype"/>
          <w:i/>
        </w:rPr>
        <w:t xml:space="preserve">. Se considera, en principio, como información pública y no podrá omitirse de las versiones públicas la siguiente: </w:t>
      </w:r>
    </w:p>
    <w:p w14:paraId="53626D26" w14:textId="77777777" w:rsidR="003E4E89" w:rsidRPr="00964919" w:rsidRDefault="000D4BA5">
      <w:pPr>
        <w:spacing w:before="120" w:after="120"/>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b/>
          <w:i/>
        </w:rPr>
        <w:t>I</w:t>
      </w:r>
      <w:r w:rsidRPr="00964919">
        <w:rPr>
          <w:rFonts w:ascii="Palatino Linotype" w:eastAsia="Palatino Linotype" w:hAnsi="Palatino Linotype" w:cs="Palatino Linotype"/>
          <w:i/>
        </w:rPr>
        <w:t xml:space="preserve">. La relativa a las Obligaciones de Transparencia que contempla el Título V de la Ley General y las demás disposiciones legales aplicables; </w:t>
      </w:r>
    </w:p>
    <w:p w14:paraId="020235A8" w14:textId="77777777" w:rsidR="003E4E89" w:rsidRPr="00964919" w:rsidRDefault="000D4BA5">
      <w:pPr>
        <w:spacing w:before="120" w:after="120"/>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b/>
          <w:i/>
        </w:rPr>
        <w:t>II.</w:t>
      </w:r>
      <w:r w:rsidRPr="00964919">
        <w:rPr>
          <w:rFonts w:ascii="Palatino Linotype" w:eastAsia="Palatino Linotype" w:hAnsi="Palatino Linotype" w:cs="Palatino Linotype"/>
          <w:i/>
        </w:rPr>
        <w:t xml:space="preserve"> El nombre de los integrantes de los sujetos obligados en los documentos, y sus firmas autógrafas o digitales, cuando sean utilizados en el ejercicio de las facultades conferidas para el desempeño del servicio público, y</w:t>
      </w:r>
    </w:p>
    <w:p w14:paraId="29D12242" w14:textId="77777777" w:rsidR="003E4E89" w:rsidRPr="00964919" w:rsidRDefault="000D4BA5">
      <w:pPr>
        <w:spacing w:before="120" w:after="120"/>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b/>
          <w:i/>
        </w:rPr>
        <w:lastRenderedPageBreak/>
        <w:t>III</w:t>
      </w:r>
      <w:r w:rsidRPr="00964919">
        <w:rPr>
          <w:rFonts w:ascii="Palatino Linotype" w:eastAsia="Palatino Linotype" w:hAnsi="Palatino Linotype" w:cs="Palatino Linotype"/>
          <w:i/>
        </w:rPr>
        <w:t xml:space="preserve">. La información que documente decisiones y los actos de autoridad concluidos de los sujetos obligados, así como el ejercicio de las facultades o actividades de los servidores públicos, de manera que se pueda valorar el desempeño de los mismos. </w:t>
      </w:r>
    </w:p>
    <w:p w14:paraId="571C089B" w14:textId="77777777" w:rsidR="003E4E89" w:rsidRPr="00964919" w:rsidRDefault="000D4BA5">
      <w:pPr>
        <w:spacing w:before="120" w:after="120"/>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t xml:space="preserve">Lo anterior, siempre y cuando no se acredite alguna causal de clasificación, prevista en las leyes o en los tratados internacionales suscritas por el Estado mexicano.  </w:t>
      </w:r>
    </w:p>
    <w:p w14:paraId="69830FDA" w14:textId="77777777" w:rsidR="003E4E89" w:rsidRPr="00964919" w:rsidRDefault="000D4BA5">
      <w:pPr>
        <w:spacing w:before="120" w:after="120"/>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b/>
          <w:i/>
        </w:rPr>
        <w:t>Quincuagésimo octavo</w:t>
      </w:r>
      <w:r w:rsidRPr="00964919">
        <w:rPr>
          <w:rFonts w:ascii="Palatino Linotype" w:eastAsia="Palatino Linotype" w:hAnsi="Palatino Linotype" w:cs="Palatino Linotype"/>
          <w:i/>
        </w:rPr>
        <w:t>. Los sujetos obligados garantizarán que los sistemas o medios empleados para eliminar la información en las versiones públicas sean irreversibles, de tal forma que no permitan su recuperación o la visualización de la misma.”</w:t>
      </w:r>
    </w:p>
    <w:p w14:paraId="64040D76" w14:textId="77777777" w:rsidR="003E4E89" w:rsidRPr="00964919" w:rsidRDefault="000D4BA5">
      <w:pPr>
        <w:spacing w:before="240" w:after="240"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rPr>
        <w:t xml:space="preserve">Por lo tanto, la entrega de documentos en su versión pública debe acompañarse necesariamente del Acuerdo del Comité de Transparencia que la sustente el cual debe estar debidamente fundado y motivado, en el que se expongan los fundamentos y razonamientos que llevaron al </w:t>
      </w:r>
      <w:r w:rsidRPr="00964919">
        <w:rPr>
          <w:rFonts w:ascii="Palatino Linotype" w:eastAsia="Palatino Linotype" w:hAnsi="Palatino Linotype" w:cs="Palatino Linotype"/>
          <w:b/>
        </w:rPr>
        <w:t>Sujeto Obligado</w:t>
      </w:r>
      <w:r w:rsidRPr="00964919">
        <w:rPr>
          <w:rFonts w:ascii="Palatino Linotype" w:eastAsia="Palatino Linotype" w:hAnsi="Palatino Linotype" w:cs="Palatino Linotype"/>
        </w:rPr>
        <w:t xml:space="preserve"> a testar, suprimir o eliminar datos de dicho soporte documental, ya que no hacerlo, se reitera que lo entregado no tendría un sustento jurídico ni resultaría ser una versión pública, sino más bien una documentación ilegible, incompleta o tachada; ya que el no justificar las causas o motivos por las que no se aprecian determinados datos -ya sea porque se testan o suprimen- deja al solicitante en estado de incertidumbre, al no conocer o comprender porque no aparecen en la documentación respectiva.</w:t>
      </w:r>
    </w:p>
    <w:p w14:paraId="0A855DF5" w14:textId="77777777" w:rsidR="003E4E89" w:rsidRPr="00964919" w:rsidRDefault="000D4BA5">
      <w:pPr>
        <w:pBdr>
          <w:top w:val="nil"/>
          <w:left w:val="nil"/>
          <w:bottom w:val="nil"/>
          <w:right w:val="nil"/>
          <w:between w:val="nil"/>
        </w:pBdr>
        <w:spacing w:after="0"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rPr>
        <w:t>Así, con fundamento en lo prescrito en los artículos 5 párrafos trigésimo segundo, trigésimo tercero y trigésimo cuarto de la Constitución Política del Estado Libre y Soberano de México; 2, fracción II; 29, 36 fracciones I y II; 176, 178, 181, 185 y 186 fracción II de la Ley de Transparencia y Acceso a la Información Pública del Estado de México y Municipios, este Pleno:</w:t>
      </w:r>
    </w:p>
    <w:p w14:paraId="39723DAC" w14:textId="77777777" w:rsidR="003E4E89" w:rsidRPr="00964919" w:rsidRDefault="000D4BA5">
      <w:pPr>
        <w:spacing w:after="0" w:line="360" w:lineRule="auto"/>
        <w:ind w:right="-93"/>
        <w:jc w:val="center"/>
        <w:rPr>
          <w:rFonts w:ascii="Palatino Linotype" w:eastAsia="Palatino Linotype" w:hAnsi="Palatino Linotype" w:cs="Palatino Linotype"/>
          <w:b/>
        </w:rPr>
      </w:pPr>
      <w:r w:rsidRPr="00964919">
        <w:rPr>
          <w:rFonts w:ascii="Palatino Linotype" w:eastAsia="Palatino Linotype" w:hAnsi="Palatino Linotype" w:cs="Palatino Linotype"/>
          <w:b/>
        </w:rPr>
        <w:t>R E S U E L V E:</w:t>
      </w:r>
    </w:p>
    <w:p w14:paraId="6EB4B5C4" w14:textId="77777777" w:rsidR="003E4E89" w:rsidRPr="00964919" w:rsidRDefault="003E4E89">
      <w:pPr>
        <w:spacing w:after="0" w:line="360" w:lineRule="auto"/>
        <w:ind w:right="-93"/>
        <w:jc w:val="center"/>
        <w:rPr>
          <w:rFonts w:ascii="Palatino Linotype" w:eastAsia="Palatino Linotype" w:hAnsi="Palatino Linotype" w:cs="Palatino Linotype"/>
          <w:b/>
        </w:rPr>
      </w:pPr>
    </w:p>
    <w:p w14:paraId="25AE0895" w14:textId="77777777" w:rsidR="003E4E89" w:rsidRPr="00964919" w:rsidRDefault="000D4BA5">
      <w:pPr>
        <w:spacing w:after="0"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b/>
        </w:rPr>
        <w:t xml:space="preserve">PRIMERO. </w:t>
      </w:r>
      <w:r w:rsidRPr="00964919">
        <w:rPr>
          <w:rFonts w:ascii="Palatino Linotype" w:eastAsia="Palatino Linotype" w:hAnsi="Palatino Linotype" w:cs="Palatino Linotype"/>
        </w:rPr>
        <w:t>Resultan fundados los motivos de inconformidad hechos valer por la parte</w:t>
      </w:r>
      <w:r w:rsidRPr="00964919">
        <w:rPr>
          <w:rFonts w:ascii="Palatino Linotype" w:eastAsia="Palatino Linotype" w:hAnsi="Palatino Linotype" w:cs="Palatino Linotype"/>
          <w:b/>
        </w:rPr>
        <w:t xml:space="preserve"> Recurrente</w:t>
      </w:r>
      <w:r w:rsidRPr="00964919">
        <w:rPr>
          <w:rFonts w:ascii="Palatino Linotype" w:eastAsia="Palatino Linotype" w:hAnsi="Palatino Linotype" w:cs="Palatino Linotype"/>
        </w:rPr>
        <w:t xml:space="preserve"> en el Recurso de Revisión </w:t>
      </w:r>
      <w:r w:rsidRPr="00964919">
        <w:rPr>
          <w:rFonts w:ascii="Palatino Linotype" w:eastAsia="Palatino Linotype" w:hAnsi="Palatino Linotype" w:cs="Palatino Linotype"/>
          <w:b/>
        </w:rPr>
        <w:t xml:space="preserve">06899/INFOEM/IP/RR/2024, </w:t>
      </w:r>
      <w:r w:rsidRPr="00964919">
        <w:rPr>
          <w:rFonts w:ascii="Palatino Linotype" w:eastAsia="Palatino Linotype" w:hAnsi="Palatino Linotype" w:cs="Palatino Linotype"/>
        </w:rPr>
        <w:t xml:space="preserve">por lo que, en términos </w:t>
      </w:r>
      <w:r w:rsidRPr="00964919">
        <w:rPr>
          <w:rFonts w:ascii="Palatino Linotype" w:eastAsia="Palatino Linotype" w:hAnsi="Palatino Linotype" w:cs="Palatino Linotype"/>
        </w:rPr>
        <w:lastRenderedPageBreak/>
        <w:t xml:space="preserve">del considerando </w:t>
      </w:r>
      <w:r w:rsidRPr="00964919">
        <w:rPr>
          <w:rFonts w:ascii="Palatino Linotype" w:eastAsia="Palatino Linotype" w:hAnsi="Palatino Linotype" w:cs="Palatino Linotype"/>
          <w:b/>
        </w:rPr>
        <w:t xml:space="preserve">Cuarto </w:t>
      </w:r>
      <w:r w:rsidRPr="00964919">
        <w:rPr>
          <w:rFonts w:ascii="Palatino Linotype" w:eastAsia="Palatino Linotype" w:hAnsi="Palatino Linotype" w:cs="Palatino Linotype"/>
        </w:rPr>
        <w:t xml:space="preserve">de esta resolución, se </w:t>
      </w:r>
      <w:r w:rsidRPr="00964919">
        <w:rPr>
          <w:rFonts w:ascii="Palatino Linotype" w:eastAsia="Palatino Linotype" w:hAnsi="Palatino Linotype" w:cs="Palatino Linotype"/>
          <w:b/>
        </w:rPr>
        <w:t xml:space="preserve">Revoca </w:t>
      </w:r>
      <w:r w:rsidRPr="00964919">
        <w:rPr>
          <w:rFonts w:ascii="Palatino Linotype" w:eastAsia="Palatino Linotype" w:hAnsi="Palatino Linotype" w:cs="Palatino Linotype"/>
        </w:rPr>
        <w:t xml:space="preserve">la respuesta emitida por el </w:t>
      </w:r>
      <w:r w:rsidRPr="00964919">
        <w:rPr>
          <w:rFonts w:ascii="Palatino Linotype" w:eastAsia="Palatino Linotype" w:hAnsi="Palatino Linotype" w:cs="Palatino Linotype"/>
          <w:b/>
        </w:rPr>
        <w:t>Sujeto Obligado</w:t>
      </w:r>
      <w:r w:rsidRPr="00964919">
        <w:rPr>
          <w:rFonts w:ascii="Palatino Linotype" w:eastAsia="Palatino Linotype" w:hAnsi="Palatino Linotype" w:cs="Palatino Linotype"/>
        </w:rPr>
        <w:t>.</w:t>
      </w:r>
    </w:p>
    <w:p w14:paraId="208BF0A8" w14:textId="77777777" w:rsidR="003E4E89" w:rsidRPr="00964919" w:rsidRDefault="003E4E89">
      <w:pPr>
        <w:spacing w:after="0" w:line="360" w:lineRule="auto"/>
        <w:jc w:val="both"/>
        <w:rPr>
          <w:rFonts w:ascii="Palatino Linotype" w:eastAsia="Palatino Linotype" w:hAnsi="Palatino Linotype" w:cs="Palatino Linotype"/>
          <w:b/>
        </w:rPr>
      </w:pPr>
      <w:bookmarkStart w:id="5" w:name="_heading=h.kelgs2428oa6" w:colFirst="0" w:colLast="0"/>
      <w:bookmarkEnd w:id="5"/>
    </w:p>
    <w:p w14:paraId="339C1D2C" w14:textId="77777777" w:rsidR="003E4E89" w:rsidRPr="00964919" w:rsidRDefault="000D4BA5">
      <w:pPr>
        <w:spacing w:after="0" w:line="360" w:lineRule="auto"/>
        <w:jc w:val="both"/>
        <w:rPr>
          <w:rFonts w:ascii="Palatino Linotype" w:eastAsia="Palatino Linotype" w:hAnsi="Palatino Linotype" w:cs="Palatino Linotype"/>
        </w:rPr>
      </w:pPr>
      <w:bookmarkStart w:id="6" w:name="_heading=h.3dy6vkm" w:colFirst="0" w:colLast="0"/>
      <w:bookmarkEnd w:id="6"/>
      <w:r w:rsidRPr="00964919">
        <w:rPr>
          <w:rFonts w:ascii="Palatino Linotype" w:eastAsia="Palatino Linotype" w:hAnsi="Palatino Linotype" w:cs="Palatino Linotype"/>
          <w:b/>
        </w:rPr>
        <w:t xml:space="preserve">SEGUNDO. </w:t>
      </w:r>
      <w:r w:rsidRPr="00964919">
        <w:rPr>
          <w:rFonts w:ascii="Palatino Linotype" w:eastAsia="Palatino Linotype" w:hAnsi="Palatino Linotype" w:cs="Palatino Linotype"/>
        </w:rPr>
        <w:t>Se</w:t>
      </w:r>
      <w:r w:rsidRPr="00964919">
        <w:rPr>
          <w:rFonts w:ascii="Palatino Linotype" w:eastAsia="Palatino Linotype" w:hAnsi="Palatino Linotype" w:cs="Palatino Linotype"/>
          <w:b/>
        </w:rPr>
        <w:t xml:space="preserve"> ordena </w:t>
      </w:r>
      <w:r w:rsidRPr="00964919">
        <w:rPr>
          <w:rFonts w:ascii="Palatino Linotype" w:eastAsia="Palatino Linotype" w:hAnsi="Palatino Linotype" w:cs="Palatino Linotype"/>
        </w:rPr>
        <w:t xml:space="preserve">al </w:t>
      </w:r>
      <w:r w:rsidRPr="00964919">
        <w:rPr>
          <w:rFonts w:ascii="Palatino Linotype" w:eastAsia="Palatino Linotype" w:hAnsi="Palatino Linotype" w:cs="Palatino Linotype"/>
          <w:b/>
        </w:rPr>
        <w:t>Sujeto Obligado</w:t>
      </w:r>
      <w:r w:rsidRPr="00964919">
        <w:rPr>
          <w:rFonts w:ascii="Palatino Linotype" w:eastAsia="Palatino Linotype" w:hAnsi="Palatino Linotype" w:cs="Palatino Linotype"/>
        </w:rPr>
        <w:t xml:space="preserve"> en términos del Considerando </w:t>
      </w:r>
      <w:r w:rsidRPr="00964919">
        <w:rPr>
          <w:rFonts w:ascii="Palatino Linotype" w:eastAsia="Palatino Linotype" w:hAnsi="Palatino Linotype" w:cs="Palatino Linotype"/>
          <w:b/>
        </w:rPr>
        <w:t xml:space="preserve">Cuarto y Quinto </w:t>
      </w:r>
      <w:r w:rsidRPr="00964919">
        <w:rPr>
          <w:rFonts w:ascii="Palatino Linotype" w:eastAsia="Palatino Linotype" w:hAnsi="Palatino Linotype" w:cs="Palatino Linotype"/>
        </w:rPr>
        <w:t xml:space="preserve">de esta resolución, haga entrega, vía </w:t>
      </w:r>
      <w:r w:rsidRPr="00964919">
        <w:rPr>
          <w:rFonts w:ascii="Palatino Linotype" w:eastAsia="Palatino Linotype" w:hAnsi="Palatino Linotype" w:cs="Palatino Linotype"/>
          <w:b/>
        </w:rPr>
        <w:t>SAIMEX</w:t>
      </w:r>
      <w:r w:rsidRPr="00964919">
        <w:rPr>
          <w:rFonts w:ascii="Palatino Linotype" w:eastAsia="Palatino Linotype" w:hAnsi="Palatino Linotype" w:cs="Palatino Linotype"/>
        </w:rPr>
        <w:t xml:space="preserve">, de ser el caso en versión pública, de lo siguiente: </w:t>
      </w:r>
    </w:p>
    <w:p w14:paraId="0717E70C" w14:textId="77777777" w:rsidR="003E4E89" w:rsidRPr="00964919" w:rsidRDefault="003E4E89">
      <w:pPr>
        <w:spacing w:after="0" w:line="360" w:lineRule="auto"/>
        <w:jc w:val="both"/>
        <w:rPr>
          <w:rFonts w:ascii="Palatino Linotype" w:eastAsia="Palatino Linotype" w:hAnsi="Palatino Linotype" w:cs="Palatino Linotype"/>
        </w:rPr>
      </w:pPr>
    </w:p>
    <w:p w14:paraId="3B076478" w14:textId="77777777" w:rsidR="003E4E89" w:rsidRPr="00964919" w:rsidRDefault="000D4BA5">
      <w:pPr>
        <w:numPr>
          <w:ilvl w:val="0"/>
          <w:numId w:val="5"/>
        </w:numPr>
        <w:pBdr>
          <w:top w:val="nil"/>
          <w:left w:val="nil"/>
          <w:bottom w:val="nil"/>
          <w:right w:val="nil"/>
          <w:between w:val="nil"/>
        </w:pBdr>
        <w:spacing w:after="0" w:line="360" w:lineRule="auto"/>
        <w:ind w:left="851" w:right="616" w:firstLine="0"/>
        <w:jc w:val="both"/>
        <w:rPr>
          <w:rFonts w:ascii="Palatino Linotype" w:eastAsia="Palatino Linotype" w:hAnsi="Palatino Linotype" w:cs="Palatino Linotype"/>
          <w:color w:val="000000"/>
        </w:rPr>
      </w:pPr>
      <w:r w:rsidRPr="00964919">
        <w:rPr>
          <w:rFonts w:ascii="Palatino Linotype" w:eastAsia="Palatino Linotype" w:hAnsi="Palatino Linotype" w:cs="Palatino Linotype"/>
          <w:color w:val="000000"/>
        </w:rPr>
        <w:t xml:space="preserve">De la adquisición de despensas, del primero de enero de dos mil veintidós al siete de octubre de dos mil veinticuatro, el documento o documentos en donde conste: </w:t>
      </w:r>
    </w:p>
    <w:p w14:paraId="25A61069" w14:textId="77777777" w:rsidR="003E4E89" w:rsidRPr="00964919" w:rsidRDefault="000D4BA5">
      <w:pPr>
        <w:numPr>
          <w:ilvl w:val="0"/>
          <w:numId w:val="6"/>
        </w:numPr>
        <w:pBdr>
          <w:top w:val="nil"/>
          <w:left w:val="nil"/>
          <w:bottom w:val="nil"/>
          <w:right w:val="nil"/>
          <w:between w:val="nil"/>
        </w:pBdr>
        <w:spacing w:after="0" w:line="360" w:lineRule="auto"/>
        <w:ind w:left="851" w:right="616" w:firstLine="0"/>
        <w:jc w:val="both"/>
        <w:rPr>
          <w:rFonts w:ascii="Palatino Linotype" w:eastAsia="Palatino Linotype" w:hAnsi="Palatino Linotype" w:cs="Palatino Linotype"/>
          <w:color w:val="000000"/>
        </w:rPr>
      </w:pPr>
      <w:r w:rsidRPr="00964919">
        <w:rPr>
          <w:rFonts w:ascii="Palatino Linotype" w:eastAsia="Palatino Linotype" w:hAnsi="Palatino Linotype" w:cs="Palatino Linotype"/>
          <w:color w:val="000000"/>
        </w:rPr>
        <w:t>El monto del gasto ejercido,</w:t>
      </w:r>
    </w:p>
    <w:p w14:paraId="6ED04430" w14:textId="77777777" w:rsidR="003E4E89" w:rsidRPr="00964919" w:rsidRDefault="000D4BA5">
      <w:pPr>
        <w:numPr>
          <w:ilvl w:val="0"/>
          <w:numId w:val="6"/>
        </w:numPr>
        <w:pBdr>
          <w:top w:val="nil"/>
          <w:left w:val="nil"/>
          <w:bottom w:val="nil"/>
          <w:right w:val="nil"/>
          <w:between w:val="nil"/>
        </w:pBdr>
        <w:spacing w:after="0" w:line="360" w:lineRule="auto"/>
        <w:ind w:left="851" w:right="616" w:firstLine="0"/>
        <w:jc w:val="both"/>
        <w:rPr>
          <w:rFonts w:ascii="Palatino Linotype" w:eastAsia="Palatino Linotype" w:hAnsi="Palatino Linotype" w:cs="Palatino Linotype"/>
          <w:color w:val="000000"/>
        </w:rPr>
      </w:pPr>
      <w:bookmarkStart w:id="7" w:name="_heading=h.3znysh7" w:colFirst="0" w:colLast="0"/>
      <w:bookmarkEnd w:id="7"/>
      <w:r w:rsidRPr="00964919">
        <w:rPr>
          <w:rFonts w:ascii="Palatino Linotype" w:eastAsia="Palatino Linotype" w:hAnsi="Palatino Linotype" w:cs="Palatino Linotype"/>
          <w:color w:val="000000"/>
        </w:rPr>
        <w:t xml:space="preserve">Las pólizas de egresos; y, </w:t>
      </w:r>
    </w:p>
    <w:p w14:paraId="46D4E08B" w14:textId="77777777" w:rsidR="003E4E89" w:rsidRPr="00964919" w:rsidRDefault="000D4BA5">
      <w:pPr>
        <w:numPr>
          <w:ilvl w:val="0"/>
          <w:numId w:val="6"/>
        </w:numPr>
        <w:pBdr>
          <w:top w:val="nil"/>
          <w:left w:val="nil"/>
          <w:bottom w:val="nil"/>
          <w:right w:val="nil"/>
          <w:between w:val="nil"/>
        </w:pBdr>
        <w:spacing w:after="0" w:line="360" w:lineRule="auto"/>
        <w:ind w:left="851" w:right="616" w:firstLine="0"/>
        <w:jc w:val="both"/>
        <w:rPr>
          <w:rFonts w:ascii="Palatino Linotype" w:eastAsia="Palatino Linotype" w:hAnsi="Palatino Linotype" w:cs="Palatino Linotype"/>
          <w:color w:val="000000"/>
        </w:rPr>
      </w:pPr>
      <w:r w:rsidRPr="00964919">
        <w:rPr>
          <w:rFonts w:ascii="Palatino Linotype" w:eastAsia="Palatino Linotype" w:hAnsi="Palatino Linotype" w:cs="Palatino Linotype"/>
          <w:color w:val="000000"/>
        </w:rPr>
        <w:t xml:space="preserve">Las facturas. </w:t>
      </w:r>
    </w:p>
    <w:p w14:paraId="6FB71F1E" w14:textId="77777777" w:rsidR="003E4E89" w:rsidRPr="00964919" w:rsidRDefault="000D4BA5">
      <w:pPr>
        <w:pBdr>
          <w:top w:val="nil"/>
          <w:left w:val="nil"/>
          <w:bottom w:val="nil"/>
          <w:right w:val="nil"/>
          <w:between w:val="nil"/>
        </w:pBdr>
        <w:spacing w:after="0" w:line="276" w:lineRule="auto"/>
        <w:ind w:left="851" w:right="616"/>
        <w:jc w:val="both"/>
        <w:rPr>
          <w:rFonts w:ascii="Palatino Linotype" w:eastAsia="Palatino Linotype" w:hAnsi="Palatino Linotype" w:cs="Palatino Linotype"/>
          <w:i/>
        </w:rPr>
      </w:pPr>
      <w:r w:rsidRPr="00964919">
        <w:rPr>
          <w:rFonts w:ascii="Palatino Linotype" w:eastAsia="Palatino Linotype" w:hAnsi="Palatino Linotype" w:cs="Palatino Linotype"/>
          <w:i/>
        </w:rPr>
        <w:t xml:space="preserve">Para la entrega en versión pública, deberá emitir el Acuerdo del Comité de Transparencia en términos de la Ley de Transparencia y Acceso a la Información Pública del Estado de México y Municipios, en el que funde y motive las razones sobre los datos que se supriman o eliminen, y se ponga a disposición de la parte </w:t>
      </w:r>
      <w:r w:rsidRPr="00964919">
        <w:rPr>
          <w:rFonts w:ascii="Palatino Linotype" w:eastAsia="Palatino Linotype" w:hAnsi="Palatino Linotype" w:cs="Palatino Linotype"/>
          <w:b/>
          <w:i/>
        </w:rPr>
        <w:t>Recurrente</w:t>
      </w:r>
      <w:r w:rsidRPr="00964919">
        <w:rPr>
          <w:rFonts w:ascii="Palatino Linotype" w:eastAsia="Palatino Linotype" w:hAnsi="Palatino Linotype" w:cs="Palatino Linotype"/>
          <w:i/>
        </w:rPr>
        <w:t>.</w:t>
      </w:r>
    </w:p>
    <w:p w14:paraId="5F31ADF2" w14:textId="77777777" w:rsidR="003E4E89" w:rsidRPr="00964919" w:rsidRDefault="003E4E89">
      <w:pPr>
        <w:pBdr>
          <w:top w:val="nil"/>
          <w:left w:val="nil"/>
          <w:bottom w:val="nil"/>
          <w:right w:val="nil"/>
          <w:between w:val="nil"/>
        </w:pBdr>
        <w:spacing w:after="0" w:line="276" w:lineRule="auto"/>
        <w:ind w:left="851" w:right="616"/>
        <w:jc w:val="both"/>
        <w:rPr>
          <w:rFonts w:ascii="Palatino Linotype" w:eastAsia="Palatino Linotype" w:hAnsi="Palatino Linotype" w:cs="Palatino Linotype"/>
          <w:i/>
        </w:rPr>
      </w:pPr>
    </w:p>
    <w:p w14:paraId="0FEAF40F" w14:textId="77777777" w:rsidR="003E4E89" w:rsidRPr="00964919" w:rsidRDefault="000D4BA5">
      <w:pPr>
        <w:spacing w:after="0"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b/>
        </w:rPr>
        <w:t xml:space="preserve">TERCERO. Notifíquese </w:t>
      </w:r>
      <w:r w:rsidRPr="00964919">
        <w:rPr>
          <w:rFonts w:ascii="Palatino Linotype" w:eastAsia="Palatino Linotype" w:hAnsi="Palatino Linotype" w:cs="Palatino Linotype"/>
        </w:rPr>
        <w:t>vía</w:t>
      </w:r>
      <w:r w:rsidRPr="00964919">
        <w:rPr>
          <w:rFonts w:ascii="Palatino Linotype" w:eastAsia="Palatino Linotype" w:hAnsi="Palatino Linotype" w:cs="Palatino Linotype"/>
          <w:b/>
        </w:rPr>
        <w:t xml:space="preserve"> SAIMEX, </w:t>
      </w:r>
      <w:r w:rsidRPr="00964919">
        <w:rPr>
          <w:rFonts w:ascii="Palatino Linotype" w:eastAsia="Palatino Linotype" w:hAnsi="Palatino Linotype" w:cs="Palatino Linotype"/>
        </w:rPr>
        <w:t>la presente resolución al Titular de la Unidad de Transparencia del Sujeto Obligado, para que conforme al artículo 186 último párrafo, 189 segundo párrafo y 194 de la Ley de Transparencia y Acceso a la Información Pública del Estado de México y Municipios; dé cumplimiento a lo ordenado dentro del plazo de diez días hábiles, e informe a este Instituto en un plazo de tres días hábiles siguientes sobre el cumplimiento dado a la presente y, se le apercibe que en caso de negarse a cumplir la presente resolución o hacerlo de manera parcial, se le impondrá una medida de apremio de conformidad con lo previsto en los artículos 198, 200, fracción III; 214, 215 y 216 de la Ley  de Transparencia y Acceso a la Información Pública del Estado de México y Municipios.</w:t>
      </w:r>
    </w:p>
    <w:p w14:paraId="43A1A071" w14:textId="77777777" w:rsidR="003E4E89" w:rsidRPr="00964919" w:rsidRDefault="003E4E89">
      <w:pPr>
        <w:spacing w:after="0" w:line="360" w:lineRule="auto"/>
        <w:jc w:val="both"/>
        <w:rPr>
          <w:rFonts w:ascii="Palatino Linotype" w:eastAsia="Palatino Linotype" w:hAnsi="Palatino Linotype" w:cs="Palatino Linotype"/>
        </w:rPr>
      </w:pPr>
    </w:p>
    <w:p w14:paraId="2A94E359" w14:textId="77777777" w:rsidR="003E4E89" w:rsidRPr="00964919" w:rsidRDefault="000D4BA5">
      <w:pPr>
        <w:spacing w:after="0" w:line="360" w:lineRule="auto"/>
        <w:jc w:val="both"/>
        <w:rPr>
          <w:rFonts w:ascii="Palatino Linotype" w:eastAsia="Palatino Linotype" w:hAnsi="Palatino Linotype" w:cs="Palatino Linotype"/>
        </w:rPr>
      </w:pPr>
      <w:bookmarkStart w:id="8" w:name="_heading=h.1t3h5sf" w:colFirst="0" w:colLast="0"/>
      <w:bookmarkEnd w:id="8"/>
      <w:r w:rsidRPr="00964919">
        <w:rPr>
          <w:rFonts w:ascii="Palatino Linotype" w:eastAsia="Palatino Linotype" w:hAnsi="Palatino Linotype" w:cs="Palatino Linotype"/>
          <w:b/>
        </w:rPr>
        <w:t xml:space="preserve">CUARTO. </w:t>
      </w:r>
      <w:r w:rsidRPr="00964919">
        <w:rPr>
          <w:rFonts w:ascii="Palatino Linotype" w:eastAsia="Palatino Linotype" w:hAnsi="Palatino Linotype" w:cs="Palatino Linotype"/>
        </w:rPr>
        <w:t xml:space="preserve">De conformidad con el artículo 198 de la Ley de Transparencia y Acceso a la Información Pública del Estado de México y Municipios, de considerarlo procedente, el </w:t>
      </w:r>
      <w:r w:rsidRPr="00964919">
        <w:rPr>
          <w:rFonts w:ascii="Palatino Linotype" w:eastAsia="Palatino Linotype" w:hAnsi="Palatino Linotype" w:cs="Palatino Linotype"/>
          <w:b/>
        </w:rPr>
        <w:t>Sujeto Obligado</w:t>
      </w:r>
      <w:r w:rsidRPr="00964919">
        <w:rPr>
          <w:rFonts w:ascii="Palatino Linotype" w:eastAsia="Palatino Linotype" w:hAnsi="Palatino Linotype" w:cs="Palatino Linotype"/>
        </w:rPr>
        <w:t xml:space="preserve"> de manera fundada y motivada, podrá solicitar una ampliación de plazo para el cumplimiento de la presente resolución.</w:t>
      </w:r>
    </w:p>
    <w:p w14:paraId="2CE28E12" w14:textId="77777777" w:rsidR="003E4E89" w:rsidRPr="00964919" w:rsidRDefault="003E4E89">
      <w:pPr>
        <w:spacing w:after="0" w:line="360" w:lineRule="auto"/>
        <w:jc w:val="both"/>
        <w:rPr>
          <w:rFonts w:ascii="Palatino Linotype" w:eastAsia="Palatino Linotype" w:hAnsi="Palatino Linotype" w:cs="Palatino Linotype"/>
        </w:rPr>
      </w:pPr>
    </w:p>
    <w:p w14:paraId="0A711FFC" w14:textId="77777777" w:rsidR="003E4E89" w:rsidRPr="00964919" w:rsidRDefault="000D4BA5">
      <w:pPr>
        <w:spacing w:after="0" w:line="360" w:lineRule="auto"/>
        <w:jc w:val="both"/>
        <w:rPr>
          <w:rFonts w:ascii="Palatino Linotype" w:eastAsia="Palatino Linotype" w:hAnsi="Palatino Linotype" w:cs="Palatino Linotype"/>
        </w:rPr>
      </w:pPr>
      <w:r w:rsidRPr="00964919">
        <w:rPr>
          <w:rFonts w:ascii="Palatino Linotype" w:eastAsia="Palatino Linotype" w:hAnsi="Palatino Linotype" w:cs="Palatino Linotype"/>
          <w:b/>
        </w:rPr>
        <w:t xml:space="preserve">QUINTO. Notifíquese </w:t>
      </w:r>
      <w:r w:rsidRPr="00964919">
        <w:rPr>
          <w:rFonts w:ascii="Palatino Linotype" w:eastAsia="Palatino Linotype" w:hAnsi="Palatino Linotype" w:cs="Palatino Linotype"/>
        </w:rPr>
        <w:t xml:space="preserve">vía </w:t>
      </w:r>
      <w:r w:rsidRPr="00964919">
        <w:rPr>
          <w:rFonts w:ascii="Palatino Linotype" w:eastAsia="Palatino Linotype" w:hAnsi="Palatino Linotype" w:cs="Palatino Linotype"/>
          <w:b/>
        </w:rPr>
        <w:t xml:space="preserve">SAIMEX, </w:t>
      </w:r>
      <w:r w:rsidRPr="00964919">
        <w:rPr>
          <w:rFonts w:ascii="Palatino Linotype" w:eastAsia="Palatino Linotype" w:hAnsi="Palatino Linotype" w:cs="Palatino Linotype"/>
        </w:rPr>
        <w:t>a la parte</w:t>
      </w:r>
      <w:r w:rsidRPr="00964919">
        <w:rPr>
          <w:rFonts w:ascii="Palatino Linotype" w:eastAsia="Palatino Linotype" w:hAnsi="Palatino Linotype" w:cs="Palatino Linotype"/>
          <w:b/>
        </w:rPr>
        <w:t xml:space="preserve"> Recurrente</w:t>
      </w:r>
      <w:r w:rsidRPr="00964919">
        <w:rPr>
          <w:rFonts w:ascii="Palatino Linotype" w:eastAsia="Palatino Linotype" w:hAnsi="Palatino Linotype" w:cs="Palatino Linotype"/>
        </w:rPr>
        <w:t xml:space="preserve"> la presente resolución, así como que podrá impugnarla vía Juicio de Amparo en los términos de las leyes aplicables, de conformidad con lo establecido en el artículo 196 de la Ley de Transparencia y Acceso a la Información Pública del Estado de México y Municipios. </w:t>
      </w:r>
    </w:p>
    <w:p w14:paraId="30E4B90D" w14:textId="77777777" w:rsidR="003E4E89" w:rsidRPr="00964919" w:rsidRDefault="003E4E89">
      <w:pPr>
        <w:spacing w:after="0" w:line="360" w:lineRule="auto"/>
        <w:jc w:val="both"/>
        <w:rPr>
          <w:rFonts w:ascii="Palatino Linotype" w:eastAsia="Palatino Linotype" w:hAnsi="Palatino Linotype" w:cs="Palatino Linotype"/>
        </w:rPr>
      </w:pPr>
    </w:p>
    <w:p w14:paraId="519BEB88" w14:textId="77777777" w:rsidR="003E4E89" w:rsidRDefault="000D4BA5">
      <w:pPr>
        <w:spacing w:after="0" w:line="360" w:lineRule="auto"/>
        <w:jc w:val="both"/>
        <w:rPr>
          <w:rFonts w:ascii="Palatino Linotype" w:eastAsia="Palatino Linotype" w:hAnsi="Palatino Linotype" w:cs="Palatino Linotype"/>
        </w:rPr>
        <w:sectPr w:rsidR="003E4E89">
          <w:headerReference w:type="default" r:id="rId16"/>
          <w:footerReference w:type="default" r:id="rId17"/>
          <w:headerReference w:type="first" r:id="rId18"/>
          <w:footerReference w:type="first" r:id="rId19"/>
          <w:pgSz w:w="12240" w:h="15840"/>
          <w:pgMar w:top="1417" w:right="1701" w:bottom="1417" w:left="1701" w:header="708" w:footer="708" w:gutter="0"/>
          <w:pgNumType w:start="1"/>
          <w:cols w:space="720"/>
          <w:titlePg/>
        </w:sectPr>
      </w:pPr>
      <w:r w:rsidRPr="00964919">
        <w:rPr>
          <w:rFonts w:ascii="Palatino Linotype" w:eastAsia="Palatino Linotype" w:hAnsi="Palatino Linotype" w:cs="Palatino Linotype"/>
        </w:rPr>
        <w:t>ASÍ LO RESUELVE, POR UNANIMIDAD DE VOTOS, EL PLENO DEL INSTITUTO DE TRANSPARENCIA, ACCESO A LA INFORMACIÓN PÚBLICA Y PROTECCIÓN DE DATOS PERSONALES DEL ESTADO DE MÉXICO Y MUNICIPIOS, CONFORMADO POR LOS COMISIONADOS JOSÉ MARTÍNEZ VILCHIS, MARÍA DEL ROSARIO MEJÍA AYALA, SHARON CRISTINA MORALES MARTÍNEZ, LUIS GUSTAVO PARRA NORIEGA Y GUADALUPE RAMÍREZ PEÑA; EN LA CUADRAGÉSIMA SEGUNDA SESIÓN ORDINARIA CELEBRADA EL CUATRO DE DICIEMBRE DE DOS MIL VEINTICUATRO, ANTE EL SECRETARIO TÉCNICO DEL PLENO ALEXIS TAPIA RAMÍREZ.</w:t>
      </w:r>
    </w:p>
    <w:p w14:paraId="65A7A901" w14:textId="77777777" w:rsidR="003E4E89" w:rsidRDefault="003E4E89">
      <w:pPr>
        <w:spacing w:after="0" w:line="360" w:lineRule="auto"/>
        <w:jc w:val="both"/>
        <w:rPr>
          <w:rFonts w:ascii="Palatino Linotype" w:eastAsia="Palatino Linotype" w:hAnsi="Palatino Linotype" w:cs="Palatino Linotype"/>
        </w:rPr>
      </w:pPr>
    </w:p>
    <w:sectPr w:rsidR="003E4E89">
      <w:headerReference w:type="first" r:id="rId20"/>
      <w:footerReference w:type="first" r:id="rId21"/>
      <w:pgSz w:w="12240" w:h="15840"/>
      <w:pgMar w:top="1417" w:right="1701" w:bottom="1417" w:left="1701" w:header="708" w:footer="708"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B2233C" w14:textId="77777777" w:rsidR="00344E70" w:rsidRDefault="00344E70">
      <w:pPr>
        <w:spacing w:after="0" w:line="240" w:lineRule="auto"/>
      </w:pPr>
      <w:r>
        <w:separator/>
      </w:r>
    </w:p>
  </w:endnote>
  <w:endnote w:type="continuationSeparator" w:id="0">
    <w:p w14:paraId="1C50C244" w14:textId="77777777" w:rsidR="00344E70" w:rsidRDefault="00344E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Palatino Linotype">
    <w:panose1 w:val="02040502050505030304"/>
    <w:charset w:val="00"/>
    <w:family w:val="roman"/>
    <w:pitch w:val="variable"/>
    <w:sig w:usb0="E0000287" w:usb1="40000013"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152182" w14:textId="77777777" w:rsidR="003E4E89" w:rsidRDefault="000D4BA5">
    <w:pPr>
      <w:pBdr>
        <w:top w:val="nil"/>
        <w:left w:val="nil"/>
        <w:bottom w:val="nil"/>
        <w:right w:val="nil"/>
        <w:between w:val="nil"/>
      </w:pBdr>
      <w:tabs>
        <w:tab w:val="center" w:pos="4252"/>
        <w:tab w:val="right" w:pos="8504"/>
      </w:tabs>
      <w:jc w:val="right"/>
      <w:rPr>
        <w:rFonts w:ascii="Palatino Linotype" w:eastAsia="Palatino Linotype" w:hAnsi="Palatino Linotype" w:cs="Palatino Linotype"/>
        <w:color w:val="000000"/>
        <w:sz w:val="20"/>
        <w:szCs w:val="20"/>
      </w:rPr>
    </w:pPr>
    <w:r>
      <w:rPr>
        <w:rFonts w:ascii="Palatino Linotype" w:eastAsia="Palatino Linotype" w:hAnsi="Palatino Linotype" w:cs="Palatino Linotype"/>
        <w:b/>
        <w:color w:val="000000"/>
        <w:sz w:val="20"/>
        <w:szCs w:val="20"/>
      </w:rPr>
      <w:t xml:space="preserve">Página </w:t>
    </w:r>
    <w:r>
      <w:rPr>
        <w:rFonts w:ascii="Palatino Linotype" w:eastAsia="Palatino Linotype" w:hAnsi="Palatino Linotype" w:cs="Palatino Linotype"/>
        <w:b/>
        <w:color w:val="000000"/>
        <w:sz w:val="20"/>
        <w:szCs w:val="20"/>
      </w:rPr>
      <w:fldChar w:fldCharType="begin"/>
    </w:r>
    <w:r>
      <w:rPr>
        <w:rFonts w:ascii="Palatino Linotype" w:eastAsia="Palatino Linotype" w:hAnsi="Palatino Linotype" w:cs="Palatino Linotype"/>
        <w:b/>
        <w:color w:val="000000"/>
        <w:sz w:val="20"/>
        <w:szCs w:val="20"/>
      </w:rPr>
      <w:instrText>PAGE</w:instrText>
    </w:r>
    <w:r>
      <w:rPr>
        <w:rFonts w:ascii="Palatino Linotype" w:eastAsia="Palatino Linotype" w:hAnsi="Palatino Linotype" w:cs="Palatino Linotype"/>
        <w:b/>
        <w:color w:val="000000"/>
        <w:sz w:val="20"/>
        <w:szCs w:val="20"/>
      </w:rPr>
      <w:fldChar w:fldCharType="separate"/>
    </w:r>
    <w:r w:rsidR="00A03595">
      <w:rPr>
        <w:rFonts w:ascii="Palatino Linotype" w:eastAsia="Palatino Linotype" w:hAnsi="Palatino Linotype" w:cs="Palatino Linotype"/>
        <w:b/>
        <w:noProof/>
        <w:color w:val="000000"/>
        <w:sz w:val="20"/>
        <w:szCs w:val="20"/>
      </w:rPr>
      <w:t>50</w:t>
    </w:r>
    <w:r>
      <w:rPr>
        <w:rFonts w:ascii="Palatino Linotype" w:eastAsia="Palatino Linotype" w:hAnsi="Palatino Linotype" w:cs="Palatino Linotype"/>
        <w:b/>
        <w:color w:val="000000"/>
        <w:sz w:val="20"/>
        <w:szCs w:val="20"/>
      </w:rPr>
      <w:fldChar w:fldCharType="end"/>
    </w:r>
    <w:r>
      <w:rPr>
        <w:rFonts w:ascii="Palatino Linotype" w:eastAsia="Palatino Linotype" w:hAnsi="Palatino Linotype" w:cs="Palatino Linotype"/>
        <w:color w:val="000000"/>
        <w:sz w:val="20"/>
        <w:szCs w:val="20"/>
      </w:rPr>
      <w:t xml:space="preserve"> de </w:t>
    </w:r>
    <w:r>
      <w:rPr>
        <w:rFonts w:ascii="Palatino Linotype" w:eastAsia="Palatino Linotype" w:hAnsi="Palatino Linotype" w:cs="Palatino Linotype"/>
        <w:b/>
        <w:color w:val="000000"/>
        <w:sz w:val="20"/>
        <w:szCs w:val="20"/>
      </w:rPr>
      <w:fldChar w:fldCharType="begin"/>
    </w:r>
    <w:r>
      <w:rPr>
        <w:rFonts w:ascii="Palatino Linotype" w:eastAsia="Palatino Linotype" w:hAnsi="Palatino Linotype" w:cs="Palatino Linotype"/>
        <w:b/>
        <w:color w:val="000000"/>
        <w:sz w:val="20"/>
        <w:szCs w:val="20"/>
      </w:rPr>
      <w:instrText>NUMPAGES</w:instrText>
    </w:r>
    <w:r>
      <w:rPr>
        <w:rFonts w:ascii="Palatino Linotype" w:eastAsia="Palatino Linotype" w:hAnsi="Palatino Linotype" w:cs="Palatino Linotype"/>
        <w:b/>
        <w:color w:val="000000"/>
        <w:sz w:val="20"/>
        <w:szCs w:val="20"/>
      </w:rPr>
      <w:fldChar w:fldCharType="separate"/>
    </w:r>
    <w:r w:rsidR="00A03595">
      <w:rPr>
        <w:rFonts w:ascii="Palatino Linotype" w:eastAsia="Palatino Linotype" w:hAnsi="Palatino Linotype" w:cs="Palatino Linotype"/>
        <w:b/>
        <w:noProof/>
        <w:color w:val="000000"/>
        <w:sz w:val="20"/>
        <w:szCs w:val="20"/>
      </w:rPr>
      <w:t>51</w:t>
    </w:r>
    <w:r>
      <w:rPr>
        <w:rFonts w:ascii="Palatino Linotype" w:eastAsia="Palatino Linotype" w:hAnsi="Palatino Linotype" w:cs="Palatino Linotype"/>
        <w:b/>
        <w:color w:val="000000"/>
        <w:sz w:val="20"/>
        <w:szCs w:val="20"/>
      </w:rPr>
      <w:fldChar w:fldCharType="end"/>
    </w:r>
  </w:p>
  <w:p w14:paraId="04B35584" w14:textId="77777777" w:rsidR="003E4E89" w:rsidRDefault="003E4E89">
    <w:pPr>
      <w:pBdr>
        <w:top w:val="nil"/>
        <w:left w:val="nil"/>
        <w:bottom w:val="nil"/>
        <w:right w:val="nil"/>
        <w:between w:val="nil"/>
      </w:pBdr>
      <w:tabs>
        <w:tab w:val="center" w:pos="4419"/>
        <w:tab w:val="right" w:pos="8838"/>
      </w:tabs>
      <w:spacing w:after="0" w:line="240" w:lineRule="auto"/>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C6C0CF" w14:textId="77777777" w:rsidR="003E4E89" w:rsidRDefault="000D4BA5">
    <w:pPr>
      <w:pBdr>
        <w:top w:val="nil"/>
        <w:left w:val="nil"/>
        <w:bottom w:val="nil"/>
        <w:right w:val="nil"/>
        <w:between w:val="nil"/>
      </w:pBdr>
      <w:tabs>
        <w:tab w:val="center" w:pos="4252"/>
        <w:tab w:val="right" w:pos="8504"/>
      </w:tabs>
      <w:jc w:val="right"/>
      <w:rPr>
        <w:rFonts w:ascii="Palatino Linotype" w:eastAsia="Palatino Linotype" w:hAnsi="Palatino Linotype" w:cs="Palatino Linotype"/>
        <w:color w:val="000000"/>
        <w:sz w:val="20"/>
        <w:szCs w:val="20"/>
      </w:rPr>
    </w:pPr>
    <w:r>
      <w:rPr>
        <w:rFonts w:ascii="Palatino Linotype" w:eastAsia="Palatino Linotype" w:hAnsi="Palatino Linotype" w:cs="Palatino Linotype"/>
        <w:b/>
        <w:color w:val="000000"/>
        <w:sz w:val="20"/>
        <w:szCs w:val="20"/>
      </w:rPr>
      <w:t xml:space="preserve">Página </w:t>
    </w:r>
    <w:proofErr w:type="gramStart"/>
    <w:r>
      <w:rPr>
        <w:rFonts w:ascii="Palatino Linotype" w:eastAsia="Palatino Linotype" w:hAnsi="Palatino Linotype" w:cs="Palatino Linotype"/>
        <w:b/>
        <w:color w:val="000000"/>
        <w:sz w:val="20"/>
        <w:szCs w:val="20"/>
      </w:rPr>
      <w:t xml:space="preserve">1 </w:t>
    </w:r>
    <w:r>
      <w:rPr>
        <w:rFonts w:ascii="Palatino Linotype" w:eastAsia="Palatino Linotype" w:hAnsi="Palatino Linotype" w:cs="Palatino Linotype"/>
        <w:color w:val="000000"/>
        <w:sz w:val="20"/>
        <w:szCs w:val="20"/>
      </w:rPr>
      <w:t xml:space="preserve"> de</w:t>
    </w:r>
    <w:proofErr w:type="gramEnd"/>
    <w:r>
      <w:rPr>
        <w:rFonts w:ascii="Palatino Linotype" w:eastAsia="Palatino Linotype" w:hAnsi="Palatino Linotype" w:cs="Palatino Linotype"/>
        <w:color w:val="000000"/>
        <w:sz w:val="20"/>
        <w:szCs w:val="20"/>
      </w:rPr>
      <w:t xml:space="preserve"> </w:t>
    </w:r>
    <w:r>
      <w:rPr>
        <w:rFonts w:ascii="Palatino Linotype" w:eastAsia="Palatino Linotype" w:hAnsi="Palatino Linotype" w:cs="Palatino Linotype"/>
        <w:b/>
        <w:color w:val="000000"/>
        <w:sz w:val="20"/>
        <w:szCs w:val="20"/>
      </w:rPr>
      <w:fldChar w:fldCharType="begin"/>
    </w:r>
    <w:r>
      <w:rPr>
        <w:rFonts w:ascii="Palatino Linotype" w:eastAsia="Palatino Linotype" w:hAnsi="Palatino Linotype" w:cs="Palatino Linotype"/>
        <w:b/>
        <w:color w:val="000000"/>
        <w:sz w:val="20"/>
        <w:szCs w:val="20"/>
      </w:rPr>
      <w:instrText>NUMPAGES</w:instrText>
    </w:r>
    <w:r>
      <w:rPr>
        <w:rFonts w:ascii="Palatino Linotype" w:eastAsia="Palatino Linotype" w:hAnsi="Palatino Linotype" w:cs="Palatino Linotype"/>
        <w:b/>
        <w:color w:val="000000"/>
        <w:sz w:val="20"/>
        <w:szCs w:val="20"/>
      </w:rPr>
      <w:fldChar w:fldCharType="separate"/>
    </w:r>
    <w:r w:rsidR="00A03595">
      <w:rPr>
        <w:rFonts w:ascii="Palatino Linotype" w:eastAsia="Palatino Linotype" w:hAnsi="Palatino Linotype" w:cs="Palatino Linotype"/>
        <w:b/>
        <w:noProof/>
        <w:color w:val="000000"/>
        <w:sz w:val="20"/>
        <w:szCs w:val="20"/>
      </w:rPr>
      <w:t>51</w:t>
    </w:r>
    <w:r>
      <w:rPr>
        <w:rFonts w:ascii="Palatino Linotype" w:eastAsia="Palatino Linotype" w:hAnsi="Palatino Linotype" w:cs="Palatino Linotype"/>
        <w:b/>
        <w:color w:val="000000"/>
        <w:sz w:val="20"/>
        <w:szCs w:val="20"/>
      </w:rPr>
      <w:fldChar w:fldCharType="end"/>
    </w:r>
  </w:p>
  <w:p w14:paraId="4FDFBBA9" w14:textId="77777777" w:rsidR="003E4E89" w:rsidRDefault="003E4E89">
    <w:pPr>
      <w:pBdr>
        <w:top w:val="nil"/>
        <w:left w:val="nil"/>
        <w:bottom w:val="nil"/>
        <w:right w:val="nil"/>
        <w:between w:val="nil"/>
      </w:pBdr>
      <w:tabs>
        <w:tab w:val="center" w:pos="4419"/>
        <w:tab w:val="right" w:pos="8838"/>
      </w:tabs>
      <w:spacing w:after="0" w:line="240" w:lineRule="auto"/>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FB5096" w14:textId="77777777" w:rsidR="003E4E89" w:rsidRDefault="000D4BA5">
    <w:pPr>
      <w:pBdr>
        <w:top w:val="nil"/>
        <w:left w:val="nil"/>
        <w:bottom w:val="nil"/>
        <w:right w:val="nil"/>
        <w:between w:val="nil"/>
      </w:pBdr>
      <w:tabs>
        <w:tab w:val="center" w:pos="4252"/>
        <w:tab w:val="right" w:pos="8504"/>
      </w:tabs>
      <w:jc w:val="right"/>
      <w:rPr>
        <w:rFonts w:ascii="Palatino Linotype" w:eastAsia="Palatino Linotype" w:hAnsi="Palatino Linotype" w:cs="Palatino Linotype"/>
        <w:color w:val="000000"/>
        <w:sz w:val="20"/>
        <w:szCs w:val="20"/>
      </w:rPr>
    </w:pPr>
    <w:r>
      <w:rPr>
        <w:rFonts w:ascii="Palatino Linotype" w:eastAsia="Palatino Linotype" w:hAnsi="Palatino Linotype" w:cs="Palatino Linotype"/>
        <w:b/>
        <w:color w:val="000000"/>
        <w:sz w:val="20"/>
        <w:szCs w:val="20"/>
      </w:rPr>
      <w:t>Página 51</w:t>
    </w:r>
    <w:r>
      <w:rPr>
        <w:rFonts w:ascii="Palatino Linotype" w:eastAsia="Palatino Linotype" w:hAnsi="Palatino Linotype" w:cs="Palatino Linotype"/>
        <w:color w:val="000000"/>
        <w:sz w:val="20"/>
        <w:szCs w:val="20"/>
      </w:rPr>
      <w:t xml:space="preserve"> de </w:t>
    </w:r>
    <w:r>
      <w:rPr>
        <w:rFonts w:ascii="Palatino Linotype" w:eastAsia="Palatino Linotype" w:hAnsi="Palatino Linotype" w:cs="Palatino Linotype"/>
        <w:b/>
        <w:color w:val="000000"/>
        <w:sz w:val="20"/>
        <w:szCs w:val="20"/>
      </w:rPr>
      <w:fldChar w:fldCharType="begin"/>
    </w:r>
    <w:r>
      <w:rPr>
        <w:rFonts w:ascii="Palatino Linotype" w:eastAsia="Palatino Linotype" w:hAnsi="Palatino Linotype" w:cs="Palatino Linotype"/>
        <w:b/>
        <w:color w:val="000000"/>
        <w:sz w:val="20"/>
        <w:szCs w:val="20"/>
      </w:rPr>
      <w:instrText>NUMPAGES</w:instrText>
    </w:r>
    <w:r>
      <w:rPr>
        <w:rFonts w:ascii="Palatino Linotype" w:eastAsia="Palatino Linotype" w:hAnsi="Palatino Linotype" w:cs="Palatino Linotype"/>
        <w:b/>
        <w:color w:val="000000"/>
        <w:sz w:val="20"/>
        <w:szCs w:val="20"/>
      </w:rPr>
      <w:fldChar w:fldCharType="separate"/>
    </w:r>
    <w:r w:rsidR="00A03595">
      <w:rPr>
        <w:rFonts w:ascii="Palatino Linotype" w:eastAsia="Palatino Linotype" w:hAnsi="Palatino Linotype" w:cs="Palatino Linotype"/>
        <w:b/>
        <w:noProof/>
        <w:color w:val="000000"/>
        <w:sz w:val="20"/>
        <w:szCs w:val="20"/>
      </w:rPr>
      <w:t>51</w:t>
    </w:r>
    <w:r>
      <w:rPr>
        <w:rFonts w:ascii="Palatino Linotype" w:eastAsia="Palatino Linotype" w:hAnsi="Palatino Linotype" w:cs="Palatino Linotype"/>
        <w:b/>
        <w:color w:val="000000"/>
        <w:sz w:val="20"/>
        <w:szCs w:val="20"/>
      </w:rPr>
      <w:fldChar w:fldCharType="end"/>
    </w:r>
  </w:p>
  <w:p w14:paraId="194F7A5D" w14:textId="77777777" w:rsidR="003E4E89" w:rsidRDefault="003E4E89">
    <w:pPr>
      <w:pBdr>
        <w:top w:val="nil"/>
        <w:left w:val="nil"/>
        <w:bottom w:val="nil"/>
        <w:right w:val="nil"/>
        <w:between w:val="nil"/>
      </w:pBdr>
      <w:tabs>
        <w:tab w:val="center" w:pos="4419"/>
        <w:tab w:val="right" w:pos="8838"/>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4604B0" w14:textId="77777777" w:rsidR="00344E70" w:rsidRDefault="00344E70">
      <w:pPr>
        <w:spacing w:after="0" w:line="240" w:lineRule="auto"/>
      </w:pPr>
      <w:r>
        <w:separator/>
      </w:r>
    </w:p>
  </w:footnote>
  <w:footnote w:type="continuationSeparator" w:id="0">
    <w:p w14:paraId="01140175" w14:textId="77777777" w:rsidR="00344E70" w:rsidRDefault="00344E70">
      <w:pPr>
        <w:spacing w:after="0" w:line="240" w:lineRule="auto"/>
      </w:pPr>
      <w:r>
        <w:continuationSeparator/>
      </w:r>
    </w:p>
  </w:footnote>
  <w:footnote w:id="1">
    <w:p w14:paraId="691523D6" w14:textId="77777777" w:rsidR="003E4E89" w:rsidRDefault="000D4BA5">
      <w:pPr>
        <w:pBdr>
          <w:top w:val="nil"/>
          <w:left w:val="nil"/>
          <w:bottom w:val="nil"/>
          <w:right w:val="nil"/>
          <w:between w:val="nil"/>
        </w:pBdr>
        <w:rPr>
          <w:color w:val="000000"/>
          <w:sz w:val="20"/>
          <w:szCs w:val="20"/>
        </w:rPr>
      </w:pPr>
      <w:r>
        <w:rPr>
          <w:vertAlign w:val="superscript"/>
        </w:rPr>
        <w:footnoteRef/>
      </w:r>
      <w:r>
        <w:rPr>
          <w:color w:val="000000"/>
          <w:sz w:val="20"/>
          <w:szCs w:val="20"/>
        </w:rPr>
        <w:t xml:space="preserve"> </w:t>
      </w:r>
      <w:r>
        <w:rPr>
          <w:rFonts w:ascii="Palatino Linotype" w:eastAsia="Palatino Linotype" w:hAnsi="Palatino Linotype" w:cs="Palatino Linotype"/>
          <w:color w:val="000000"/>
          <w:sz w:val="16"/>
          <w:szCs w:val="16"/>
        </w:rPr>
        <w:t>Artículo 92. Los sujetos obligados deberán poner a disposición del público de manera permanente y actualizada de forma sencilla, precisa y entendible, en los respectivos medios electrónicos, de acuerdo con sus facultades, atribuciones, funciones u objeto social, según corresponda, la información, por lo menos, de los temas, documentos y políticas que a continuación se señalan:</w:t>
      </w:r>
      <w:r>
        <w:rPr>
          <w:color w:val="000000"/>
          <w:sz w:val="20"/>
          <w:szCs w:val="20"/>
        </w:rPr>
        <w:t xml:space="preserve"> (…)</w:t>
      </w:r>
    </w:p>
  </w:footnote>
  <w:footnote w:id="2">
    <w:p w14:paraId="6B0CB8AF" w14:textId="77777777" w:rsidR="003E4E89" w:rsidRDefault="000D4BA5">
      <w:pPr>
        <w:pBdr>
          <w:top w:val="nil"/>
          <w:left w:val="nil"/>
          <w:bottom w:val="nil"/>
          <w:right w:val="nil"/>
          <w:between w:val="nil"/>
        </w:pBdr>
        <w:jc w:val="both"/>
        <w:rPr>
          <w:rFonts w:ascii="Palatino Linotype" w:eastAsia="Palatino Linotype" w:hAnsi="Palatino Linotype" w:cs="Palatino Linotype"/>
          <w:color w:val="000000"/>
          <w:sz w:val="16"/>
          <w:szCs w:val="16"/>
        </w:rPr>
      </w:pPr>
      <w:r>
        <w:rPr>
          <w:vertAlign w:val="superscript"/>
        </w:rPr>
        <w:footnoteRef/>
      </w:r>
      <w:r>
        <w:rPr>
          <w:rFonts w:ascii="Palatino Linotype" w:eastAsia="Palatino Linotype" w:hAnsi="Palatino Linotype" w:cs="Palatino Linotype"/>
          <w:color w:val="000000"/>
          <w:sz w:val="19"/>
          <w:szCs w:val="19"/>
        </w:rPr>
        <w:t xml:space="preserve"> </w:t>
      </w:r>
      <w:r>
        <w:rPr>
          <w:rFonts w:ascii="Palatino Linotype" w:eastAsia="Palatino Linotype" w:hAnsi="Palatino Linotype" w:cs="Palatino Linotype"/>
          <w:color w:val="000000"/>
          <w:sz w:val="16"/>
          <w:szCs w:val="16"/>
        </w:rPr>
        <w:t>“Artículo 3. Para los efectos de la presente Ley se entenderá por: (…) XXII. Información de interés público: Se refiere a la información que resulta relevante o beneficiosa para la sociedad y no simplemente de interés individual, cuya divulgación resulta útil para que el público comprenda las actividades que llevan a cabo los sujetos obligados…”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DB79FB" w14:textId="77777777" w:rsidR="003E4E89" w:rsidRDefault="000D4BA5">
    <w:pPr>
      <w:widowControl w:val="0"/>
      <w:pBdr>
        <w:top w:val="nil"/>
        <w:left w:val="nil"/>
        <w:bottom w:val="nil"/>
        <w:right w:val="nil"/>
        <w:between w:val="nil"/>
      </w:pBdr>
      <w:spacing w:after="0" w:line="276" w:lineRule="auto"/>
      <w:rPr>
        <w:color w:val="000000"/>
      </w:rPr>
    </w:pPr>
    <w:r>
      <w:rPr>
        <w:noProof/>
      </w:rPr>
      <w:drawing>
        <wp:anchor distT="0" distB="0" distL="0" distR="0" simplePos="0" relativeHeight="251658240" behindDoc="1" locked="0" layoutInCell="1" hidden="0" allowOverlap="1" wp14:anchorId="52CFB4DF" wp14:editId="055AC1BB">
          <wp:simplePos x="0" y="0"/>
          <wp:positionH relativeFrom="column">
            <wp:posOffset>-1080134</wp:posOffset>
          </wp:positionH>
          <wp:positionV relativeFrom="paragraph">
            <wp:posOffset>-198754</wp:posOffset>
          </wp:positionV>
          <wp:extent cx="7534275" cy="9895205"/>
          <wp:effectExtent l="0" t="0" r="0" b="0"/>
          <wp:wrapNone/>
          <wp:docPr id="158852181" name="image8.jpg"/>
          <wp:cNvGraphicFramePr/>
          <a:graphic xmlns:a="http://schemas.openxmlformats.org/drawingml/2006/main">
            <a:graphicData uri="http://schemas.openxmlformats.org/drawingml/2006/picture">
              <pic:pic xmlns:pic="http://schemas.openxmlformats.org/drawingml/2006/picture">
                <pic:nvPicPr>
                  <pic:cNvPr id="0" name="image8.jpg"/>
                  <pic:cNvPicPr preferRelativeResize="0"/>
                </pic:nvPicPr>
                <pic:blipFill>
                  <a:blip r:embed="rId1"/>
                  <a:srcRect/>
                  <a:stretch>
                    <a:fillRect/>
                  </a:stretch>
                </pic:blipFill>
                <pic:spPr>
                  <a:xfrm>
                    <a:off x="0" y="0"/>
                    <a:ext cx="7534275" cy="9895205"/>
                  </a:xfrm>
                  <a:prstGeom prst="rect">
                    <a:avLst/>
                  </a:prstGeom>
                  <a:ln/>
                </pic:spPr>
              </pic:pic>
            </a:graphicData>
          </a:graphic>
        </wp:anchor>
      </w:drawing>
    </w:r>
  </w:p>
  <w:tbl>
    <w:tblPr>
      <w:tblStyle w:val="a4"/>
      <w:tblW w:w="10254" w:type="dxa"/>
      <w:tblInd w:w="-1281" w:type="dxa"/>
      <w:tblLayout w:type="fixed"/>
      <w:tblLook w:val="0400" w:firstRow="0" w:lastRow="0" w:firstColumn="0" w:lastColumn="0" w:noHBand="0" w:noVBand="1"/>
    </w:tblPr>
    <w:tblGrid>
      <w:gridCol w:w="5817"/>
      <w:gridCol w:w="4437"/>
    </w:tblGrid>
    <w:tr w:rsidR="003E4E89" w14:paraId="24F15C47" w14:textId="77777777">
      <w:trPr>
        <w:trHeight w:val="260"/>
      </w:trPr>
      <w:tc>
        <w:tcPr>
          <w:tcW w:w="5817" w:type="dxa"/>
        </w:tcPr>
        <w:p w14:paraId="45E37BE8" w14:textId="77777777" w:rsidR="003E4E89" w:rsidRDefault="000D4BA5">
          <w:pPr>
            <w:spacing w:after="120"/>
            <w:ind w:right="204"/>
            <w:jc w:val="right"/>
            <w:rPr>
              <w:rFonts w:ascii="Palatino Linotype" w:eastAsia="Palatino Linotype" w:hAnsi="Palatino Linotype" w:cs="Palatino Linotype"/>
              <w:b/>
            </w:rPr>
          </w:pPr>
          <w:r>
            <w:rPr>
              <w:rFonts w:ascii="Palatino Linotype" w:eastAsia="Palatino Linotype" w:hAnsi="Palatino Linotype" w:cs="Palatino Linotype"/>
              <w:b/>
            </w:rPr>
            <w:t xml:space="preserve">Recurso de Revisión </w:t>
          </w:r>
          <w:proofErr w:type="spellStart"/>
          <w:r>
            <w:rPr>
              <w:rFonts w:ascii="Palatino Linotype" w:eastAsia="Palatino Linotype" w:hAnsi="Palatino Linotype" w:cs="Palatino Linotype"/>
              <w:b/>
            </w:rPr>
            <w:t>N°</w:t>
          </w:r>
          <w:proofErr w:type="spellEnd"/>
          <w:r>
            <w:rPr>
              <w:rFonts w:ascii="Palatino Linotype" w:eastAsia="Palatino Linotype" w:hAnsi="Palatino Linotype" w:cs="Palatino Linotype"/>
              <w:b/>
            </w:rPr>
            <w:t>:</w:t>
          </w:r>
        </w:p>
      </w:tc>
      <w:tc>
        <w:tcPr>
          <w:tcW w:w="4437" w:type="dxa"/>
        </w:tcPr>
        <w:p w14:paraId="43155882" w14:textId="77777777" w:rsidR="003E4E89" w:rsidRDefault="000D4BA5">
          <w:pPr>
            <w:spacing w:after="120"/>
            <w:ind w:left="-486" w:right="214" w:firstLine="1408"/>
            <w:jc w:val="right"/>
            <w:rPr>
              <w:rFonts w:ascii="Palatino Linotype" w:eastAsia="Palatino Linotype" w:hAnsi="Palatino Linotype" w:cs="Palatino Linotype"/>
            </w:rPr>
          </w:pPr>
          <w:r>
            <w:rPr>
              <w:rFonts w:ascii="Palatino Linotype" w:eastAsia="Palatino Linotype" w:hAnsi="Palatino Linotype" w:cs="Palatino Linotype"/>
            </w:rPr>
            <w:t>06899/INFOEM/IP/RR/2024</w:t>
          </w:r>
        </w:p>
      </w:tc>
    </w:tr>
    <w:tr w:rsidR="003E4E89" w14:paraId="019F9E19" w14:textId="77777777">
      <w:trPr>
        <w:trHeight w:val="278"/>
      </w:trPr>
      <w:tc>
        <w:tcPr>
          <w:tcW w:w="5817" w:type="dxa"/>
        </w:tcPr>
        <w:p w14:paraId="5A6DDC98" w14:textId="77777777" w:rsidR="003E4E89" w:rsidRDefault="000D4BA5">
          <w:pPr>
            <w:ind w:right="204"/>
            <w:jc w:val="right"/>
            <w:rPr>
              <w:rFonts w:ascii="Palatino Linotype" w:eastAsia="Palatino Linotype" w:hAnsi="Palatino Linotype" w:cs="Palatino Linotype"/>
              <w:b/>
            </w:rPr>
          </w:pPr>
          <w:r>
            <w:rPr>
              <w:rFonts w:ascii="Palatino Linotype" w:eastAsia="Palatino Linotype" w:hAnsi="Palatino Linotype" w:cs="Palatino Linotype"/>
              <w:b/>
            </w:rPr>
            <w:t>Sujeto Obligado:</w:t>
          </w:r>
        </w:p>
      </w:tc>
      <w:tc>
        <w:tcPr>
          <w:tcW w:w="4437" w:type="dxa"/>
        </w:tcPr>
        <w:p w14:paraId="43B49407" w14:textId="77777777" w:rsidR="003E4E89" w:rsidRDefault="000D4BA5">
          <w:pPr>
            <w:ind w:left="-495" w:right="-73" w:firstLine="239"/>
            <w:jc w:val="right"/>
            <w:rPr>
              <w:rFonts w:ascii="Palatino Linotype" w:eastAsia="Palatino Linotype" w:hAnsi="Palatino Linotype" w:cs="Palatino Linotype"/>
            </w:rPr>
          </w:pPr>
          <w:r>
            <w:rPr>
              <w:rFonts w:ascii="Palatino Linotype" w:eastAsia="Palatino Linotype" w:hAnsi="Palatino Linotype" w:cs="Palatino Linotype"/>
            </w:rPr>
            <w:t>Ayuntamiento de Temamatla</w:t>
          </w:r>
        </w:p>
      </w:tc>
    </w:tr>
    <w:tr w:rsidR="003E4E89" w14:paraId="054AC9BA" w14:textId="77777777">
      <w:trPr>
        <w:trHeight w:val="393"/>
      </w:trPr>
      <w:tc>
        <w:tcPr>
          <w:tcW w:w="5817" w:type="dxa"/>
        </w:tcPr>
        <w:p w14:paraId="6380D87B" w14:textId="77777777" w:rsidR="003E4E89" w:rsidRDefault="000D4BA5">
          <w:pPr>
            <w:tabs>
              <w:tab w:val="left" w:pos="4892"/>
            </w:tabs>
            <w:spacing w:after="120"/>
            <w:ind w:right="204"/>
            <w:jc w:val="right"/>
            <w:rPr>
              <w:rFonts w:ascii="Palatino Linotype" w:eastAsia="Palatino Linotype" w:hAnsi="Palatino Linotype" w:cs="Palatino Linotype"/>
              <w:b/>
            </w:rPr>
          </w:pPr>
          <w:r>
            <w:rPr>
              <w:rFonts w:ascii="Palatino Linotype" w:eastAsia="Palatino Linotype" w:hAnsi="Palatino Linotype" w:cs="Palatino Linotype"/>
              <w:b/>
            </w:rPr>
            <w:t>Comisionada Ponente:</w:t>
          </w:r>
        </w:p>
      </w:tc>
      <w:tc>
        <w:tcPr>
          <w:tcW w:w="4437" w:type="dxa"/>
        </w:tcPr>
        <w:p w14:paraId="60FDD7C0" w14:textId="77777777" w:rsidR="003E4E89" w:rsidRDefault="000D4BA5">
          <w:pPr>
            <w:spacing w:after="120"/>
            <w:ind w:left="-486" w:right="214" w:firstLine="567"/>
            <w:jc w:val="right"/>
            <w:rPr>
              <w:rFonts w:ascii="Palatino Linotype" w:eastAsia="Palatino Linotype" w:hAnsi="Palatino Linotype" w:cs="Palatino Linotype"/>
            </w:rPr>
          </w:pPr>
          <w:r>
            <w:rPr>
              <w:rFonts w:ascii="Palatino Linotype" w:eastAsia="Palatino Linotype" w:hAnsi="Palatino Linotype" w:cs="Palatino Linotype"/>
            </w:rPr>
            <w:t>Guadalupe Ramírez Peña.</w:t>
          </w:r>
        </w:p>
      </w:tc>
    </w:tr>
  </w:tbl>
  <w:p w14:paraId="2129AA68" w14:textId="77777777" w:rsidR="003E4E89" w:rsidRDefault="003E4E89">
    <w:pPr>
      <w:pBdr>
        <w:top w:val="nil"/>
        <w:left w:val="nil"/>
        <w:bottom w:val="nil"/>
        <w:right w:val="nil"/>
        <w:between w:val="nil"/>
      </w:pBdr>
      <w:tabs>
        <w:tab w:val="center" w:pos="4419"/>
        <w:tab w:val="right" w:pos="8838"/>
      </w:tabs>
      <w:spacing w:after="0" w:line="240" w:lineRule="auto"/>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8C9031" w14:textId="77777777" w:rsidR="003E4E89" w:rsidRDefault="000D4BA5">
    <w:pPr>
      <w:widowControl w:val="0"/>
      <w:pBdr>
        <w:top w:val="nil"/>
        <w:left w:val="nil"/>
        <w:bottom w:val="nil"/>
        <w:right w:val="nil"/>
        <w:between w:val="nil"/>
      </w:pBdr>
      <w:spacing w:after="0" w:line="276" w:lineRule="auto"/>
      <w:rPr>
        <w:rFonts w:ascii="Palatino Linotype" w:eastAsia="Palatino Linotype" w:hAnsi="Palatino Linotype" w:cs="Palatino Linotype"/>
        <w:i/>
        <w:color w:val="000000"/>
        <w:sz w:val="16"/>
        <w:szCs w:val="16"/>
      </w:rPr>
    </w:pPr>
    <w:r>
      <w:rPr>
        <w:noProof/>
      </w:rPr>
      <w:drawing>
        <wp:anchor distT="0" distB="0" distL="0" distR="0" simplePos="0" relativeHeight="251659264" behindDoc="1" locked="0" layoutInCell="1" hidden="0" allowOverlap="1" wp14:anchorId="05C6D9EF" wp14:editId="38A365BD">
          <wp:simplePos x="0" y="0"/>
          <wp:positionH relativeFrom="column">
            <wp:posOffset>-1193799</wp:posOffset>
          </wp:positionH>
          <wp:positionV relativeFrom="paragraph">
            <wp:posOffset>-196214</wp:posOffset>
          </wp:positionV>
          <wp:extent cx="7534275" cy="9895205"/>
          <wp:effectExtent l="0" t="0" r="0" b="0"/>
          <wp:wrapNone/>
          <wp:docPr id="158852180" name="image8.jpg"/>
          <wp:cNvGraphicFramePr/>
          <a:graphic xmlns:a="http://schemas.openxmlformats.org/drawingml/2006/main">
            <a:graphicData uri="http://schemas.openxmlformats.org/drawingml/2006/picture">
              <pic:pic xmlns:pic="http://schemas.openxmlformats.org/drawingml/2006/picture">
                <pic:nvPicPr>
                  <pic:cNvPr id="0" name="image8.jpg"/>
                  <pic:cNvPicPr preferRelativeResize="0"/>
                </pic:nvPicPr>
                <pic:blipFill>
                  <a:blip r:embed="rId1"/>
                  <a:srcRect/>
                  <a:stretch>
                    <a:fillRect/>
                  </a:stretch>
                </pic:blipFill>
                <pic:spPr>
                  <a:xfrm>
                    <a:off x="0" y="0"/>
                    <a:ext cx="7534275" cy="9895205"/>
                  </a:xfrm>
                  <a:prstGeom prst="rect">
                    <a:avLst/>
                  </a:prstGeom>
                  <a:ln/>
                </pic:spPr>
              </pic:pic>
            </a:graphicData>
          </a:graphic>
        </wp:anchor>
      </w:drawing>
    </w:r>
  </w:p>
  <w:tbl>
    <w:tblPr>
      <w:tblStyle w:val="a5"/>
      <w:tblW w:w="10113" w:type="dxa"/>
      <w:tblInd w:w="-1281" w:type="dxa"/>
      <w:tblLayout w:type="fixed"/>
      <w:tblLook w:val="0400" w:firstRow="0" w:lastRow="0" w:firstColumn="0" w:lastColumn="0" w:noHBand="0" w:noVBand="1"/>
    </w:tblPr>
    <w:tblGrid>
      <w:gridCol w:w="5676"/>
      <w:gridCol w:w="4437"/>
    </w:tblGrid>
    <w:tr w:rsidR="003E4E89" w14:paraId="70D7DA54" w14:textId="77777777">
      <w:trPr>
        <w:trHeight w:val="260"/>
      </w:trPr>
      <w:tc>
        <w:tcPr>
          <w:tcW w:w="5676" w:type="dxa"/>
        </w:tcPr>
        <w:p w14:paraId="0D848756" w14:textId="77777777" w:rsidR="003E4E89" w:rsidRDefault="000D4BA5">
          <w:pPr>
            <w:spacing w:after="120"/>
            <w:ind w:right="-115"/>
            <w:jc w:val="right"/>
            <w:rPr>
              <w:rFonts w:ascii="Palatino Linotype" w:eastAsia="Palatino Linotype" w:hAnsi="Palatino Linotype" w:cs="Palatino Linotype"/>
              <w:b/>
            </w:rPr>
          </w:pPr>
          <w:r>
            <w:rPr>
              <w:rFonts w:ascii="Palatino Linotype" w:eastAsia="Palatino Linotype" w:hAnsi="Palatino Linotype" w:cs="Palatino Linotype"/>
              <w:b/>
            </w:rPr>
            <w:t xml:space="preserve">Recurso de Revisión </w:t>
          </w:r>
          <w:proofErr w:type="spellStart"/>
          <w:r>
            <w:rPr>
              <w:rFonts w:ascii="Palatino Linotype" w:eastAsia="Palatino Linotype" w:hAnsi="Palatino Linotype" w:cs="Palatino Linotype"/>
              <w:b/>
            </w:rPr>
            <w:t>N°</w:t>
          </w:r>
          <w:proofErr w:type="spellEnd"/>
          <w:r>
            <w:rPr>
              <w:rFonts w:ascii="Palatino Linotype" w:eastAsia="Palatino Linotype" w:hAnsi="Palatino Linotype" w:cs="Palatino Linotype"/>
              <w:b/>
            </w:rPr>
            <w:t>:</w:t>
          </w:r>
        </w:p>
      </w:tc>
      <w:tc>
        <w:tcPr>
          <w:tcW w:w="4437" w:type="dxa"/>
        </w:tcPr>
        <w:p w14:paraId="3048B86C" w14:textId="77777777" w:rsidR="003E4E89" w:rsidRDefault="000D4BA5">
          <w:pPr>
            <w:spacing w:after="120"/>
            <w:ind w:left="-486" w:right="214" w:firstLine="1408"/>
            <w:jc w:val="right"/>
            <w:rPr>
              <w:rFonts w:ascii="Palatino Linotype" w:eastAsia="Palatino Linotype" w:hAnsi="Palatino Linotype" w:cs="Palatino Linotype"/>
            </w:rPr>
          </w:pPr>
          <w:r>
            <w:rPr>
              <w:rFonts w:ascii="Palatino Linotype" w:eastAsia="Palatino Linotype" w:hAnsi="Palatino Linotype" w:cs="Palatino Linotype"/>
            </w:rPr>
            <w:t>06899/INFOEM/IP/RR/2024</w:t>
          </w:r>
        </w:p>
      </w:tc>
    </w:tr>
    <w:tr w:rsidR="003E4E89" w14:paraId="701046B8" w14:textId="77777777">
      <w:trPr>
        <w:trHeight w:val="224"/>
      </w:trPr>
      <w:tc>
        <w:tcPr>
          <w:tcW w:w="5676" w:type="dxa"/>
        </w:tcPr>
        <w:p w14:paraId="23DFB337" w14:textId="77777777" w:rsidR="003E4E89" w:rsidRDefault="000D4BA5">
          <w:pPr>
            <w:spacing w:after="120"/>
            <w:ind w:right="-115"/>
            <w:jc w:val="right"/>
            <w:rPr>
              <w:rFonts w:ascii="Palatino Linotype" w:eastAsia="Palatino Linotype" w:hAnsi="Palatino Linotype" w:cs="Palatino Linotype"/>
              <w:b/>
            </w:rPr>
          </w:pPr>
          <w:r>
            <w:rPr>
              <w:rFonts w:ascii="Palatino Linotype" w:eastAsia="Palatino Linotype" w:hAnsi="Palatino Linotype" w:cs="Palatino Linotype"/>
              <w:b/>
            </w:rPr>
            <w:t>Recurrente:</w:t>
          </w:r>
        </w:p>
      </w:tc>
      <w:tc>
        <w:tcPr>
          <w:tcW w:w="4437" w:type="dxa"/>
        </w:tcPr>
        <w:p w14:paraId="57EB11A2" w14:textId="77777777" w:rsidR="003E4E89" w:rsidRDefault="003E4E89">
          <w:pPr>
            <w:pBdr>
              <w:top w:val="nil"/>
              <w:left w:val="nil"/>
              <w:bottom w:val="nil"/>
              <w:right w:val="nil"/>
              <w:between w:val="nil"/>
            </w:pBdr>
            <w:spacing w:after="120"/>
            <w:ind w:left="801" w:right="214"/>
            <w:jc w:val="right"/>
            <w:rPr>
              <w:rFonts w:ascii="Palatino Linotype" w:eastAsia="Palatino Linotype" w:hAnsi="Palatino Linotype" w:cs="Palatino Linotype"/>
              <w:color w:val="000000"/>
            </w:rPr>
          </w:pPr>
        </w:p>
      </w:tc>
    </w:tr>
    <w:tr w:rsidR="003E4E89" w14:paraId="655DC512" w14:textId="77777777">
      <w:trPr>
        <w:trHeight w:val="278"/>
      </w:trPr>
      <w:tc>
        <w:tcPr>
          <w:tcW w:w="5676" w:type="dxa"/>
        </w:tcPr>
        <w:p w14:paraId="3B75FD00" w14:textId="77777777" w:rsidR="003E4E89" w:rsidRDefault="000D4BA5">
          <w:pPr>
            <w:ind w:right="-115"/>
            <w:jc w:val="right"/>
            <w:rPr>
              <w:rFonts w:ascii="Palatino Linotype" w:eastAsia="Palatino Linotype" w:hAnsi="Palatino Linotype" w:cs="Palatino Linotype"/>
              <w:b/>
            </w:rPr>
          </w:pPr>
          <w:r>
            <w:rPr>
              <w:rFonts w:ascii="Palatino Linotype" w:eastAsia="Palatino Linotype" w:hAnsi="Palatino Linotype" w:cs="Palatino Linotype"/>
              <w:b/>
            </w:rPr>
            <w:t>Sujeto Obligado:</w:t>
          </w:r>
        </w:p>
      </w:tc>
      <w:tc>
        <w:tcPr>
          <w:tcW w:w="4437" w:type="dxa"/>
        </w:tcPr>
        <w:p w14:paraId="3877C217" w14:textId="77777777" w:rsidR="003E4E89" w:rsidRDefault="000D4BA5">
          <w:pPr>
            <w:tabs>
              <w:tab w:val="left" w:pos="27"/>
            </w:tabs>
            <w:ind w:left="-541" w:right="-73" w:hanging="45"/>
            <w:jc w:val="right"/>
            <w:rPr>
              <w:rFonts w:ascii="Palatino Linotype" w:eastAsia="Palatino Linotype" w:hAnsi="Palatino Linotype" w:cs="Palatino Linotype"/>
            </w:rPr>
          </w:pPr>
          <w:r>
            <w:rPr>
              <w:rFonts w:ascii="Palatino Linotype" w:eastAsia="Palatino Linotype" w:hAnsi="Palatino Linotype" w:cs="Palatino Linotype"/>
            </w:rPr>
            <w:t>Ayuntamiento de Temamatla</w:t>
          </w:r>
        </w:p>
      </w:tc>
    </w:tr>
    <w:tr w:rsidR="003E4E89" w14:paraId="1596778A" w14:textId="77777777">
      <w:trPr>
        <w:trHeight w:val="393"/>
      </w:trPr>
      <w:tc>
        <w:tcPr>
          <w:tcW w:w="5676" w:type="dxa"/>
        </w:tcPr>
        <w:p w14:paraId="595E1FC6" w14:textId="77777777" w:rsidR="003E4E89" w:rsidRDefault="000D4BA5">
          <w:pPr>
            <w:tabs>
              <w:tab w:val="left" w:pos="4892"/>
            </w:tabs>
            <w:spacing w:after="120"/>
            <w:ind w:right="-115"/>
            <w:jc w:val="right"/>
            <w:rPr>
              <w:rFonts w:ascii="Palatino Linotype" w:eastAsia="Palatino Linotype" w:hAnsi="Palatino Linotype" w:cs="Palatino Linotype"/>
              <w:b/>
            </w:rPr>
          </w:pPr>
          <w:r>
            <w:rPr>
              <w:rFonts w:ascii="Palatino Linotype" w:eastAsia="Palatino Linotype" w:hAnsi="Palatino Linotype" w:cs="Palatino Linotype"/>
              <w:b/>
            </w:rPr>
            <w:t>Comisionada Ponente:</w:t>
          </w:r>
        </w:p>
      </w:tc>
      <w:tc>
        <w:tcPr>
          <w:tcW w:w="4437" w:type="dxa"/>
        </w:tcPr>
        <w:p w14:paraId="0AF5DFC6" w14:textId="77777777" w:rsidR="003E4E89" w:rsidRDefault="000D4BA5">
          <w:pPr>
            <w:spacing w:after="120"/>
            <w:ind w:left="-486" w:right="214" w:firstLine="567"/>
            <w:jc w:val="right"/>
            <w:rPr>
              <w:rFonts w:ascii="Palatino Linotype" w:eastAsia="Palatino Linotype" w:hAnsi="Palatino Linotype" w:cs="Palatino Linotype"/>
            </w:rPr>
          </w:pPr>
          <w:r>
            <w:rPr>
              <w:rFonts w:ascii="Palatino Linotype" w:eastAsia="Palatino Linotype" w:hAnsi="Palatino Linotype" w:cs="Palatino Linotype"/>
            </w:rPr>
            <w:t>Guadalupe Ramírez Peña.</w:t>
          </w:r>
        </w:p>
      </w:tc>
    </w:tr>
  </w:tbl>
  <w:p w14:paraId="48749CFC" w14:textId="77777777" w:rsidR="003E4E89" w:rsidRDefault="003E4E89">
    <w:pPr>
      <w:pBdr>
        <w:top w:val="nil"/>
        <w:left w:val="nil"/>
        <w:bottom w:val="nil"/>
        <w:right w:val="nil"/>
        <w:between w:val="nil"/>
      </w:pBdr>
      <w:tabs>
        <w:tab w:val="center" w:pos="4419"/>
        <w:tab w:val="right" w:pos="8838"/>
      </w:tabs>
      <w:spacing w:after="0" w:line="240" w:lineRule="auto"/>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a4"/>
      <w:tblW w:w="10254" w:type="dxa"/>
      <w:tblInd w:w="-1281" w:type="dxa"/>
      <w:tblLayout w:type="fixed"/>
      <w:tblLook w:val="0400" w:firstRow="0" w:lastRow="0" w:firstColumn="0" w:lastColumn="0" w:noHBand="0" w:noVBand="1"/>
    </w:tblPr>
    <w:tblGrid>
      <w:gridCol w:w="5817"/>
      <w:gridCol w:w="4437"/>
    </w:tblGrid>
    <w:tr w:rsidR="00964919" w14:paraId="09238AD2" w14:textId="77777777" w:rsidTr="00EA6028">
      <w:trPr>
        <w:trHeight w:val="260"/>
      </w:trPr>
      <w:tc>
        <w:tcPr>
          <w:tcW w:w="5817" w:type="dxa"/>
        </w:tcPr>
        <w:p w14:paraId="0C5ACFF6" w14:textId="77777777" w:rsidR="00964919" w:rsidRDefault="00964919" w:rsidP="00964919">
          <w:pPr>
            <w:spacing w:after="120"/>
            <w:ind w:right="204"/>
            <w:jc w:val="right"/>
            <w:rPr>
              <w:rFonts w:ascii="Palatino Linotype" w:eastAsia="Palatino Linotype" w:hAnsi="Palatino Linotype" w:cs="Palatino Linotype"/>
              <w:b/>
            </w:rPr>
          </w:pPr>
          <w:r>
            <w:rPr>
              <w:rFonts w:ascii="Palatino Linotype" w:eastAsia="Palatino Linotype" w:hAnsi="Palatino Linotype" w:cs="Palatino Linotype"/>
              <w:b/>
            </w:rPr>
            <w:t xml:space="preserve">Recurso de Revisión </w:t>
          </w:r>
          <w:proofErr w:type="spellStart"/>
          <w:r>
            <w:rPr>
              <w:rFonts w:ascii="Palatino Linotype" w:eastAsia="Palatino Linotype" w:hAnsi="Palatino Linotype" w:cs="Palatino Linotype"/>
              <w:b/>
            </w:rPr>
            <w:t>N°</w:t>
          </w:r>
          <w:proofErr w:type="spellEnd"/>
          <w:r>
            <w:rPr>
              <w:rFonts w:ascii="Palatino Linotype" w:eastAsia="Palatino Linotype" w:hAnsi="Palatino Linotype" w:cs="Palatino Linotype"/>
              <w:b/>
            </w:rPr>
            <w:t>:</w:t>
          </w:r>
        </w:p>
      </w:tc>
      <w:tc>
        <w:tcPr>
          <w:tcW w:w="4437" w:type="dxa"/>
        </w:tcPr>
        <w:p w14:paraId="12E8D441" w14:textId="77777777" w:rsidR="00964919" w:rsidRDefault="00964919" w:rsidP="00964919">
          <w:pPr>
            <w:spacing w:after="120"/>
            <w:ind w:left="-486" w:right="214" w:firstLine="1408"/>
            <w:jc w:val="right"/>
            <w:rPr>
              <w:rFonts w:ascii="Palatino Linotype" w:eastAsia="Palatino Linotype" w:hAnsi="Palatino Linotype" w:cs="Palatino Linotype"/>
            </w:rPr>
          </w:pPr>
          <w:r>
            <w:rPr>
              <w:rFonts w:ascii="Palatino Linotype" w:eastAsia="Palatino Linotype" w:hAnsi="Palatino Linotype" w:cs="Palatino Linotype"/>
            </w:rPr>
            <w:t>06899/INFOEM/IP/RR/2024</w:t>
          </w:r>
        </w:p>
      </w:tc>
    </w:tr>
    <w:tr w:rsidR="00964919" w14:paraId="09C057DB" w14:textId="77777777" w:rsidTr="00EA6028">
      <w:trPr>
        <w:trHeight w:val="278"/>
      </w:trPr>
      <w:tc>
        <w:tcPr>
          <w:tcW w:w="5817" w:type="dxa"/>
        </w:tcPr>
        <w:p w14:paraId="33915F86" w14:textId="77777777" w:rsidR="00964919" w:rsidRDefault="00964919" w:rsidP="00964919">
          <w:pPr>
            <w:ind w:right="204"/>
            <w:jc w:val="right"/>
            <w:rPr>
              <w:rFonts w:ascii="Palatino Linotype" w:eastAsia="Palatino Linotype" w:hAnsi="Palatino Linotype" w:cs="Palatino Linotype"/>
              <w:b/>
            </w:rPr>
          </w:pPr>
          <w:r>
            <w:rPr>
              <w:rFonts w:ascii="Palatino Linotype" w:eastAsia="Palatino Linotype" w:hAnsi="Palatino Linotype" w:cs="Palatino Linotype"/>
              <w:b/>
            </w:rPr>
            <w:t>Sujeto Obligado:</w:t>
          </w:r>
        </w:p>
      </w:tc>
      <w:tc>
        <w:tcPr>
          <w:tcW w:w="4437" w:type="dxa"/>
        </w:tcPr>
        <w:p w14:paraId="6B0A6B39" w14:textId="77777777" w:rsidR="00964919" w:rsidRDefault="00964919" w:rsidP="00964919">
          <w:pPr>
            <w:ind w:left="-495" w:right="-73" w:firstLine="239"/>
            <w:jc w:val="right"/>
            <w:rPr>
              <w:rFonts w:ascii="Palatino Linotype" w:eastAsia="Palatino Linotype" w:hAnsi="Palatino Linotype" w:cs="Palatino Linotype"/>
            </w:rPr>
          </w:pPr>
          <w:r>
            <w:rPr>
              <w:rFonts w:ascii="Palatino Linotype" w:eastAsia="Palatino Linotype" w:hAnsi="Palatino Linotype" w:cs="Palatino Linotype"/>
            </w:rPr>
            <w:t>Ayuntamiento de Temamatla</w:t>
          </w:r>
        </w:p>
      </w:tc>
    </w:tr>
    <w:tr w:rsidR="00964919" w14:paraId="526DA811" w14:textId="77777777" w:rsidTr="00EA6028">
      <w:trPr>
        <w:trHeight w:val="393"/>
      </w:trPr>
      <w:tc>
        <w:tcPr>
          <w:tcW w:w="5817" w:type="dxa"/>
        </w:tcPr>
        <w:p w14:paraId="32F720A3" w14:textId="77777777" w:rsidR="00964919" w:rsidRDefault="00964919" w:rsidP="00964919">
          <w:pPr>
            <w:tabs>
              <w:tab w:val="left" w:pos="4892"/>
            </w:tabs>
            <w:spacing w:after="120"/>
            <w:ind w:right="204"/>
            <w:jc w:val="right"/>
            <w:rPr>
              <w:rFonts w:ascii="Palatino Linotype" w:eastAsia="Palatino Linotype" w:hAnsi="Palatino Linotype" w:cs="Palatino Linotype"/>
              <w:b/>
            </w:rPr>
          </w:pPr>
          <w:r>
            <w:rPr>
              <w:rFonts w:ascii="Palatino Linotype" w:eastAsia="Palatino Linotype" w:hAnsi="Palatino Linotype" w:cs="Palatino Linotype"/>
              <w:b/>
            </w:rPr>
            <w:t>Comisionada Ponente:</w:t>
          </w:r>
        </w:p>
      </w:tc>
      <w:tc>
        <w:tcPr>
          <w:tcW w:w="4437" w:type="dxa"/>
        </w:tcPr>
        <w:p w14:paraId="4DABC9E8" w14:textId="77777777" w:rsidR="00964919" w:rsidRDefault="00964919" w:rsidP="00964919">
          <w:pPr>
            <w:spacing w:after="120"/>
            <w:ind w:left="-486" w:right="214" w:firstLine="567"/>
            <w:jc w:val="right"/>
            <w:rPr>
              <w:rFonts w:ascii="Palatino Linotype" w:eastAsia="Palatino Linotype" w:hAnsi="Palatino Linotype" w:cs="Palatino Linotype"/>
            </w:rPr>
          </w:pPr>
          <w:r>
            <w:rPr>
              <w:rFonts w:ascii="Palatino Linotype" w:eastAsia="Palatino Linotype" w:hAnsi="Palatino Linotype" w:cs="Palatino Linotype"/>
            </w:rPr>
            <w:t>Guadalupe Ramírez Peña.</w:t>
          </w:r>
        </w:p>
      </w:tc>
    </w:tr>
  </w:tbl>
  <w:p w14:paraId="53D56566" w14:textId="77777777" w:rsidR="003E4E89" w:rsidRDefault="00964919">
    <w:pPr>
      <w:pBdr>
        <w:top w:val="nil"/>
        <w:left w:val="nil"/>
        <w:bottom w:val="nil"/>
        <w:right w:val="nil"/>
        <w:between w:val="nil"/>
      </w:pBdr>
      <w:tabs>
        <w:tab w:val="center" w:pos="4419"/>
        <w:tab w:val="right" w:pos="8838"/>
      </w:tabs>
      <w:spacing w:after="0" w:line="240" w:lineRule="auto"/>
      <w:rPr>
        <w:color w:val="000000"/>
      </w:rPr>
    </w:pPr>
    <w:r>
      <w:rPr>
        <w:noProof/>
      </w:rPr>
      <w:drawing>
        <wp:anchor distT="0" distB="0" distL="0" distR="0" simplePos="0" relativeHeight="251661312" behindDoc="1" locked="0" layoutInCell="1" hidden="0" allowOverlap="1" wp14:anchorId="6F82DB2C" wp14:editId="0A1F2D2F">
          <wp:simplePos x="0" y="0"/>
          <wp:positionH relativeFrom="page">
            <wp:posOffset>66675</wp:posOffset>
          </wp:positionH>
          <wp:positionV relativeFrom="paragraph">
            <wp:posOffset>-1267460</wp:posOffset>
          </wp:positionV>
          <wp:extent cx="7534275" cy="9895205"/>
          <wp:effectExtent l="0" t="0" r="9525" b="0"/>
          <wp:wrapNone/>
          <wp:docPr id="1" name="image8.jpg"/>
          <wp:cNvGraphicFramePr/>
          <a:graphic xmlns:a="http://schemas.openxmlformats.org/drawingml/2006/main">
            <a:graphicData uri="http://schemas.openxmlformats.org/drawingml/2006/picture">
              <pic:pic xmlns:pic="http://schemas.openxmlformats.org/drawingml/2006/picture">
                <pic:nvPicPr>
                  <pic:cNvPr id="0" name="image8.jpg"/>
                  <pic:cNvPicPr preferRelativeResize="0"/>
                </pic:nvPicPr>
                <pic:blipFill>
                  <a:blip r:embed="rId1"/>
                  <a:srcRect/>
                  <a:stretch>
                    <a:fillRect/>
                  </a:stretch>
                </pic:blipFill>
                <pic:spPr>
                  <a:xfrm>
                    <a:off x="0" y="0"/>
                    <a:ext cx="7534275" cy="9895205"/>
                  </a:xfrm>
                  <a:prstGeom prst="rect">
                    <a:avLst/>
                  </a:prstGeom>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E5414F"/>
    <w:multiLevelType w:val="multilevel"/>
    <w:tmpl w:val="4B00BDA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10A71615"/>
    <w:multiLevelType w:val="multilevel"/>
    <w:tmpl w:val="B51C97FE"/>
    <w:lvl w:ilvl="0">
      <w:start w:val="1"/>
      <w:numFmt w:val="bullet"/>
      <w:lvlText w:val="⮚"/>
      <w:lvlJc w:val="left"/>
      <w:pPr>
        <w:ind w:left="2291" w:hanging="360"/>
      </w:pPr>
      <w:rPr>
        <w:rFonts w:ascii="Noto Sans Symbols" w:eastAsia="Noto Sans Symbols" w:hAnsi="Noto Sans Symbols" w:cs="Noto Sans Symbols"/>
      </w:rPr>
    </w:lvl>
    <w:lvl w:ilvl="1">
      <w:start w:val="1"/>
      <w:numFmt w:val="bullet"/>
      <w:lvlText w:val="o"/>
      <w:lvlJc w:val="left"/>
      <w:pPr>
        <w:ind w:left="3011" w:hanging="360"/>
      </w:pPr>
      <w:rPr>
        <w:rFonts w:ascii="Courier New" w:eastAsia="Courier New" w:hAnsi="Courier New" w:cs="Courier New"/>
      </w:rPr>
    </w:lvl>
    <w:lvl w:ilvl="2">
      <w:start w:val="1"/>
      <w:numFmt w:val="bullet"/>
      <w:lvlText w:val="▪"/>
      <w:lvlJc w:val="left"/>
      <w:pPr>
        <w:ind w:left="3731" w:hanging="360"/>
      </w:pPr>
      <w:rPr>
        <w:rFonts w:ascii="Noto Sans Symbols" w:eastAsia="Noto Sans Symbols" w:hAnsi="Noto Sans Symbols" w:cs="Noto Sans Symbols"/>
      </w:rPr>
    </w:lvl>
    <w:lvl w:ilvl="3">
      <w:start w:val="1"/>
      <w:numFmt w:val="bullet"/>
      <w:lvlText w:val="●"/>
      <w:lvlJc w:val="left"/>
      <w:pPr>
        <w:ind w:left="4451" w:hanging="360"/>
      </w:pPr>
      <w:rPr>
        <w:rFonts w:ascii="Noto Sans Symbols" w:eastAsia="Noto Sans Symbols" w:hAnsi="Noto Sans Symbols" w:cs="Noto Sans Symbols"/>
      </w:rPr>
    </w:lvl>
    <w:lvl w:ilvl="4">
      <w:start w:val="1"/>
      <w:numFmt w:val="bullet"/>
      <w:lvlText w:val="o"/>
      <w:lvlJc w:val="left"/>
      <w:pPr>
        <w:ind w:left="5171" w:hanging="360"/>
      </w:pPr>
      <w:rPr>
        <w:rFonts w:ascii="Courier New" w:eastAsia="Courier New" w:hAnsi="Courier New" w:cs="Courier New"/>
      </w:rPr>
    </w:lvl>
    <w:lvl w:ilvl="5">
      <w:start w:val="1"/>
      <w:numFmt w:val="bullet"/>
      <w:lvlText w:val="▪"/>
      <w:lvlJc w:val="left"/>
      <w:pPr>
        <w:ind w:left="5891" w:hanging="360"/>
      </w:pPr>
      <w:rPr>
        <w:rFonts w:ascii="Noto Sans Symbols" w:eastAsia="Noto Sans Symbols" w:hAnsi="Noto Sans Symbols" w:cs="Noto Sans Symbols"/>
      </w:rPr>
    </w:lvl>
    <w:lvl w:ilvl="6">
      <w:start w:val="1"/>
      <w:numFmt w:val="bullet"/>
      <w:lvlText w:val="●"/>
      <w:lvlJc w:val="left"/>
      <w:pPr>
        <w:ind w:left="6611" w:hanging="360"/>
      </w:pPr>
      <w:rPr>
        <w:rFonts w:ascii="Noto Sans Symbols" w:eastAsia="Noto Sans Symbols" w:hAnsi="Noto Sans Symbols" w:cs="Noto Sans Symbols"/>
      </w:rPr>
    </w:lvl>
    <w:lvl w:ilvl="7">
      <w:start w:val="1"/>
      <w:numFmt w:val="bullet"/>
      <w:lvlText w:val="o"/>
      <w:lvlJc w:val="left"/>
      <w:pPr>
        <w:ind w:left="7331" w:hanging="360"/>
      </w:pPr>
      <w:rPr>
        <w:rFonts w:ascii="Courier New" w:eastAsia="Courier New" w:hAnsi="Courier New" w:cs="Courier New"/>
      </w:rPr>
    </w:lvl>
    <w:lvl w:ilvl="8">
      <w:start w:val="1"/>
      <w:numFmt w:val="bullet"/>
      <w:lvlText w:val="▪"/>
      <w:lvlJc w:val="left"/>
      <w:pPr>
        <w:ind w:left="8051" w:hanging="360"/>
      </w:pPr>
      <w:rPr>
        <w:rFonts w:ascii="Noto Sans Symbols" w:eastAsia="Noto Sans Symbols" w:hAnsi="Noto Sans Symbols" w:cs="Noto Sans Symbols"/>
      </w:rPr>
    </w:lvl>
  </w:abstractNum>
  <w:abstractNum w:abstractNumId="2" w15:restartNumberingAfterBreak="0">
    <w:nsid w:val="2C056ACF"/>
    <w:multiLevelType w:val="multilevel"/>
    <w:tmpl w:val="ADE6FC76"/>
    <w:lvl w:ilvl="0">
      <w:start w:val="1"/>
      <w:numFmt w:val="decimal"/>
      <w:lvlText w:val="%1."/>
      <w:lvlJc w:val="left"/>
      <w:pPr>
        <w:ind w:left="72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2D4C6CFC"/>
    <w:multiLevelType w:val="multilevel"/>
    <w:tmpl w:val="7B26E9D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33F50CA9"/>
    <w:multiLevelType w:val="multilevel"/>
    <w:tmpl w:val="BD7E3022"/>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5" w15:restartNumberingAfterBreak="0">
    <w:nsid w:val="4A223489"/>
    <w:multiLevelType w:val="multilevel"/>
    <w:tmpl w:val="613EDE30"/>
    <w:lvl w:ilvl="0">
      <w:start w:val="1"/>
      <w:numFmt w:val="lowerLetter"/>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79225EE6"/>
    <w:multiLevelType w:val="multilevel"/>
    <w:tmpl w:val="E932AA1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7A1A1068"/>
    <w:multiLevelType w:val="multilevel"/>
    <w:tmpl w:val="1CF09896"/>
    <w:lvl w:ilvl="0">
      <w:start w:val="1"/>
      <w:numFmt w:val="bullet"/>
      <w:lvlText w:val="●"/>
      <w:lvlJc w:val="left"/>
      <w:pPr>
        <w:ind w:left="1571" w:hanging="360"/>
      </w:pPr>
      <w:rPr>
        <w:rFonts w:ascii="Noto Sans Symbols" w:eastAsia="Noto Sans Symbols" w:hAnsi="Noto Sans Symbols" w:cs="Noto Sans Symbols"/>
      </w:rPr>
    </w:lvl>
    <w:lvl w:ilvl="1">
      <w:start w:val="1"/>
      <w:numFmt w:val="bullet"/>
      <w:lvlText w:val="o"/>
      <w:lvlJc w:val="left"/>
      <w:pPr>
        <w:ind w:left="2291" w:hanging="360"/>
      </w:pPr>
      <w:rPr>
        <w:rFonts w:ascii="Courier New" w:eastAsia="Courier New" w:hAnsi="Courier New" w:cs="Courier New"/>
      </w:rPr>
    </w:lvl>
    <w:lvl w:ilvl="2">
      <w:start w:val="1"/>
      <w:numFmt w:val="bullet"/>
      <w:lvlText w:val="▪"/>
      <w:lvlJc w:val="left"/>
      <w:pPr>
        <w:ind w:left="3011" w:hanging="360"/>
      </w:pPr>
      <w:rPr>
        <w:rFonts w:ascii="Noto Sans Symbols" w:eastAsia="Noto Sans Symbols" w:hAnsi="Noto Sans Symbols" w:cs="Noto Sans Symbols"/>
      </w:rPr>
    </w:lvl>
    <w:lvl w:ilvl="3">
      <w:start w:val="1"/>
      <w:numFmt w:val="bullet"/>
      <w:lvlText w:val="●"/>
      <w:lvlJc w:val="left"/>
      <w:pPr>
        <w:ind w:left="3731" w:hanging="360"/>
      </w:pPr>
      <w:rPr>
        <w:rFonts w:ascii="Noto Sans Symbols" w:eastAsia="Noto Sans Symbols" w:hAnsi="Noto Sans Symbols" w:cs="Noto Sans Symbols"/>
      </w:rPr>
    </w:lvl>
    <w:lvl w:ilvl="4">
      <w:start w:val="1"/>
      <w:numFmt w:val="bullet"/>
      <w:lvlText w:val="o"/>
      <w:lvlJc w:val="left"/>
      <w:pPr>
        <w:ind w:left="4451" w:hanging="360"/>
      </w:pPr>
      <w:rPr>
        <w:rFonts w:ascii="Courier New" w:eastAsia="Courier New" w:hAnsi="Courier New" w:cs="Courier New"/>
      </w:rPr>
    </w:lvl>
    <w:lvl w:ilvl="5">
      <w:start w:val="1"/>
      <w:numFmt w:val="bullet"/>
      <w:lvlText w:val="▪"/>
      <w:lvlJc w:val="left"/>
      <w:pPr>
        <w:ind w:left="5171" w:hanging="360"/>
      </w:pPr>
      <w:rPr>
        <w:rFonts w:ascii="Noto Sans Symbols" w:eastAsia="Noto Sans Symbols" w:hAnsi="Noto Sans Symbols" w:cs="Noto Sans Symbols"/>
      </w:rPr>
    </w:lvl>
    <w:lvl w:ilvl="6">
      <w:start w:val="1"/>
      <w:numFmt w:val="bullet"/>
      <w:lvlText w:val="●"/>
      <w:lvlJc w:val="left"/>
      <w:pPr>
        <w:ind w:left="5891" w:hanging="360"/>
      </w:pPr>
      <w:rPr>
        <w:rFonts w:ascii="Noto Sans Symbols" w:eastAsia="Noto Sans Symbols" w:hAnsi="Noto Sans Symbols" w:cs="Noto Sans Symbols"/>
      </w:rPr>
    </w:lvl>
    <w:lvl w:ilvl="7">
      <w:start w:val="1"/>
      <w:numFmt w:val="bullet"/>
      <w:lvlText w:val="o"/>
      <w:lvlJc w:val="left"/>
      <w:pPr>
        <w:ind w:left="6611" w:hanging="360"/>
      </w:pPr>
      <w:rPr>
        <w:rFonts w:ascii="Courier New" w:eastAsia="Courier New" w:hAnsi="Courier New" w:cs="Courier New"/>
      </w:rPr>
    </w:lvl>
    <w:lvl w:ilvl="8">
      <w:start w:val="1"/>
      <w:numFmt w:val="bullet"/>
      <w:lvlText w:val="▪"/>
      <w:lvlJc w:val="left"/>
      <w:pPr>
        <w:ind w:left="7331" w:hanging="360"/>
      </w:pPr>
      <w:rPr>
        <w:rFonts w:ascii="Noto Sans Symbols" w:eastAsia="Noto Sans Symbols" w:hAnsi="Noto Sans Symbols" w:cs="Noto Sans Symbols"/>
      </w:rPr>
    </w:lvl>
  </w:abstractNum>
  <w:num w:numId="1">
    <w:abstractNumId w:val="5"/>
  </w:num>
  <w:num w:numId="2">
    <w:abstractNumId w:val="3"/>
  </w:num>
  <w:num w:numId="3">
    <w:abstractNumId w:val="2"/>
  </w:num>
  <w:num w:numId="4">
    <w:abstractNumId w:val="6"/>
  </w:num>
  <w:num w:numId="5">
    <w:abstractNumId w:val="7"/>
  </w:num>
  <w:num w:numId="6">
    <w:abstractNumId w:val="1"/>
  </w:num>
  <w:num w:numId="7">
    <w:abstractNumId w:val="4"/>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E4E89"/>
    <w:rsid w:val="000D4BA5"/>
    <w:rsid w:val="00344E70"/>
    <w:rsid w:val="003E4E89"/>
    <w:rsid w:val="007004CA"/>
    <w:rsid w:val="00964919"/>
    <w:rsid w:val="00A03595"/>
    <w:rsid w:val="00AF720D"/>
    <w:rsid w:val="00DC454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271E24"/>
  <w15:docId w15:val="{20CD985F-FB42-4D8C-A791-D7F9CCAF58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s-MX" w:eastAsia="es-MX"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13FB6"/>
  </w:style>
  <w:style w:type="paragraph" w:styleId="Ttulo1">
    <w:name w:val="heading 1"/>
    <w:basedOn w:val="Normal"/>
    <w:next w:val="Normal"/>
    <w:pPr>
      <w:keepNext/>
      <w:keepLines/>
      <w:spacing w:before="480" w:after="120"/>
      <w:outlineLvl w:val="0"/>
    </w:pPr>
    <w:rPr>
      <w:b/>
      <w:sz w:val="48"/>
      <w:szCs w:val="48"/>
    </w:rPr>
  </w:style>
  <w:style w:type="paragraph" w:styleId="Ttulo2">
    <w:name w:val="heading 2"/>
    <w:basedOn w:val="Normal"/>
    <w:next w:val="Normal"/>
    <w:pPr>
      <w:keepNext/>
      <w:keepLines/>
      <w:spacing w:before="360" w:after="80"/>
      <w:outlineLvl w:val="1"/>
    </w:pPr>
    <w:rPr>
      <w:b/>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sz w:val="24"/>
      <w:szCs w:val="24"/>
    </w:rPr>
  </w:style>
  <w:style w:type="paragraph" w:styleId="Ttulo5">
    <w:name w:val="heading 5"/>
    <w:basedOn w:val="Normal"/>
    <w:next w:val="Normal"/>
    <w:pPr>
      <w:keepNext/>
      <w:keepLines/>
      <w:spacing w:before="220" w:after="40"/>
      <w:outlineLvl w:val="4"/>
    </w:pPr>
    <w:rPr>
      <w:b/>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aliases w:val="Cita textual"/>
    <w:basedOn w:val="Normal"/>
    <w:next w:val="Normal"/>
    <w:link w:val="TtuloCar"/>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paragraph" w:styleId="Encabezado">
    <w:name w:val="header"/>
    <w:basedOn w:val="Normal"/>
    <w:link w:val="EncabezadoCar"/>
    <w:uiPriority w:val="99"/>
    <w:unhideWhenUsed/>
    <w:rsid w:val="00D13FB6"/>
    <w:pPr>
      <w:tabs>
        <w:tab w:val="center" w:pos="4419"/>
        <w:tab w:val="right" w:pos="8838"/>
      </w:tabs>
      <w:spacing w:after="0" w:line="240" w:lineRule="auto"/>
    </w:pPr>
    <w:rPr>
      <w:rFonts w:asciiTheme="minorHAnsi" w:eastAsiaTheme="minorHAnsi" w:hAnsiTheme="minorHAnsi" w:cstheme="minorBidi"/>
      <w:lang w:eastAsia="en-US"/>
    </w:rPr>
  </w:style>
  <w:style w:type="character" w:customStyle="1" w:styleId="EncabezadoCar">
    <w:name w:val="Encabezado Car"/>
    <w:basedOn w:val="Fuentedeprrafopredeter"/>
    <w:link w:val="Encabezado"/>
    <w:uiPriority w:val="99"/>
    <w:rsid w:val="00D13FB6"/>
  </w:style>
  <w:style w:type="paragraph" w:styleId="Piedepgina">
    <w:name w:val="footer"/>
    <w:basedOn w:val="Normal"/>
    <w:link w:val="PiedepginaCar"/>
    <w:uiPriority w:val="99"/>
    <w:unhideWhenUsed/>
    <w:rsid w:val="00D13FB6"/>
    <w:pPr>
      <w:tabs>
        <w:tab w:val="center" w:pos="4419"/>
        <w:tab w:val="right" w:pos="8838"/>
      </w:tabs>
      <w:spacing w:after="0" w:line="240" w:lineRule="auto"/>
    </w:pPr>
    <w:rPr>
      <w:rFonts w:asciiTheme="minorHAnsi" w:eastAsiaTheme="minorHAnsi" w:hAnsiTheme="minorHAnsi" w:cstheme="minorBidi"/>
      <w:lang w:eastAsia="en-US"/>
    </w:rPr>
  </w:style>
  <w:style w:type="character" w:customStyle="1" w:styleId="PiedepginaCar">
    <w:name w:val="Pie de página Car"/>
    <w:basedOn w:val="Fuentedeprrafopredeter"/>
    <w:link w:val="Piedepgina"/>
    <w:uiPriority w:val="99"/>
    <w:rsid w:val="00D13FB6"/>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34"/>
    <w:qFormat/>
    <w:rsid w:val="00026EEA"/>
    <w:pPr>
      <w:ind w:left="720"/>
      <w:contextualSpacing/>
    </w:pPr>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basedOn w:val="Fuentedeprrafopredeter"/>
    <w:link w:val="Prrafodelista"/>
    <w:uiPriority w:val="34"/>
    <w:qFormat/>
    <w:locked/>
    <w:rsid w:val="00026EEA"/>
    <w:rPr>
      <w:rFonts w:ascii="Calibri" w:eastAsia="Calibri" w:hAnsi="Calibri" w:cs="Calibri"/>
      <w:lang w:eastAsia="es-MX"/>
    </w:rPr>
  </w:style>
  <w:style w:type="table" w:customStyle="1" w:styleId="4">
    <w:name w:val="4"/>
    <w:basedOn w:val="Tablanormal"/>
    <w:rsid w:val="00871626"/>
    <w:pPr>
      <w:spacing w:after="0" w:line="240" w:lineRule="auto"/>
    </w:pPr>
    <w:tblPr>
      <w:tblStyleRowBandSize w:val="1"/>
      <w:tblStyleColBandSize w:val="1"/>
      <w:tblInd w:w="0" w:type="nil"/>
    </w:tblPr>
  </w:style>
  <w:style w:type="character" w:styleId="Hipervnculo">
    <w:name w:val="Hyperlink"/>
    <w:basedOn w:val="Fuentedeprrafopredeter"/>
    <w:uiPriority w:val="99"/>
    <w:unhideWhenUsed/>
    <w:rsid w:val="00FC722E"/>
    <w:rPr>
      <w:color w:val="0563C1" w:themeColor="hyperlink"/>
      <w:u w:val="single"/>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0"/>
    <w:pPr>
      <w:spacing w:after="0" w:line="240" w:lineRule="auto"/>
    </w:pPr>
    <w:tblPr>
      <w:tblStyleRowBandSize w:val="1"/>
      <w:tblStyleColBandSize w:val="1"/>
      <w:tblCellMar>
        <w:left w:w="108" w:type="dxa"/>
        <w:right w:w="108" w:type="dxa"/>
      </w:tblCellMar>
    </w:tblPr>
  </w:style>
  <w:style w:type="table" w:customStyle="1" w:styleId="a0">
    <w:basedOn w:val="TableNormal0"/>
    <w:tblPr>
      <w:tblStyleRowBandSize w:val="1"/>
      <w:tblStyleColBandSize w:val="1"/>
      <w:tblCellMar>
        <w:left w:w="115" w:type="dxa"/>
        <w:right w:w="115" w:type="dxa"/>
      </w:tblCellMar>
    </w:tblPr>
  </w:style>
  <w:style w:type="table" w:customStyle="1" w:styleId="a1">
    <w:basedOn w:val="TableNormal0"/>
    <w:tblPr>
      <w:tblStyleRowBandSize w:val="1"/>
      <w:tblStyleColBandSize w:val="1"/>
      <w:tblCellMar>
        <w:left w:w="115" w:type="dxa"/>
        <w:right w:w="115" w:type="dxa"/>
      </w:tblCellMar>
    </w:tblPr>
  </w:style>
  <w:style w:type="table" w:customStyle="1" w:styleId="a2">
    <w:basedOn w:val="TableNormal0"/>
    <w:tblPr>
      <w:tblStyleRowBandSize w:val="1"/>
      <w:tblStyleColBandSize w:val="1"/>
      <w:tblCellMar>
        <w:left w:w="115" w:type="dxa"/>
        <w:right w:w="115" w:type="dxa"/>
      </w:tblCellMar>
    </w:tblPr>
  </w:style>
  <w:style w:type="table" w:customStyle="1" w:styleId="a3">
    <w:basedOn w:val="TableNormal0"/>
    <w:tblPr>
      <w:tblStyleRowBandSize w:val="1"/>
      <w:tblStyleColBandSize w:val="1"/>
      <w:tblCellMar>
        <w:left w:w="115" w:type="dxa"/>
        <w:right w:w="115" w:type="dxa"/>
      </w:tblCellMar>
    </w:tblPr>
  </w:style>
  <w:style w:type="paragraph" w:styleId="Textonotapie">
    <w:name w:val="footnote text"/>
    <w:basedOn w:val="Normal"/>
    <w:link w:val="TextonotapieCar"/>
    <w:uiPriority w:val="99"/>
    <w:semiHidden/>
    <w:unhideWhenUsed/>
    <w:rsid w:val="00662807"/>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662807"/>
    <w:rPr>
      <w:sz w:val="20"/>
      <w:szCs w:val="20"/>
    </w:rPr>
  </w:style>
  <w:style w:type="character" w:styleId="Refdenotaalpie">
    <w:name w:val="footnote reference"/>
    <w:basedOn w:val="Fuentedeprrafopredeter"/>
    <w:uiPriority w:val="99"/>
    <w:semiHidden/>
    <w:unhideWhenUsed/>
    <w:rsid w:val="00662807"/>
    <w:rPr>
      <w:vertAlign w:val="superscript"/>
    </w:rPr>
  </w:style>
  <w:style w:type="character" w:customStyle="1" w:styleId="TtuloCar">
    <w:name w:val="Título Car"/>
    <w:aliases w:val="Cita textual Car"/>
    <w:basedOn w:val="Fuentedeprrafopredeter"/>
    <w:link w:val="Ttulo"/>
    <w:uiPriority w:val="10"/>
    <w:rsid w:val="007745EC"/>
    <w:rPr>
      <w:b/>
      <w:sz w:val="72"/>
      <w:szCs w:val="72"/>
    </w:rPr>
  </w:style>
  <w:style w:type="table" w:styleId="Tablaconcuadrcula">
    <w:name w:val="Table Grid"/>
    <w:basedOn w:val="Tablanormal"/>
    <w:uiPriority w:val="59"/>
    <w:rsid w:val="0088323C"/>
    <w:pPr>
      <w:spacing w:after="0" w:line="240" w:lineRule="auto"/>
    </w:pPr>
    <w:rPr>
      <w:rFonts w:asciiTheme="minorHAnsi" w:eastAsiaTheme="minorHAnsi" w:hAnsiTheme="minorHAnsi" w:cstheme="minorBidi"/>
      <w:lang w:val="es-E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6E078D"/>
    <w:pPr>
      <w:spacing w:before="100" w:beforeAutospacing="1" w:after="100" w:afterAutospacing="1" w:line="240" w:lineRule="auto"/>
    </w:pPr>
    <w:rPr>
      <w:rFonts w:ascii="Times New Roman" w:eastAsia="Times New Roman" w:hAnsi="Times New Roman" w:cs="Times New Roman"/>
      <w:sz w:val="24"/>
      <w:szCs w:val="24"/>
    </w:rPr>
  </w:style>
  <w:style w:type="table" w:customStyle="1" w:styleId="a4">
    <w:basedOn w:val="TableNormal0"/>
    <w:pPr>
      <w:spacing w:after="0" w:line="240" w:lineRule="auto"/>
    </w:pPr>
    <w:tblPr>
      <w:tblStyleRowBandSize w:val="1"/>
      <w:tblStyleColBandSize w:val="1"/>
      <w:tblCellMar>
        <w:left w:w="115" w:type="dxa"/>
        <w:right w:w="115" w:type="dxa"/>
      </w:tblCellMar>
    </w:tblPr>
  </w:style>
  <w:style w:type="table" w:customStyle="1" w:styleId="a5">
    <w:basedOn w:val="TableNormal0"/>
    <w:pPr>
      <w:spacing w:after="0" w:line="240" w:lineRule="auto"/>
    </w:pPr>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png"/><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9.png"/><Relationship Id="rId5" Type="http://schemas.openxmlformats.org/officeDocument/2006/relationships/webSettings" Target="webSettings.xml"/><Relationship Id="rId15" Type="http://schemas.openxmlformats.org/officeDocument/2006/relationships/image" Target="media/image7.png"/><Relationship Id="rId23" Type="http://schemas.openxmlformats.org/officeDocument/2006/relationships/theme" Target="theme/theme1.xml"/><Relationship Id="rId10" Type="http://schemas.openxmlformats.org/officeDocument/2006/relationships/image" Target="media/image3.png"/><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6.png"/><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8.jpg"/></Relationships>
</file>

<file path=word/_rels/header2.xml.rels><?xml version="1.0" encoding="UTF-8" standalone="yes"?>
<Relationships xmlns="http://schemas.openxmlformats.org/package/2006/relationships"><Relationship Id="rId1" Type="http://schemas.openxmlformats.org/officeDocument/2006/relationships/image" Target="media/image8.jpg"/></Relationships>
</file>

<file path=word/_rels/header3.xml.rels><?xml version="1.0" encoding="UTF-8" standalone="yes"?>
<Relationships xmlns="http://schemas.openxmlformats.org/package/2006/relationships"><Relationship Id="rId1" Type="http://schemas.openxmlformats.org/officeDocument/2006/relationships/image" Target="media/image8.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91VYBAtj6thXoOnPiAohpl2Brig==">CgMxLjAyCGguZ2pkZ3hzMgloLjMwajB6bGwyCWguMmV0OTJwMDIJaC4zcmRjcmpuMghoLnR5amN3dDIOaC5rZWxnczI0MjhvYTYyCWguM2R5NnZrbTIJaC4zem55c2g3MgloLjF0M2g1c2Y4AHIhMVFnRUlTaW1nSWVmNkQ5UWh1NW9qaldsTFkxdEdqTk92</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51</Pages>
  <Words>13872</Words>
  <Characters>76297</Characters>
  <Application>Microsoft Office Word</Application>
  <DocSecurity>0</DocSecurity>
  <Lines>635</Lines>
  <Paragraphs>179</Paragraphs>
  <ScaleCrop>false</ScaleCrop>
  <HeadingPairs>
    <vt:vector size="2" baseType="variant">
      <vt:variant>
        <vt:lpstr>Título</vt:lpstr>
      </vt:variant>
      <vt:variant>
        <vt:i4>1</vt:i4>
      </vt:variant>
    </vt:vector>
  </HeadingPairs>
  <TitlesOfParts>
    <vt:vector size="1" baseType="lpstr">
      <vt:lpstr/>
    </vt:vector>
  </TitlesOfParts>
  <Company>HP Inc.</Company>
  <LinksUpToDate>false</LinksUpToDate>
  <CharactersWithSpaces>89990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INFOEM505</dc:creator>
  <cp:lastModifiedBy>Maricela Villagómez Martínez</cp:lastModifiedBy>
  <cp:revision>2</cp:revision>
  <cp:lastPrinted>2024-12-06T16:49:00Z</cp:lastPrinted>
  <dcterms:created xsi:type="dcterms:W3CDTF">2025-01-15T16:48:00Z</dcterms:created>
  <dcterms:modified xsi:type="dcterms:W3CDTF">2025-01-15T16:48:00Z</dcterms:modified>
</cp:coreProperties>
</file>