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8324" w14:textId="77777777" w:rsidR="007828E6" w:rsidRPr="00230839" w:rsidRDefault="007828E6" w:rsidP="007828E6">
      <w:pPr>
        <w:spacing w:before="120" w:after="0" w:line="360" w:lineRule="auto"/>
        <w:ind w:right="49"/>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tres de octubre de dos mil veinticuatro.</w:t>
      </w:r>
    </w:p>
    <w:p w14:paraId="7718F5E9"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139ED2F9" w14:textId="65133B21"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 xml:space="preserve">Visto </w:t>
      </w:r>
      <w:r w:rsidRPr="00230839">
        <w:rPr>
          <w:rFonts w:ascii="Palatino Linotype" w:eastAsia="Palatino Linotype" w:hAnsi="Palatino Linotype" w:cs="Palatino Linotype"/>
          <w:sz w:val="24"/>
          <w:szCs w:val="24"/>
        </w:rPr>
        <w:t xml:space="preserve">el expediente relativo al recurso de revisión </w:t>
      </w:r>
      <w:r w:rsidRPr="00230839">
        <w:rPr>
          <w:rFonts w:ascii="Palatino Linotype" w:eastAsia="Palatino Linotype" w:hAnsi="Palatino Linotype" w:cs="Palatino Linotype"/>
          <w:b/>
          <w:sz w:val="24"/>
          <w:szCs w:val="24"/>
        </w:rPr>
        <w:t>04619/INFOEM/IP/RR/2024</w:t>
      </w:r>
      <w:r w:rsidRPr="00230839">
        <w:rPr>
          <w:rFonts w:ascii="Palatino Linotype" w:eastAsia="Palatino Linotype" w:hAnsi="Palatino Linotype" w:cs="Palatino Linotype"/>
          <w:sz w:val="24"/>
          <w:szCs w:val="24"/>
        </w:rPr>
        <w:t>, interpuesto por</w:t>
      </w:r>
      <w:r w:rsidRPr="00230839">
        <w:rPr>
          <w:rFonts w:ascii="Palatino Linotype" w:eastAsia="Palatino Linotype" w:hAnsi="Palatino Linotype" w:cs="Palatino Linotype"/>
          <w:b/>
          <w:sz w:val="24"/>
          <w:szCs w:val="24"/>
        </w:rPr>
        <w:t xml:space="preserve"> </w:t>
      </w:r>
      <w:r w:rsidR="007A1EB6" w:rsidRPr="007A1EB6">
        <w:rPr>
          <w:rFonts w:ascii="Palatino Linotype" w:eastAsia="Palatino Linotype" w:hAnsi="Palatino Linotype" w:cs="Palatino Linotype"/>
          <w:b/>
          <w:sz w:val="24"/>
          <w:szCs w:val="24"/>
        </w:rPr>
        <w:t>XXXXXXX XXXXXXXXX XXXXXXXX</w:t>
      </w:r>
      <w:r w:rsidRPr="00230839">
        <w:rPr>
          <w:rFonts w:ascii="Palatino Linotype" w:eastAsia="Palatino Linotype" w:hAnsi="Palatino Linotype" w:cs="Palatino Linotype"/>
          <w:sz w:val="24"/>
          <w:szCs w:val="24"/>
        </w:rPr>
        <w:t xml:space="preserve">, en lo sucesivo se le denominara </w:t>
      </w:r>
      <w:r w:rsidRPr="00230839">
        <w:rPr>
          <w:rFonts w:ascii="Palatino Linotype" w:eastAsia="Palatino Linotype" w:hAnsi="Palatino Linotype" w:cs="Palatino Linotype"/>
          <w:b/>
          <w:sz w:val="24"/>
          <w:szCs w:val="24"/>
        </w:rPr>
        <w:t>LA PARTE RECURRENTE</w:t>
      </w:r>
      <w:r w:rsidRPr="00230839">
        <w:rPr>
          <w:rFonts w:ascii="Palatino Linotype" w:eastAsia="Palatino Linotype" w:hAnsi="Palatino Linotype" w:cs="Palatino Linotype"/>
          <w:sz w:val="24"/>
          <w:szCs w:val="24"/>
        </w:rPr>
        <w:t xml:space="preserve">, en contra de la respuesta a la solicitud de información con número de folio </w:t>
      </w:r>
      <w:r w:rsidRPr="00230839">
        <w:rPr>
          <w:rFonts w:ascii="Palatino Linotype" w:eastAsia="Palatino Linotype" w:hAnsi="Palatino Linotype" w:cs="Palatino Linotype"/>
          <w:b/>
          <w:sz w:val="24"/>
          <w:szCs w:val="24"/>
        </w:rPr>
        <w:t>00444/NAUCALPA/IP/2024</w:t>
      </w:r>
      <w:r w:rsidRPr="00230839">
        <w:rPr>
          <w:rFonts w:ascii="Palatino Linotype" w:eastAsia="Palatino Linotype" w:hAnsi="Palatino Linotype" w:cs="Palatino Linotype"/>
          <w:sz w:val="24"/>
          <w:szCs w:val="24"/>
        </w:rPr>
        <w:t xml:space="preserve">, por parte del </w:t>
      </w:r>
      <w:r w:rsidRPr="00230839">
        <w:rPr>
          <w:rFonts w:ascii="Palatino Linotype" w:eastAsia="Palatino Linotype" w:hAnsi="Palatino Linotype" w:cs="Palatino Linotype"/>
          <w:b/>
          <w:sz w:val="24"/>
          <w:szCs w:val="24"/>
        </w:rPr>
        <w:t>Ayuntamiento de Naucalpan de Juárez</w:t>
      </w:r>
      <w:r w:rsidRPr="00230839">
        <w:rPr>
          <w:rFonts w:ascii="Palatino Linotype" w:eastAsia="Palatino Linotype" w:hAnsi="Palatino Linotype" w:cs="Palatino Linotype"/>
          <w:sz w:val="24"/>
          <w:szCs w:val="24"/>
        </w:rPr>
        <w:t>, en lo sucesivo</w:t>
      </w:r>
      <w:r w:rsidRPr="00230839">
        <w:rPr>
          <w:rFonts w:ascii="Palatino Linotype" w:eastAsia="Palatino Linotype" w:hAnsi="Palatino Linotype" w:cs="Palatino Linotype"/>
          <w:b/>
          <w:sz w:val="24"/>
          <w:szCs w:val="24"/>
        </w:rPr>
        <w:t xml:space="preserve"> EL SUJETO OBLIGADO; </w:t>
      </w:r>
      <w:r w:rsidRPr="00230839">
        <w:rPr>
          <w:rFonts w:ascii="Palatino Linotype" w:eastAsia="Palatino Linotype" w:hAnsi="Palatino Linotype" w:cs="Palatino Linotype"/>
          <w:sz w:val="24"/>
          <w:szCs w:val="24"/>
        </w:rPr>
        <w:t xml:space="preserve">se procede a dictar la presente resolución, con base en lo siguiente. </w:t>
      </w:r>
    </w:p>
    <w:p w14:paraId="4F106084"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42537B6C" w14:textId="77777777" w:rsidR="007828E6" w:rsidRPr="00230839" w:rsidRDefault="007828E6" w:rsidP="007828E6">
      <w:pPr>
        <w:spacing w:after="0" w:line="360" w:lineRule="auto"/>
        <w:ind w:right="49"/>
        <w:jc w:val="center"/>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A N T E C E D E N T E S</w:t>
      </w:r>
    </w:p>
    <w:p w14:paraId="17B2C56A"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404C2B8E" w14:textId="77777777" w:rsidR="007828E6" w:rsidRPr="00230839" w:rsidRDefault="007828E6" w:rsidP="007828E6">
      <w:pPr>
        <w:spacing w:after="0" w:line="360" w:lineRule="auto"/>
        <w:ind w:right="49"/>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1.</w:t>
      </w:r>
      <w:r w:rsidRPr="00230839">
        <w:rPr>
          <w:rFonts w:ascii="Palatino Linotype" w:eastAsia="Palatino Linotype" w:hAnsi="Palatino Linotype" w:cs="Palatino Linotype"/>
          <w:sz w:val="24"/>
          <w:szCs w:val="24"/>
        </w:rPr>
        <w:t xml:space="preserve"> </w:t>
      </w:r>
      <w:r w:rsidRPr="00230839">
        <w:rPr>
          <w:rFonts w:ascii="Palatino Linotype" w:eastAsia="Palatino Linotype" w:hAnsi="Palatino Linotype" w:cs="Palatino Linotype"/>
          <w:b/>
          <w:sz w:val="24"/>
          <w:szCs w:val="24"/>
        </w:rPr>
        <w:t xml:space="preserve">SOLICITUD DE INFORMACIÓN. </w:t>
      </w:r>
      <w:r w:rsidRPr="00230839">
        <w:rPr>
          <w:rFonts w:ascii="Palatino Linotype" w:eastAsia="Palatino Linotype" w:hAnsi="Palatino Linotype" w:cs="Palatino Linotype"/>
          <w:sz w:val="24"/>
          <w:szCs w:val="24"/>
        </w:rPr>
        <w:t xml:space="preserve">Con fecha tres de junio de dos mil veinticuatro, </w:t>
      </w:r>
      <w:r w:rsidRPr="00230839">
        <w:rPr>
          <w:rFonts w:ascii="Palatino Linotype" w:eastAsia="Palatino Linotype" w:hAnsi="Palatino Linotype" w:cs="Palatino Linotype"/>
          <w:b/>
          <w:sz w:val="24"/>
          <w:szCs w:val="24"/>
        </w:rPr>
        <w:t>LA PARTE RECURRENTE</w:t>
      </w:r>
      <w:r w:rsidRPr="00230839">
        <w:rPr>
          <w:rFonts w:ascii="Palatino Linotype" w:eastAsia="Palatino Linotype" w:hAnsi="Palatino Linotype" w:cs="Palatino Linotype"/>
          <w:sz w:val="24"/>
          <w:szCs w:val="24"/>
        </w:rPr>
        <w:t>, presentó a través del Sistema de Acceso a la Información Mexiquense (</w:t>
      </w:r>
      <w:r w:rsidRPr="00230839">
        <w:rPr>
          <w:rFonts w:ascii="Palatino Linotype" w:eastAsia="Palatino Linotype" w:hAnsi="Palatino Linotype" w:cs="Palatino Linotype"/>
          <w:b/>
          <w:sz w:val="24"/>
          <w:szCs w:val="24"/>
        </w:rPr>
        <w:t>SAIMEX)</w:t>
      </w:r>
      <w:r w:rsidRPr="00230839">
        <w:rPr>
          <w:rFonts w:ascii="Palatino Linotype" w:eastAsia="Palatino Linotype" w:hAnsi="Palatino Linotype" w:cs="Palatino Linotype"/>
          <w:sz w:val="24"/>
          <w:szCs w:val="24"/>
        </w:rPr>
        <w:t xml:space="preserve"> ante </w:t>
      </w:r>
      <w:r w:rsidRPr="00230839">
        <w:rPr>
          <w:rFonts w:ascii="Palatino Linotype" w:eastAsia="Palatino Linotype" w:hAnsi="Palatino Linotype" w:cs="Palatino Linotype"/>
          <w:b/>
          <w:sz w:val="24"/>
          <w:szCs w:val="24"/>
        </w:rPr>
        <w:t>EL SUJETO OBLIGADO</w:t>
      </w:r>
      <w:r w:rsidRPr="00230839">
        <w:rPr>
          <w:rFonts w:ascii="Palatino Linotype" w:eastAsia="Palatino Linotype" w:hAnsi="Palatino Linotype" w:cs="Palatino Linotype"/>
          <w:sz w:val="24"/>
          <w:szCs w:val="24"/>
        </w:rPr>
        <w:t>, solicitud de acceso a la información pública, registrada bajo el número de expediente</w:t>
      </w:r>
      <w:r w:rsidRPr="00230839">
        <w:rPr>
          <w:rFonts w:ascii="Verdana" w:eastAsia="Verdana" w:hAnsi="Verdana" w:cs="Verdana"/>
          <w:b/>
        </w:rPr>
        <w:t> </w:t>
      </w:r>
      <w:r w:rsidRPr="00230839">
        <w:rPr>
          <w:rFonts w:ascii="Palatino Linotype" w:eastAsia="Palatino Linotype" w:hAnsi="Palatino Linotype" w:cs="Palatino Linotype"/>
          <w:b/>
          <w:sz w:val="24"/>
          <w:szCs w:val="24"/>
        </w:rPr>
        <w:t>00444/NAUCALPA/IP/2024</w:t>
      </w:r>
      <w:r w:rsidRPr="00230839">
        <w:rPr>
          <w:rFonts w:ascii="Palatino Linotype" w:eastAsia="Palatino Linotype" w:hAnsi="Palatino Linotype" w:cs="Palatino Linotype"/>
          <w:sz w:val="24"/>
          <w:szCs w:val="24"/>
        </w:rPr>
        <w:t>,</w:t>
      </w:r>
      <w:r w:rsidRPr="00230839">
        <w:rPr>
          <w:rFonts w:ascii="Palatino Linotype" w:eastAsia="Palatino Linotype" w:hAnsi="Palatino Linotype" w:cs="Palatino Linotype"/>
          <w:b/>
          <w:sz w:val="24"/>
          <w:szCs w:val="24"/>
        </w:rPr>
        <w:t xml:space="preserve"> </w:t>
      </w:r>
      <w:r w:rsidRPr="00230839">
        <w:rPr>
          <w:rFonts w:ascii="Palatino Linotype" w:eastAsia="Palatino Linotype" w:hAnsi="Palatino Linotype" w:cs="Palatino Linotype"/>
          <w:sz w:val="24"/>
          <w:szCs w:val="24"/>
        </w:rPr>
        <w:t>mediante la cual solicitó la siguiente información:</w:t>
      </w:r>
    </w:p>
    <w:p w14:paraId="452FBB54" w14:textId="77777777" w:rsidR="007828E6" w:rsidRPr="00230839" w:rsidRDefault="007828E6" w:rsidP="007828E6">
      <w:pPr>
        <w:spacing w:after="0" w:line="360" w:lineRule="auto"/>
        <w:ind w:right="49"/>
        <w:jc w:val="both"/>
        <w:rPr>
          <w:rFonts w:ascii="Palatino Linotype" w:eastAsia="Palatino Linotype" w:hAnsi="Palatino Linotype" w:cs="Palatino Linotype"/>
          <w:sz w:val="24"/>
          <w:szCs w:val="24"/>
        </w:rPr>
      </w:pPr>
    </w:p>
    <w:p w14:paraId="53327010" w14:textId="0727F079" w:rsidR="007828E6" w:rsidRPr="00230839" w:rsidRDefault="007828E6" w:rsidP="007828E6">
      <w:pPr>
        <w:spacing w:after="0" w:line="276" w:lineRule="auto"/>
        <w:ind w:left="709" w:right="758"/>
        <w:jc w:val="both"/>
        <w:rPr>
          <w:rFonts w:ascii="Palatino Linotype" w:eastAsia="Palatino Linotype" w:hAnsi="Palatino Linotype" w:cs="Palatino Linotype"/>
          <w:i/>
        </w:rPr>
      </w:pPr>
      <w:bookmarkStart w:id="0" w:name="_heading=h.gjdgxs" w:colFirst="0" w:colLast="0"/>
      <w:bookmarkEnd w:id="0"/>
      <w:r w:rsidRPr="00230839">
        <w:rPr>
          <w:rFonts w:ascii="Palatino Linotype" w:eastAsia="Palatino Linotype" w:hAnsi="Palatino Linotype" w:cs="Palatino Linotype"/>
          <w:i/>
        </w:rPr>
        <w:t xml:space="preserve">“Buenas Tardes, atentamente solicito de la Dirección General de Desarrollo Urbano, me proporcionen en versión divulgación de acuerdo con la Ley de Protección de Datos Personales, lo siguiente: - AUTORIZACIÓN DE CAMBIO DE USO DE SUELO N° CUS/037/2023 ING. MILITARES N° 100, DE FECHA 04 DE </w:t>
      </w:r>
      <w:r w:rsidRPr="00230839">
        <w:rPr>
          <w:rFonts w:ascii="Palatino Linotype" w:eastAsia="Palatino Linotype" w:hAnsi="Palatino Linotype" w:cs="Palatino Linotype"/>
          <w:i/>
        </w:rPr>
        <w:lastRenderedPageBreak/>
        <w:t xml:space="preserve">DICIEMBRE DE 2023, Y TODA VEZ QUE NO SE CONSTITUYÓ COPLADEMUN, REQUIERO IGUALMENTE EL DICTAMEN TÉCNICO QUE REALIZÓ DESARROLLO URBANO PARA SU AUTORIZACIÓN. - CAMBIO DE USO DE SUELO (DESCONOZCO EL NÚMERO) PARA LA FUSIÓN DE LOS LOTES 1,2 Y 3, MNZ. 203, N° 94, CIRCUITO GEÓGRAFOS, CIUDAD SATÉLITE ZONA ORIENTE, NAUCALPAN DE JUÁREZ, ESTADO DE MÉXICO, POSIBLE PROPIETARIO </w:t>
      </w:r>
      <w:r w:rsidR="007A1EB6">
        <w:rPr>
          <w:rFonts w:ascii="Palatino Linotype" w:eastAsia="Palatino Linotype" w:hAnsi="Palatino Linotype" w:cs="Palatino Linotype"/>
          <w:i/>
        </w:rPr>
        <w:t xml:space="preserve">XXXXXXXX XX XXXXXX X XX XXXX </w:t>
      </w:r>
      <w:r w:rsidRPr="00230839">
        <w:rPr>
          <w:rFonts w:ascii="Palatino Linotype" w:eastAsia="Palatino Linotype" w:hAnsi="Palatino Linotype" w:cs="Palatino Linotype"/>
          <w:i/>
        </w:rPr>
        <w:t>IGUALMENTE EL DICTAMEN TÉCNICO QUE SIRVIÓ PARA SU EMISIÓN” (Sic).</w:t>
      </w:r>
    </w:p>
    <w:p w14:paraId="5101FAE4" w14:textId="77777777" w:rsidR="007828E6" w:rsidRPr="00230839" w:rsidRDefault="007828E6" w:rsidP="007828E6">
      <w:pPr>
        <w:spacing w:after="0" w:line="276" w:lineRule="auto"/>
        <w:ind w:right="758"/>
        <w:jc w:val="both"/>
        <w:rPr>
          <w:rFonts w:ascii="Palatino Linotype" w:eastAsia="Palatino Linotype" w:hAnsi="Palatino Linotype" w:cs="Palatino Linotype"/>
          <w:sz w:val="24"/>
          <w:szCs w:val="24"/>
        </w:rPr>
      </w:pPr>
    </w:p>
    <w:p w14:paraId="5402D7F1" w14:textId="77777777" w:rsidR="007828E6" w:rsidRPr="00230839" w:rsidRDefault="007828E6" w:rsidP="007828E6">
      <w:pPr>
        <w:widowControl w:val="0"/>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2.</w:t>
      </w:r>
      <w:r w:rsidRPr="00230839">
        <w:rPr>
          <w:rFonts w:ascii="Palatino Linotype" w:eastAsia="Palatino Linotype" w:hAnsi="Palatino Linotype" w:cs="Palatino Linotype"/>
          <w:sz w:val="24"/>
          <w:szCs w:val="24"/>
        </w:rPr>
        <w:t xml:space="preserve"> </w:t>
      </w:r>
      <w:r w:rsidRPr="00230839">
        <w:rPr>
          <w:rFonts w:ascii="Palatino Linotype" w:eastAsia="Palatino Linotype" w:hAnsi="Palatino Linotype" w:cs="Palatino Linotype"/>
          <w:b/>
          <w:sz w:val="24"/>
          <w:szCs w:val="24"/>
        </w:rPr>
        <w:t>DE LA PRÓRROGA.</w:t>
      </w:r>
      <w:r w:rsidRPr="00230839">
        <w:rPr>
          <w:rFonts w:ascii="Palatino Linotype" w:eastAsia="Palatino Linotype" w:hAnsi="Palatino Linotype" w:cs="Palatino Linotype"/>
          <w:sz w:val="24"/>
          <w:szCs w:val="24"/>
        </w:rPr>
        <w:t xml:space="preserve"> En fecha veinticuatro de junio de dos mil veinticuatro, </w:t>
      </w:r>
      <w:r w:rsidRPr="00230839">
        <w:rPr>
          <w:rFonts w:ascii="Palatino Linotype" w:eastAsia="Palatino Linotype" w:hAnsi="Palatino Linotype" w:cs="Palatino Linotype"/>
          <w:b/>
          <w:sz w:val="24"/>
          <w:szCs w:val="24"/>
        </w:rPr>
        <w:t>EL SUJETO OBLIGADO</w:t>
      </w:r>
      <w:r w:rsidRPr="00230839">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0C230D99" w14:textId="77777777" w:rsidR="007828E6" w:rsidRPr="00230839" w:rsidRDefault="007828E6" w:rsidP="007828E6">
      <w:pPr>
        <w:widowControl w:val="0"/>
        <w:spacing w:after="0" w:line="360" w:lineRule="auto"/>
        <w:jc w:val="both"/>
        <w:rPr>
          <w:rFonts w:ascii="Palatino Linotype" w:eastAsia="Palatino Linotype" w:hAnsi="Palatino Linotype" w:cs="Palatino Linotype"/>
          <w:sz w:val="24"/>
          <w:szCs w:val="24"/>
        </w:rPr>
      </w:pPr>
    </w:p>
    <w:p w14:paraId="37CD6047" w14:textId="77777777" w:rsidR="007828E6" w:rsidRPr="00230839" w:rsidRDefault="007828E6" w:rsidP="007828E6">
      <w:pPr>
        <w:spacing w:after="0" w:line="276" w:lineRule="auto"/>
        <w:ind w:left="851" w:right="900"/>
        <w:jc w:val="both"/>
        <w:rPr>
          <w:rFonts w:ascii="Palatino Linotype" w:eastAsia="Palatino Linotype" w:hAnsi="Palatino Linotype" w:cs="Palatino Linotype"/>
          <w:i/>
        </w:rPr>
      </w:pPr>
      <w:r w:rsidRPr="00230839">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CF35863" w14:textId="77777777" w:rsidR="007828E6" w:rsidRPr="00230839" w:rsidRDefault="007828E6" w:rsidP="007828E6">
      <w:pPr>
        <w:spacing w:after="0" w:line="276" w:lineRule="auto"/>
        <w:ind w:left="851" w:right="900"/>
        <w:jc w:val="both"/>
        <w:rPr>
          <w:rFonts w:ascii="Palatino Linotype" w:eastAsia="Palatino Linotype" w:hAnsi="Palatino Linotype" w:cs="Palatino Linotype"/>
          <w:i/>
        </w:rPr>
      </w:pPr>
      <w:r w:rsidRPr="00230839">
        <w:rPr>
          <w:rFonts w:ascii="Palatino Linotype" w:eastAsia="Palatino Linotype" w:hAnsi="Palatino Linotype" w:cs="Palatino Linotype"/>
          <w:i/>
        </w:rPr>
        <w:t>Derivado de la complejidad en la búsqueda de la información solicitada, se otorga un plazo adicional de 7 días para atender lo solicitado</w:t>
      </w:r>
    </w:p>
    <w:p w14:paraId="7E92AA93" w14:textId="77777777" w:rsidR="007828E6" w:rsidRPr="00230839" w:rsidRDefault="007828E6" w:rsidP="007828E6">
      <w:pPr>
        <w:spacing w:after="0" w:line="276" w:lineRule="auto"/>
        <w:ind w:left="851" w:right="900"/>
        <w:jc w:val="both"/>
        <w:rPr>
          <w:rFonts w:ascii="Palatino Linotype" w:eastAsia="Palatino Linotype" w:hAnsi="Palatino Linotype" w:cs="Palatino Linotype"/>
          <w:i/>
        </w:rPr>
      </w:pPr>
      <w:r w:rsidRPr="00230839">
        <w:rPr>
          <w:rFonts w:ascii="Palatino Linotype" w:eastAsia="Palatino Linotype" w:hAnsi="Palatino Linotype" w:cs="Palatino Linotype"/>
          <w:i/>
        </w:rPr>
        <w:t>MTRO. CARLOS MICHEL MOLINA HERRERA</w:t>
      </w:r>
    </w:p>
    <w:p w14:paraId="5BA6B6B9" w14:textId="77777777" w:rsidR="007828E6" w:rsidRPr="00230839" w:rsidRDefault="007828E6" w:rsidP="007828E6">
      <w:pPr>
        <w:spacing w:after="0" w:line="276" w:lineRule="auto"/>
        <w:ind w:left="851" w:right="900"/>
        <w:jc w:val="both"/>
        <w:rPr>
          <w:rFonts w:ascii="Palatino Linotype" w:eastAsia="Palatino Linotype" w:hAnsi="Palatino Linotype" w:cs="Palatino Linotype"/>
          <w:i/>
        </w:rPr>
      </w:pPr>
      <w:r w:rsidRPr="00230839">
        <w:rPr>
          <w:rFonts w:ascii="Palatino Linotype" w:eastAsia="Palatino Linotype" w:hAnsi="Palatino Linotype" w:cs="Palatino Linotype"/>
          <w:i/>
        </w:rPr>
        <w:t>Responsable de la Unidad de Transparencia”</w:t>
      </w:r>
    </w:p>
    <w:p w14:paraId="25BCB1A6" w14:textId="77777777" w:rsidR="007828E6" w:rsidRPr="00230839" w:rsidRDefault="007828E6" w:rsidP="007828E6">
      <w:pPr>
        <w:spacing w:after="0" w:line="360" w:lineRule="auto"/>
        <w:jc w:val="both"/>
        <w:rPr>
          <w:rFonts w:ascii="Palatino Linotype" w:eastAsia="Palatino Linotype" w:hAnsi="Palatino Linotype" w:cs="Palatino Linotype"/>
          <w:b/>
          <w:sz w:val="24"/>
          <w:szCs w:val="24"/>
        </w:rPr>
      </w:pPr>
    </w:p>
    <w:p w14:paraId="52F7E9FF"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Atendiendo la prórroga realizada por </w:t>
      </w:r>
      <w:r w:rsidRPr="00230839">
        <w:rPr>
          <w:rFonts w:ascii="Palatino Linotype" w:eastAsia="Palatino Linotype" w:hAnsi="Palatino Linotype" w:cs="Palatino Linotype"/>
          <w:b/>
          <w:sz w:val="24"/>
          <w:szCs w:val="24"/>
        </w:rPr>
        <w:t>EL SUJETO OBLIGADO</w:t>
      </w:r>
      <w:r w:rsidRPr="00230839">
        <w:rPr>
          <w:rFonts w:ascii="Palatino Linotype" w:eastAsia="Palatino Linotype" w:hAnsi="Palatino Linotype" w:cs="Palatino Linotype"/>
          <w:sz w:val="24"/>
          <w:szCs w:val="24"/>
        </w:rPr>
        <w:t xml:space="preserve">, en el caso en cuestión es de indicar que, en efecto la Ley de Transparencia y Acceso a la Información Pública del Estado de México y Municipios, contempla la potestad de ampliar el plazo hasta por siete días, en términos del párrafo segundo del artículo </w:t>
      </w:r>
      <w:r w:rsidRPr="00230839">
        <w:rPr>
          <w:rFonts w:ascii="Palatino Linotype" w:eastAsia="Palatino Linotype" w:hAnsi="Palatino Linotype" w:cs="Palatino Linotype"/>
          <w:sz w:val="24"/>
          <w:szCs w:val="24"/>
        </w:rPr>
        <w:lastRenderedPageBreak/>
        <w:t>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establece la Ley de la materia, pues no se anexó la resolución mediante la cual el Comité de Transparencia aprobó la ampliación del plazo.</w:t>
      </w:r>
    </w:p>
    <w:p w14:paraId="0BD8BA6D"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14749276"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 xml:space="preserve">3. RESPUESTA.  </w:t>
      </w:r>
      <w:r w:rsidRPr="00230839">
        <w:rPr>
          <w:rFonts w:ascii="Palatino Linotype" w:eastAsia="Palatino Linotype" w:hAnsi="Palatino Linotype" w:cs="Palatino Linotype"/>
          <w:sz w:val="24"/>
          <w:szCs w:val="24"/>
        </w:rPr>
        <w:t xml:space="preserve">Con fecha tres de julio del dos mil veinticuatro, </w:t>
      </w:r>
      <w:r w:rsidRPr="00230839">
        <w:rPr>
          <w:rFonts w:ascii="Palatino Linotype" w:eastAsia="Palatino Linotype" w:hAnsi="Palatino Linotype" w:cs="Palatino Linotype"/>
          <w:b/>
          <w:sz w:val="24"/>
          <w:szCs w:val="24"/>
        </w:rPr>
        <w:t>EL SUJETO OBLIGADO</w:t>
      </w:r>
      <w:r w:rsidRPr="00230839">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57236872" w14:textId="77777777" w:rsidR="007828E6" w:rsidRPr="00230839" w:rsidRDefault="007828E6" w:rsidP="007828E6">
      <w:pPr>
        <w:spacing w:before="240" w:after="240" w:line="360" w:lineRule="auto"/>
        <w:contextualSpacing/>
        <w:jc w:val="both"/>
        <w:rPr>
          <w:rFonts w:ascii="Palatino Linotype" w:hAnsi="Palatino Linotype"/>
          <w:sz w:val="24"/>
        </w:rPr>
      </w:pPr>
    </w:p>
    <w:p w14:paraId="046AC45F"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EFC13A8" w14:textId="63F7B2C5"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 xml:space="preserve">Naucalpan de Juárez, Estado de México a 3 de julio del 2024. Número de oficio: DGDU/SJ-III/1359/2024. Asunto: Respuesta solicitud SAIMEX 00444/NAUCALPA/IP/2024. ESTIMADA (O) </w:t>
      </w:r>
      <w:r w:rsidR="007A1EB6">
        <w:rPr>
          <w:rFonts w:ascii="Palatino Linotype" w:eastAsia="Palatino Linotype" w:hAnsi="Palatino Linotype" w:cs="Palatino Linotype"/>
          <w:i/>
        </w:rPr>
        <w:t>XXXXXXX XXXXXXXXXXX</w:t>
      </w:r>
      <w:r w:rsidRPr="00230839">
        <w:rPr>
          <w:rFonts w:ascii="Palatino Linotype" w:eastAsia="Palatino Linotype" w:hAnsi="Palatino Linotype" w:cs="Palatino Linotype"/>
          <w:i/>
        </w:rPr>
        <w:t xml:space="preserve">. PRESENTE. En términos de lo dispuesto por los artículos 6 y 116 fracción VIII de la Constitución Política de los Estados Unidos Mexicanos; 5 de la Constitución Política del Estado Libre y Soberano de México; 2, 31 fracción XLVI, 86 y 96 Bis fracción XXVI de la Ley Orgánica Municipal del Estado de México; 1.5 fracción VIII del Código Administrativo del Estado de México; 1, 2, 3, 20, 23 del Reglamento Orgánico de la Administración Pública Municipal de Naucalpan de Juárez, Estado de México. Asimismo, y con fundamento en el artículo 59 de la Ley de Transparencia y Acceso a la Información Pública del Estado de México y Municipios, me permito referirme a </w:t>
      </w:r>
      <w:r w:rsidRPr="00230839">
        <w:rPr>
          <w:rFonts w:ascii="Palatino Linotype" w:eastAsia="Palatino Linotype" w:hAnsi="Palatino Linotype" w:cs="Palatino Linotype"/>
          <w:i/>
        </w:rPr>
        <w:lastRenderedPageBreak/>
        <w:t xml:space="preserve">la Solicitud de Información bajo el número de folio 00444/NAUCALPA/IP/2024, ingresada a través del Sistema de Acceso a la Información Mexiquense (SAIMEX) en el que medularmente solicita lo siguiente: “Buenas Tardes, atentamente solicito de la Dirección General de Desarrollo Urbano, me proporcionen en versión divulgación de acuerdo con la Ley de Protección de Datos Personales, lo siguiente: - AUTORIZACIÓN DE CAMBIO DE USO DE SUELO N° CUS/037/2023 ING. MILITARES N° 100, DE FECHA 04 DE DICIEMBRE DE 2023, Y TODA VEZ QUE NO SE CONSTITUYÓ COPLADEMUN, REQUIERO IGUALMENTE EL DICTAMEN TÉCNICO QUE REALIZÓ DESARROLLO URBANO PARA SU AUTORIZACIÓN. - CAMBIO DE USO DE SUELO (DESCONOZCO EL NÚMERO) PARA LA FUSIÓN DE LOS LOTES 1,2 Y 3, MNZ. 203, N° 94, CIRCUITO GEÓGRAFOS, CIUDAD SATÉLITE ZONA ORIENTE, NAUCALPAN DE JUÁREZ, ESTADO DE MÉXICO, POSIBLE PROPIETARIO AUTOZONE DE MÉXICO S. DE R.L. DE C.V. IGUALMENTE EL DICTAMEN TÉCNICO QUE SIRVIÓ PARA SU EMISIÓN” (SIC) Al respecto le informo que esta Dirección General de Desarrollo Urbano, resulta parcialmente competente para atender la solicitud de acceso a la información citada; por lo que hace a la Autorización de cambio de uso de suelo, se realizó una búsqueda en los archivos de la Subdirección de Planeación y Evaluación Urbana de esta Dependencia, derivada de la citada búsqueda se localizó el expediente número CUS/037/2023, el cual contiene la Solicitud de Autorización de Cambio de uso de suelo, no así la autorización solicitada, por lo que de acuerdo al principio de congruencia no existe expresión documental que pueda entregarse ya que no se cuenta con una Autorización de cambio de uso de suelo número CUS/037/2023, como tampoco se cuenta con un dictamen técnico que a la fecha se haya realizado para el expediente en comento. Por lo que respecta al “CAMBIO DE USO DE SUELO (DESCONOZCO EL NÚMERO) PARA LA FUSIÓN DE LOS LOTES 1,2 Y 3, MNZ. 203, N° 94, CIRCUITO GEÓGRAFOS, CIUDAD SATÉLITE ZONA ORIENTE” esta Dirección General resulta incompetente, toda vez que el cambio de uso de suelo no es un trámite mediante el cual se realice una fusión de predios. Aunado a lo anterior, cabe aclarar que dentro de las atribuciones y trámites con que cuenta esta Dirección General de Desarrollo Urbano, no se cuenta con la de: </w:t>
      </w:r>
      <w:r w:rsidRPr="00230839">
        <w:rPr>
          <w:rFonts w:ascii="Palatino Linotype" w:eastAsia="Palatino Linotype" w:hAnsi="Palatino Linotype" w:cs="Palatino Linotype"/>
          <w:i/>
        </w:rPr>
        <w:lastRenderedPageBreak/>
        <w:t>“Autorización de la fusión de predio.” Se anexa a la presente el oficio número DGDU/SPyEU/160/2024, emitido por la Subdirección de Planeación y Evaluación Urbana, en el cual se da respuesta a lo solicitado. Lo anterior de conformidad con los artículos 12 y 59 fracción II, de la Ley de Transparencia y Acceso a la Información Pública del Estado de México y Municipios vigente. ATENTAMENTE LIC. MANUEL JAVIER ARCOS SUBDIRECTOR JURÍDICO DE LA DIRECCIÓN GENERAL DE DESARROLLO URBANO. AJOM</w:t>
      </w:r>
    </w:p>
    <w:p w14:paraId="778ACEC6"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ATENTAMENTE</w:t>
      </w:r>
    </w:p>
    <w:p w14:paraId="232B6B5B"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MTRO. CARLOS MICHEL MOLINA HERRERA”</w:t>
      </w:r>
    </w:p>
    <w:p w14:paraId="53C24B6A"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sz w:val="24"/>
        </w:rPr>
      </w:pPr>
    </w:p>
    <w:p w14:paraId="5FD3F4AD" w14:textId="77777777" w:rsidR="007828E6" w:rsidRPr="00230839" w:rsidRDefault="007828E6" w:rsidP="007828E6">
      <w:pPr>
        <w:spacing w:before="240" w:after="240" w:line="360" w:lineRule="auto"/>
        <w:ind w:right="51"/>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EL SUJETO OBLIGADO</w:t>
      </w:r>
      <w:r w:rsidRPr="00230839">
        <w:rPr>
          <w:rFonts w:ascii="Palatino Linotype" w:eastAsia="Palatino Linotype" w:hAnsi="Palatino Linotype" w:cs="Palatino Linotype"/>
          <w:sz w:val="24"/>
          <w:szCs w:val="24"/>
        </w:rPr>
        <w:t xml:space="preserve"> adjuntó para tal efecto el archivo electrónico siguiente:</w:t>
      </w:r>
    </w:p>
    <w:p w14:paraId="615E8283" w14:textId="77777777" w:rsidR="007828E6" w:rsidRPr="00230839" w:rsidRDefault="007828E6" w:rsidP="007828E6">
      <w:pPr>
        <w:spacing w:before="240" w:after="240" w:line="360" w:lineRule="auto"/>
        <w:ind w:right="51"/>
        <w:contextualSpacing/>
        <w:jc w:val="both"/>
        <w:rPr>
          <w:rFonts w:ascii="Palatino Linotype" w:eastAsia="Palatino Linotype" w:hAnsi="Palatino Linotype" w:cs="Palatino Linotype"/>
          <w:sz w:val="24"/>
          <w:szCs w:val="24"/>
        </w:rPr>
      </w:pPr>
    </w:p>
    <w:p w14:paraId="01C1CA7D"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w:t>
      </w:r>
      <w:r w:rsidRPr="00230839">
        <w:rPr>
          <w:rFonts w:ascii="Palatino Linotype" w:eastAsia="Palatino Linotype" w:hAnsi="Palatino Linotype" w:cs="Palatino Linotype"/>
          <w:b/>
          <w:i/>
          <w:sz w:val="24"/>
          <w:szCs w:val="24"/>
          <w:u w:val="single"/>
        </w:rPr>
        <w:t>RS_444.pdf</w:t>
      </w:r>
      <w:r w:rsidRPr="00230839">
        <w:rPr>
          <w:rFonts w:ascii="Palatino Linotype" w:eastAsia="Palatino Linotype" w:hAnsi="Palatino Linotype" w:cs="Palatino Linotype"/>
          <w:sz w:val="24"/>
          <w:szCs w:val="24"/>
        </w:rPr>
        <w:t>”: Oficio de fecha tres de julio de dos mil veinticuatro, signado por el Subdirector General de Desarrollo Urbano, mediante el cual señala que resulta parcialmente competente para atender la solicitud de acceso a la información; por lo que hace a la autorización de cambio de uso de suelo, se realizó una búsqueda en los archivos de la Subdirección de Planeación y Evaluación Urbana de la Dependencia, derivada de la citada búsqueda en los archivos de la Subdirección de Planeación y Evaluación Urbana, se localizó el expediente CUS/037/2023, el cual contiene la solicitud de autorización de cambio de uso de suelo, no así la autorización solicitada, por lo que de acuerdo al principio de congruencia no existe expresión documental que pueda entregarse ya que no se cuenta con una autorización de cambio de uso de suelo número CUS/037/2023, que tampoco se cuenta con un dictamen técnico que a la fecha se haya realizado para el expediente.</w:t>
      </w:r>
    </w:p>
    <w:p w14:paraId="0281CA4C"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483A7185"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lastRenderedPageBreak/>
        <w:t>Respecto al cambio de uso de suelo para la fusión de los lotes señalados en la solicitud, señala que resulta incompetente, toda vez que el cambio de uso de suelo no es un trámite mediante el cual se realice una fusión de predios, además de que no cuenta con el trámite “Autorización de la fusión de predio”.</w:t>
      </w:r>
    </w:p>
    <w:p w14:paraId="0521D6BA"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7E37607A" w14:textId="469E8288"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Oficio de fecha veintiocho de junio de dos mil veinticuatro, signado por el Encargado de Despacho de la Subdirección de Planeación y Evaluación Urbana, mediante el cual señala que cuenta con un trámite con número CUS/037/2023 corresponde a una solicitud y no a una autorización de cambio de uso de suelo.</w:t>
      </w:r>
    </w:p>
    <w:p w14:paraId="4A02879A" w14:textId="77777777" w:rsidR="00BF2D92" w:rsidRPr="00230839" w:rsidRDefault="00BF2D92" w:rsidP="007828E6">
      <w:pPr>
        <w:spacing w:after="0" w:line="360" w:lineRule="auto"/>
        <w:jc w:val="both"/>
        <w:rPr>
          <w:rFonts w:ascii="Palatino Linotype" w:eastAsia="Palatino Linotype" w:hAnsi="Palatino Linotype" w:cs="Palatino Linotype"/>
          <w:sz w:val="24"/>
          <w:szCs w:val="24"/>
        </w:rPr>
      </w:pPr>
    </w:p>
    <w:p w14:paraId="2D7D3064" w14:textId="10D07D8A" w:rsidR="007828E6" w:rsidRPr="00230839" w:rsidRDefault="00BF2D92"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Además,</w:t>
      </w:r>
      <w:r w:rsidR="007828E6" w:rsidRPr="00230839">
        <w:rPr>
          <w:rFonts w:ascii="Palatino Linotype" w:eastAsia="Palatino Linotype" w:hAnsi="Palatino Linotype" w:cs="Palatino Linotype"/>
          <w:sz w:val="24"/>
          <w:szCs w:val="24"/>
        </w:rPr>
        <w:t xml:space="preserve"> señala que el cambio de uso de suelo, únicamente se realiza para cambiar el uso específico del suelo asignado al predio o inmueble, la densidad de vivienda, la densidad de construcción, y/o el cambio de la altura máxima permitida de la construcción en niveles y metros, y no una fusión de predios, el trámite de la fusión de predios, se realiza ante el Gobierno del Estado de México. </w:t>
      </w:r>
    </w:p>
    <w:p w14:paraId="36B640C6"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08DFBA9C" w14:textId="77777777" w:rsidR="007828E6" w:rsidRPr="00230839" w:rsidRDefault="007828E6" w:rsidP="007828E6">
      <w:pPr>
        <w:spacing w:before="240" w:after="240" w:line="360" w:lineRule="auto"/>
        <w:ind w:right="-234"/>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 xml:space="preserve">4. DEL RECURSO DE REVISIÓN. </w:t>
      </w:r>
      <w:r w:rsidRPr="00230839">
        <w:rPr>
          <w:rFonts w:ascii="Palatino Linotype" w:eastAsia="Palatino Linotype" w:hAnsi="Palatino Linotype" w:cs="Palatino Linotype"/>
          <w:sz w:val="24"/>
          <w:szCs w:val="24"/>
        </w:rPr>
        <w:t>Inconforme con la respuesta del</w:t>
      </w:r>
      <w:r w:rsidRPr="00230839">
        <w:rPr>
          <w:rFonts w:ascii="Palatino Linotype" w:eastAsia="Palatino Linotype" w:hAnsi="Palatino Linotype" w:cs="Palatino Linotype"/>
          <w:b/>
          <w:sz w:val="24"/>
          <w:szCs w:val="24"/>
        </w:rPr>
        <w:t xml:space="preserve"> SUJETO OBLIGADO</w:t>
      </w:r>
      <w:r w:rsidRPr="00230839">
        <w:rPr>
          <w:rFonts w:ascii="Palatino Linotype" w:eastAsia="Palatino Linotype" w:hAnsi="Palatino Linotype" w:cs="Palatino Linotype"/>
          <w:sz w:val="24"/>
          <w:szCs w:val="24"/>
        </w:rPr>
        <w:t>,</w:t>
      </w:r>
      <w:r w:rsidRPr="00230839">
        <w:rPr>
          <w:rFonts w:ascii="Palatino Linotype" w:eastAsia="Palatino Linotype" w:hAnsi="Palatino Linotype" w:cs="Palatino Linotype"/>
          <w:b/>
          <w:sz w:val="24"/>
          <w:szCs w:val="24"/>
        </w:rPr>
        <w:t xml:space="preserve"> </w:t>
      </w:r>
      <w:r w:rsidRPr="00230839">
        <w:rPr>
          <w:rFonts w:ascii="Palatino Linotype" w:eastAsia="Palatino Linotype" w:hAnsi="Palatino Linotype" w:cs="Palatino Linotype"/>
          <w:sz w:val="24"/>
          <w:szCs w:val="24"/>
        </w:rPr>
        <w:t>en fecha cinco de agosto de dos mil veinticuatro,</w:t>
      </w:r>
      <w:r w:rsidRPr="00230839">
        <w:rPr>
          <w:rFonts w:ascii="Palatino Linotype" w:eastAsia="Palatino Linotype" w:hAnsi="Palatino Linotype" w:cs="Palatino Linotype"/>
          <w:b/>
          <w:sz w:val="24"/>
          <w:szCs w:val="24"/>
        </w:rPr>
        <w:t xml:space="preserve"> LA PARTE RECURRENTE </w:t>
      </w:r>
      <w:r w:rsidRPr="00230839">
        <w:rPr>
          <w:rFonts w:ascii="Palatino Linotype" w:eastAsia="Palatino Linotype" w:hAnsi="Palatino Linotype" w:cs="Palatino Linotype"/>
          <w:sz w:val="24"/>
          <w:szCs w:val="24"/>
        </w:rPr>
        <w:t>interpuso el recurso de revisión, el cual fue registrado</w:t>
      </w:r>
      <w:r w:rsidRPr="00230839">
        <w:rPr>
          <w:rFonts w:ascii="Palatino Linotype" w:eastAsia="Palatino Linotype" w:hAnsi="Palatino Linotype" w:cs="Palatino Linotype"/>
          <w:b/>
          <w:sz w:val="24"/>
          <w:szCs w:val="24"/>
        </w:rPr>
        <w:t xml:space="preserve"> </w:t>
      </w:r>
      <w:r w:rsidRPr="00230839">
        <w:rPr>
          <w:rFonts w:ascii="Palatino Linotype" w:eastAsia="Palatino Linotype" w:hAnsi="Palatino Linotype" w:cs="Palatino Linotype"/>
          <w:sz w:val="24"/>
          <w:szCs w:val="24"/>
        </w:rPr>
        <w:t xml:space="preserve">en el sistema electrónico con el expediente número </w:t>
      </w:r>
      <w:r w:rsidRPr="00230839">
        <w:rPr>
          <w:rFonts w:ascii="Palatino Linotype" w:eastAsia="Palatino Linotype" w:hAnsi="Palatino Linotype" w:cs="Palatino Linotype"/>
          <w:b/>
          <w:sz w:val="24"/>
          <w:szCs w:val="24"/>
        </w:rPr>
        <w:tab/>
        <w:t>04619/INFOEM/IP/RR/2024</w:t>
      </w:r>
      <w:r w:rsidRPr="00230839">
        <w:rPr>
          <w:rFonts w:ascii="Palatino Linotype" w:eastAsia="Palatino Linotype" w:hAnsi="Palatino Linotype" w:cs="Palatino Linotype"/>
          <w:sz w:val="24"/>
          <w:szCs w:val="24"/>
        </w:rPr>
        <w:t>, en el cual manifiesta, lo siguiente:</w:t>
      </w:r>
    </w:p>
    <w:p w14:paraId="0A069B83" w14:textId="77777777" w:rsidR="007828E6" w:rsidRPr="00230839" w:rsidRDefault="007828E6" w:rsidP="007828E6">
      <w:pPr>
        <w:spacing w:before="240" w:after="240" w:line="360" w:lineRule="auto"/>
        <w:ind w:right="-234"/>
        <w:contextualSpacing/>
        <w:jc w:val="both"/>
        <w:rPr>
          <w:rFonts w:ascii="Palatino Linotype" w:eastAsia="Palatino Linotype" w:hAnsi="Palatino Linotype" w:cs="Palatino Linotype"/>
          <w:sz w:val="24"/>
          <w:szCs w:val="24"/>
        </w:rPr>
      </w:pPr>
    </w:p>
    <w:p w14:paraId="3A88A3D7" w14:textId="77777777" w:rsidR="007828E6" w:rsidRPr="00230839" w:rsidRDefault="007828E6" w:rsidP="007828E6">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b/>
          <w:i/>
          <w:sz w:val="24"/>
          <w:szCs w:val="24"/>
        </w:rPr>
      </w:pPr>
      <w:r w:rsidRPr="00230839">
        <w:rPr>
          <w:rFonts w:ascii="Palatino Linotype" w:eastAsia="Palatino Linotype" w:hAnsi="Palatino Linotype" w:cs="Palatino Linotype"/>
          <w:b/>
          <w:i/>
          <w:sz w:val="24"/>
          <w:szCs w:val="24"/>
        </w:rPr>
        <w:t>Acto Impugnado:</w:t>
      </w:r>
    </w:p>
    <w:p w14:paraId="2702523D" w14:textId="77777777" w:rsidR="007828E6" w:rsidRPr="00230839" w:rsidRDefault="007828E6" w:rsidP="007828E6">
      <w:pPr>
        <w:tabs>
          <w:tab w:val="left" w:pos="8222"/>
        </w:tabs>
        <w:spacing w:before="240" w:after="240" w:line="276" w:lineRule="auto"/>
        <w:ind w:left="851" w:right="616"/>
        <w:jc w:val="both"/>
        <w:rPr>
          <w:rFonts w:ascii="Palatino Linotype" w:eastAsia="Palatino Linotype" w:hAnsi="Palatino Linotype" w:cs="Palatino Linotype"/>
          <w:i/>
        </w:rPr>
      </w:pPr>
      <w:bookmarkStart w:id="1" w:name="_Hlk175739866"/>
      <w:r w:rsidRPr="00230839">
        <w:rPr>
          <w:rFonts w:ascii="Palatino Linotype" w:eastAsia="Palatino Linotype" w:hAnsi="Palatino Linotype" w:cs="Palatino Linotype"/>
          <w:i/>
        </w:rPr>
        <w:lastRenderedPageBreak/>
        <w:t>“SOLICITUD DE INFORMACIÓN PÚBLICA DE CAMBIO DE USO DE SUELO” [sic]</w:t>
      </w:r>
    </w:p>
    <w:bookmarkEnd w:id="1"/>
    <w:p w14:paraId="1F19AD8D" w14:textId="77777777" w:rsidR="007828E6" w:rsidRPr="00230839" w:rsidRDefault="007828E6" w:rsidP="007828E6">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230839">
        <w:rPr>
          <w:rFonts w:ascii="Palatino Linotype" w:eastAsia="Palatino Linotype" w:hAnsi="Palatino Linotype" w:cs="Palatino Linotype"/>
          <w:b/>
          <w:i/>
          <w:sz w:val="24"/>
          <w:szCs w:val="24"/>
        </w:rPr>
        <w:t>Razones o Motivos de Inconformidad</w:t>
      </w:r>
      <w:r w:rsidRPr="00230839">
        <w:rPr>
          <w:rFonts w:ascii="Palatino Linotype" w:eastAsia="Palatino Linotype" w:hAnsi="Palatino Linotype" w:cs="Palatino Linotype"/>
          <w:i/>
          <w:sz w:val="24"/>
          <w:szCs w:val="24"/>
        </w:rPr>
        <w:t>:</w:t>
      </w:r>
    </w:p>
    <w:p w14:paraId="3723C753" w14:textId="77777777" w:rsidR="007828E6" w:rsidRPr="00230839" w:rsidRDefault="007828E6" w:rsidP="007828E6">
      <w:pPr>
        <w:spacing w:before="240" w:after="240" w:line="360" w:lineRule="auto"/>
        <w:ind w:left="851" w:right="616"/>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sz w:val="24"/>
          <w:szCs w:val="24"/>
        </w:rPr>
        <w:t>“/ALUDE EL SUJETO OBLIGADO QUE EL NÚMERO DE AUTORIZACIÓN DE CAMBIO DE USO DE SUELO QUE SOLICITO N° CUS/037/2023, ES UN NÚMERO DE EXPEDIENTE ASIGNADO A UNA SOLICITUD DE CAMBIO DE USO, MÁS NO UNA AUTORIZACIÓN EN SI, Y QUE DENTRO DEL EXPEDIENTE, NO EXISTE AUTORIZACIÓN DE CAMBIO DE USO, LO QUE RESULTA FALSO, TODA VEZ QUE LA AUTORIZACIÓN QUE SOLICITO, DEBE EXISTIR, POR QUE EN EL DOMICILIO EXISTE YA OBRA EN PROCESO CASI DE TERMINACIÓN.</w:t>
      </w:r>
      <w:r w:rsidRPr="00230839">
        <w:rPr>
          <w:rFonts w:ascii="Palatino Linotype" w:eastAsia="Palatino Linotype" w:hAnsi="Palatino Linotype" w:cs="Palatino Linotype"/>
          <w:i/>
        </w:rPr>
        <w:t>” [sic]</w:t>
      </w:r>
    </w:p>
    <w:p w14:paraId="72A29178" w14:textId="77777777" w:rsidR="007828E6" w:rsidRPr="00230839" w:rsidRDefault="007828E6" w:rsidP="007828E6">
      <w:pPr>
        <w:spacing w:before="240" w:after="240" w:line="360" w:lineRule="auto"/>
        <w:ind w:left="851" w:right="616"/>
        <w:contextualSpacing/>
        <w:jc w:val="both"/>
        <w:rPr>
          <w:rFonts w:ascii="Palatino Linotype" w:eastAsia="Palatino Linotype" w:hAnsi="Palatino Linotype" w:cs="Palatino Linotype"/>
          <w:sz w:val="24"/>
        </w:rPr>
      </w:pPr>
    </w:p>
    <w:p w14:paraId="61B38C06"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 xml:space="preserve">5. TURNO. </w:t>
      </w:r>
      <w:r w:rsidRPr="00230839">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30839">
        <w:rPr>
          <w:rFonts w:ascii="Palatino Linotype" w:eastAsia="Palatino Linotype" w:hAnsi="Palatino Linotype" w:cs="Palatino Linotype"/>
          <w:b/>
          <w:sz w:val="24"/>
          <w:szCs w:val="24"/>
        </w:rPr>
        <w:t xml:space="preserve">Guadalupe Ramírez Peña, </w:t>
      </w:r>
      <w:r w:rsidRPr="00230839">
        <w:rPr>
          <w:rFonts w:ascii="Palatino Linotype" w:eastAsia="Palatino Linotype" w:hAnsi="Palatino Linotype" w:cs="Palatino Linotype"/>
          <w:sz w:val="24"/>
          <w:szCs w:val="24"/>
        </w:rPr>
        <w:t xml:space="preserve">a efecto de que analizara sobre su admisión o su desechamiento. </w:t>
      </w:r>
    </w:p>
    <w:p w14:paraId="400F9D85" w14:textId="77777777" w:rsidR="007828E6" w:rsidRPr="00230839" w:rsidRDefault="007828E6" w:rsidP="007828E6">
      <w:pPr>
        <w:spacing w:before="240" w:after="240" w:line="360" w:lineRule="auto"/>
        <w:ind w:right="51"/>
        <w:contextualSpacing/>
        <w:jc w:val="both"/>
        <w:rPr>
          <w:rFonts w:ascii="Palatino Linotype" w:eastAsia="Palatino Linotype" w:hAnsi="Palatino Linotype" w:cs="Palatino Linotype"/>
          <w:sz w:val="24"/>
          <w:szCs w:val="24"/>
        </w:rPr>
      </w:pPr>
    </w:p>
    <w:p w14:paraId="321ABAE7"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5. ADMISIÓN DEL RECURSO DE REVISIÓN.</w:t>
      </w:r>
      <w:r w:rsidRPr="00230839">
        <w:rPr>
          <w:rFonts w:ascii="Palatino Linotype" w:eastAsia="Palatino Linotype" w:hAnsi="Palatino Linotype" w:cs="Palatino Linotype"/>
          <w:sz w:val="24"/>
          <w:szCs w:val="24"/>
        </w:rPr>
        <w:t xml:space="preserve"> Con fecha</w:t>
      </w:r>
      <w:r w:rsidRPr="00230839">
        <w:rPr>
          <w:rFonts w:ascii="Palatino Linotype" w:eastAsia="Palatino Linotype" w:hAnsi="Palatino Linotype" w:cs="Palatino Linotype"/>
          <w:b/>
          <w:sz w:val="24"/>
          <w:szCs w:val="24"/>
        </w:rPr>
        <w:t xml:space="preserve"> ocho de agosto de dos mil veinticuatro</w:t>
      </w:r>
      <w:r w:rsidRPr="00230839">
        <w:rPr>
          <w:rFonts w:ascii="Palatino Linotype" w:eastAsia="Palatino Linotype" w:hAnsi="Palatino Linotype" w:cs="Palatino Linotype"/>
          <w:sz w:val="24"/>
          <w:szCs w:val="24"/>
        </w:rPr>
        <w:t>,</w:t>
      </w:r>
      <w:r w:rsidRPr="00230839">
        <w:rPr>
          <w:rFonts w:ascii="Palatino Linotype" w:eastAsia="Palatino Linotype" w:hAnsi="Palatino Linotype" w:cs="Palatino Linotype"/>
          <w:b/>
          <w:sz w:val="24"/>
          <w:szCs w:val="24"/>
        </w:rPr>
        <w:t xml:space="preserve"> </w:t>
      </w:r>
      <w:r w:rsidRPr="00230839">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w:t>
      </w:r>
      <w:r w:rsidRPr="00230839">
        <w:rPr>
          <w:rFonts w:ascii="Palatino Linotype" w:eastAsia="Palatino Linotype" w:hAnsi="Palatino Linotype" w:cs="Palatino Linotype"/>
          <w:sz w:val="24"/>
          <w:szCs w:val="24"/>
        </w:rPr>
        <w:lastRenderedPageBreak/>
        <w:t xml:space="preserve">trámite el recurso de revisión que ahora se resuelve, dando un plazo máximo de siete días hábiles para que las partes manifestaran lo que a su derecho resultara conveniente, ofrecieran pruebas, formularan alegatos y el </w:t>
      </w:r>
      <w:r w:rsidRPr="00230839">
        <w:rPr>
          <w:rFonts w:ascii="Palatino Linotype" w:eastAsia="Palatino Linotype" w:hAnsi="Palatino Linotype" w:cs="Palatino Linotype"/>
          <w:b/>
          <w:sz w:val="24"/>
          <w:szCs w:val="24"/>
        </w:rPr>
        <w:t xml:space="preserve">SUJETO OBLIGADO </w:t>
      </w:r>
      <w:r w:rsidRPr="00230839">
        <w:rPr>
          <w:rFonts w:ascii="Palatino Linotype" w:eastAsia="Palatino Linotype" w:hAnsi="Palatino Linotype" w:cs="Palatino Linotype"/>
          <w:sz w:val="24"/>
          <w:szCs w:val="24"/>
        </w:rPr>
        <w:t>presentará su informe justificado.</w:t>
      </w:r>
    </w:p>
    <w:p w14:paraId="4681039D"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5E7473C0" w14:textId="4DC9EF7C" w:rsidR="007828E6" w:rsidRPr="00230839" w:rsidRDefault="007828E6" w:rsidP="007828E6">
      <w:pPr>
        <w:spacing w:before="240" w:after="240" w:line="360" w:lineRule="auto"/>
        <w:ind w:right="49"/>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6. MANIFESTACIONES E INFORME JUSTIFICADO.</w:t>
      </w:r>
      <w:r w:rsidRPr="00230839">
        <w:rPr>
          <w:rFonts w:ascii="Palatino Linotype" w:eastAsia="Palatino Linotype" w:hAnsi="Palatino Linotype" w:cs="Palatino Linotype"/>
          <w:sz w:val="24"/>
          <w:szCs w:val="24"/>
        </w:rPr>
        <w:t xml:space="preserve"> Con fecha veintidós de agosto de dos mil veinticuatro se recibió, a través del Sistema de Acceso a la Información Mexiquense (SAIMEX) se recibió el informe justificado del </w:t>
      </w:r>
      <w:r w:rsidRPr="00230839">
        <w:rPr>
          <w:rFonts w:ascii="Palatino Linotype" w:eastAsia="Palatino Linotype" w:hAnsi="Palatino Linotype" w:cs="Palatino Linotype"/>
          <w:b/>
          <w:sz w:val="24"/>
          <w:szCs w:val="24"/>
        </w:rPr>
        <w:t>SUJETO OBLIGADO</w:t>
      </w:r>
      <w:r w:rsidRPr="00230839">
        <w:rPr>
          <w:rFonts w:ascii="Palatino Linotype" w:eastAsia="Palatino Linotype" w:hAnsi="Palatino Linotype" w:cs="Palatino Linotype"/>
          <w:strike/>
          <w:sz w:val="24"/>
          <w:szCs w:val="24"/>
        </w:rPr>
        <w:t>,</w:t>
      </w:r>
      <w:r w:rsidRPr="00230839">
        <w:rPr>
          <w:rFonts w:ascii="Palatino Linotype" w:eastAsia="Palatino Linotype" w:hAnsi="Palatino Linotype" w:cs="Palatino Linotype"/>
          <w:b/>
          <w:sz w:val="24"/>
          <w:szCs w:val="24"/>
        </w:rPr>
        <w:t xml:space="preserve"> </w:t>
      </w:r>
      <w:r w:rsidRPr="00230839">
        <w:rPr>
          <w:rFonts w:ascii="Palatino Linotype" w:eastAsia="Palatino Linotype" w:hAnsi="Palatino Linotype" w:cs="Palatino Linotype"/>
          <w:sz w:val="24"/>
          <w:szCs w:val="24"/>
        </w:rPr>
        <w:t xml:space="preserve">a través </w:t>
      </w:r>
      <w:r w:rsidR="00034220" w:rsidRPr="00230839">
        <w:rPr>
          <w:rFonts w:ascii="Palatino Linotype" w:eastAsia="Palatino Linotype" w:hAnsi="Palatino Linotype" w:cs="Palatino Linotype"/>
          <w:sz w:val="24"/>
          <w:szCs w:val="24"/>
        </w:rPr>
        <w:t>del siguiente archivo</w:t>
      </w:r>
      <w:r w:rsidRPr="00230839">
        <w:rPr>
          <w:rFonts w:ascii="Palatino Linotype" w:eastAsia="Palatino Linotype" w:hAnsi="Palatino Linotype" w:cs="Palatino Linotype"/>
          <w:sz w:val="24"/>
          <w:szCs w:val="24"/>
        </w:rPr>
        <w:t xml:space="preserve"> electrónico:  </w:t>
      </w:r>
    </w:p>
    <w:p w14:paraId="34898529" w14:textId="77777777" w:rsidR="007828E6" w:rsidRPr="00230839" w:rsidRDefault="007828E6" w:rsidP="007828E6">
      <w:pPr>
        <w:spacing w:before="240" w:after="240" w:line="360" w:lineRule="auto"/>
        <w:ind w:right="49"/>
        <w:contextualSpacing/>
        <w:jc w:val="both"/>
        <w:rPr>
          <w:rFonts w:ascii="Palatino Linotype" w:eastAsia="Palatino Linotype" w:hAnsi="Palatino Linotype" w:cs="Palatino Linotype"/>
          <w:sz w:val="24"/>
          <w:szCs w:val="24"/>
        </w:rPr>
      </w:pPr>
    </w:p>
    <w:p w14:paraId="1AC64BC4" w14:textId="77777777" w:rsidR="007828E6" w:rsidRPr="00230839" w:rsidRDefault="007828E6" w:rsidP="007828E6">
      <w:pPr>
        <w:spacing w:before="240" w:after="240" w:line="360" w:lineRule="auto"/>
        <w:ind w:right="49"/>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w:t>
      </w:r>
      <w:r w:rsidRPr="00230839">
        <w:rPr>
          <w:rFonts w:ascii="Palatino Linotype" w:eastAsia="Palatino Linotype" w:hAnsi="Palatino Linotype" w:cs="Palatino Linotype"/>
          <w:b/>
          <w:i/>
          <w:sz w:val="24"/>
          <w:szCs w:val="24"/>
          <w:u w:val="single"/>
        </w:rPr>
        <w:t>DGDU-SJ-III-1685-2024.pdf</w:t>
      </w:r>
      <w:r w:rsidRPr="00230839">
        <w:rPr>
          <w:rFonts w:ascii="Palatino Linotype" w:eastAsia="Palatino Linotype" w:hAnsi="Palatino Linotype" w:cs="Palatino Linotype"/>
          <w:sz w:val="24"/>
          <w:szCs w:val="24"/>
        </w:rPr>
        <w:t xml:space="preserve">”: Oficio de fecha veintiuno de agosto de dos mil veinticuatro, signado por el Subdirector Jurídico, adscrito a la Dirección General de Desarrollo Urbano, mediante el cual describe las constancias que obran en el SAIMEX, mediante el cual ratifica en términos generales su respuesta inicial. </w:t>
      </w:r>
    </w:p>
    <w:p w14:paraId="445557D3"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19170748" w14:textId="77777777" w:rsidR="007828E6" w:rsidRPr="00230839" w:rsidRDefault="007828E6" w:rsidP="007828E6">
      <w:pPr>
        <w:spacing w:before="240" w:after="240" w:line="360" w:lineRule="auto"/>
        <w:ind w:right="49"/>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Documentos que se pusieron a la vista de </w:t>
      </w:r>
      <w:r w:rsidRPr="00230839">
        <w:rPr>
          <w:rFonts w:ascii="Palatino Linotype" w:eastAsia="Palatino Linotype" w:hAnsi="Palatino Linotype" w:cs="Palatino Linotype"/>
          <w:b/>
          <w:sz w:val="24"/>
          <w:szCs w:val="24"/>
        </w:rPr>
        <w:t xml:space="preserve">LA PARTE RECURRENTE </w:t>
      </w:r>
      <w:r w:rsidRPr="00230839">
        <w:rPr>
          <w:rFonts w:ascii="Palatino Linotype" w:eastAsia="Palatino Linotype" w:hAnsi="Palatino Linotype" w:cs="Palatino Linotype"/>
          <w:sz w:val="24"/>
          <w:szCs w:val="24"/>
        </w:rPr>
        <w:t xml:space="preserve">en fecha veinticuatro de septiembre de dos mil veinticuatro, sin que emitiera manifestaciones conforme a derecho le corresponde. </w:t>
      </w:r>
    </w:p>
    <w:p w14:paraId="237F0F87"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5C8374A0"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7. DE LA AMPLIACIÓN DE PLAZO.</w:t>
      </w:r>
      <w:r w:rsidRPr="00230839">
        <w:rPr>
          <w:rFonts w:ascii="Palatino Linotype" w:eastAsia="Palatino Linotype" w:hAnsi="Palatino Linotype" w:cs="Palatino Linotype"/>
          <w:sz w:val="24"/>
          <w:szCs w:val="24"/>
        </w:rPr>
        <w:t xml:space="preserve"> En fecha veinticuatro de septiembre del dos mil veinticuatro, este Instituto con fundamento en el artículo 181, párrafo tercero de la Ley de Transparencia y Acceso a la Información Pública del Estado de México y Municipios, determinó mediante el acuerdo respectivo, ampliar por quince días </w:t>
      </w:r>
      <w:r w:rsidRPr="00230839">
        <w:rPr>
          <w:rFonts w:ascii="Palatino Linotype" w:eastAsia="Palatino Linotype" w:hAnsi="Palatino Linotype" w:cs="Palatino Linotype"/>
          <w:sz w:val="24"/>
          <w:szCs w:val="24"/>
        </w:rPr>
        <w:lastRenderedPageBreak/>
        <w:t>hábiles adicionales el plazo para emitir la presente resolución a fin de realizar un mejor estudio del asunto.</w:t>
      </w:r>
    </w:p>
    <w:p w14:paraId="3A1DFC03"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2B59C96C"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 xml:space="preserve">8. CIERRE DE INSTRUCCIÓN. </w:t>
      </w:r>
      <w:r w:rsidRPr="00230839">
        <w:rPr>
          <w:rFonts w:ascii="Palatino Linotype" w:eastAsia="Palatino Linotype" w:hAnsi="Palatino Linotype" w:cs="Palatino Linotype"/>
          <w:sz w:val="24"/>
          <w:szCs w:val="24"/>
        </w:rPr>
        <w:t>El treinta de septiembre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E90EEE8" w14:textId="77777777" w:rsidR="007828E6" w:rsidRPr="00230839" w:rsidRDefault="007828E6" w:rsidP="007828E6">
      <w:pPr>
        <w:spacing w:before="240" w:after="240" w:line="360" w:lineRule="auto"/>
        <w:contextualSpacing/>
        <w:rPr>
          <w:rFonts w:ascii="Palatino Linotype" w:hAnsi="Palatino Linotype"/>
          <w:sz w:val="24"/>
        </w:rPr>
      </w:pPr>
    </w:p>
    <w:p w14:paraId="0929F661"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29DD8E47"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33A8059F" w14:textId="77777777" w:rsidR="007828E6" w:rsidRPr="00230839" w:rsidRDefault="007828E6" w:rsidP="007828E6">
      <w:pPr>
        <w:widowControl w:val="0"/>
        <w:spacing w:before="240" w:after="240" w:line="360" w:lineRule="auto"/>
        <w:contextualSpacing/>
        <w:jc w:val="center"/>
        <w:rPr>
          <w:rFonts w:ascii="Palatino Linotype" w:eastAsia="Palatino Linotype" w:hAnsi="Palatino Linotype" w:cs="Palatino Linotype"/>
          <w:b/>
          <w:sz w:val="24"/>
          <w:szCs w:val="24"/>
        </w:rPr>
      </w:pPr>
      <w:r w:rsidRPr="00230839">
        <w:rPr>
          <w:rFonts w:ascii="Palatino Linotype" w:eastAsia="Palatino Linotype" w:hAnsi="Palatino Linotype" w:cs="Palatino Linotype"/>
          <w:b/>
          <w:sz w:val="24"/>
          <w:szCs w:val="24"/>
        </w:rPr>
        <w:t>C O N S I D E R A N D O S</w:t>
      </w:r>
    </w:p>
    <w:p w14:paraId="4FEC77B5" w14:textId="77777777" w:rsidR="007828E6" w:rsidRPr="00230839" w:rsidRDefault="007828E6" w:rsidP="007828E6">
      <w:pPr>
        <w:widowControl w:val="0"/>
        <w:spacing w:before="240" w:after="240" w:line="360" w:lineRule="auto"/>
        <w:contextualSpacing/>
        <w:jc w:val="center"/>
        <w:rPr>
          <w:rFonts w:ascii="Palatino Linotype" w:eastAsia="Palatino Linotype" w:hAnsi="Palatino Linotype" w:cs="Palatino Linotype"/>
          <w:b/>
          <w:sz w:val="24"/>
          <w:szCs w:val="24"/>
        </w:rPr>
      </w:pPr>
    </w:p>
    <w:p w14:paraId="3DB93784"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PRIMERO. COMPETENCIA.</w:t>
      </w:r>
      <w:r w:rsidRPr="00230839">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w:t>
      </w:r>
      <w:r w:rsidRPr="00230839">
        <w:rPr>
          <w:rFonts w:ascii="Palatino Linotype" w:eastAsia="Palatino Linotype" w:hAnsi="Palatino Linotype" w:cs="Palatino Linotype"/>
          <w:sz w:val="24"/>
          <w:szCs w:val="24"/>
        </w:rPr>
        <w:lastRenderedPageBreak/>
        <w:t>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59397DA"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0A3531F5" w14:textId="77777777" w:rsidR="007828E6" w:rsidRPr="00230839" w:rsidRDefault="007828E6" w:rsidP="007828E6">
      <w:pPr>
        <w:spacing w:before="240" w:after="240" w:line="360" w:lineRule="auto"/>
        <w:ind w:right="49"/>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 xml:space="preserve">SEGUNDO. OPORTUNIDAD Y PROCEDIBILIDAD DEL RECURSO DE REVISIÓN.  </w:t>
      </w:r>
      <w:r w:rsidRPr="00230839">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35CA3A7A"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2A32362F"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230839">
        <w:rPr>
          <w:rFonts w:ascii="Palatino Linotype" w:eastAsia="Palatino Linotype" w:hAnsi="Palatino Linotype" w:cs="Palatino Linotype"/>
          <w:b/>
          <w:sz w:val="24"/>
          <w:szCs w:val="24"/>
        </w:rPr>
        <w:t xml:space="preserve"> EL SUJETO OBLIGADO </w:t>
      </w:r>
      <w:r w:rsidRPr="00230839">
        <w:rPr>
          <w:rFonts w:ascii="Palatino Linotype" w:eastAsia="Palatino Linotype" w:hAnsi="Palatino Linotype" w:cs="Palatino Linotype"/>
          <w:sz w:val="24"/>
          <w:szCs w:val="24"/>
        </w:rPr>
        <w:t xml:space="preserve">emitió la respuesta, toda vez que esta fue pronunciada el día tres de julio del año dos mil veinticuatro, mientras que </w:t>
      </w:r>
      <w:r w:rsidRPr="00230839">
        <w:rPr>
          <w:rFonts w:ascii="Palatino Linotype" w:eastAsia="Palatino Linotype" w:hAnsi="Palatino Linotype" w:cs="Palatino Linotype"/>
          <w:b/>
          <w:sz w:val="24"/>
          <w:szCs w:val="24"/>
        </w:rPr>
        <w:t>LA PARTE</w:t>
      </w:r>
      <w:r w:rsidRPr="00230839">
        <w:rPr>
          <w:rFonts w:ascii="Palatino Linotype" w:eastAsia="Palatino Linotype" w:hAnsi="Palatino Linotype" w:cs="Palatino Linotype"/>
          <w:sz w:val="24"/>
          <w:szCs w:val="24"/>
        </w:rPr>
        <w:t xml:space="preserve"> </w:t>
      </w:r>
      <w:r w:rsidRPr="00230839">
        <w:rPr>
          <w:rFonts w:ascii="Palatino Linotype" w:eastAsia="Palatino Linotype" w:hAnsi="Palatino Linotype" w:cs="Palatino Linotype"/>
          <w:b/>
          <w:sz w:val="24"/>
          <w:szCs w:val="24"/>
        </w:rPr>
        <w:t>RECURRENTE</w:t>
      </w:r>
      <w:r w:rsidRPr="00230839">
        <w:rPr>
          <w:rFonts w:ascii="Palatino Linotype" w:eastAsia="Palatino Linotype" w:hAnsi="Palatino Linotype" w:cs="Palatino Linotype"/>
          <w:sz w:val="24"/>
          <w:szCs w:val="24"/>
        </w:rPr>
        <w:t xml:space="preserve"> interpuso el recurso de revisión en fecha cinco de agosto de dos mil veinticuatro, es decir, al décimo segundo día hábil de haber recibido la respuesta. </w:t>
      </w:r>
    </w:p>
    <w:p w14:paraId="63557713"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60C5F11D"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b/>
          <w:sz w:val="24"/>
          <w:szCs w:val="24"/>
        </w:rPr>
      </w:pPr>
      <w:r w:rsidRPr="00230839">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w:t>
      </w:r>
      <w:r w:rsidRPr="00230839">
        <w:rPr>
          <w:rFonts w:ascii="Palatino Linotype" w:eastAsia="Palatino Linotype" w:hAnsi="Palatino Linotype" w:cs="Palatino Linotype"/>
          <w:sz w:val="24"/>
          <w:szCs w:val="24"/>
        </w:rPr>
        <w:lastRenderedPageBreak/>
        <w:t xml:space="preserve">Información Pública del Estado de México y Municipios en vigor, en atención a que fue presentado mediante el formato visible </w:t>
      </w:r>
      <w:r w:rsidRPr="00230839">
        <w:rPr>
          <w:rFonts w:ascii="Palatino Linotype" w:eastAsia="Palatino Linotype" w:hAnsi="Palatino Linotype" w:cs="Palatino Linotype"/>
          <w:b/>
          <w:sz w:val="24"/>
          <w:szCs w:val="24"/>
        </w:rPr>
        <w:t xml:space="preserve">EL SAIMEX.  </w:t>
      </w:r>
    </w:p>
    <w:p w14:paraId="24BFBDE1"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b/>
          <w:sz w:val="24"/>
          <w:szCs w:val="24"/>
        </w:rPr>
      </w:pPr>
    </w:p>
    <w:p w14:paraId="6AE41A22" w14:textId="3275014C" w:rsidR="007828E6" w:rsidRPr="00230839" w:rsidRDefault="007828E6" w:rsidP="007828E6">
      <w:pPr>
        <w:pBdr>
          <w:top w:val="nil"/>
          <w:left w:val="nil"/>
          <w:bottom w:val="nil"/>
          <w:right w:val="nil"/>
          <w:between w:val="nil"/>
        </w:pBdr>
        <w:spacing w:before="240" w:after="240" w:line="360" w:lineRule="auto"/>
        <w:ind w:right="-147"/>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Finalmente, resulta procedente la interposición del recurso, según lo aducido por </w:t>
      </w:r>
      <w:r w:rsidRPr="00230839">
        <w:rPr>
          <w:rFonts w:ascii="Palatino Linotype" w:eastAsia="Palatino Linotype" w:hAnsi="Palatino Linotype" w:cs="Palatino Linotype"/>
          <w:b/>
          <w:sz w:val="24"/>
          <w:szCs w:val="24"/>
        </w:rPr>
        <w:t>LA PARTE RECURRENTE</w:t>
      </w:r>
      <w:r w:rsidRPr="00230839">
        <w:rPr>
          <w:rFonts w:ascii="Palatino Linotype" w:eastAsia="Palatino Linotype" w:hAnsi="Palatino Linotype" w:cs="Palatino Linotype"/>
          <w:sz w:val="24"/>
          <w:szCs w:val="24"/>
        </w:rPr>
        <w:t xml:space="preserve"> en sus razones o motivos de inconformidad, de acuerdo al artículo 179, fracción </w:t>
      </w:r>
      <w:r w:rsidR="00104E12" w:rsidRPr="00230839">
        <w:rPr>
          <w:rFonts w:ascii="Palatino Linotype" w:eastAsia="Palatino Linotype" w:hAnsi="Palatino Linotype" w:cs="Palatino Linotype"/>
          <w:sz w:val="24"/>
          <w:szCs w:val="24"/>
        </w:rPr>
        <w:t>I</w:t>
      </w:r>
      <w:r w:rsidRPr="00230839">
        <w:rPr>
          <w:rFonts w:ascii="Palatino Linotype" w:eastAsia="Palatino Linotype" w:hAnsi="Palatino Linotype" w:cs="Palatino Linotype"/>
          <w:sz w:val="24"/>
          <w:szCs w:val="24"/>
        </w:rPr>
        <w:t xml:space="preserve"> de la Ley de Transparencia y Acceso a la Información Pública del Estado de México y Municipios; que a la letra dice:</w:t>
      </w:r>
    </w:p>
    <w:p w14:paraId="4BCB696F" w14:textId="77777777" w:rsidR="007828E6" w:rsidRPr="00230839" w:rsidRDefault="007828E6" w:rsidP="007828E6">
      <w:pPr>
        <w:pBdr>
          <w:top w:val="nil"/>
          <w:left w:val="nil"/>
          <w:bottom w:val="nil"/>
          <w:right w:val="nil"/>
          <w:between w:val="nil"/>
        </w:pBdr>
        <w:spacing w:before="240" w:after="240" w:line="360" w:lineRule="auto"/>
        <w:ind w:right="-147"/>
        <w:contextualSpacing/>
        <w:jc w:val="both"/>
        <w:rPr>
          <w:rFonts w:ascii="Palatino Linotype" w:eastAsia="Palatino Linotype" w:hAnsi="Palatino Linotype" w:cs="Palatino Linotype"/>
          <w:sz w:val="24"/>
          <w:szCs w:val="24"/>
        </w:rPr>
      </w:pPr>
    </w:p>
    <w:p w14:paraId="5598B47E" w14:textId="77777777" w:rsidR="007828E6" w:rsidRPr="00230839" w:rsidRDefault="007828E6" w:rsidP="007828E6">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“Artículo 179</w:t>
      </w:r>
      <w:r w:rsidRPr="00230839">
        <w:rPr>
          <w:rFonts w:ascii="Palatino Linotype" w:eastAsia="Palatino Linotype" w:hAnsi="Palatino Linotype" w:cs="Palatino Linotype"/>
          <w:i/>
        </w:rPr>
        <w:t xml:space="preserve">. </w:t>
      </w:r>
      <w:r w:rsidRPr="00230839">
        <w:rPr>
          <w:rFonts w:ascii="Palatino Linotype" w:eastAsia="Palatino Linotype" w:hAnsi="Palatino Linotype" w:cs="Palatino Linotype"/>
          <w:b/>
          <w:i/>
        </w:rPr>
        <w:t>El recurso de revisión</w:t>
      </w:r>
      <w:r w:rsidRPr="00230839">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230839">
        <w:rPr>
          <w:rFonts w:ascii="Palatino Linotype" w:eastAsia="Palatino Linotype" w:hAnsi="Palatino Linotype" w:cs="Palatino Linotype"/>
          <w:b/>
          <w:i/>
        </w:rPr>
        <w:t>, y procederá en contra de las siguientes causas</w:t>
      </w:r>
      <w:r w:rsidRPr="00230839">
        <w:rPr>
          <w:rFonts w:ascii="Palatino Linotype" w:eastAsia="Palatino Linotype" w:hAnsi="Palatino Linotype" w:cs="Palatino Linotype"/>
          <w:i/>
        </w:rPr>
        <w:t>:</w:t>
      </w:r>
    </w:p>
    <w:p w14:paraId="6CF3D0A4" w14:textId="0FD38C04" w:rsidR="007828E6" w:rsidRPr="00230839" w:rsidRDefault="00034220" w:rsidP="007828E6">
      <w:pPr>
        <w:pBdr>
          <w:top w:val="nil"/>
          <w:left w:val="nil"/>
          <w:bottom w:val="nil"/>
          <w:right w:val="nil"/>
          <w:between w:val="nil"/>
        </w:pBdr>
        <w:spacing w:before="240" w:after="240" w:line="276" w:lineRule="auto"/>
        <w:ind w:left="992" w:right="1043"/>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I. La negativa a la información solicitada;</w:t>
      </w:r>
      <w:r w:rsidR="007828E6" w:rsidRPr="00230839">
        <w:rPr>
          <w:rFonts w:ascii="Palatino Linotype" w:eastAsia="Palatino Linotype" w:hAnsi="Palatino Linotype" w:cs="Palatino Linotype"/>
          <w:i/>
        </w:rPr>
        <w:t>”</w:t>
      </w:r>
    </w:p>
    <w:p w14:paraId="260CD56F" w14:textId="77777777" w:rsidR="00034220" w:rsidRPr="00230839" w:rsidRDefault="00034220" w:rsidP="007828E6">
      <w:pPr>
        <w:spacing w:before="240" w:after="240" w:line="360" w:lineRule="auto"/>
        <w:contextualSpacing/>
        <w:jc w:val="both"/>
        <w:rPr>
          <w:rFonts w:ascii="Palatino Linotype" w:eastAsia="Palatino Linotype" w:hAnsi="Palatino Linotype" w:cs="Palatino Linotype"/>
          <w:sz w:val="24"/>
          <w:szCs w:val="24"/>
        </w:rPr>
      </w:pPr>
    </w:p>
    <w:p w14:paraId="4320D556"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 xml:space="preserve">TERCERO. MATERIA DE LA REVISIÓN. </w:t>
      </w:r>
      <w:r w:rsidRPr="00230839">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230839">
        <w:rPr>
          <w:rFonts w:ascii="Palatino Linotype" w:eastAsia="Palatino Linotype" w:hAnsi="Palatino Linotype" w:cs="Palatino Linotype"/>
          <w:b/>
          <w:sz w:val="24"/>
          <w:szCs w:val="24"/>
        </w:rPr>
        <w:t>EL</w:t>
      </w:r>
      <w:r w:rsidRPr="00230839">
        <w:rPr>
          <w:rFonts w:ascii="Palatino Linotype" w:eastAsia="Palatino Linotype" w:hAnsi="Palatino Linotype" w:cs="Palatino Linotype"/>
          <w:sz w:val="24"/>
          <w:szCs w:val="24"/>
        </w:rPr>
        <w:t xml:space="preserve"> </w:t>
      </w:r>
      <w:r w:rsidRPr="00230839">
        <w:rPr>
          <w:rFonts w:ascii="Palatino Linotype" w:eastAsia="Palatino Linotype" w:hAnsi="Palatino Linotype" w:cs="Palatino Linotype"/>
          <w:b/>
          <w:sz w:val="24"/>
          <w:szCs w:val="24"/>
        </w:rPr>
        <w:t>SUJETO OBLIGADO</w:t>
      </w:r>
      <w:r w:rsidRPr="00230839">
        <w:rPr>
          <w:rFonts w:ascii="Palatino Linotype" w:eastAsia="Palatino Linotype" w:hAnsi="Palatino Linotype" w:cs="Palatino Linotype"/>
          <w:sz w:val="24"/>
          <w:szCs w:val="24"/>
        </w:rPr>
        <w:t xml:space="preserve"> satisface el derecho de acceso a la información pública de </w:t>
      </w:r>
      <w:r w:rsidRPr="00230839">
        <w:rPr>
          <w:rFonts w:ascii="Palatino Linotype" w:eastAsia="Palatino Linotype" w:hAnsi="Palatino Linotype" w:cs="Palatino Linotype"/>
          <w:b/>
          <w:sz w:val="24"/>
          <w:szCs w:val="24"/>
        </w:rPr>
        <w:t>LA PARTE</w:t>
      </w:r>
      <w:r w:rsidRPr="00230839">
        <w:rPr>
          <w:rFonts w:ascii="Palatino Linotype" w:eastAsia="Palatino Linotype" w:hAnsi="Palatino Linotype" w:cs="Palatino Linotype"/>
          <w:sz w:val="24"/>
          <w:szCs w:val="24"/>
        </w:rPr>
        <w:t xml:space="preserve"> </w:t>
      </w:r>
      <w:r w:rsidRPr="00230839">
        <w:rPr>
          <w:rFonts w:ascii="Palatino Linotype" w:eastAsia="Palatino Linotype" w:hAnsi="Palatino Linotype" w:cs="Palatino Linotype"/>
          <w:b/>
          <w:sz w:val="24"/>
          <w:szCs w:val="24"/>
        </w:rPr>
        <w:t>RECURRENTE</w:t>
      </w:r>
      <w:r w:rsidRPr="00230839">
        <w:rPr>
          <w:rFonts w:ascii="Palatino Linotype" w:eastAsia="Palatino Linotype" w:hAnsi="Palatino Linotype" w:cs="Palatino Linotype"/>
          <w:sz w:val="24"/>
          <w:szCs w:val="24"/>
        </w:rPr>
        <w:t>, o en su defecto, en caso de ser procedente, ordenar la entrega de información.</w:t>
      </w:r>
    </w:p>
    <w:p w14:paraId="5DA52E7D" w14:textId="77777777" w:rsidR="007828E6" w:rsidRPr="00230839" w:rsidRDefault="007828E6" w:rsidP="007828E6">
      <w:pPr>
        <w:spacing w:before="240" w:after="240" w:line="360" w:lineRule="auto"/>
        <w:ind w:right="49"/>
        <w:contextualSpacing/>
        <w:jc w:val="both"/>
        <w:rPr>
          <w:rFonts w:ascii="Palatino Linotype" w:eastAsia="Palatino Linotype" w:hAnsi="Palatino Linotype" w:cs="Palatino Linotype"/>
          <w:sz w:val="24"/>
          <w:szCs w:val="24"/>
        </w:rPr>
      </w:pPr>
    </w:p>
    <w:p w14:paraId="24F560FB"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t xml:space="preserve">CUARTO. ESTUDIO Y RESOLUCIÓN DEL ASUNTO.  </w:t>
      </w:r>
      <w:r w:rsidRPr="00230839">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w:t>
      </w:r>
      <w:r w:rsidRPr="00230839">
        <w:rPr>
          <w:rFonts w:ascii="Palatino Linotype" w:eastAsia="Palatino Linotype" w:hAnsi="Palatino Linotype" w:cs="Palatino Linotype"/>
          <w:sz w:val="24"/>
          <w:szCs w:val="24"/>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496426A"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437ED66B" w14:textId="77777777" w:rsidR="007828E6" w:rsidRPr="00230839" w:rsidRDefault="007828E6" w:rsidP="007828E6">
      <w:pPr>
        <w:tabs>
          <w:tab w:val="left" w:pos="709"/>
        </w:tabs>
        <w:spacing w:before="240" w:after="240" w:line="276" w:lineRule="auto"/>
        <w:ind w:left="851" w:right="85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230839">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3F48EB9" w14:textId="77777777" w:rsidR="007828E6" w:rsidRPr="00230839" w:rsidRDefault="007828E6" w:rsidP="007828E6">
      <w:pPr>
        <w:tabs>
          <w:tab w:val="left" w:pos="709"/>
        </w:tabs>
        <w:spacing w:before="240" w:after="240" w:line="276" w:lineRule="auto"/>
        <w:ind w:left="851" w:right="850"/>
        <w:contextualSpacing/>
        <w:jc w:val="both"/>
        <w:rPr>
          <w:rFonts w:ascii="Palatino Linotype" w:eastAsia="Palatino Linotype" w:hAnsi="Palatino Linotype" w:cs="Palatino Linotype"/>
          <w:b/>
          <w:i/>
        </w:rPr>
      </w:pPr>
      <w:r w:rsidRPr="00230839">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81456D5" w14:textId="77777777" w:rsidR="007828E6" w:rsidRPr="00230839" w:rsidRDefault="007828E6" w:rsidP="007828E6">
      <w:pPr>
        <w:tabs>
          <w:tab w:val="left" w:pos="709"/>
        </w:tabs>
        <w:spacing w:before="240" w:after="240" w:line="276" w:lineRule="auto"/>
        <w:ind w:left="851" w:right="85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30839">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F53D42B" w14:textId="77777777" w:rsidR="007828E6" w:rsidRPr="00230839" w:rsidRDefault="007828E6" w:rsidP="007828E6">
      <w:pPr>
        <w:tabs>
          <w:tab w:val="left" w:pos="709"/>
        </w:tabs>
        <w:spacing w:before="240" w:after="240" w:line="276" w:lineRule="auto"/>
        <w:ind w:left="851" w:right="85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w:t>
      </w:r>
    </w:p>
    <w:p w14:paraId="1DFF1E3C" w14:textId="77777777" w:rsidR="007828E6" w:rsidRPr="00230839" w:rsidRDefault="007828E6" w:rsidP="007828E6">
      <w:pPr>
        <w:spacing w:before="240" w:after="240" w:line="276" w:lineRule="auto"/>
        <w:ind w:left="851" w:right="90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“Artículo 6o.</w:t>
      </w:r>
    </w:p>
    <w:p w14:paraId="5F37A881" w14:textId="77777777" w:rsidR="007828E6" w:rsidRPr="00230839" w:rsidRDefault="007828E6" w:rsidP="007828E6">
      <w:pPr>
        <w:spacing w:before="240" w:after="240" w:line="276" w:lineRule="auto"/>
        <w:ind w:left="851" w:right="90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w:t>
      </w:r>
    </w:p>
    <w:p w14:paraId="75484C5B"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 xml:space="preserve">A. Para el ejercicio del derecho de acceso a la información, la Federación y </w:t>
      </w:r>
      <w:r w:rsidRPr="00230839">
        <w:rPr>
          <w:rFonts w:ascii="Palatino Linotype" w:eastAsia="Palatino Linotype" w:hAnsi="Palatino Linotype" w:cs="Palatino Linotype"/>
          <w:b/>
          <w:i/>
          <w:u w:val="single"/>
        </w:rPr>
        <w:t>las entidades federativas</w:t>
      </w:r>
      <w:r w:rsidRPr="00230839">
        <w:rPr>
          <w:rFonts w:ascii="Palatino Linotype" w:eastAsia="Palatino Linotype" w:hAnsi="Palatino Linotype" w:cs="Palatino Linotype"/>
          <w:b/>
          <w:i/>
        </w:rPr>
        <w:t>,</w:t>
      </w:r>
      <w:r w:rsidRPr="00230839">
        <w:rPr>
          <w:rFonts w:ascii="Palatino Linotype" w:eastAsia="Palatino Linotype" w:hAnsi="Palatino Linotype" w:cs="Palatino Linotype"/>
          <w:i/>
        </w:rPr>
        <w:t xml:space="preserve"> en el ámbito de sus respectivas competencias, se regirán por los siguientes principios y bases:</w:t>
      </w:r>
    </w:p>
    <w:p w14:paraId="71A623AF"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 xml:space="preserve">I. </w:t>
      </w:r>
      <w:r w:rsidRPr="00230839">
        <w:rPr>
          <w:rFonts w:ascii="Palatino Linotype" w:eastAsia="Palatino Linotype" w:hAnsi="Palatino Linotype" w:cs="Palatino Linotype"/>
          <w:b/>
          <w:i/>
          <w:u w:val="single"/>
        </w:rPr>
        <w:t>Toda la información en posesión de cualquier autoridad, entidad, órgano y organismo de los Poderes</w:t>
      </w:r>
      <w:r w:rsidRPr="00230839">
        <w:rPr>
          <w:rFonts w:ascii="Palatino Linotype" w:eastAsia="Palatino Linotype" w:hAnsi="Palatino Linotype" w:cs="Palatino Linotype"/>
          <w:i/>
        </w:rPr>
        <w:t xml:space="preserve"> Ejecutivo, Legislativo </w:t>
      </w:r>
      <w:r w:rsidRPr="00230839">
        <w:rPr>
          <w:rFonts w:ascii="Palatino Linotype" w:eastAsia="Palatino Linotype" w:hAnsi="Palatino Linotype" w:cs="Palatino Linotype"/>
          <w:b/>
          <w:i/>
          <w:u w:val="single"/>
        </w:rPr>
        <w:t>y Judicial</w:t>
      </w:r>
      <w:r w:rsidRPr="00230839">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w:t>
      </w:r>
      <w:r w:rsidRPr="00230839">
        <w:rPr>
          <w:rFonts w:ascii="Palatino Linotype" w:eastAsia="Palatino Linotype" w:hAnsi="Palatino Linotype" w:cs="Palatino Linotype"/>
          <w:i/>
        </w:rPr>
        <w:lastRenderedPageBreak/>
        <w:t xml:space="preserve">realice actos de autoridad en el ámbito federal, estatal y municipal, </w:t>
      </w:r>
      <w:r w:rsidRPr="00230839">
        <w:rPr>
          <w:rFonts w:ascii="Palatino Linotype" w:eastAsia="Palatino Linotype" w:hAnsi="Palatino Linotype" w:cs="Palatino Linotype"/>
          <w:b/>
          <w:i/>
        </w:rPr>
        <w:t>es pública y sólo podrá ser reservada temporalmente por razones de interés público y seguridad nacional,</w:t>
      </w:r>
      <w:r w:rsidRPr="00230839">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B3EEAF"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b/>
          <w:i/>
        </w:rPr>
      </w:pPr>
      <w:r w:rsidRPr="00230839">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AD857A9"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 xml:space="preserve">III. </w:t>
      </w:r>
      <w:r w:rsidRPr="00230839">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230839">
        <w:rPr>
          <w:rFonts w:ascii="Palatino Linotype" w:eastAsia="Palatino Linotype" w:hAnsi="Palatino Linotype" w:cs="Palatino Linotype"/>
          <w:i/>
        </w:rPr>
        <w:t xml:space="preserve"> a sus datos personales o a la rectificación de éstos.</w:t>
      </w:r>
    </w:p>
    <w:p w14:paraId="68A7CF0D"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 xml:space="preserve">IV. </w:t>
      </w:r>
      <w:r w:rsidRPr="00230839">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8BF0BB4"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 xml:space="preserve">V. </w:t>
      </w:r>
      <w:r w:rsidRPr="00230839">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430B409"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 xml:space="preserve">VI. </w:t>
      </w:r>
      <w:r w:rsidRPr="00230839">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7B778738"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 xml:space="preserve">VII. </w:t>
      </w:r>
      <w:r w:rsidRPr="00230839">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338B7A43" w14:textId="77777777" w:rsidR="007828E6" w:rsidRPr="00230839" w:rsidRDefault="007828E6" w:rsidP="007828E6">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08DE2D31" w14:textId="77777777" w:rsidR="007828E6" w:rsidRPr="00230839" w:rsidRDefault="007828E6" w:rsidP="007828E6">
      <w:pPr>
        <w:tabs>
          <w:tab w:val="left" w:pos="709"/>
        </w:tabs>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w:t>
      </w:r>
      <w:r w:rsidRPr="00230839">
        <w:rPr>
          <w:rFonts w:ascii="Palatino Linotype" w:eastAsia="Palatino Linotype" w:hAnsi="Palatino Linotype" w:cs="Palatino Linotype"/>
          <w:sz w:val="24"/>
          <w:szCs w:val="24"/>
        </w:rPr>
        <w:lastRenderedPageBreak/>
        <w:t>con las excepciones enmarcadas, para lo cual queda demostrado que el presente sujeto obligado debe cumplir con dichos dispositivos legales.</w:t>
      </w:r>
    </w:p>
    <w:p w14:paraId="4E7863E7" w14:textId="77777777" w:rsidR="007828E6" w:rsidRPr="00230839" w:rsidRDefault="007828E6" w:rsidP="007828E6">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7B9D6A1C" w14:textId="77777777" w:rsidR="007828E6" w:rsidRPr="00230839" w:rsidRDefault="007828E6" w:rsidP="007828E6">
      <w:pPr>
        <w:tabs>
          <w:tab w:val="left" w:pos="709"/>
        </w:tabs>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En primer lugar, es conveniente analizar si la respuesta del </w:t>
      </w:r>
      <w:r w:rsidRPr="00230839">
        <w:rPr>
          <w:rFonts w:ascii="Palatino Linotype" w:eastAsia="Palatino Linotype" w:hAnsi="Palatino Linotype" w:cs="Palatino Linotype"/>
          <w:b/>
          <w:sz w:val="24"/>
          <w:szCs w:val="24"/>
        </w:rPr>
        <w:t>SUJETO OBLIGADO</w:t>
      </w:r>
      <w:r w:rsidRPr="00230839">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0FCA22A" w14:textId="77777777" w:rsidR="007828E6" w:rsidRPr="00230839" w:rsidRDefault="007828E6" w:rsidP="007828E6">
      <w:pPr>
        <w:tabs>
          <w:tab w:val="left" w:pos="709"/>
        </w:tabs>
        <w:spacing w:before="240" w:after="240" w:line="360" w:lineRule="auto"/>
        <w:contextualSpacing/>
        <w:jc w:val="both"/>
        <w:rPr>
          <w:rFonts w:ascii="Palatino Linotype" w:eastAsia="Palatino Linotype" w:hAnsi="Palatino Linotype" w:cs="Palatino Linotype"/>
          <w:sz w:val="24"/>
          <w:szCs w:val="24"/>
        </w:rPr>
      </w:pPr>
    </w:p>
    <w:p w14:paraId="56E617F9" w14:textId="77777777" w:rsidR="007828E6" w:rsidRPr="00230839" w:rsidRDefault="007828E6" w:rsidP="007828E6">
      <w:pPr>
        <w:spacing w:before="240" w:after="240" w:line="276" w:lineRule="auto"/>
        <w:ind w:left="709"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w:t>
      </w:r>
      <w:r w:rsidRPr="00230839">
        <w:rPr>
          <w:rFonts w:ascii="Palatino Linotype" w:eastAsia="Palatino Linotype" w:hAnsi="Palatino Linotype" w:cs="Palatino Linotype"/>
          <w:b/>
          <w:i/>
        </w:rPr>
        <w:t>Artículo 4.</w:t>
      </w:r>
      <w:r w:rsidRPr="0023083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43288D1" w14:textId="77777777" w:rsidR="007828E6" w:rsidRPr="00230839" w:rsidRDefault="007828E6" w:rsidP="007828E6">
      <w:pPr>
        <w:spacing w:before="240" w:after="240" w:line="276" w:lineRule="auto"/>
        <w:ind w:left="709"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30839">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1B7A034" w14:textId="77777777" w:rsidR="007828E6" w:rsidRPr="00230839" w:rsidRDefault="007828E6" w:rsidP="007828E6">
      <w:pPr>
        <w:spacing w:before="240" w:after="240" w:line="276" w:lineRule="auto"/>
        <w:ind w:left="709"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230839">
        <w:rPr>
          <w:rFonts w:ascii="Palatino Linotype" w:eastAsia="Palatino Linotype" w:hAnsi="Palatino Linotype" w:cs="Palatino Linotype"/>
          <w:i/>
        </w:rPr>
        <w:t>.”</w:t>
      </w:r>
    </w:p>
    <w:p w14:paraId="6C89C268" w14:textId="77777777" w:rsidR="007828E6" w:rsidRPr="00230839" w:rsidRDefault="007828E6" w:rsidP="007828E6">
      <w:pPr>
        <w:spacing w:before="240" w:after="240" w:line="360" w:lineRule="auto"/>
        <w:ind w:left="709" w:right="760"/>
        <w:contextualSpacing/>
        <w:jc w:val="both"/>
        <w:rPr>
          <w:rFonts w:ascii="Palatino Linotype" w:eastAsia="Palatino Linotype" w:hAnsi="Palatino Linotype" w:cs="Palatino Linotype"/>
          <w:sz w:val="24"/>
          <w:szCs w:val="24"/>
        </w:rPr>
      </w:pPr>
    </w:p>
    <w:p w14:paraId="7BF3EF9C"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83C4029"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1A7654EA" w14:textId="77777777" w:rsidR="007828E6" w:rsidRPr="00230839" w:rsidRDefault="007828E6" w:rsidP="007828E6">
      <w:pPr>
        <w:spacing w:before="240" w:after="240" w:line="276" w:lineRule="auto"/>
        <w:ind w:left="567"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w:t>
      </w:r>
      <w:r w:rsidRPr="00230839">
        <w:rPr>
          <w:rFonts w:ascii="Palatino Linotype" w:eastAsia="Palatino Linotype" w:hAnsi="Palatino Linotype" w:cs="Palatino Linotype"/>
          <w:b/>
          <w:i/>
        </w:rPr>
        <w:t>Artículo 12.-</w:t>
      </w:r>
      <w:r w:rsidRPr="0023083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8A45DB0" w14:textId="77777777" w:rsidR="007828E6" w:rsidRPr="00230839" w:rsidRDefault="007828E6" w:rsidP="007828E6">
      <w:pPr>
        <w:spacing w:before="240" w:after="240" w:line="276" w:lineRule="auto"/>
        <w:ind w:left="567" w:right="760"/>
        <w:contextualSpacing/>
        <w:jc w:val="both"/>
        <w:rPr>
          <w:rFonts w:ascii="Palatino Linotype" w:eastAsia="Palatino Linotype" w:hAnsi="Palatino Linotype" w:cs="Palatino Linotype"/>
          <w:i/>
        </w:rPr>
      </w:pPr>
    </w:p>
    <w:p w14:paraId="64AB0A1E" w14:textId="77777777" w:rsidR="007828E6" w:rsidRPr="00230839" w:rsidRDefault="007828E6" w:rsidP="007828E6">
      <w:pPr>
        <w:spacing w:before="240" w:after="240" w:line="276" w:lineRule="auto"/>
        <w:ind w:left="567"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30839">
        <w:rPr>
          <w:rFonts w:ascii="Palatino Linotype" w:eastAsia="Palatino Linotype" w:hAnsi="Palatino Linotype" w:cs="Palatino Linotype"/>
          <w:i/>
        </w:rPr>
        <w:t xml:space="preserve">. </w:t>
      </w:r>
      <w:r w:rsidRPr="00230839">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0B0114B"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4D942F68"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230839">
        <w:rPr>
          <w:rFonts w:ascii="Palatino Linotype" w:eastAsia="Palatino Linotype" w:hAnsi="Palatino Linotype" w:cs="Palatino Linotype"/>
          <w:sz w:val="24"/>
          <w:szCs w:val="24"/>
        </w:rPr>
        <w:lastRenderedPageBreak/>
        <w:t>que es deber de los Sujetos Obligados, garantizar el Derecho de Acceso a la Información Pública.</w:t>
      </w:r>
      <w:r w:rsidRPr="00230839">
        <w:rPr>
          <w:rFonts w:ascii="Palatino Linotype" w:eastAsia="Palatino Linotype" w:hAnsi="Palatino Linotype" w:cs="Palatino Linotype"/>
          <w:strike/>
          <w:sz w:val="24"/>
          <w:szCs w:val="24"/>
        </w:rPr>
        <w:t xml:space="preserve"> </w:t>
      </w:r>
    </w:p>
    <w:p w14:paraId="48EB755C"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0C021654" w14:textId="77777777" w:rsidR="007828E6" w:rsidRPr="00230839" w:rsidRDefault="007828E6" w:rsidP="007828E6">
      <w:pPr>
        <w:spacing w:before="240" w:after="240" w:line="360" w:lineRule="auto"/>
        <w:ind w:right="49"/>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71F4811" w14:textId="77777777" w:rsidR="007828E6" w:rsidRPr="00230839" w:rsidRDefault="007828E6" w:rsidP="007828E6">
      <w:pPr>
        <w:spacing w:before="240" w:after="240" w:line="360" w:lineRule="auto"/>
        <w:ind w:right="49"/>
        <w:contextualSpacing/>
        <w:jc w:val="both"/>
        <w:rPr>
          <w:rFonts w:ascii="Palatino Linotype" w:eastAsia="Palatino Linotype" w:hAnsi="Palatino Linotype" w:cs="Palatino Linotype"/>
          <w:sz w:val="24"/>
          <w:szCs w:val="24"/>
        </w:rPr>
      </w:pPr>
    </w:p>
    <w:p w14:paraId="161C8CD2"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0530331"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6BAE63C3"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“Artículo 18.</w:t>
      </w:r>
      <w:r w:rsidRPr="00230839">
        <w:rPr>
          <w:rFonts w:ascii="Palatino Linotype" w:eastAsia="Palatino Linotype" w:hAnsi="Palatino Linotype" w:cs="Palatino Linotype"/>
          <w:i/>
        </w:rPr>
        <w:t xml:space="preserve"> </w:t>
      </w:r>
      <w:r w:rsidRPr="00230839">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230839">
        <w:rPr>
          <w:rFonts w:ascii="Palatino Linotype" w:eastAsia="Palatino Linotype" w:hAnsi="Palatino Linotype" w:cs="Palatino Linotype"/>
          <w:i/>
        </w:rPr>
        <w:t xml:space="preserve"> y reutilización de la información que generen.</w:t>
      </w:r>
    </w:p>
    <w:p w14:paraId="1C361E70"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 xml:space="preserve">Artículo 19. </w:t>
      </w:r>
      <w:r w:rsidRPr="00230839">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230839">
        <w:rPr>
          <w:rFonts w:ascii="Palatino Linotype" w:eastAsia="Palatino Linotype" w:hAnsi="Palatino Linotype" w:cs="Palatino Linotype"/>
          <w:i/>
        </w:rPr>
        <w:t>.</w:t>
      </w:r>
    </w:p>
    <w:p w14:paraId="633A660F"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526A3034"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 xml:space="preserve">Si el sujeto obligado, en el ejercicio de sus atribuciones, debía generar, poseer o administrar la información, pero ésta no se encuentra, el Comité de transparencia </w:t>
      </w:r>
      <w:r w:rsidRPr="00230839">
        <w:rPr>
          <w:rFonts w:ascii="Palatino Linotype" w:eastAsia="Palatino Linotype" w:hAnsi="Palatino Linotype" w:cs="Palatino Linotype"/>
          <w:i/>
        </w:rPr>
        <w:lastRenderedPageBreak/>
        <w:t>deberá emitir un acuerdo de inexistencia, debidamente fundado y motivado, en el que detalle las razones del por qué no obra en sus archivos.”</w:t>
      </w:r>
    </w:p>
    <w:p w14:paraId="4EC8242A" w14:textId="77777777" w:rsidR="007828E6" w:rsidRPr="00230839" w:rsidRDefault="007828E6" w:rsidP="007828E6">
      <w:pPr>
        <w:spacing w:before="240" w:after="240" w:line="276" w:lineRule="auto"/>
        <w:ind w:left="851" w:right="851"/>
        <w:contextualSpacing/>
        <w:jc w:val="both"/>
        <w:rPr>
          <w:rFonts w:ascii="Palatino Linotype" w:eastAsia="Palatino Linotype" w:hAnsi="Palatino Linotype" w:cs="Palatino Linotype"/>
          <w:sz w:val="24"/>
        </w:rPr>
      </w:pPr>
    </w:p>
    <w:p w14:paraId="6F2040F6"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369182D"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31D14519"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454A640"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7E7ABABD"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w:t>
      </w:r>
      <w:r w:rsidRPr="00230839">
        <w:rPr>
          <w:rFonts w:ascii="Palatino Linotype" w:eastAsia="Palatino Linotype" w:hAnsi="Palatino Linotype" w:cs="Palatino Linotype"/>
          <w:b/>
          <w:i/>
        </w:rPr>
        <w:t xml:space="preserve">Artículo 3. </w:t>
      </w:r>
      <w:r w:rsidRPr="00230839">
        <w:rPr>
          <w:rFonts w:ascii="Palatino Linotype" w:eastAsia="Palatino Linotype" w:hAnsi="Palatino Linotype" w:cs="Palatino Linotype"/>
          <w:i/>
        </w:rPr>
        <w:t>Para los efectos de la presente Ley se entenderá por:</w:t>
      </w:r>
    </w:p>
    <w:p w14:paraId="455AEE87"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lastRenderedPageBreak/>
        <w:t>…</w:t>
      </w:r>
    </w:p>
    <w:p w14:paraId="4C7D9346"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XI. Documento:</w:t>
      </w:r>
      <w:r w:rsidRPr="00230839">
        <w:rPr>
          <w:rFonts w:ascii="Palatino Linotype" w:eastAsia="Palatino Linotype" w:hAnsi="Palatino Linotype" w:cs="Palatino Linotype"/>
          <w:i/>
        </w:rPr>
        <w:t xml:space="preserve"> Los expedientes, reportes, estudios, actas</w:t>
      </w:r>
      <w:r w:rsidRPr="00230839">
        <w:rPr>
          <w:rFonts w:ascii="Palatino Linotype" w:eastAsia="Palatino Linotype" w:hAnsi="Palatino Linotype" w:cs="Palatino Linotype"/>
          <w:b/>
          <w:i/>
        </w:rPr>
        <w:t>,</w:t>
      </w:r>
      <w:r w:rsidRPr="00230839">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887C34B" w14:textId="77777777" w:rsidR="007828E6" w:rsidRPr="00230839" w:rsidRDefault="007828E6" w:rsidP="007828E6">
      <w:pPr>
        <w:spacing w:before="240" w:after="240" w:line="360" w:lineRule="auto"/>
        <w:ind w:left="851" w:right="899"/>
        <w:contextualSpacing/>
        <w:jc w:val="both"/>
        <w:rPr>
          <w:rFonts w:ascii="Palatino Linotype" w:eastAsia="Palatino Linotype" w:hAnsi="Palatino Linotype" w:cs="Palatino Linotype"/>
          <w:sz w:val="24"/>
          <w:szCs w:val="24"/>
        </w:rPr>
      </w:pPr>
    </w:p>
    <w:p w14:paraId="5B5BC612"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ACA98B9"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7951D888"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b/>
          <w:i/>
        </w:rPr>
      </w:pPr>
      <w:r w:rsidRPr="00230839">
        <w:rPr>
          <w:rFonts w:ascii="Palatino Linotype" w:eastAsia="Palatino Linotype" w:hAnsi="Palatino Linotype" w:cs="Palatino Linotype"/>
          <w:b/>
        </w:rPr>
        <w:t>“</w:t>
      </w:r>
      <w:r w:rsidRPr="00230839">
        <w:rPr>
          <w:rFonts w:ascii="Palatino Linotype" w:eastAsia="Palatino Linotype" w:hAnsi="Palatino Linotype" w:cs="Palatino Linotype"/>
          <w:b/>
          <w:i/>
        </w:rPr>
        <w:t>CRITERIO 0002-11</w:t>
      </w:r>
    </w:p>
    <w:p w14:paraId="53ECC5D4"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23083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D6E2990"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En consecuencia el acceso a la información se refiere a que se cumplan cualquiera de los siguientes tres supuestos:</w:t>
      </w:r>
    </w:p>
    <w:p w14:paraId="463D4118"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6F71002"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lastRenderedPageBreak/>
        <w:t>2) Que se trate de información registrada en cualquier soporte documental, que en ejercicio de las atribuciones conferidas, sea administrada por los Sujetos Obligados, y</w:t>
      </w:r>
    </w:p>
    <w:p w14:paraId="3F2DF1D8"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60A3D27E"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sz w:val="24"/>
        </w:rPr>
      </w:pPr>
    </w:p>
    <w:p w14:paraId="07CF229D"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De ahí que </w:t>
      </w:r>
      <w:r w:rsidRPr="00230839">
        <w:rPr>
          <w:rFonts w:ascii="Palatino Linotype" w:eastAsia="Palatino Linotype" w:hAnsi="Palatino Linotype" w:cs="Palatino Linotype"/>
          <w:b/>
          <w:sz w:val="24"/>
          <w:szCs w:val="24"/>
        </w:rPr>
        <w:t>EL SUJETO OBLIGADO</w:t>
      </w:r>
      <w:r w:rsidRPr="00230839">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30839">
        <w:rPr>
          <w:rFonts w:ascii="Palatino Linotype" w:eastAsia="Palatino Linotype" w:hAnsi="Palatino Linotype" w:cs="Palatino Linotype"/>
          <w:sz w:val="24"/>
          <w:szCs w:val="24"/>
          <w:vertAlign w:val="superscript"/>
        </w:rPr>
        <w:footnoteReference w:id="1"/>
      </w:r>
      <w:r w:rsidRPr="00230839">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30839">
        <w:rPr>
          <w:rFonts w:ascii="Palatino Linotype" w:eastAsia="Palatino Linotype" w:hAnsi="Palatino Linotype" w:cs="Palatino Linotype"/>
          <w:sz w:val="24"/>
          <w:szCs w:val="24"/>
          <w:vertAlign w:val="superscript"/>
        </w:rPr>
        <w:footnoteReference w:id="2"/>
      </w:r>
      <w:r w:rsidRPr="00230839">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06F97A9"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4419F1D4" w14:textId="77777777" w:rsidR="007828E6" w:rsidRPr="00230839" w:rsidRDefault="007828E6" w:rsidP="007828E6">
      <w:pPr>
        <w:spacing w:before="240" w:after="240" w:line="360" w:lineRule="auto"/>
        <w:ind w:right="51"/>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lastRenderedPageBreak/>
        <w:t>De manera preliminar en el caso concreto conviene analizar si se actualiza alguna de las causales de sobreseimiento del recurso de revisión, se advierte lo siguiente:</w:t>
      </w: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4820"/>
        <w:gridCol w:w="1275"/>
      </w:tblGrid>
      <w:tr w:rsidR="00230839" w:rsidRPr="00230839" w14:paraId="3A89A05A" w14:textId="77777777" w:rsidTr="00531EF1">
        <w:tc>
          <w:tcPr>
            <w:tcW w:w="2972" w:type="dxa"/>
            <w:shd w:val="clear" w:color="auto" w:fill="AEAAAA"/>
          </w:tcPr>
          <w:p w14:paraId="325F3E23" w14:textId="77777777" w:rsidR="007828E6" w:rsidRPr="00230839" w:rsidRDefault="007828E6" w:rsidP="00531EF1">
            <w:pPr>
              <w:spacing w:before="240" w:after="240" w:line="360" w:lineRule="auto"/>
              <w:jc w:val="center"/>
              <w:rPr>
                <w:rFonts w:ascii="Palatino Linotype" w:eastAsia="Palatino Linotype" w:hAnsi="Palatino Linotype" w:cs="Palatino Linotype"/>
                <w:b/>
                <w:sz w:val="20"/>
                <w:szCs w:val="24"/>
              </w:rPr>
            </w:pPr>
            <w:r w:rsidRPr="00230839">
              <w:rPr>
                <w:rFonts w:ascii="Palatino Linotype" w:eastAsia="Palatino Linotype" w:hAnsi="Palatino Linotype" w:cs="Palatino Linotype"/>
                <w:b/>
                <w:sz w:val="20"/>
                <w:szCs w:val="24"/>
              </w:rPr>
              <w:t>Solicitud</w:t>
            </w:r>
          </w:p>
        </w:tc>
        <w:tc>
          <w:tcPr>
            <w:tcW w:w="4820" w:type="dxa"/>
            <w:shd w:val="clear" w:color="auto" w:fill="AEAAAA"/>
          </w:tcPr>
          <w:p w14:paraId="0ADFA2AE" w14:textId="77777777" w:rsidR="007828E6" w:rsidRPr="00230839" w:rsidRDefault="007828E6" w:rsidP="00531EF1">
            <w:pPr>
              <w:spacing w:before="240" w:after="240" w:line="360" w:lineRule="auto"/>
              <w:jc w:val="center"/>
              <w:rPr>
                <w:rFonts w:ascii="Palatino Linotype" w:eastAsia="Palatino Linotype" w:hAnsi="Palatino Linotype" w:cs="Palatino Linotype"/>
                <w:b/>
                <w:sz w:val="20"/>
                <w:szCs w:val="24"/>
              </w:rPr>
            </w:pPr>
            <w:r w:rsidRPr="00230839">
              <w:rPr>
                <w:rFonts w:ascii="Palatino Linotype" w:eastAsia="Palatino Linotype" w:hAnsi="Palatino Linotype" w:cs="Palatino Linotype"/>
                <w:b/>
                <w:sz w:val="20"/>
                <w:szCs w:val="24"/>
              </w:rPr>
              <w:t>Respuesta</w:t>
            </w:r>
          </w:p>
        </w:tc>
        <w:tc>
          <w:tcPr>
            <w:tcW w:w="1275" w:type="dxa"/>
            <w:shd w:val="clear" w:color="auto" w:fill="AEAAAA"/>
          </w:tcPr>
          <w:p w14:paraId="40709825" w14:textId="77777777" w:rsidR="007828E6" w:rsidRPr="00230839" w:rsidRDefault="007828E6" w:rsidP="00531EF1">
            <w:pPr>
              <w:spacing w:before="240" w:after="240" w:line="360" w:lineRule="auto"/>
              <w:jc w:val="center"/>
              <w:rPr>
                <w:rFonts w:ascii="Palatino Linotype" w:eastAsia="Palatino Linotype" w:hAnsi="Palatino Linotype" w:cs="Palatino Linotype"/>
                <w:b/>
                <w:sz w:val="20"/>
                <w:szCs w:val="24"/>
              </w:rPr>
            </w:pPr>
            <w:r w:rsidRPr="00230839">
              <w:rPr>
                <w:rFonts w:ascii="Palatino Linotype" w:eastAsia="Palatino Linotype" w:hAnsi="Palatino Linotype" w:cs="Palatino Linotype"/>
                <w:b/>
                <w:sz w:val="20"/>
                <w:szCs w:val="24"/>
              </w:rPr>
              <w:t>Informe Justificado</w:t>
            </w:r>
          </w:p>
        </w:tc>
      </w:tr>
      <w:tr w:rsidR="007828E6" w:rsidRPr="00230839" w14:paraId="28343C7E" w14:textId="77777777" w:rsidTr="00531EF1">
        <w:tc>
          <w:tcPr>
            <w:tcW w:w="2972" w:type="dxa"/>
            <w:shd w:val="clear" w:color="auto" w:fill="auto"/>
          </w:tcPr>
          <w:p w14:paraId="4CD97F86" w14:textId="1A440B80" w:rsidR="007828E6" w:rsidRPr="00230839" w:rsidRDefault="007828E6" w:rsidP="00531EF1">
            <w:pPr>
              <w:spacing w:before="240" w:after="240" w:line="276" w:lineRule="auto"/>
              <w:contextualSpacing/>
              <w:jc w:val="both"/>
              <w:rPr>
                <w:rFonts w:ascii="Palatino Linotype" w:eastAsia="Palatino Linotype" w:hAnsi="Palatino Linotype" w:cs="Palatino Linotype"/>
                <w:sz w:val="20"/>
                <w:szCs w:val="20"/>
              </w:rPr>
            </w:pPr>
            <w:r w:rsidRPr="00230839">
              <w:rPr>
                <w:rFonts w:ascii="Palatino Linotype" w:eastAsia="Palatino Linotype" w:hAnsi="Palatino Linotype" w:cs="Palatino Linotype"/>
                <w:sz w:val="20"/>
                <w:szCs w:val="20"/>
              </w:rPr>
              <w:t>Autorización de cambio de uso de suelo N°</w:t>
            </w:r>
            <w:r w:rsidR="00BF2D92" w:rsidRPr="00230839">
              <w:rPr>
                <w:rFonts w:ascii="Palatino Linotype" w:eastAsia="Palatino Linotype" w:hAnsi="Palatino Linotype" w:cs="Palatino Linotype"/>
                <w:sz w:val="20"/>
                <w:szCs w:val="20"/>
              </w:rPr>
              <w:t xml:space="preserve"> </w:t>
            </w:r>
            <w:r w:rsidRPr="00230839">
              <w:rPr>
                <w:rFonts w:ascii="Palatino Linotype" w:eastAsia="Palatino Linotype" w:hAnsi="Palatino Linotype" w:cs="Palatino Linotype"/>
                <w:sz w:val="20"/>
                <w:szCs w:val="20"/>
              </w:rPr>
              <w:t>CUS/037/2023 de fecha 04 de diciembre de 2023 y el dictamen técnico que realizó Desarrollo Urbano para su autorización</w:t>
            </w:r>
          </w:p>
          <w:p w14:paraId="4EFE27EC" w14:textId="77777777" w:rsidR="007828E6" w:rsidRPr="00230839" w:rsidRDefault="007828E6" w:rsidP="00531EF1">
            <w:pPr>
              <w:spacing w:before="240" w:after="240" w:line="276" w:lineRule="auto"/>
              <w:contextualSpacing/>
              <w:jc w:val="both"/>
              <w:rPr>
                <w:rFonts w:ascii="Palatino Linotype" w:eastAsia="Palatino Linotype" w:hAnsi="Palatino Linotype" w:cs="Palatino Linotype"/>
                <w:sz w:val="20"/>
                <w:szCs w:val="20"/>
              </w:rPr>
            </w:pPr>
          </w:p>
          <w:p w14:paraId="074E6653" w14:textId="77777777" w:rsidR="007828E6" w:rsidRPr="00230839" w:rsidRDefault="007828E6" w:rsidP="00531EF1">
            <w:pPr>
              <w:spacing w:before="240" w:after="240" w:line="276" w:lineRule="auto"/>
              <w:contextualSpacing/>
              <w:jc w:val="both"/>
              <w:rPr>
                <w:rFonts w:ascii="Palatino Linotype" w:eastAsia="Palatino Linotype" w:hAnsi="Palatino Linotype" w:cs="Palatino Linotype"/>
                <w:sz w:val="20"/>
                <w:szCs w:val="20"/>
              </w:rPr>
            </w:pPr>
            <w:r w:rsidRPr="00230839">
              <w:rPr>
                <w:rFonts w:ascii="Palatino Linotype" w:eastAsia="Palatino Linotype" w:hAnsi="Palatino Linotype" w:cs="Palatino Linotype"/>
                <w:sz w:val="20"/>
                <w:szCs w:val="20"/>
              </w:rPr>
              <w:t>Cambio de uso de suelo para la fusión de los lotes referidos en la solicitud de información.</w:t>
            </w:r>
          </w:p>
        </w:tc>
        <w:tc>
          <w:tcPr>
            <w:tcW w:w="4820" w:type="dxa"/>
            <w:shd w:val="clear" w:color="auto" w:fill="auto"/>
          </w:tcPr>
          <w:p w14:paraId="65B82C9B" w14:textId="77777777" w:rsidR="007828E6" w:rsidRPr="00230839" w:rsidRDefault="007828E6" w:rsidP="00BF2D92">
            <w:pPr>
              <w:spacing w:before="240" w:after="240" w:line="276" w:lineRule="auto"/>
              <w:contextualSpacing/>
              <w:jc w:val="both"/>
              <w:rPr>
                <w:rFonts w:ascii="Palatino Linotype" w:eastAsia="Palatino Linotype" w:hAnsi="Palatino Linotype" w:cs="Palatino Linotype"/>
                <w:sz w:val="20"/>
                <w:szCs w:val="20"/>
              </w:rPr>
            </w:pPr>
            <w:r w:rsidRPr="00230839">
              <w:rPr>
                <w:rFonts w:ascii="Palatino Linotype" w:eastAsia="Palatino Linotype" w:hAnsi="Palatino Linotype" w:cs="Palatino Linotype"/>
                <w:sz w:val="20"/>
                <w:szCs w:val="20"/>
              </w:rPr>
              <w:t>La Subdirección de Planeación y Evaluación Urbana de la Dependencia, señala que de la búsqueda en los archivos de la Subdirección de Planeación y Evaluación Urbana, se localizó el expediente CUS/037/2023, el cual contiene la solicitud de autorización de cambio de uso de suelo, no así la autorización solicitada, por lo que de acuerdo al principio de congruencia no existe expresión documental que pueda entregarse, ya que no se cuenta con una autorización de cambio de uso de suelo número CUS/037/2023 y tampoco se cuenta con un dictamen técnico que a la fecha se haya realizado para el expediente.</w:t>
            </w:r>
          </w:p>
          <w:p w14:paraId="2719E3C2" w14:textId="77777777" w:rsidR="00BF2D92" w:rsidRPr="00230839" w:rsidRDefault="00BF2D92" w:rsidP="00BF2D92">
            <w:pPr>
              <w:spacing w:before="240" w:after="240" w:line="276" w:lineRule="auto"/>
              <w:contextualSpacing/>
              <w:jc w:val="both"/>
              <w:rPr>
                <w:rFonts w:ascii="Palatino Linotype" w:eastAsia="Palatino Linotype" w:hAnsi="Palatino Linotype" w:cs="Palatino Linotype"/>
                <w:sz w:val="20"/>
                <w:szCs w:val="20"/>
              </w:rPr>
            </w:pPr>
          </w:p>
          <w:p w14:paraId="7FC8AA9B" w14:textId="40F58C73" w:rsidR="007828E6" w:rsidRPr="00230839" w:rsidRDefault="007828E6" w:rsidP="00BF2D92">
            <w:pPr>
              <w:spacing w:before="240" w:after="240" w:line="276" w:lineRule="auto"/>
              <w:contextualSpacing/>
              <w:jc w:val="both"/>
              <w:rPr>
                <w:rFonts w:ascii="Palatino Linotype" w:eastAsia="Palatino Linotype" w:hAnsi="Palatino Linotype" w:cs="Palatino Linotype"/>
                <w:sz w:val="20"/>
                <w:szCs w:val="20"/>
              </w:rPr>
            </w:pPr>
            <w:r w:rsidRPr="00230839">
              <w:rPr>
                <w:rFonts w:ascii="Palatino Linotype" w:eastAsia="Palatino Linotype" w:hAnsi="Palatino Linotype" w:cs="Palatino Linotype"/>
                <w:sz w:val="20"/>
                <w:szCs w:val="20"/>
              </w:rPr>
              <w:t>Respecto al cambio de uso de suelo para la fusión de los lotes señalados en la solicitud, señala que resulta incompetente, toda vez que el cambio de uso de suelo no es un trámite mediante el cual se realice una fusión de predios, además de que no cuenta con el trámite “Autorización de la fusión de predio”.</w:t>
            </w:r>
          </w:p>
        </w:tc>
        <w:tc>
          <w:tcPr>
            <w:tcW w:w="1275" w:type="dxa"/>
            <w:shd w:val="clear" w:color="auto" w:fill="auto"/>
          </w:tcPr>
          <w:p w14:paraId="5045FE29" w14:textId="77777777" w:rsidR="007828E6" w:rsidRPr="00230839" w:rsidRDefault="007828E6" w:rsidP="00531EF1">
            <w:pPr>
              <w:spacing w:before="240" w:after="240" w:line="276" w:lineRule="auto"/>
              <w:ind w:right="51"/>
              <w:contextualSpacing/>
              <w:jc w:val="both"/>
              <w:rPr>
                <w:rFonts w:ascii="Palatino Linotype" w:eastAsia="Palatino Linotype" w:hAnsi="Palatino Linotype" w:cs="Palatino Linotype"/>
                <w:sz w:val="20"/>
                <w:szCs w:val="20"/>
              </w:rPr>
            </w:pPr>
            <w:r w:rsidRPr="00230839">
              <w:rPr>
                <w:rFonts w:ascii="Palatino Linotype" w:eastAsia="Palatino Linotype" w:hAnsi="Palatino Linotype" w:cs="Palatino Linotype"/>
                <w:sz w:val="20"/>
                <w:szCs w:val="20"/>
              </w:rPr>
              <w:t xml:space="preserve">Ratifica.  </w:t>
            </w:r>
          </w:p>
        </w:tc>
      </w:tr>
    </w:tbl>
    <w:p w14:paraId="77018031"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0F9FD083" w14:textId="77777777" w:rsidR="007828E6" w:rsidRPr="00230839" w:rsidRDefault="007828E6" w:rsidP="007828E6">
      <w:pPr>
        <w:spacing w:line="360" w:lineRule="auto"/>
        <w:contextualSpacing/>
        <w:jc w:val="both"/>
        <w:rPr>
          <w:rFonts w:ascii="Palatino Linotype" w:eastAsia="Palatino Linotype" w:hAnsi="Palatino Linotype" w:cs="Palatino Linotype"/>
          <w:sz w:val="24"/>
          <w:szCs w:val="24"/>
        </w:rPr>
      </w:pPr>
      <w:r w:rsidRPr="00230839">
        <w:rPr>
          <w:rFonts w:ascii="Palatino Linotype" w:hAnsi="Palatino Linotype"/>
          <w:sz w:val="24"/>
          <w:szCs w:val="24"/>
        </w:rPr>
        <w:t xml:space="preserve">Antes de analizar, la solicitud de información y la respuesta otorgada, </w:t>
      </w:r>
      <w:r w:rsidRPr="00230839">
        <w:rPr>
          <w:rFonts w:ascii="Palatino Linotype" w:eastAsia="Palatino Linotype" w:hAnsi="Palatino Linotype" w:cs="Palatino Linotype"/>
          <w:sz w:val="24"/>
          <w:szCs w:val="24"/>
        </w:rPr>
        <w:t xml:space="preserve">no pasa inadvertido para este Organismo Garante que, </w:t>
      </w:r>
      <w:r w:rsidRPr="00230839">
        <w:rPr>
          <w:rFonts w:ascii="Palatino Linotype" w:eastAsia="Palatino Linotype" w:hAnsi="Palatino Linotype" w:cs="Palatino Linotype"/>
          <w:b/>
          <w:sz w:val="24"/>
          <w:szCs w:val="24"/>
        </w:rPr>
        <w:t>LA PARTE</w:t>
      </w:r>
      <w:r w:rsidRPr="00230839">
        <w:rPr>
          <w:rFonts w:ascii="Palatino Linotype" w:eastAsia="Palatino Linotype" w:hAnsi="Palatino Linotype" w:cs="Palatino Linotype"/>
          <w:sz w:val="24"/>
          <w:szCs w:val="24"/>
        </w:rPr>
        <w:t xml:space="preserve">  </w:t>
      </w:r>
      <w:r w:rsidRPr="00230839">
        <w:rPr>
          <w:rFonts w:ascii="Palatino Linotype" w:eastAsia="Palatino Linotype" w:hAnsi="Palatino Linotype" w:cs="Palatino Linotype"/>
          <w:b/>
          <w:sz w:val="24"/>
          <w:szCs w:val="24"/>
        </w:rPr>
        <w:t>RECURRENTE</w:t>
      </w:r>
      <w:r w:rsidRPr="00230839">
        <w:rPr>
          <w:rFonts w:ascii="Palatino Linotype" w:eastAsia="Palatino Linotype" w:hAnsi="Palatino Linotype" w:cs="Palatino Linotype"/>
          <w:sz w:val="24"/>
          <w:szCs w:val="24"/>
        </w:rPr>
        <w:t>, sólo se inconforma, por</w:t>
      </w:r>
      <w:r w:rsidRPr="00230839">
        <w:rPr>
          <w:rFonts w:ascii="Palatino Linotype" w:hAnsi="Palatino Linotype"/>
          <w:sz w:val="24"/>
          <w:szCs w:val="24"/>
        </w:rPr>
        <w:t xml:space="preserve"> lo relacionado al expediente CUS/037/2023,</w:t>
      </w:r>
      <w:r w:rsidRPr="00230839">
        <w:rPr>
          <w:rFonts w:ascii="Palatino Linotype" w:eastAsia="Palatino Linotype" w:hAnsi="Palatino Linotype" w:cs="Palatino Linotype"/>
          <w:sz w:val="24"/>
          <w:szCs w:val="24"/>
        </w:rPr>
        <w:t xml:space="preserve"> por lo que la parte de la respuesta que no fue impugnada es decir, lo referente a los lotes señalados en la solicitud de información, debe declararse consentida por </w:t>
      </w:r>
      <w:r w:rsidRPr="00230839">
        <w:rPr>
          <w:rFonts w:ascii="Palatino Linotype" w:eastAsia="Palatino Linotype" w:hAnsi="Palatino Linotype" w:cs="Palatino Linotype"/>
          <w:b/>
          <w:sz w:val="24"/>
          <w:szCs w:val="24"/>
        </w:rPr>
        <w:t>LA PARTE</w:t>
      </w:r>
      <w:r w:rsidRPr="00230839">
        <w:rPr>
          <w:rFonts w:ascii="Palatino Linotype" w:eastAsia="Palatino Linotype" w:hAnsi="Palatino Linotype" w:cs="Palatino Linotype"/>
          <w:sz w:val="24"/>
          <w:szCs w:val="24"/>
        </w:rPr>
        <w:t xml:space="preserve"> </w:t>
      </w:r>
      <w:r w:rsidRPr="00230839">
        <w:rPr>
          <w:rFonts w:ascii="Palatino Linotype" w:eastAsia="Palatino Linotype" w:hAnsi="Palatino Linotype" w:cs="Palatino Linotype"/>
          <w:b/>
          <w:sz w:val="24"/>
          <w:szCs w:val="24"/>
        </w:rPr>
        <w:lastRenderedPageBreak/>
        <w:t>RECURRENTE</w:t>
      </w:r>
      <w:r w:rsidRPr="00230839">
        <w:rPr>
          <w:rFonts w:ascii="Palatino Linotype" w:eastAsia="Palatino Linotype" w:hAnsi="Palatino Linotype" w:cs="Palatino Linotype"/>
          <w:sz w:val="24"/>
          <w:szCs w:val="24"/>
        </w:rPr>
        <w:t xml:space="preserve">, en razón de que no se realizaron manifestaciones de inconformidad en dicho punto de la respuesta por lo que no pueden producirse efectos jurídicos tendentes a revocar, confirmar o modificar el acto reclamado ya que se infiere un consentimiento de </w:t>
      </w:r>
      <w:r w:rsidRPr="00230839">
        <w:rPr>
          <w:rFonts w:ascii="Palatino Linotype" w:eastAsia="Palatino Linotype" w:hAnsi="Palatino Linotype" w:cs="Palatino Linotype"/>
          <w:b/>
          <w:sz w:val="24"/>
          <w:szCs w:val="24"/>
        </w:rPr>
        <w:t>LA PARTE RECURRENTE</w:t>
      </w:r>
      <w:r w:rsidRPr="00230839">
        <w:rPr>
          <w:rFonts w:ascii="Palatino Linotype" w:eastAsia="Palatino Linotype" w:hAnsi="Palatino Linotype" w:cs="Palatino Linotype"/>
          <w:sz w:val="24"/>
          <w:szCs w:val="24"/>
        </w:rPr>
        <w:t xml:space="preserve"> ante la falta de impugnación eficaz. </w:t>
      </w:r>
    </w:p>
    <w:p w14:paraId="010EFD0C" w14:textId="77777777" w:rsidR="007828E6" w:rsidRPr="00230839" w:rsidRDefault="007828E6" w:rsidP="007828E6">
      <w:pPr>
        <w:spacing w:line="360" w:lineRule="auto"/>
        <w:contextualSpacing/>
        <w:jc w:val="both"/>
        <w:rPr>
          <w:rFonts w:ascii="Palatino Linotype" w:eastAsia="Palatino Linotype" w:hAnsi="Palatino Linotype" w:cs="Palatino Linotype"/>
          <w:sz w:val="24"/>
          <w:szCs w:val="24"/>
        </w:rPr>
      </w:pPr>
    </w:p>
    <w:p w14:paraId="370E6577"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3E57513C"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36D44948" w14:textId="77777777" w:rsidR="007828E6" w:rsidRPr="00230839" w:rsidRDefault="007828E6" w:rsidP="007828E6">
      <w:pPr>
        <w:spacing w:after="0" w:line="276" w:lineRule="auto"/>
        <w:ind w:left="567" w:right="618"/>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 xml:space="preserve">“REVISIÓN EN AMPARO. LOS RESOLUTIVOS NO COMBATIDOS DEBEN DECLARARSE FIRMES. </w:t>
      </w:r>
      <w:r w:rsidRPr="00230839">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bookmarkStart w:id="2" w:name="_Hlk96451588"/>
    </w:p>
    <w:p w14:paraId="090C2ADF" w14:textId="77777777" w:rsidR="007828E6" w:rsidRPr="00230839" w:rsidRDefault="007828E6" w:rsidP="007828E6">
      <w:pPr>
        <w:spacing w:after="0"/>
        <w:ind w:left="567" w:right="616"/>
        <w:jc w:val="both"/>
        <w:rPr>
          <w:rFonts w:ascii="Palatino Linotype" w:eastAsia="Palatino Linotype" w:hAnsi="Palatino Linotype" w:cs="Palatino Linotype"/>
          <w:i/>
          <w:sz w:val="24"/>
        </w:rPr>
      </w:pPr>
    </w:p>
    <w:p w14:paraId="32D56D14" w14:textId="77777777" w:rsidR="007828E6" w:rsidRPr="00230839" w:rsidRDefault="007828E6" w:rsidP="007828E6">
      <w:pPr>
        <w:spacing w:after="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Consecuentemente, se insiste, ante la falta de impugnación eficaz, la respuesta entregada debe declararse consentida por persona solicitante.</w:t>
      </w:r>
    </w:p>
    <w:p w14:paraId="40C6575B" w14:textId="77777777" w:rsidR="007828E6" w:rsidRPr="00230839" w:rsidRDefault="007828E6" w:rsidP="007828E6">
      <w:pPr>
        <w:spacing w:after="0" w:line="360" w:lineRule="auto"/>
        <w:contextualSpacing/>
        <w:jc w:val="both"/>
        <w:rPr>
          <w:rFonts w:ascii="Palatino Linotype" w:eastAsia="Palatino Linotype" w:hAnsi="Palatino Linotype" w:cs="Palatino Linotype"/>
          <w:sz w:val="24"/>
          <w:szCs w:val="24"/>
        </w:rPr>
      </w:pPr>
    </w:p>
    <w:bookmarkEnd w:id="2"/>
    <w:p w14:paraId="141215A7" w14:textId="77777777" w:rsidR="007828E6" w:rsidRPr="00230839" w:rsidRDefault="007828E6" w:rsidP="007828E6">
      <w:pPr>
        <w:spacing w:after="0" w:line="360" w:lineRule="auto"/>
        <w:contextualSpacing/>
        <w:jc w:val="both"/>
        <w:rPr>
          <w:rFonts w:ascii="Palatino Linotype" w:hAnsi="Palatino Linotype"/>
          <w:sz w:val="24"/>
          <w:szCs w:val="24"/>
        </w:rPr>
      </w:pPr>
      <w:r w:rsidRPr="00230839">
        <w:rPr>
          <w:rFonts w:ascii="Palatino Linotype" w:hAnsi="Palatino Linotype" w:cs="Arial"/>
          <w:sz w:val="24"/>
          <w:szCs w:val="24"/>
        </w:rPr>
        <w:lastRenderedPageBreak/>
        <w:t>Lo anterior se sustenta con lo plasmado en el criterio</w:t>
      </w:r>
      <w:r w:rsidRPr="00230839">
        <w:rPr>
          <w:rFonts w:ascii="Palatino Linotype" w:hAnsi="Palatino Linotype"/>
          <w:sz w:val="24"/>
          <w:szCs w:val="24"/>
        </w:rPr>
        <w:t xml:space="preserve"> 01/20 emitido por el Instituto Nacional de Transparencia, Acceso a la Información, y Protección de Datos Personales, INAI, que lleva por rubro y texto los siguientes: </w:t>
      </w:r>
    </w:p>
    <w:p w14:paraId="14D5681C" w14:textId="77777777" w:rsidR="007828E6" w:rsidRPr="00230839" w:rsidRDefault="007828E6" w:rsidP="007828E6">
      <w:pPr>
        <w:spacing w:after="0" w:line="360" w:lineRule="auto"/>
        <w:jc w:val="both"/>
        <w:rPr>
          <w:rFonts w:ascii="Palatino Linotype" w:hAnsi="Palatino Linotype"/>
          <w:sz w:val="24"/>
          <w:szCs w:val="24"/>
        </w:rPr>
      </w:pPr>
    </w:p>
    <w:p w14:paraId="5A07B5BD" w14:textId="77777777" w:rsidR="007828E6" w:rsidRPr="00230839" w:rsidRDefault="007828E6" w:rsidP="007828E6">
      <w:pPr>
        <w:pStyle w:val="Sinespaciado"/>
        <w:spacing w:line="276" w:lineRule="auto"/>
        <w:ind w:left="567" w:right="902"/>
        <w:contextualSpacing/>
        <w:jc w:val="both"/>
        <w:rPr>
          <w:rFonts w:ascii="Palatino Linotype" w:hAnsi="Palatino Linotype"/>
          <w:i/>
          <w:iCs/>
          <w:sz w:val="22"/>
        </w:rPr>
      </w:pPr>
      <w:r w:rsidRPr="00230839">
        <w:rPr>
          <w:rFonts w:ascii="Palatino Linotype" w:hAnsi="Palatino Linotype"/>
          <w:i/>
          <w:iCs/>
          <w:sz w:val="22"/>
        </w:rPr>
        <w:t>“</w:t>
      </w:r>
      <w:r w:rsidRPr="00230839">
        <w:rPr>
          <w:rFonts w:ascii="Palatino Linotype" w:hAnsi="Palatino Linotype" w:cs="Arial"/>
          <w:b/>
          <w:i/>
          <w:iCs/>
          <w:sz w:val="22"/>
        </w:rPr>
        <w:t xml:space="preserve">Actos consentidos tácitamente. Improcedencia de su análisis. </w:t>
      </w:r>
      <w:r w:rsidRPr="00230839">
        <w:rPr>
          <w:rFonts w:ascii="Palatino Linotype" w:hAnsi="Palatino Linotype" w:cs="Arial"/>
          <w:i/>
          <w:iCs/>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r w:rsidRPr="00230839">
        <w:rPr>
          <w:rFonts w:ascii="Palatino Linotype" w:hAnsi="Palatino Linotype"/>
          <w:i/>
          <w:iCs/>
          <w:sz w:val="22"/>
        </w:rPr>
        <w:t>”</w:t>
      </w:r>
    </w:p>
    <w:p w14:paraId="74D3FD02" w14:textId="77777777" w:rsidR="007828E6" w:rsidRPr="00230839" w:rsidRDefault="007828E6" w:rsidP="007828E6">
      <w:pPr>
        <w:pStyle w:val="Sinespaciado"/>
        <w:spacing w:line="276" w:lineRule="auto"/>
        <w:ind w:left="567" w:right="902"/>
        <w:jc w:val="both"/>
        <w:rPr>
          <w:rFonts w:ascii="Palatino Linotype" w:hAnsi="Palatino Linotype"/>
          <w:iCs/>
        </w:rPr>
      </w:pPr>
    </w:p>
    <w:p w14:paraId="039E1E68"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Asimismo, resulta aplicable por analogía la tesis jurisprudencial número VI.3o.C. J/60, publicada en el Semanario Judicial de la Federación y su Gaceta bajo el número de registro 176,608 que a la letra dice:</w:t>
      </w:r>
    </w:p>
    <w:p w14:paraId="640125D0"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1B1498F2" w14:textId="77777777" w:rsidR="007828E6" w:rsidRPr="00230839" w:rsidRDefault="007828E6" w:rsidP="007828E6">
      <w:pPr>
        <w:tabs>
          <w:tab w:val="left" w:pos="851"/>
          <w:tab w:val="left" w:pos="1276"/>
        </w:tabs>
        <w:spacing w:after="0" w:line="276" w:lineRule="auto"/>
        <w:ind w:left="567" w:right="709"/>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smallCaps/>
        </w:rPr>
        <w:t xml:space="preserve">“ACTOS CONSENTIDOS. SON LOS QUE NO SE IMPUGNAN MEDIANTE EL RECURSO IDÓNEO. </w:t>
      </w:r>
      <w:r w:rsidRPr="00230839">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03C437A" w14:textId="77777777" w:rsidR="007828E6" w:rsidRPr="00230839" w:rsidRDefault="007828E6" w:rsidP="007828E6">
      <w:pPr>
        <w:spacing w:after="0" w:line="360" w:lineRule="auto"/>
        <w:contextualSpacing/>
        <w:jc w:val="both"/>
        <w:rPr>
          <w:rFonts w:ascii="Palatino Linotype" w:eastAsia="Palatino Linotype" w:hAnsi="Palatino Linotype" w:cs="Palatino Linotype"/>
          <w:sz w:val="24"/>
          <w:szCs w:val="24"/>
        </w:rPr>
      </w:pPr>
    </w:p>
    <w:p w14:paraId="22F53E58" w14:textId="40F03FED" w:rsidR="007828E6" w:rsidRPr="00230839" w:rsidRDefault="007828E6" w:rsidP="007828E6">
      <w:pPr>
        <w:spacing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Una vez determinada la vía sobre la que versará el presente recurso, es de recordar que la respuesta fue proporcionada por </w:t>
      </w:r>
      <w:r w:rsidR="00AE0788" w:rsidRPr="00230839">
        <w:rPr>
          <w:rFonts w:ascii="Palatino Linotype" w:eastAsia="Palatino Linotype" w:hAnsi="Palatino Linotype" w:cs="Palatino Linotype"/>
          <w:sz w:val="24"/>
          <w:szCs w:val="24"/>
        </w:rPr>
        <w:t xml:space="preserve">la Dirección General de Desarrollo Urbano por conducto de </w:t>
      </w:r>
      <w:r w:rsidRPr="00230839">
        <w:rPr>
          <w:rFonts w:ascii="Palatino Linotype" w:eastAsia="Palatino Linotype" w:hAnsi="Palatino Linotype" w:cs="Palatino Linotype"/>
          <w:sz w:val="24"/>
          <w:szCs w:val="24"/>
        </w:rPr>
        <w:t>la Subdirección de Planeación y Evaluación Urbana, quien cuenta con el Departamento de Evaluación y Normatividad Urbana, quien cuenta con las siguientes atribuciones:</w:t>
      </w:r>
    </w:p>
    <w:p w14:paraId="35657117"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0FB04D49" w14:textId="77777777" w:rsidR="007828E6" w:rsidRPr="00230839" w:rsidRDefault="007828E6" w:rsidP="007828E6">
      <w:pPr>
        <w:spacing w:before="240" w:after="240" w:line="276" w:lineRule="auto"/>
        <w:ind w:left="851" w:right="902"/>
        <w:contextualSpacing/>
        <w:jc w:val="both"/>
        <w:rPr>
          <w:rFonts w:ascii="Palatino Linotype" w:hAnsi="Palatino Linotype"/>
          <w:b/>
          <w:i/>
        </w:rPr>
      </w:pPr>
      <w:r w:rsidRPr="00230839">
        <w:rPr>
          <w:rFonts w:ascii="Palatino Linotype" w:hAnsi="Palatino Linotype"/>
          <w:b/>
          <w:i/>
        </w:rPr>
        <w:lastRenderedPageBreak/>
        <w:t>“REGLAMENTO INTERNO DE LA DIRECCIÓN GENERAL DE DESARROLLO URBANO DEL MUNICIPIO DE NAUCALPAN DE JUÁREZ, MÉXICO</w:t>
      </w:r>
    </w:p>
    <w:p w14:paraId="522F55C5" w14:textId="77777777" w:rsidR="00AE0788" w:rsidRPr="00230839" w:rsidRDefault="00AE0788" w:rsidP="007828E6">
      <w:pPr>
        <w:spacing w:before="240" w:after="240" w:line="276" w:lineRule="auto"/>
        <w:ind w:left="851" w:right="902"/>
        <w:contextualSpacing/>
        <w:jc w:val="both"/>
        <w:rPr>
          <w:rFonts w:ascii="Palatino Linotype" w:hAnsi="Palatino Linotype"/>
          <w:b/>
          <w:i/>
        </w:rPr>
      </w:pPr>
    </w:p>
    <w:p w14:paraId="7CFA44BF" w14:textId="16C7D550" w:rsidR="00AE0788" w:rsidRPr="00230839" w:rsidRDefault="00AE0788" w:rsidP="00AE0788">
      <w:pPr>
        <w:spacing w:before="240" w:after="240" w:line="276" w:lineRule="auto"/>
        <w:ind w:left="851" w:right="902"/>
        <w:contextualSpacing/>
        <w:jc w:val="both"/>
        <w:rPr>
          <w:rFonts w:ascii="Palatino Linotype" w:hAnsi="Palatino Linotype"/>
          <w:i/>
        </w:rPr>
      </w:pPr>
      <w:r w:rsidRPr="00230839">
        <w:rPr>
          <w:rFonts w:ascii="Palatino Linotype" w:hAnsi="Palatino Linotype"/>
          <w:b/>
          <w:i/>
        </w:rPr>
        <w:t xml:space="preserve">Artículo 9.- </w:t>
      </w:r>
      <w:r w:rsidRPr="00230839">
        <w:rPr>
          <w:rFonts w:ascii="Palatino Linotype" w:hAnsi="Palatino Linotype"/>
          <w:i/>
        </w:rPr>
        <w:t>La Dirección General, estará a cargo de un titular, que se denominará Director(a) General; y adicional a las atribuciones generales contenidas en el Reglamento Orgánico con este carácter, tendrá las siguientes atribuciones no delegables:</w:t>
      </w:r>
    </w:p>
    <w:p w14:paraId="0B4F0C5F" w14:textId="519C9808" w:rsidR="00AE0788" w:rsidRPr="00230839" w:rsidRDefault="00AE0788" w:rsidP="00AE0788">
      <w:pPr>
        <w:spacing w:before="240" w:after="240" w:line="276" w:lineRule="auto"/>
        <w:ind w:left="851" w:right="902"/>
        <w:contextualSpacing/>
        <w:jc w:val="both"/>
        <w:rPr>
          <w:rFonts w:ascii="Palatino Linotype" w:hAnsi="Palatino Linotype"/>
          <w:b/>
          <w:i/>
        </w:rPr>
      </w:pPr>
      <w:r w:rsidRPr="00230839">
        <w:rPr>
          <w:rFonts w:ascii="Palatino Linotype" w:hAnsi="Palatino Linotype"/>
          <w:b/>
          <w:i/>
        </w:rPr>
        <w:t>(…)</w:t>
      </w:r>
    </w:p>
    <w:p w14:paraId="7F814C3C" w14:textId="55FDEBD5" w:rsidR="00AE0788" w:rsidRPr="00230839" w:rsidRDefault="00AE0788" w:rsidP="00AE0788">
      <w:pPr>
        <w:spacing w:before="240" w:after="240" w:line="276" w:lineRule="auto"/>
        <w:ind w:left="851" w:right="902"/>
        <w:contextualSpacing/>
        <w:jc w:val="both"/>
        <w:rPr>
          <w:rFonts w:ascii="Palatino Linotype" w:hAnsi="Palatino Linotype"/>
          <w:b/>
          <w:i/>
        </w:rPr>
      </w:pPr>
      <w:r w:rsidRPr="00230839">
        <w:rPr>
          <w:rFonts w:ascii="Palatino Linotype" w:hAnsi="Palatino Linotype"/>
          <w:b/>
          <w:i/>
        </w:rPr>
        <w:t xml:space="preserve">XXX. </w:t>
      </w:r>
      <w:r w:rsidRPr="00230839">
        <w:rPr>
          <w:rFonts w:ascii="Palatino Linotype" w:hAnsi="Palatino Linotype"/>
          <w:i/>
        </w:rPr>
        <w:t>Expedir la autorización de Cambio de Uso de Suelo, de Densidad e Intensidad y Altura de edificaciones, la Licencia de Uso de Suelo que requiera de Evaluación de Impacto Estatal, previamente expedido por la Secretaría de Desarrollo Urbano y Obra, la Licencia de Construcción, Constancias de Suspensión Voluntaria y de terminación de Obra parcial o total, que tenga sustento en la Licencia de Uso de Suelo;</w:t>
      </w:r>
    </w:p>
    <w:p w14:paraId="79919965" w14:textId="77777777" w:rsidR="007828E6" w:rsidRPr="00230839" w:rsidRDefault="007828E6" w:rsidP="007828E6">
      <w:pPr>
        <w:spacing w:before="240" w:after="240" w:line="276" w:lineRule="auto"/>
        <w:ind w:left="851" w:right="902"/>
        <w:contextualSpacing/>
        <w:jc w:val="both"/>
        <w:rPr>
          <w:rFonts w:ascii="Palatino Linotype" w:hAnsi="Palatino Linotype"/>
          <w:b/>
          <w:i/>
        </w:rPr>
      </w:pPr>
    </w:p>
    <w:p w14:paraId="61B6BA84" w14:textId="77777777" w:rsidR="007828E6" w:rsidRPr="00230839" w:rsidRDefault="007828E6" w:rsidP="007828E6">
      <w:pPr>
        <w:spacing w:before="240" w:after="240" w:line="276" w:lineRule="auto"/>
        <w:ind w:left="851" w:right="902"/>
        <w:contextualSpacing/>
        <w:jc w:val="both"/>
        <w:rPr>
          <w:rFonts w:ascii="Palatino Linotype" w:hAnsi="Palatino Linotype"/>
          <w:i/>
        </w:rPr>
      </w:pPr>
      <w:r w:rsidRPr="00230839">
        <w:rPr>
          <w:rFonts w:ascii="Palatino Linotype" w:hAnsi="Palatino Linotype"/>
          <w:b/>
          <w:i/>
        </w:rPr>
        <w:t xml:space="preserve">Artículo 16.- </w:t>
      </w:r>
      <w:r w:rsidRPr="00230839">
        <w:rPr>
          <w:rFonts w:ascii="Palatino Linotype" w:hAnsi="Palatino Linotype"/>
          <w:i/>
        </w:rPr>
        <w:t>La Subdirección de Planeación y Evaluación Urbana, para el despacho de sus atribuciones, se auxiliará de las Unidades Administrativas siguientes:</w:t>
      </w:r>
    </w:p>
    <w:p w14:paraId="3A1E397D" w14:textId="77777777" w:rsidR="007828E6" w:rsidRPr="00230839" w:rsidRDefault="007828E6" w:rsidP="007828E6">
      <w:pPr>
        <w:spacing w:before="240" w:after="240" w:line="276" w:lineRule="auto"/>
        <w:ind w:left="851" w:right="902"/>
        <w:contextualSpacing/>
        <w:jc w:val="both"/>
        <w:rPr>
          <w:rFonts w:ascii="Palatino Linotype" w:hAnsi="Palatino Linotype"/>
          <w:i/>
        </w:rPr>
      </w:pPr>
      <w:r w:rsidRPr="00230839">
        <w:rPr>
          <w:rFonts w:ascii="Palatino Linotype" w:hAnsi="Palatino Linotype"/>
          <w:i/>
        </w:rPr>
        <w:t>I. Departamento de Evaluación y Normatividad Urbana</w:t>
      </w:r>
      <w:r w:rsidRPr="00230839">
        <w:rPr>
          <w:rFonts w:ascii="Palatino Linotype" w:hAnsi="Palatino Linotype"/>
          <w:b/>
          <w:i/>
        </w:rPr>
        <w:t>;</w:t>
      </w:r>
      <w:r w:rsidRPr="00230839">
        <w:rPr>
          <w:rFonts w:ascii="Palatino Linotype" w:hAnsi="Palatino Linotype"/>
          <w:i/>
        </w:rPr>
        <w:t>”</w:t>
      </w:r>
    </w:p>
    <w:p w14:paraId="34903A97"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p>
    <w:p w14:paraId="1C2485F4"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b/>
          <w:i/>
        </w:rPr>
        <w:t>Artículo 17.-</w:t>
      </w:r>
      <w:r w:rsidRPr="00230839">
        <w:rPr>
          <w:rFonts w:ascii="Palatino Linotype" w:eastAsia="Palatino Linotype" w:hAnsi="Palatino Linotype" w:cs="Palatino Linotype"/>
          <w:i/>
        </w:rPr>
        <w:t xml:space="preserve"> El Departamento de Evaluación y Normatividad Urbana, estará a cargo de un titular, que se denominará Jefe (a) del Departamento de Evaluación y Normatividad; y tendrá las atribuciones siguientes:</w:t>
      </w:r>
    </w:p>
    <w:p w14:paraId="4033A5FA"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w:t>
      </w:r>
    </w:p>
    <w:p w14:paraId="1873347A" w14:textId="77777777" w:rsidR="007828E6" w:rsidRPr="00230839" w:rsidRDefault="007828E6" w:rsidP="007828E6">
      <w:pPr>
        <w:spacing w:before="240" w:after="240" w:line="276" w:lineRule="auto"/>
        <w:ind w:left="851" w:right="902"/>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i/>
        </w:rPr>
        <w:t>II. Elaborar los dictámenes técnicos de cambio de uso de suelo;”</w:t>
      </w:r>
      <w:r w:rsidRPr="00230839">
        <w:rPr>
          <w:rFonts w:ascii="Palatino Linotype" w:eastAsia="Palatino Linotype" w:hAnsi="Palatino Linotype" w:cs="Palatino Linotype"/>
          <w:i/>
          <w:sz w:val="24"/>
          <w:szCs w:val="24"/>
        </w:rPr>
        <w:cr/>
      </w:r>
    </w:p>
    <w:p w14:paraId="16B0D8D5" w14:textId="089C4594" w:rsidR="007828E6" w:rsidRPr="00230839" w:rsidRDefault="00AE0788" w:rsidP="007828E6">
      <w:pPr>
        <w:spacing w:after="0" w:line="360" w:lineRule="auto"/>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De acuerdo a lo anterior, la Dirección General de Desarrollo Urbano, expide la autorización de cambio de uso de suelo, por su parte e</w:t>
      </w:r>
      <w:r w:rsidR="007828E6" w:rsidRPr="00230839">
        <w:rPr>
          <w:rFonts w:ascii="Palatino Linotype" w:eastAsia="Palatino Linotype" w:hAnsi="Palatino Linotype" w:cs="Palatino Linotype"/>
          <w:sz w:val="24"/>
          <w:szCs w:val="24"/>
        </w:rPr>
        <w:t xml:space="preserve">l Departamento de Evaluación y Normatividad Urbana, es la responsable de laborar los dictámenes técnicos de cambio de uso de suelo, por ello, resulta oportuno referir que, si bien, la Titular de </w:t>
      </w:r>
      <w:r w:rsidR="007828E6" w:rsidRPr="00230839">
        <w:rPr>
          <w:rFonts w:ascii="Palatino Linotype" w:eastAsia="Palatino Linotype" w:hAnsi="Palatino Linotype" w:cs="Palatino Linotype"/>
          <w:sz w:val="24"/>
          <w:szCs w:val="24"/>
        </w:rPr>
        <w:lastRenderedPageBreak/>
        <w:t xml:space="preserve">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007828E6" w:rsidRPr="00230839">
        <w:rPr>
          <w:rFonts w:ascii="Palatino Linotype" w:eastAsia="Palatino Linotype" w:hAnsi="Palatino Linotype" w:cs="Palatino Linotype"/>
          <w:b/>
          <w:sz w:val="24"/>
          <w:szCs w:val="24"/>
        </w:rPr>
        <w:t>tramitar ante las Áreas poseedoras de la información lo que se solicita</w:t>
      </w:r>
      <w:r w:rsidR="007828E6" w:rsidRPr="00230839">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197B12D0" w14:textId="77777777" w:rsidR="007828E6" w:rsidRPr="00230839" w:rsidRDefault="007828E6" w:rsidP="007828E6">
      <w:pPr>
        <w:tabs>
          <w:tab w:val="left" w:pos="709"/>
        </w:tabs>
        <w:ind w:left="851" w:right="760"/>
        <w:jc w:val="both"/>
        <w:rPr>
          <w:rFonts w:ascii="Palatino Linotype" w:eastAsia="Palatino Linotype" w:hAnsi="Palatino Linotype" w:cs="Palatino Linotype"/>
          <w:sz w:val="24"/>
          <w:szCs w:val="24"/>
        </w:rPr>
      </w:pPr>
    </w:p>
    <w:p w14:paraId="218D6837" w14:textId="77777777" w:rsidR="007828E6" w:rsidRPr="00230839" w:rsidRDefault="007828E6" w:rsidP="007828E6">
      <w:pPr>
        <w:tabs>
          <w:tab w:val="left" w:pos="709"/>
        </w:tabs>
        <w:spacing w:after="0" w:line="276" w:lineRule="auto"/>
        <w:ind w:left="851" w:right="760"/>
        <w:contextualSpacing/>
        <w:jc w:val="center"/>
        <w:rPr>
          <w:rFonts w:ascii="Palatino Linotype" w:eastAsia="Palatino Linotype" w:hAnsi="Palatino Linotype" w:cs="Palatino Linotype"/>
          <w:b/>
          <w:i/>
          <w:sz w:val="20"/>
          <w:szCs w:val="20"/>
        </w:rPr>
      </w:pPr>
      <w:r w:rsidRPr="00230839">
        <w:rPr>
          <w:rFonts w:ascii="Palatino Linotype" w:eastAsia="Palatino Linotype" w:hAnsi="Palatino Linotype" w:cs="Palatino Linotype"/>
          <w:b/>
        </w:rPr>
        <w:t>“Ley de Transparencia y Acceso a la Información Pública del Estado de México y Municipios</w:t>
      </w:r>
    </w:p>
    <w:p w14:paraId="48E3D7BA" w14:textId="77777777" w:rsidR="007828E6" w:rsidRPr="00230839" w:rsidRDefault="007828E6" w:rsidP="007828E6">
      <w:pPr>
        <w:tabs>
          <w:tab w:val="left" w:pos="709"/>
        </w:tabs>
        <w:spacing w:after="0" w:line="276" w:lineRule="auto"/>
        <w:ind w:left="851" w:right="760"/>
        <w:contextualSpacing/>
        <w:jc w:val="both"/>
        <w:rPr>
          <w:rFonts w:ascii="Palatino Linotype" w:eastAsia="Palatino Linotype" w:hAnsi="Palatino Linotype" w:cs="Palatino Linotype"/>
          <w:i/>
          <w:sz w:val="20"/>
          <w:szCs w:val="20"/>
        </w:rPr>
      </w:pPr>
    </w:p>
    <w:p w14:paraId="67D7DAED" w14:textId="77777777" w:rsidR="007828E6" w:rsidRPr="00230839" w:rsidRDefault="007828E6" w:rsidP="007828E6">
      <w:pPr>
        <w:tabs>
          <w:tab w:val="left" w:pos="709"/>
        </w:tabs>
        <w:spacing w:after="0" w:line="276" w:lineRule="auto"/>
        <w:ind w:left="851"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5EF6A690" w14:textId="77777777" w:rsidR="007828E6" w:rsidRPr="00230839" w:rsidRDefault="007828E6" w:rsidP="007828E6">
      <w:pPr>
        <w:tabs>
          <w:tab w:val="left" w:pos="709"/>
        </w:tabs>
        <w:spacing w:after="0" w:line="276" w:lineRule="auto"/>
        <w:ind w:left="851"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230839">
        <w:rPr>
          <w:rFonts w:ascii="Palatino Linotype" w:eastAsia="Palatino Linotype" w:hAnsi="Palatino Linotype" w:cs="Palatino Linotype"/>
          <w:b/>
          <w:i/>
          <w:u w:val="single"/>
        </w:rPr>
        <w:t>Dicha Unidad será la encargada de tramitar internamente la solicitud de información</w:t>
      </w:r>
      <w:r w:rsidRPr="00230839">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760D4CE" w14:textId="77777777" w:rsidR="007828E6" w:rsidRPr="00230839" w:rsidRDefault="007828E6" w:rsidP="007828E6">
      <w:pPr>
        <w:tabs>
          <w:tab w:val="left" w:pos="709"/>
        </w:tabs>
        <w:spacing w:after="0" w:line="276" w:lineRule="auto"/>
        <w:ind w:left="851"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w:t>
      </w:r>
    </w:p>
    <w:p w14:paraId="18D0AB4B" w14:textId="77777777" w:rsidR="007828E6" w:rsidRPr="00230839" w:rsidRDefault="007828E6" w:rsidP="007828E6">
      <w:pPr>
        <w:tabs>
          <w:tab w:val="left" w:pos="709"/>
        </w:tabs>
        <w:spacing w:after="0" w:line="276" w:lineRule="auto"/>
        <w:ind w:left="851"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Artículo 53. Las Unidades de Transparencia tendrán las siguientes funciones:</w:t>
      </w:r>
    </w:p>
    <w:p w14:paraId="18482887" w14:textId="77777777" w:rsidR="007828E6" w:rsidRPr="00230839" w:rsidRDefault="007828E6" w:rsidP="007828E6">
      <w:pPr>
        <w:tabs>
          <w:tab w:val="left" w:pos="709"/>
        </w:tabs>
        <w:spacing w:after="0" w:line="276" w:lineRule="auto"/>
        <w:ind w:left="851"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w:t>
      </w:r>
    </w:p>
    <w:p w14:paraId="23477313" w14:textId="77777777" w:rsidR="007828E6" w:rsidRPr="00230839" w:rsidRDefault="007828E6" w:rsidP="007828E6">
      <w:pPr>
        <w:tabs>
          <w:tab w:val="left" w:pos="709"/>
        </w:tabs>
        <w:spacing w:after="0" w:line="276" w:lineRule="auto"/>
        <w:ind w:left="851"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 xml:space="preserve">II. Recibir, tramitar y dar respuesta a las solicitudes de acceso a la información; </w:t>
      </w:r>
    </w:p>
    <w:p w14:paraId="071663F1" w14:textId="77777777" w:rsidR="007828E6" w:rsidRPr="00230839" w:rsidRDefault="007828E6" w:rsidP="007828E6">
      <w:pPr>
        <w:tabs>
          <w:tab w:val="left" w:pos="709"/>
        </w:tabs>
        <w:spacing w:after="0" w:line="276" w:lineRule="auto"/>
        <w:ind w:left="851"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w:t>
      </w:r>
    </w:p>
    <w:p w14:paraId="0104C555" w14:textId="77777777" w:rsidR="007828E6" w:rsidRPr="00230839" w:rsidRDefault="007828E6" w:rsidP="007828E6">
      <w:pPr>
        <w:tabs>
          <w:tab w:val="left" w:pos="709"/>
        </w:tabs>
        <w:spacing w:after="0" w:line="276" w:lineRule="auto"/>
        <w:ind w:left="851" w:right="760"/>
        <w:contextualSpacing/>
        <w:jc w:val="both"/>
        <w:rPr>
          <w:rFonts w:ascii="Palatino Linotype" w:eastAsia="Palatino Linotype" w:hAnsi="Palatino Linotype" w:cs="Palatino Linotype"/>
          <w:b/>
          <w:i/>
          <w:u w:val="single"/>
        </w:rPr>
      </w:pPr>
      <w:r w:rsidRPr="00230839">
        <w:rPr>
          <w:rFonts w:ascii="Palatino Linotype" w:eastAsia="Palatino Linotype" w:hAnsi="Palatino Linotype" w:cs="Palatino Linotype"/>
          <w:b/>
          <w:i/>
          <w:u w:val="single"/>
        </w:rPr>
        <w:lastRenderedPageBreak/>
        <w:t xml:space="preserve">IV. Realizar, con efectividad, los trámites internos necesarios para la atención de las solicitudes de acceso a la información; </w:t>
      </w:r>
    </w:p>
    <w:p w14:paraId="2F130ADF" w14:textId="77777777" w:rsidR="007828E6" w:rsidRPr="00230839" w:rsidRDefault="007828E6" w:rsidP="007828E6">
      <w:pPr>
        <w:tabs>
          <w:tab w:val="left" w:pos="709"/>
        </w:tabs>
        <w:spacing w:after="0" w:line="276" w:lineRule="auto"/>
        <w:ind w:left="851"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 xml:space="preserve">V. Entregar, en su caso, a los particulares la información solicitada; </w:t>
      </w:r>
    </w:p>
    <w:p w14:paraId="0894E150" w14:textId="77777777" w:rsidR="007828E6" w:rsidRPr="00230839" w:rsidRDefault="007828E6" w:rsidP="007828E6">
      <w:pPr>
        <w:tabs>
          <w:tab w:val="left" w:pos="709"/>
        </w:tabs>
        <w:spacing w:after="0" w:line="276" w:lineRule="auto"/>
        <w:ind w:left="851" w:right="760"/>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VI. Efectuar las notificaciones a los solicitantes;”</w:t>
      </w:r>
    </w:p>
    <w:p w14:paraId="52945FF0"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21316048"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230839">
        <w:rPr>
          <w:rFonts w:ascii="Palatino Linotype" w:eastAsia="Palatino Linotype" w:hAnsi="Palatino Linotype" w:cs="Palatino Linotype"/>
          <w:b/>
          <w:sz w:val="24"/>
          <w:szCs w:val="24"/>
        </w:rPr>
        <w:t>Sujeto Obligado</w:t>
      </w:r>
      <w:r w:rsidRPr="00230839">
        <w:rPr>
          <w:rFonts w:ascii="Palatino Linotype" w:eastAsia="Palatino Linotype" w:hAnsi="Palatino Linotype" w:cs="Palatino Linotype"/>
          <w:sz w:val="24"/>
          <w:szCs w:val="24"/>
        </w:rPr>
        <w:t xml:space="preserve">, lo cierto es que también tienen diversas Unidades Administrativas y cada área cuenta con un </w:t>
      </w:r>
      <w:r w:rsidRPr="00230839">
        <w:rPr>
          <w:rFonts w:ascii="Palatino Linotype" w:eastAsia="Palatino Linotype" w:hAnsi="Palatino Linotype" w:cs="Palatino Linotype"/>
          <w:b/>
          <w:sz w:val="24"/>
          <w:szCs w:val="24"/>
        </w:rPr>
        <w:t>Servidor Público Habilitado</w:t>
      </w:r>
      <w:r w:rsidRPr="00230839">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E475D1B" w14:textId="77777777" w:rsidR="007828E6" w:rsidRPr="00230839" w:rsidRDefault="007828E6" w:rsidP="007828E6">
      <w:pPr>
        <w:spacing w:after="0" w:line="360" w:lineRule="auto"/>
        <w:rPr>
          <w:rFonts w:ascii="Palatino Linotype" w:eastAsia="Palatino Linotype" w:hAnsi="Palatino Linotype" w:cs="Palatino Linotype"/>
          <w:sz w:val="24"/>
          <w:szCs w:val="24"/>
        </w:rPr>
      </w:pPr>
    </w:p>
    <w:p w14:paraId="12CBC26F" w14:textId="77777777" w:rsidR="007828E6" w:rsidRPr="00230839" w:rsidRDefault="007828E6" w:rsidP="007828E6">
      <w:pPr>
        <w:spacing w:after="0" w:line="276" w:lineRule="auto"/>
        <w:ind w:left="567" w:right="709"/>
        <w:jc w:val="both"/>
        <w:rPr>
          <w:rFonts w:ascii="Palatino Linotype" w:eastAsia="Palatino Linotype" w:hAnsi="Palatino Linotype" w:cs="Palatino Linotype"/>
          <w:i/>
        </w:rPr>
      </w:pPr>
      <w:r w:rsidRPr="00230839">
        <w:rPr>
          <w:rFonts w:ascii="Palatino Linotype" w:eastAsia="Palatino Linotype" w:hAnsi="Palatino Linotype" w:cs="Palatino Linotype"/>
          <w:b/>
          <w:i/>
        </w:rPr>
        <w:t>“Artículo 3.</w:t>
      </w:r>
      <w:r w:rsidRPr="00230839">
        <w:rPr>
          <w:rFonts w:ascii="Palatino Linotype" w:eastAsia="Palatino Linotype" w:hAnsi="Palatino Linotype" w:cs="Palatino Linotype"/>
          <w:i/>
        </w:rPr>
        <w:t xml:space="preserve"> Para los efectos de la presente Ley se entenderá por:</w:t>
      </w:r>
    </w:p>
    <w:p w14:paraId="2DEEC5E9" w14:textId="77777777" w:rsidR="007828E6" w:rsidRPr="00230839" w:rsidRDefault="007828E6" w:rsidP="007828E6">
      <w:pPr>
        <w:spacing w:after="0" w:line="276" w:lineRule="auto"/>
        <w:ind w:left="567" w:right="709"/>
        <w:jc w:val="both"/>
        <w:rPr>
          <w:rFonts w:ascii="Palatino Linotype" w:eastAsia="Palatino Linotype" w:hAnsi="Palatino Linotype" w:cs="Palatino Linotype"/>
          <w:i/>
        </w:rPr>
      </w:pPr>
      <w:r w:rsidRPr="00230839">
        <w:rPr>
          <w:rFonts w:ascii="Palatino Linotype" w:eastAsia="Palatino Linotype" w:hAnsi="Palatino Linotype" w:cs="Palatino Linotype"/>
          <w:i/>
        </w:rPr>
        <w:t>(…)</w:t>
      </w:r>
    </w:p>
    <w:p w14:paraId="3C2B4E37" w14:textId="77777777" w:rsidR="007828E6" w:rsidRPr="00230839" w:rsidRDefault="007828E6" w:rsidP="007828E6">
      <w:pPr>
        <w:spacing w:after="0" w:line="276" w:lineRule="auto"/>
        <w:ind w:left="567" w:right="709"/>
        <w:jc w:val="both"/>
        <w:rPr>
          <w:rFonts w:ascii="Palatino Linotype" w:eastAsia="Palatino Linotype" w:hAnsi="Palatino Linotype" w:cs="Palatino Linotype"/>
          <w:i/>
        </w:rPr>
      </w:pPr>
      <w:r w:rsidRPr="00230839">
        <w:rPr>
          <w:rFonts w:ascii="Palatino Linotype" w:eastAsia="Palatino Linotype" w:hAnsi="Palatino Linotype" w:cs="Palatino Linotype"/>
          <w:b/>
          <w:i/>
        </w:rPr>
        <w:t xml:space="preserve">XXXIX. Servidor público habilitado: </w:t>
      </w:r>
      <w:r w:rsidRPr="00230839">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4647443" w14:textId="77777777" w:rsidR="007828E6" w:rsidRPr="00230839" w:rsidRDefault="007828E6" w:rsidP="007828E6">
      <w:pPr>
        <w:spacing w:after="0" w:line="276" w:lineRule="auto"/>
        <w:ind w:left="567" w:right="709"/>
        <w:jc w:val="both"/>
        <w:rPr>
          <w:rFonts w:ascii="Palatino Linotype" w:eastAsia="Palatino Linotype" w:hAnsi="Palatino Linotype" w:cs="Palatino Linotype"/>
          <w:i/>
        </w:rPr>
      </w:pPr>
      <w:r w:rsidRPr="00230839">
        <w:rPr>
          <w:rFonts w:ascii="Palatino Linotype" w:eastAsia="Palatino Linotype" w:hAnsi="Palatino Linotype" w:cs="Palatino Linotype"/>
          <w:i/>
        </w:rPr>
        <w:t>(…)</w:t>
      </w:r>
    </w:p>
    <w:p w14:paraId="7CCD17D6" w14:textId="77777777" w:rsidR="007828E6" w:rsidRPr="00230839" w:rsidRDefault="007828E6" w:rsidP="007828E6">
      <w:pPr>
        <w:spacing w:after="0" w:line="276" w:lineRule="auto"/>
      </w:pPr>
    </w:p>
    <w:p w14:paraId="6318635A" w14:textId="77777777" w:rsidR="007828E6" w:rsidRPr="00230839" w:rsidRDefault="007828E6" w:rsidP="007828E6">
      <w:pPr>
        <w:spacing w:after="0" w:line="276" w:lineRule="auto"/>
        <w:ind w:left="567" w:right="708"/>
        <w:jc w:val="both"/>
        <w:rPr>
          <w:rFonts w:ascii="Palatino Linotype" w:eastAsia="Palatino Linotype" w:hAnsi="Palatino Linotype" w:cs="Palatino Linotype"/>
          <w:i/>
        </w:rPr>
      </w:pPr>
      <w:r w:rsidRPr="00230839">
        <w:rPr>
          <w:rFonts w:ascii="Palatino Linotype" w:eastAsia="Palatino Linotype" w:hAnsi="Palatino Linotype" w:cs="Palatino Linotype"/>
          <w:b/>
          <w:i/>
        </w:rPr>
        <w:t>Artículo 58.</w:t>
      </w:r>
      <w:r w:rsidRPr="00230839">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39A86237" w14:textId="77777777" w:rsidR="007828E6" w:rsidRPr="00230839" w:rsidRDefault="007828E6" w:rsidP="007828E6">
      <w:pPr>
        <w:spacing w:after="0" w:line="276" w:lineRule="auto"/>
        <w:ind w:left="567" w:right="708"/>
        <w:jc w:val="both"/>
        <w:rPr>
          <w:rFonts w:ascii="Palatino Linotype" w:eastAsia="Palatino Linotype" w:hAnsi="Palatino Linotype" w:cs="Palatino Linotype"/>
          <w:i/>
        </w:rPr>
      </w:pPr>
      <w:r w:rsidRPr="00230839">
        <w:rPr>
          <w:rFonts w:ascii="Palatino Linotype" w:eastAsia="Palatino Linotype" w:hAnsi="Palatino Linotype" w:cs="Palatino Linotype"/>
          <w:b/>
          <w:i/>
        </w:rPr>
        <w:t>Artículo 59.</w:t>
      </w:r>
      <w:r w:rsidRPr="00230839">
        <w:rPr>
          <w:rFonts w:ascii="Palatino Linotype" w:eastAsia="Palatino Linotype" w:hAnsi="Palatino Linotype" w:cs="Palatino Linotype"/>
          <w:i/>
        </w:rPr>
        <w:t xml:space="preserve"> </w:t>
      </w:r>
      <w:r w:rsidRPr="00230839">
        <w:rPr>
          <w:rFonts w:ascii="Palatino Linotype" w:eastAsia="Palatino Linotype" w:hAnsi="Palatino Linotype" w:cs="Palatino Linotype"/>
          <w:b/>
          <w:i/>
          <w:u w:val="single"/>
        </w:rPr>
        <w:t>Los servidores públicos habilitados</w:t>
      </w:r>
      <w:r w:rsidRPr="00230839">
        <w:rPr>
          <w:rFonts w:ascii="Palatino Linotype" w:eastAsia="Palatino Linotype" w:hAnsi="Palatino Linotype" w:cs="Palatino Linotype"/>
          <w:i/>
        </w:rPr>
        <w:t xml:space="preserve"> tendrán las funciones siguientes:</w:t>
      </w:r>
    </w:p>
    <w:p w14:paraId="0BCCAEC0" w14:textId="77777777" w:rsidR="007828E6" w:rsidRPr="00230839" w:rsidRDefault="007828E6" w:rsidP="007828E6">
      <w:pPr>
        <w:spacing w:after="0" w:line="276" w:lineRule="auto"/>
        <w:ind w:left="567" w:right="708"/>
        <w:jc w:val="both"/>
        <w:rPr>
          <w:rFonts w:ascii="Palatino Linotype" w:eastAsia="Palatino Linotype" w:hAnsi="Palatino Linotype" w:cs="Palatino Linotype"/>
          <w:i/>
        </w:rPr>
      </w:pPr>
      <w:r w:rsidRPr="00230839">
        <w:rPr>
          <w:rFonts w:ascii="Palatino Linotype" w:eastAsia="Palatino Linotype" w:hAnsi="Palatino Linotype" w:cs="Palatino Linotype"/>
          <w:i/>
        </w:rPr>
        <w:lastRenderedPageBreak/>
        <w:t xml:space="preserve">I. </w:t>
      </w:r>
      <w:r w:rsidRPr="00230839">
        <w:rPr>
          <w:rFonts w:ascii="Palatino Linotype" w:eastAsia="Palatino Linotype" w:hAnsi="Palatino Linotype" w:cs="Palatino Linotype"/>
          <w:b/>
          <w:i/>
          <w:u w:val="single"/>
        </w:rPr>
        <w:t>Localizar la información que le solicite la Unidad de Transparencia</w:t>
      </w:r>
      <w:r w:rsidRPr="00230839">
        <w:rPr>
          <w:rFonts w:ascii="Palatino Linotype" w:eastAsia="Palatino Linotype" w:hAnsi="Palatino Linotype" w:cs="Palatino Linotype"/>
          <w:i/>
        </w:rPr>
        <w:t>;</w:t>
      </w:r>
    </w:p>
    <w:p w14:paraId="4658BC43" w14:textId="77777777" w:rsidR="007828E6" w:rsidRPr="00230839" w:rsidRDefault="007828E6" w:rsidP="007828E6">
      <w:pPr>
        <w:spacing w:after="0" w:line="276" w:lineRule="auto"/>
        <w:ind w:left="567" w:right="708"/>
        <w:jc w:val="both"/>
        <w:rPr>
          <w:rFonts w:ascii="Palatino Linotype" w:eastAsia="Palatino Linotype" w:hAnsi="Palatino Linotype" w:cs="Palatino Linotype"/>
          <w:i/>
        </w:rPr>
      </w:pPr>
      <w:r w:rsidRPr="00230839">
        <w:rPr>
          <w:rFonts w:ascii="Palatino Linotype" w:eastAsia="Palatino Linotype" w:hAnsi="Palatino Linotype" w:cs="Palatino Linotype"/>
          <w:i/>
        </w:rPr>
        <w:t xml:space="preserve">II. </w:t>
      </w:r>
      <w:r w:rsidRPr="00230839">
        <w:rPr>
          <w:rFonts w:ascii="Palatino Linotype" w:eastAsia="Palatino Linotype" w:hAnsi="Palatino Linotype" w:cs="Palatino Linotype"/>
          <w:b/>
          <w:i/>
          <w:u w:val="single"/>
        </w:rPr>
        <w:t>Proporcionar la información que obre en los archivos y que le sea solicitada por la Unidad de Transparencia</w:t>
      </w:r>
      <w:r w:rsidRPr="00230839">
        <w:rPr>
          <w:rFonts w:ascii="Palatino Linotype" w:eastAsia="Palatino Linotype" w:hAnsi="Palatino Linotype" w:cs="Palatino Linotype"/>
          <w:i/>
        </w:rPr>
        <w:t>;</w:t>
      </w:r>
    </w:p>
    <w:p w14:paraId="553B3F3D" w14:textId="77777777" w:rsidR="007828E6" w:rsidRPr="00230839" w:rsidRDefault="007828E6" w:rsidP="007828E6">
      <w:pPr>
        <w:spacing w:after="0" w:line="276" w:lineRule="auto"/>
        <w:ind w:left="567" w:right="709"/>
        <w:jc w:val="both"/>
        <w:rPr>
          <w:rFonts w:ascii="Palatino Linotype" w:eastAsia="Palatino Linotype" w:hAnsi="Palatino Linotype" w:cs="Palatino Linotype"/>
          <w:i/>
        </w:rPr>
      </w:pPr>
      <w:r w:rsidRPr="00230839">
        <w:rPr>
          <w:rFonts w:ascii="Palatino Linotype" w:eastAsia="Palatino Linotype" w:hAnsi="Palatino Linotype" w:cs="Palatino Linotype"/>
          <w:i/>
        </w:rPr>
        <w:t>III. Apoyar a la Unidad de Transparencia en lo que esta le solicite para el cumplimiento de sus funciones;</w:t>
      </w:r>
    </w:p>
    <w:p w14:paraId="5CF5EC63" w14:textId="77777777" w:rsidR="007828E6" w:rsidRPr="00230839" w:rsidRDefault="007828E6" w:rsidP="007828E6">
      <w:pPr>
        <w:spacing w:after="0" w:line="276" w:lineRule="auto"/>
        <w:ind w:left="567" w:right="709"/>
        <w:jc w:val="both"/>
        <w:rPr>
          <w:rFonts w:ascii="Palatino Linotype" w:eastAsia="Palatino Linotype" w:hAnsi="Palatino Linotype" w:cs="Palatino Linotype"/>
          <w:i/>
        </w:rPr>
      </w:pPr>
      <w:r w:rsidRPr="00230839">
        <w:rPr>
          <w:rFonts w:ascii="Palatino Linotype" w:eastAsia="Palatino Linotype" w:hAnsi="Palatino Linotype" w:cs="Palatino Linotype"/>
          <w:i/>
        </w:rPr>
        <w:t>IV. Proporcionar a la Unidad de Transparencia, las modificaciones a la información pública de oficio que obre en su poder;</w:t>
      </w:r>
    </w:p>
    <w:p w14:paraId="617A7B03" w14:textId="77777777" w:rsidR="007828E6" w:rsidRPr="00230839" w:rsidRDefault="007828E6" w:rsidP="007828E6">
      <w:pPr>
        <w:spacing w:after="0" w:line="276" w:lineRule="auto"/>
        <w:ind w:left="567" w:right="709"/>
        <w:jc w:val="both"/>
        <w:rPr>
          <w:rFonts w:ascii="Palatino Linotype" w:eastAsia="Palatino Linotype" w:hAnsi="Palatino Linotype" w:cs="Palatino Linotype"/>
          <w:i/>
        </w:rPr>
      </w:pPr>
      <w:r w:rsidRPr="00230839">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32CE1541" w14:textId="77777777" w:rsidR="007828E6" w:rsidRPr="00230839" w:rsidRDefault="007828E6" w:rsidP="007828E6">
      <w:pPr>
        <w:spacing w:after="0" w:line="276" w:lineRule="auto"/>
        <w:ind w:left="567" w:right="709"/>
        <w:jc w:val="both"/>
        <w:rPr>
          <w:rFonts w:ascii="Palatino Linotype" w:eastAsia="Palatino Linotype" w:hAnsi="Palatino Linotype" w:cs="Palatino Linotype"/>
          <w:i/>
        </w:rPr>
      </w:pPr>
      <w:r w:rsidRPr="00230839">
        <w:rPr>
          <w:rFonts w:ascii="Palatino Linotype" w:eastAsia="Palatino Linotype" w:hAnsi="Palatino Linotype" w:cs="Palatino Linotype"/>
          <w:i/>
        </w:rPr>
        <w:t>VI. Verificar, una vez analizado el contenido de la información, que no se encuentre en los supuestos de información clasificada; y</w:t>
      </w:r>
    </w:p>
    <w:p w14:paraId="27123F6C" w14:textId="77777777" w:rsidR="007828E6" w:rsidRPr="00230839" w:rsidRDefault="007828E6" w:rsidP="007828E6">
      <w:pPr>
        <w:spacing w:after="0" w:line="276" w:lineRule="auto"/>
        <w:ind w:left="567" w:right="709"/>
        <w:jc w:val="both"/>
        <w:rPr>
          <w:rFonts w:ascii="Palatino Linotype" w:eastAsia="Palatino Linotype" w:hAnsi="Palatino Linotype" w:cs="Palatino Linotype"/>
          <w:i/>
        </w:rPr>
      </w:pPr>
      <w:r w:rsidRPr="00230839">
        <w:rPr>
          <w:rFonts w:ascii="Palatino Linotype" w:eastAsia="Palatino Linotype" w:hAnsi="Palatino Linotype" w:cs="Palatino Linotype"/>
          <w:i/>
        </w:rPr>
        <w:t>VII. Dar cuenta a la Unidad de Transparencia del vencimiento de los plazos de reserva.”</w:t>
      </w:r>
    </w:p>
    <w:p w14:paraId="0217DFCA"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68F0FBC8"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En otras palabras, </w:t>
      </w:r>
      <w:r w:rsidRPr="00230839">
        <w:rPr>
          <w:rFonts w:ascii="Palatino Linotype" w:eastAsia="Palatino Linotype" w:hAnsi="Palatino Linotype" w:cs="Palatino Linotype"/>
          <w:b/>
          <w:sz w:val="24"/>
          <w:szCs w:val="24"/>
        </w:rPr>
        <w:t xml:space="preserve">EL SUJETO OBLIGADO </w:t>
      </w:r>
      <w:r w:rsidRPr="00230839">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7FF818B9" w14:textId="77777777" w:rsidR="007828E6" w:rsidRPr="00230839" w:rsidRDefault="007828E6" w:rsidP="007828E6">
      <w:pPr>
        <w:rPr>
          <w:rFonts w:ascii="Palatino Linotype" w:eastAsia="Palatino Linotype" w:hAnsi="Palatino Linotype" w:cs="Palatino Linotype"/>
          <w:sz w:val="24"/>
          <w:szCs w:val="24"/>
        </w:rPr>
      </w:pPr>
    </w:p>
    <w:p w14:paraId="6BD965B8" w14:textId="77777777" w:rsidR="007828E6" w:rsidRPr="00230839" w:rsidRDefault="007828E6" w:rsidP="007828E6">
      <w:pPr>
        <w:spacing w:after="0" w:line="276" w:lineRule="auto"/>
        <w:ind w:left="567" w:right="709"/>
        <w:jc w:val="both"/>
        <w:rPr>
          <w:rFonts w:ascii="Palatino Linotype" w:eastAsia="Palatino Linotype" w:hAnsi="Palatino Linotype" w:cs="Palatino Linotype"/>
          <w:i/>
        </w:rPr>
      </w:pPr>
      <w:r w:rsidRPr="00230839">
        <w:rPr>
          <w:rFonts w:ascii="Palatino Linotype" w:eastAsia="Palatino Linotype" w:hAnsi="Palatino Linotype" w:cs="Palatino Linotype"/>
          <w:i/>
        </w:rPr>
        <w:t xml:space="preserve"> “</w:t>
      </w:r>
      <w:r w:rsidRPr="00230839">
        <w:rPr>
          <w:rFonts w:ascii="Palatino Linotype" w:eastAsia="Palatino Linotype" w:hAnsi="Palatino Linotype" w:cs="Palatino Linotype"/>
          <w:b/>
          <w:i/>
        </w:rPr>
        <w:t xml:space="preserve">Artículo 162. </w:t>
      </w:r>
      <w:r w:rsidRPr="00230839">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230839">
        <w:rPr>
          <w:rFonts w:ascii="Palatino Linotype" w:eastAsia="Palatino Linotype" w:hAnsi="Palatino Linotype" w:cs="Palatino Linotype"/>
          <w:i/>
        </w:rPr>
        <w:t>”</w:t>
      </w:r>
      <w:r w:rsidRPr="00230839">
        <w:rPr>
          <w:rFonts w:ascii="Palatino Linotype" w:eastAsia="Palatino Linotype" w:hAnsi="Palatino Linotype" w:cs="Palatino Linotype"/>
          <w:b/>
          <w:i/>
        </w:rPr>
        <w:t xml:space="preserve"> [Énfasis añadido]</w:t>
      </w:r>
    </w:p>
    <w:p w14:paraId="0E202F12" w14:textId="77777777" w:rsidR="007828E6" w:rsidRPr="00230839" w:rsidRDefault="007828E6" w:rsidP="007828E6">
      <w:pPr>
        <w:rPr>
          <w:rFonts w:ascii="Palatino Linotype" w:eastAsia="Palatino Linotype" w:hAnsi="Palatino Linotype" w:cs="Palatino Linotype"/>
          <w:sz w:val="24"/>
          <w:szCs w:val="24"/>
        </w:rPr>
      </w:pPr>
    </w:p>
    <w:p w14:paraId="03BA7652" w14:textId="77777777" w:rsidR="007828E6" w:rsidRPr="00230839" w:rsidRDefault="007828E6" w:rsidP="007828E6">
      <w:pPr>
        <w:tabs>
          <w:tab w:val="left" w:pos="7938"/>
        </w:tabs>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Por ello es que se reitera, que el Titular de la Unidad de Transparencia llevó a cabo los pasos que le conmina sus funciones, de acuerdo con la Ley de Transparencia y Acceso a la Información Pública del Estado de México y Municipios, es decir, solicitó </w:t>
      </w:r>
      <w:r w:rsidRPr="00230839">
        <w:rPr>
          <w:rFonts w:ascii="Palatino Linotype" w:eastAsia="Palatino Linotype" w:hAnsi="Palatino Linotype" w:cs="Palatino Linotype"/>
          <w:sz w:val="24"/>
          <w:szCs w:val="24"/>
        </w:rPr>
        <w:lastRenderedPageBreak/>
        <w:t>la información a la unidad administrativa que por obligación le corresponde dar atención a la misma.</w:t>
      </w:r>
    </w:p>
    <w:p w14:paraId="2359E4C8" w14:textId="77777777" w:rsidR="007828E6" w:rsidRPr="00230839" w:rsidRDefault="007828E6" w:rsidP="007828E6">
      <w:pPr>
        <w:spacing w:before="240" w:after="240" w:line="360" w:lineRule="auto"/>
        <w:contextualSpacing/>
        <w:jc w:val="both"/>
        <w:rPr>
          <w:rFonts w:ascii="Palatino Linotype" w:eastAsia="Palatino Linotype" w:hAnsi="Palatino Linotype" w:cs="Palatino Linotype"/>
          <w:sz w:val="24"/>
          <w:szCs w:val="24"/>
        </w:rPr>
      </w:pPr>
    </w:p>
    <w:p w14:paraId="4AAAA0F3"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Es de recordar que en la respuesta pronunciada por el servidor público habilitado, señala que no cuentan con la autorización de cambio de uso de suelo, en este tenor, la respuesta, no se trata de un caso por el cual la negación del hecho implique la afirmación de este, simplemente se está ante una notoria y evidente inexistencia fáctica de la información solicitada, toda vez que las áreas competentes señalaron que realizaron la búsqueda en sus archivos físicos y electrónicos, sin localizar la información solicitada.</w:t>
      </w:r>
    </w:p>
    <w:p w14:paraId="0EED7162"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46236DAE"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Encontrándonos ante un hecho negativo, destacando entonces que el Pleno de este Organismo Garante, ha sostenido que ante la presencia de un hecho negativo, </w:t>
      </w:r>
      <w:r w:rsidRPr="00230839">
        <w:rPr>
          <w:rFonts w:ascii="Palatino Linotype" w:eastAsia="Palatino Linotype" w:hAnsi="Palatino Linotype" w:cs="Palatino Linotype"/>
          <w:b/>
          <w:sz w:val="24"/>
          <w:szCs w:val="24"/>
        </w:rPr>
        <w:t>resultaría innecesaria una declaratoria de inexistencia</w:t>
      </w:r>
      <w:r w:rsidRPr="00230839">
        <w:rPr>
          <w:rFonts w:ascii="Palatino Linotype" w:eastAsia="Palatino Linotype" w:hAnsi="Palatino Linotype" w:cs="Palatino Linotype"/>
          <w:sz w:val="24"/>
          <w:szCs w:val="24"/>
        </w:rPr>
        <w:t xml:space="preserve">, como es en el presente caso, en donde </w:t>
      </w:r>
      <w:r w:rsidRPr="00230839">
        <w:rPr>
          <w:rFonts w:ascii="Palatino Linotype" w:eastAsia="Palatino Linotype" w:hAnsi="Palatino Linotype" w:cs="Palatino Linotype"/>
          <w:b/>
          <w:sz w:val="24"/>
          <w:szCs w:val="24"/>
        </w:rPr>
        <w:t xml:space="preserve">EL SUJETO OBLIGADO </w:t>
      </w:r>
      <w:r w:rsidRPr="00230839">
        <w:rPr>
          <w:rFonts w:ascii="Palatino Linotype" w:eastAsia="Palatino Linotype" w:hAnsi="Palatino Linotype" w:cs="Palatino Linotype"/>
          <w:sz w:val="24"/>
          <w:szCs w:val="24"/>
        </w:rPr>
        <w:t>declaró la inexistencia de la información solicitada, sin embargo, en términos de los artículos 19, 169 y 170 de la Ley de Transparencia y Acceso a la Información Pública del Estado de México y Municipios, y ante una hecho negativo resulta aplicable la siguiente tesis:</w:t>
      </w:r>
    </w:p>
    <w:p w14:paraId="58338513"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4B851413" w14:textId="77777777" w:rsidR="007828E6" w:rsidRPr="00230839" w:rsidRDefault="007828E6" w:rsidP="007828E6">
      <w:pPr>
        <w:spacing w:after="0" w:line="276" w:lineRule="auto"/>
        <w:ind w:left="862" w:right="561"/>
        <w:contextualSpacing/>
        <w:jc w:val="both"/>
      </w:pPr>
      <w:r w:rsidRPr="00230839">
        <w:rPr>
          <w:rFonts w:ascii="Palatino Linotype" w:eastAsia="Palatino Linotype" w:hAnsi="Palatino Linotype" w:cs="Palatino Linotype"/>
          <w:b/>
          <w:i/>
        </w:rPr>
        <w:t>“HECHOS NEGATIVOS, NO SON SUSCEPTIBLES DE DEMOSTRACIÓN.</w:t>
      </w:r>
    </w:p>
    <w:p w14:paraId="4B600580" w14:textId="77777777" w:rsidR="007828E6" w:rsidRPr="00230839" w:rsidRDefault="007828E6" w:rsidP="007828E6">
      <w:pPr>
        <w:spacing w:after="0" w:line="276" w:lineRule="auto"/>
        <w:ind w:left="862" w:right="561"/>
        <w:contextualSpacing/>
        <w:jc w:val="both"/>
      </w:pPr>
      <w:r w:rsidRPr="00230839">
        <w:rPr>
          <w:rFonts w:ascii="Palatino Linotype" w:eastAsia="Palatino Linotype" w:hAnsi="Palatino Linotype" w:cs="Palatino Linotype"/>
          <w:i/>
        </w:rPr>
        <w:t>Tratándose de un hecho negativo, el Juez no tiene por que invocar prueba alguna de la que se desprenda, ya que es bien sabido que esta clase de hechos no son susceptibles de demostración.</w:t>
      </w:r>
    </w:p>
    <w:p w14:paraId="3DBFEF38" w14:textId="77777777" w:rsidR="007828E6" w:rsidRPr="00230839" w:rsidRDefault="007828E6" w:rsidP="007828E6">
      <w:pPr>
        <w:spacing w:after="0" w:line="276" w:lineRule="auto"/>
        <w:ind w:left="862" w:right="561"/>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Amparo en revisión 2022/61. José García Florín (Menor). 9 de octubre de 1961. Cinco votos. Ponente: José Rivera Pérez Campos.”</w:t>
      </w:r>
    </w:p>
    <w:p w14:paraId="18253542"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lastRenderedPageBreak/>
        <w:t xml:space="preserve">Además, y de conformidad con lo establecido en el artículo 12 de la Ley de Transparencia y Acceso a la Información Pública del Estado de México y Municipios, anteriormente invocado </w:t>
      </w:r>
      <w:r w:rsidRPr="00230839">
        <w:rPr>
          <w:rFonts w:ascii="Palatino Linotype" w:eastAsia="Palatino Linotype" w:hAnsi="Palatino Linotype" w:cs="Palatino Linotype"/>
          <w:b/>
          <w:sz w:val="24"/>
          <w:szCs w:val="24"/>
        </w:rPr>
        <w:t>EL SUJETO OBLIGADO</w:t>
      </w:r>
      <w:r w:rsidRPr="00230839">
        <w:rPr>
          <w:rFonts w:ascii="Palatino Linotype" w:eastAsia="Palatino Linotype" w:hAnsi="Palatino Linotype" w:cs="Palatino Linotype"/>
          <w:sz w:val="24"/>
          <w:szCs w:val="24"/>
        </w:rPr>
        <w:t xml:space="preserve"> sólo proporcionará la información que obra en sus archivos, lo que a</w:t>
      </w:r>
      <w:r w:rsidRPr="00230839">
        <w:rPr>
          <w:rFonts w:ascii="Palatino Linotype" w:eastAsia="Palatino Linotype" w:hAnsi="Palatino Linotype" w:cs="Palatino Linotype"/>
          <w:i/>
          <w:sz w:val="24"/>
          <w:szCs w:val="24"/>
        </w:rPr>
        <w:t xml:space="preserve"> contrario sensu</w:t>
      </w:r>
      <w:r w:rsidRPr="00230839">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w:t>
      </w:r>
    </w:p>
    <w:p w14:paraId="6678ED81"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483C6779" w14:textId="77777777" w:rsidR="007828E6" w:rsidRPr="00230839" w:rsidRDefault="007828E6" w:rsidP="007828E6">
      <w:pPr>
        <w:spacing w:before="240" w:after="240" w:line="360" w:lineRule="auto"/>
        <w:contextualSpacing/>
        <w:jc w:val="both"/>
        <w:rPr>
          <w:rFonts w:ascii="Palatino Linotype" w:hAnsi="Palatino Linotype"/>
          <w:sz w:val="24"/>
          <w:szCs w:val="24"/>
        </w:rPr>
      </w:pPr>
      <w:r w:rsidRPr="00230839">
        <w:rPr>
          <w:rFonts w:ascii="Palatino Linotype" w:hAnsi="Palatino Linotype"/>
          <w:sz w:val="24"/>
          <w:szCs w:val="24"/>
        </w:rPr>
        <w:t>Aunado a lo anterior, es de mencionar que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505A5F3A" w14:textId="77777777" w:rsidR="007828E6" w:rsidRPr="00230839" w:rsidRDefault="007828E6" w:rsidP="007828E6">
      <w:pPr>
        <w:tabs>
          <w:tab w:val="left" w:pos="709"/>
        </w:tabs>
        <w:spacing w:before="240" w:after="240" w:line="360" w:lineRule="auto"/>
        <w:ind w:right="40"/>
        <w:contextualSpacing/>
        <w:jc w:val="both"/>
        <w:rPr>
          <w:rFonts w:ascii="Palatino Linotype" w:hAnsi="Palatino Linotype"/>
          <w:sz w:val="24"/>
          <w:szCs w:val="24"/>
        </w:rPr>
      </w:pPr>
    </w:p>
    <w:p w14:paraId="36041ED8" w14:textId="77777777" w:rsidR="007828E6" w:rsidRPr="00230839" w:rsidRDefault="007828E6" w:rsidP="007828E6">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r w:rsidRPr="00230839">
        <w:rPr>
          <w:rFonts w:ascii="Palatino Linotype" w:eastAsia="Palatino Linotype" w:hAnsi="Palatino Linotype" w:cs="Palatino Linotype"/>
          <w:sz w:val="24"/>
        </w:rPr>
        <w:t>Sirviendo de apoyo a lo anterior por analogía, el criterio 31-10 emitido por el ahora Instituto Nacional de Transparencia, Acceso a la Información y Protección de Datos Personales, que a la letra dice:</w:t>
      </w:r>
    </w:p>
    <w:p w14:paraId="57201816" w14:textId="77777777" w:rsidR="007828E6" w:rsidRPr="00230839" w:rsidRDefault="007828E6" w:rsidP="007828E6">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p>
    <w:p w14:paraId="0548F91C" w14:textId="77777777" w:rsidR="007828E6" w:rsidRPr="00230839" w:rsidRDefault="007828E6" w:rsidP="007828E6">
      <w:pPr>
        <w:spacing w:before="240" w:after="360" w:line="276" w:lineRule="auto"/>
        <w:ind w:left="567" w:right="618"/>
        <w:contextualSpacing/>
        <w:jc w:val="both"/>
        <w:rPr>
          <w:rFonts w:ascii="Palatino Linotype" w:eastAsia="Palatino Linotype" w:hAnsi="Palatino Linotype" w:cs="Palatino Linotype"/>
          <w:i/>
        </w:rPr>
      </w:pPr>
      <w:r w:rsidRPr="00230839">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w:t>
      </w:r>
      <w:r w:rsidRPr="00230839">
        <w:rPr>
          <w:rFonts w:ascii="Palatino Linotype" w:eastAsia="Palatino Linotype" w:hAnsi="Palatino Linotype" w:cs="Palatino Linotype"/>
          <w:i/>
        </w:rPr>
        <w:lastRenderedPageBreak/>
        <w:t>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B8956FA" w14:textId="77777777" w:rsidR="007828E6" w:rsidRPr="00230839" w:rsidRDefault="007828E6" w:rsidP="007828E6">
      <w:pPr>
        <w:tabs>
          <w:tab w:val="left" w:pos="709"/>
        </w:tabs>
        <w:spacing w:before="240" w:after="240" w:line="360" w:lineRule="auto"/>
        <w:ind w:right="40"/>
        <w:contextualSpacing/>
        <w:jc w:val="both"/>
        <w:rPr>
          <w:rFonts w:ascii="Palatino Linotype" w:hAnsi="Palatino Linotype"/>
          <w:sz w:val="24"/>
          <w:szCs w:val="14"/>
        </w:rPr>
      </w:pPr>
    </w:p>
    <w:p w14:paraId="3EDA8A50" w14:textId="77777777" w:rsidR="007828E6" w:rsidRPr="00230839" w:rsidRDefault="007828E6" w:rsidP="007828E6">
      <w:pPr>
        <w:tabs>
          <w:tab w:val="left" w:pos="4962"/>
        </w:tabs>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Por lo anterior, lo procedente es </w:t>
      </w:r>
      <w:r w:rsidRPr="00230839">
        <w:rPr>
          <w:rFonts w:ascii="Palatino Linotype" w:eastAsia="Palatino Linotype" w:hAnsi="Palatino Linotype" w:cs="Palatino Linotype"/>
          <w:b/>
          <w:sz w:val="24"/>
          <w:szCs w:val="24"/>
        </w:rPr>
        <w:t xml:space="preserve">CONFIRMAR </w:t>
      </w:r>
      <w:r w:rsidRPr="00230839">
        <w:rPr>
          <w:rFonts w:ascii="Palatino Linotype" w:eastAsia="Palatino Linotype" w:hAnsi="Palatino Linotype" w:cs="Palatino Linotype"/>
          <w:sz w:val="24"/>
          <w:szCs w:val="24"/>
        </w:rPr>
        <w:t xml:space="preserve">la respuesta brindada al requerimiento de información de la solicitud de información </w:t>
      </w:r>
      <w:r w:rsidRPr="00230839">
        <w:rPr>
          <w:rFonts w:ascii="Palatino Linotype" w:eastAsia="Palatino Linotype" w:hAnsi="Palatino Linotype" w:cs="Palatino Linotype"/>
          <w:b/>
          <w:sz w:val="24"/>
          <w:szCs w:val="24"/>
        </w:rPr>
        <w:t>00444/NAUCALPA/IP/2024</w:t>
      </w:r>
      <w:r w:rsidRPr="00230839">
        <w:rPr>
          <w:rFonts w:ascii="Palatino Linotype" w:eastAsia="Palatino Linotype" w:hAnsi="Palatino Linotype" w:cs="Palatino Linotype"/>
          <w:sz w:val="24"/>
          <w:szCs w:val="24"/>
        </w:rPr>
        <w:t>.</w:t>
      </w:r>
    </w:p>
    <w:p w14:paraId="60F90291" w14:textId="77777777" w:rsidR="007828E6" w:rsidRPr="00230839" w:rsidRDefault="007828E6" w:rsidP="007828E6">
      <w:pPr>
        <w:tabs>
          <w:tab w:val="left" w:pos="4962"/>
        </w:tabs>
        <w:spacing w:after="0" w:line="360" w:lineRule="auto"/>
        <w:jc w:val="both"/>
        <w:rPr>
          <w:rFonts w:ascii="Palatino Linotype" w:eastAsia="Palatino Linotype" w:hAnsi="Palatino Linotype" w:cs="Palatino Linotype"/>
          <w:sz w:val="24"/>
          <w:szCs w:val="24"/>
        </w:rPr>
      </w:pPr>
    </w:p>
    <w:p w14:paraId="4BE456E8"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1E6E125"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6157FA44" w14:textId="77777777" w:rsidR="007828E6" w:rsidRPr="00230839" w:rsidRDefault="007828E6" w:rsidP="007828E6">
      <w:pPr>
        <w:spacing w:after="0" w:line="360" w:lineRule="auto"/>
        <w:contextualSpacing/>
        <w:jc w:val="center"/>
        <w:rPr>
          <w:rFonts w:ascii="Times New Roman" w:eastAsia="Times New Roman" w:hAnsi="Times New Roman" w:cs="Times New Roman"/>
          <w:sz w:val="24"/>
          <w:szCs w:val="24"/>
        </w:rPr>
      </w:pPr>
      <w:r w:rsidRPr="00230839">
        <w:rPr>
          <w:rFonts w:ascii="Palatino Linotype" w:eastAsia="Palatino Linotype" w:hAnsi="Palatino Linotype" w:cs="Palatino Linotype"/>
          <w:b/>
          <w:sz w:val="24"/>
          <w:szCs w:val="24"/>
        </w:rPr>
        <w:t>R E S U E L V E:</w:t>
      </w:r>
    </w:p>
    <w:p w14:paraId="0728FAE4" w14:textId="77777777" w:rsidR="007828E6" w:rsidRPr="00230839" w:rsidRDefault="007828E6" w:rsidP="007828E6">
      <w:pPr>
        <w:tabs>
          <w:tab w:val="left" w:pos="5475"/>
        </w:tabs>
        <w:spacing w:after="0" w:line="360" w:lineRule="auto"/>
        <w:ind w:right="-93"/>
        <w:contextualSpacing/>
        <w:jc w:val="center"/>
        <w:rPr>
          <w:rFonts w:ascii="Palatino Linotype" w:eastAsia="Palatino Linotype" w:hAnsi="Palatino Linotype" w:cs="Palatino Linotype"/>
          <w:b/>
          <w:sz w:val="24"/>
          <w:szCs w:val="24"/>
        </w:rPr>
      </w:pPr>
    </w:p>
    <w:p w14:paraId="4A2DBDCA" w14:textId="77777777" w:rsidR="007828E6" w:rsidRPr="00230839" w:rsidRDefault="007828E6" w:rsidP="007828E6">
      <w:pPr>
        <w:spacing w:after="0" w:line="360" w:lineRule="auto"/>
        <w:ind w:right="51"/>
        <w:jc w:val="both"/>
        <w:rPr>
          <w:rFonts w:ascii="Palatino Linotype" w:eastAsia="Palatino Linotype" w:hAnsi="Palatino Linotype" w:cs="Palatino Linotype"/>
          <w:b/>
          <w:sz w:val="24"/>
          <w:szCs w:val="24"/>
        </w:rPr>
      </w:pPr>
      <w:r w:rsidRPr="00230839">
        <w:rPr>
          <w:rFonts w:ascii="Palatino Linotype" w:eastAsia="Palatino Linotype" w:hAnsi="Palatino Linotype" w:cs="Palatino Linotype"/>
          <w:b/>
          <w:sz w:val="24"/>
          <w:szCs w:val="24"/>
        </w:rPr>
        <w:t xml:space="preserve">PRIMERO. </w:t>
      </w:r>
      <w:r w:rsidRPr="00230839">
        <w:rPr>
          <w:rFonts w:ascii="Palatino Linotype" w:eastAsia="Palatino Linotype" w:hAnsi="Palatino Linotype" w:cs="Palatino Linotype"/>
          <w:sz w:val="24"/>
          <w:szCs w:val="24"/>
        </w:rPr>
        <w:t xml:space="preserve">Resultan infundados los motivos de inconformidad aducidos por </w:t>
      </w:r>
      <w:r w:rsidRPr="00230839">
        <w:rPr>
          <w:rFonts w:ascii="Palatino Linotype" w:eastAsia="Palatino Linotype" w:hAnsi="Palatino Linotype" w:cs="Palatino Linotype"/>
          <w:b/>
          <w:sz w:val="24"/>
          <w:szCs w:val="24"/>
        </w:rPr>
        <w:t>LA PARTE</w:t>
      </w:r>
      <w:r w:rsidRPr="00230839">
        <w:rPr>
          <w:rFonts w:ascii="Palatino Linotype" w:eastAsia="Palatino Linotype" w:hAnsi="Palatino Linotype" w:cs="Palatino Linotype"/>
          <w:sz w:val="24"/>
          <w:szCs w:val="24"/>
        </w:rPr>
        <w:t xml:space="preserve"> </w:t>
      </w:r>
      <w:r w:rsidRPr="00230839">
        <w:rPr>
          <w:rFonts w:ascii="Palatino Linotype" w:eastAsia="Palatino Linotype" w:hAnsi="Palatino Linotype" w:cs="Palatino Linotype"/>
          <w:b/>
          <w:sz w:val="24"/>
          <w:szCs w:val="24"/>
        </w:rPr>
        <w:t>RECURRENTE</w:t>
      </w:r>
      <w:r w:rsidRPr="00230839">
        <w:rPr>
          <w:rFonts w:ascii="Palatino Linotype" w:eastAsia="Palatino Linotype" w:hAnsi="Palatino Linotype" w:cs="Palatino Linotype"/>
          <w:sz w:val="24"/>
          <w:szCs w:val="24"/>
        </w:rPr>
        <w:t xml:space="preserve"> en el recurso de revisión </w:t>
      </w:r>
      <w:r w:rsidRPr="00230839">
        <w:rPr>
          <w:rFonts w:ascii="Palatino Linotype" w:eastAsia="Palatino Linotype" w:hAnsi="Palatino Linotype" w:cs="Palatino Linotype"/>
          <w:b/>
          <w:sz w:val="24"/>
          <w:szCs w:val="24"/>
        </w:rPr>
        <w:t>04619/INFOEM/IP/RR/2024</w:t>
      </w:r>
      <w:r w:rsidRPr="00230839">
        <w:rPr>
          <w:rFonts w:ascii="Palatino Linotype" w:eastAsia="Palatino Linotype" w:hAnsi="Palatino Linotype" w:cs="Palatino Linotype"/>
          <w:sz w:val="24"/>
          <w:szCs w:val="24"/>
        </w:rPr>
        <w:t>,</w:t>
      </w:r>
      <w:r w:rsidRPr="00230839">
        <w:rPr>
          <w:rFonts w:ascii="Palatino Linotype" w:eastAsia="Palatino Linotype" w:hAnsi="Palatino Linotype" w:cs="Palatino Linotype"/>
          <w:b/>
          <w:sz w:val="24"/>
          <w:szCs w:val="24"/>
        </w:rPr>
        <w:t xml:space="preserve"> </w:t>
      </w:r>
      <w:r w:rsidRPr="00230839">
        <w:rPr>
          <w:rFonts w:ascii="Palatino Linotype" w:eastAsia="Palatino Linotype" w:hAnsi="Palatino Linotype" w:cs="Palatino Linotype"/>
          <w:sz w:val="24"/>
          <w:szCs w:val="24"/>
        </w:rPr>
        <w:t xml:space="preserve">por lo que, en términos del Considerando Cuarto de esta resolución, se </w:t>
      </w:r>
      <w:r w:rsidRPr="00230839">
        <w:rPr>
          <w:rFonts w:ascii="Palatino Linotype" w:eastAsia="Palatino Linotype" w:hAnsi="Palatino Linotype" w:cs="Palatino Linotype"/>
          <w:b/>
          <w:sz w:val="24"/>
          <w:szCs w:val="24"/>
        </w:rPr>
        <w:t>CONFIRMA</w:t>
      </w:r>
      <w:r w:rsidRPr="00230839">
        <w:rPr>
          <w:rFonts w:ascii="Palatino Linotype" w:eastAsia="Palatino Linotype" w:hAnsi="Palatino Linotype" w:cs="Palatino Linotype"/>
          <w:sz w:val="24"/>
          <w:szCs w:val="24"/>
        </w:rPr>
        <w:t xml:space="preserve"> la respuesta del </w:t>
      </w:r>
      <w:r w:rsidRPr="00230839">
        <w:rPr>
          <w:rFonts w:ascii="Palatino Linotype" w:eastAsia="Palatino Linotype" w:hAnsi="Palatino Linotype" w:cs="Palatino Linotype"/>
          <w:b/>
          <w:sz w:val="24"/>
          <w:szCs w:val="24"/>
        </w:rPr>
        <w:t>SUJETO OBLIGADO.</w:t>
      </w:r>
    </w:p>
    <w:p w14:paraId="57D6DABA"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 xml:space="preserve"> </w:t>
      </w:r>
    </w:p>
    <w:p w14:paraId="6892046F" w14:textId="77777777" w:rsidR="007828E6" w:rsidRPr="00230839" w:rsidRDefault="007828E6" w:rsidP="007828E6">
      <w:pPr>
        <w:spacing w:after="0" w:line="360" w:lineRule="auto"/>
        <w:ind w:right="51"/>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b/>
          <w:sz w:val="24"/>
          <w:szCs w:val="24"/>
        </w:rPr>
        <w:lastRenderedPageBreak/>
        <w:t>SEGUNDO. NOTIFÍQUESE </w:t>
      </w:r>
      <w:r w:rsidRPr="00230839">
        <w:rPr>
          <w:rFonts w:ascii="Palatino Linotype" w:eastAsia="Palatino Linotype" w:hAnsi="Palatino Linotype" w:cs="Palatino Linotype"/>
          <w:sz w:val="24"/>
          <w:szCs w:val="24"/>
        </w:rPr>
        <w:t xml:space="preserve">vía SAIMEX la presente resolución al Titular de la Unidad de Transparencia del </w:t>
      </w:r>
      <w:r w:rsidRPr="00230839">
        <w:rPr>
          <w:rFonts w:ascii="Palatino Linotype" w:eastAsia="Palatino Linotype" w:hAnsi="Palatino Linotype" w:cs="Palatino Linotype"/>
          <w:b/>
          <w:sz w:val="24"/>
          <w:szCs w:val="24"/>
        </w:rPr>
        <w:t>SUJETO OBLIGADO</w:t>
      </w:r>
      <w:r w:rsidRPr="00230839">
        <w:rPr>
          <w:rFonts w:ascii="Palatino Linotype" w:eastAsia="Palatino Linotype" w:hAnsi="Palatino Linotype" w:cs="Palatino Linotype"/>
          <w:sz w:val="24"/>
          <w:szCs w:val="24"/>
        </w:rPr>
        <w:t>, para su conocimiento.</w:t>
      </w:r>
    </w:p>
    <w:p w14:paraId="44C1019F" w14:textId="77777777" w:rsidR="007828E6" w:rsidRPr="00230839" w:rsidRDefault="007828E6" w:rsidP="007828E6">
      <w:pPr>
        <w:spacing w:after="0" w:line="360" w:lineRule="auto"/>
        <w:ind w:right="51"/>
        <w:jc w:val="both"/>
        <w:rPr>
          <w:rFonts w:ascii="Palatino Linotype" w:eastAsia="Palatino Linotype" w:hAnsi="Palatino Linotype" w:cs="Palatino Linotype"/>
          <w:sz w:val="24"/>
          <w:szCs w:val="24"/>
        </w:rPr>
      </w:pPr>
    </w:p>
    <w:p w14:paraId="3B680ECC" w14:textId="77777777" w:rsidR="007828E6" w:rsidRPr="00230839" w:rsidRDefault="007828E6" w:rsidP="007828E6">
      <w:pPr>
        <w:spacing w:after="0" w:line="360" w:lineRule="auto"/>
        <w:ind w:right="51"/>
        <w:jc w:val="both"/>
        <w:rPr>
          <w:rFonts w:ascii="Palatino Linotype" w:eastAsia="Palatino Linotype" w:hAnsi="Palatino Linotype" w:cs="Palatino Linotype"/>
          <w:sz w:val="24"/>
          <w:szCs w:val="24"/>
        </w:rPr>
      </w:pPr>
      <w:bookmarkStart w:id="3" w:name="_heading=h.3znysh7" w:colFirst="0" w:colLast="0"/>
      <w:bookmarkEnd w:id="3"/>
      <w:r w:rsidRPr="00230839">
        <w:rPr>
          <w:rFonts w:ascii="Palatino Linotype" w:eastAsia="Palatino Linotype" w:hAnsi="Palatino Linotype" w:cs="Palatino Linotype"/>
          <w:b/>
          <w:sz w:val="24"/>
          <w:szCs w:val="24"/>
        </w:rPr>
        <w:t>TERCERO. NOTIFÍQUESE </w:t>
      </w:r>
      <w:r w:rsidRPr="00230839">
        <w:rPr>
          <w:rFonts w:ascii="Palatino Linotype" w:eastAsia="Palatino Linotype" w:hAnsi="Palatino Linotype" w:cs="Palatino Linotype"/>
          <w:sz w:val="24"/>
          <w:szCs w:val="24"/>
        </w:rPr>
        <w:t>vía SAIMEX</w:t>
      </w:r>
      <w:r w:rsidRPr="00230839">
        <w:rPr>
          <w:rFonts w:ascii="Palatino Linotype" w:eastAsia="Palatino Linotype" w:hAnsi="Palatino Linotype" w:cs="Palatino Linotype"/>
          <w:b/>
          <w:sz w:val="24"/>
          <w:szCs w:val="24"/>
        </w:rPr>
        <w:t xml:space="preserve"> a LA PARTE RECURRENTE</w:t>
      </w:r>
      <w:r w:rsidRPr="00230839">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220C8061"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54A5BBAA" w14:textId="77777777" w:rsidR="007828E6" w:rsidRPr="00230839" w:rsidRDefault="007828E6" w:rsidP="007828E6">
      <w:pPr>
        <w:spacing w:line="360" w:lineRule="auto"/>
        <w:ind w:right="49"/>
        <w:contextualSpacing/>
        <w:jc w:val="both"/>
        <w:rPr>
          <w:rFonts w:ascii="Palatino Linotype" w:eastAsia="Palatino Linotype" w:hAnsi="Palatino Linotype" w:cs="Palatino Linotype"/>
          <w:sz w:val="24"/>
          <w:szCs w:val="24"/>
        </w:rPr>
      </w:pPr>
      <w:r w:rsidRPr="00230839">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w:t>
      </w:r>
    </w:p>
    <w:p w14:paraId="751D4BF6" w14:textId="77777777" w:rsidR="007828E6" w:rsidRPr="00230839" w:rsidRDefault="007828E6" w:rsidP="007828E6">
      <w:pPr>
        <w:spacing w:after="0" w:line="360" w:lineRule="auto"/>
        <w:jc w:val="both"/>
        <w:rPr>
          <w:rFonts w:ascii="Palatino Linotype" w:eastAsia="Palatino Linotype" w:hAnsi="Palatino Linotype" w:cs="Palatino Linotype"/>
          <w:sz w:val="24"/>
          <w:szCs w:val="24"/>
        </w:rPr>
      </w:pPr>
    </w:p>
    <w:p w14:paraId="7FF80916" w14:textId="77777777" w:rsidR="00D9218B" w:rsidRPr="00230839" w:rsidRDefault="00D9218B"/>
    <w:p w14:paraId="3DE02543" w14:textId="77777777" w:rsidR="007F1B67" w:rsidRPr="00230839" w:rsidRDefault="007F1B67"/>
    <w:p w14:paraId="5B024A9D" w14:textId="77777777" w:rsidR="007F1B67" w:rsidRPr="00230839" w:rsidRDefault="007F1B67"/>
    <w:p w14:paraId="01F5499F" w14:textId="77777777" w:rsidR="007F1B67" w:rsidRPr="00230839" w:rsidRDefault="007F1B67"/>
    <w:p w14:paraId="3A161168" w14:textId="77777777" w:rsidR="007F1B67" w:rsidRPr="00230839" w:rsidRDefault="007F1B67"/>
    <w:p w14:paraId="7BA6A8E8" w14:textId="77777777" w:rsidR="007F1B67" w:rsidRPr="00230839" w:rsidRDefault="007F1B67"/>
    <w:sectPr w:rsidR="007F1B67" w:rsidRPr="00230839" w:rsidSect="002B7E90">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E1D9" w14:textId="77777777" w:rsidR="00341BC7" w:rsidRDefault="00341BC7" w:rsidP="007828E6">
      <w:pPr>
        <w:spacing w:after="0" w:line="240" w:lineRule="auto"/>
      </w:pPr>
      <w:r>
        <w:separator/>
      </w:r>
    </w:p>
  </w:endnote>
  <w:endnote w:type="continuationSeparator" w:id="0">
    <w:p w14:paraId="11ADE264" w14:textId="77777777" w:rsidR="00341BC7" w:rsidRDefault="00341BC7" w:rsidP="0078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D3CF" w14:textId="77777777" w:rsidR="00266168" w:rsidRDefault="007828E6" w:rsidP="009E111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04E12">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04E12">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79608FC7" w14:textId="77777777" w:rsidR="00266168" w:rsidRDefault="002661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7236" w14:textId="77777777" w:rsidR="00266168" w:rsidRDefault="007828E6" w:rsidP="002B7E9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04E1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04E12">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403955E9" w14:textId="77777777" w:rsidR="00266168" w:rsidRDefault="002661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EB7B" w14:textId="77777777" w:rsidR="00341BC7" w:rsidRDefault="00341BC7" w:rsidP="007828E6">
      <w:pPr>
        <w:spacing w:after="0" w:line="240" w:lineRule="auto"/>
      </w:pPr>
      <w:r>
        <w:separator/>
      </w:r>
    </w:p>
  </w:footnote>
  <w:footnote w:type="continuationSeparator" w:id="0">
    <w:p w14:paraId="0DFE46C0" w14:textId="77777777" w:rsidR="00341BC7" w:rsidRDefault="00341BC7" w:rsidP="007828E6">
      <w:pPr>
        <w:spacing w:after="0" w:line="240" w:lineRule="auto"/>
      </w:pPr>
      <w:r>
        <w:continuationSeparator/>
      </w:r>
    </w:p>
  </w:footnote>
  <w:footnote w:id="1">
    <w:p w14:paraId="1D76A411" w14:textId="77777777" w:rsidR="007828E6" w:rsidRDefault="007828E6" w:rsidP="007828E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6B80D6DF" w14:textId="77777777" w:rsidR="007828E6" w:rsidRDefault="007828E6" w:rsidP="007828E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2B7E90" w14:paraId="6A383971" w14:textId="77777777" w:rsidTr="00504FEB">
      <w:trPr>
        <w:trHeight w:val="246"/>
      </w:trPr>
      <w:tc>
        <w:tcPr>
          <w:tcW w:w="5716" w:type="dxa"/>
        </w:tcPr>
        <w:p w14:paraId="1D31DF15" w14:textId="77777777" w:rsidR="00266168" w:rsidRDefault="007828E6" w:rsidP="002B7E9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1D47E566" w14:textId="77777777" w:rsidR="00266168" w:rsidRDefault="007828E6" w:rsidP="002B7E90">
          <w:pPr>
            <w:spacing w:after="120"/>
            <w:ind w:left="-486" w:right="214" w:firstLine="1408"/>
            <w:jc w:val="right"/>
            <w:rPr>
              <w:rFonts w:ascii="Palatino Linotype" w:eastAsia="Palatino Linotype" w:hAnsi="Palatino Linotype" w:cs="Palatino Linotype"/>
              <w:sz w:val="24"/>
              <w:szCs w:val="24"/>
            </w:rPr>
          </w:pPr>
          <w:r w:rsidRPr="002B7E90">
            <w:rPr>
              <w:rFonts w:ascii="Palatino Linotype" w:eastAsia="Palatino Linotype" w:hAnsi="Palatino Linotype" w:cs="Palatino Linotype"/>
              <w:sz w:val="24"/>
              <w:szCs w:val="24"/>
            </w:rPr>
            <w:t>04619/INFOEM/IP/RR/2024</w:t>
          </w:r>
          <w:r>
            <w:rPr>
              <w:rFonts w:ascii="Palatino Linotype" w:eastAsia="Palatino Linotype" w:hAnsi="Palatino Linotype" w:cs="Palatino Linotype"/>
              <w:sz w:val="24"/>
              <w:szCs w:val="24"/>
            </w:rPr>
            <w:t>.</w:t>
          </w:r>
        </w:p>
      </w:tc>
    </w:tr>
    <w:tr w:rsidR="002B7E90" w14:paraId="40562F7F" w14:textId="77777777" w:rsidTr="00504FEB">
      <w:trPr>
        <w:trHeight w:val="212"/>
      </w:trPr>
      <w:tc>
        <w:tcPr>
          <w:tcW w:w="5716" w:type="dxa"/>
        </w:tcPr>
        <w:p w14:paraId="0A009785" w14:textId="77777777" w:rsidR="00266168" w:rsidRDefault="007828E6" w:rsidP="002B7E9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53C17945" w14:textId="77777777" w:rsidR="00266168" w:rsidRDefault="00266168" w:rsidP="002B7E90">
          <w:pPr>
            <w:spacing w:after="120"/>
            <w:ind w:left="-486" w:right="214" w:firstLine="567"/>
            <w:jc w:val="right"/>
            <w:rPr>
              <w:rFonts w:ascii="Palatino Linotype" w:eastAsia="Palatino Linotype" w:hAnsi="Palatino Linotype" w:cs="Palatino Linotype"/>
              <w:sz w:val="24"/>
              <w:szCs w:val="24"/>
            </w:rPr>
          </w:pPr>
        </w:p>
      </w:tc>
    </w:tr>
    <w:tr w:rsidR="002B7E90" w14:paraId="29D95316" w14:textId="77777777" w:rsidTr="00504FEB">
      <w:trPr>
        <w:trHeight w:val="264"/>
      </w:trPr>
      <w:tc>
        <w:tcPr>
          <w:tcW w:w="5716" w:type="dxa"/>
        </w:tcPr>
        <w:p w14:paraId="4568F666" w14:textId="77777777" w:rsidR="00266168" w:rsidRDefault="007828E6" w:rsidP="002B7E9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6C18A08" w14:textId="77777777" w:rsidR="00266168" w:rsidRDefault="007828E6" w:rsidP="002B7E90">
          <w:pPr>
            <w:spacing w:after="0"/>
            <w:ind w:left="-495" w:right="214" w:firstLine="567"/>
            <w:jc w:val="right"/>
            <w:rPr>
              <w:rFonts w:ascii="Palatino Linotype" w:eastAsia="Palatino Linotype" w:hAnsi="Palatino Linotype" w:cs="Palatino Linotype"/>
              <w:sz w:val="24"/>
              <w:szCs w:val="24"/>
            </w:rPr>
          </w:pPr>
          <w:r w:rsidRPr="002B7E90">
            <w:rPr>
              <w:rFonts w:ascii="Palatino Linotype" w:eastAsia="Palatino Linotype" w:hAnsi="Palatino Linotype" w:cs="Palatino Linotype"/>
              <w:sz w:val="24"/>
              <w:szCs w:val="24"/>
            </w:rPr>
            <w:t>Ayuntamiento de Naucalpan de Juárez</w:t>
          </w:r>
          <w:r>
            <w:rPr>
              <w:rFonts w:ascii="Palatino Linotype" w:eastAsia="Palatino Linotype" w:hAnsi="Palatino Linotype" w:cs="Palatino Linotype"/>
              <w:sz w:val="24"/>
              <w:szCs w:val="24"/>
            </w:rPr>
            <w:t>.</w:t>
          </w:r>
        </w:p>
      </w:tc>
    </w:tr>
    <w:tr w:rsidR="002B7E90" w14:paraId="0EF14FAD" w14:textId="77777777" w:rsidTr="00504FEB">
      <w:trPr>
        <w:trHeight w:val="373"/>
      </w:trPr>
      <w:tc>
        <w:tcPr>
          <w:tcW w:w="5716" w:type="dxa"/>
        </w:tcPr>
        <w:p w14:paraId="11554857" w14:textId="77777777" w:rsidR="00266168" w:rsidRDefault="007828E6" w:rsidP="002B7E9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FC4E0D0" w14:textId="77777777" w:rsidR="00266168" w:rsidRDefault="007828E6" w:rsidP="002B7E9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A8A5798" w14:textId="77777777" w:rsidR="00266168" w:rsidRDefault="007828E6">
    <w:pPr>
      <w:pStyle w:val="Encabezado"/>
    </w:pPr>
    <w:r>
      <w:rPr>
        <w:noProof/>
      </w:rPr>
      <w:drawing>
        <wp:anchor distT="0" distB="0" distL="0" distR="0" simplePos="0" relativeHeight="251660288" behindDoc="1" locked="0" layoutInCell="1" hidden="0" allowOverlap="1" wp14:anchorId="501F3DF4" wp14:editId="5998AAC8">
          <wp:simplePos x="0" y="0"/>
          <wp:positionH relativeFrom="page">
            <wp:posOffset>386715</wp:posOffset>
          </wp:positionH>
          <wp:positionV relativeFrom="paragraph">
            <wp:posOffset>-1400175</wp:posOffset>
          </wp:positionV>
          <wp:extent cx="7353300" cy="8658225"/>
          <wp:effectExtent l="0" t="0" r="0" b="9525"/>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2B7E90" w14:paraId="21FD20D5" w14:textId="77777777" w:rsidTr="00504FEB">
      <w:trPr>
        <w:trHeight w:val="246"/>
      </w:trPr>
      <w:tc>
        <w:tcPr>
          <w:tcW w:w="5716" w:type="dxa"/>
        </w:tcPr>
        <w:p w14:paraId="18CAF284" w14:textId="77777777" w:rsidR="00266168" w:rsidRDefault="007828E6" w:rsidP="002B7E9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3CC66428" w14:textId="77777777" w:rsidR="00266168" w:rsidRDefault="007828E6" w:rsidP="002B7E90">
          <w:pPr>
            <w:spacing w:after="120"/>
            <w:ind w:left="-486" w:right="214" w:firstLine="1408"/>
            <w:jc w:val="right"/>
            <w:rPr>
              <w:rFonts w:ascii="Palatino Linotype" w:eastAsia="Palatino Linotype" w:hAnsi="Palatino Linotype" w:cs="Palatino Linotype"/>
              <w:sz w:val="24"/>
              <w:szCs w:val="24"/>
            </w:rPr>
          </w:pPr>
          <w:r w:rsidRPr="002B7E90">
            <w:rPr>
              <w:rFonts w:ascii="Palatino Linotype" w:eastAsia="Palatino Linotype" w:hAnsi="Palatino Linotype" w:cs="Palatino Linotype"/>
              <w:sz w:val="24"/>
              <w:szCs w:val="24"/>
            </w:rPr>
            <w:t>04619/INFOEM/IP/RR/2024</w:t>
          </w:r>
          <w:r>
            <w:rPr>
              <w:rFonts w:ascii="Palatino Linotype" w:eastAsia="Palatino Linotype" w:hAnsi="Palatino Linotype" w:cs="Palatino Linotype"/>
              <w:sz w:val="24"/>
              <w:szCs w:val="24"/>
            </w:rPr>
            <w:t>.</w:t>
          </w:r>
        </w:p>
      </w:tc>
    </w:tr>
    <w:tr w:rsidR="002B7E90" w14:paraId="552E123B" w14:textId="77777777" w:rsidTr="00504FEB">
      <w:trPr>
        <w:trHeight w:val="212"/>
      </w:trPr>
      <w:tc>
        <w:tcPr>
          <w:tcW w:w="5716" w:type="dxa"/>
        </w:tcPr>
        <w:p w14:paraId="06E15E1B" w14:textId="77777777" w:rsidR="00266168" w:rsidRDefault="007828E6" w:rsidP="002B7E90">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EE3D34E" w14:textId="411406A9" w:rsidR="00266168" w:rsidRDefault="007A1EB6" w:rsidP="002B7E9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 XXXXXXXXX XXXXXXXX</w:t>
          </w:r>
          <w:r w:rsidR="007828E6">
            <w:rPr>
              <w:rFonts w:ascii="Palatino Linotype" w:eastAsia="Palatino Linotype" w:hAnsi="Palatino Linotype" w:cs="Palatino Linotype"/>
              <w:sz w:val="24"/>
              <w:szCs w:val="24"/>
            </w:rPr>
            <w:t>.</w:t>
          </w:r>
        </w:p>
      </w:tc>
    </w:tr>
    <w:tr w:rsidR="002B7E90" w14:paraId="6878F5BC" w14:textId="77777777" w:rsidTr="00504FEB">
      <w:trPr>
        <w:trHeight w:val="264"/>
      </w:trPr>
      <w:tc>
        <w:tcPr>
          <w:tcW w:w="5716" w:type="dxa"/>
        </w:tcPr>
        <w:p w14:paraId="637E326E" w14:textId="77777777" w:rsidR="00266168" w:rsidRDefault="007828E6" w:rsidP="002B7E90">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7B618D5C" w14:textId="77777777" w:rsidR="00266168" w:rsidRDefault="007828E6" w:rsidP="002B7E90">
          <w:pPr>
            <w:spacing w:after="0"/>
            <w:ind w:left="-495" w:right="214" w:firstLine="567"/>
            <w:jc w:val="right"/>
            <w:rPr>
              <w:rFonts w:ascii="Palatino Linotype" w:eastAsia="Palatino Linotype" w:hAnsi="Palatino Linotype" w:cs="Palatino Linotype"/>
              <w:sz w:val="24"/>
              <w:szCs w:val="24"/>
            </w:rPr>
          </w:pPr>
          <w:r w:rsidRPr="002B7E90">
            <w:rPr>
              <w:rFonts w:ascii="Palatino Linotype" w:eastAsia="Palatino Linotype" w:hAnsi="Palatino Linotype" w:cs="Palatino Linotype"/>
              <w:sz w:val="24"/>
              <w:szCs w:val="24"/>
            </w:rPr>
            <w:t>Ayuntamiento de Naucalpan de Juárez</w:t>
          </w:r>
          <w:r>
            <w:rPr>
              <w:rFonts w:ascii="Palatino Linotype" w:eastAsia="Palatino Linotype" w:hAnsi="Palatino Linotype" w:cs="Palatino Linotype"/>
              <w:sz w:val="24"/>
              <w:szCs w:val="24"/>
            </w:rPr>
            <w:t>.</w:t>
          </w:r>
        </w:p>
      </w:tc>
    </w:tr>
    <w:tr w:rsidR="002B7E90" w14:paraId="4B77CFBD" w14:textId="77777777" w:rsidTr="00504FEB">
      <w:trPr>
        <w:trHeight w:val="373"/>
      </w:trPr>
      <w:tc>
        <w:tcPr>
          <w:tcW w:w="5716" w:type="dxa"/>
        </w:tcPr>
        <w:p w14:paraId="03781C1F" w14:textId="77777777" w:rsidR="00266168" w:rsidRDefault="007828E6" w:rsidP="002B7E90">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31DB772D" w14:textId="77777777" w:rsidR="00266168" w:rsidRDefault="007828E6" w:rsidP="002B7E90">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E69700F" w14:textId="77777777" w:rsidR="00266168" w:rsidRDefault="007828E6">
    <w:pPr>
      <w:pStyle w:val="Encabezado"/>
    </w:pPr>
    <w:r>
      <w:rPr>
        <w:noProof/>
      </w:rPr>
      <w:drawing>
        <wp:anchor distT="0" distB="0" distL="0" distR="0" simplePos="0" relativeHeight="251659264" behindDoc="1" locked="0" layoutInCell="1" hidden="0" allowOverlap="1" wp14:anchorId="50DC9F22" wp14:editId="3AD1CB72">
          <wp:simplePos x="0" y="0"/>
          <wp:positionH relativeFrom="page">
            <wp:align>right</wp:align>
          </wp:positionH>
          <wp:positionV relativeFrom="paragraph">
            <wp:posOffset>-1466850</wp:posOffset>
          </wp:positionV>
          <wp:extent cx="7353300" cy="8658225"/>
          <wp:effectExtent l="0" t="0" r="0" b="9525"/>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FA2"/>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E6"/>
    <w:rsid w:val="00034220"/>
    <w:rsid w:val="00104E12"/>
    <w:rsid w:val="00130BCB"/>
    <w:rsid w:val="00230839"/>
    <w:rsid w:val="00266168"/>
    <w:rsid w:val="00341BC7"/>
    <w:rsid w:val="005E73F2"/>
    <w:rsid w:val="00626381"/>
    <w:rsid w:val="007828E6"/>
    <w:rsid w:val="007A1EB6"/>
    <w:rsid w:val="007F1B67"/>
    <w:rsid w:val="00A52C43"/>
    <w:rsid w:val="00A55FF8"/>
    <w:rsid w:val="00AE0788"/>
    <w:rsid w:val="00B83A80"/>
    <w:rsid w:val="00BF2D92"/>
    <w:rsid w:val="00D9218B"/>
    <w:rsid w:val="00E504B2"/>
    <w:rsid w:val="00F946C3"/>
    <w:rsid w:val="00FE4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2E73"/>
  <w15:chartTrackingRefBased/>
  <w15:docId w15:val="{6DA36DCB-47BC-47AF-91C0-635060BB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E6"/>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8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8E6"/>
    <w:rPr>
      <w:rFonts w:ascii="Calibri" w:eastAsia="Calibri" w:hAnsi="Calibri" w:cs="Calibri"/>
      <w:lang w:eastAsia="es-MX"/>
    </w:rPr>
  </w:style>
  <w:style w:type="paragraph" w:styleId="Piedepgina">
    <w:name w:val="footer"/>
    <w:basedOn w:val="Normal"/>
    <w:link w:val="PiedepginaCar"/>
    <w:uiPriority w:val="99"/>
    <w:unhideWhenUsed/>
    <w:rsid w:val="007828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8E6"/>
    <w:rPr>
      <w:rFonts w:ascii="Calibri" w:eastAsia="Calibri" w:hAnsi="Calibri" w:cs="Calibri"/>
      <w:lang w:eastAsia="es-MX"/>
    </w:rPr>
  </w:style>
  <w:style w:type="table" w:customStyle="1" w:styleId="4">
    <w:name w:val="4"/>
    <w:basedOn w:val="Tablanormal"/>
    <w:rsid w:val="007828E6"/>
    <w:pPr>
      <w:spacing w:after="0" w:line="240" w:lineRule="auto"/>
    </w:pPr>
    <w:rPr>
      <w:rFonts w:ascii="Calibri" w:eastAsia="Calibri" w:hAnsi="Calibri" w:cs="Calibri"/>
      <w:lang w:eastAsia="es-MX"/>
    </w:rPr>
    <w:tblPr>
      <w:tblStyleRowBandSize w:val="1"/>
      <w:tblStyleColBandSize w:val="1"/>
      <w:tblInd w:w="0" w:type="nil"/>
    </w:tblPr>
  </w:style>
  <w:style w:type="paragraph" w:styleId="Sinespaciado">
    <w:name w:val="No Spacing"/>
    <w:aliases w:val="Francesa,INAI"/>
    <w:link w:val="SinespaciadoCar"/>
    <w:uiPriority w:val="1"/>
    <w:qFormat/>
    <w:rsid w:val="007828E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7828E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AE4F-BE27-4550-9BF4-0C169E3A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7308</Words>
  <Characters>40198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2024-10-04T04:50:00Z</cp:lastPrinted>
  <dcterms:created xsi:type="dcterms:W3CDTF">2024-10-23T22:20:00Z</dcterms:created>
  <dcterms:modified xsi:type="dcterms:W3CDTF">2024-10-23T22:20:00Z</dcterms:modified>
</cp:coreProperties>
</file>