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B7F39" w:rsidRDefault="00AE3DA7" w:rsidP="006B7F39">
          <w:pPr>
            <w:pStyle w:val="TtulodeTDC"/>
            <w:spacing w:before="0" w:line="240" w:lineRule="auto"/>
            <w:rPr>
              <w:rFonts w:ascii="Palatino Linotype" w:hAnsi="Palatino Linotype"/>
              <w:color w:val="auto"/>
              <w:sz w:val="24"/>
              <w:szCs w:val="24"/>
              <w:lang w:val="es-ES"/>
            </w:rPr>
          </w:pPr>
          <w:r w:rsidRPr="006B7F39">
            <w:rPr>
              <w:rFonts w:ascii="Palatino Linotype" w:hAnsi="Palatino Linotype"/>
              <w:color w:val="auto"/>
              <w:sz w:val="24"/>
              <w:szCs w:val="24"/>
              <w:lang w:val="es-ES"/>
            </w:rPr>
            <w:t>Contenido</w:t>
          </w:r>
        </w:p>
        <w:p w14:paraId="3EB312A7" w14:textId="77777777" w:rsidR="00AA6EA9" w:rsidRPr="006B7F39" w:rsidRDefault="00AA6EA9" w:rsidP="006B7F39">
          <w:pPr>
            <w:spacing w:line="240" w:lineRule="auto"/>
            <w:rPr>
              <w:sz w:val="16"/>
              <w:szCs w:val="16"/>
              <w:lang w:val="es-ES" w:eastAsia="es-MX"/>
            </w:rPr>
          </w:pPr>
        </w:p>
        <w:p w14:paraId="2872E757" w14:textId="77777777" w:rsidR="006B7F39" w:rsidRPr="006B7F39" w:rsidRDefault="00AE3DA7" w:rsidP="006B7F39">
          <w:pPr>
            <w:pStyle w:val="TDC1"/>
            <w:tabs>
              <w:tab w:val="right" w:leader="dot" w:pos="9034"/>
            </w:tabs>
            <w:rPr>
              <w:rFonts w:asciiTheme="minorHAnsi" w:eastAsiaTheme="minorEastAsia" w:hAnsiTheme="minorHAnsi" w:cstheme="minorBidi"/>
              <w:noProof/>
              <w:szCs w:val="22"/>
              <w:lang w:eastAsia="es-MX"/>
            </w:rPr>
          </w:pPr>
          <w:r w:rsidRPr="006B7F39">
            <w:rPr>
              <w:sz w:val="16"/>
              <w:szCs w:val="16"/>
            </w:rPr>
            <w:fldChar w:fldCharType="begin"/>
          </w:r>
          <w:r w:rsidRPr="006B7F39">
            <w:rPr>
              <w:sz w:val="16"/>
              <w:szCs w:val="16"/>
            </w:rPr>
            <w:instrText xml:space="preserve"> TOC \o "1-3" \h \z \u </w:instrText>
          </w:r>
          <w:r w:rsidRPr="006B7F39">
            <w:rPr>
              <w:sz w:val="16"/>
              <w:szCs w:val="16"/>
            </w:rPr>
            <w:fldChar w:fldCharType="separate"/>
          </w:r>
          <w:hyperlink w:anchor="_Toc179394272" w:history="1">
            <w:r w:rsidR="006B7F39" w:rsidRPr="006B7F39">
              <w:rPr>
                <w:rStyle w:val="Hipervnculo"/>
                <w:noProof/>
                <w:color w:val="auto"/>
              </w:rPr>
              <w:t>ANTECEDENTES</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_Toc179394272 \h </w:instrText>
            </w:r>
            <w:r w:rsidR="006B7F39" w:rsidRPr="006B7F39">
              <w:rPr>
                <w:noProof/>
                <w:webHidden/>
              </w:rPr>
            </w:r>
            <w:r w:rsidR="006B7F39" w:rsidRPr="006B7F39">
              <w:rPr>
                <w:noProof/>
                <w:webHidden/>
              </w:rPr>
              <w:fldChar w:fldCharType="separate"/>
            </w:r>
            <w:r w:rsidR="000B6E86">
              <w:rPr>
                <w:noProof/>
                <w:webHidden/>
              </w:rPr>
              <w:t>1</w:t>
            </w:r>
            <w:r w:rsidR="006B7F39" w:rsidRPr="006B7F39">
              <w:rPr>
                <w:noProof/>
                <w:webHidden/>
              </w:rPr>
              <w:fldChar w:fldCharType="end"/>
            </w:r>
          </w:hyperlink>
        </w:p>
        <w:p w14:paraId="5B21AD40" w14:textId="77777777" w:rsidR="006B7F39" w:rsidRPr="006B7F39" w:rsidRDefault="00186D44" w:rsidP="006B7F39">
          <w:pPr>
            <w:pStyle w:val="TDC2"/>
            <w:rPr>
              <w:rFonts w:asciiTheme="minorHAnsi" w:eastAsiaTheme="minorEastAsia" w:hAnsiTheme="minorHAnsi" w:cstheme="minorBidi"/>
              <w:noProof/>
              <w:szCs w:val="22"/>
              <w:lang w:eastAsia="es-MX"/>
            </w:rPr>
          </w:pPr>
          <w:hyperlink w:anchor="_Toc179394273" w:history="1">
            <w:r w:rsidR="006B7F39" w:rsidRPr="006B7F39">
              <w:rPr>
                <w:rStyle w:val="Hipervnculo"/>
                <w:noProof/>
                <w:color w:val="auto"/>
              </w:rPr>
              <w:t>DE LA SOLICITUD DE INFORMACIÓN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_Toc179394273 \h </w:instrText>
            </w:r>
            <w:r w:rsidR="006B7F39" w:rsidRPr="006B7F39">
              <w:rPr>
                <w:noProof/>
                <w:webHidden/>
              </w:rPr>
            </w:r>
            <w:r w:rsidR="006B7F39" w:rsidRPr="006B7F39">
              <w:rPr>
                <w:noProof/>
                <w:webHidden/>
              </w:rPr>
              <w:fldChar w:fldCharType="separate"/>
            </w:r>
            <w:r w:rsidR="000B6E86">
              <w:rPr>
                <w:noProof/>
                <w:webHidden/>
              </w:rPr>
              <w:t>1</w:t>
            </w:r>
            <w:r w:rsidR="006B7F39" w:rsidRPr="006B7F39">
              <w:rPr>
                <w:noProof/>
                <w:webHidden/>
              </w:rPr>
              <w:fldChar w:fldCharType="end"/>
            </w:r>
          </w:hyperlink>
        </w:p>
        <w:p w14:paraId="36005661"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74" w:history="1">
            <w:r w:rsidR="006B7F39" w:rsidRPr="006B7F39">
              <w:rPr>
                <w:rStyle w:val="Hipervnculo"/>
                <w:noProof/>
                <w:color w:val="auto"/>
              </w:rPr>
              <w:t>a) Solicitud de información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_Toc179394274 \h </w:instrText>
            </w:r>
            <w:r w:rsidR="006B7F39" w:rsidRPr="006B7F39">
              <w:rPr>
                <w:noProof/>
                <w:webHidden/>
              </w:rPr>
            </w:r>
            <w:r w:rsidR="006B7F39" w:rsidRPr="006B7F39">
              <w:rPr>
                <w:noProof/>
                <w:webHidden/>
              </w:rPr>
              <w:fldChar w:fldCharType="separate"/>
            </w:r>
            <w:r w:rsidR="000B6E86">
              <w:rPr>
                <w:noProof/>
                <w:webHidden/>
              </w:rPr>
              <w:t>1</w:t>
            </w:r>
            <w:r w:rsidR="006B7F39" w:rsidRPr="006B7F39">
              <w:rPr>
                <w:noProof/>
                <w:webHidden/>
              </w:rPr>
              <w:fldChar w:fldCharType="end"/>
            </w:r>
          </w:hyperlink>
        </w:p>
        <w:p w14:paraId="45FE90D1"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75" w:history="1">
            <w:r w:rsidR="006B7F39" w:rsidRPr="006B7F39">
              <w:rPr>
                <w:rStyle w:val="Hipervnculo"/>
                <w:noProof/>
                <w:color w:val="auto"/>
              </w:rPr>
              <w:t>b) Turno de la solicitud de información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_Toc179394275 \h </w:instrText>
            </w:r>
            <w:r w:rsidR="006B7F39" w:rsidRPr="006B7F39">
              <w:rPr>
                <w:noProof/>
                <w:webHidden/>
              </w:rPr>
            </w:r>
            <w:r w:rsidR="006B7F39" w:rsidRPr="006B7F39">
              <w:rPr>
                <w:noProof/>
                <w:webHidden/>
              </w:rPr>
              <w:fldChar w:fldCharType="separate"/>
            </w:r>
            <w:r w:rsidR="000B6E86">
              <w:rPr>
                <w:noProof/>
                <w:webHidden/>
              </w:rPr>
              <w:t>2</w:t>
            </w:r>
            <w:r w:rsidR="006B7F39" w:rsidRPr="006B7F39">
              <w:rPr>
                <w:noProof/>
                <w:webHidden/>
              </w:rPr>
              <w:fldChar w:fldCharType="end"/>
            </w:r>
          </w:hyperlink>
        </w:p>
        <w:p w14:paraId="52068A00"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76" w:history="1">
            <w:r w:rsidR="006B7F39" w:rsidRPr="006B7F39">
              <w:rPr>
                <w:rStyle w:val="Hipervnculo"/>
                <w:noProof/>
                <w:color w:val="auto"/>
              </w:rPr>
              <w:t xml:space="preserve">c) </w:t>
            </w:r>
            <w:r w:rsidR="006B7F39" w:rsidRPr="006B7F39">
              <w:rPr>
                <w:rStyle w:val="Hipervnculo"/>
                <w:noProof/>
                <w:color w:val="auto"/>
                <w:lang w:val="es-ES"/>
              </w:rPr>
              <w:t xml:space="preserve">Respuesta </w:t>
            </w:r>
            <w:r w:rsidR="006B7F39" w:rsidRPr="006B7F39">
              <w:rPr>
                <w:rStyle w:val="Hipervnculo"/>
                <w:rFonts w:eastAsia="Calibri"/>
                <w:noProof/>
                <w:color w:val="auto"/>
                <w:lang w:eastAsia="en-US"/>
              </w:rPr>
              <w:t>del Sujeto Obligado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_Toc179394276 \h </w:instrText>
            </w:r>
            <w:r w:rsidR="006B7F39" w:rsidRPr="006B7F39">
              <w:rPr>
                <w:noProof/>
                <w:webHidden/>
              </w:rPr>
            </w:r>
            <w:r w:rsidR="006B7F39" w:rsidRPr="006B7F39">
              <w:rPr>
                <w:noProof/>
                <w:webHidden/>
              </w:rPr>
              <w:fldChar w:fldCharType="separate"/>
            </w:r>
            <w:r w:rsidR="000B6E86">
              <w:rPr>
                <w:noProof/>
                <w:webHidden/>
              </w:rPr>
              <w:t>2</w:t>
            </w:r>
            <w:r w:rsidR="006B7F39" w:rsidRPr="006B7F39">
              <w:rPr>
                <w:noProof/>
                <w:webHidden/>
              </w:rPr>
              <w:fldChar w:fldCharType="end"/>
            </w:r>
          </w:hyperlink>
        </w:p>
        <w:p w14:paraId="5FE9074D" w14:textId="77777777" w:rsidR="006B7F39" w:rsidRPr="006B7F39" w:rsidRDefault="00186D44" w:rsidP="006B7F39">
          <w:pPr>
            <w:pStyle w:val="TDC2"/>
            <w:rPr>
              <w:rFonts w:asciiTheme="minorHAnsi" w:eastAsiaTheme="minorEastAsia" w:hAnsiTheme="minorHAnsi" w:cstheme="minorBidi"/>
              <w:noProof/>
              <w:szCs w:val="22"/>
              <w:lang w:eastAsia="es-MX"/>
            </w:rPr>
          </w:pPr>
          <w:hyperlink w:anchor="_Toc179394277" w:history="1">
            <w:r w:rsidR="006B7F39" w:rsidRPr="006B7F39">
              <w:rPr>
                <w:rStyle w:val="Hipervnculo"/>
                <w:noProof/>
                <w:color w:val="auto"/>
              </w:rPr>
              <w:t>DEL RECURSO DE REVISIÓN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_Toc179394277 \h </w:instrText>
            </w:r>
            <w:r w:rsidR="006B7F39" w:rsidRPr="006B7F39">
              <w:rPr>
                <w:noProof/>
                <w:webHidden/>
              </w:rPr>
            </w:r>
            <w:r w:rsidR="006B7F39" w:rsidRPr="006B7F39">
              <w:rPr>
                <w:noProof/>
                <w:webHidden/>
              </w:rPr>
              <w:fldChar w:fldCharType="separate"/>
            </w:r>
            <w:r w:rsidR="000B6E86">
              <w:rPr>
                <w:noProof/>
                <w:webHidden/>
              </w:rPr>
              <w:t>3</w:t>
            </w:r>
            <w:r w:rsidR="006B7F39" w:rsidRPr="006B7F39">
              <w:rPr>
                <w:noProof/>
                <w:webHidden/>
              </w:rPr>
              <w:fldChar w:fldCharType="end"/>
            </w:r>
          </w:hyperlink>
        </w:p>
        <w:p w14:paraId="09CA04FE"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78" w:history="1">
            <w:r w:rsidR="006B7F39" w:rsidRPr="006B7F39">
              <w:rPr>
                <w:rStyle w:val="Hipervnculo"/>
                <w:noProof/>
                <w:color w:val="auto"/>
              </w:rPr>
              <w:t>a) Interposición del Recurso de Revisión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_Toc179394278 \h </w:instrText>
            </w:r>
            <w:r w:rsidR="006B7F39" w:rsidRPr="006B7F39">
              <w:rPr>
                <w:noProof/>
                <w:webHidden/>
              </w:rPr>
            </w:r>
            <w:r w:rsidR="006B7F39" w:rsidRPr="006B7F39">
              <w:rPr>
                <w:noProof/>
                <w:webHidden/>
              </w:rPr>
              <w:fldChar w:fldCharType="separate"/>
            </w:r>
            <w:r w:rsidR="000B6E86">
              <w:rPr>
                <w:noProof/>
                <w:webHidden/>
              </w:rPr>
              <w:t>3</w:t>
            </w:r>
            <w:r w:rsidR="006B7F39" w:rsidRPr="006B7F39">
              <w:rPr>
                <w:noProof/>
                <w:webHidden/>
              </w:rPr>
              <w:fldChar w:fldCharType="end"/>
            </w:r>
          </w:hyperlink>
        </w:p>
        <w:p w14:paraId="262E4CF5"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79" w:history="1">
            <w:r w:rsidR="006B7F39" w:rsidRPr="006B7F39">
              <w:rPr>
                <w:rStyle w:val="Hipervnculo"/>
                <w:noProof/>
                <w:color w:val="auto"/>
              </w:rPr>
              <w:t>b) Turno del Recurso de Revisión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_Toc179394279 \h </w:instrText>
            </w:r>
            <w:r w:rsidR="006B7F39" w:rsidRPr="006B7F39">
              <w:rPr>
                <w:noProof/>
                <w:webHidden/>
              </w:rPr>
            </w:r>
            <w:r w:rsidR="006B7F39" w:rsidRPr="006B7F39">
              <w:rPr>
                <w:noProof/>
                <w:webHidden/>
              </w:rPr>
              <w:fldChar w:fldCharType="separate"/>
            </w:r>
            <w:r w:rsidR="000B6E86">
              <w:rPr>
                <w:noProof/>
                <w:webHidden/>
              </w:rPr>
              <w:t>4</w:t>
            </w:r>
            <w:r w:rsidR="006B7F39" w:rsidRPr="006B7F39">
              <w:rPr>
                <w:noProof/>
                <w:webHidden/>
              </w:rPr>
              <w:fldChar w:fldCharType="end"/>
            </w:r>
          </w:hyperlink>
        </w:p>
        <w:p w14:paraId="594B0DD2"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0" w:history="1">
            <w:r w:rsidR="006B7F39" w:rsidRPr="006B7F39">
              <w:rPr>
                <w:rStyle w:val="Hipervnculo"/>
                <w:noProof/>
                <w:color w:val="auto"/>
              </w:rPr>
              <w:t>c) Admisión del Recurso de Revisión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_Toc179394280 \h </w:instrText>
            </w:r>
            <w:r w:rsidR="006B7F39" w:rsidRPr="006B7F39">
              <w:rPr>
                <w:noProof/>
                <w:webHidden/>
              </w:rPr>
            </w:r>
            <w:r w:rsidR="006B7F39" w:rsidRPr="006B7F39">
              <w:rPr>
                <w:noProof/>
                <w:webHidden/>
              </w:rPr>
              <w:fldChar w:fldCharType="separate"/>
            </w:r>
            <w:r w:rsidR="000B6E86">
              <w:rPr>
                <w:noProof/>
                <w:webHidden/>
              </w:rPr>
              <w:t>4</w:t>
            </w:r>
            <w:r w:rsidR="006B7F39" w:rsidRPr="006B7F39">
              <w:rPr>
                <w:noProof/>
                <w:webHidden/>
              </w:rPr>
              <w:fldChar w:fldCharType="end"/>
            </w:r>
          </w:hyperlink>
        </w:p>
        <w:p w14:paraId="2F5E21AF"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1" w:history="1">
            <w:r w:rsidR="006B7F39" w:rsidRPr="006B7F39">
              <w:rPr>
                <w:rStyle w:val="Hipervnculo"/>
                <w:noProof/>
                <w:color w:val="auto"/>
              </w:rPr>
              <w:t>d) Informe Justificado del Sujeto Obligado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_Toc179394281 \h </w:instrText>
            </w:r>
            <w:r w:rsidR="006B7F39" w:rsidRPr="006B7F39">
              <w:rPr>
                <w:noProof/>
                <w:webHidden/>
              </w:rPr>
            </w:r>
            <w:r w:rsidR="006B7F39" w:rsidRPr="006B7F39">
              <w:rPr>
                <w:noProof/>
                <w:webHidden/>
              </w:rPr>
              <w:fldChar w:fldCharType="separate"/>
            </w:r>
            <w:r w:rsidR="000B6E86">
              <w:rPr>
                <w:noProof/>
                <w:webHidden/>
              </w:rPr>
              <w:t>4</w:t>
            </w:r>
            <w:r w:rsidR="006B7F39" w:rsidRPr="006B7F39">
              <w:rPr>
                <w:noProof/>
                <w:webHidden/>
              </w:rPr>
              <w:fldChar w:fldCharType="end"/>
            </w:r>
          </w:hyperlink>
        </w:p>
        <w:p w14:paraId="493EFBBC"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2" w:history="1">
            <w:r w:rsidR="006B7F39" w:rsidRPr="006B7F39">
              <w:rPr>
                <w:rStyle w:val="Hipervnculo"/>
                <w:rFonts w:eastAsia="Calibri"/>
                <w:bCs/>
                <w:noProof/>
                <w:color w:val="auto"/>
                <w:lang w:eastAsia="en-US"/>
              </w:rPr>
              <w:t>e)</w:t>
            </w:r>
            <w:r w:rsidR="006B7F39" w:rsidRPr="006B7F39">
              <w:rPr>
                <w:rStyle w:val="Hipervnculo"/>
                <w:noProof/>
                <w:color w:val="auto"/>
              </w:rPr>
              <w:t xml:space="preserve"> </w:t>
            </w:r>
            <w:r w:rsidR="006B7F39" w:rsidRPr="006B7F39">
              <w:rPr>
                <w:rStyle w:val="Hipervnculo"/>
                <w:noProof/>
                <w:color w:val="auto"/>
                <w:lang w:val="es-ES"/>
              </w:rPr>
              <w:t>Manifestaciones de la Parte Recurrente</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_Toc179394282 \h </w:instrText>
            </w:r>
            <w:r w:rsidR="006B7F39" w:rsidRPr="006B7F39">
              <w:rPr>
                <w:noProof/>
                <w:webHidden/>
              </w:rPr>
            </w:r>
            <w:r w:rsidR="006B7F39" w:rsidRPr="006B7F39">
              <w:rPr>
                <w:noProof/>
                <w:webHidden/>
              </w:rPr>
              <w:fldChar w:fldCharType="separate"/>
            </w:r>
            <w:r w:rsidR="000B6E86">
              <w:rPr>
                <w:noProof/>
                <w:webHidden/>
              </w:rPr>
              <w:t>5</w:t>
            </w:r>
            <w:r w:rsidR="006B7F39" w:rsidRPr="006B7F39">
              <w:rPr>
                <w:noProof/>
                <w:webHidden/>
              </w:rPr>
              <w:fldChar w:fldCharType="end"/>
            </w:r>
          </w:hyperlink>
        </w:p>
        <w:p w14:paraId="104C27E0"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3" w:history="1">
            <w:r w:rsidR="006B7F39" w:rsidRPr="006B7F39">
              <w:rPr>
                <w:rStyle w:val="Hipervnculo"/>
                <w:rFonts w:eastAsia="Calibri"/>
                <w:noProof/>
                <w:color w:val="auto"/>
              </w:rPr>
              <w:t xml:space="preserve">f) </w:t>
            </w:r>
            <w:r w:rsidR="006B7F39" w:rsidRPr="006B7F39">
              <w:rPr>
                <w:rStyle w:val="Hipervnculo"/>
                <w:noProof/>
                <w:color w:val="auto"/>
              </w:rPr>
              <w:t>Cierre de instrucción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_Toc179394283 \h </w:instrText>
            </w:r>
            <w:r w:rsidR="006B7F39" w:rsidRPr="006B7F39">
              <w:rPr>
                <w:noProof/>
                <w:webHidden/>
              </w:rPr>
            </w:r>
            <w:r w:rsidR="006B7F39" w:rsidRPr="006B7F39">
              <w:rPr>
                <w:noProof/>
                <w:webHidden/>
              </w:rPr>
              <w:fldChar w:fldCharType="separate"/>
            </w:r>
            <w:r w:rsidR="000B6E86">
              <w:rPr>
                <w:noProof/>
                <w:webHidden/>
              </w:rPr>
              <w:t>5</w:t>
            </w:r>
            <w:r w:rsidR="006B7F39" w:rsidRPr="006B7F39">
              <w:rPr>
                <w:noProof/>
                <w:webHidden/>
              </w:rPr>
              <w:fldChar w:fldCharType="end"/>
            </w:r>
          </w:hyperlink>
        </w:p>
        <w:p w14:paraId="54A28847" w14:textId="77777777" w:rsidR="006B7F39" w:rsidRPr="006B7F39" w:rsidRDefault="00186D44" w:rsidP="006B7F39">
          <w:pPr>
            <w:pStyle w:val="TDC1"/>
            <w:tabs>
              <w:tab w:val="right" w:leader="dot" w:pos="9034"/>
            </w:tabs>
            <w:rPr>
              <w:rFonts w:asciiTheme="minorHAnsi" w:eastAsiaTheme="minorEastAsia" w:hAnsiTheme="minorHAnsi" w:cstheme="minorBidi"/>
              <w:noProof/>
              <w:szCs w:val="22"/>
              <w:lang w:eastAsia="es-MX"/>
            </w:rPr>
          </w:pPr>
          <w:hyperlink w:anchor="_Toc179394284" w:history="1">
            <w:r w:rsidR="006B7F39" w:rsidRPr="006B7F39">
              <w:rPr>
                <w:rStyle w:val="Hipervnculo"/>
                <w:rFonts w:eastAsiaTheme="minorHAnsi"/>
                <w:noProof/>
                <w:color w:val="auto"/>
                <w:lang w:eastAsia="en-US"/>
              </w:rPr>
              <w:t>CONSIDERANDOS</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_Toc179394284 \h </w:instrText>
            </w:r>
            <w:r w:rsidR="006B7F39" w:rsidRPr="006B7F39">
              <w:rPr>
                <w:noProof/>
                <w:webHidden/>
              </w:rPr>
            </w:r>
            <w:r w:rsidR="006B7F39" w:rsidRPr="006B7F39">
              <w:rPr>
                <w:noProof/>
                <w:webHidden/>
              </w:rPr>
              <w:fldChar w:fldCharType="separate"/>
            </w:r>
            <w:r w:rsidR="000B6E86">
              <w:rPr>
                <w:noProof/>
                <w:webHidden/>
              </w:rPr>
              <w:t>6</w:t>
            </w:r>
            <w:r w:rsidR="006B7F39" w:rsidRPr="006B7F39">
              <w:rPr>
                <w:noProof/>
                <w:webHidden/>
              </w:rPr>
              <w:fldChar w:fldCharType="end"/>
            </w:r>
          </w:hyperlink>
        </w:p>
        <w:p w14:paraId="7A52E5B4" w14:textId="77777777" w:rsidR="006B7F39" w:rsidRPr="006B7F39" w:rsidRDefault="00186D44" w:rsidP="006B7F39">
          <w:pPr>
            <w:pStyle w:val="TDC2"/>
            <w:rPr>
              <w:rFonts w:asciiTheme="minorHAnsi" w:eastAsiaTheme="minorEastAsia" w:hAnsiTheme="minorHAnsi" w:cstheme="minorBidi"/>
              <w:noProof/>
              <w:szCs w:val="22"/>
              <w:lang w:eastAsia="es-MX"/>
            </w:rPr>
          </w:pPr>
          <w:hyperlink w:anchor="_Toc179394285" w:history="1">
            <w:r w:rsidR="006B7F39" w:rsidRPr="006B7F39">
              <w:rPr>
                <w:rStyle w:val="Hipervnculo"/>
                <w:rFonts w:eastAsia="Batang"/>
                <w:noProof/>
                <w:color w:val="auto"/>
              </w:rPr>
              <w:t>PRIMERO. Procedibilidad</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_Toc179394285 \h </w:instrText>
            </w:r>
            <w:r w:rsidR="006B7F39" w:rsidRPr="006B7F39">
              <w:rPr>
                <w:noProof/>
                <w:webHidden/>
              </w:rPr>
            </w:r>
            <w:r w:rsidR="006B7F39" w:rsidRPr="006B7F39">
              <w:rPr>
                <w:noProof/>
                <w:webHidden/>
              </w:rPr>
              <w:fldChar w:fldCharType="separate"/>
            </w:r>
            <w:r w:rsidR="000B6E86">
              <w:rPr>
                <w:noProof/>
                <w:webHidden/>
              </w:rPr>
              <w:t>6</w:t>
            </w:r>
            <w:r w:rsidR="006B7F39" w:rsidRPr="006B7F39">
              <w:rPr>
                <w:noProof/>
                <w:webHidden/>
              </w:rPr>
              <w:fldChar w:fldCharType="end"/>
            </w:r>
          </w:hyperlink>
        </w:p>
        <w:p w14:paraId="59432965"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6" w:history="1">
            <w:r w:rsidR="006B7F39" w:rsidRPr="006B7F39">
              <w:rPr>
                <w:rStyle w:val="Hipervnculo"/>
                <w:noProof/>
                <w:color w:val="auto"/>
              </w:rPr>
              <w:t>a) Competencia del Instituto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_Toc179394286 \h </w:instrText>
            </w:r>
            <w:r w:rsidR="006B7F39" w:rsidRPr="006B7F39">
              <w:rPr>
                <w:noProof/>
                <w:webHidden/>
              </w:rPr>
            </w:r>
            <w:r w:rsidR="006B7F39" w:rsidRPr="006B7F39">
              <w:rPr>
                <w:noProof/>
                <w:webHidden/>
              </w:rPr>
              <w:fldChar w:fldCharType="separate"/>
            </w:r>
            <w:r w:rsidR="000B6E86">
              <w:rPr>
                <w:noProof/>
                <w:webHidden/>
              </w:rPr>
              <w:t>6</w:t>
            </w:r>
            <w:r w:rsidR="006B7F39" w:rsidRPr="006B7F39">
              <w:rPr>
                <w:noProof/>
                <w:webHidden/>
              </w:rPr>
              <w:fldChar w:fldCharType="end"/>
            </w:r>
          </w:hyperlink>
        </w:p>
        <w:p w14:paraId="0097DD0A"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7" w:history="1">
            <w:r w:rsidR="006B7F39" w:rsidRPr="006B7F39">
              <w:rPr>
                <w:rStyle w:val="Hipervnculo"/>
                <w:noProof/>
                <w:color w:val="auto"/>
              </w:rPr>
              <w:t>b) Legitimidad de la parte recurrente</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_Toc179394287 \h </w:instrText>
            </w:r>
            <w:r w:rsidR="006B7F39" w:rsidRPr="006B7F39">
              <w:rPr>
                <w:noProof/>
                <w:webHidden/>
              </w:rPr>
            </w:r>
            <w:r w:rsidR="006B7F39" w:rsidRPr="006B7F39">
              <w:rPr>
                <w:noProof/>
                <w:webHidden/>
              </w:rPr>
              <w:fldChar w:fldCharType="separate"/>
            </w:r>
            <w:r w:rsidR="000B6E86">
              <w:rPr>
                <w:noProof/>
                <w:webHidden/>
              </w:rPr>
              <w:t>6</w:t>
            </w:r>
            <w:r w:rsidR="006B7F39" w:rsidRPr="006B7F39">
              <w:rPr>
                <w:noProof/>
                <w:webHidden/>
              </w:rPr>
              <w:fldChar w:fldCharType="end"/>
            </w:r>
          </w:hyperlink>
        </w:p>
        <w:p w14:paraId="5D0777D6"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8" w:history="1">
            <w:r w:rsidR="006B7F39" w:rsidRPr="006B7F39">
              <w:rPr>
                <w:rStyle w:val="Hipervnculo"/>
                <w:rFonts w:eastAsia="Calibri"/>
                <w:noProof/>
                <w:color w:val="auto"/>
                <w:lang w:eastAsia="es-ES_tradnl"/>
              </w:rPr>
              <w:t>c) Plazo para interponer el recurso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_Toc179394288 \h </w:instrText>
            </w:r>
            <w:r w:rsidR="006B7F39" w:rsidRPr="006B7F39">
              <w:rPr>
                <w:noProof/>
                <w:webHidden/>
              </w:rPr>
            </w:r>
            <w:r w:rsidR="006B7F39" w:rsidRPr="006B7F39">
              <w:rPr>
                <w:noProof/>
                <w:webHidden/>
              </w:rPr>
              <w:fldChar w:fldCharType="separate"/>
            </w:r>
            <w:r w:rsidR="000B6E86">
              <w:rPr>
                <w:noProof/>
                <w:webHidden/>
              </w:rPr>
              <w:t>6</w:t>
            </w:r>
            <w:r w:rsidR="006B7F39" w:rsidRPr="006B7F39">
              <w:rPr>
                <w:noProof/>
                <w:webHidden/>
              </w:rPr>
              <w:fldChar w:fldCharType="end"/>
            </w:r>
          </w:hyperlink>
        </w:p>
        <w:p w14:paraId="028D3738"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89" w:history="1">
            <w:r w:rsidR="006B7F39" w:rsidRPr="006B7F39">
              <w:rPr>
                <w:rStyle w:val="Hipervnculo"/>
                <w:rFonts w:eastAsia="Calibri"/>
                <w:noProof/>
                <w:color w:val="auto"/>
                <w:lang w:eastAsia="es-ES_tradnl"/>
              </w:rPr>
              <w:t>d) Causal de procedencia</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_Toc179394289 \h </w:instrText>
            </w:r>
            <w:r w:rsidR="006B7F39" w:rsidRPr="006B7F39">
              <w:rPr>
                <w:noProof/>
                <w:webHidden/>
              </w:rPr>
            </w:r>
            <w:r w:rsidR="006B7F39" w:rsidRPr="006B7F39">
              <w:rPr>
                <w:noProof/>
                <w:webHidden/>
              </w:rPr>
              <w:fldChar w:fldCharType="separate"/>
            </w:r>
            <w:r w:rsidR="000B6E86">
              <w:rPr>
                <w:noProof/>
                <w:webHidden/>
              </w:rPr>
              <w:t>7</w:t>
            </w:r>
            <w:r w:rsidR="006B7F39" w:rsidRPr="006B7F39">
              <w:rPr>
                <w:noProof/>
                <w:webHidden/>
              </w:rPr>
              <w:fldChar w:fldCharType="end"/>
            </w:r>
          </w:hyperlink>
        </w:p>
        <w:p w14:paraId="7E8C228D"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0" w:history="1">
            <w:r w:rsidR="006B7F39" w:rsidRPr="006B7F39">
              <w:rPr>
                <w:rStyle w:val="Hipervnculo"/>
                <w:noProof/>
                <w:color w:val="auto"/>
              </w:rPr>
              <w:t>e) Requisitos formales para la interposición del recurso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_Toc179394290 \h </w:instrText>
            </w:r>
            <w:r w:rsidR="006B7F39" w:rsidRPr="006B7F39">
              <w:rPr>
                <w:noProof/>
                <w:webHidden/>
              </w:rPr>
            </w:r>
            <w:r w:rsidR="006B7F39" w:rsidRPr="006B7F39">
              <w:rPr>
                <w:noProof/>
                <w:webHidden/>
              </w:rPr>
              <w:fldChar w:fldCharType="separate"/>
            </w:r>
            <w:r w:rsidR="000B6E86">
              <w:rPr>
                <w:noProof/>
                <w:webHidden/>
              </w:rPr>
              <w:t>7</w:t>
            </w:r>
            <w:r w:rsidR="006B7F39" w:rsidRPr="006B7F39">
              <w:rPr>
                <w:noProof/>
                <w:webHidden/>
              </w:rPr>
              <w:fldChar w:fldCharType="end"/>
            </w:r>
          </w:hyperlink>
        </w:p>
        <w:p w14:paraId="611678CE" w14:textId="77777777" w:rsidR="006B7F39" w:rsidRPr="006B7F39" w:rsidRDefault="00186D44" w:rsidP="006B7F39">
          <w:pPr>
            <w:pStyle w:val="TDC2"/>
            <w:rPr>
              <w:rFonts w:asciiTheme="minorHAnsi" w:eastAsiaTheme="minorEastAsia" w:hAnsiTheme="minorHAnsi" w:cstheme="minorBidi"/>
              <w:noProof/>
              <w:szCs w:val="22"/>
              <w:lang w:eastAsia="es-MX"/>
            </w:rPr>
          </w:pPr>
          <w:hyperlink w:anchor="_Toc179394291" w:history="1">
            <w:r w:rsidR="006B7F39" w:rsidRPr="006B7F39">
              <w:rPr>
                <w:rStyle w:val="Hipervnculo"/>
                <w:noProof/>
                <w:color w:val="auto"/>
              </w:rPr>
              <w:t>SEGUNDO. Estudio de Fondo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_Toc179394291 \h </w:instrText>
            </w:r>
            <w:r w:rsidR="006B7F39" w:rsidRPr="006B7F39">
              <w:rPr>
                <w:noProof/>
                <w:webHidden/>
              </w:rPr>
            </w:r>
            <w:r w:rsidR="006B7F39" w:rsidRPr="006B7F39">
              <w:rPr>
                <w:noProof/>
                <w:webHidden/>
              </w:rPr>
              <w:fldChar w:fldCharType="separate"/>
            </w:r>
            <w:r w:rsidR="000B6E86">
              <w:rPr>
                <w:noProof/>
                <w:webHidden/>
              </w:rPr>
              <w:t>8</w:t>
            </w:r>
            <w:r w:rsidR="006B7F39" w:rsidRPr="006B7F39">
              <w:rPr>
                <w:noProof/>
                <w:webHidden/>
              </w:rPr>
              <w:fldChar w:fldCharType="end"/>
            </w:r>
          </w:hyperlink>
        </w:p>
        <w:p w14:paraId="362551E0"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2" w:history="1">
            <w:r w:rsidR="006B7F39" w:rsidRPr="006B7F39">
              <w:rPr>
                <w:rStyle w:val="Hipervnculo"/>
                <w:noProof/>
                <w:color w:val="auto"/>
              </w:rPr>
              <w:t>a) Mandato de transparencia y responsabilidad del Sujeto Obligado</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_Toc179394292 \h </w:instrText>
            </w:r>
            <w:r w:rsidR="006B7F39" w:rsidRPr="006B7F39">
              <w:rPr>
                <w:noProof/>
                <w:webHidden/>
              </w:rPr>
            </w:r>
            <w:r w:rsidR="006B7F39" w:rsidRPr="006B7F39">
              <w:rPr>
                <w:noProof/>
                <w:webHidden/>
              </w:rPr>
              <w:fldChar w:fldCharType="separate"/>
            </w:r>
            <w:r w:rsidR="000B6E86">
              <w:rPr>
                <w:noProof/>
                <w:webHidden/>
              </w:rPr>
              <w:t>8</w:t>
            </w:r>
            <w:r w:rsidR="006B7F39" w:rsidRPr="006B7F39">
              <w:rPr>
                <w:noProof/>
                <w:webHidden/>
              </w:rPr>
              <w:fldChar w:fldCharType="end"/>
            </w:r>
          </w:hyperlink>
        </w:p>
        <w:p w14:paraId="50C2CC73"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3" w:history="1">
            <w:r w:rsidR="006B7F39" w:rsidRPr="006B7F39">
              <w:rPr>
                <w:rStyle w:val="Hipervnculo"/>
                <w:rFonts w:eastAsia="Calibri"/>
                <w:noProof/>
                <w:color w:val="auto"/>
                <w:lang w:eastAsia="es-ES_tradnl"/>
              </w:rPr>
              <w:t>b) Controversia a resolver</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_Toc179394293 \h </w:instrText>
            </w:r>
            <w:r w:rsidR="006B7F39" w:rsidRPr="006B7F39">
              <w:rPr>
                <w:noProof/>
                <w:webHidden/>
              </w:rPr>
            </w:r>
            <w:r w:rsidR="006B7F39" w:rsidRPr="006B7F39">
              <w:rPr>
                <w:noProof/>
                <w:webHidden/>
              </w:rPr>
              <w:fldChar w:fldCharType="separate"/>
            </w:r>
            <w:r w:rsidR="000B6E86">
              <w:rPr>
                <w:noProof/>
                <w:webHidden/>
              </w:rPr>
              <w:t>11</w:t>
            </w:r>
            <w:r w:rsidR="006B7F39" w:rsidRPr="006B7F39">
              <w:rPr>
                <w:noProof/>
                <w:webHidden/>
              </w:rPr>
              <w:fldChar w:fldCharType="end"/>
            </w:r>
          </w:hyperlink>
        </w:p>
        <w:p w14:paraId="5C2A3BF4"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4" w:history="1">
            <w:r w:rsidR="006B7F39" w:rsidRPr="006B7F39">
              <w:rPr>
                <w:rStyle w:val="Hipervnculo"/>
                <w:noProof/>
                <w:color w:val="auto"/>
              </w:rPr>
              <w:t>c) Estudio de la controversia</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_Toc179394294 \h </w:instrText>
            </w:r>
            <w:r w:rsidR="006B7F39" w:rsidRPr="006B7F39">
              <w:rPr>
                <w:noProof/>
                <w:webHidden/>
              </w:rPr>
            </w:r>
            <w:r w:rsidR="006B7F39" w:rsidRPr="006B7F39">
              <w:rPr>
                <w:noProof/>
                <w:webHidden/>
              </w:rPr>
              <w:fldChar w:fldCharType="separate"/>
            </w:r>
            <w:r w:rsidR="000B6E86">
              <w:rPr>
                <w:noProof/>
                <w:webHidden/>
              </w:rPr>
              <w:t>12</w:t>
            </w:r>
            <w:r w:rsidR="006B7F39" w:rsidRPr="006B7F39">
              <w:rPr>
                <w:noProof/>
                <w:webHidden/>
              </w:rPr>
              <w:fldChar w:fldCharType="end"/>
            </w:r>
          </w:hyperlink>
        </w:p>
        <w:p w14:paraId="5B4AFA39"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5" w:history="1">
            <w:r w:rsidR="006B7F39" w:rsidRPr="006B7F39">
              <w:rPr>
                <w:rStyle w:val="Hipervnculo"/>
                <w:noProof/>
                <w:color w:val="auto"/>
              </w:rPr>
              <w:t>d) Versión pública</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_Toc179394295 \h </w:instrText>
            </w:r>
            <w:r w:rsidR="006B7F39" w:rsidRPr="006B7F39">
              <w:rPr>
                <w:noProof/>
                <w:webHidden/>
              </w:rPr>
            </w:r>
            <w:r w:rsidR="006B7F39" w:rsidRPr="006B7F39">
              <w:rPr>
                <w:noProof/>
                <w:webHidden/>
              </w:rPr>
              <w:fldChar w:fldCharType="separate"/>
            </w:r>
            <w:r w:rsidR="000B6E86">
              <w:rPr>
                <w:noProof/>
                <w:webHidden/>
              </w:rPr>
              <w:t>20</w:t>
            </w:r>
            <w:r w:rsidR="006B7F39" w:rsidRPr="006B7F39">
              <w:rPr>
                <w:noProof/>
                <w:webHidden/>
              </w:rPr>
              <w:fldChar w:fldCharType="end"/>
            </w:r>
          </w:hyperlink>
        </w:p>
        <w:p w14:paraId="666E3CD7"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6" w:history="1">
            <w:r w:rsidR="006B7F39" w:rsidRPr="006B7F39">
              <w:rPr>
                <w:rStyle w:val="Hipervnculo"/>
                <w:rFonts w:eastAsia="Calibri"/>
                <w:noProof/>
                <w:color w:val="auto"/>
              </w:rPr>
              <w:t>e) Acuerdo de Inexistencia</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_Toc179394296 \h </w:instrText>
            </w:r>
            <w:r w:rsidR="006B7F39" w:rsidRPr="006B7F39">
              <w:rPr>
                <w:noProof/>
                <w:webHidden/>
              </w:rPr>
            </w:r>
            <w:r w:rsidR="006B7F39" w:rsidRPr="006B7F39">
              <w:rPr>
                <w:noProof/>
                <w:webHidden/>
              </w:rPr>
              <w:fldChar w:fldCharType="separate"/>
            </w:r>
            <w:r w:rsidR="000B6E86">
              <w:rPr>
                <w:noProof/>
                <w:webHidden/>
              </w:rPr>
              <w:t>26</w:t>
            </w:r>
            <w:r w:rsidR="006B7F39" w:rsidRPr="006B7F39">
              <w:rPr>
                <w:noProof/>
                <w:webHidden/>
              </w:rPr>
              <w:fldChar w:fldCharType="end"/>
            </w:r>
          </w:hyperlink>
        </w:p>
        <w:p w14:paraId="2E20DFAB" w14:textId="77777777" w:rsidR="006B7F39" w:rsidRPr="006B7F39" w:rsidRDefault="00186D44" w:rsidP="006B7F39">
          <w:pPr>
            <w:pStyle w:val="TDC3"/>
            <w:rPr>
              <w:rFonts w:asciiTheme="minorHAnsi" w:eastAsiaTheme="minorEastAsia" w:hAnsiTheme="minorHAnsi" w:cstheme="minorBidi"/>
              <w:noProof/>
              <w:szCs w:val="22"/>
              <w:lang w:eastAsia="es-MX"/>
            </w:rPr>
          </w:pPr>
          <w:hyperlink w:anchor="_Toc179394297" w:history="1">
            <w:r w:rsidR="006B7F39" w:rsidRPr="006B7F39">
              <w:rPr>
                <w:rStyle w:val="Hipervnculo"/>
                <w:noProof/>
                <w:color w:val="auto"/>
              </w:rPr>
              <w:t>d) Conclusión</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_Toc179394297 \h </w:instrText>
            </w:r>
            <w:r w:rsidR="006B7F39" w:rsidRPr="006B7F39">
              <w:rPr>
                <w:noProof/>
                <w:webHidden/>
              </w:rPr>
            </w:r>
            <w:r w:rsidR="006B7F39" w:rsidRPr="006B7F39">
              <w:rPr>
                <w:noProof/>
                <w:webHidden/>
              </w:rPr>
              <w:fldChar w:fldCharType="separate"/>
            </w:r>
            <w:r w:rsidR="000B6E86">
              <w:rPr>
                <w:noProof/>
                <w:webHidden/>
              </w:rPr>
              <w:t>30</w:t>
            </w:r>
            <w:r w:rsidR="006B7F39" w:rsidRPr="006B7F39">
              <w:rPr>
                <w:noProof/>
                <w:webHidden/>
              </w:rPr>
              <w:fldChar w:fldCharType="end"/>
            </w:r>
          </w:hyperlink>
        </w:p>
        <w:p w14:paraId="0C82FD7A" w14:textId="0B5FFD5F" w:rsidR="009B2945" w:rsidRPr="006B7F39" w:rsidRDefault="00186D44" w:rsidP="006B7F39">
          <w:pPr>
            <w:pStyle w:val="TDC1"/>
            <w:tabs>
              <w:tab w:val="right" w:leader="dot" w:pos="9034"/>
            </w:tabs>
            <w:rPr>
              <w:b/>
              <w:bCs/>
              <w:lang w:val="es-ES"/>
            </w:rPr>
          </w:pPr>
          <w:hyperlink w:anchor="_Toc179394298" w:history="1">
            <w:r w:rsidR="006B7F39" w:rsidRPr="006B7F39">
              <w:rPr>
                <w:rStyle w:val="Hipervnculo"/>
                <w:noProof/>
                <w:color w:val="auto"/>
              </w:rPr>
              <w:t>RESUELVE</w:t>
            </w:r>
            <w:r w:rsidR="006B7F39" w:rsidRPr="006B7F39">
              <w:rPr>
                <w:noProof/>
                <w:webHidden/>
              </w:rPr>
              <w:tab/>
            </w:r>
            <w:r w:rsidR="006B7F39" w:rsidRPr="006B7F39">
              <w:rPr>
                <w:noProof/>
                <w:webHidden/>
              </w:rPr>
              <w:fldChar w:fldCharType="begin"/>
            </w:r>
            <w:r w:rsidR="006B7F39" w:rsidRPr="006B7F39">
              <w:rPr>
                <w:noProof/>
                <w:webHidden/>
              </w:rPr>
              <w:instrText xml:space="preserve"> PAGEREF _Toc179394298 \h </w:instrText>
            </w:r>
            <w:r w:rsidR="006B7F39" w:rsidRPr="006B7F39">
              <w:rPr>
                <w:noProof/>
                <w:webHidden/>
              </w:rPr>
            </w:r>
            <w:r w:rsidR="006B7F39" w:rsidRPr="006B7F39">
              <w:rPr>
                <w:noProof/>
                <w:webHidden/>
              </w:rPr>
              <w:fldChar w:fldCharType="separate"/>
            </w:r>
            <w:r w:rsidR="000B6E86">
              <w:rPr>
                <w:noProof/>
                <w:webHidden/>
              </w:rPr>
              <w:t>31</w:t>
            </w:r>
            <w:r w:rsidR="006B7F39" w:rsidRPr="006B7F39">
              <w:rPr>
                <w:noProof/>
                <w:webHidden/>
              </w:rPr>
              <w:fldChar w:fldCharType="end"/>
            </w:r>
          </w:hyperlink>
          <w:r w:rsidR="00AE3DA7" w:rsidRPr="006B7F39">
            <w:rPr>
              <w:b/>
              <w:bCs/>
              <w:sz w:val="16"/>
              <w:szCs w:val="16"/>
              <w:lang w:val="es-ES"/>
            </w:rPr>
            <w:fldChar w:fldCharType="end"/>
          </w:r>
        </w:p>
      </w:sdtContent>
    </w:sdt>
    <w:p w14:paraId="603A07E2" w14:textId="77777777" w:rsidR="00646436" w:rsidRPr="006B7F39" w:rsidRDefault="00646436" w:rsidP="006B7F39">
      <w:pPr>
        <w:rPr>
          <w:rFonts w:cs="Tahoma"/>
          <w:szCs w:val="22"/>
        </w:rPr>
        <w:sectPr w:rsidR="00646436" w:rsidRPr="006B7F3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71E3122" w:rsidR="00775BFC" w:rsidRPr="006B7F39" w:rsidRDefault="00775BFC" w:rsidP="006B7F39">
      <w:r w:rsidRPr="006B7F39">
        <w:lastRenderedPageBreak/>
        <w:t>Resolución del Pleno del Instituto de Transparencia, Acceso a la Información Pública y Protección de Datos Personales del Estado de México y Municipios, con domicilio e</w:t>
      </w:r>
      <w:r w:rsidR="004D0573" w:rsidRPr="006B7F39">
        <w:t xml:space="preserve">n Metepec, Estado de México, de </w:t>
      </w:r>
      <w:r w:rsidR="00F9701D" w:rsidRPr="006B7F39">
        <w:rPr>
          <w:b/>
        </w:rPr>
        <w:t xml:space="preserve">nueve de octubre </w:t>
      </w:r>
      <w:r w:rsidR="005A5BF2" w:rsidRPr="006B7F39">
        <w:rPr>
          <w:b/>
        </w:rPr>
        <w:t>d</w:t>
      </w:r>
      <w:r w:rsidR="004D0573" w:rsidRPr="006B7F39">
        <w:rPr>
          <w:b/>
        </w:rPr>
        <w:t>e dos mil veinticuatro</w:t>
      </w:r>
      <w:r w:rsidRPr="006B7F39">
        <w:t>.</w:t>
      </w:r>
    </w:p>
    <w:p w14:paraId="0AF3AAC4" w14:textId="77777777" w:rsidR="00775BFC" w:rsidRPr="006B7F39" w:rsidRDefault="00775BFC" w:rsidP="006B7F39"/>
    <w:p w14:paraId="40EAE038" w14:textId="082271BC" w:rsidR="00775BFC" w:rsidRPr="006B7F39" w:rsidRDefault="00775BFC" w:rsidP="006B7F39">
      <w:r w:rsidRPr="006B7F39">
        <w:rPr>
          <w:b/>
        </w:rPr>
        <w:t xml:space="preserve">VISTO </w:t>
      </w:r>
      <w:r w:rsidRPr="006B7F39">
        <w:t xml:space="preserve">el expediente formado con motivo del Recurso de Revisión </w:t>
      </w:r>
      <w:r w:rsidR="004D0573" w:rsidRPr="006B7F39">
        <w:rPr>
          <w:rFonts w:eastAsia="Calibri"/>
          <w:b/>
          <w:lang w:eastAsia="en-US"/>
        </w:rPr>
        <w:t>0</w:t>
      </w:r>
      <w:r w:rsidR="00F9701D" w:rsidRPr="006B7F39">
        <w:rPr>
          <w:rFonts w:eastAsia="Calibri"/>
          <w:b/>
          <w:lang w:eastAsia="en-US"/>
        </w:rPr>
        <w:t>5227</w:t>
      </w:r>
      <w:r w:rsidR="004D0573" w:rsidRPr="006B7F39">
        <w:rPr>
          <w:rFonts w:eastAsia="Calibri"/>
          <w:b/>
          <w:lang w:eastAsia="en-US"/>
        </w:rPr>
        <w:t>/</w:t>
      </w:r>
      <w:r w:rsidRPr="006B7F39">
        <w:rPr>
          <w:rFonts w:eastAsia="Calibri"/>
          <w:b/>
          <w:lang w:eastAsia="en-US"/>
        </w:rPr>
        <w:t>INFOEM/IP/RR/</w:t>
      </w:r>
      <w:r w:rsidR="004D0573" w:rsidRPr="006B7F39">
        <w:rPr>
          <w:rFonts w:eastAsia="Calibri"/>
          <w:b/>
          <w:lang w:eastAsia="en-US"/>
        </w:rPr>
        <w:t>2024</w:t>
      </w:r>
      <w:r w:rsidRPr="006B7F39">
        <w:rPr>
          <w:rFonts w:eastAsia="Calibri"/>
          <w:lang w:eastAsia="en-US"/>
        </w:rPr>
        <w:t xml:space="preserve"> </w:t>
      </w:r>
      <w:r w:rsidRPr="006B7F39">
        <w:t xml:space="preserve">interpuesto por </w:t>
      </w:r>
      <w:r w:rsidR="00186D44">
        <w:rPr>
          <w:rFonts w:eastAsia="Calibri"/>
          <w:b/>
          <w:lang w:eastAsia="en-US"/>
        </w:rPr>
        <w:t>XXXXXXXX</w:t>
      </w:r>
      <w:r w:rsidRPr="006B7F39">
        <w:rPr>
          <w:rFonts w:eastAsia="Calibri"/>
          <w:b/>
          <w:lang w:eastAsia="en-US"/>
        </w:rPr>
        <w:t>,</w:t>
      </w:r>
      <w:r w:rsidRPr="006B7F39">
        <w:t xml:space="preserve"> a quien en lo subsecuente se le denominará </w:t>
      </w:r>
      <w:r w:rsidRPr="006B7F39">
        <w:rPr>
          <w:b/>
          <w:bCs/>
        </w:rPr>
        <w:t>LA PARTE RECURRENTE</w:t>
      </w:r>
      <w:r w:rsidRPr="006B7F39">
        <w:t xml:space="preserve">, en contra de la </w:t>
      </w:r>
      <w:r w:rsidR="00773DD6" w:rsidRPr="006B7F39">
        <w:t xml:space="preserve">respuesta </w:t>
      </w:r>
      <w:r w:rsidR="00BA1AB6" w:rsidRPr="006B7F39">
        <w:t>de</w:t>
      </w:r>
      <w:r w:rsidR="00F9701D" w:rsidRPr="006B7F39">
        <w:t xml:space="preserve"> </w:t>
      </w:r>
      <w:r w:rsidR="005A5BF2" w:rsidRPr="006B7F39">
        <w:t>l</w:t>
      </w:r>
      <w:r w:rsidR="00F9701D" w:rsidRPr="006B7F39">
        <w:t>a</w:t>
      </w:r>
      <w:r w:rsidR="00773DD6" w:rsidRPr="006B7F39">
        <w:t xml:space="preserve"> </w:t>
      </w:r>
      <w:r w:rsidR="00F9701D" w:rsidRPr="006B7F39">
        <w:rPr>
          <w:b/>
          <w:bCs/>
        </w:rPr>
        <w:t>Secretaría de la Contraloría</w:t>
      </w:r>
      <w:r w:rsidRPr="006B7F39">
        <w:rPr>
          <w:b/>
          <w:bCs/>
        </w:rPr>
        <w:t>,</w:t>
      </w:r>
      <w:r w:rsidRPr="006B7F39">
        <w:t xml:space="preserve"> en adelante </w:t>
      </w:r>
      <w:r w:rsidRPr="006B7F39">
        <w:rPr>
          <w:b/>
          <w:bCs/>
        </w:rPr>
        <w:t>EL SUJETO OBLIGADO</w:t>
      </w:r>
      <w:r w:rsidRPr="006B7F39">
        <w:rPr>
          <w:rFonts w:eastAsia="Calibri"/>
          <w:lang w:eastAsia="en-US"/>
        </w:rPr>
        <w:t xml:space="preserve">, </w:t>
      </w:r>
      <w:r w:rsidRPr="006B7F39">
        <w:t>se emite la presente Resolución con base en los Antecedentes y Considerandos que se exponen a continuación:</w:t>
      </w:r>
    </w:p>
    <w:p w14:paraId="2116968C" w14:textId="77777777" w:rsidR="00775BFC" w:rsidRPr="006B7F39" w:rsidRDefault="00775BFC" w:rsidP="006B7F39"/>
    <w:p w14:paraId="5A444FB6" w14:textId="639D3567" w:rsidR="00664420" w:rsidRPr="006B7F39" w:rsidRDefault="00664420" w:rsidP="006B7F39">
      <w:pPr>
        <w:pStyle w:val="Ttulo1"/>
      </w:pPr>
      <w:bookmarkStart w:id="2" w:name="_Toc179394272"/>
      <w:r w:rsidRPr="006B7F39">
        <w:t>ANTECEDENTES</w:t>
      </w:r>
      <w:bookmarkEnd w:id="2"/>
    </w:p>
    <w:p w14:paraId="5CB5034E" w14:textId="77777777" w:rsidR="00AC2DB8" w:rsidRPr="006B7F39" w:rsidRDefault="00AC2DB8" w:rsidP="006B7F39"/>
    <w:p w14:paraId="09B2D38F" w14:textId="6E49D146" w:rsidR="00664420" w:rsidRPr="006B7F39" w:rsidRDefault="00E37A3F" w:rsidP="006B7F39">
      <w:pPr>
        <w:pStyle w:val="Ttulo2"/>
      </w:pPr>
      <w:bookmarkStart w:id="3" w:name="_Toc179394273"/>
      <w:r w:rsidRPr="006B7F39">
        <w:t>DE LA SOLICITUD DE INFORMACIÓN</w:t>
      </w:r>
      <w:bookmarkEnd w:id="3"/>
    </w:p>
    <w:p w14:paraId="7B7535DF" w14:textId="77777777" w:rsidR="00E37A3F" w:rsidRPr="006B7F39" w:rsidRDefault="00E37A3F" w:rsidP="006B7F39"/>
    <w:p w14:paraId="2C6AD1A5" w14:textId="0405B3CD" w:rsidR="00664420" w:rsidRPr="006B7F39" w:rsidRDefault="00E37A3F" w:rsidP="006B7F39">
      <w:pPr>
        <w:pStyle w:val="Ttulo3"/>
      </w:pPr>
      <w:bookmarkStart w:id="4" w:name="_Toc179394274"/>
      <w:r w:rsidRPr="006B7F39">
        <w:t xml:space="preserve">a) </w:t>
      </w:r>
      <w:r w:rsidR="006B10B0" w:rsidRPr="006B7F39">
        <w:t>S</w:t>
      </w:r>
      <w:r w:rsidR="00664420" w:rsidRPr="006B7F39">
        <w:t xml:space="preserve">olicitud de </w:t>
      </w:r>
      <w:r w:rsidR="006B10B0" w:rsidRPr="006B7F39">
        <w:t>i</w:t>
      </w:r>
      <w:r w:rsidR="00664420" w:rsidRPr="006B7F39">
        <w:t>nformación</w:t>
      </w:r>
      <w:bookmarkEnd w:id="4"/>
    </w:p>
    <w:p w14:paraId="3C26397A" w14:textId="5FCE50E5" w:rsidR="00B169A2" w:rsidRPr="006B7F39" w:rsidRDefault="00B169A2" w:rsidP="006B7F39">
      <w:pPr>
        <w:pStyle w:val="Prrafodelista"/>
        <w:tabs>
          <w:tab w:val="left" w:pos="0"/>
        </w:tabs>
        <w:ind w:left="0"/>
        <w:contextualSpacing w:val="0"/>
        <w:rPr>
          <w:rFonts w:cs="Tahoma"/>
        </w:rPr>
      </w:pPr>
      <w:r w:rsidRPr="006B7F39">
        <w:rPr>
          <w:rFonts w:cs="Tahoma"/>
        </w:rPr>
        <w:t xml:space="preserve">El </w:t>
      </w:r>
      <w:r w:rsidR="00F9701D" w:rsidRPr="006B7F39">
        <w:rPr>
          <w:rFonts w:cs="Tahoma"/>
          <w:b/>
          <w:bCs/>
        </w:rPr>
        <w:t xml:space="preserve">catorce de agosto </w:t>
      </w:r>
      <w:r w:rsidRPr="006B7F39">
        <w:rPr>
          <w:rFonts w:cs="Tahoma"/>
          <w:b/>
          <w:bCs/>
        </w:rPr>
        <w:t>de dos mil veinticuatro</w:t>
      </w:r>
      <w:r w:rsidRPr="006B7F39">
        <w:rPr>
          <w:rFonts w:cs="Tahoma"/>
        </w:rPr>
        <w:t xml:space="preserve">, </w:t>
      </w:r>
      <w:r w:rsidRPr="006B7F39">
        <w:rPr>
          <w:b/>
          <w:bCs/>
        </w:rPr>
        <w:t>LA PARTE RECURRENTE</w:t>
      </w:r>
      <w:r w:rsidRPr="006B7F39">
        <w:rPr>
          <w:rFonts w:cs="Tahoma"/>
        </w:rPr>
        <w:t xml:space="preserve"> presentó una solicitud de acceso a la información pública ante el </w:t>
      </w:r>
      <w:r w:rsidRPr="006B7F39">
        <w:rPr>
          <w:rFonts w:cs="Tahoma"/>
          <w:b/>
          <w:bCs/>
        </w:rPr>
        <w:t>SUJETO OBLIGADO</w:t>
      </w:r>
      <w:r w:rsidRPr="006B7F39">
        <w:rPr>
          <w:rFonts w:cs="Tahoma"/>
        </w:rPr>
        <w:t>, a través del Sistema de Acceso a la Información Mexiquense (</w:t>
      </w:r>
      <w:r w:rsidRPr="006B7F39">
        <w:rPr>
          <w:rFonts w:cs="Tahoma"/>
          <w:b/>
        </w:rPr>
        <w:t>SAIMEX</w:t>
      </w:r>
      <w:r w:rsidRPr="006B7F39">
        <w:rPr>
          <w:rFonts w:cs="Tahoma"/>
        </w:rPr>
        <w:t>). Dicha solicitud quedó registrada con el número de folio</w:t>
      </w:r>
      <w:r w:rsidRPr="006B7F39">
        <w:rPr>
          <w:rFonts w:cs="Tahoma"/>
          <w:b/>
          <w:bCs/>
        </w:rPr>
        <w:t xml:space="preserve"> </w:t>
      </w:r>
      <w:r w:rsidR="00F9701D" w:rsidRPr="006B7F39">
        <w:rPr>
          <w:b/>
          <w:bCs/>
        </w:rPr>
        <w:t>00302/SECOGEM/IP/2024</w:t>
      </w:r>
      <w:r w:rsidR="009233A1" w:rsidRPr="006B7F39">
        <w:rPr>
          <w:rFonts w:cs="Tahoma"/>
        </w:rPr>
        <w:t xml:space="preserve"> </w:t>
      </w:r>
      <w:r w:rsidRPr="006B7F39">
        <w:rPr>
          <w:rFonts w:cs="Tahoma"/>
        </w:rPr>
        <w:t>y en ella se requirió la siguiente información:</w:t>
      </w:r>
    </w:p>
    <w:p w14:paraId="0459D6AC" w14:textId="77777777" w:rsidR="00664420" w:rsidRPr="006B7F39" w:rsidRDefault="00664420" w:rsidP="006B7F39">
      <w:pPr>
        <w:tabs>
          <w:tab w:val="left" w:pos="4667"/>
        </w:tabs>
        <w:ind w:left="567" w:right="567"/>
        <w:rPr>
          <w:rFonts w:cs="Tahoma"/>
          <w:b/>
          <w:bCs/>
        </w:rPr>
      </w:pPr>
    </w:p>
    <w:p w14:paraId="64B27DE3" w14:textId="1F50C12A" w:rsidR="00664420" w:rsidRPr="006B7F39" w:rsidRDefault="002B1D44" w:rsidP="006B7F39">
      <w:pPr>
        <w:pStyle w:val="Puesto"/>
      </w:pPr>
      <w:r w:rsidRPr="006B7F39">
        <w:t>“</w:t>
      </w:r>
      <w:r w:rsidR="00F9701D" w:rsidRPr="006B7F39">
        <w:t>SOLICITO FECHA DE ALTA, CATEGORIA, SUELDO, AREA DONDE SE UBICA, REGISTRO DE ASISTENCIA Y ACTIVIDADES QUE REALIZA EL C. SERGIO LOPEZ MANJARREZ DEL AÑO 2024</w:t>
      </w:r>
      <w:r w:rsidRPr="006B7F39">
        <w:t>”</w:t>
      </w:r>
      <w:r w:rsidR="00BA1AB6" w:rsidRPr="006B7F39">
        <w:t xml:space="preserve"> (sic)</w:t>
      </w:r>
    </w:p>
    <w:p w14:paraId="07B1E1B5" w14:textId="77777777" w:rsidR="004D0573" w:rsidRPr="006B7F39" w:rsidRDefault="004D0573" w:rsidP="006B7F39"/>
    <w:p w14:paraId="0BD6321D" w14:textId="5D8567EA" w:rsidR="00664420" w:rsidRPr="006B7F39" w:rsidRDefault="009A2D78" w:rsidP="006B7F39">
      <w:pPr>
        <w:tabs>
          <w:tab w:val="left" w:pos="4667"/>
        </w:tabs>
        <w:ind w:left="567" w:right="567"/>
        <w:rPr>
          <w:rFonts w:cs="Tahoma"/>
          <w:bCs/>
          <w:szCs w:val="22"/>
        </w:rPr>
      </w:pPr>
      <w:r w:rsidRPr="006B7F39">
        <w:rPr>
          <w:rFonts w:cs="Tahoma"/>
          <w:b/>
          <w:bCs/>
          <w:szCs w:val="22"/>
        </w:rPr>
        <w:t>Modalidad de entrega</w:t>
      </w:r>
      <w:r w:rsidRPr="006B7F39">
        <w:rPr>
          <w:rFonts w:cs="Tahoma"/>
          <w:bCs/>
          <w:szCs w:val="22"/>
        </w:rPr>
        <w:t>: a</w:t>
      </w:r>
      <w:r w:rsidR="00664420" w:rsidRPr="006B7F39">
        <w:rPr>
          <w:rFonts w:cs="Tahoma"/>
          <w:bCs/>
          <w:i/>
          <w:szCs w:val="22"/>
        </w:rPr>
        <w:t xml:space="preserve"> través del </w:t>
      </w:r>
      <w:r w:rsidR="00664420" w:rsidRPr="006B7F39">
        <w:rPr>
          <w:rFonts w:cs="Tahoma"/>
          <w:b/>
          <w:bCs/>
          <w:i/>
          <w:szCs w:val="22"/>
        </w:rPr>
        <w:t>SAIMEX</w:t>
      </w:r>
      <w:r w:rsidRPr="006B7F39">
        <w:rPr>
          <w:rFonts w:cs="Tahoma"/>
          <w:bCs/>
          <w:i/>
          <w:szCs w:val="22"/>
        </w:rPr>
        <w:t>.</w:t>
      </w:r>
    </w:p>
    <w:p w14:paraId="334D2860" w14:textId="77777777" w:rsidR="00664420" w:rsidRPr="006B7F39" w:rsidRDefault="00664420" w:rsidP="006B7F39">
      <w:pPr>
        <w:autoSpaceDE w:val="0"/>
        <w:autoSpaceDN w:val="0"/>
        <w:adjustRightInd w:val="0"/>
        <w:ind w:right="-28"/>
        <w:rPr>
          <w:rFonts w:cs="Tahoma"/>
          <w:bCs/>
          <w:i/>
          <w:szCs w:val="22"/>
        </w:rPr>
      </w:pPr>
    </w:p>
    <w:p w14:paraId="056C5E3E" w14:textId="77777777" w:rsidR="005A5BF2" w:rsidRPr="006B7F39" w:rsidRDefault="005A5BF2" w:rsidP="006B7F39">
      <w:pPr>
        <w:pStyle w:val="Ttulo3"/>
      </w:pPr>
      <w:bookmarkStart w:id="5" w:name="_Toc170932807"/>
      <w:bookmarkStart w:id="6" w:name="_Toc179394275"/>
      <w:r w:rsidRPr="006B7F39">
        <w:lastRenderedPageBreak/>
        <w:t>b) Turno de la solicitud de información</w:t>
      </w:r>
      <w:bookmarkEnd w:id="5"/>
      <w:bookmarkEnd w:id="6"/>
    </w:p>
    <w:p w14:paraId="296813BE" w14:textId="10C1E015" w:rsidR="005A5BF2" w:rsidRPr="006B7F39" w:rsidRDefault="005A5BF2" w:rsidP="006B7F39">
      <w:r w:rsidRPr="006B7F39">
        <w:t xml:space="preserve">En cumplimiento al artículo 162 de la Ley de Transparencia y Acceso a la Información Pública del Estado de México y Municipios, el </w:t>
      </w:r>
      <w:r w:rsidR="009233A1" w:rsidRPr="006B7F39">
        <w:rPr>
          <w:rFonts w:eastAsia="Palatino Linotype" w:cs="Palatino Linotype"/>
          <w:b/>
        </w:rPr>
        <w:t xml:space="preserve">diecinueve de </w:t>
      </w:r>
      <w:r w:rsidR="00F9701D" w:rsidRPr="006B7F39">
        <w:rPr>
          <w:rFonts w:eastAsia="Palatino Linotype" w:cs="Palatino Linotype"/>
          <w:b/>
        </w:rPr>
        <w:t>agosto de</w:t>
      </w:r>
      <w:r w:rsidRPr="006B7F39">
        <w:rPr>
          <w:rFonts w:eastAsia="Palatino Linotype" w:cs="Palatino Linotype"/>
          <w:b/>
        </w:rPr>
        <w:t xml:space="preserve"> dos mil veinticuatro</w:t>
      </w:r>
      <w:r w:rsidRPr="006B7F39">
        <w:t xml:space="preserve">, el Titular de la Unidad de Transparencia del </w:t>
      </w:r>
      <w:r w:rsidRPr="006B7F39">
        <w:rPr>
          <w:b/>
        </w:rPr>
        <w:t>SUJETO OBLIGADO</w:t>
      </w:r>
      <w:r w:rsidRPr="006B7F39">
        <w:t xml:space="preserve"> turnó la solicitud de información al servidor público habilitado que estimó pertinente.</w:t>
      </w:r>
    </w:p>
    <w:p w14:paraId="5CAA1ECC" w14:textId="77777777" w:rsidR="005A5BF2" w:rsidRPr="006B7F39" w:rsidRDefault="005A5BF2" w:rsidP="006B7F39">
      <w:pPr>
        <w:autoSpaceDE w:val="0"/>
        <w:autoSpaceDN w:val="0"/>
        <w:adjustRightInd w:val="0"/>
        <w:ind w:right="-28"/>
        <w:rPr>
          <w:rFonts w:cs="Tahoma"/>
          <w:bCs/>
          <w:i/>
          <w:szCs w:val="22"/>
        </w:rPr>
      </w:pPr>
    </w:p>
    <w:p w14:paraId="3212BA4D" w14:textId="1505A972" w:rsidR="00664420" w:rsidRPr="006B7F39" w:rsidRDefault="00B169A2" w:rsidP="006B7F39">
      <w:pPr>
        <w:pStyle w:val="Ttulo3"/>
      </w:pPr>
      <w:bookmarkStart w:id="7" w:name="_Toc165402857"/>
      <w:bookmarkStart w:id="8" w:name="_Toc179394276"/>
      <w:r w:rsidRPr="006B7F39">
        <w:t xml:space="preserve">c) </w:t>
      </w:r>
      <w:bookmarkEnd w:id="7"/>
      <w:r w:rsidR="00664420" w:rsidRPr="006B7F39">
        <w:rPr>
          <w:lang w:val="es-ES"/>
        </w:rPr>
        <w:t xml:space="preserve">Respuesta </w:t>
      </w:r>
      <w:r w:rsidR="00664420" w:rsidRPr="006B7F39">
        <w:rPr>
          <w:rFonts w:eastAsia="Calibri"/>
          <w:lang w:eastAsia="en-US"/>
        </w:rPr>
        <w:t>del Sujeto Obligado</w:t>
      </w:r>
      <w:bookmarkEnd w:id="8"/>
    </w:p>
    <w:p w14:paraId="2143017E" w14:textId="05B1D810" w:rsidR="00BA1AB6" w:rsidRPr="006B7F39" w:rsidRDefault="003B0255" w:rsidP="006B7F39">
      <w:pPr>
        <w:rPr>
          <w:lang w:val="es-ES"/>
        </w:rPr>
      </w:pPr>
      <w:r w:rsidRPr="006B7F39">
        <w:rPr>
          <w:lang w:val="es-ES"/>
        </w:rPr>
        <w:t xml:space="preserve">El </w:t>
      </w:r>
      <w:r w:rsidR="00F9701D" w:rsidRPr="006B7F39">
        <w:rPr>
          <w:b/>
          <w:bCs/>
          <w:lang w:val="es-ES"/>
        </w:rPr>
        <w:t xml:space="preserve">veintiséis de agosto </w:t>
      </w:r>
      <w:r w:rsidRPr="006B7F39">
        <w:rPr>
          <w:b/>
          <w:bCs/>
          <w:lang w:val="es-ES"/>
        </w:rPr>
        <w:t>de dos mil veinticuatro</w:t>
      </w:r>
      <w:r w:rsidRPr="006B7F39">
        <w:rPr>
          <w:lang w:val="es-ES"/>
        </w:rPr>
        <w:t xml:space="preserve">, el Titular de la Unidad de Transparencia del </w:t>
      </w:r>
      <w:r w:rsidRPr="006B7F39">
        <w:rPr>
          <w:b/>
          <w:lang w:val="es-ES"/>
        </w:rPr>
        <w:t>SUJETO OBLIGADO</w:t>
      </w:r>
      <w:r w:rsidRPr="006B7F39">
        <w:rPr>
          <w:lang w:val="es-ES"/>
        </w:rPr>
        <w:t xml:space="preserve"> notificó la siguiente respuesta a través del </w:t>
      </w:r>
      <w:r w:rsidRPr="006B7F39">
        <w:rPr>
          <w:b/>
          <w:lang w:val="es-ES"/>
        </w:rPr>
        <w:t>SAIMEX</w:t>
      </w:r>
      <w:r w:rsidRPr="006B7F39">
        <w:rPr>
          <w:lang w:val="es-ES"/>
        </w:rPr>
        <w:t>:</w:t>
      </w:r>
    </w:p>
    <w:p w14:paraId="64166B4B" w14:textId="77777777" w:rsidR="003B0255" w:rsidRPr="006B7F39" w:rsidRDefault="003B0255" w:rsidP="006B7F39"/>
    <w:p w14:paraId="7F2C62F4" w14:textId="77777777" w:rsidR="00F9701D" w:rsidRPr="006B7F39" w:rsidRDefault="003B0255" w:rsidP="006B7F39">
      <w:pPr>
        <w:pStyle w:val="Puesto"/>
      </w:pPr>
      <w:r w:rsidRPr="006B7F39">
        <w:t>“</w:t>
      </w:r>
      <w:r w:rsidR="00F9701D" w:rsidRPr="006B7F39">
        <w:t>En respuesta a la solicitud recibida, nos permitimos hacer de su conocimiento que con fundamento en el artículo 53, Fracciones: II, V y VI de la Ley de Transparencia y Acceso a la Información Pública del Estado de México y Municipios, le contestamos que:</w:t>
      </w:r>
    </w:p>
    <w:p w14:paraId="2885F49B" w14:textId="77777777" w:rsidR="00F9701D" w:rsidRPr="006B7F39" w:rsidRDefault="00F9701D" w:rsidP="006B7F39"/>
    <w:p w14:paraId="64DD1A22" w14:textId="77777777" w:rsidR="00F9701D" w:rsidRPr="006B7F39" w:rsidRDefault="00F9701D" w:rsidP="006B7F39">
      <w:pPr>
        <w:pStyle w:val="Puesto"/>
      </w:pPr>
      <w:r w:rsidRPr="006B7F39">
        <w:t>Estimado Solicitante, en respuesta a la solicitud recibida, nos permitimos y con fundamento en el artículo 53, Fracciones: II, V y VI de la Ley de Transparencia y Acceso a la Información Pública del Estado de México y Municipios; sírvase encontrar en archivos adjuntos, el oficio de respuesta del servidor público habilitado que atendió el requerimiento y el oficio de respuesta firmado por el Encargado de Despacho de la Unidad de Prevención de la Corrupción y Responsable de la Unidad de Transparencia. ¡Que tenga lindo día y un excelente inicio de semana!</w:t>
      </w:r>
    </w:p>
    <w:p w14:paraId="360595D5" w14:textId="77777777" w:rsidR="00F9701D" w:rsidRPr="006B7F39" w:rsidRDefault="00F9701D" w:rsidP="006B7F39"/>
    <w:p w14:paraId="11406EFC" w14:textId="77777777" w:rsidR="00F9701D" w:rsidRPr="006B7F39" w:rsidRDefault="00F9701D" w:rsidP="006B7F39">
      <w:pPr>
        <w:pStyle w:val="Puesto"/>
      </w:pPr>
      <w:r w:rsidRPr="006B7F39">
        <w:t>ATENTAMENTE</w:t>
      </w:r>
    </w:p>
    <w:p w14:paraId="0F51D6B6" w14:textId="77777777" w:rsidR="00F9701D" w:rsidRPr="006B7F39" w:rsidRDefault="00F9701D" w:rsidP="006B7F39"/>
    <w:p w14:paraId="4A08B1BE" w14:textId="6FEE6AD9" w:rsidR="003B0255" w:rsidRPr="006B7F39" w:rsidRDefault="00F9701D" w:rsidP="006B7F39">
      <w:pPr>
        <w:pStyle w:val="Puesto"/>
      </w:pPr>
      <w:r w:rsidRPr="006B7F39">
        <w:t>LIC. OSCAR FILIBERTO GALICIA ESTRADA</w:t>
      </w:r>
      <w:r w:rsidR="003B0255" w:rsidRPr="006B7F39">
        <w:t>” (sic)</w:t>
      </w:r>
    </w:p>
    <w:p w14:paraId="4B1F18A0" w14:textId="77777777" w:rsidR="003B0255" w:rsidRPr="006B7F39" w:rsidRDefault="003B0255" w:rsidP="006B7F39"/>
    <w:p w14:paraId="7B1790F8" w14:textId="77777777" w:rsidR="00F9701D" w:rsidRPr="006B7F39" w:rsidRDefault="003B0255" w:rsidP="006B7F39">
      <w:pPr>
        <w:autoSpaceDE w:val="0"/>
        <w:autoSpaceDN w:val="0"/>
        <w:adjustRightInd w:val="0"/>
        <w:ind w:right="-28"/>
        <w:rPr>
          <w:rFonts w:cs="Tahoma"/>
          <w:bCs/>
          <w:szCs w:val="22"/>
          <w:lang w:val="es-ES"/>
        </w:rPr>
      </w:pPr>
      <w:r w:rsidRPr="006B7F39">
        <w:rPr>
          <w:rFonts w:cs="Tahoma"/>
          <w:bCs/>
          <w:szCs w:val="22"/>
          <w:lang w:val="es-ES"/>
        </w:rPr>
        <w:t xml:space="preserve">Asimismo, </w:t>
      </w:r>
      <w:r w:rsidRPr="006B7F39">
        <w:rPr>
          <w:rFonts w:cs="Tahoma"/>
          <w:b/>
          <w:szCs w:val="22"/>
          <w:lang w:val="es-ES"/>
        </w:rPr>
        <w:t xml:space="preserve">EL SUJETO OBLIGADO </w:t>
      </w:r>
      <w:r w:rsidRPr="006B7F39">
        <w:rPr>
          <w:rFonts w:cs="Tahoma"/>
          <w:bCs/>
          <w:szCs w:val="22"/>
          <w:lang w:val="es-ES"/>
        </w:rPr>
        <w:t xml:space="preserve">adjuntó a su respuesta </w:t>
      </w:r>
      <w:r w:rsidR="00F9701D" w:rsidRPr="006B7F39">
        <w:rPr>
          <w:rFonts w:cs="Tahoma"/>
          <w:bCs/>
          <w:szCs w:val="22"/>
          <w:lang w:val="es-ES"/>
        </w:rPr>
        <w:t xml:space="preserve">los archivos electrónicos que a continuación se describen: </w:t>
      </w:r>
    </w:p>
    <w:p w14:paraId="6957C79D" w14:textId="77777777" w:rsidR="00F9701D" w:rsidRPr="006B7F39" w:rsidRDefault="00F9701D" w:rsidP="006B7F39">
      <w:pPr>
        <w:autoSpaceDE w:val="0"/>
        <w:autoSpaceDN w:val="0"/>
        <w:adjustRightInd w:val="0"/>
        <w:ind w:right="-28"/>
        <w:rPr>
          <w:rFonts w:cs="Tahoma"/>
          <w:bCs/>
          <w:szCs w:val="22"/>
          <w:lang w:val="es-ES"/>
        </w:rPr>
      </w:pPr>
    </w:p>
    <w:p w14:paraId="4F6AE0CC" w14:textId="4C455540" w:rsidR="00F9701D" w:rsidRPr="006B7F39" w:rsidRDefault="00F9701D" w:rsidP="006B7F39">
      <w:pPr>
        <w:pStyle w:val="Prrafodelista"/>
        <w:numPr>
          <w:ilvl w:val="0"/>
          <w:numId w:val="39"/>
        </w:numPr>
        <w:autoSpaceDE w:val="0"/>
        <w:autoSpaceDN w:val="0"/>
        <w:adjustRightInd w:val="0"/>
        <w:ind w:right="-28"/>
        <w:rPr>
          <w:rFonts w:cs="Tahoma"/>
          <w:b/>
          <w:i/>
          <w:szCs w:val="22"/>
          <w:lang w:val="es-ES"/>
        </w:rPr>
      </w:pPr>
      <w:r w:rsidRPr="006B7F39">
        <w:rPr>
          <w:rFonts w:cs="Tahoma"/>
          <w:b/>
          <w:i/>
          <w:szCs w:val="22"/>
          <w:lang w:val="es-ES"/>
        </w:rPr>
        <w:lastRenderedPageBreak/>
        <w:t xml:space="preserve">Oficio Respuesta UT 302-202408-26-2024-215931.pdf, </w:t>
      </w:r>
      <w:r w:rsidR="005C4AB7" w:rsidRPr="006B7F39">
        <w:rPr>
          <w:rFonts w:cs="Tahoma"/>
          <w:szCs w:val="22"/>
          <w:lang w:val="es-ES"/>
        </w:rPr>
        <w:t xml:space="preserve">el cual contiene el oficio del veintitrés de agosto de dos mil veinticuatro, por medio del cual el encargado del despacho de Prevención de la Corrupción y Responsable de la Unidad de Transparencia, refiere adjuntar la respuesta del servidor público habilitado. </w:t>
      </w:r>
    </w:p>
    <w:p w14:paraId="2C0D8631" w14:textId="07999946" w:rsidR="00F9701D" w:rsidRPr="006B7F39" w:rsidRDefault="00F9701D" w:rsidP="006B7F39">
      <w:pPr>
        <w:pStyle w:val="Prrafodelista"/>
        <w:numPr>
          <w:ilvl w:val="0"/>
          <w:numId w:val="39"/>
        </w:numPr>
        <w:autoSpaceDE w:val="0"/>
        <w:autoSpaceDN w:val="0"/>
        <w:adjustRightInd w:val="0"/>
        <w:ind w:right="-28"/>
        <w:rPr>
          <w:rFonts w:cs="Tahoma"/>
          <w:b/>
          <w:i/>
          <w:szCs w:val="22"/>
          <w:lang w:val="es-ES"/>
        </w:rPr>
      </w:pPr>
      <w:r w:rsidRPr="006B7F39">
        <w:rPr>
          <w:rFonts w:cs="Tahoma"/>
          <w:b/>
          <w:i/>
          <w:szCs w:val="22"/>
          <w:lang w:val="es-ES"/>
        </w:rPr>
        <w:t>Oficio SPH 30208-23-2024-201710.pdf</w:t>
      </w:r>
      <w:r w:rsidR="005C4AB7" w:rsidRPr="006B7F39">
        <w:rPr>
          <w:rFonts w:cs="Tahoma"/>
          <w:b/>
          <w:i/>
          <w:szCs w:val="22"/>
          <w:lang w:val="es-ES"/>
        </w:rPr>
        <w:t xml:space="preserve">, </w:t>
      </w:r>
      <w:r w:rsidR="005C4AB7" w:rsidRPr="006B7F39">
        <w:rPr>
          <w:rFonts w:cs="Tahoma"/>
          <w:szCs w:val="22"/>
          <w:lang w:val="es-ES"/>
        </w:rPr>
        <w:t xml:space="preserve">el cual contiene el oficio número 21800005S-000907/2024 del veinte de agosto de dos mil veinticuatro, por medio del cual el Coordinador Administrativo y servidor público habilitado, refiere enviar en sobre cerrado la información solicitada, adjuntando para </w:t>
      </w:r>
      <w:r w:rsidR="00603D8C" w:rsidRPr="006B7F39">
        <w:rPr>
          <w:rFonts w:cs="Tahoma"/>
          <w:szCs w:val="22"/>
          <w:lang w:val="es-ES"/>
        </w:rPr>
        <w:t>ello el anexo número 21800005S-000907/2024, por medio del cual refiere que dentro de la Coordinación Administrativa, no encontró registro activo alguno a lo relacionado con la p</w:t>
      </w:r>
      <w:r w:rsidR="008A7480" w:rsidRPr="006B7F39">
        <w:rPr>
          <w:rFonts w:cs="Tahoma"/>
          <w:szCs w:val="22"/>
          <w:lang w:val="es-ES"/>
        </w:rPr>
        <w:t xml:space="preserve">ersona referida en la solicitud. </w:t>
      </w:r>
    </w:p>
    <w:p w14:paraId="1DE1C797" w14:textId="79B2B1C3" w:rsidR="00F9701D" w:rsidRPr="006B7F39" w:rsidRDefault="00F9701D" w:rsidP="006B7F39">
      <w:pPr>
        <w:rPr>
          <w:rFonts w:ascii="Arial" w:hAnsi="Arial" w:cs="Arial"/>
          <w:b/>
          <w:bCs/>
          <w:sz w:val="15"/>
          <w:szCs w:val="15"/>
        </w:rPr>
      </w:pPr>
    </w:p>
    <w:p w14:paraId="0F24A322" w14:textId="7F9E5F9A" w:rsidR="00B137E8" w:rsidRPr="006B7F39" w:rsidRDefault="00B137E8" w:rsidP="006B7F39">
      <w:pPr>
        <w:pStyle w:val="Ttulo2"/>
        <w:jc w:val="left"/>
      </w:pPr>
      <w:bookmarkStart w:id="9" w:name="_Toc171527280"/>
      <w:bookmarkStart w:id="10" w:name="_Toc179394277"/>
      <w:r w:rsidRPr="006B7F39">
        <w:t>DEL RECURSO DE REVISIÓN</w:t>
      </w:r>
      <w:bookmarkEnd w:id="9"/>
      <w:bookmarkEnd w:id="10"/>
    </w:p>
    <w:p w14:paraId="2B216813" w14:textId="61ADBB2B" w:rsidR="00664420" w:rsidRPr="006B7F39" w:rsidRDefault="006E25BC" w:rsidP="006B7F39">
      <w:pPr>
        <w:pStyle w:val="Ttulo3"/>
      </w:pPr>
      <w:bookmarkStart w:id="11" w:name="_Toc179394278"/>
      <w:r w:rsidRPr="006B7F39">
        <w:rPr>
          <w:szCs w:val="32"/>
        </w:rPr>
        <w:t>a)</w:t>
      </w:r>
      <w:r w:rsidRPr="006B7F39">
        <w:t xml:space="preserve"> </w:t>
      </w:r>
      <w:r w:rsidR="00664420" w:rsidRPr="006B7F39">
        <w:t>Interposición del Recurso de Revisión</w:t>
      </w:r>
      <w:bookmarkEnd w:id="11"/>
    </w:p>
    <w:p w14:paraId="6279C622" w14:textId="4F2A6B13" w:rsidR="00664420" w:rsidRPr="006B7F39" w:rsidRDefault="00664420" w:rsidP="006B7F39">
      <w:pPr>
        <w:autoSpaceDE w:val="0"/>
        <w:autoSpaceDN w:val="0"/>
        <w:adjustRightInd w:val="0"/>
        <w:ind w:right="-28"/>
        <w:rPr>
          <w:rFonts w:cs="Tahoma"/>
          <w:szCs w:val="22"/>
        </w:rPr>
      </w:pPr>
      <w:r w:rsidRPr="006B7F39">
        <w:rPr>
          <w:rFonts w:cs="Tahoma"/>
          <w:szCs w:val="22"/>
        </w:rPr>
        <w:t xml:space="preserve">El </w:t>
      </w:r>
      <w:r w:rsidR="008A7480" w:rsidRPr="006B7F39">
        <w:rPr>
          <w:rFonts w:cs="Tahoma"/>
          <w:b/>
          <w:bCs/>
          <w:szCs w:val="22"/>
        </w:rPr>
        <w:t xml:space="preserve">veintinueve de agosto </w:t>
      </w:r>
      <w:r w:rsidR="00475FF6" w:rsidRPr="006B7F39">
        <w:rPr>
          <w:rFonts w:cs="Tahoma"/>
          <w:b/>
          <w:bCs/>
          <w:szCs w:val="22"/>
        </w:rPr>
        <w:t xml:space="preserve">de </w:t>
      </w:r>
      <w:r w:rsidRPr="006B7F39">
        <w:rPr>
          <w:rFonts w:cs="Tahoma"/>
          <w:b/>
          <w:bCs/>
          <w:szCs w:val="22"/>
        </w:rPr>
        <w:t>dos mil</w:t>
      </w:r>
      <w:r w:rsidR="00F45902" w:rsidRPr="006B7F39">
        <w:rPr>
          <w:rFonts w:cs="Tahoma"/>
          <w:b/>
          <w:bCs/>
          <w:szCs w:val="22"/>
        </w:rPr>
        <w:t xml:space="preserve"> veinticuatro</w:t>
      </w:r>
      <w:r w:rsidRPr="006B7F39">
        <w:rPr>
          <w:rFonts w:cs="Tahoma"/>
          <w:szCs w:val="22"/>
        </w:rPr>
        <w:t xml:space="preserve"> </w:t>
      </w:r>
      <w:r w:rsidR="00F75D23" w:rsidRPr="006B7F39">
        <w:rPr>
          <w:rFonts w:cs="Tahoma"/>
          <w:b/>
          <w:bCs/>
          <w:szCs w:val="22"/>
        </w:rPr>
        <w:t>LA PARTE RECURRENTE</w:t>
      </w:r>
      <w:r w:rsidR="00F75D23" w:rsidRPr="006B7F39">
        <w:rPr>
          <w:rFonts w:cs="Tahoma"/>
          <w:szCs w:val="22"/>
        </w:rPr>
        <w:t xml:space="preserve"> interpuso el recurso de revisión en contra de la respuesta emitida por el </w:t>
      </w:r>
      <w:r w:rsidR="00F75D23" w:rsidRPr="006B7F39">
        <w:rPr>
          <w:rFonts w:cs="Tahoma"/>
          <w:b/>
          <w:bCs/>
          <w:szCs w:val="22"/>
        </w:rPr>
        <w:t>SUJETO OBLIGADO</w:t>
      </w:r>
      <w:r w:rsidR="00953430" w:rsidRPr="006B7F39">
        <w:rPr>
          <w:rFonts w:cs="Tahoma"/>
          <w:szCs w:val="22"/>
        </w:rPr>
        <w:t xml:space="preserve">, mismo que fue registrado en el </w:t>
      </w:r>
      <w:r w:rsidR="00953430" w:rsidRPr="006B7F39">
        <w:rPr>
          <w:rFonts w:cs="Tahoma"/>
          <w:b/>
          <w:szCs w:val="22"/>
        </w:rPr>
        <w:t>SAIMEX</w:t>
      </w:r>
      <w:r w:rsidR="00953430" w:rsidRPr="006B7F39">
        <w:rPr>
          <w:rFonts w:cs="Tahoma"/>
          <w:szCs w:val="22"/>
        </w:rPr>
        <w:t xml:space="preserve"> con el número de expediente </w:t>
      </w:r>
      <w:r w:rsidR="00F45902" w:rsidRPr="006B7F39">
        <w:rPr>
          <w:rFonts w:cs="Tahoma"/>
          <w:b/>
          <w:bCs/>
          <w:szCs w:val="22"/>
        </w:rPr>
        <w:t>0</w:t>
      </w:r>
      <w:r w:rsidR="008A7480" w:rsidRPr="006B7F39">
        <w:rPr>
          <w:rFonts w:cs="Tahoma"/>
          <w:b/>
          <w:bCs/>
          <w:szCs w:val="22"/>
        </w:rPr>
        <w:t>5227</w:t>
      </w:r>
      <w:r w:rsidR="00F45902" w:rsidRPr="006B7F39">
        <w:rPr>
          <w:rFonts w:cs="Tahoma"/>
          <w:b/>
          <w:bCs/>
          <w:szCs w:val="22"/>
        </w:rPr>
        <w:t>/</w:t>
      </w:r>
      <w:r w:rsidR="00953430" w:rsidRPr="006B7F39">
        <w:rPr>
          <w:rFonts w:cs="Tahoma"/>
          <w:b/>
          <w:bCs/>
          <w:szCs w:val="22"/>
        </w:rPr>
        <w:t>INFOEM/IP/RR/</w:t>
      </w:r>
      <w:r w:rsidR="00F45902" w:rsidRPr="006B7F39">
        <w:rPr>
          <w:rFonts w:cs="Tahoma"/>
          <w:b/>
          <w:bCs/>
          <w:szCs w:val="22"/>
        </w:rPr>
        <w:t>2024</w:t>
      </w:r>
      <w:r w:rsidR="00953430" w:rsidRPr="006B7F39">
        <w:rPr>
          <w:rFonts w:cs="Tahoma"/>
          <w:szCs w:val="22"/>
        </w:rPr>
        <w:t>, y en el cual manifiesta lo siguiente</w:t>
      </w:r>
      <w:r w:rsidRPr="006B7F39">
        <w:rPr>
          <w:rFonts w:cs="Tahoma"/>
          <w:szCs w:val="22"/>
        </w:rPr>
        <w:t>:</w:t>
      </w:r>
    </w:p>
    <w:p w14:paraId="74B30008" w14:textId="77777777" w:rsidR="00664420" w:rsidRPr="006B7F39" w:rsidRDefault="00664420" w:rsidP="006B7F39">
      <w:pPr>
        <w:tabs>
          <w:tab w:val="left" w:pos="4667"/>
        </w:tabs>
        <w:ind w:right="539"/>
        <w:rPr>
          <w:rFonts w:cs="Tahoma"/>
          <w:szCs w:val="22"/>
        </w:rPr>
      </w:pPr>
    </w:p>
    <w:p w14:paraId="12153283" w14:textId="77777777" w:rsidR="00664420" w:rsidRPr="006B7F39" w:rsidRDefault="00664420" w:rsidP="006B7F39">
      <w:pPr>
        <w:tabs>
          <w:tab w:val="left" w:pos="4667"/>
        </w:tabs>
        <w:ind w:right="539"/>
        <w:rPr>
          <w:rFonts w:cs="Tahoma"/>
          <w:b/>
          <w:iCs/>
        </w:rPr>
      </w:pPr>
      <w:r w:rsidRPr="006B7F39">
        <w:rPr>
          <w:rFonts w:cs="Tahoma"/>
          <w:b/>
          <w:iCs/>
        </w:rPr>
        <w:t>ACTO IMPUGNADO</w:t>
      </w:r>
      <w:r w:rsidRPr="006B7F39">
        <w:rPr>
          <w:rFonts w:cs="Tahoma"/>
          <w:b/>
          <w:iCs/>
        </w:rPr>
        <w:tab/>
      </w:r>
    </w:p>
    <w:p w14:paraId="177EE3D5" w14:textId="77777777" w:rsidR="00F45902" w:rsidRPr="006B7F39" w:rsidRDefault="00F45902" w:rsidP="006B7F39">
      <w:pPr>
        <w:pStyle w:val="Puesto"/>
      </w:pPr>
    </w:p>
    <w:p w14:paraId="523F8BF4" w14:textId="6CDFF2C3" w:rsidR="00664420" w:rsidRPr="006B7F39" w:rsidRDefault="00F45902" w:rsidP="006B7F39">
      <w:pPr>
        <w:pStyle w:val="Puesto"/>
      </w:pPr>
      <w:r w:rsidRPr="006B7F39">
        <w:t>“</w:t>
      </w:r>
      <w:r w:rsidR="008A7480" w:rsidRPr="006B7F39">
        <w:t>INFORMACION AJUSTADA A SUS INTERESES, Y OCULTAN INFORMACION</w:t>
      </w:r>
      <w:r w:rsidRPr="006B7F39">
        <w:t xml:space="preserve">” (sic) </w:t>
      </w:r>
    </w:p>
    <w:p w14:paraId="6AE8EA9A" w14:textId="77777777" w:rsidR="00664420" w:rsidRPr="006B7F39" w:rsidRDefault="00664420" w:rsidP="006B7F39">
      <w:pPr>
        <w:pStyle w:val="Puesto"/>
        <w:ind w:left="0"/>
      </w:pPr>
    </w:p>
    <w:p w14:paraId="19F223B6" w14:textId="6E75938F" w:rsidR="009233A1" w:rsidRPr="006B7F39" w:rsidRDefault="009233A1" w:rsidP="006B7F39">
      <w:pPr>
        <w:tabs>
          <w:tab w:val="left" w:pos="4667"/>
        </w:tabs>
        <w:ind w:right="539"/>
        <w:rPr>
          <w:rFonts w:cs="Tahoma"/>
          <w:b/>
          <w:iCs/>
        </w:rPr>
      </w:pPr>
      <w:r w:rsidRPr="006B7F39">
        <w:rPr>
          <w:rFonts w:cs="Tahoma"/>
          <w:b/>
          <w:iCs/>
        </w:rPr>
        <w:t>RAZONES O MOTIVOS DE INCONFORMIDAD</w:t>
      </w:r>
      <w:r w:rsidRPr="006B7F39">
        <w:rPr>
          <w:rFonts w:cs="Tahoma"/>
          <w:b/>
          <w:iCs/>
        </w:rPr>
        <w:tab/>
      </w:r>
    </w:p>
    <w:p w14:paraId="3E0326BE" w14:textId="77777777" w:rsidR="009233A1" w:rsidRPr="006B7F39" w:rsidRDefault="009233A1" w:rsidP="006B7F39"/>
    <w:p w14:paraId="34E2E57F" w14:textId="31DD669B" w:rsidR="008A7480" w:rsidRPr="006B7F39" w:rsidRDefault="008A7480" w:rsidP="006B7F39">
      <w:pPr>
        <w:pStyle w:val="Puesto"/>
      </w:pPr>
      <w:r w:rsidRPr="006B7F39">
        <w:t xml:space="preserve">“FALTO ACTA DE SESION DEL COMITE DE TRANSPARENCIA DONDE INDIQUE QUE SE SESIONP PARA DECLARAR LA INEXISTENCIA” (sic) </w:t>
      </w:r>
    </w:p>
    <w:p w14:paraId="13390B75" w14:textId="77777777" w:rsidR="008A7480" w:rsidRPr="006B7F39" w:rsidRDefault="008A7480" w:rsidP="006B7F39">
      <w:pPr>
        <w:pStyle w:val="Puesto"/>
      </w:pPr>
    </w:p>
    <w:p w14:paraId="6804DEF1" w14:textId="7F8B0483" w:rsidR="00664420" w:rsidRPr="006B7F39" w:rsidRDefault="006E25BC" w:rsidP="006B7F39">
      <w:pPr>
        <w:pStyle w:val="Ttulo3"/>
      </w:pPr>
      <w:bookmarkStart w:id="12" w:name="_Toc179394279"/>
      <w:r w:rsidRPr="006B7F39">
        <w:t>b</w:t>
      </w:r>
      <w:r w:rsidR="00664420" w:rsidRPr="006B7F39">
        <w:t>) Turno del Recurso de Revisión</w:t>
      </w:r>
      <w:bookmarkEnd w:id="12"/>
    </w:p>
    <w:p w14:paraId="1173671B" w14:textId="16FF7F3C" w:rsidR="00C72DAA" w:rsidRPr="006B7F39" w:rsidRDefault="00C72DAA" w:rsidP="006B7F39">
      <w:r w:rsidRPr="006B7F39">
        <w:t>Con fundamento en el artículo 185, fracción I de la Ley de Transparencia y Acceso a la Información Pública del Estado de México y Municipios, el</w:t>
      </w:r>
      <w:r w:rsidRPr="006B7F39">
        <w:rPr>
          <w:b/>
          <w:bCs/>
        </w:rPr>
        <w:t xml:space="preserve"> </w:t>
      </w:r>
      <w:r w:rsidR="008A7480" w:rsidRPr="006B7F39">
        <w:rPr>
          <w:rFonts w:eastAsia="Palatino Linotype" w:cs="Palatino Linotype"/>
          <w:b/>
        </w:rPr>
        <w:t xml:space="preserve">veintinueve de agosto </w:t>
      </w:r>
      <w:r w:rsidRPr="006B7F39">
        <w:rPr>
          <w:rFonts w:eastAsia="Palatino Linotype" w:cs="Palatino Linotype"/>
          <w:b/>
        </w:rPr>
        <w:t xml:space="preserve">de dos mil </w:t>
      </w:r>
      <w:r w:rsidR="00657603" w:rsidRPr="006B7F39">
        <w:rPr>
          <w:rFonts w:eastAsia="Palatino Linotype" w:cs="Palatino Linotype"/>
          <w:b/>
        </w:rPr>
        <w:t xml:space="preserve">veinticuatro </w:t>
      </w:r>
      <w:r w:rsidRPr="006B7F39">
        <w:t>se turnó el recurso de revisión a través del</w:t>
      </w:r>
      <w:r w:rsidRPr="006B7F39">
        <w:rPr>
          <w:rFonts w:eastAsia="Arial Unicode MS"/>
        </w:rPr>
        <w:t xml:space="preserve"> </w:t>
      </w:r>
      <w:r w:rsidRPr="006B7F39">
        <w:rPr>
          <w:rFonts w:eastAsia="Arial Unicode MS"/>
          <w:bCs/>
        </w:rPr>
        <w:t>SAIMEX</w:t>
      </w:r>
      <w:r w:rsidRPr="006B7F39">
        <w:t xml:space="preserve"> a la </w:t>
      </w:r>
      <w:r w:rsidRPr="006B7F39">
        <w:rPr>
          <w:b/>
        </w:rPr>
        <w:t>Comisionada Sharon Cristina Morales Martínez</w:t>
      </w:r>
      <w:r w:rsidRPr="006B7F39">
        <w:rPr>
          <w:bCs/>
        </w:rPr>
        <w:t xml:space="preserve">, </w:t>
      </w:r>
      <w:r w:rsidRPr="006B7F39">
        <w:t xml:space="preserve">a efecto de decretar su admisión o </w:t>
      </w:r>
      <w:proofErr w:type="spellStart"/>
      <w:r w:rsidRPr="006B7F39">
        <w:t>desechamiento</w:t>
      </w:r>
      <w:proofErr w:type="spellEnd"/>
      <w:r w:rsidRPr="006B7F39">
        <w:t xml:space="preserve">. </w:t>
      </w:r>
    </w:p>
    <w:p w14:paraId="18F305CB" w14:textId="77777777" w:rsidR="00664420" w:rsidRPr="006B7F39" w:rsidRDefault="00664420" w:rsidP="006B7F39">
      <w:pPr>
        <w:rPr>
          <w:rFonts w:eastAsia="Batang" w:cs="Tahoma"/>
          <w:bCs/>
          <w:szCs w:val="22"/>
        </w:rPr>
      </w:pPr>
    </w:p>
    <w:p w14:paraId="3E31EC2D" w14:textId="295256A1" w:rsidR="00664420" w:rsidRPr="006B7F39" w:rsidRDefault="006E25BC" w:rsidP="006B7F39">
      <w:pPr>
        <w:pStyle w:val="Ttulo3"/>
      </w:pPr>
      <w:bookmarkStart w:id="13" w:name="_Toc179394280"/>
      <w:r w:rsidRPr="006B7F39">
        <w:t>c</w:t>
      </w:r>
      <w:r w:rsidR="00664420" w:rsidRPr="006B7F39">
        <w:t>) Admisión del Recurso de Revisión</w:t>
      </w:r>
      <w:bookmarkEnd w:id="13"/>
    </w:p>
    <w:p w14:paraId="240447D5" w14:textId="27F30BE8" w:rsidR="000E09C4" w:rsidRPr="006B7F39" w:rsidRDefault="000E09C4" w:rsidP="006B7F39">
      <w:pPr>
        <w:rPr>
          <w:rFonts w:cs="Arial"/>
        </w:rPr>
      </w:pPr>
      <w:r w:rsidRPr="006B7F39">
        <w:rPr>
          <w:rFonts w:cs="Arial"/>
        </w:rPr>
        <w:t xml:space="preserve">El </w:t>
      </w:r>
      <w:r w:rsidR="008A7480" w:rsidRPr="006B7F39">
        <w:rPr>
          <w:rFonts w:eastAsia="Palatino Linotype" w:cs="Palatino Linotype"/>
          <w:b/>
        </w:rPr>
        <w:t xml:space="preserve">dos de septiembre </w:t>
      </w:r>
      <w:r w:rsidR="003A67CC" w:rsidRPr="006B7F39">
        <w:rPr>
          <w:rFonts w:eastAsia="Palatino Linotype" w:cs="Palatino Linotype"/>
          <w:b/>
        </w:rPr>
        <w:t>d</w:t>
      </w:r>
      <w:r w:rsidR="00657603" w:rsidRPr="006B7F39">
        <w:rPr>
          <w:rFonts w:eastAsia="Palatino Linotype" w:cs="Palatino Linotype"/>
          <w:b/>
        </w:rPr>
        <w:t>e dos mil veinticuatro</w:t>
      </w:r>
      <w:r w:rsidRPr="006B7F3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B7F39">
        <w:rPr>
          <w:rFonts w:cs="Arial"/>
        </w:rPr>
        <w:t>, fracción II</w:t>
      </w:r>
      <w:r w:rsidRPr="006B7F39">
        <w:rPr>
          <w:rFonts w:cs="Arial"/>
        </w:rPr>
        <w:t xml:space="preserve"> de la Ley de Transparencia y Acceso a la Información Pública del Estado de México y Municipios.</w:t>
      </w:r>
    </w:p>
    <w:p w14:paraId="34EC3F86" w14:textId="77777777" w:rsidR="00D2790D" w:rsidRPr="006B7F39" w:rsidRDefault="00D2790D" w:rsidP="006B7F39">
      <w:pPr>
        <w:rPr>
          <w:rFonts w:cs="Arial"/>
        </w:rPr>
      </w:pPr>
    </w:p>
    <w:p w14:paraId="3B820F58" w14:textId="503F9071" w:rsidR="00865CF4" w:rsidRPr="006B7F39" w:rsidRDefault="0075751F" w:rsidP="006B7F39">
      <w:pPr>
        <w:pStyle w:val="Ttulo3"/>
      </w:pPr>
      <w:bookmarkStart w:id="14" w:name="_Toc179394281"/>
      <w:r w:rsidRPr="006B7F39">
        <w:t>d</w:t>
      </w:r>
      <w:r w:rsidR="00664420" w:rsidRPr="006B7F39">
        <w:t xml:space="preserve">) </w:t>
      </w:r>
      <w:r w:rsidR="00865CF4" w:rsidRPr="006B7F39">
        <w:t>Informe Justificado del Sujeto Obligado</w:t>
      </w:r>
      <w:bookmarkEnd w:id="14"/>
    </w:p>
    <w:p w14:paraId="75AEB956" w14:textId="0288FE2D" w:rsidR="00AD4855" w:rsidRPr="006B7F39" w:rsidRDefault="00AD4855" w:rsidP="006B7F39">
      <w:pPr>
        <w:rPr>
          <w:rFonts w:cs="Tahoma"/>
          <w:bCs/>
          <w:szCs w:val="24"/>
        </w:rPr>
      </w:pPr>
      <w:r w:rsidRPr="006B7F39">
        <w:rPr>
          <w:rFonts w:cs="Tahoma"/>
          <w:bCs/>
          <w:szCs w:val="24"/>
        </w:rPr>
        <w:t xml:space="preserve">El </w:t>
      </w:r>
      <w:r w:rsidR="008A7480" w:rsidRPr="006B7F39">
        <w:rPr>
          <w:rFonts w:cs="Tahoma"/>
          <w:b/>
          <w:szCs w:val="24"/>
        </w:rPr>
        <w:t>diez de septiembre de dos m</w:t>
      </w:r>
      <w:r w:rsidR="001D5BAD" w:rsidRPr="006B7F39">
        <w:rPr>
          <w:rFonts w:cs="Tahoma"/>
          <w:b/>
          <w:szCs w:val="24"/>
        </w:rPr>
        <w:t xml:space="preserve">il veinticuatro </w:t>
      </w:r>
      <w:r w:rsidRPr="006B7F39">
        <w:rPr>
          <w:rFonts w:cs="Tahoma"/>
          <w:b/>
          <w:szCs w:val="24"/>
        </w:rPr>
        <w:t>EL SUJETO OBLIGADO</w:t>
      </w:r>
      <w:r w:rsidRPr="006B7F39">
        <w:rPr>
          <w:rFonts w:cs="Tahoma"/>
          <w:bCs/>
          <w:szCs w:val="24"/>
        </w:rPr>
        <w:t xml:space="preserve"> rindió su informe justificado a través del </w:t>
      </w:r>
      <w:r w:rsidRPr="006B7F39">
        <w:rPr>
          <w:rFonts w:cs="Tahoma"/>
          <w:b/>
          <w:bCs/>
          <w:szCs w:val="24"/>
        </w:rPr>
        <w:t>SAIMEX</w:t>
      </w:r>
      <w:r w:rsidRPr="006B7F39">
        <w:rPr>
          <w:rFonts w:cs="Tahoma"/>
          <w:bCs/>
          <w:szCs w:val="24"/>
        </w:rPr>
        <w:t xml:space="preserve">, </w:t>
      </w:r>
      <w:bookmarkStart w:id="15" w:name="_Hlk165379932"/>
      <w:r w:rsidRPr="006B7F39">
        <w:rPr>
          <w:rFonts w:cs="Tahoma"/>
          <w:bCs/>
          <w:szCs w:val="24"/>
        </w:rPr>
        <w:t xml:space="preserve">ajuntando para ello los archivos electrónicos que a continuación se describen: </w:t>
      </w:r>
    </w:p>
    <w:p w14:paraId="4B090F9A" w14:textId="77777777" w:rsidR="00AD4855" w:rsidRPr="006B7F39" w:rsidRDefault="00AD4855" w:rsidP="006B7F39">
      <w:pPr>
        <w:rPr>
          <w:rFonts w:cs="Tahoma"/>
          <w:bCs/>
          <w:szCs w:val="24"/>
        </w:rPr>
      </w:pPr>
    </w:p>
    <w:p w14:paraId="3FA2B6BA" w14:textId="779307BD" w:rsidR="00DA54C1" w:rsidRPr="006B7F39" w:rsidRDefault="008A7480" w:rsidP="006B7F39">
      <w:pPr>
        <w:pStyle w:val="Prrafodelista"/>
        <w:numPr>
          <w:ilvl w:val="0"/>
          <w:numId w:val="18"/>
        </w:numPr>
        <w:rPr>
          <w:rFonts w:cs="Tahoma"/>
          <w:b/>
          <w:szCs w:val="24"/>
        </w:rPr>
      </w:pPr>
      <w:r w:rsidRPr="006B7F39">
        <w:rPr>
          <w:rFonts w:cs="Tahoma"/>
          <w:b/>
          <w:szCs w:val="24"/>
        </w:rPr>
        <w:t>INFORME JUSTIFICADO 05227.pdf</w:t>
      </w:r>
      <w:r w:rsidR="001D5BAD" w:rsidRPr="006B7F39">
        <w:rPr>
          <w:rFonts w:cs="Tahoma"/>
          <w:b/>
          <w:szCs w:val="24"/>
        </w:rPr>
        <w:t xml:space="preserve">, </w:t>
      </w:r>
      <w:r w:rsidR="001D5BAD" w:rsidRPr="006B7F39">
        <w:rPr>
          <w:rFonts w:cs="Tahoma"/>
          <w:szCs w:val="24"/>
        </w:rPr>
        <w:t xml:space="preserve">el cual contiene el oficio </w:t>
      </w:r>
      <w:r w:rsidRPr="006B7F39">
        <w:rPr>
          <w:rFonts w:cs="Tahoma"/>
          <w:szCs w:val="24"/>
        </w:rPr>
        <w:t xml:space="preserve">del nueve de septiembre de dos mil veinticuatro, </w:t>
      </w:r>
      <w:r w:rsidR="00DA54C1" w:rsidRPr="006B7F39">
        <w:rPr>
          <w:rFonts w:cs="Tahoma"/>
          <w:szCs w:val="24"/>
        </w:rPr>
        <w:t xml:space="preserve">por medio del cual </w:t>
      </w:r>
      <w:r w:rsidRPr="006B7F39">
        <w:rPr>
          <w:rFonts w:cs="Tahoma"/>
          <w:szCs w:val="24"/>
        </w:rPr>
        <w:t>e</w:t>
      </w:r>
      <w:r w:rsidR="00DA54C1" w:rsidRPr="006B7F39">
        <w:rPr>
          <w:rFonts w:cs="Tahoma"/>
          <w:szCs w:val="24"/>
        </w:rPr>
        <w:t xml:space="preserve">l </w:t>
      </w:r>
      <w:r w:rsidRPr="006B7F39">
        <w:rPr>
          <w:rFonts w:cs="Tahoma"/>
          <w:szCs w:val="24"/>
        </w:rPr>
        <w:t xml:space="preserve">encargado de despacho de la Unidad de Prevención de la Corrupción y responsable de la Unidad de Transparencia, </w:t>
      </w:r>
      <w:r w:rsidR="00DE7108" w:rsidRPr="006B7F39">
        <w:rPr>
          <w:rFonts w:cs="Tahoma"/>
          <w:szCs w:val="24"/>
        </w:rPr>
        <w:t xml:space="preserve">adjunta informe justificado rendido por el Coordinador Administrativo, por medio del cual da atención a la solicitud de mérito. </w:t>
      </w:r>
      <w:r w:rsidR="00DA54C1" w:rsidRPr="006B7F39">
        <w:rPr>
          <w:rFonts w:cs="Tahoma"/>
          <w:szCs w:val="24"/>
        </w:rPr>
        <w:t xml:space="preserve"> </w:t>
      </w:r>
    </w:p>
    <w:p w14:paraId="52721535" w14:textId="4E35FAF8" w:rsidR="00DE7108" w:rsidRPr="006B7F39" w:rsidRDefault="00DE7108" w:rsidP="006B7F39">
      <w:pPr>
        <w:pStyle w:val="Prrafodelista"/>
        <w:numPr>
          <w:ilvl w:val="0"/>
          <w:numId w:val="39"/>
        </w:numPr>
        <w:autoSpaceDE w:val="0"/>
        <w:autoSpaceDN w:val="0"/>
        <w:adjustRightInd w:val="0"/>
        <w:ind w:right="-28"/>
        <w:rPr>
          <w:rFonts w:cs="Tahoma"/>
          <w:b/>
          <w:i/>
          <w:szCs w:val="22"/>
          <w:lang w:val="es-ES"/>
        </w:rPr>
      </w:pPr>
      <w:r w:rsidRPr="006B7F39">
        <w:rPr>
          <w:rFonts w:cs="Tahoma"/>
          <w:b/>
          <w:szCs w:val="24"/>
        </w:rPr>
        <w:lastRenderedPageBreak/>
        <w:t xml:space="preserve">respuesta SPH.pdf, </w:t>
      </w:r>
      <w:r w:rsidRPr="006B7F39">
        <w:rPr>
          <w:rFonts w:cs="Tahoma"/>
          <w:szCs w:val="24"/>
        </w:rPr>
        <w:t xml:space="preserve">el cual contiene el oficio número </w:t>
      </w:r>
      <w:r w:rsidRPr="006B7F39">
        <w:rPr>
          <w:rFonts w:cs="Tahoma"/>
          <w:szCs w:val="22"/>
          <w:lang w:val="es-ES"/>
        </w:rPr>
        <w:t xml:space="preserve">21800005S-000962/2024 del tres de septiembre de dos mil veinticuatro, por medio del cual el Coordinador Administrativo precisa la fecha de alta, categoría, sueldo bruto y neto, área donde se ubica y link electrónico </w:t>
      </w:r>
      <w:r w:rsidR="00EE73FD" w:rsidRPr="006B7F39">
        <w:rPr>
          <w:rFonts w:cs="Tahoma"/>
          <w:szCs w:val="22"/>
          <w:lang w:val="es-ES"/>
        </w:rPr>
        <w:t>del Manual General de Organización de la Secretaría de la Contraloría, donde se mencionan las funciones de los titulares, encargados de las unidades administrativas básicas</w:t>
      </w:r>
      <w:r w:rsidRPr="006B7F39">
        <w:rPr>
          <w:rFonts w:cs="Tahoma"/>
          <w:szCs w:val="22"/>
          <w:lang w:val="es-ES"/>
        </w:rPr>
        <w:t xml:space="preserve">. </w:t>
      </w:r>
    </w:p>
    <w:bookmarkEnd w:id="15"/>
    <w:p w14:paraId="07E9D629" w14:textId="77777777" w:rsidR="00EE73FD" w:rsidRPr="006B7F39" w:rsidRDefault="00EE73FD" w:rsidP="006B7F39">
      <w:pPr>
        <w:rPr>
          <w:rFonts w:cs="Tahoma"/>
          <w:bCs/>
          <w:szCs w:val="24"/>
        </w:rPr>
      </w:pPr>
    </w:p>
    <w:p w14:paraId="78002C6D" w14:textId="7145872D" w:rsidR="00AD4855" w:rsidRPr="006B7F39" w:rsidRDefault="00AD4855" w:rsidP="006B7F39">
      <w:pPr>
        <w:rPr>
          <w:rFonts w:cs="Tahoma"/>
          <w:bCs/>
          <w:szCs w:val="24"/>
        </w:rPr>
      </w:pPr>
      <w:r w:rsidRPr="006B7F39">
        <w:rPr>
          <w:rFonts w:cs="Tahoma"/>
          <w:bCs/>
          <w:szCs w:val="24"/>
        </w:rPr>
        <w:t xml:space="preserve">Esta información fue puesta a la vista de </w:t>
      </w:r>
      <w:r w:rsidRPr="006B7F39">
        <w:rPr>
          <w:rFonts w:cs="Tahoma"/>
          <w:b/>
          <w:szCs w:val="24"/>
        </w:rPr>
        <w:t xml:space="preserve">LA PARTE RECURRENTE </w:t>
      </w:r>
      <w:r w:rsidRPr="006B7F39">
        <w:rPr>
          <w:rFonts w:cs="Tahoma"/>
          <w:bCs/>
          <w:szCs w:val="24"/>
        </w:rPr>
        <w:t xml:space="preserve">el </w:t>
      </w:r>
      <w:r w:rsidR="00EE73FD" w:rsidRPr="006B7F39">
        <w:rPr>
          <w:rFonts w:cs="Tahoma"/>
          <w:b/>
          <w:szCs w:val="24"/>
        </w:rPr>
        <w:t xml:space="preserve">veintitrés de septiembre </w:t>
      </w:r>
      <w:r w:rsidRPr="006B7F39">
        <w:rPr>
          <w:rFonts w:cs="Tahoma"/>
          <w:b/>
          <w:szCs w:val="24"/>
        </w:rPr>
        <w:t>de dos mil veinticuatro</w:t>
      </w:r>
      <w:r w:rsidRPr="006B7F39">
        <w:rPr>
          <w:rFonts w:cs="Tahoma"/>
          <w:bCs/>
          <w:szCs w:val="24"/>
        </w:rPr>
        <w:t xml:space="preserve"> para que, en un plazo de tres días hábiles, manifestara lo que a su derecho conviniera, de conformidad con lo establecido en el </w:t>
      </w:r>
      <w:r w:rsidRPr="006B7F39">
        <w:rPr>
          <w:rFonts w:cs="Arial"/>
        </w:rPr>
        <w:t>artículo 185, fracción III de la Ley de Transparencia y Acceso a la Información Pública del Estado de México y Municipios</w:t>
      </w:r>
      <w:r w:rsidRPr="006B7F39">
        <w:rPr>
          <w:rFonts w:cs="Tahoma"/>
          <w:bCs/>
          <w:szCs w:val="24"/>
        </w:rPr>
        <w:t>.</w:t>
      </w:r>
    </w:p>
    <w:p w14:paraId="66BA6FC7" w14:textId="77777777" w:rsidR="00865CF4" w:rsidRPr="006B7F39" w:rsidRDefault="00865CF4" w:rsidP="006B7F39">
      <w:pPr>
        <w:rPr>
          <w:rFonts w:cs="Tahoma"/>
          <w:bCs/>
          <w:szCs w:val="24"/>
        </w:rPr>
      </w:pPr>
    </w:p>
    <w:p w14:paraId="755B7730" w14:textId="3EA3E31D" w:rsidR="00664420" w:rsidRPr="006B7F39" w:rsidRDefault="0075751F" w:rsidP="006B7F39">
      <w:pPr>
        <w:pStyle w:val="Ttulo3"/>
        <w:rPr>
          <w:lang w:val="es-ES"/>
        </w:rPr>
      </w:pPr>
      <w:bookmarkStart w:id="16" w:name="_Toc179394282"/>
      <w:r w:rsidRPr="006B7F39">
        <w:rPr>
          <w:rFonts w:eastAsia="Calibri"/>
          <w:bCs/>
          <w:lang w:eastAsia="en-US"/>
        </w:rPr>
        <w:t>e</w:t>
      </w:r>
      <w:r w:rsidR="00664420" w:rsidRPr="006B7F39">
        <w:rPr>
          <w:rFonts w:eastAsia="Calibri"/>
          <w:bCs/>
          <w:lang w:eastAsia="en-US"/>
        </w:rPr>
        <w:t>)</w:t>
      </w:r>
      <w:r w:rsidR="00664420" w:rsidRPr="006B7F39">
        <w:t xml:space="preserve"> </w:t>
      </w:r>
      <w:r w:rsidR="00865CF4" w:rsidRPr="006B7F39">
        <w:rPr>
          <w:lang w:val="es-ES"/>
        </w:rPr>
        <w:t>Manifestaciones de la Parte Recurrente</w:t>
      </w:r>
      <w:bookmarkEnd w:id="16"/>
    </w:p>
    <w:p w14:paraId="4E8AF011" w14:textId="77777777" w:rsidR="00865CF4" w:rsidRPr="006B7F39" w:rsidRDefault="00865CF4" w:rsidP="006B7F39">
      <w:pPr>
        <w:rPr>
          <w:rFonts w:eastAsia="Arial Unicode MS" w:cs="Arial"/>
        </w:rPr>
      </w:pPr>
      <w:r w:rsidRPr="006B7F39">
        <w:rPr>
          <w:rFonts w:cs="Tahoma"/>
          <w:b/>
          <w:szCs w:val="24"/>
        </w:rPr>
        <w:t xml:space="preserve">LA PARTE RECURRENTE </w:t>
      </w:r>
      <w:r w:rsidRPr="006B7F39">
        <w:rPr>
          <w:rFonts w:eastAsia="Arial Unicode MS" w:cs="Arial"/>
        </w:rPr>
        <w:t>no realizó manifestación alguna dentro del término legalmente concedido para tal efecto, ni presentó pruebas o alegatos.</w:t>
      </w:r>
    </w:p>
    <w:p w14:paraId="43289D82" w14:textId="77777777" w:rsidR="00865CF4" w:rsidRPr="006B7F39" w:rsidRDefault="00865CF4" w:rsidP="006B7F39">
      <w:pPr>
        <w:rPr>
          <w:rFonts w:eastAsia="Arial Unicode MS" w:cs="Arial"/>
        </w:rPr>
      </w:pPr>
    </w:p>
    <w:p w14:paraId="0E651988" w14:textId="07B7DBA4" w:rsidR="00664420" w:rsidRPr="006B7F39" w:rsidRDefault="007517BD" w:rsidP="006B7F39">
      <w:pPr>
        <w:pStyle w:val="Ttulo3"/>
      </w:pPr>
      <w:bookmarkStart w:id="17" w:name="_Toc179394283"/>
      <w:r w:rsidRPr="006B7F39">
        <w:rPr>
          <w:rFonts w:eastAsia="Calibri"/>
        </w:rPr>
        <w:t xml:space="preserve">f) </w:t>
      </w:r>
      <w:r w:rsidR="00664420" w:rsidRPr="006B7F39">
        <w:t>Cierre de instrucción</w:t>
      </w:r>
      <w:bookmarkEnd w:id="17"/>
    </w:p>
    <w:p w14:paraId="79AF95DC" w14:textId="0FB56340" w:rsidR="00664420" w:rsidRPr="006B7F39" w:rsidRDefault="00BF091A" w:rsidP="006B7F39">
      <w:r w:rsidRPr="006B7F39">
        <w:rPr>
          <w:rFonts w:cs="Tahoma"/>
          <w:szCs w:val="22"/>
        </w:rPr>
        <w:t>Al no existir diligencias pendientes por desahogar</w:t>
      </w:r>
      <w:r w:rsidRPr="006B7F39">
        <w:rPr>
          <w:rFonts w:cs="Arial"/>
        </w:rPr>
        <w:t xml:space="preserve">, el </w:t>
      </w:r>
      <w:bookmarkStart w:id="18" w:name="_Hlk104892386"/>
      <w:r w:rsidR="00101093" w:rsidRPr="006B7F39">
        <w:rPr>
          <w:rFonts w:cs="Arial"/>
          <w:b/>
        </w:rPr>
        <w:t xml:space="preserve">ocho de octubre </w:t>
      </w:r>
      <w:bookmarkEnd w:id="18"/>
      <w:r w:rsidRPr="006B7F39">
        <w:rPr>
          <w:rFonts w:cs="Arial"/>
          <w:b/>
        </w:rPr>
        <w:t xml:space="preserve">de dos mil </w:t>
      </w:r>
      <w:r w:rsidR="0075751F" w:rsidRPr="006B7F39">
        <w:rPr>
          <w:rFonts w:cs="Arial"/>
          <w:b/>
        </w:rPr>
        <w:t xml:space="preserve">veinticuatro </w:t>
      </w:r>
      <w:r w:rsidRPr="006B7F39">
        <w:rPr>
          <w:rFonts w:cs="Arial"/>
        </w:rPr>
        <w:t xml:space="preserve">la </w:t>
      </w:r>
      <w:r w:rsidRPr="006B7F39">
        <w:rPr>
          <w:rFonts w:cs="Arial"/>
          <w:b/>
          <w:bCs/>
        </w:rPr>
        <w:t xml:space="preserve">Comisionada </w:t>
      </w:r>
      <w:r w:rsidRPr="006B7F39">
        <w:rPr>
          <w:b/>
        </w:rPr>
        <w:t xml:space="preserve">Sharon Cristina Morales Martínez </w:t>
      </w:r>
      <w:r w:rsidRPr="006B7F39">
        <w:rPr>
          <w:rFonts w:cs="Arial"/>
        </w:rPr>
        <w:t>acordó el cierre de instrucción</w:t>
      </w:r>
      <w:r w:rsidR="0011350D" w:rsidRPr="006B7F39">
        <w:rPr>
          <w:rFonts w:cs="Arial"/>
        </w:rPr>
        <w:t xml:space="preserve"> y</w:t>
      </w:r>
      <w:r w:rsidRPr="006B7F39">
        <w:rPr>
          <w:rFonts w:cs="Arial"/>
        </w:rPr>
        <w:t xml:space="preserve"> </w:t>
      </w:r>
      <w:r w:rsidR="0011350D" w:rsidRPr="006B7F39">
        <w:rPr>
          <w:rFonts w:cs="Arial"/>
        </w:rPr>
        <w:t xml:space="preserve">la </w:t>
      </w:r>
      <w:r w:rsidRPr="006B7F39">
        <w:rPr>
          <w:rFonts w:cs="Arial"/>
        </w:rPr>
        <w:t>remisión del expediente a efecto de ser resuelto, de conformidad con lo establecido en el artículo 185 fracciones VI y VIII de la Ley de Transparencia y Acceso a la Información Pública del Estado de México y Municipios</w:t>
      </w:r>
      <w:r w:rsidRPr="006B7F39">
        <w:t>.</w:t>
      </w:r>
      <w:r w:rsidR="0011350D" w:rsidRPr="006B7F39">
        <w:t xml:space="preserve"> Dicho acuerdo </w:t>
      </w:r>
      <w:r w:rsidR="00664420" w:rsidRPr="006B7F39">
        <w:rPr>
          <w:rFonts w:cs="Tahoma"/>
          <w:szCs w:val="22"/>
        </w:rPr>
        <w:t xml:space="preserve">fue notificado a las partes el mismo día a través del </w:t>
      </w:r>
      <w:r w:rsidR="00664420" w:rsidRPr="006B7F39">
        <w:rPr>
          <w:rFonts w:cs="Tahoma"/>
          <w:szCs w:val="22"/>
          <w:lang w:val="es-ES"/>
        </w:rPr>
        <w:t>SAIMEX</w:t>
      </w:r>
      <w:r w:rsidR="00664420" w:rsidRPr="006B7F39">
        <w:rPr>
          <w:rFonts w:cs="Tahoma"/>
          <w:szCs w:val="22"/>
        </w:rPr>
        <w:t>.</w:t>
      </w:r>
    </w:p>
    <w:p w14:paraId="741683E3" w14:textId="77777777" w:rsidR="0011350D" w:rsidRPr="006B7F39" w:rsidRDefault="0011350D" w:rsidP="006B7F39">
      <w:pPr>
        <w:rPr>
          <w:rFonts w:cs="Tahoma"/>
          <w:szCs w:val="22"/>
        </w:rPr>
      </w:pPr>
    </w:p>
    <w:p w14:paraId="7A9629DE" w14:textId="77777777" w:rsidR="00664420" w:rsidRPr="006B7F39" w:rsidRDefault="00664420" w:rsidP="006B7F39">
      <w:pPr>
        <w:pStyle w:val="Ttulo1"/>
        <w:rPr>
          <w:rFonts w:eastAsiaTheme="minorHAnsi"/>
          <w:lang w:eastAsia="en-US"/>
        </w:rPr>
      </w:pPr>
      <w:bookmarkStart w:id="19" w:name="_Toc179394284"/>
      <w:r w:rsidRPr="006B7F39">
        <w:rPr>
          <w:rFonts w:eastAsiaTheme="minorHAnsi"/>
          <w:lang w:eastAsia="en-US"/>
        </w:rPr>
        <w:lastRenderedPageBreak/>
        <w:t>CONSIDERANDOS</w:t>
      </w:r>
      <w:bookmarkEnd w:id="19"/>
    </w:p>
    <w:p w14:paraId="6DD1243B" w14:textId="77777777" w:rsidR="00664420" w:rsidRPr="006B7F39" w:rsidRDefault="00664420" w:rsidP="006B7F39">
      <w:pPr>
        <w:contextualSpacing/>
        <w:jc w:val="center"/>
        <w:rPr>
          <w:rFonts w:eastAsiaTheme="minorHAnsi" w:cs="Tahoma"/>
          <w:b/>
          <w:szCs w:val="22"/>
          <w:lang w:eastAsia="en-US"/>
        </w:rPr>
      </w:pPr>
    </w:p>
    <w:p w14:paraId="0B67CB92" w14:textId="2E307D3B" w:rsidR="00664420" w:rsidRPr="006B7F39" w:rsidRDefault="00664420" w:rsidP="006B7F39">
      <w:pPr>
        <w:pStyle w:val="Ttulo2"/>
        <w:rPr>
          <w:rFonts w:eastAsia="Batang"/>
        </w:rPr>
      </w:pPr>
      <w:bookmarkStart w:id="20" w:name="_Toc179394285"/>
      <w:r w:rsidRPr="006B7F39">
        <w:rPr>
          <w:rFonts w:eastAsia="Batang"/>
        </w:rPr>
        <w:t xml:space="preserve">PRIMERO. </w:t>
      </w:r>
      <w:proofErr w:type="spellStart"/>
      <w:r w:rsidR="00BA55A8" w:rsidRPr="006B7F39">
        <w:rPr>
          <w:rFonts w:eastAsia="Batang"/>
        </w:rPr>
        <w:t>Procedibilidad</w:t>
      </w:r>
      <w:bookmarkEnd w:id="20"/>
      <w:proofErr w:type="spellEnd"/>
    </w:p>
    <w:p w14:paraId="39C52BC1" w14:textId="56FCC20D" w:rsidR="00BA55A8" w:rsidRPr="006B7F39" w:rsidRDefault="00BA55A8" w:rsidP="006B7F39">
      <w:pPr>
        <w:pStyle w:val="Ttulo3"/>
      </w:pPr>
      <w:bookmarkStart w:id="21" w:name="_Toc179394286"/>
      <w:r w:rsidRPr="006B7F39">
        <w:t>a) Competencia</w:t>
      </w:r>
      <w:r w:rsidR="00150C49" w:rsidRPr="006B7F39">
        <w:t xml:space="preserve"> del Instituto</w:t>
      </w:r>
      <w:bookmarkEnd w:id="21"/>
    </w:p>
    <w:p w14:paraId="56E64942" w14:textId="6572EDF7" w:rsidR="0011350D" w:rsidRPr="006B7F39" w:rsidRDefault="0011350D" w:rsidP="006B7F39">
      <w:pPr>
        <w:rPr>
          <w:rFonts w:cs="Arial"/>
        </w:rPr>
      </w:pPr>
      <w:r w:rsidRPr="006B7F39">
        <w:t xml:space="preserve">Este Instituto de Transparencia, Acceso a la Información Pública y Protección de Datos Personales del Estado de México y Municipios es competente para conocer y resolver </w:t>
      </w:r>
      <w:r w:rsidR="005F65B7" w:rsidRPr="006B7F39">
        <w:t xml:space="preserve">el </w:t>
      </w:r>
      <w:r w:rsidRPr="006B7F3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B7F3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B7F39" w:rsidRDefault="00DB1C09" w:rsidP="006B7F39">
      <w:pPr>
        <w:rPr>
          <w:rFonts w:cs="Arial"/>
        </w:rPr>
      </w:pPr>
    </w:p>
    <w:p w14:paraId="517A2DD6" w14:textId="4169BE4D" w:rsidR="00664420" w:rsidRPr="006B7F39" w:rsidRDefault="00BA55A8" w:rsidP="006B7F39">
      <w:pPr>
        <w:pStyle w:val="Ttulo3"/>
      </w:pPr>
      <w:bookmarkStart w:id="22" w:name="_Toc179394287"/>
      <w:r w:rsidRPr="006B7F39">
        <w:t>b)</w:t>
      </w:r>
      <w:r w:rsidR="00664420" w:rsidRPr="006B7F39">
        <w:t xml:space="preserve"> </w:t>
      </w:r>
      <w:r w:rsidR="00D91CB4" w:rsidRPr="006B7F39">
        <w:t>Legitimidad</w:t>
      </w:r>
      <w:r w:rsidRPr="006B7F39">
        <w:t xml:space="preserve"> de la parte recurrente</w:t>
      </w:r>
      <w:bookmarkEnd w:id="22"/>
    </w:p>
    <w:p w14:paraId="26FEA382" w14:textId="0B06695C" w:rsidR="00D91CB4" w:rsidRPr="006B7F39" w:rsidRDefault="00D91CB4" w:rsidP="006B7F39">
      <w:pPr>
        <w:rPr>
          <w:rFonts w:cs="Arial"/>
          <w:bCs/>
        </w:rPr>
      </w:pPr>
      <w:r w:rsidRPr="006B7F39">
        <w:rPr>
          <w:rFonts w:cs="Arial"/>
          <w:bCs/>
        </w:rPr>
        <w:t>El recurso de revisión fue interpuesto por parte legítima, ya que se presentó por la misma persona que formuló la solicitud de acceso a la Información Pública,</w:t>
      </w:r>
      <w:r w:rsidRPr="006B7F39">
        <w:rPr>
          <w:rFonts w:cs="Arial"/>
          <w:b/>
          <w:bCs/>
        </w:rPr>
        <w:t xml:space="preserve"> </w:t>
      </w:r>
      <w:r w:rsidRPr="006B7F39">
        <w:rPr>
          <w:rFonts w:cs="Arial"/>
        </w:rPr>
        <w:t>debido a que los datos de acceso</w:t>
      </w:r>
      <w:r w:rsidRPr="006B7F39">
        <w:rPr>
          <w:rFonts w:cs="Arial"/>
          <w:b/>
          <w:bCs/>
        </w:rPr>
        <w:t xml:space="preserve"> </w:t>
      </w:r>
      <w:r w:rsidRPr="006B7F39">
        <w:rPr>
          <w:rFonts w:cs="Arial"/>
          <w:b/>
        </w:rPr>
        <w:t>SAIMEX</w:t>
      </w:r>
      <w:r w:rsidRPr="006B7F39">
        <w:rPr>
          <w:rFonts w:eastAsia="Calibri" w:cs="Arial"/>
          <w:lang w:eastAsia="en-US"/>
        </w:rPr>
        <w:t xml:space="preserve"> son personales e irrepetibles.</w:t>
      </w:r>
    </w:p>
    <w:p w14:paraId="2C367810" w14:textId="77777777" w:rsidR="00D91CB4" w:rsidRPr="006B7F39" w:rsidRDefault="00D91CB4" w:rsidP="006B7F39"/>
    <w:p w14:paraId="5C5FA5A8" w14:textId="77777777" w:rsidR="004565C2" w:rsidRPr="006B7F39" w:rsidRDefault="004565C2" w:rsidP="006B7F39">
      <w:pPr>
        <w:pStyle w:val="Ttulo3"/>
        <w:rPr>
          <w:rFonts w:eastAsia="Calibri"/>
          <w:lang w:eastAsia="es-ES_tradnl"/>
        </w:rPr>
      </w:pPr>
      <w:bookmarkStart w:id="23" w:name="_Toc170932820"/>
      <w:bookmarkStart w:id="24" w:name="_Toc179394288"/>
      <w:r w:rsidRPr="006B7F39">
        <w:rPr>
          <w:rFonts w:eastAsia="Calibri"/>
          <w:lang w:eastAsia="es-ES_tradnl"/>
        </w:rPr>
        <w:t>c) Plazo para interponer el recurso</w:t>
      </w:r>
      <w:bookmarkEnd w:id="23"/>
      <w:bookmarkEnd w:id="24"/>
    </w:p>
    <w:p w14:paraId="5C63152A" w14:textId="7D831155" w:rsidR="004565C2" w:rsidRPr="006B7F39" w:rsidRDefault="004565C2" w:rsidP="006B7F39">
      <w:pPr>
        <w:rPr>
          <w:rFonts w:eastAsiaTheme="minorEastAsia" w:cs="Arial"/>
          <w:lang w:val="es-ES_tradnl"/>
        </w:rPr>
      </w:pPr>
      <w:r w:rsidRPr="006B7F39">
        <w:rPr>
          <w:rFonts w:cs="Arial"/>
          <w:b/>
        </w:rPr>
        <w:t>EL SUJETO OBLIGADO</w:t>
      </w:r>
      <w:r w:rsidRPr="006B7F39">
        <w:rPr>
          <w:rFonts w:cs="Arial"/>
        </w:rPr>
        <w:t xml:space="preserve"> notificó la respuesta a la solicitud de acceso a la Información Pública el </w:t>
      </w:r>
      <w:r w:rsidR="00101093" w:rsidRPr="006B7F39">
        <w:rPr>
          <w:rFonts w:eastAsia="Palatino Linotype" w:cs="Palatino Linotype"/>
          <w:b/>
        </w:rPr>
        <w:t>veintiséis de agosto de</w:t>
      </w:r>
      <w:r w:rsidRPr="006B7F39">
        <w:rPr>
          <w:rFonts w:eastAsia="Palatino Linotype" w:cs="Palatino Linotype"/>
          <w:b/>
        </w:rPr>
        <w:t xml:space="preserve"> dos mil veinticuatro </w:t>
      </w:r>
      <w:r w:rsidRPr="006B7F39">
        <w:rPr>
          <w:rFonts w:cs="Arial"/>
        </w:rPr>
        <w:t xml:space="preserve">y el recurso </w:t>
      </w:r>
      <w:r w:rsidRPr="006B7F39">
        <w:rPr>
          <w:rFonts w:eastAsia="Palatino Linotype" w:cs="Palatino Linotype"/>
        </w:rPr>
        <w:t xml:space="preserve">que nos ocupa se interpuso el </w:t>
      </w:r>
      <w:r w:rsidR="00101093" w:rsidRPr="006B7F39">
        <w:rPr>
          <w:rFonts w:eastAsia="Palatino Linotype" w:cs="Palatino Linotype"/>
          <w:b/>
        </w:rPr>
        <w:t xml:space="preserve">veintinueve de agosto </w:t>
      </w:r>
      <w:r w:rsidRPr="006B7F39">
        <w:rPr>
          <w:rFonts w:eastAsia="Palatino Linotype" w:cs="Palatino Linotype"/>
          <w:b/>
        </w:rPr>
        <w:t>de dos mil veinticuatro</w:t>
      </w:r>
      <w:r w:rsidRPr="006B7F39">
        <w:rPr>
          <w:rFonts w:eastAsia="Palatino Linotype" w:cs="Palatino Linotype"/>
          <w:bCs/>
        </w:rPr>
        <w:t>;</w:t>
      </w:r>
      <w:r w:rsidRPr="006B7F39">
        <w:rPr>
          <w:rFonts w:eastAsia="Palatino Linotype" w:cs="Palatino Linotype"/>
        </w:rPr>
        <w:t xml:space="preserve"> por lo tanto, éste se encuentra dentro del margen temporal previsto en el artículo 178 de la </w:t>
      </w:r>
      <w:r w:rsidRPr="006B7F39">
        <w:rPr>
          <w:rFonts w:cs="Arial"/>
        </w:rPr>
        <w:t xml:space="preserve">Ley de Transparencia y Acceso a la </w:t>
      </w:r>
      <w:r w:rsidRPr="006B7F39">
        <w:rPr>
          <w:rFonts w:cs="Arial"/>
        </w:rPr>
        <w:lastRenderedPageBreak/>
        <w:t xml:space="preserve">Información Pública del Estado de México y Municipios, </w:t>
      </w:r>
      <w:r w:rsidRPr="006B7F39">
        <w:rPr>
          <w:rFonts w:eastAsia="Calibri"/>
          <w:lang w:eastAsia="es-ES_tradnl"/>
        </w:rPr>
        <w:t xml:space="preserve">el cual </w:t>
      </w:r>
      <w:r w:rsidRPr="006B7F39">
        <w:rPr>
          <w:rFonts w:cs="Arial"/>
        </w:rPr>
        <w:t xml:space="preserve">transcurrió del </w:t>
      </w:r>
      <w:r w:rsidR="00101093" w:rsidRPr="006B7F39">
        <w:rPr>
          <w:rFonts w:cs="Arial"/>
          <w:b/>
        </w:rPr>
        <w:t xml:space="preserve">veintisiete de agosto al diecisiete de septiembre </w:t>
      </w:r>
      <w:r w:rsidR="00DA54C1" w:rsidRPr="006B7F39">
        <w:rPr>
          <w:rFonts w:cs="Arial"/>
          <w:b/>
        </w:rPr>
        <w:t xml:space="preserve">de dos mil </w:t>
      </w:r>
      <w:r w:rsidRPr="006B7F39">
        <w:rPr>
          <w:rFonts w:cs="Arial"/>
          <w:b/>
        </w:rPr>
        <w:t>veinticuatro</w:t>
      </w:r>
      <w:r w:rsidRPr="006B7F39">
        <w:rPr>
          <w:rFonts w:cs="Arial"/>
        </w:rPr>
        <w:t xml:space="preserve">, </w:t>
      </w:r>
      <w:r w:rsidRPr="006B7F39">
        <w:rPr>
          <w:rFonts w:eastAsiaTheme="minorEastAsia" w:cs="Arial"/>
          <w:lang w:val="es-ES_tradnl"/>
        </w:rPr>
        <w:t xml:space="preserve">sin contemplar en el cómputo los días </w:t>
      </w:r>
      <w:bookmarkStart w:id="25" w:name="_Hlk62134391"/>
      <w:r w:rsidRPr="006B7F39">
        <w:rPr>
          <w:rFonts w:eastAsiaTheme="minorEastAsia" w:cs="Arial"/>
          <w:lang w:val="es-ES_tradnl"/>
        </w:rPr>
        <w:t xml:space="preserve">sábados, domingos y aquellos considerados como días inhábiles en términos del </w:t>
      </w:r>
      <w:bookmarkEnd w:id="25"/>
      <w:r w:rsidRPr="006B7F3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6B7F39" w:rsidRDefault="004565C2" w:rsidP="006B7F39"/>
    <w:p w14:paraId="46C0EB3A" w14:textId="5A92AF42" w:rsidR="00A53315" w:rsidRPr="006B7F39" w:rsidRDefault="00BA55A8" w:rsidP="006B7F39">
      <w:pPr>
        <w:pStyle w:val="Ttulo3"/>
        <w:rPr>
          <w:rFonts w:eastAsia="Calibri"/>
          <w:lang w:eastAsia="es-ES_tradnl"/>
        </w:rPr>
      </w:pPr>
      <w:bookmarkStart w:id="26" w:name="_Toc179394289"/>
      <w:r w:rsidRPr="006B7F39">
        <w:rPr>
          <w:rFonts w:eastAsia="Calibri"/>
          <w:lang w:eastAsia="es-ES_tradnl"/>
        </w:rPr>
        <w:t>d)</w:t>
      </w:r>
      <w:r w:rsidR="00D91CB4" w:rsidRPr="006B7F39">
        <w:rPr>
          <w:rFonts w:eastAsia="Calibri"/>
          <w:lang w:eastAsia="es-ES_tradnl"/>
        </w:rPr>
        <w:t xml:space="preserve"> </w:t>
      </w:r>
      <w:r w:rsidR="004565C2" w:rsidRPr="006B7F39">
        <w:rPr>
          <w:rFonts w:eastAsia="Calibri"/>
          <w:lang w:eastAsia="es-ES_tradnl"/>
        </w:rPr>
        <w:t>Causal de procedencia</w:t>
      </w:r>
      <w:bookmarkEnd w:id="26"/>
    </w:p>
    <w:p w14:paraId="190404A6" w14:textId="489F8962" w:rsidR="00BA55A8" w:rsidRPr="006B7F39" w:rsidRDefault="00BA55A8" w:rsidP="006B7F39">
      <w:r w:rsidRPr="006B7F39">
        <w:rPr>
          <w:rFonts w:cs="Arial"/>
        </w:rPr>
        <w:t xml:space="preserve">Resulta procedente la interposición del recurso de revisión, ya que </w:t>
      </w:r>
      <w:r w:rsidRPr="006B7F39">
        <w:rPr>
          <w:rFonts w:eastAsia="Calibri" w:cs="Tahoma"/>
          <w:szCs w:val="22"/>
          <w:lang w:eastAsia="es-MX"/>
        </w:rPr>
        <w:t xml:space="preserve">se actualiza la causal de procedencia señalada en el artículo 179, fracción </w:t>
      </w:r>
      <w:r w:rsidR="004565C2" w:rsidRPr="006B7F39">
        <w:rPr>
          <w:rFonts w:eastAsia="Calibri" w:cs="Tahoma"/>
          <w:szCs w:val="22"/>
          <w:lang w:eastAsia="es-MX"/>
        </w:rPr>
        <w:t>I</w:t>
      </w:r>
      <w:r w:rsidRPr="006B7F39">
        <w:rPr>
          <w:rFonts w:cs="Arial"/>
        </w:rPr>
        <w:t xml:space="preserve"> de la </w:t>
      </w:r>
      <w:r w:rsidRPr="006B7F39">
        <w:t>Ley de Transparencia y Acceso a la Información Pública del Estado de México y Municipios.</w:t>
      </w:r>
    </w:p>
    <w:p w14:paraId="0EFF7141" w14:textId="77777777" w:rsidR="00362A11" w:rsidRPr="006B7F39" w:rsidRDefault="00362A11" w:rsidP="006B7F39"/>
    <w:p w14:paraId="2284D7EB" w14:textId="3EE1D036" w:rsidR="00BA55A8" w:rsidRPr="006B7F39" w:rsidRDefault="00362A11" w:rsidP="006B7F39">
      <w:pPr>
        <w:pStyle w:val="Ttulo3"/>
      </w:pPr>
      <w:bookmarkStart w:id="27" w:name="_Toc179394290"/>
      <w:r w:rsidRPr="006B7F39">
        <w:t>e) Requisitos formales para la interposición del recurso</w:t>
      </w:r>
      <w:bookmarkEnd w:id="27"/>
    </w:p>
    <w:p w14:paraId="1646C66E" w14:textId="77777777" w:rsidR="00101093" w:rsidRPr="006B7F39" w:rsidRDefault="00101093" w:rsidP="006B7F39">
      <w:pPr>
        <w:rPr>
          <w:rFonts w:cs="Arial"/>
        </w:rPr>
      </w:pPr>
      <w:r w:rsidRPr="006B7F39">
        <w:rPr>
          <w:rFonts w:cs="Arial"/>
          <w:b/>
          <w:bCs/>
        </w:rPr>
        <w:t xml:space="preserve">LA PARTE RECURRENTE </w:t>
      </w:r>
      <w:r w:rsidRPr="006B7F39">
        <w:rPr>
          <w:rFonts w:cs="Arial"/>
        </w:rPr>
        <w:t>acreditó todos y cada uno de los elementos formales exigidos por el artículo 180 de la misma normatividad.</w:t>
      </w:r>
    </w:p>
    <w:p w14:paraId="343723E2" w14:textId="77777777" w:rsidR="00101093" w:rsidRPr="006B7F39" w:rsidRDefault="00101093" w:rsidP="006B7F39">
      <w:pPr>
        <w:rPr>
          <w:rFonts w:cs="Arial"/>
        </w:rPr>
      </w:pPr>
    </w:p>
    <w:p w14:paraId="4268583D" w14:textId="77777777" w:rsidR="00101093" w:rsidRPr="006B7F39" w:rsidRDefault="00101093" w:rsidP="006B7F39">
      <w:pPr>
        <w:rPr>
          <w:rFonts w:cs="Arial"/>
          <w:sz w:val="24"/>
          <w:szCs w:val="24"/>
          <w:lang w:val="es-ES"/>
        </w:rPr>
      </w:pPr>
      <w:r w:rsidRPr="006B7F39">
        <w:rPr>
          <w:sz w:val="24"/>
          <w:szCs w:val="24"/>
          <w:lang w:val="es-ES"/>
        </w:rPr>
        <w:t xml:space="preserve">Sin embargo, es importante mencionar que, de la revisión del expediente electrónico del </w:t>
      </w:r>
      <w:r w:rsidRPr="006B7F39">
        <w:rPr>
          <w:b/>
          <w:bCs/>
          <w:sz w:val="24"/>
          <w:szCs w:val="24"/>
          <w:lang w:val="es-ES"/>
        </w:rPr>
        <w:t>SAIMEX</w:t>
      </w:r>
      <w:r w:rsidRPr="006B7F39">
        <w:rPr>
          <w:bCs/>
          <w:sz w:val="24"/>
          <w:szCs w:val="24"/>
          <w:lang w:val="es-ES"/>
        </w:rPr>
        <w:t>,</w:t>
      </w:r>
      <w:r w:rsidRPr="006B7F39">
        <w:rPr>
          <w:sz w:val="24"/>
          <w:szCs w:val="24"/>
          <w:lang w:val="es-ES"/>
        </w:rPr>
        <w:t xml:space="preserve"> se observa que </w:t>
      </w:r>
      <w:r w:rsidRPr="006B7F39">
        <w:rPr>
          <w:b/>
          <w:bCs/>
          <w:sz w:val="24"/>
          <w:szCs w:val="24"/>
          <w:lang w:val="es-ES"/>
        </w:rPr>
        <w:t>LA PARTE RECURRENTE</w:t>
      </w:r>
      <w:r w:rsidRPr="006B7F39">
        <w:rPr>
          <w:sz w:val="24"/>
          <w:szCs w:val="24"/>
          <w:lang w:val="es-ES"/>
        </w:rPr>
        <w:t xml:space="preserve"> no proporcionó su nombre para ser identificado, lo que en estricto sentido provoca que </w:t>
      </w:r>
      <w:r w:rsidRPr="006B7F39">
        <w:rPr>
          <w:rFonts w:cs="Arial"/>
          <w:sz w:val="24"/>
          <w:szCs w:val="24"/>
          <w:lang w:val="es-ES"/>
        </w:rPr>
        <w:t>no</w:t>
      </w:r>
      <w:r w:rsidRPr="006B7F39">
        <w:rPr>
          <w:sz w:val="24"/>
          <w:szCs w:val="24"/>
          <w:lang w:val="es-ES"/>
        </w:rPr>
        <w:t xml:space="preserve"> se colmen los requisitos establecidos en el artículo 180 de la Ley de Transparencia; sin embargo, el artículo 15 de </w:t>
      </w:r>
      <w:r w:rsidRPr="006B7F39">
        <w:rPr>
          <w:rFonts w:cs="Arial"/>
          <w:sz w:val="24"/>
          <w:szCs w:val="24"/>
          <w:lang w:val="es-ES" w:eastAsia="es-MX"/>
        </w:rPr>
        <w:t xml:space="preserve">Ley de Transparencia y Acceso a la </w:t>
      </w:r>
      <w:r w:rsidRPr="006B7F39">
        <w:rPr>
          <w:rFonts w:cs="Arial"/>
          <w:sz w:val="24"/>
          <w:szCs w:val="24"/>
          <w:lang w:val="es-ES"/>
        </w:rPr>
        <w:t>Información</w:t>
      </w:r>
      <w:r w:rsidRPr="006B7F39">
        <w:rPr>
          <w:rFonts w:cs="Arial"/>
          <w:sz w:val="24"/>
          <w:szCs w:val="24"/>
          <w:lang w:val="es-ES" w:eastAsia="es-MX"/>
        </w:rPr>
        <w:t xml:space="preserve"> Pública del Estado de México y Municipios </w:t>
      </w:r>
      <w:r w:rsidRPr="006B7F39">
        <w:rPr>
          <w:rFonts w:cs="Arial"/>
          <w:iCs/>
          <w:sz w:val="24"/>
          <w:szCs w:val="24"/>
          <w:lang w:val="es-ES"/>
        </w:rPr>
        <w:t xml:space="preserve">prevé que </w:t>
      </w:r>
      <w:r w:rsidRPr="006B7F39">
        <w:rPr>
          <w:sz w:val="24"/>
          <w:szCs w:val="24"/>
          <w:lang w:val="es-ES"/>
        </w:rPr>
        <w:t xml:space="preserve">toda persona tendrá acceso a la información </w:t>
      </w:r>
      <w:r w:rsidRPr="006B7F39">
        <w:rPr>
          <w:rFonts w:cs="Arial"/>
          <w:sz w:val="24"/>
          <w:szCs w:val="24"/>
          <w:lang w:val="es-ES"/>
        </w:rPr>
        <w:t xml:space="preserve">sin necesidad de acreditar interés alguno o justificar su utilización, de lo que se infiere que </w:t>
      </w:r>
      <w:r w:rsidRPr="006B7F39">
        <w:rPr>
          <w:rFonts w:cs="Arial"/>
          <w:b/>
          <w:sz w:val="24"/>
          <w:szCs w:val="24"/>
          <w:u w:val="single"/>
          <w:lang w:val="es-ES"/>
        </w:rPr>
        <w:t xml:space="preserve">el nombre no es un requisito </w:t>
      </w:r>
      <w:r w:rsidRPr="006B7F39">
        <w:rPr>
          <w:rFonts w:cs="Arial"/>
          <w:b/>
          <w:iCs/>
          <w:sz w:val="24"/>
          <w:szCs w:val="24"/>
          <w:u w:val="single"/>
          <w:lang w:val="es-ES"/>
        </w:rPr>
        <w:t>indispensable</w:t>
      </w:r>
      <w:r w:rsidRPr="006B7F39">
        <w:rPr>
          <w:rFonts w:cs="Arial"/>
          <w:sz w:val="24"/>
          <w:szCs w:val="24"/>
          <w:lang w:val="es-ES"/>
        </w:rPr>
        <w:t xml:space="preserve"> para que las y los ciudadanos ejerzan el derecho de acceso a la información pública. </w:t>
      </w:r>
    </w:p>
    <w:p w14:paraId="380DEC69" w14:textId="77777777" w:rsidR="00101093" w:rsidRPr="006B7F39" w:rsidRDefault="00101093" w:rsidP="006B7F39">
      <w:pPr>
        <w:rPr>
          <w:rFonts w:cs="Arial"/>
          <w:sz w:val="24"/>
          <w:szCs w:val="24"/>
          <w:lang w:val="es-ES"/>
        </w:rPr>
      </w:pPr>
    </w:p>
    <w:p w14:paraId="0933403B" w14:textId="77777777" w:rsidR="00101093" w:rsidRPr="006B7F39" w:rsidRDefault="00101093" w:rsidP="006B7F39">
      <w:pPr>
        <w:rPr>
          <w:sz w:val="24"/>
          <w:szCs w:val="24"/>
          <w:lang w:val="es-ES"/>
        </w:rPr>
      </w:pPr>
      <w:r w:rsidRPr="006B7F39">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6B7F39">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B7F39">
        <w:rPr>
          <w:b/>
          <w:bCs/>
          <w:sz w:val="24"/>
          <w:szCs w:val="24"/>
          <w:lang w:val="es-ES"/>
        </w:rPr>
        <w:t>LA PARTE RECURRENTE</w:t>
      </w:r>
      <w:r w:rsidRPr="006B7F39">
        <w:rPr>
          <w:rFonts w:cs="Arial"/>
          <w:b/>
          <w:sz w:val="24"/>
          <w:szCs w:val="24"/>
          <w:lang w:val="es-ES"/>
        </w:rPr>
        <w:t>;</w:t>
      </w:r>
      <w:r w:rsidRPr="006B7F39">
        <w:rPr>
          <w:sz w:val="24"/>
          <w:szCs w:val="24"/>
          <w:lang w:val="es-ES"/>
        </w:rPr>
        <w:t xml:space="preserve"> por lo que, en el presente caso, al haber sido presentado el recurso de revisión vía </w:t>
      </w:r>
      <w:r w:rsidRPr="006B7F39">
        <w:rPr>
          <w:bCs/>
          <w:sz w:val="24"/>
          <w:szCs w:val="24"/>
          <w:lang w:val="es-ES"/>
        </w:rPr>
        <w:t>SAIMEX</w:t>
      </w:r>
      <w:r w:rsidRPr="006B7F39">
        <w:rPr>
          <w:sz w:val="24"/>
          <w:szCs w:val="24"/>
          <w:lang w:val="es-ES"/>
        </w:rPr>
        <w:t>, dicho requisito resulta innecesario.</w:t>
      </w:r>
    </w:p>
    <w:p w14:paraId="2BE2EBCD" w14:textId="77777777" w:rsidR="00185C7C" w:rsidRPr="006B7F39" w:rsidRDefault="00185C7C" w:rsidP="006B7F39">
      <w:pPr>
        <w:rPr>
          <w:rFonts w:cs="Arial"/>
        </w:rPr>
      </w:pPr>
    </w:p>
    <w:p w14:paraId="457548E9" w14:textId="3F7AF03B" w:rsidR="00C71CEF" w:rsidRPr="006B7F39" w:rsidRDefault="00C71CEF" w:rsidP="006B7F39">
      <w:pPr>
        <w:pStyle w:val="Ttulo2"/>
      </w:pPr>
      <w:bookmarkStart w:id="28" w:name="_Toc179394291"/>
      <w:r w:rsidRPr="006B7F39">
        <w:t>SEGUNDO. Estudio de Fondo</w:t>
      </w:r>
      <w:bookmarkEnd w:id="28"/>
    </w:p>
    <w:p w14:paraId="2A308F59" w14:textId="0FF373F0" w:rsidR="00C049E2" w:rsidRPr="006B7F39" w:rsidRDefault="00C71CEF" w:rsidP="006B7F39">
      <w:pPr>
        <w:pStyle w:val="Ttulo3"/>
      </w:pPr>
      <w:bookmarkStart w:id="29" w:name="_Toc179394292"/>
      <w:r w:rsidRPr="006B7F39">
        <w:t>a</w:t>
      </w:r>
      <w:r w:rsidR="00C049E2" w:rsidRPr="006B7F39">
        <w:t>) Mandato de transparencia y responsabilidad del Sujeto Obligado</w:t>
      </w:r>
      <w:bookmarkEnd w:id="29"/>
    </w:p>
    <w:p w14:paraId="6901A889" w14:textId="59EEDAE1" w:rsidR="00C049E2" w:rsidRPr="006B7F39" w:rsidRDefault="00C049E2" w:rsidP="006B7F39">
      <w:pPr>
        <w:rPr>
          <w:rFonts w:eastAsia="Palatino Linotype"/>
        </w:rPr>
      </w:pPr>
      <w:r w:rsidRPr="006B7F39">
        <w:rPr>
          <w:rFonts w:eastAsia="Palatino Linotype"/>
        </w:rPr>
        <w:t xml:space="preserve">El </w:t>
      </w:r>
      <w:r w:rsidR="00717E59" w:rsidRPr="006B7F39">
        <w:rPr>
          <w:rFonts w:eastAsia="Palatino Linotype"/>
        </w:rPr>
        <w:t>d</w:t>
      </w:r>
      <w:r w:rsidRPr="006B7F39">
        <w:rPr>
          <w:rFonts w:eastAsia="Palatino Linotype"/>
        </w:rPr>
        <w:t xml:space="preserve">erecho de </w:t>
      </w:r>
      <w:r w:rsidR="00717E59" w:rsidRPr="006B7F39">
        <w:rPr>
          <w:rFonts w:eastAsia="Palatino Linotype"/>
        </w:rPr>
        <w:t>a</w:t>
      </w:r>
      <w:r w:rsidRPr="006B7F39">
        <w:rPr>
          <w:rFonts w:eastAsia="Palatino Linotype"/>
        </w:rPr>
        <w:t xml:space="preserve">cceso a la </w:t>
      </w:r>
      <w:r w:rsidR="00717E59" w:rsidRPr="006B7F39">
        <w:rPr>
          <w:rFonts w:eastAsia="Palatino Linotype"/>
        </w:rPr>
        <w:t>i</w:t>
      </w:r>
      <w:r w:rsidRPr="006B7F39">
        <w:rPr>
          <w:rFonts w:eastAsia="Palatino Linotype"/>
        </w:rPr>
        <w:t xml:space="preserve">nformación </w:t>
      </w:r>
      <w:r w:rsidR="00717E59" w:rsidRPr="006B7F39">
        <w:rPr>
          <w:rFonts w:eastAsia="Palatino Linotype"/>
        </w:rPr>
        <w:t>p</w:t>
      </w:r>
      <w:r w:rsidRPr="006B7F3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B7F39">
        <w:rPr>
          <w:rFonts w:eastAsia="Palatino Linotype"/>
        </w:rPr>
        <w:t>:</w:t>
      </w:r>
    </w:p>
    <w:p w14:paraId="7FAB8D32" w14:textId="77777777" w:rsidR="00C049E2" w:rsidRPr="006B7F39" w:rsidRDefault="00C049E2" w:rsidP="006B7F39">
      <w:pPr>
        <w:rPr>
          <w:rFonts w:eastAsia="Palatino Linotype"/>
        </w:rPr>
      </w:pPr>
    </w:p>
    <w:p w14:paraId="05320813" w14:textId="77777777" w:rsidR="00C049E2" w:rsidRPr="006B7F39" w:rsidRDefault="00C049E2" w:rsidP="006B7F39">
      <w:pPr>
        <w:pStyle w:val="Puesto"/>
        <w:rPr>
          <w:rFonts w:eastAsia="Palatino Linotype"/>
          <w:b/>
        </w:rPr>
      </w:pPr>
      <w:r w:rsidRPr="006B7F39">
        <w:rPr>
          <w:rFonts w:eastAsia="Palatino Linotype"/>
          <w:b/>
        </w:rPr>
        <w:t>Constitución Política de los Estados Unidos Mexicanos</w:t>
      </w:r>
    </w:p>
    <w:p w14:paraId="6B6C67B6" w14:textId="77777777" w:rsidR="00C049E2" w:rsidRPr="006B7F39" w:rsidRDefault="00C049E2" w:rsidP="006B7F39">
      <w:pPr>
        <w:pStyle w:val="Puesto"/>
        <w:rPr>
          <w:rFonts w:eastAsia="Palatino Linotype"/>
          <w:b/>
        </w:rPr>
      </w:pPr>
      <w:r w:rsidRPr="006B7F39">
        <w:rPr>
          <w:rFonts w:eastAsia="Palatino Linotype"/>
        </w:rPr>
        <w:t>“</w:t>
      </w:r>
      <w:r w:rsidRPr="006B7F39">
        <w:rPr>
          <w:rFonts w:eastAsia="Palatino Linotype"/>
          <w:b/>
        </w:rPr>
        <w:t>Artículo 6.</w:t>
      </w:r>
    </w:p>
    <w:p w14:paraId="38D3B4C4" w14:textId="77777777" w:rsidR="00C049E2" w:rsidRPr="006B7F39" w:rsidRDefault="00C049E2" w:rsidP="006B7F39">
      <w:pPr>
        <w:pStyle w:val="Puesto"/>
        <w:rPr>
          <w:rFonts w:eastAsia="Palatino Linotype"/>
        </w:rPr>
      </w:pPr>
      <w:r w:rsidRPr="006B7F39">
        <w:rPr>
          <w:rFonts w:eastAsia="Palatino Linotype"/>
        </w:rPr>
        <w:t>(…)</w:t>
      </w:r>
    </w:p>
    <w:p w14:paraId="2CCAA297" w14:textId="6602827B" w:rsidR="00C049E2" w:rsidRPr="006B7F39" w:rsidRDefault="00C049E2" w:rsidP="006B7F39">
      <w:pPr>
        <w:pStyle w:val="Puesto"/>
        <w:rPr>
          <w:rFonts w:eastAsia="Palatino Linotype"/>
        </w:rPr>
      </w:pPr>
      <w:r w:rsidRPr="006B7F39">
        <w:rPr>
          <w:rFonts w:eastAsia="Palatino Linotype"/>
        </w:rPr>
        <w:t>Para efectos de lo dispuesto en el presente artículo se observará lo siguiente:</w:t>
      </w:r>
    </w:p>
    <w:p w14:paraId="74CC3718" w14:textId="77777777" w:rsidR="00C049E2" w:rsidRPr="006B7F39" w:rsidRDefault="00C049E2" w:rsidP="006B7F39">
      <w:pPr>
        <w:pStyle w:val="Puesto"/>
        <w:rPr>
          <w:rFonts w:eastAsia="Palatino Linotype"/>
        </w:rPr>
      </w:pPr>
      <w:r w:rsidRPr="006B7F3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B7F39" w:rsidRDefault="00C049E2" w:rsidP="006B7F39">
      <w:pPr>
        <w:pStyle w:val="Puesto"/>
        <w:rPr>
          <w:rFonts w:eastAsia="Palatino Linotype"/>
        </w:rPr>
      </w:pPr>
      <w:r w:rsidRPr="006B7F39">
        <w:rPr>
          <w:rFonts w:eastAsia="Palatino Linotype"/>
        </w:rPr>
        <w:t xml:space="preserve">I. </w:t>
      </w:r>
      <w:r w:rsidRPr="006B7F39">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w:t>
      </w:r>
      <w:r w:rsidRPr="006B7F39">
        <w:rPr>
          <w:rFonts w:eastAsia="Palatino Linotype"/>
        </w:rPr>
        <w:lastRenderedPageBreak/>
        <w:t>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6B7F39" w:rsidRDefault="00C049E2" w:rsidP="006B7F39">
      <w:pPr>
        <w:pStyle w:val="Puesto"/>
        <w:rPr>
          <w:rFonts w:eastAsia="Palatino Linotype"/>
        </w:rPr>
      </w:pPr>
    </w:p>
    <w:p w14:paraId="504F12DB" w14:textId="77777777" w:rsidR="00C049E2" w:rsidRPr="006B7F39" w:rsidRDefault="00C049E2" w:rsidP="006B7F39">
      <w:pPr>
        <w:pStyle w:val="Puesto"/>
        <w:rPr>
          <w:rFonts w:eastAsia="Palatino Linotype"/>
          <w:b/>
        </w:rPr>
      </w:pPr>
      <w:r w:rsidRPr="006B7F39">
        <w:rPr>
          <w:rFonts w:eastAsia="Palatino Linotype"/>
          <w:b/>
        </w:rPr>
        <w:t>Constitución Política del Estado Libre y Soberano de México</w:t>
      </w:r>
    </w:p>
    <w:p w14:paraId="04932D29" w14:textId="77777777" w:rsidR="00C049E2" w:rsidRPr="006B7F39" w:rsidRDefault="00C049E2" w:rsidP="006B7F39">
      <w:pPr>
        <w:pStyle w:val="Puesto"/>
        <w:rPr>
          <w:rFonts w:eastAsia="Palatino Linotype"/>
          <w:b/>
        </w:rPr>
      </w:pPr>
      <w:r w:rsidRPr="006B7F39">
        <w:rPr>
          <w:rFonts w:eastAsia="Palatino Linotype"/>
        </w:rPr>
        <w:t>“</w:t>
      </w:r>
      <w:r w:rsidRPr="006B7F39">
        <w:rPr>
          <w:rFonts w:eastAsia="Palatino Linotype"/>
          <w:b/>
        </w:rPr>
        <w:t xml:space="preserve">Artículo 5.- </w:t>
      </w:r>
    </w:p>
    <w:p w14:paraId="1D3829F4" w14:textId="77777777" w:rsidR="00C049E2" w:rsidRPr="006B7F39" w:rsidRDefault="00C049E2" w:rsidP="006B7F39">
      <w:pPr>
        <w:pStyle w:val="Puesto"/>
        <w:rPr>
          <w:rFonts w:eastAsia="Palatino Linotype"/>
        </w:rPr>
      </w:pPr>
      <w:r w:rsidRPr="006B7F39">
        <w:rPr>
          <w:rFonts w:eastAsia="Palatino Linotype"/>
        </w:rPr>
        <w:t>(…)</w:t>
      </w:r>
    </w:p>
    <w:p w14:paraId="0EAE47FD" w14:textId="77777777" w:rsidR="00C049E2" w:rsidRPr="006B7F39" w:rsidRDefault="00C049E2" w:rsidP="006B7F39">
      <w:pPr>
        <w:pStyle w:val="Puesto"/>
        <w:rPr>
          <w:rFonts w:eastAsia="Palatino Linotype"/>
        </w:rPr>
      </w:pPr>
      <w:r w:rsidRPr="006B7F3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B7F39" w:rsidRDefault="00C049E2" w:rsidP="006B7F39">
      <w:pPr>
        <w:pStyle w:val="Puesto"/>
        <w:rPr>
          <w:rFonts w:eastAsia="Palatino Linotype"/>
        </w:rPr>
      </w:pPr>
      <w:r w:rsidRPr="006B7F3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B7F39" w:rsidRDefault="00C049E2" w:rsidP="006B7F39">
      <w:pPr>
        <w:pStyle w:val="Puesto"/>
        <w:rPr>
          <w:rFonts w:eastAsia="Palatino Linotype"/>
        </w:rPr>
      </w:pPr>
      <w:r w:rsidRPr="006B7F39">
        <w:rPr>
          <w:rFonts w:eastAsia="Palatino Linotype"/>
        </w:rPr>
        <w:t>Este derecho se regirá por los principios y bases siguientes:</w:t>
      </w:r>
    </w:p>
    <w:p w14:paraId="4A3E8CBA" w14:textId="77777777" w:rsidR="00C049E2" w:rsidRPr="006B7F39" w:rsidRDefault="00C049E2" w:rsidP="006B7F39">
      <w:pPr>
        <w:pStyle w:val="Puesto"/>
        <w:rPr>
          <w:rFonts w:eastAsia="Palatino Linotype"/>
        </w:rPr>
      </w:pPr>
      <w:r w:rsidRPr="006B7F3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6B7F39" w:rsidRDefault="00C049E2" w:rsidP="006B7F39">
      <w:pPr>
        <w:rPr>
          <w:rFonts w:eastAsia="Palatino Linotype"/>
          <w:b/>
          <w:i/>
        </w:rPr>
      </w:pPr>
    </w:p>
    <w:p w14:paraId="6FC1BB3B" w14:textId="3BF4A33D" w:rsidR="00C049E2" w:rsidRPr="006B7F39" w:rsidRDefault="00717E59" w:rsidP="006B7F39">
      <w:pPr>
        <w:rPr>
          <w:rFonts w:eastAsia="Palatino Linotype"/>
          <w:i/>
        </w:rPr>
      </w:pPr>
      <w:r w:rsidRPr="006B7F39">
        <w:rPr>
          <w:rFonts w:eastAsia="Palatino Linotype"/>
        </w:rPr>
        <w:t xml:space="preserve">Asimismo, </w:t>
      </w:r>
      <w:r w:rsidR="00C049E2" w:rsidRPr="006B7F39">
        <w:rPr>
          <w:rFonts w:eastAsia="Palatino Linotype"/>
        </w:rPr>
        <w:t>el artículo 150 de la Ley de Transparencia y Acceso a la Información Pública del Estado de México y Municipios</w:t>
      </w:r>
      <w:r w:rsidR="00057B2D" w:rsidRPr="006B7F39">
        <w:rPr>
          <w:rFonts w:eastAsia="Palatino Linotype"/>
        </w:rPr>
        <w:t xml:space="preserve"> </w:t>
      </w:r>
      <w:r w:rsidR="00E9335C" w:rsidRPr="006B7F39">
        <w:rPr>
          <w:rFonts w:eastAsia="Palatino Linotype"/>
        </w:rPr>
        <w:t xml:space="preserve">indica </w:t>
      </w:r>
      <w:r w:rsidR="00057B2D" w:rsidRPr="006B7F39">
        <w:rPr>
          <w:rFonts w:eastAsia="Palatino Linotype"/>
        </w:rPr>
        <w:t>que</w:t>
      </w:r>
      <w:r w:rsidR="00C049E2" w:rsidRPr="006B7F39">
        <w:rPr>
          <w:rFonts w:eastAsia="Palatino Linotype"/>
        </w:rPr>
        <w:t xml:space="preserve"> la solicitud es la garantía primaria del Derecho de Acceso a la Información, además, establece que se regirá </w:t>
      </w:r>
      <w:r w:rsidR="00C049E2" w:rsidRPr="006B7F39">
        <w:rPr>
          <w:rFonts w:eastAsia="Palatino Linotype"/>
          <w:i/>
        </w:rPr>
        <w:t>por los principios de simplicidad, rapidez</w:t>
      </w:r>
      <w:r w:rsidR="005F65B7" w:rsidRPr="006B7F39">
        <w:rPr>
          <w:rFonts w:eastAsia="Palatino Linotype"/>
          <w:i/>
        </w:rPr>
        <w:t>,</w:t>
      </w:r>
      <w:r w:rsidR="00C049E2" w:rsidRPr="006B7F39">
        <w:rPr>
          <w:rFonts w:eastAsia="Palatino Linotype"/>
          <w:i/>
        </w:rPr>
        <w:t xml:space="preserve"> gratuidad del procedimiento, auxilio y orientación a los particulare</w:t>
      </w:r>
      <w:r w:rsidR="001A58B3" w:rsidRPr="006B7F39">
        <w:rPr>
          <w:rFonts w:eastAsia="Palatino Linotype"/>
          <w:i/>
        </w:rPr>
        <w:t>s.</w:t>
      </w:r>
    </w:p>
    <w:p w14:paraId="033466A6" w14:textId="77777777" w:rsidR="001A58B3" w:rsidRPr="006B7F39" w:rsidRDefault="001A58B3" w:rsidP="006B7F39">
      <w:pPr>
        <w:rPr>
          <w:rFonts w:eastAsia="Palatino Linotype"/>
          <w:i/>
        </w:rPr>
      </w:pPr>
    </w:p>
    <w:p w14:paraId="04ADA10B" w14:textId="574A944A" w:rsidR="001A58B3" w:rsidRPr="006B7F39" w:rsidRDefault="00233F17" w:rsidP="006B7F39">
      <w:pPr>
        <w:rPr>
          <w:rFonts w:eastAsia="Palatino Linotype" w:cs="Palatino Linotype"/>
          <w:i/>
          <w:szCs w:val="22"/>
        </w:rPr>
      </w:pPr>
      <w:r w:rsidRPr="006B7F39">
        <w:rPr>
          <w:rFonts w:eastAsia="Palatino Linotype" w:cs="Palatino Linotype"/>
        </w:rPr>
        <w:t xml:space="preserve">Por su parte, el artículo 4 de </w:t>
      </w:r>
      <w:r w:rsidR="001A58B3" w:rsidRPr="006B7F39">
        <w:rPr>
          <w:rFonts w:eastAsia="Palatino Linotype" w:cs="Palatino Linotype"/>
        </w:rPr>
        <w:t xml:space="preserve">la Ley de Transparencia y Acceso a la Información Pública del Estado de México y Municipios refiere que toda la información generada, obtenida, adquirida, </w:t>
      </w:r>
      <w:r w:rsidR="001A58B3" w:rsidRPr="006B7F39">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6B7F39">
        <w:rPr>
          <w:rFonts w:eastAsia="Palatino Linotype" w:cs="Palatino Linotype"/>
        </w:rPr>
        <w:t>.</w:t>
      </w:r>
    </w:p>
    <w:p w14:paraId="1407DBB8" w14:textId="77777777" w:rsidR="001A58B3" w:rsidRPr="006B7F39" w:rsidRDefault="001A58B3" w:rsidP="006B7F39">
      <w:pPr>
        <w:rPr>
          <w:rFonts w:eastAsia="Palatino Linotype" w:cs="Palatino Linotype"/>
        </w:rPr>
      </w:pPr>
    </w:p>
    <w:p w14:paraId="7552AA79" w14:textId="5C52E4A4" w:rsidR="001A58B3" w:rsidRPr="006B7F39" w:rsidRDefault="001A58B3" w:rsidP="006B7F39">
      <w:pPr>
        <w:rPr>
          <w:rFonts w:eastAsia="Palatino Linotype" w:cs="Palatino Linotype"/>
        </w:rPr>
      </w:pPr>
      <w:r w:rsidRPr="006B7F39">
        <w:rPr>
          <w:rFonts w:eastAsia="Palatino Linotype" w:cs="Palatino Linotype"/>
        </w:rPr>
        <w:t xml:space="preserve">Esto es, que los Sujetos Obligados </w:t>
      </w:r>
      <w:r w:rsidR="00FA5957" w:rsidRPr="006B7F39">
        <w:rPr>
          <w:rFonts w:eastAsia="Palatino Linotype" w:cs="Palatino Linotype"/>
        </w:rPr>
        <w:t>deben</w:t>
      </w:r>
      <w:r w:rsidRPr="006B7F39">
        <w:rPr>
          <w:rFonts w:eastAsia="Palatino Linotype" w:cs="Palatino Linotype"/>
        </w:rPr>
        <w:t xml:space="preserve"> atender las solicitudes de acceso a la información pública que se les </w:t>
      </w:r>
      <w:r w:rsidR="00FA5957" w:rsidRPr="006B7F39">
        <w:rPr>
          <w:rFonts w:eastAsia="Palatino Linotype" w:cs="Palatino Linotype"/>
        </w:rPr>
        <w:t>sean realizadas,</w:t>
      </w:r>
      <w:r w:rsidRPr="006B7F39">
        <w:rPr>
          <w:rFonts w:eastAsia="Palatino Linotype" w:cs="Palatino Linotype"/>
        </w:rPr>
        <w:t xml:space="preserve"> y proporcionar la información pública que obre en su poder</w:t>
      </w:r>
      <w:r w:rsidR="00FA5957" w:rsidRPr="006B7F39">
        <w:rPr>
          <w:rFonts w:eastAsia="Palatino Linotype" w:cs="Palatino Linotype"/>
        </w:rPr>
        <w:t>,</w:t>
      </w:r>
      <w:r w:rsidRPr="006B7F39">
        <w:rPr>
          <w:rFonts w:eastAsia="Palatino Linotype" w:cs="Palatino Linotype"/>
        </w:rPr>
        <w:t xml:space="preserve"> conforme </w:t>
      </w:r>
      <w:r w:rsidR="00FA5957" w:rsidRPr="006B7F39">
        <w:rPr>
          <w:rFonts w:eastAsia="Palatino Linotype" w:cs="Palatino Linotype"/>
        </w:rPr>
        <w:t>a</w:t>
      </w:r>
      <w:r w:rsidRPr="006B7F39">
        <w:rPr>
          <w:rFonts w:eastAsia="Palatino Linotype" w:cs="Palatino Linotype"/>
        </w:rPr>
        <w:t xml:space="preserve">l estado </w:t>
      </w:r>
      <w:r w:rsidR="00FA5957" w:rsidRPr="006B7F39">
        <w:rPr>
          <w:rFonts w:eastAsia="Palatino Linotype" w:cs="Palatino Linotype"/>
        </w:rPr>
        <w:t xml:space="preserve">en </w:t>
      </w:r>
      <w:r w:rsidRPr="006B7F39">
        <w:rPr>
          <w:rFonts w:eastAsia="Palatino Linotype" w:cs="Palatino Linotype"/>
        </w:rPr>
        <w:t>que se encuentr</w:t>
      </w:r>
      <w:r w:rsidR="00FA5957" w:rsidRPr="006B7F39">
        <w:rPr>
          <w:rFonts w:eastAsia="Palatino Linotype" w:cs="Palatino Linotype"/>
        </w:rPr>
        <w:t>e, sin que sea necesario</w:t>
      </w:r>
      <w:r w:rsidRPr="006B7F39">
        <w:rPr>
          <w:rFonts w:eastAsia="Palatino Linotype" w:cs="Palatino Linotype"/>
        </w:rPr>
        <w:t xml:space="preserve"> </w:t>
      </w:r>
      <w:r w:rsidR="00FA5957" w:rsidRPr="006B7F39">
        <w:rPr>
          <w:rFonts w:eastAsia="Palatino Linotype" w:cs="Palatino Linotype"/>
        </w:rPr>
        <w:t>procesar</w:t>
      </w:r>
      <w:r w:rsidRPr="006B7F39">
        <w:rPr>
          <w:rFonts w:eastAsia="Palatino Linotype" w:cs="Palatino Linotype"/>
        </w:rPr>
        <w:t xml:space="preserve"> la misma, ni presentarla conforme al interés del solicitante; </w:t>
      </w:r>
      <w:r w:rsidR="00FA5957" w:rsidRPr="006B7F39">
        <w:rPr>
          <w:rFonts w:eastAsia="Palatino Linotype" w:cs="Palatino Linotype"/>
        </w:rPr>
        <w:t>tal y como</w:t>
      </w:r>
      <w:r w:rsidRPr="006B7F39">
        <w:rPr>
          <w:rFonts w:eastAsia="Palatino Linotype" w:cs="Palatino Linotype"/>
        </w:rPr>
        <w:t xml:space="preserve"> lo establece el artículo 12 de la Ley de Transparencia y Acceso a la Información Pública del Estado de México y Municipios</w:t>
      </w:r>
      <w:r w:rsidR="00970EB3" w:rsidRPr="006B7F39">
        <w:rPr>
          <w:rFonts w:eastAsia="Palatino Linotype" w:cs="Palatino Linotype"/>
        </w:rPr>
        <w:t>.</w:t>
      </w:r>
    </w:p>
    <w:p w14:paraId="73245195" w14:textId="77777777" w:rsidR="00970EB3" w:rsidRPr="006B7F39" w:rsidRDefault="00970EB3" w:rsidP="006B7F39">
      <w:pPr>
        <w:rPr>
          <w:rFonts w:eastAsia="Palatino Linotype" w:cs="Palatino Linotype"/>
        </w:rPr>
      </w:pPr>
    </w:p>
    <w:p w14:paraId="7F62D4DF" w14:textId="775730E1" w:rsidR="001A58B3" w:rsidRPr="006B7F39" w:rsidRDefault="001A58B3" w:rsidP="006B7F39">
      <w:pPr>
        <w:rPr>
          <w:rFonts w:eastAsia="Palatino Linotype" w:cs="Palatino Linotype"/>
        </w:rPr>
      </w:pPr>
      <w:r w:rsidRPr="006B7F39">
        <w:rPr>
          <w:rFonts w:eastAsia="Palatino Linotype" w:cs="Palatino Linotype"/>
        </w:rPr>
        <w:t>Es decir, que todo sujeto obligado que genere, recopile, administre, procese, archive, posea o conserven, son responsables de la misma</w:t>
      </w:r>
      <w:r w:rsidR="00970EB3" w:rsidRPr="006B7F39">
        <w:rPr>
          <w:rFonts w:eastAsia="Palatino Linotype" w:cs="Palatino Linotype"/>
        </w:rPr>
        <w:t>,</w:t>
      </w:r>
      <w:r w:rsidRPr="006B7F3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B7F39">
        <w:rPr>
          <w:rFonts w:eastAsia="Palatino Linotype" w:cs="Palatino Linotype"/>
        </w:rPr>
        <w:t>o</w:t>
      </w:r>
      <w:r w:rsidRPr="006B7F3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B7F39" w:rsidRDefault="001A58B3" w:rsidP="006B7F39">
      <w:pPr>
        <w:rPr>
          <w:rFonts w:eastAsia="Palatino Linotype" w:cs="Palatino Linotype"/>
        </w:rPr>
      </w:pPr>
    </w:p>
    <w:p w14:paraId="04E42DFE" w14:textId="573F1198" w:rsidR="001A58B3" w:rsidRPr="006B7F39" w:rsidRDefault="001A58B3" w:rsidP="006B7F39">
      <w:pPr>
        <w:rPr>
          <w:rFonts w:eastAsia="Palatino Linotype" w:cs="Palatino Linotype"/>
        </w:rPr>
      </w:pPr>
      <w:r w:rsidRPr="006B7F3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B7F39">
        <w:rPr>
          <w:rFonts w:eastAsia="Palatino Linotype" w:cs="Palatino Linotype"/>
        </w:rPr>
        <w:t>, s</w:t>
      </w:r>
      <w:r w:rsidRPr="006B7F39">
        <w:rPr>
          <w:rFonts w:eastAsia="Palatino Linotype" w:cs="Palatino Linotype"/>
        </w:rPr>
        <w:t xml:space="preserve">iempre y cuando no se trate de información reservada o </w:t>
      </w:r>
      <w:r w:rsidR="00331F35" w:rsidRPr="006B7F39">
        <w:rPr>
          <w:rFonts w:eastAsia="Palatino Linotype" w:cs="Palatino Linotype"/>
        </w:rPr>
        <w:t>confidencial.</w:t>
      </w:r>
    </w:p>
    <w:p w14:paraId="40C5219F" w14:textId="77777777" w:rsidR="001A58B3" w:rsidRPr="006B7F39" w:rsidRDefault="001A58B3" w:rsidP="006B7F39">
      <w:pPr>
        <w:rPr>
          <w:rFonts w:eastAsia="Palatino Linotype" w:cs="Palatino Linotype"/>
        </w:rPr>
      </w:pPr>
    </w:p>
    <w:p w14:paraId="2E629608" w14:textId="01727E15" w:rsidR="00C049E2" w:rsidRPr="006B7F39" w:rsidRDefault="006067C7" w:rsidP="006B7F39">
      <w:pPr>
        <w:rPr>
          <w:rFonts w:eastAsia="Palatino Linotype"/>
        </w:rPr>
      </w:pPr>
      <w:bookmarkStart w:id="30" w:name="_heading=h.2s8eyo1" w:colFirst="0" w:colLast="0"/>
      <w:bookmarkEnd w:id="30"/>
      <w:r w:rsidRPr="006B7F39">
        <w:rPr>
          <w:rFonts w:eastAsia="Palatino Linotype"/>
        </w:rPr>
        <w:t>Con base en lo anterior</w:t>
      </w:r>
      <w:r w:rsidR="00B22A80" w:rsidRPr="006B7F39">
        <w:rPr>
          <w:rFonts w:eastAsia="Palatino Linotype"/>
        </w:rPr>
        <w:t>, se considera que</w:t>
      </w:r>
      <w:r w:rsidR="00C049E2" w:rsidRPr="006B7F39">
        <w:rPr>
          <w:rFonts w:eastAsia="Palatino Linotype"/>
        </w:rPr>
        <w:t xml:space="preserve"> </w:t>
      </w:r>
      <w:r w:rsidR="00B22A80" w:rsidRPr="006B7F39">
        <w:rPr>
          <w:rFonts w:eastAsia="Palatino Linotype"/>
          <w:b/>
          <w:bCs/>
        </w:rPr>
        <w:t>EL</w:t>
      </w:r>
      <w:r w:rsidR="00C049E2" w:rsidRPr="006B7F39">
        <w:rPr>
          <w:rFonts w:eastAsia="Palatino Linotype"/>
        </w:rPr>
        <w:t xml:space="preserve"> </w:t>
      </w:r>
      <w:r w:rsidR="00C049E2" w:rsidRPr="006B7F39">
        <w:rPr>
          <w:rFonts w:eastAsia="Palatino Linotype"/>
          <w:b/>
        </w:rPr>
        <w:t>SUJETO OBLIGADO</w:t>
      </w:r>
      <w:r w:rsidR="00C049E2" w:rsidRPr="006B7F39">
        <w:rPr>
          <w:rFonts w:eastAsia="Palatino Linotype"/>
        </w:rPr>
        <w:t xml:space="preserve"> </w:t>
      </w:r>
      <w:r w:rsidR="00B22A80" w:rsidRPr="006B7F39">
        <w:rPr>
          <w:rFonts w:eastAsia="Palatino Linotype"/>
        </w:rPr>
        <w:t xml:space="preserve">se </w:t>
      </w:r>
      <w:r w:rsidR="00717E59" w:rsidRPr="006B7F39">
        <w:rPr>
          <w:rFonts w:eastAsia="Palatino Linotype"/>
        </w:rPr>
        <w:t>encontraba</w:t>
      </w:r>
      <w:r w:rsidR="00B22A80" w:rsidRPr="006B7F39">
        <w:rPr>
          <w:rFonts w:eastAsia="Palatino Linotype"/>
        </w:rPr>
        <w:t xml:space="preserve"> compelido a</w:t>
      </w:r>
      <w:r w:rsidR="00C049E2" w:rsidRPr="006B7F39">
        <w:rPr>
          <w:rFonts w:eastAsia="Palatino Linotype"/>
        </w:rPr>
        <w:t xml:space="preserve"> atender la solicitud de acceso a la información </w:t>
      </w:r>
      <w:r w:rsidR="00B22A80" w:rsidRPr="006B7F39">
        <w:rPr>
          <w:rFonts w:eastAsia="Palatino Linotype"/>
        </w:rPr>
        <w:t xml:space="preserve">realizada por </w:t>
      </w:r>
      <w:r w:rsidR="00B22A80" w:rsidRPr="006B7F39">
        <w:rPr>
          <w:rFonts w:eastAsia="Palatino Linotype"/>
          <w:b/>
          <w:bCs/>
        </w:rPr>
        <w:t>LA PARTE RECURRENTE</w:t>
      </w:r>
      <w:r w:rsidR="00331F35" w:rsidRPr="006B7F39">
        <w:rPr>
          <w:rFonts w:eastAsia="Palatino Linotype"/>
        </w:rPr>
        <w:t>.</w:t>
      </w:r>
    </w:p>
    <w:p w14:paraId="1611F147" w14:textId="77777777" w:rsidR="00BD5A7C" w:rsidRPr="006B7F39" w:rsidRDefault="00BD5A7C" w:rsidP="006B7F39">
      <w:pPr>
        <w:rPr>
          <w:rFonts w:eastAsia="Palatino Linotype"/>
        </w:rPr>
      </w:pPr>
    </w:p>
    <w:p w14:paraId="51A0E8B4" w14:textId="676DCA47" w:rsidR="00664420" w:rsidRPr="006B7F39" w:rsidRDefault="00C71CEF" w:rsidP="006B7F39">
      <w:pPr>
        <w:pStyle w:val="Ttulo3"/>
        <w:rPr>
          <w:rFonts w:eastAsia="Calibri"/>
          <w:lang w:eastAsia="es-ES_tradnl"/>
        </w:rPr>
      </w:pPr>
      <w:bookmarkStart w:id="31" w:name="_Toc179394293"/>
      <w:r w:rsidRPr="006B7F39">
        <w:rPr>
          <w:rFonts w:eastAsia="Calibri"/>
          <w:lang w:eastAsia="es-ES_tradnl"/>
        </w:rPr>
        <w:t>b)</w:t>
      </w:r>
      <w:r w:rsidR="00A53315" w:rsidRPr="006B7F39">
        <w:rPr>
          <w:rFonts w:eastAsia="Calibri"/>
          <w:lang w:eastAsia="es-ES_tradnl"/>
        </w:rPr>
        <w:t xml:space="preserve"> </w:t>
      </w:r>
      <w:r w:rsidR="00A21A20" w:rsidRPr="006B7F39">
        <w:rPr>
          <w:rFonts w:eastAsia="Calibri"/>
          <w:lang w:eastAsia="es-ES_tradnl"/>
        </w:rPr>
        <w:t>Controversia a resolver</w:t>
      </w:r>
      <w:bookmarkEnd w:id="31"/>
    </w:p>
    <w:p w14:paraId="5F978E81" w14:textId="051DDC8E" w:rsidR="00101093" w:rsidRPr="006B7F39" w:rsidRDefault="00664420" w:rsidP="006B7F39">
      <w:pPr>
        <w:rPr>
          <w:rFonts w:cs="Arial"/>
        </w:rPr>
      </w:pPr>
      <w:r w:rsidRPr="006B7F39">
        <w:rPr>
          <w:rFonts w:eastAsia="Calibri"/>
          <w:lang w:eastAsia="es-ES_tradnl"/>
        </w:rPr>
        <w:t xml:space="preserve">Con el objeto de ilustrar la controversia planteada, </w:t>
      </w:r>
      <w:r w:rsidR="00101093" w:rsidRPr="006B7F39">
        <w:rPr>
          <w:rFonts w:cs="Arial"/>
        </w:rPr>
        <w:t xml:space="preserve">se procede a analizar si la respuesta del </w:t>
      </w:r>
      <w:r w:rsidR="00101093" w:rsidRPr="006B7F39">
        <w:rPr>
          <w:rFonts w:cs="Arial"/>
          <w:b/>
        </w:rPr>
        <w:t>SUJETO OBLIGADO</w:t>
      </w:r>
      <w:r w:rsidR="00101093" w:rsidRPr="006B7F39">
        <w:rPr>
          <w:rFonts w:cs="Arial"/>
        </w:rPr>
        <w:t xml:space="preserve"> cumple con los requisitos del Derecho de Acceso a la Información Pública, por lo que, para efectos de mejor estudio y comprensión, conviene citar las solicitudes de </w:t>
      </w:r>
      <w:r w:rsidR="00101093" w:rsidRPr="006B7F39">
        <w:rPr>
          <w:b/>
          <w:bCs/>
        </w:rPr>
        <w:t>LA PARTE RECURRENTE</w:t>
      </w:r>
      <w:r w:rsidR="00101093" w:rsidRPr="006B7F39">
        <w:rPr>
          <w:rFonts w:cs="Arial"/>
        </w:rPr>
        <w:t xml:space="preserve">, así como, la respuesta otorgada e informe justificado rendido por </w:t>
      </w:r>
      <w:r w:rsidR="00101093" w:rsidRPr="006B7F39">
        <w:rPr>
          <w:rFonts w:cs="Arial"/>
          <w:b/>
        </w:rPr>
        <w:t xml:space="preserve">EL SUJETO OBLIGADO, </w:t>
      </w:r>
      <w:r w:rsidR="00101093" w:rsidRPr="006B7F39">
        <w:rPr>
          <w:rFonts w:cs="Arial"/>
        </w:rPr>
        <w:t>motivo por el cual se realiza la siguiente tabla, para mayor entendimiento:</w:t>
      </w:r>
    </w:p>
    <w:p w14:paraId="5442CC0B" w14:textId="77777777" w:rsidR="00101093" w:rsidRPr="006B7F39" w:rsidRDefault="00101093" w:rsidP="006B7F39">
      <w:pPr>
        <w:pStyle w:val="Prrafodelista"/>
        <w:widowControl w:val="0"/>
        <w:autoSpaceDE w:val="0"/>
        <w:autoSpaceDN w:val="0"/>
        <w:adjustRightInd w:val="0"/>
        <w:ind w:left="0"/>
        <w:rPr>
          <w:rFonts w:eastAsia="Palatino Linotype" w:cs="Palatino Linotype"/>
        </w:rPr>
      </w:pPr>
    </w:p>
    <w:tbl>
      <w:tblPr>
        <w:tblStyle w:val="Tablaconcuadrcula"/>
        <w:tblW w:w="9067" w:type="dxa"/>
        <w:shd w:val="pct12" w:color="auto" w:fill="auto"/>
        <w:tblLayout w:type="fixed"/>
        <w:tblLook w:val="04A0" w:firstRow="1" w:lastRow="0" w:firstColumn="1" w:lastColumn="0" w:noHBand="0" w:noVBand="1"/>
      </w:tblPr>
      <w:tblGrid>
        <w:gridCol w:w="2405"/>
        <w:gridCol w:w="2268"/>
        <w:gridCol w:w="2126"/>
        <w:gridCol w:w="2268"/>
      </w:tblGrid>
      <w:tr w:rsidR="006B7F39" w:rsidRPr="006B7F39" w14:paraId="0241B15A" w14:textId="77777777" w:rsidTr="00350198">
        <w:trPr>
          <w:tblHeader/>
        </w:trPr>
        <w:tc>
          <w:tcPr>
            <w:tcW w:w="2405" w:type="dxa"/>
            <w:tcBorders>
              <w:bottom w:val="single" w:sz="4" w:space="0" w:color="auto"/>
            </w:tcBorders>
            <w:shd w:val="pct12" w:color="auto" w:fill="auto"/>
            <w:vAlign w:val="center"/>
          </w:tcPr>
          <w:p w14:paraId="2AD6C10A" w14:textId="77777777" w:rsidR="00101093" w:rsidRPr="006B7F39" w:rsidRDefault="00101093" w:rsidP="006B7F39">
            <w:pPr>
              <w:pStyle w:val="Prrafodelista"/>
              <w:widowControl w:val="0"/>
              <w:autoSpaceDE w:val="0"/>
              <w:autoSpaceDN w:val="0"/>
              <w:adjustRightInd w:val="0"/>
              <w:spacing w:line="240" w:lineRule="auto"/>
              <w:ind w:left="0"/>
              <w:jc w:val="center"/>
              <w:rPr>
                <w:rFonts w:cs="Arial"/>
              </w:rPr>
            </w:pPr>
            <w:r w:rsidRPr="006B7F39">
              <w:rPr>
                <w:rFonts w:cs="Arial"/>
                <w:b/>
              </w:rPr>
              <w:t>Solicitud</w:t>
            </w:r>
          </w:p>
        </w:tc>
        <w:tc>
          <w:tcPr>
            <w:tcW w:w="2268" w:type="dxa"/>
            <w:tcBorders>
              <w:bottom w:val="single" w:sz="4" w:space="0" w:color="auto"/>
            </w:tcBorders>
            <w:shd w:val="pct12" w:color="auto" w:fill="auto"/>
            <w:vAlign w:val="center"/>
          </w:tcPr>
          <w:p w14:paraId="0BB87786" w14:textId="77777777" w:rsidR="00101093" w:rsidRPr="006B7F39" w:rsidRDefault="00101093" w:rsidP="006B7F39">
            <w:pPr>
              <w:pStyle w:val="Prrafodelista"/>
              <w:widowControl w:val="0"/>
              <w:autoSpaceDE w:val="0"/>
              <w:autoSpaceDN w:val="0"/>
              <w:adjustRightInd w:val="0"/>
              <w:spacing w:line="240" w:lineRule="auto"/>
              <w:ind w:left="0"/>
              <w:jc w:val="center"/>
              <w:rPr>
                <w:rFonts w:cs="Arial"/>
              </w:rPr>
            </w:pPr>
            <w:r w:rsidRPr="006B7F39">
              <w:rPr>
                <w:rFonts w:cs="Arial"/>
                <w:b/>
              </w:rPr>
              <w:t>Respuesta</w:t>
            </w:r>
          </w:p>
        </w:tc>
        <w:tc>
          <w:tcPr>
            <w:tcW w:w="2126" w:type="dxa"/>
            <w:tcBorders>
              <w:bottom w:val="single" w:sz="4" w:space="0" w:color="auto"/>
            </w:tcBorders>
            <w:shd w:val="pct12" w:color="auto" w:fill="auto"/>
          </w:tcPr>
          <w:p w14:paraId="42276C4C" w14:textId="666CDFAC" w:rsidR="00101093" w:rsidRPr="006B7F39" w:rsidRDefault="00350198" w:rsidP="006B7F39">
            <w:pPr>
              <w:pStyle w:val="Prrafodelista"/>
              <w:widowControl w:val="0"/>
              <w:autoSpaceDE w:val="0"/>
              <w:autoSpaceDN w:val="0"/>
              <w:adjustRightInd w:val="0"/>
              <w:spacing w:line="240" w:lineRule="auto"/>
              <w:ind w:left="0"/>
              <w:jc w:val="center"/>
              <w:rPr>
                <w:rFonts w:cs="Arial"/>
                <w:b/>
              </w:rPr>
            </w:pPr>
            <w:r w:rsidRPr="006B7F39">
              <w:rPr>
                <w:rFonts w:cs="Arial"/>
                <w:b/>
              </w:rPr>
              <w:t xml:space="preserve">Informe Justificado </w:t>
            </w:r>
          </w:p>
        </w:tc>
        <w:tc>
          <w:tcPr>
            <w:tcW w:w="2268" w:type="dxa"/>
            <w:tcBorders>
              <w:bottom w:val="single" w:sz="4" w:space="0" w:color="auto"/>
            </w:tcBorders>
            <w:shd w:val="pct12" w:color="auto" w:fill="auto"/>
            <w:vAlign w:val="center"/>
          </w:tcPr>
          <w:p w14:paraId="3ECE0FD2" w14:textId="712C0E24" w:rsidR="00101093" w:rsidRPr="006B7F39" w:rsidRDefault="00101093" w:rsidP="006B7F39">
            <w:pPr>
              <w:pStyle w:val="Prrafodelista"/>
              <w:widowControl w:val="0"/>
              <w:autoSpaceDE w:val="0"/>
              <w:autoSpaceDN w:val="0"/>
              <w:adjustRightInd w:val="0"/>
              <w:spacing w:line="240" w:lineRule="auto"/>
              <w:ind w:left="0"/>
              <w:jc w:val="center"/>
              <w:rPr>
                <w:rFonts w:cs="Arial"/>
              </w:rPr>
            </w:pPr>
            <w:r w:rsidRPr="006B7F39">
              <w:rPr>
                <w:rFonts w:cs="Arial"/>
                <w:b/>
              </w:rPr>
              <w:t>Colma Si/No</w:t>
            </w:r>
          </w:p>
        </w:tc>
      </w:tr>
      <w:tr w:rsidR="006B7F39" w:rsidRPr="006B7F39" w14:paraId="12780A5E" w14:textId="77777777" w:rsidTr="00A10B4F">
        <w:trPr>
          <w:tblHeader/>
        </w:trPr>
        <w:tc>
          <w:tcPr>
            <w:tcW w:w="9067" w:type="dxa"/>
            <w:gridSpan w:val="4"/>
            <w:tcBorders>
              <w:bottom w:val="single" w:sz="4" w:space="0" w:color="auto"/>
            </w:tcBorders>
            <w:shd w:val="pct12" w:color="auto" w:fill="auto"/>
            <w:vAlign w:val="center"/>
          </w:tcPr>
          <w:p w14:paraId="5DE76E1C" w14:textId="2530BEBB" w:rsidR="00350198" w:rsidRPr="006B7F39" w:rsidRDefault="00350198" w:rsidP="006B7F39">
            <w:pPr>
              <w:widowControl w:val="0"/>
              <w:autoSpaceDE w:val="0"/>
              <w:autoSpaceDN w:val="0"/>
              <w:adjustRightInd w:val="0"/>
              <w:spacing w:line="240" w:lineRule="auto"/>
              <w:jc w:val="center"/>
              <w:rPr>
                <w:rFonts w:cs="Arial"/>
              </w:rPr>
            </w:pPr>
            <w:r w:rsidRPr="006B7F39">
              <w:rPr>
                <w:rFonts w:cs="Arial"/>
              </w:rPr>
              <w:t>DEL C. SERGIO LOPEZ MANJARREZ DEL AÑO 2024</w:t>
            </w:r>
          </w:p>
        </w:tc>
      </w:tr>
      <w:tr w:rsidR="006B7F39" w:rsidRPr="006B7F39" w14:paraId="336DADB1" w14:textId="77777777" w:rsidTr="00350198">
        <w:tc>
          <w:tcPr>
            <w:tcW w:w="2405" w:type="dxa"/>
            <w:shd w:val="clear" w:color="auto" w:fill="auto"/>
          </w:tcPr>
          <w:p w14:paraId="2C2DE181" w14:textId="3ECE769F"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 xml:space="preserve">Fecha de alta </w:t>
            </w:r>
          </w:p>
          <w:p w14:paraId="2D3D76CE" w14:textId="77777777" w:rsidR="00350198" w:rsidRPr="006B7F39" w:rsidRDefault="00350198" w:rsidP="006B7F39">
            <w:pPr>
              <w:spacing w:line="240" w:lineRule="auto"/>
              <w:rPr>
                <w:rFonts w:cs="Arial"/>
              </w:rPr>
            </w:pPr>
          </w:p>
        </w:tc>
        <w:tc>
          <w:tcPr>
            <w:tcW w:w="2268" w:type="dxa"/>
            <w:vMerge w:val="restart"/>
            <w:shd w:val="clear" w:color="auto" w:fill="auto"/>
          </w:tcPr>
          <w:p w14:paraId="2A037DA7" w14:textId="5A704DC6" w:rsidR="00350198" w:rsidRPr="006B7F39" w:rsidRDefault="00350198" w:rsidP="006B7F39">
            <w:pPr>
              <w:autoSpaceDE w:val="0"/>
              <w:autoSpaceDN w:val="0"/>
              <w:adjustRightInd w:val="0"/>
              <w:spacing w:line="240" w:lineRule="auto"/>
              <w:ind w:right="-28"/>
              <w:rPr>
                <w:rFonts w:cs="Tahoma"/>
                <w:b/>
                <w:i/>
                <w:szCs w:val="22"/>
              </w:rPr>
            </w:pPr>
            <w:r w:rsidRPr="006B7F39">
              <w:rPr>
                <w:rFonts w:cs="Tahoma"/>
                <w:szCs w:val="22"/>
              </w:rPr>
              <w:t xml:space="preserve">El Coordinador Administrativo, adjunta anexo número 21800005S-000907/2024, por medio del cual refiere que dentro de la Coordinación Administrativa, no encontró registro activo alguno relacionado con la persona referida en la solicitud. </w:t>
            </w:r>
          </w:p>
        </w:tc>
        <w:tc>
          <w:tcPr>
            <w:tcW w:w="2126" w:type="dxa"/>
          </w:tcPr>
          <w:p w14:paraId="2890A625" w14:textId="79CDB7A0" w:rsidR="00350198" w:rsidRPr="006B7F39" w:rsidRDefault="00350198" w:rsidP="006B7F39">
            <w:pPr>
              <w:autoSpaceDE w:val="0"/>
              <w:autoSpaceDN w:val="0"/>
              <w:adjustRightInd w:val="0"/>
              <w:spacing w:line="240" w:lineRule="auto"/>
              <w:ind w:right="-28"/>
              <w:rPr>
                <w:rFonts w:cs="Tahoma"/>
                <w:szCs w:val="22"/>
              </w:rPr>
            </w:pPr>
            <w:r w:rsidRPr="006B7F39">
              <w:rPr>
                <w:rFonts w:cs="Tahoma"/>
                <w:szCs w:val="22"/>
              </w:rPr>
              <w:t>2 de mayo de 2024</w:t>
            </w:r>
          </w:p>
        </w:tc>
        <w:tc>
          <w:tcPr>
            <w:tcW w:w="2268" w:type="dxa"/>
            <w:shd w:val="clear" w:color="auto" w:fill="auto"/>
            <w:vAlign w:val="center"/>
          </w:tcPr>
          <w:p w14:paraId="688AE485" w14:textId="3482EC4A" w:rsidR="00350198" w:rsidRPr="006B7F39" w:rsidRDefault="00350198" w:rsidP="006B7F39">
            <w:pPr>
              <w:pStyle w:val="Prrafodelista"/>
              <w:widowControl w:val="0"/>
              <w:autoSpaceDE w:val="0"/>
              <w:autoSpaceDN w:val="0"/>
              <w:adjustRightInd w:val="0"/>
              <w:spacing w:line="240" w:lineRule="auto"/>
              <w:ind w:left="0"/>
              <w:jc w:val="center"/>
              <w:rPr>
                <w:rFonts w:cs="Arial"/>
                <w:b/>
              </w:rPr>
            </w:pPr>
            <w:r w:rsidRPr="006B7F39">
              <w:rPr>
                <w:rFonts w:cs="Arial"/>
                <w:b/>
              </w:rPr>
              <w:t>Sí</w:t>
            </w:r>
          </w:p>
        </w:tc>
      </w:tr>
      <w:tr w:rsidR="006B7F39" w:rsidRPr="006B7F39" w14:paraId="7B38F2B5" w14:textId="77777777" w:rsidTr="00A10B4F">
        <w:tc>
          <w:tcPr>
            <w:tcW w:w="2405" w:type="dxa"/>
            <w:shd w:val="clear" w:color="auto" w:fill="auto"/>
          </w:tcPr>
          <w:p w14:paraId="777F7A7C" w14:textId="1E5E6495"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 xml:space="preserve">Categoría </w:t>
            </w:r>
          </w:p>
        </w:tc>
        <w:tc>
          <w:tcPr>
            <w:tcW w:w="2268" w:type="dxa"/>
            <w:vMerge/>
            <w:shd w:val="clear" w:color="auto" w:fill="auto"/>
          </w:tcPr>
          <w:p w14:paraId="708AECDE" w14:textId="77777777" w:rsidR="00350198" w:rsidRPr="006B7F39" w:rsidRDefault="00350198" w:rsidP="006B7F39">
            <w:pPr>
              <w:widowControl w:val="0"/>
              <w:autoSpaceDE w:val="0"/>
              <w:autoSpaceDN w:val="0"/>
              <w:adjustRightInd w:val="0"/>
              <w:spacing w:line="240" w:lineRule="auto"/>
              <w:rPr>
                <w:rFonts w:cs="Arial"/>
              </w:rPr>
            </w:pPr>
          </w:p>
        </w:tc>
        <w:tc>
          <w:tcPr>
            <w:tcW w:w="2126" w:type="dxa"/>
          </w:tcPr>
          <w:p w14:paraId="1CADEA60" w14:textId="77B004CE" w:rsidR="00350198" w:rsidRPr="006B7F39" w:rsidRDefault="00350198" w:rsidP="006B7F39">
            <w:pPr>
              <w:autoSpaceDE w:val="0"/>
              <w:autoSpaceDN w:val="0"/>
              <w:adjustRightInd w:val="0"/>
              <w:spacing w:line="240" w:lineRule="auto"/>
              <w:ind w:right="-28"/>
              <w:rPr>
                <w:rFonts w:cs="Tahoma"/>
                <w:szCs w:val="22"/>
              </w:rPr>
            </w:pPr>
            <w:r w:rsidRPr="006B7F39">
              <w:rPr>
                <w:rFonts w:cs="Tahoma"/>
                <w:szCs w:val="22"/>
              </w:rPr>
              <w:t xml:space="preserve">Director de área </w:t>
            </w:r>
          </w:p>
        </w:tc>
        <w:tc>
          <w:tcPr>
            <w:tcW w:w="2268" w:type="dxa"/>
            <w:shd w:val="clear" w:color="auto" w:fill="auto"/>
          </w:tcPr>
          <w:p w14:paraId="570523BD" w14:textId="3462B4D4" w:rsidR="00350198" w:rsidRPr="006B7F39" w:rsidRDefault="00350198" w:rsidP="006B7F39">
            <w:pPr>
              <w:pStyle w:val="Prrafodelista"/>
              <w:widowControl w:val="0"/>
              <w:autoSpaceDE w:val="0"/>
              <w:autoSpaceDN w:val="0"/>
              <w:adjustRightInd w:val="0"/>
              <w:spacing w:line="240" w:lineRule="auto"/>
              <w:ind w:left="0"/>
              <w:jc w:val="center"/>
              <w:rPr>
                <w:rFonts w:cs="Arial"/>
                <w:b/>
              </w:rPr>
            </w:pPr>
            <w:r w:rsidRPr="006B7F39">
              <w:rPr>
                <w:rFonts w:cs="Arial"/>
                <w:b/>
              </w:rPr>
              <w:t>Sí</w:t>
            </w:r>
          </w:p>
        </w:tc>
      </w:tr>
      <w:tr w:rsidR="006B7F39" w:rsidRPr="006B7F39" w14:paraId="637771D0" w14:textId="77777777" w:rsidTr="00A10B4F">
        <w:tc>
          <w:tcPr>
            <w:tcW w:w="2405" w:type="dxa"/>
            <w:shd w:val="clear" w:color="auto" w:fill="auto"/>
          </w:tcPr>
          <w:p w14:paraId="07E030B1" w14:textId="78561F10"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 xml:space="preserve">Sueldo </w:t>
            </w:r>
          </w:p>
        </w:tc>
        <w:tc>
          <w:tcPr>
            <w:tcW w:w="2268" w:type="dxa"/>
            <w:vMerge/>
            <w:shd w:val="clear" w:color="auto" w:fill="auto"/>
          </w:tcPr>
          <w:p w14:paraId="3EB89CF7" w14:textId="77777777" w:rsidR="00350198" w:rsidRPr="006B7F39" w:rsidRDefault="00350198" w:rsidP="006B7F39">
            <w:pPr>
              <w:widowControl w:val="0"/>
              <w:autoSpaceDE w:val="0"/>
              <w:autoSpaceDN w:val="0"/>
              <w:adjustRightInd w:val="0"/>
              <w:spacing w:line="240" w:lineRule="auto"/>
              <w:rPr>
                <w:rFonts w:cs="Arial"/>
              </w:rPr>
            </w:pPr>
          </w:p>
        </w:tc>
        <w:tc>
          <w:tcPr>
            <w:tcW w:w="2126" w:type="dxa"/>
          </w:tcPr>
          <w:p w14:paraId="36770C95" w14:textId="6208E330" w:rsidR="00350198" w:rsidRPr="006B7F39" w:rsidRDefault="00ED45C7" w:rsidP="006B7F39">
            <w:pPr>
              <w:autoSpaceDE w:val="0"/>
              <w:autoSpaceDN w:val="0"/>
              <w:adjustRightInd w:val="0"/>
              <w:spacing w:line="240" w:lineRule="auto"/>
              <w:ind w:right="-28"/>
              <w:rPr>
                <w:rFonts w:cs="Tahoma"/>
                <w:szCs w:val="22"/>
              </w:rPr>
            </w:pPr>
            <w:r w:rsidRPr="006B7F39">
              <w:rPr>
                <w:rFonts w:cs="Tahoma"/>
                <w:szCs w:val="22"/>
              </w:rPr>
              <w:t>Sueldo bruto: $42,735.80</w:t>
            </w:r>
          </w:p>
          <w:p w14:paraId="4B6A7F14" w14:textId="0A00A1D3" w:rsidR="00ED45C7" w:rsidRPr="006B7F39" w:rsidRDefault="00ED45C7" w:rsidP="006B7F39">
            <w:pPr>
              <w:autoSpaceDE w:val="0"/>
              <w:autoSpaceDN w:val="0"/>
              <w:adjustRightInd w:val="0"/>
              <w:spacing w:line="240" w:lineRule="auto"/>
              <w:ind w:right="-28"/>
              <w:rPr>
                <w:rFonts w:cs="Tahoma"/>
                <w:szCs w:val="22"/>
              </w:rPr>
            </w:pPr>
            <w:r w:rsidRPr="006B7F39">
              <w:rPr>
                <w:rFonts w:cs="Tahoma"/>
                <w:szCs w:val="22"/>
              </w:rPr>
              <w:t>Sueldo neto: $30,443.64</w:t>
            </w:r>
          </w:p>
        </w:tc>
        <w:tc>
          <w:tcPr>
            <w:tcW w:w="2268" w:type="dxa"/>
            <w:shd w:val="clear" w:color="auto" w:fill="auto"/>
          </w:tcPr>
          <w:p w14:paraId="4F9A09D1" w14:textId="6A40B90D" w:rsidR="00ED45C7" w:rsidRPr="006B7F39" w:rsidRDefault="00ED45C7" w:rsidP="006B7F39">
            <w:pPr>
              <w:pStyle w:val="Prrafodelista"/>
              <w:widowControl w:val="0"/>
              <w:autoSpaceDE w:val="0"/>
              <w:autoSpaceDN w:val="0"/>
              <w:adjustRightInd w:val="0"/>
              <w:spacing w:line="240" w:lineRule="auto"/>
              <w:ind w:left="0"/>
              <w:jc w:val="center"/>
              <w:rPr>
                <w:rFonts w:cs="Arial"/>
                <w:b/>
              </w:rPr>
            </w:pPr>
            <w:r w:rsidRPr="006B7F39">
              <w:rPr>
                <w:rFonts w:cs="Arial"/>
                <w:b/>
              </w:rPr>
              <w:t xml:space="preserve">No, al no precisar si corresponde al sueldo mensual o quincenal </w:t>
            </w:r>
          </w:p>
        </w:tc>
      </w:tr>
      <w:tr w:rsidR="006B7F39" w:rsidRPr="006B7F39" w14:paraId="772F8C20" w14:textId="77777777" w:rsidTr="00A10B4F">
        <w:tc>
          <w:tcPr>
            <w:tcW w:w="2405" w:type="dxa"/>
            <w:shd w:val="clear" w:color="auto" w:fill="auto"/>
          </w:tcPr>
          <w:p w14:paraId="725F1DC0" w14:textId="7A0B6A02"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 xml:space="preserve">Área de adscripción </w:t>
            </w:r>
          </w:p>
        </w:tc>
        <w:tc>
          <w:tcPr>
            <w:tcW w:w="2268" w:type="dxa"/>
            <w:vMerge/>
            <w:shd w:val="clear" w:color="auto" w:fill="auto"/>
          </w:tcPr>
          <w:p w14:paraId="460535C7" w14:textId="77777777" w:rsidR="00350198" w:rsidRPr="006B7F39" w:rsidRDefault="00350198" w:rsidP="006B7F39">
            <w:pPr>
              <w:widowControl w:val="0"/>
              <w:autoSpaceDE w:val="0"/>
              <w:autoSpaceDN w:val="0"/>
              <w:adjustRightInd w:val="0"/>
              <w:spacing w:line="240" w:lineRule="auto"/>
              <w:rPr>
                <w:rFonts w:cs="Arial"/>
              </w:rPr>
            </w:pPr>
          </w:p>
        </w:tc>
        <w:tc>
          <w:tcPr>
            <w:tcW w:w="2126" w:type="dxa"/>
          </w:tcPr>
          <w:p w14:paraId="50ECE3D7" w14:textId="468A831D" w:rsidR="00350198" w:rsidRPr="006B7F39" w:rsidRDefault="00ED45C7" w:rsidP="006B7F39">
            <w:pPr>
              <w:autoSpaceDE w:val="0"/>
              <w:autoSpaceDN w:val="0"/>
              <w:adjustRightInd w:val="0"/>
              <w:spacing w:line="240" w:lineRule="auto"/>
              <w:ind w:right="-28"/>
              <w:rPr>
                <w:rFonts w:cs="Tahoma"/>
                <w:szCs w:val="22"/>
              </w:rPr>
            </w:pPr>
            <w:r w:rsidRPr="006B7F39">
              <w:rPr>
                <w:rFonts w:cs="Tahoma"/>
                <w:szCs w:val="22"/>
              </w:rPr>
              <w:t xml:space="preserve">Dirección de Registro de Declaraciones y de Sanciones. </w:t>
            </w:r>
          </w:p>
        </w:tc>
        <w:tc>
          <w:tcPr>
            <w:tcW w:w="2268" w:type="dxa"/>
            <w:shd w:val="clear" w:color="auto" w:fill="auto"/>
          </w:tcPr>
          <w:p w14:paraId="2AED9310" w14:textId="639F7B3B" w:rsidR="00350198" w:rsidRPr="006B7F39" w:rsidRDefault="00350198" w:rsidP="006B7F39">
            <w:pPr>
              <w:pStyle w:val="Prrafodelista"/>
              <w:widowControl w:val="0"/>
              <w:autoSpaceDE w:val="0"/>
              <w:autoSpaceDN w:val="0"/>
              <w:adjustRightInd w:val="0"/>
              <w:spacing w:line="240" w:lineRule="auto"/>
              <w:ind w:left="0"/>
              <w:jc w:val="center"/>
              <w:rPr>
                <w:rFonts w:cs="Arial"/>
                <w:b/>
              </w:rPr>
            </w:pPr>
            <w:r w:rsidRPr="006B7F39">
              <w:rPr>
                <w:rFonts w:cs="Arial"/>
                <w:b/>
              </w:rPr>
              <w:t>Sí</w:t>
            </w:r>
          </w:p>
        </w:tc>
      </w:tr>
      <w:tr w:rsidR="006B7F39" w:rsidRPr="006B7F39" w14:paraId="15393CFC" w14:textId="77777777" w:rsidTr="00A10B4F">
        <w:tc>
          <w:tcPr>
            <w:tcW w:w="2405" w:type="dxa"/>
            <w:shd w:val="clear" w:color="auto" w:fill="auto"/>
          </w:tcPr>
          <w:p w14:paraId="22BA1AB3" w14:textId="4FE539F5"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 xml:space="preserve">Registro de asistencia. </w:t>
            </w:r>
          </w:p>
        </w:tc>
        <w:tc>
          <w:tcPr>
            <w:tcW w:w="2268" w:type="dxa"/>
            <w:vMerge/>
            <w:shd w:val="clear" w:color="auto" w:fill="auto"/>
          </w:tcPr>
          <w:p w14:paraId="589EF9ED" w14:textId="77777777" w:rsidR="00350198" w:rsidRPr="006B7F39" w:rsidRDefault="00350198" w:rsidP="006B7F39">
            <w:pPr>
              <w:widowControl w:val="0"/>
              <w:autoSpaceDE w:val="0"/>
              <w:autoSpaceDN w:val="0"/>
              <w:adjustRightInd w:val="0"/>
              <w:spacing w:line="240" w:lineRule="auto"/>
              <w:rPr>
                <w:rFonts w:cs="Arial"/>
              </w:rPr>
            </w:pPr>
          </w:p>
        </w:tc>
        <w:tc>
          <w:tcPr>
            <w:tcW w:w="2126" w:type="dxa"/>
          </w:tcPr>
          <w:p w14:paraId="65E6EA76" w14:textId="060ED8B0" w:rsidR="00350198" w:rsidRPr="006B7F39" w:rsidRDefault="00ED45C7" w:rsidP="006B7F39">
            <w:pPr>
              <w:autoSpaceDE w:val="0"/>
              <w:autoSpaceDN w:val="0"/>
              <w:adjustRightInd w:val="0"/>
              <w:spacing w:line="240" w:lineRule="auto"/>
              <w:ind w:right="-28"/>
              <w:rPr>
                <w:rFonts w:cs="Tahoma"/>
                <w:szCs w:val="22"/>
              </w:rPr>
            </w:pPr>
            <w:r w:rsidRPr="006B7F39">
              <w:rPr>
                <w:rFonts w:cs="Tahoma"/>
                <w:szCs w:val="22"/>
              </w:rPr>
              <w:t xml:space="preserve">Se encuentra exento de la asistencia  </w:t>
            </w:r>
          </w:p>
        </w:tc>
        <w:tc>
          <w:tcPr>
            <w:tcW w:w="2268" w:type="dxa"/>
            <w:shd w:val="clear" w:color="auto" w:fill="auto"/>
          </w:tcPr>
          <w:p w14:paraId="66BDAA40" w14:textId="2B8F5701" w:rsidR="00ED45C7" w:rsidRPr="006B7F39" w:rsidRDefault="00ED45C7" w:rsidP="006B7F39">
            <w:pPr>
              <w:pStyle w:val="Prrafodelista"/>
              <w:widowControl w:val="0"/>
              <w:autoSpaceDE w:val="0"/>
              <w:autoSpaceDN w:val="0"/>
              <w:adjustRightInd w:val="0"/>
              <w:spacing w:line="240" w:lineRule="auto"/>
              <w:ind w:left="0"/>
              <w:jc w:val="center"/>
              <w:rPr>
                <w:rFonts w:cs="Arial"/>
                <w:b/>
              </w:rPr>
            </w:pPr>
            <w:r w:rsidRPr="006B7F39">
              <w:rPr>
                <w:rFonts w:cs="Arial"/>
                <w:b/>
              </w:rPr>
              <w:t>No, al no proporcionar documento por medio del cual se le exenta de registro de asistencia</w:t>
            </w:r>
          </w:p>
        </w:tc>
      </w:tr>
      <w:tr w:rsidR="00350198" w:rsidRPr="006B7F39" w14:paraId="66FBA7D2" w14:textId="77777777" w:rsidTr="00A10B4F">
        <w:tc>
          <w:tcPr>
            <w:tcW w:w="2405" w:type="dxa"/>
            <w:shd w:val="clear" w:color="auto" w:fill="auto"/>
          </w:tcPr>
          <w:p w14:paraId="0D91CA09" w14:textId="4327AB15" w:rsidR="00350198" w:rsidRPr="006B7F39" w:rsidRDefault="00350198" w:rsidP="006B7F39">
            <w:pPr>
              <w:pStyle w:val="Prrafodelista"/>
              <w:widowControl w:val="0"/>
              <w:numPr>
                <w:ilvl w:val="0"/>
                <w:numId w:val="40"/>
              </w:numPr>
              <w:autoSpaceDE w:val="0"/>
              <w:autoSpaceDN w:val="0"/>
              <w:adjustRightInd w:val="0"/>
              <w:spacing w:line="240" w:lineRule="auto"/>
              <w:rPr>
                <w:rFonts w:cs="Arial"/>
              </w:rPr>
            </w:pPr>
            <w:r w:rsidRPr="006B7F39">
              <w:rPr>
                <w:rFonts w:cs="Arial"/>
              </w:rPr>
              <w:t>Actividades que realiza</w:t>
            </w:r>
          </w:p>
        </w:tc>
        <w:tc>
          <w:tcPr>
            <w:tcW w:w="2268" w:type="dxa"/>
            <w:vMerge/>
            <w:shd w:val="clear" w:color="auto" w:fill="auto"/>
          </w:tcPr>
          <w:p w14:paraId="2D0060E3" w14:textId="77777777" w:rsidR="00350198" w:rsidRPr="006B7F39" w:rsidRDefault="00350198" w:rsidP="006B7F39">
            <w:pPr>
              <w:widowControl w:val="0"/>
              <w:autoSpaceDE w:val="0"/>
              <w:autoSpaceDN w:val="0"/>
              <w:adjustRightInd w:val="0"/>
              <w:spacing w:line="240" w:lineRule="auto"/>
              <w:rPr>
                <w:rFonts w:cs="Arial"/>
              </w:rPr>
            </w:pPr>
          </w:p>
        </w:tc>
        <w:tc>
          <w:tcPr>
            <w:tcW w:w="2126" w:type="dxa"/>
          </w:tcPr>
          <w:p w14:paraId="02919EFD" w14:textId="66F9F605" w:rsidR="00350198" w:rsidRPr="006B7F39" w:rsidRDefault="00ED45C7" w:rsidP="006B7F39">
            <w:pPr>
              <w:autoSpaceDE w:val="0"/>
              <w:autoSpaceDN w:val="0"/>
              <w:adjustRightInd w:val="0"/>
              <w:spacing w:line="240" w:lineRule="auto"/>
              <w:ind w:right="-28"/>
              <w:rPr>
                <w:rFonts w:cs="Tahoma"/>
                <w:szCs w:val="22"/>
              </w:rPr>
            </w:pPr>
            <w:r w:rsidRPr="006B7F39">
              <w:rPr>
                <w:rFonts w:cs="Tahoma"/>
                <w:szCs w:val="22"/>
              </w:rPr>
              <w:t xml:space="preserve">Proporciona link electrónico para consultar el Manual General de </w:t>
            </w:r>
            <w:r w:rsidRPr="006B7F39">
              <w:rPr>
                <w:rFonts w:cs="Tahoma"/>
                <w:szCs w:val="22"/>
              </w:rPr>
              <w:lastRenderedPageBreak/>
              <w:t xml:space="preserve">Organización de la Secretaría de la Contraloría. </w:t>
            </w:r>
          </w:p>
        </w:tc>
        <w:tc>
          <w:tcPr>
            <w:tcW w:w="2268" w:type="dxa"/>
            <w:shd w:val="clear" w:color="auto" w:fill="auto"/>
          </w:tcPr>
          <w:p w14:paraId="278CFE11" w14:textId="420B3AC3" w:rsidR="00350198" w:rsidRPr="006B7F39" w:rsidRDefault="00ED45C7" w:rsidP="006B7F39">
            <w:pPr>
              <w:pStyle w:val="Prrafodelista"/>
              <w:widowControl w:val="0"/>
              <w:autoSpaceDE w:val="0"/>
              <w:autoSpaceDN w:val="0"/>
              <w:adjustRightInd w:val="0"/>
              <w:spacing w:line="240" w:lineRule="auto"/>
              <w:ind w:left="0"/>
              <w:jc w:val="center"/>
              <w:rPr>
                <w:rFonts w:cs="Arial"/>
                <w:b/>
              </w:rPr>
            </w:pPr>
            <w:r w:rsidRPr="006B7F39">
              <w:rPr>
                <w:rFonts w:cs="Arial"/>
                <w:b/>
              </w:rPr>
              <w:lastRenderedPageBreak/>
              <w:t xml:space="preserve">No, al haber proporcionado link electrónico en formato cerrado  </w:t>
            </w:r>
          </w:p>
        </w:tc>
      </w:tr>
    </w:tbl>
    <w:p w14:paraId="4E68FEF2" w14:textId="77777777" w:rsidR="00101093" w:rsidRPr="006B7F39" w:rsidRDefault="00101093" w:rsidP="006B7F39">
      <w:pPr>
        <w:rPr>
          <w:rFonts w:eastAsia="Calibri"/>
          <w:lang w:eastAsia="es-ES_tradnl"/>
        </w:rPr>
      </w:pPr>
    </w:p>
    <w:p w14:paraId="7B62F4F7" w14:textId="05BCB4DB" w:rsidR="00DA54C1" w:rsidRPr="006B7F39" w:rsidRDefault="00CF7586" w:rsidP="006B7F39">
      <w:pPr>
        <w:tabs>
          <w:tab w:val="left" w:pos="4962"/>
        </w:tabs>
        <w:contextualSpacing/>
        <w:rPr>
          <w:rFonts w:eastAsiaTheme="minorHAnsi" w:cs="Tahoma"/>
          <w:bCs/>
          <w:iCs/>
          <w:szCs w:val="22"/>
          <w:lang w:eastAsia="en-US"/>
        </w:rPr>
      </w:pPr>
      <w:r w:rsidRPr="006B7F39">
        <w:rPr>
          <w:rFonts w:eastAsiaTheme="minorHAnsi" w:cs="Tahoma"/>
          <w:bCs/>
          <w:iCs/>
          <w:szCs w:val="22"/>
          <w:lang w:eastAsia="en-US"/>
        </w:rPr>
        <w:t xml:space="preserve">Ahora bien, en la interposición del presente recurso </w:t>
      </w:r>
      <w:r w:rsidRPr="006B7F39">
        <w:rPr>
          <w:rFonts w:eastAsiaTheme="minorHAnsi" w:cs="Tahoma"/>
          <w:b/>
          <w:iCs/>
          <w:szCs w:val="22"/>
          <w:lang w:eastAsia="en-US"/>
        </w:rPr>
        <w:t>LA PARTE RECURRENTE</w:t>
      </w:r>
      <w:r w:rsidR="00237120" w:rsidRPr="006B7F39">
        <w:rPr>
          <w:rFonts w:eastAsiaTheme="minorHAnsi" w:cs="Tahoma"/>
          <w:bCs/>
          <w:iCs/>
          <w:szCs w:val="22"/>
          <w:lang w:eastAsia="en-US"/>
        </w:rPr>
        <w:t xml:space="preserve"> s</w:t>
      </w:r>
      <w:r w:rsidR="00E11AA0" w:rsidRPr="006B7F39">
        <w:rPr>
          <w:rFonts w:eastAsiaTheme="minorHAnsi" w:cs="Tahoma"/>
          <w:bCs/>
          <w:iCs/>
          <w:szCs w:val="22"/>
          <w:lang w:eastAsia="en-US"/>
        </w:rPr>
        <w:t>e inconformó medularmente por</w:t>
      </w:r>
      <w:r w:rsidR="00903DBE" w:rsidRPr="006B7F39">
        <w:rPr>
          <w:rFonts w:eastAsiaTheme="minorHAnsi" w:cs="Tahoma"/>
          <w:bCs/>
          <w:iCs/>
          <w:szCs w:val="22"/>
          <w:lang w:eastAsia="en-US"/>
        </w:rPr>
        <w:t xml:space="preserve"> </w:t>
      </w:r>
      <w:r w:rsidR="00DA54C1" w:rsidRPr="006B7F39">
        <w:rPr>
          <w:rFonts w:eastAsiaTheme="minorHAnsi" w:cs="Tahoma"/>
          <w:bCs/>
          <w:iCs/>
          <w:szCs w:val="22"/>
          <w:lang w:eastAsia="en-US"/>
        </w:rPr>
        <w:t>negativa de la información  proporcionada</w:t>
      </w:r>
      <w:r w:rsidR="0090194A" w:rsidRPr="006B7F39">
        <w:rPr>
          <w:rFonts w:eastAsiaTheme="minorHAnsi" w:cs="Tahoma"/>
          <w:bCs/>
          <w:iCs/>
          <w:szCs w:val="22"/>
          <w:lang w:eastAsia="en-US"/>
        </w:rPr>
        <w:t xml:space="preserve"> y no proporcionar acta de declaratoria de inexistencia. </w:t>
      </w:r>
    </w:p>
    <w:p w14:paraId="62D736AD" w14:textId="77777777" w:rsidR="00DA54C1" w:rsidRPr="006B7F39" w:rsidRDefault="00DA54C1" w:rsidP="006B7F39">
      <w:pPr>
        <w:tabs>
          <w:tab w:val="left" w:pos="4962"/>
        </w:tabs>
        <w:contextualSpacing/>
        <w:rPr>
          <w:rFonts w:eastAsiaTheme="minorHAnsi" w:cs="Tahoma"/>
          <w:bCs/>
          <w:iCs/>
          <w:szCs w:val="22"/>
          <w:lang w:eastAsia="en-US"/>
        </w:rPr>
      </w:pPr>
    </w:p>
    <w:p w14:paraId="414FD2D5" w14:textId="4408E416" w:rsidR="00664420" w:rsidRPr="006B7F39" w:rsidRDefault="00A21A20" w:rsidP="006B7F39">
      <w:pPr>
        <w:pStyle w:val="Ttulo3"/>
      </w:pPr>
      <w:bookmarkStart w:id="32" w:name="_Toc179394294"/>
      <w:r w:rsidRPr="006B7F39">
        <w:t>c)</w:t>
      </w:r>
      <w:r w:rsidR="00664420" w:rsidRPr="006B7F39">
        <w:t xml:space="preserve"> </w:t>
      </w:r>
      <w:r w:rsidRPr="006B7F39">
        <w:t>Estudio de la controversia</w:t>
      </w:r>
      <w:bookmarkEnd w:id="32"/>
    </w:p>
    <w:p w14:paraId="5F17FE8A" w14:textId="3B44A4D4" w:rsidR="00E33233" w:rsidRPr="006B7F39" w:rsidRDefault="00E33233" w:rsidP="006B7F39">
      <w:pPr>
        <w:rPr>
          <w:lang w:eastAsia="es-MX"/>
        </w:rPr>
      </w:pPr>
      <w:r w:rsidRPr="006B7F39">
        <w:t>Primero,</w:t>
      </w:r>
      <w:r w:rsidRPr="006B7F39">
        <w:rPr>
          <w:lang w:eastAsia="es-MX"/>
        </w:rPr>
        <w:t xml:space="preserve"> es importante señalar que </w:t>
      </w:r>
      <w:r w:rsidRPr="006B7F39">
        <w:rPr>
          <w:b/>
          <w:lang w:eastAsia="es-MX"/>
        </w:rPr>
        <w:t>EL SUJETO OBLIGADO</w:t>
      </w:r>
      <w:r w:rsidRPr="006B7F39">
        <w:rPr>
          <w:lang w:eastAsia="es-MX"/>
        </w:rPr>
        <w:t xml:space="preserve"> es competente para generar, recopilar, administrar, manejar, procesar, archivar, corregir o poseer la información solicitada, derivado de que éste ha asumido la misma, al  proporcionar</w:t>
      </w:r>
      <w:r w:rsidR="0090194A" w:rsidRPr="006B7F39">
        <w:rPr>
          <w:lang w:eastAsia="es-MX"/>
        </w:rPr>
        <w:t xml:space="preserve"> información relacionada con el servidor púbico precisado en la solicitud</w:t>
      </w:r>
      <w:r w:rsidRPr="006B7F39">
        <w:rPr>
          <w:rFonts w:cs="Tahoma"/>
          <w:szCs w:val="24"/>
        </w:rPr>
        <w:t>; motivo por el cual se</w:t>
      </w:r>
      <w:r w:rsidRPr="006B7F39">
        <w:rPr>
          <w:lang w:eastAsia="es-MX"/>
        </w:rPr>
        <w:t xml:space="preserve"> actualiza el supuesto jurídico, previsto en el artículo 12 de la Ley de Transparencia y Acceso a la Información Pública del Estado de México y Municipios, que a la letra señala:</w:t>
      </w:r>
    </w:p>
    <w:p w14:paraId="368CD491" w14:textId="77777777" w:rsidR="00E33233" w:rsidRPr="006B7F39" w:rsidRDefault="00E33233" w:rsidP="006B7F39">
      <w:pPr>
        <w:rPr>
          <w:lang w:eastAsia="es-MX"/>
        </w:rPr>
      </w:pPr>
    </w:p>
    <w:p w14:paraId="53C38FBF" w14:textId="77777777" w:rsidR="00E33233" w:rsidRPr="006B7F39" w:rsidRDefault="00E33233" w:rsidP="006B7F39">
      <w:pPr>
        <w:pStyle w:val="Puesto"/>
        <w:rPr>
          <w:lang w:val="es-ES"/>
        </w:rPr>
      </w:pPr>
      <w:r w:rsidRPr="006B7F39">
        <w:rPr>
          <w:lang w:val="es-ES"/>
        </w:rPr>
        <w:t>“</w:t>
      </w:r>
      <w:r w:rsidRPr="006B7F39">
        <w:rPr>
          <w:b/>
          <w:lang w:val="es-ES"/>
        </w:rPr>
        <w:t>Artículo 12.</w:t>
      </w:r>
      <w:r w:rsidRPr="006B7F39">
        <w:rPr>
          <w:lang w:val="es-ES"/>
        </w:rPr>
        <w:t xml:space="preserve"> Quienes generen, recopilen, administren, manejen, procesen, archiven o conserven información pública serán responsables de la misma en los términos de las disposiciones jurídicas aplicables.</w:t>
      </w:r>
    </w:p>
    <w:p w14:paraId="106E80C2" w14:textId="77777777" w:rsidR="00E33233" w:rsidRPr="006B7F39" w:rsidRDefault="00E33233" w:rsidP="006B7F39">
      <w:pPr>
        <w:pStyle w:val="Puesto"/>
        <w:rPr>
          <w:lang w:val="es-ES"/>
        </w:rPr>
      </w:pPr>
    </w:p>
    <w:p w14:paraId="7A4E5B4E" w14:textId="77777777" w:rsidR="00E33233" w:rsidRPr="006B7F39" w:rsidRDefault="00E33233" w:rsidP="006B7F39">
      <w:pPr>
        <w:pStyle w:val="Puesto"/>
        <w:rPr>
          <w:lang w:val="es-ES"/>
        </w:rPr>
      </w:pPr>
      <w:r w:rsidRPr="006B7F39">
        <w:rPr>
          <w:lang w:val="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1AE75" w14:textId="77777777" w:rsidR="00E33233" w:rsidRPr="006B7F39" w:rsidRDefault="00E33233" w:rsidP="006B7F39">
      <w:pPr>
        <w:rPr>
          <w:lang w:eastAsia="es-MX"/>
        </w:rPr>
      </w:pPr>
    </w:p>
    <w:p w14:paraId="605E805D" w14:textId="0283F436" w:rsidR="00E33233" w:rsidRPr="006B7F39" w:rsidRDefault="00E33233" w:rsidP="006B7F39">
      <w:pPr>
        <w:rPr>
          <w:lang w:eastAsia="es-MX"/>
        </w:rPr>
      </w:pPr>
      <w:r w:rsidRPr="006B7F39">
        <w:rPr>
          <w:lang w:eastAsia="es-MX"/>
        </w:rPr>
        <w:lastRenderedPageBreak/>
        <w:t xml:space="preserve">En atención a lo anterior, el estudio de la naturaleza jurídica de la información pública solicitada, tiene por objeto determinar si </w:t>
      </w:r>
      <w:r w:rsidRPr="006B7F39">
        <w:rPr>
          <w:b/>
          <w:lang w:eastAsia="es-MX"/>
        </w:rPr>
        <w:t>EL SUJETO OBLIGADO</w:t>
      </w:r>
      <w:r w:rsidRPr="006B7F39">
        <w:rPr>
          <w:lang w:eastAsia="es-MX"/>
        </w:rPr>
        <w:t xml:space="preserve"> la genera, recopila, administra, maneja, procesa, archiva o corrige; sin embargo, en aquellos casos en que éste la asume, a nada práctico nos conduciría su estudio.</w:t>
      </w:r>
    </w:p>
    <w:p w14:paraId="66FB2D63" w14:textId="77777777" w:rsidR="00E33233" w:rsidRPr="006B7F39" w:rsidRDefault="00E33233" w:rsidP="006B7F39">
      <w:pPr>
        <w:rPr>
          <w:rFonts w:eastAsia="Palatino Linotype" w:cs="Palatino Linotype"/>
        </w:rPr>
      </w:pPr>
    </w:p>
    <w:p w14:paraId="53743434" w14:textId="11B8F5B8" w:rsidR="0090194A" w:rsidRPr="006B7F39" w:rsidRDefault="00D55FDA" w:rsidP="006B7F39">
      <w:pPr>
        <w:rPr>
          <w:rFonts w:eastAsia="Palatino Linotype" w:cs="Palatino Linotype"/>
          <w:b/>
        </w:rPr>
      </w:pPr>
      <w:r w:rsidRPr="006B7F39">
        <w:rPr>
          <w:rFonts w:eastAsia="Palatino Linotype" w:cs="Palatino Linotype"/>
        </w:rPr>
        <w:t xml:space="preserve">Ahora, bien, del análisis realizado a las documentales que integran el expediente electrónico y derivado que </w:t>
      </w:r>
      <w:r w:rsidRPr="006B7F39">
        <w:rPr>
          <w:rFonts w:eastAsia="Palatino Linotype" w:cs="Palatino Linotype"/>
          <w:b/>
        </w:rPr>
        <w:t xml:space="preserve">EL SUJETO OBLIGADO </w:t>
      </w:r>
      <w:r w:rsidRPr="006B7F39">
        <w:rPr>
          <w:rFonts w:eastAsia="Palatino Linotype" w:cs="Palatino Linotype"/>
        </w:rPr>
        <w:t xml:space="preserve">mediante </w:t>
      </w:r>
      <w:r w:rsidR="003B0AEC" w:rsidRPr="006B7F39">
        <w:rPr>
          <w:rFonts w:eastAsia="Palatino Linotype" w:cs="Palatino Linotype"/>
        </w:rPr>
        <w:t xml:space="preserve">respuesta </w:t>
      </w:r>
      <w:r w:rsidR="0090194A" w:rsidRPr="006B7F39">
        <w:rPr>
          <w:rFonts w:eastAsia="Palatino Linotype" w:cs="Palatino Linotype"/>
        </w:rPr>
        <w:t xml:space="preserve">colmó los requerimientos identificados con  los numerales 1, 2 y 4, como se puede advertir de la tabla insertada anteriormente; este Órgano Garante procede a realizar el estudio de los requerimientos que no atendió cabalmente </w:t>
      </w:r>
      <w:r w:rsidR="0090194A" w:rsidRPr="006B7F39">
        <w:rPr>
          <w:rFonts w:eastAsia="Palatino Linotype" w:cs="Palatino Linotype"/>
          <w:b/>
        </w:rPr>
        <w:t xml:space="preserve">EL SUJETO OBLIGADO. </w:t>
      </w:r>
    </w:p>
    <w:p w14:paraId="643649C5" w14:textId="77777777" w:rsidR="0090194A" w:rsidRPr="006B7F39" w:rsidRDefault="0090194A" w:rsidP="006B7F39">
      <w:pPr>
        <w:rPr>
          <w:rFonts w:eastAsia="Palatino Linotype" w:cs="Palatino Linotype"/>
          <w:b/>
        </w:rPr>
      </w:pPr>
    </w:p>
    <w:p w14:paraId="3A373A28" w14:textId="5893D266" w:rsidR="0090194A" w:rsidRPr="006B7F39" w:rsidRDefault="0090194A" w:rsidP="006B7F39">
      <w:pPr>
        <w:rPr>
          <w:rFonts w:eastAsia="Palatino Linotype" w:cs="Palatino Linotype"/>
        </w:rPr>
      </w:pPr>
      <w:r w:rsidRPr="006B7F39">
        <w:rPr>
          <w:rFonts w:eastAsia="Palatino Linotype" w:cs="Palatino Linotype"/>
        </w:rPr>
        <w:t xml:space="preserve">Es así que, </w:t>
      </w:r>
      <w:r w:rsidR="00A10B4F" w:rsidRPr="006B7F39">
        <w:rPr>
          <w:rFonts w:eastAsia="Palatino Linotype" w:cs="Palatino Linotype"/>
        </w:rPr>
        <w:t xml:space="preserve">del análisis realizado a la información proporcionada por </w:t>
      </w:r>
      <w:r w:rsidR="00A10B4F" w:rsidRPr="006B7F39">
        <w:rPr>
          <w:rFonts w:eastAsia="Palatino Linotype" w:cs="Palatino Linotype"/>
          <w:b/>
        </w:rPr>
        <w:t>EL SUJETO OBLIGADO</w:t>
      </w:r>
      <w:r w:rsidR="00A10B4F" w:rsidRPr="006B7F39">
        <w:rPr>
          <w:rFonts w:eastAsia="Palatino Linotype" w:cs="Palatino Linotype"/>
        </w:rPr>
        <w:t xml:space="preserve"> mediante Informe Justificado relacionado con e</w:t>
      </w:r>
      <w:r w:rsidRPr="006B7F39">
        <w:rPr>
          <w:rFonts w:eastAsia="Palatino Linotype" w:cs="Palatino Linotype"/>
        </w:rPr>
        <w:t>l requerimiento identificado con el numeral 3</w:t>
      </w:r>
      <w:r w:rsidR="00A10B4F" w:rsidRPr="006B7F39">
        <w:rPr>
          <w:rFonts w:eastAsia="Palatino Linotype" w:cs="Palatino Linotype"/>
        </w:rPr>
        <w:t xml:space="preserve"> correspondiente al sueldo del servidor público referido en la solicitud, </w:t>
      </w:r>
      <w:r w:rsidRPr="006B7F39">
        <w:rPr>
          <w:rFonts w:eastAsia="Palatino Linotype" w:cs="Palatino Linotype"/>
        </w:rPr>
        <w:t xml:space="preserve">se aprecia que </w:t>
      </w:r>
      <w:r w:rsidR="00A10B4F" w:rsidRPr="006B7F39">
        <w:rPr>
          <w:rFonts w:eastAsia="Palatino Linotype" w:cs="Palatino Linotype"/>
        </w:rPr>
        <w:t xml:space="preserve">si bien </w:t>
      </w:r>
      <w:r w:rsidR="002C0F02" w:rsidRPr="006B7F39">
        <w:rPr>
          <w:rFonts w:eastAsia="Palatino Linotype" w:cs="Palatino Linotype"/>
          <w:b/>
        </w:rPr>
        <w:t>EL SUJETO OBLIGADO</w:t>
      </w:r>
      <w:r w:rsidR="002C0F02" w:rsidRPr="006B7F39">
        <w:rPr>
          <w:rFonts w:eastAsia="Palatino Linotype" w:cs="Palatino Linotype"/>
        </w:rPr>
        <w:t xml:space="preserve"> </w:t>
      </w:r>
      <w:r w:rsidR="00A10B4F" w:rsidRPr="006B7F39">
        <w:rPr>
          <w:rFonts w:eastAsia="Palatino Linotype" w:cs="Palatino Linotype"/>
        </w:rPr>
        <w:t>hizo entrega del sueldo tanto neto como bruto, lo cierto es que omitió precisar si dicha cantidad correspondía al perc</w:t>
      </w:r>
      <w:r w:rsidR="002C0F02" w:rsidRPr="006B7F39">
        <w:rPr>
          <w:rFonts w:eastAsia="Palatino Linotype" w:cs="Palatino Linotype"/>
        </w:rPr>
        <w:t>ibido mensual o quincenalmente; en consecuencia, este Órgano Garante determina ordenar de ser procedente en versión pública el o los documentos donde conste el sueldo neto y bruto mensual del servidor público referido en la solicitud</w:t>
      </w:r>
      <w:r w:rsidR="00C02244" w:rsidRPr="006B7F39">
        <w:rPr>
          <w:rFonts w:eastAsia="Palatino Linotype" w:cs="Palatino Linotype"/>
        </w:rPr>
        <w:t>, al catorce de agosto de dos mil veinticuatro</w:t>
      </w:r>
      <w:r w:rsidR="002C0F02" w:rsidRPr="006B7F39">
        <w:rPr>
          <w:rFonts w:eastAsia="Palatino Linotype" w:cs="Palatino Linotype"/>
        </w:rPr>
        <w:t xml:space="preserve">. </w:t>
      </w:r>
    </w:p>
    <w:p w14:paraId="06017FD9" w14:textId="77777777" w:rsidR="00A10B4F" w:rsidRPr="006B7F39" w:rsidRDefault="00A10B4F" w:rsidP="006B7F39">
      <w:pPr>
        <w:rPr>
          <w:rFonts w:eastAsia="Palatino Linotype" w:cs="Palatino Linotype"/>
        </w:rPr>
      </w:pPr>
    </w:p>
    <w:p w14:paraId="4441CDC0" w14:textId="4DE0FD6E" w:rsidR="00690F2C" w:rsidRPr="006B7F39" w:rsidRDefault="00690F2C" w:rsidP="006B7F39">
      <w:pPr>
        <w:rPr>
          <w:rFonts w:cs="Arial"/>
          <w:bCs/>
          <w:lang w:val="es-ES"/>
        </w:rPr>
      </w:pPr>
      <w:r w:rsidRPr="006B7F39">
        <w:rPr>
          <w:lang w:val="es-ES"/>
        </w:rPr>
        <w:t xml:space="preserve">Por lo anterior, no se omite comentar </w:t>
      </w:r>
      <w:r w:rsidRPr="006B7F39">
        <w:rPr>
          <w:rFonts w:cs="Arial"/>
          <w:lang w:val="es-ES"/>
        </w:rPr>
        <w:t>que dicha información es de</w:t>
      </w:r>
      <w:r w:rsidRPr="006B7F39">
        <w:rPr>
          <w:rFonts w:cs="Arial"/>
          <w:bCs/>
          <w:lang w:val="es-ES"/>
        </w:rPr>
        <w:t xml:space="preserve"> interés general y de alcance público, puesto que la ciudadanía tiene derecho a saber cuánto es el gasto ejercido para el pago de remuneraciones por servicios personales al realizar las funciones públicas, esto es, su acceso</w:t>
      </w:r>
      <w:r w:rsidRPr="006B7F39">
        <w:rPr>
          <w:rFonts w:cs="Arial"/>
          <w:lang w:val="es-ES"/>
        </w:rPr>
        <w:t xml:space="preserve"> </w:t>
      </w:r>
      <w:r w:rsidRPr="006B7F39">
        <w:rPr>
          <w:rFonts w:cs="Arial"/>
          <w:bCs/>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w:t>
      </w:r>
      <w:r w:rsidRPr="006B7F39">
        <w:rPr>
          <w:rFonts w:cs="Arial"/>
          <w:bCs/>
          <w:lang w:val="es-ES"/>
        </w:rPr>
        <w:lastRenderedPageBreak/>
        <w:t xml:space="preserve">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2B7F1FC9" w14:textId="77777777" w:rsidR="00690F2C" w:rsidRPr="006B7F39" w:rsidRDefault="00690F2C" w:rsidP="006B7F39">
      <w:pPr>
        <w:rPr>
          <w:rFonts w:cs="Arial"/>
          <w:bCs/>
          <w:szCs w:val="22"/>
          <w:lang w:val="es-ES"/>
        </w:rPr>
      </w:pPr>
    </w:p>
    <w:p w14:paraId="46F31E1D" w14:textId="77777777" w:rsidR="00690F2C" w:rsidRPr="006B7F39" w:rsidRDefault="00690F2C" w:rsidP="006B7F39">
      <w:pPr>
        <w:pStyle w:val="Puesto"/>
        <w:rPr>
          <w:lang w:val="es-ES"/>
        </w:rPr>
      </w:pPr>
      <w:r w:rsidRPr="006B7F39">
        <w:rPr>
          <w:lang w:val="es-ES"/>
        </w:rPr>
        <w:t>“</w:t>
      </w:r>
      <w:r w:rsidRPr="006B7F39">
        <w:rPr>
          <w:b/>
          <w:lang w:val="es-ES"/>
        </w:rPr>
        <w:t>Artículo 23</w:t>
      </w:r>
      <w:r w:rsidRPr="006B7F39">
        <w:rPr>
          <w:lang w:val="es-ES"/>
        </w:rPr>
        <w:t xml:space="preserve"> Son </w:t>
      </w:r>
      <w:r w:rsidRPr="006B7F39">
        <w:rPr>
          <w:rFonts w:eastAsia="Calibri"/>
          <w:lang w:eastAsia="en-US"/>
        </w:rPr>
        <w:t>sujetos</w:t>
      </w:r>
      <w:r w:rsidRPr="006B7F39">
        <w:rPr>
          <w:lang w:val="es-ES"/>
        </w:rPr>
        <w:t xml:space="preserve"> obligados a transparentar y permitir el acceso a su información y proteger los datos personales que obren en su poder:</w:t>
      </w:r>
    </w:p>
    <w:p w14:paraId="77D70BEF" w14:textId="77777777" w:rsidR="00690F2C" w:rsidRPr="006B7F39" w:rsidRDefault="00690F2C" w:rsidP="006B7F39">
      <w:pPr>
        <w:tabs>
          <w:tab w:val="left" w:pos="7938"/>
        </w:tabs>
        <w:ind w:left="709" w:right="899"/>
        <w:rPr>
          <w:rFonts w:cs="Arial"/>
          <w:bCs/>
          <w:i/>
          <w:szCs w:val="22"/>
          <w:lang w:val="es-ES"/>
        </w:rPr>
      </w:pPr>
    </w:p>
    <w:p w14:paraId="3D607593" w14:textId="77777777" w:rsidR="00690F2C" w:rsidRPr="006B7F39" w:rsidRDefault="00690F2C" w:rsidP="006B7F39">
      <w:pPr>
        <w:pStyle w:val="Puesto"/>
        <w:rPr>
          <w:lang w:val="es-ES"/>
        </w:rPr>
      </w:pPr>
      <w:r w:rsidRPr="006B7F39">
        <w:rPr>
          <w:b/>
          <w:lang w:val="es-ES"/>
        </w:rPr>
        <w:t>I.</w:t>
      </w:r>
      <w:r w:rsidRPr="006B7F39">
        <w:rPr>
          <w:lang w:val="es-ES"/>
        </w:rPr>
        <w:t xml:space="preserve"> El Poder Ejecutivo del Estado de México, las dependencias, organismos auxiliares, órganos, entidades, fideicomisos y fondos públicos, así como la Procuraduría General de Justicia</w:t>
      </w:r>
    </w:p>
    <w:p w14:paraId="48ACE666" w14:textId="586E5267" w:rsidR="00690F2C" w:rsidRPr="006B7F39" w:rsidRDefault="00690F2C" w:rsidP="006B7F39">
      <w:pPr>
        <w:pStyle w:val="Puesto"/>
        <w:rPr>
          <w:lang w:val="es-ES"/>
        </w:rPr>
      </w:pPr>
      <w:r w:rsidRPr="006B7F39">
        <w:rPr>
          <w:lang w:val="es-ES"/>
        </w:rPr>
        <w:t>…;</w:t>
      </w:r>
    </w:p>
    <w:p w14:paraId="2C0FB3D1" w14:textId="77777777" w:rsidR="00690F2C" w:rsidRPr="006B7F39" w:rsidRDefault="00690F2C" w:rsidP="006B7F39">
      <w:pPr>
        <w:pStyle w:val="Puesto"/>
        <w:rPr>
          <w:rFonts w:cs="Arial"/>
          <w:b/>
          <w:bCs/>
          <w:i w:val="0"/>
          <w:szCs w:val="22"/>
          <w:lang w:val="es-ES"/>
        </w:rPr>
      </w:pPr>
      <w:r w:rsidRPr="006B7F39">
        <w:rPr>
          <w:rFonts w:cs="Arial"/>
          <w:bCs/>
          <w:szCs w:val="22"/>
          <w:lang w:val="es-ES"/>
        </w:rPr>
        <w:t xml:space="preserve">Los sujetos obligados deberán hacer pública toda aquella información relativa a los montos y las personas a </w:t>
      </w:r>
      <w:r w:rsidRPr="006B7F39">
        <w:rPr>
          <w:lang w:val="es-ES"/>
        </w:rPr>
        <w:t>quienes</w:t>
      </w:r>
      <w:r w:rsidRPr="006B7F39">
        <w:rPr>
          <w:rFonts w:cs="Arial"/>
          <w:bCs/>
          <w:szCs w:val="22"/>
          <w:lang w:val="es-ES"/>
        </w:rPr>
        <w:t xml:space="preserve"> entreguen, por cualquier motivo, recursos públicos, así como los informes que dichas personas les entreguen sobre el uso y destino de dichos recursos.” (Sic)</w:t>
      </w:r>
    </w:p>
    <w:p w14:paraId="71722DD1" w14:textId="77777777" w:rsidR="00690F2C" w:rsidRPr="006B7F39" w:rsidRDefault="00690F2C" w:rsidP="006B7F39">
      <w:pPr>
        <w:tabs>
          <w:tab w:val="left" w:pos="7938"/>
        </w:tabs>
        <w:ind w:right="899"/>
        <w:rPr>
          <w:rFonts w:cs="Arial"/>
          <w:bCs/>
          <w:i/>
          <w:szCs w:val="22"/>
          <w:lang w:val="es-ES"/>
        </w:rPr>
      </w:pPr>
    </w:p>
    <w:p w14:paraId="4454A369" w14:textId="77777777" w:rsidR="00690F2C" w:rsidRPr="006B7F39" w:rsidRDefault="00690F2C" w:rsidP="006B7F39">
      <w:pPr>
        <w:rPr>
          <w:rFonts w:cs="Arial"/>
          <w:lang w:val="es-ES"/>
        </w:rPr>
      </w:pPr>
      <w:r w:rsidRPr="006B7F39">
        <w:rPr>
          <w:rFonts w:cs="Arial"/>
          <w:lang w:val="es-E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7E0DCFFA" w14:textId="77777777" w:rsidR="00690F2C" w:rsidRPr="006B7F39" w:rsidRDefault="00690F2C" w:rsidP="006B7F39">
      <w:pPr>
        <w:rPr>
          <w:rFonts w:cs="Arial"/>
          <w:szCs w:val="22"/>
          <w:lang w:val="es-ES"/>
        </w:rPr>
      </w:pPr>
    </w:p>
    <w:p w14:paraId="72F0AC0B" w14:textId="77777777" w:rsidR="00690F2C" w:rsidRPr="006B7F39" w:rsidRDefault="00690F2C" w:rsidP="006B7F39">
      <w:pPr>
        <w:pStyle w:val="Puesto"/>
        <w:jc w:val="center"/>
        <w:rPr>
          <w:b/>
          <w:lang w:val="es-ES"/>
        </w:rPr>
      </w:pPr>
      <w:r w:rsidRPr="006B7F39">
        <w:rPr>
          <w:b/>
          <w:lang w:val="es-ES"/>
        </w:rPr>
        <w:t>“Criterio 01/2003.</w:t>
      </w:r>
    </w:p>
    <w:p w14:paraId="16051683" w14:textId="77777777" w:rsidR="00690F2C" w:rsidRPr="006B7F39" w:rsidRDefault="00690F2C" w:rsidP="006B7F39">
      <w:pPr>
        <w:ind w:left="851" w:right="899"/>
        <w:jc w:val="center"/>
        <w:rPr>
          <w:rFonts w:cs="Arial"/>
          <w:b/>
          <w:i/>
          <w:szCs w:val="22"/>
          <w:lang w:val="es-ES"/>
        </w:rPr>
      </w:pPr>
    </w:p>
    <w:p w14:paraId="5C3D6473" w14:textId="77777777" w:rsidR="00690F2C" w:rsidRPr="006B7F39" w:rsidRDefault="00690F2C" w:rsidP="006B7F39">
      <w:pPr>
        <w:pStyle w:val="Puesto"/>
        <w:rPr>
          <w:lang w:val="es-ES"/>
        </w:rPr>
      </w:pPr>
      <w:r w:rsidRPr="006B7F39">
        <w:rPr>
          <w:lang w:val="es-ES"/>
        </w:rPr>
        <w:t>“</w:t>
      </w:r>
      <w:r w:rsidRPr="006B7F39">
        <w:rPr>
          <w:b/>
          <w:lang w:val="es-ES"/>
        </w:rPr>
        <w:t>INGRESOS DE LOS SERVIDORES PÚBLICOS. CONSTITUYEN INFORMACIÓN PÚBLICA AÚN Y CUANDO SU DIFUSIÓN PUEDE AFECTAR LA VIDA O LA SEGURIDAD DE AQUELLOS.</w:t>
      </w:r>
      <w:r w:rsidRPr="006B7F39">
        <w:rPr>
          <w:lang w:val="es-ES"/>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w:t>
      </w:r>
      <w:r w:rsidRPr="006B7F39">
        <w:rPr>
          <w:lang w:val="es-ES"/>
        </w:rPr>
        <w:lastRenderedPageBreak/>
        <w:t>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3A4366D8" w14:textId="77777777" w:rsidR="00690F2C" w:rsidRPr="006B7F39" w:rsidRDefault="00690F2C" w:rsidP="006B7F39">
      <w:pPr>
        <w:ind w:left="709" w:right="899"/>
        <w:rPr>
          <w:rFonts w:cs="Arial"/>
          <w:i/>
          <w:szCs w:val="22"/>
          <w:lang w:val="es-ES"/>
        </w:rPr>
      </w:pPr>
    </w:p>
    <w:p w14:paraId="46CD48DB" w14:textId="77777777" w:rsidR="00690F2C" w:rsidRPr="006B7F39" w:rsidRDefault="00690F2C" w:rsidP="006B7F39">
      <w:pPr>
        <w:pStyle w:val="Puesto"/>
        <w:jc w:val="center"/>
        <w:rPr>
          <w:b/>
          <w:lang w:val="es-ES"/>
        </w:rPr>
      </w:pPr>
      <w:r w:rsidRPr="006B7F39">
        <w:rPr>
          <w:b/>
          <w:lang w:val="es-ES"/>
        </w:rPr>
        <w:t>“Criterio 02/2003.</w:t>
      </w:r>
    </w:p>
    <w:p w14:paraId="4C70D1F9" w14:textId="77777777" w:rsidR="00690F2C" w:rsidRPr="006B7F39" w:rsidRDefault="00690F2C" w:rsidP="006B7F39">
      <w:pPr>
        <w:ind w:left="851" w:right="899"/>
        <w:jc w:val="center"/>
        <w:rPr>
          <w:rFonts w:cs="Arial"/>
          <w:b/>
          <w:i/>
          <w:szCs w:val="22"/>
          <w:lang w:val="es-ES"/>
        </w:rPr>
      </w:pPr>
    </w:p>
    <w:p w14:paraId="1F342430" w14:textId="77777777" w:rsidR="00690F2C" w:rsidRPr="006B7F39" w:rsidRDefault="00690F2C" w:rsidP="006B7F39">
      <w:pPr>
        <w:pStyle w:val="Puesto"/>
        <w:rPr>
          <w:rFonts w:cs="Arial"/>
          <w:i w:val="0"/>
          <w:szCs w:val="22"/>
          <w:lang w:val="es-ES"/>
        </w:rPr>
      </w:pPr>
      <w:r w:rsidRPr="006B7F39">
        <w:rPr>
          <w:rFonts w:cs="Arial"/>
          <w:b/>
          <w:szCs w:val="22"/>
          <w:lang w:val="es-ES"/>
        </w:rPr>
        <w:t xml:space="preserve">INGRESOS DE LOS SERVIDORES PÚBLICOS, SON INFORMACIÓN PÚBLICA AÚN Y CUANDO CONSTITUYEN DATOS PERSONALES QUE SE REFIEREN AL </w:t>
      </w:r>
      <w:r w:rsidRPr="006B7F39">
        <w:rPr>
          <w:b/>
          <w:lang w:val="es-ES"/>
        </w:rPr>
        <w:t>PATRIMONIO</w:t>
      </w:r>
      <w:r w:rsidRPr="006B7F39">
        <w:rPr>
          <w:rFonts w:cs="Arial"/>
          <w:b/>
          <w:szCs w:val="22"/>
          <w:lang w:val="es-ES"/>
        </w:rPr>
        <w:t xml:space="preserve"> DE AQUÉLLOS.</w:t>
      </w:r>
      <w:r w:rsidRPr="006B7F39">
        <w:rPr>
          <w:rFonts w:cs="Arial"/>
          <w:szCs w:val="22"/>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6B7F39">
        <w:rPr>
          <w:rFonts w:cs="Arial"/>
          <w:b/>
          <w:szCs w:val="22"/>
          <w:lang w:val="es-ES"/>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6B7F39">
        <w:rPr>
          <w:rFonts w:cs="Arial"/>
          <w:szCs w:val="22"/>
          <w:lang w:val="es-ES"/>
        </w:rPr>
        <w:t xml:space="preserve"> el sistema de compensación…”</w:t>
      </w:r>
    </w:p>
    <w:p w14:paraId="2E5CFA0A" w14:textId="77777777" w:rsidR="00690F2C" w:rsidRPr="006B7F39" w:rsidRDefault="00690F2C" w:rsidP="006B7F39">
      <w:pPr>
        <w:ind w:left="851" w:right="899"/>
        <w:rPr>
          <w:rFonts w:cs="Arial"/>
          <w:i/>
          <w:szCs w:val="22"/>
          <w:lang w:val="es-ES"/>
        </w:rPr>
      </w:pPr>
      <w:r w:rsidRPr="006B7F39">
        <w:rPr>
          <w:rFonts w:cs="Arial"/>
          <w:i/>
          <w:szCs w:val="22"/>
          <w:lang w:val="es-ES"/>
        </w:rPr>
        <w:t>(Énfasis añadido)</w:t>
      </w:r>
    </w:p>
    <w:p w14:paraId="39FB74C3" w14:textId="77777777" w:rsidR="00C02244" w:rsidRPr="006B7F39" w:rsidRDefault="00C02244" w:rsidP="006B7F39">
      <w:pPr>
        <w:rPr>
          <w:rFonts w:eastAsia="Palatino Linotype" w:cs="Palatino Linotype"/>
        </w:rPr>
      </w:pPr>
    </w:p>
    <w:p w14:paraId="3434FFB0" w14:textId="77777777" w:rsidR="001664F0" w:rsidRPr="006B7F39" w:rsidRDefault="00B360F1" w:rsidP="006B7F39">
      <w:pPr>
        <w:rPr>
          <w:rFonts w:eastAsia="Palatino Linotype" w:cs="Palatino Linotype"/>
        </w:rPr>
      </w:pPr>
      <w:r w:rsidRPr="006B7F39">
        <w:rPr>
          <w:rFonts w:eastAsia="Palatino Linotype" w:cs="Palatino Linotype"/>
        </w:rPr>
        <w:t xml:space="preserve">Por otro lado, respecto al requerimiento realizado por </w:t>
      </w:r>
      <w:r w:rsidRPr="006B7F39">
        <w:rPr>
          <w:rFonts w:eastAsia="Palatino Linotype" w:cs="Palatino Linotype"/>
          <w:b/>
        </w:rPr>
        <w:t xml:space="preserve">LA PARTE RECURRENTE </w:t>
      </w:r>
      <w:r w:rsidRPr="006B7F39">
        <w:rPr>
          <w:rFonts w:eastAsia="Palatino Linotype" w:cs="Palatino Linotype"/>
        </w:rPr>
        <w:t xml:space="preserve">identificada con el numeral 5, relacionada con el registro de asistencia; se advierte que si bien </w:t>
      </w:r>
      <w:r w:rsidRPr="006B7F39">
        <w:rPr>
          <w:rFonts w:eastAsia="Palatino Linotype" w:cs="Palatino Linotype"/>
          <w:b/>
        </w:rPr>
        <w:t xml:space="preserve">EL SUJETO OBLIGADO </w:t>
      </w:r>
      <w:r w:rsidRPr="006B7F39">
        <w:rPr>
          <w:rFonts w:eastAsia="Palatino Linotype" w:cs="Palatino Linotype"/>
        </w:rPr>
        <w:t>precisó mediante Informe Justificado que los Directores se encuentran exentos de asistencia de permanencia en el cargo y funciones que ostentan; lo cierto es que omitió hacer del conocimiento del documento donde constara dicha circunstancia</w:t>
      </w:r>
      <w:r w:rsidR="001664F0" w:rsidRPr="006B7F39">
        <w:rPr>
          <w:rFonts w:eastAsia="Palatino Linotype" w:cs="Palatino Linotype"/>
        </w:rPr>
        <w:t xml:space="preserve">. </w:t>
      </w:r>
    </w:p>
    <w:p w14:paraId="37E21D97" w14:textId="77777777" w:rsidR="00EB77BA" w:rsidRPr="006B7F39" w:rsidRDefault="00EB77BA" w:rsidP="006B7F39">
      <w:pPr>
        <w:rPr>
          <w:rFonts w:eastAsia="Palatino Linotype" w:cs="Palatino Linotype"/>
        </w:rPr>
      </w:pPr>
    </w:p>
    <w:p w14:paraId="2769AADE" w14:textId="4CC87782" w:rsidR="001664F0" w:rsidRPr="006B7F39" w:rsidRDefault="00EB77BA" w:rsidP="006B7F39">
      <w:r w:rsidRPr="006B7F39">
        <w:rPr>
          <w:rFonts w:eastAsia="Palatino Linotype" w:cs="Palatino Linotype"/>
        </w:rPr>
        <w:t xml:space="preserve">Derivado de lo anterior, </w:t>
      </w:r>
      <w:r w:rsidRPr="006B7F39">
        <w:t xml:space="preserve">se considera conveniente traer a contexto el artículo 220 K de la Ley del Trabajo de los Servidores Públicos del Estado y Municipios, la cual establece los </w:t>
      </w:r>
      <w:r w:rsidRPr="006B7F39">
        <w:lastRenderedPageBreak/>
        <w:t>documentos que tiene la obligación de conservar EL SUJETO OBLIGADO, entre los que se encuentran los controles de asistencia, para mayor referencia se inserta a continuación:</w:t>
      </w:r>
    </w:p>
    <w:p w14:paraId="419D8DF8" w14:textId="77777777" w:rsidR="00EB77BA" w:rsidRPr="006B7F39" w:rsidRDefault="00EB77BA" w:rsidP="006B7F39"/>
    <w:p w14:paraId="0C36FFA7" w14:textId="77777777" w:rsidR="00EB77BA" w:rsidRPr="006B7F39" w:rsidRDefault="00EB77BA" w:rsidP="006B7F39">
      <w:pPr>
        <w:pStyle w:val="Puesto"/>
      </w:pPr>
      <w:r w:rsidRPr="006B7F39">
        <w:t>“</w:t>
      </w:r>
      <w:r w:rsidRPr="006B7F39">
        <w:rPr>
          <w:b/>
        </w:rPr>
        <w:t>ARTÍCULO 220 K.- La institución o dependencia pública tiene la obligación de conservar y exhibir en el proceso los documentos que a continuación se precisan:</w:t>
      </w:r>
      <w:r w:rsidRPr="006B7F39">
        <w:t xml:space="preserve"> I. Contratos, Nombramientos o Formato Único de Movimientos de Personal, cuando no exista Convenio de condiciones generales de trabajo aplicable; </w:t>
      </w:r>
    </w:p>
    <w:p w14:paraId="04B73BE7" w14:textId="77777777" w:rsidR="00EB77BA" w:rsidRPr="006B7F39" w:rsidRDefault="00EB77BA" w:rsidP="006B7F39">
      <w:pPr>
        <w:pStyle w:val="Puesto"/>
      </w:pPr>
      <w:r w:rsidRPr="006B7F39">
        <w:t xml:space="preserve">II. Recibos de pagos de salarios o las constancias documentales del pago de salario cuando sea por depósito o mediante información electrónica; </w:t>
      </w:r>
    </w:p>
    <w:p w14:paraId="7DE1B556" w14:textId="77777777" w:rsidR="00EB77BA" w:rsidRPr="006B7F39" w:rsidRDefault="00EB77BA" w:rsidP="006B7F39">
      <w:pPr>
        <w:pStyle w:val="Puesto"/>
      </w:pPr>
      <w:r w:rsidRPr="006B7F39">
        <w:rPr>
          <w:b/>
        </w:rPr>
        <w:t>III. Controles de asistencia o la información magnética o electrónica de asistencia de los servidores públicos;</w:t>
      </w:r>
      <w:r w:rsidRPr="006B7F39">
        <w:t xml:space="preserve"> </w:t>
      </w:r>
    </w:p>
    <w:p w14:paraId="51400204" w14:textId="77777777" w:rsidR="00EB77BA" w:rsidRPr="006B7F39" w:rsidRDefault="00EB77BA" w:rsidP="006B7F39">
      <w:pPr>
        <w:pStyle w:val="Puesto"/>
      </w:pPr>
      <w:r w:rsidRPr="006B7F39">
        <w:t xml:space="preserve">IV. Recibos o las constancias de depósito o del medio de información magnética o electrónica que sean utilizadas para el pago de salarios, prima vacacional, aguinaldo y demás prestaciones establecidas en la presente ley; y </w:t>
      </w:r>
    </w:p>
    <w:p w14:paraId="70B78DC1" w14:textId="45BBD272" w:rsidR="00EB77BA" w:rsidRPr="006B7F39" w:rsidRDefault="00EB77BA" w:rsidP="006B7F39">
      <w:pPr>
        <w:pStyle w:val="Puesto"/>
      </w:pPr>
      <w:r w:rsidRPr="006B7F39">
        <w:t xml:space="preserve">V. Los demás que señalen las leyes. 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4ABF7760" w14:textId="4CC6210B" w:rsidR="00EB77BA" w:rsidRPr="006B7F39" w:rsidRDefault="00EB77BA" w:rsidP="006B7F39">
      <w:pPr>
        <w:pStyle w:val="Puesto"/>
      </w:pPr>
      <w:r w:rsidRPr="006B7F39">
        <w:t>…”</w:t>
      </w:r>
    </w:p>
    <w:p w14:paraId="6FE2A248" w14:textId="77777777" w:rsidR="00EB77BA" w:rsidRPr="006B7F39" w:rsidRDefault="00EB77BA" w:rsidP="006B7F39">
      <w:pPr>
        <w:rPr>
          <w:rFonts w:eastAsia="Palatino Linotype" w:cs="Palatino Linotype"/>
        </w:rPr>
      </w:pPr>
    </w:p>
    <w:p w14:paraId="2A63F360" w14:textId="77777777" w:rsidR="00EB77BA" w:rsidRPr="006B7F39" w:rsidRDefault="00EB77BA" w:rsidP="006B7F39">
      <w:r w:rsidRPr="006B7F39">
        <w:t xml:space="preserve">Del anterior precepto legal, se advierte que toda institución o dependencia pública del Estado de México debe conservar las constancias de asistencia de los servidores públicos durante el último año y un año después de que se extinga la relación laboral, a través de los sistemas de digitalización o de información magnética o electrónica. </w:t>
      </w:r>
    </w:p>
    <w:p w14:paraId="5CB3ADB9" w14:textId="77777777" w:rsidR="00EB77BA" w:rsidRPr="006B7F39" w:rsidRDefault="00EB77BA" w:rsidP="006B7F39"/>
    <w:p w14:paraId="51853668" w14:textId="577C757A" w:rsidR="00EB77BA" w:rsidRPr="006B7F39" w:rsidRDefault="00EB77BA" w:rsidP="006B7F39">
      <w:r w:rsidRPr="006B7F39">
        <w:t>Por su parte, el artículo 88, fracción III, de la Ley del Trabajo en comento</w:t>
      </w:r>
      <w:r w:rsidRPr="006B7F39">
        <w:rPr>
          <w:rStyle w:val="Refdenotaalpie"/>
        </w:rPr>
        <w:footnoteReference w:id="1"/>
      </w:r>
      <w:r w:rsidRPr="006B7F39">
        <w:t xml:space="preserve">, señala como una de las obligaciones que tienen los servidores públicos, es asistir puntualmente a sus labores y no </w:t>
      </w:r>
      <w:r w:rsidRPr="006B7F39">
        <w:lastRenderedPageBreak/>
        <w:t xml:space="preserve">faltar sin causa justificada o sin permiso. En consecuencia, se puede deducir que el control de asistencia de los servidores públicos permite dar certeza jurídica, de que acude al desarrollo de las funciones que para tal efecto tenga conferidas, independientemente de su área o rango, además de que los registros de asistencia de los servidores públicos, corresponden a documentos que </w:t>
      </w:r>
      <w:r w:rsidRPr="006B7F39">
        <w:rPr>
          <w:b/>
        </w:rPr>
        <w:t>EL SUJETO OBLIGADO</w:t>
      </w:r>
      <w:r w:rsidRPr="006B7F39">
        <w:t xml:space="preserve"> debe generar y archivar; pues debe de contar con ellos, e incluso, de exhibirlos en un juicio.</w:t>
      </w:r>
    </w:p>
    <w:p w14:paraId="741C7B54" w14:textId="77777777" w:rsidR="00EB77BA" w:rsidRPr="006B7F39" w:rsidRDefault="00EB77BA" w:rsidP="006B7F39">
      <w:pPr>
        <w:rPr>
          <w:rFonts w:eastAsia="Palatino Linotype" w:cs="Palatino Linotype"/>
        </w:rPr>
      </w:pPr>
    </w:p>
    <w:p w14:paraId="1489AAE8" w14:textId="06E129D1" w:rsidR="00E02E1A" w:rsidRPr="006B7F39" w:rsidRDefault="00EB77BA" w:rsidP="006B7F39">
      <w:pPr>
        <w:rPr>
          <w:rFonts w:eastAsia="Palatino Linotype" w:cs="Palatino Linotype"/>
        </w:rPr>
      </w:pPr>
      <w:r w:rsidRPr="006B7F39">
        <w:rPr>
          <w:rFonts w:eastAsia="Palatino Linotype" w:cs="Palatino Linotype"/>
        </w:rPr>
        <w:t xml:space="preserve">Derivado de lo anterior y en razón de que existe fuente obligacional de contar con la información requerida por el particular, </w:t>
      </w:r>
      <w:r w:rsidR="00B360F1" w:rsidRPr="006B7F39">
        <w:rPr>
          <w:rFonts w:eastAsia="Palatino Linotype" w:cs="Palatino Linotype"/>
        </w:rPr>
        <w:t xml:space="preserve">este Órgano Garante </w:t>
      </w:r>
      <w:r w:rsidR="00E02E1A" w:rsidRPr="006B7F39">
        <w:rPr>
          <w:rFonts w:eastAsia="Palatino Linotype" w:cs="Palatino Linotype"/>
        </w:rPr>
        <w:t>determina ordenar el</w:t>
      </w:r>
      <w:r w:rsidRPr="006B7F39">
        <w:rPr>
          <w:rFonts w:eastAsia="Palatino Linotype" w:cs="Palatino Linotype"/>
        </w:rPr>
        <w:t xml:space="preserve"> documento donde conste la </w:t>
      </w:r>
      <w:r w:rsidRPr="006B7F39">
        <w:t xml:space="preserve">autorización emitida por autoridad competente para exceptuar el registro de asistencia; </w:t>
      </w:r>
      <w:r w:rsidR="00E02E1A" w:rsidRPr="006B7F39">
        <w:t xml:space="preserve">caso contrario, </w:t>
      </w:r>
      <w:r w:rsidR="00E02E1A" w:rsidRPr="006B7F39">
        <w:rPr>
          <w:b/>
        </w:rPr>
        <w:t xml:space="preserve">EL SUJETO OBLIGADO </w:t>
      </w:r>
      <w:r w:rsidR="00E02E1A" w:rsidRPr="006B7F39">
        <w:t xml:space="preserve">deberá emitir el Acuerdo de Inexistencia en términos de los artículos 49, fracciones II y XIII, 169 y 170 de la Ley de Transparencia y Acceso a la Información Pública del Estado de México y Municipios, el cual debe cumplir con las formalidades que más adelante se detallaran. </w:t>
      </w:r>
    </w:p>
    <w:p w14:paraId="1EC4A37F" w14:textId="77777777" w:rsidR="00E02E1A" w:rsidRPr="006B7F39" w:rsidRDefault="00E02E1A" w:rsidP="006B7F39"/>
    <w:p w14:paraId="4E4774A8" w14:textId="566D136F" w:rsidR="006F0A31" w:rsidRPr="006B7F39" w:rsidRDefault="00690F2C" w:rsidP="006B7F39">
      <w:pPr>
        <w:rPr>
          <w:rFonts w:eastAsia="Palatino Linotype" w:cs="Palatino Linotype"/>
        </w:rPr>
      </w:pPr>
      <w:r w:rsidRPr="006B7F39">
        <w:t xml:space="preserve">Finalmente, por cuanto hace al requerimiento realizado por </w:t>
      </w:r>
      <w:r w:rsidRPr="006B7F39">
        <w:rPr>
          <w:b/>
        </w:rPr>
        <w:t xml:space="preserve">LA PARTE RECURRENTE </w:t>
      </w:r>
      <w:r w:rsidRPr="006B7F39">
        <w:t>identificado con el numeral 6, relacionado con las actividades realizadas por el servidor público precisado en la solicitud</w:t>
      </w:r>
      <w:r w:rsidR="006F0A31" w:rsidRPr="006B7F39">
        <w:t xml:space="preserve">; al respecto, </w:t>
      </w:r>
      <w:r w:rsidR="006F0A31" w:rsidRPr="006B7F39">
        <w:rPr>
          <w:b/>
        </w:rPr>
        <w:t xml:space="preserve">EL SUJETO OBLIGADO </w:t>
      </w:r>
      <w:r w:rsidR="006F0A31" w:rsidRPr="006B7F39">
        <w:t xml:space="preserve">proporcionó link electrónico del </w:t>
      </w:r>
      <w:r w:rsidR="006F0A31" w:rsidRPr="006B7F39">
        <w:rPr>
          <w:rFonts w:cs="Tahoma"/>
          <w:szCs w:val="22"/>
          <w:lang w:val="es-ES"/>
        </w:rPr>
        <w:t xml:space="preserve">Manual General de Organización de la Secretaría de la Contraloría, donde se mencionan las funciones de los titulares, encargados de las unidades administrativas básicas, motivo por el cual se considera </w:t>
      </w:r>
      <w:r w:rsidR="006F0A31" w:rsidRPr="006B7F39">
        <w:rPr>
          <w:rFonts w:eastAsia="Palatino Linotype" w:cs="Palatino Linotype"/>
        </w:rPr>
        <w:t xml:space="preserve">conveniente señalar que el artículo 161 de la de Transparencia y Acceso a la Información Pública del Estado de México y Municipios, dispone que cuando la información pública requerida por el solicitante ya esté disponible al público en formatos </w:t>
      </w:r>
      <w:r w:rsidR="006F0A31" w:rsidRPr="006B7F39">
        <w:rPr>
          <w:rFonts w:eastAsia="Palatino Linotype" w:cs="Palatino Linotype"/>
        </w:rPr>
        <w:lastRenderedPageBreak/>
        <w:t xml:space="preserve">electrónicos disponibles en internet se deberá hacer del conocimiento del particular por el medio requerido la fuente, el lugar y la forma en que se puede consultar la información , dentro de un plazo no mayor a cinco días, como a continuación se observa: </w:t>
      </w:r>
    </w:p>
    <w:p w14:paraId="26534240" w14:textId="77777777" w:rsidR="006F0A31" w:rsidRPr="006B7F39" w:rsidRDefault="006F0A31" w:rsidP="006B7F39">
      <w:pPr>
        <w:ind w:left="720"/>
        <w:rPr>
          <w:rFonts w:eastAsia="Palatino Linotype" w:cs="Palatino Linotype"/>
          <w:i/>
        </w:rPr>
      </w:pPr>
    </w:p>
    <w:p w14:paraId="63215655" w14:textId="77777777" w:rsidR="006F0A31" w:rsidRPr="006B7F39" w:rsidRDefault="006F0A31" w:rsidP="006B7F39">
      <w:pPr>
        <w:pStyle w:val="Puesto"/>
        <w:rPr>
          <w:rFonts w:eastAsia="Palatino Linotype"/>
        </w:rPr>
      </w:pPr>
      <w:r w:rsidRPr="006B7F39">
        <w:rPr>
          <w:rFonts w:eastAsia="Palatino Linotype"/>
        </w:rPr>
        <w:t>“</w:t>
      </w:r>
      <w:r w:rsidRPr="006B7F39">
        <w:rPr>
          <w:rFonts w:eastAsia="Palatino Linotype"/>
          <w:b/>
        </w:rPr>
        <w:t>Artículo 161.</w:t>
      </w:r>
      <w:r w:rsidRPr="006B7F39">
        <w:rPr>
          <w:rFonts w:eastAsia="Palatino Linotype"/>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6B7F39">
        <w:rPr>
          <w:rFonts w:eastAsia="Palatino Linotype"/>
          <w:b/>
        </w:rPr>
        <w:t>la forma</w:t>
      </w:r>
      <w:r w:rsidRPr="006B7F39">
        <w:rPr>
          <w:rFonts w:eastAsia="Palatino Linotype"/>
        </w:rPr>
        <w:t xml:space="preserve"> en que puede consultar, reproducir o adquirir dicha información en un plazo no mayor a cinco días hábiles.</w:t>
      </w:r>
      <w:r w:rsidRPr="006B7F39">
        <w:rPr>
          <w:rFonts w:eastAsia="Palatino Linotype"/>
          <w:b/>
        </w:rPr>
        <w:t xml:space="preserve"> La fuente deberá ser precisa y concreta y no debe implicar que el solicitante realice una búsqueda en toda la información que se encuentre disponible.</w:t>
      </w:r>
      <w:r w:rsidRPr="006B7F39">
        <w:rPr>
          <w:rFonts w:eastAsia="Palatino Linotype"/>
        </w:rPr>
        <w:t>”</w:t>
      </w:r>
    </w:p>
    <w:p w14:paraId="10F9E6DB" w14:textId="77777777" w:rsidR="006F0A31" w:rsidRPr="006B7F39" w:rsidRDefault="006F0A31" w:rsidP="006B7F39">
      <w:pPr>
        <w:ind w:left="720"/>
        <w:rPr>
          <w:rFonts w:eastAsia="Palatino Linotype" w:cs="Palatino Linotype"/>
        </w:rPr>
      </w:pPr>
    </w:p>
    <w:p w14:paraId="5E1A0938" w14:textId="59803E00" w:rsidR="006F0A31" w:rsidRPr="006B7F39" w:rsidRDefault="006F0A31" w:rsidP="006B7F39">
      <w:pPr>
        <w:ind w:right="49"/>
        <w:contextualSpacing/>
        <w:rPr>
          <w:rFonts w:cs="Arial"/>
          <w:lang w:val="es-ES"/>
        </w:rPr>
      </w:pPr>
      <w:r w:rsidRPr="006B7F39">
        <w:rPr>
          <w:rFonts w:cs="Arial"/>
          <w:lang w:val="es-ES"/>
        </w:rPr>
        <w:t xml:space="preserve">Así las cosas este Órgano Garante advierte que la información que pretendía entregar </w:t>
      </w:r>
      <w:r w:rsidRPr="006B7F39">
        <w:rPr>
          <w:rFonts w:cs="Arial"/>
          <w:b/>
          <w:lang w:val="es-ES"/>
        </w:rPr>
        <w:t>EL</w:t>
      </w:r>
      <w:r w:rsidRPr="006B7F39">
        <w:rPr>
          <w:rFonts w:cs="Arial"/>
          <w:lang w:val="es-ES"/>
        </w:rPr>
        <w:t xml:space="preserve"> </w:t>
      </w:r>
      <w:r w:rsidRPr="006B7F39">
        <w:rPr>
          <w:rFonts w:cs="Arial"/>
          <w:b/>
          <w:lang w:val="es-ES"/>
        </w:rPr>
        <w:t>SUJETO OBLIGADO</w:t>
      </w:r>
      <w:r w:rsidRPr="006B7F39">
        <w:rPr>
          <w:rFonts w:cs="Arial"/>
          <w:lang w:val="es-ES"/>
        </w:rPr>
        <w:t xml:space="preserve"> no se encuentra acorde a lo que establece la Ley de la materia, pues en primer término no fue proporcionado dentro de los primero cinco días; asimismo, los links electrónicos proporcionados se encuentran en formato cerrado; es decir, implica que la particular transcriba el mismo, lo que pudiera generar la existencia de un error humano y hacer imposible su consulta.  </w:t>
      </w:r>
    </w:p>
    <w:p w14:paraId="27E082E3" w14:textId="77777777" w:rsidR="006F0A31" w:rsidRPr="006B7F39" w:rsidRDefault="006F0A31" w:rsidP="006B7F39">
      <w:pPr>
        <w:rPr>
          <w:rFonts w:eastAsia="Palatino Linotype" w:cs="Palatino Linotype"/>
        </w:rPr>
      </w:pPr>
    </w:p>
    <w:p w14:paraId="4A9842C8" w14:textId="77777777" w:rsidR="006F0A31" w:rsidRPr="006B7F39" w:rsidRDefault="006F0A31" w:rsidP="006B7F39">
      <w:pPr>
        <w:ind w:right="49"/>
        <w:contextualSpacing/>
        <w:rPr>
          <w:lang w:eastAsia="es-MX"/>
        </w:rPr>
      </w:pPr>
      <w:r w:rsidRPr="006B7F39">
        <w:rPr>
          <w:rFonts w:cs="Arial"/>
          <w:lang w:val="es-ES"/>
        </w:rPr>
        <w:t xml:space="preserve">Derivado de lo anterior, cabe destacar que </w:t>
      </w:r>
      <w:r w:rsidRPr="006B7F39">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E46D38A" w14:textId="77777777" w:rsidR="006F0A31" w:rsidRPr="006B7F39" w:rsidRDefault="006F0A31" w:rsidP="006B7F39">
      <w:pPr>
        <w:rPr>
          <w:lang w:eastAsia="es-MX"/>
        </w:rPr>
      </w:pPr>
      <w:r w:rsidRPr="006B7F39">
        <w:rPr>
          <w:lang w:eastAsia="es-MX"/>
        </w:rPr>
        <w:t> </w:t>
      </w:r>
    </w:p>
    <w:p w14:paraId="0E2E29A8" w14:textId="77777777" w:rsidR="006F0A31" w:rsidRPr="006B7F39" w:rsidRDefault="006F0A31" w:rsidP="006B7F39">
      <w:pPr>
        <w:rPr>
          <w:lang w:eastAsia="es-MX"/>
        </w:rPr>
      </w:pPr>
      <w:r w:rsidRPr="006B7F39">
        <w:rPr>
          <w:lang w:eastAsia="es-MX"/>
        </w:rPr>
        <w:lastRenderedPageBreak/>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C00C150" w14:textId="77777777" w:rsidR="006F0A31" w:rsidRPr="006B7F39" w:rsidRDefault="006F0A31" w:rsidP="006B7F39">
      <w:pPr>
        <w:rPr>
          <w:lang w:eastAsia="es-MX"/>
        </w:rPr>
      </w:pPr>
      <w:r w:rsidRPr="006B7F39">
        <w:rPr>
          <w:lang w:eastAsia="es-MX"/>
        </w:rPr>
        <w:t> </w:t>
      </w:r>
    </w:p>
    <w:p w14:paraId="6404E524" w14:textId="77777777" w:rsidR="006F0A31" w:rsidRPr="006B7F39" w:rsidRDefault="006F0A31" w:rsidP="006B7F39">
      <w:pPr>
        <w:rPr>
          <w:rFonts w:cs="Tahoma"/>
          <w:b/>
          <w:bCs/>
          <w:i/>
        </w:rPr>
      </w:pPr>
      <w:r w:rsidRPr="006B7F39">
        <w:rPr>
          <w:rFonts w:eastAsia="Calibri" w:cs="Tahoma"/>
          <w:bCs/>
        </w:rPr>
        <w:t xml:space="preserve">Derivado de lo anterior, se considera necesario precisar que datos abiertos, conforme a la </w:t>
      </w:r>
      <w:r w:rsidRPr="006B7F39">
        <w:rPr>
          <w:rFonts w:cs="Tahoma"/>
          <w:bCs/>
        </w:rPr>
        <w:t>Carta Internacional de Datos Abiertos</w:t>
      </w:r>
      <w:r w:rsidRPr="006B7F39">
        <w:rPr>
          <w:rStyle w:val="Refdenotaalpie"/>
          <w:rFonts w:eastAsiaTheme="majorEastAsia" w:cs="Tahoma"/>
          <w:bCs/>
        </w:rPr>
        <w:footnoteReference w:id="2"/>
      </w:r>
      <w:r w:rsidRPr="006B7F39">
        <w:rPr>
          <w:rFonts w:eastAsia="Calibri" w:cs="Tahoma"/>
          <w:bCs/>
        </w:rPr>
        <w:t xml:space="preserve"> </w:t>
      </w:r>
      <w:r w:rsidRPr="006B7F39">
        <w:rPr>
          <w:rFonts w:cs="Tahoma"/>
          <w:bCs/>
          <w:i/>
        </w:rPr>
        <w:t xml:space="preserve">son datos digitales que son puestos a disposición con las características técnicas y jurídicas necesarias para que </w:t>
      </w:r>
      <w:r w:rsidRPr="006B7F39">
        <w:rPr>
          <w:rFonts w:cs="Tahoma"/>
          <w:b/>
          <w:bCs/>
          <w:i/>
        </w:rPr>
        <w:t xml:space="preserve">puedan ser </w:t>
      </w:r>
      <w:r w:rsidRPr="006B7F39">
        <w:rPr>
          <w:rFonts w:cs="Tahoma"/>
          <w:b/>
          <w:bCs/>
          <w:i/>
          <w:u w:val="single"/>
        </w:rPr>
        <w:t>u</w:t>
      </w:r>
      <w:r w:rsidRPr="006B7F39">
        <w:rPr>
          <w:rFonts w:cs="Tahoma"/>
          <w:b/>
          <w:bCs/>
          <w:i/>
        </w:rPr>
        <w:t>sados, reutilizados y redistribuidos libremente por cualquier persona, en cualquier momento y en cualquier lugar.</w:t>
      </w:r>
    </w:p>
    <w:p w14:paraId="2AD77012" w14:textId="77777777" w:rsidR="006F0A31" w:rsidRPr="006B7F39" w:rsidRDefault="006F0A31" w:rsidP="006B7F39">
      <w:pPr>
        <w:rPr>
          <w:lang w:eastAsia="es-MX"/>
        </w:rPr>
      </w:pPr>
    </w:p>
    <w:p w14:paraId="25F31BC9" w14:textId="77777777" w:rsidR="006F0A31" w:rsidRPr="006B7F39" w:rsidRDefault="006F0A31" w:rsidP="006B7F39">
      <w:pPr>
        <w:rPr>
          <w:lang w:eastAsia="es-MX"/>
        </w:rPr>
      </w:pPr>
      <w:r w:rsidRPr="006B7F39">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7A7DBF2A" w14:textId="77777777" w:rsidR="006F0A31" w:rsidRPr="006B7F39" w:rsidRDefault="006F0A31" w:rsidP="006B7F39">
      <w:pPr>
        <w:rPr>
          <w:lang w:eastAsia="es-MX"/>
        </w:rPr>
      </w:pPr>
      <w:r w:rsidRPr="006B7F39">
        <w:rPr>
          <w:lang w:eastAsia="es-MX"/>
        </w:rPr>
        <w:t> </w:t>
      </w:r>
    </w:p>
    <w:p w14:paraId="451BA398" w14:textId="77777777" w:rsidR="006F0A31" w:rsidRPr="006B7F39" w:rsidRDefault="006F0A31" w:rsidP="006B7F39">
      <w:pPr>
        <w:pStyle w:val="Prrafodelista"/>
        <w:numPr>
          <w:ilvl w:val="0"/>
          <w:numId w:val="31"/>
        </w:numPr>
        <w:rPr>
          <w:lang w:eastAsia="es-MX"/>
        </w:rPr>
      </w:pPr>
      <w:r w:rsidRPr="006B7F39">
        <w:rPr>
          <w:b/>
          <w:bCs/>
          <w:lang w:eastAsia="es-MX"/>
        </w:rPr>
        <w:t xml:space="preserve">Dato abierto: </w:t>
      </w:r>
      <w:r w:rsidRPr="006B7F39">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505FE971" w14:textId="77777777" w:rsidR="006F0A31" w:rsidRPr="006B7F39" w:rsidRDefault="006F0A31" w:rsidP="006B7F39">
      <w:pPr>
        <w:ind w:left="720"/>
        <w:rPr>
          <w:lang w:eastAsia="es-MX"/>
        </w:rPr>
      </w:pPr>
      <w:r w:rsidRPr="006B7F39">
        <w:rPr>
          <w:b/>
          <w:bCs/>
          <w:lang w:eastAsia="es-MX"/>
        </w:rPr>
        <w:t> </w:t>
      </w:r>
    </w:p>
    <w:p w14:paraId="0A8B6B1F" w14:textId="77777777" w:rsidR="006F0A31" w:rsidRPr="006B7F39" w:rsidRDefault="006F0A31" w:rsidP="006B7F39">
      <w:pPr>
        <w:pStyle w:val="Prrafodelista"/>
        <w:numPr>
          <w:ilvl w:val="0"/>
          <w:numId w:val="31"/>
        </w:numPr>
        <w:rPr>
          <w:lang w:eastAsia="es-MX"/>
        </w:rPr>
      </w:pPr>
      <w:r w:rsidRPr="006B7F39">
        <w:rPr>
          <w:b/>
          <w:bCs/>
          <w:lang w:eastAsia="es-MX"/>
        </w:rPr>
        <w:t xml:space="preserve">Formato accesible: </w:t>
      </w:r>
      <w:r w:rsidRPr="006B7F39">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1993A4A" w14:textId="77777777" w:rsidR="006F0A31" w:rsidRPr="006B7F39" w:rsidRDefault="006F0A31" w:rsidP="006B7F39">
      <w:pPr>
        <w:rPr>
          <w:lang w:eastAsia="es-MX"/>
        </w:rPr>
      </w:pPr>
    </w:p>
    <w:p w14:paraId="0E5DDAF0" w14:textId="77777777" w:rsidR="006F0A31" w:rsidRPr="006B7F39" w:rsidRDefault="006F0A31" w:rsidP="006B7F39">
      <w:pPr>
        <w:rPr>
          <w:rFonts w:cs="Tahoma"/>
          <w:bCs/>
        </w:rPr>
      </w:pPr>
      <w:r w:rsidRPr="006B7F39">
        <w:rPr>
          <w:rFonts w:cs="Tahoma"/>
          <w:bCs/>
        </w:rPr>
        <w:t xml:space="preserve">Es así que, los datos abiertos cumplen con la finalidad de poder ser utilizados, </w:t>
      </w:r>
      <w:r w:rsidRPr="006B7F39">
        <w:rPr>
          <w:rFonts w:cs="Tahoma"/>
          <w:b/>
          <w:bCs/>
        </w:rPr>
        <w:t xml:space="preserve">reutilizados </w:t>
      </w:r>
      <w:r w:rsidRPr="006B7F39">
        <w:rPr>
          <w:rFonts w:cs="Tahoma"/>
          <w:bCs/>
        </w:rPr>
        <w:t xml:space="preserve">y redistribuidos; y que el formato de datos abiertos, </w:t>
      </w:r>
      <w:r w:rsidRPr="006B7F39">
        <w:rPr>
          <w:rFonts w:cs="Tahoma"/>
          <w:b/>
          <w:bCs/>
        </w:rPr>
        <w:t>debe permitir la aplicación y reproducción</w:t>
      </w:r>
      <w:r w:rsidRPr="006B7F39">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6B7F39">
        <w:rPr>
          <w:rFonts w:cs="Tahoma"/>
          <w:bCs/>
        </w:rPr>
        <w:t>pdf</w:t>
      </w:r>
      <w:proofErr w:type="spellEnd"/>
      <w:r w:rsidRPr="006B7F39">
        <w:rPr>
          <w:rFonts w:cs="Tahoma"/>
          <w:bCs/>
        </w:rPr>
        <w:t xml:space="preserve">, no permite seleccionar texto, copiarlo y pegarlo, tal como se muestra en la siguiente imagen: </w:t>
      </w:r>
    </w:p>
    <w:p w14:paraId="41A4E98D" w14:textId="77777777" w:rsidR="006F0A31" w:rsidRPr="006B7F39" w:rsidRDefault="006F0A31" w:rsidP="006B7F39">
      <w:pPr>
        <w:rPr>
          <w:rFonts w:cs="Tahoma"/>
          <w:bCs/>
        </w:rPr>
      </w:pPr>
    </w:p>
    <w:p w14:paraId="3FE7BD4C" w14:textId="1165409C" w:rsidR="006F0A31" w:rsidRPr="006B7F39" w:rsidRDefault="006F0A31" w:rsidP="006B7F39">
      <w:pPr>
        <w:jc w:val="center"/>
        <w:rPr>
          <w:rFonts w:cs="Tahoma"/>
          <w:bCs/>
        </w:rPr>
      </w:pPr>
      <w:r w:rsidRPr="006B7F39">
        <w:rPr>
          <w:rFonts w:cs="Tahoma"/>
          <w:bCs/>
          <w:noProof/>
          <w:lang w:eastAsia="es-MX"/>
        </w:rPr>
        <w:drawing>
          <wp:inline distT="0" distB="0" distL="0" distR="0" wp14:anchorId="746C6A06" wp14:editId="26D1E36C">
            <wp:extent cx="4572000" cy="570016"/>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9021" cy="575878"/>
                    </a:xfrm>
                    <a:prstGeom prst="rect">
                      <a:avLst/>
                    </a:prstGeom>
                  </pic:spPr>
                </pic:pic>
              </a:graphicData>
            </a:graphic>
          </wp:inline>
        </w:drawing>
      </w:r>
    </w:p>
    <w:p w14:paraId="7A2E3DDE" w14:textId="77777777" w:rsidR="006F0A31" w:rsidRPr="006B7F39" w:rsidRDefault="006F0A31" w:rsidP="006B7F39">
      <w:pPr>
        <w:rPr>
          <w:lang w:eastAsia="es-MX"/>
        </w:rPr>
      </w:pPr>
    </w:p>
    <w:p w14:paraId="2C01E7AA" w14:textId="77777777" w:rsidR="00393AF2" w:rsidRPr="006B7F39" w:rsidRDefault="006F0A31" w:rsidP="006B7F39">
      <w:pPr>
        <w:rPr>
          <w:lang w:eastAsia="es-MX"/>
        </w:rPr>
      </w:pPr>
      <w:r w:rsidRPr="006B7F39">
        <w:rPr>
          <w:lang w:eastAsia="es-MX"/>
        </w:rPr>
        <w:t xml:space="preserve">Conforme a lo anterior, este Órgano Garante determina que no se colma el derecho de acceso a la información accionado por el particular, pues </w:t>
      </w:r>
      <w:r w:rsidRPr="006B7F39">
        <w:rPr>
          <w:b/>
          <w:lang w:eastAsia="es-MX"/>
        </w:rPr>
        <w:t xml:space="preserve">EL SUJETO OBLIGADO </w:t>
      </w:r>
      <w:r w:rsidRPr="006B7F39">
        <w:rPr>
          <w:lang w:eastAsia="es-MX"/>
        </w:rPr>
        <w:t>omitió</w:t>
      </w:r>
      <w:r w:rsidRPr="006B7F39">
        <w:rPr>
          <w:b/>
          <w:lang w:eastAsia="es-MX"/>
        </w:rPr>
        <w:t xml:space="preserve"> </w:t>
      </w:r>
      <w:r w:rsidRPr="006B7F39">
        <w:rPr>
          <w:lang w:eastAsia="es-MX"/>
        </w:rPr>
        <w:t xml:space="preserve">entregar las ligas electrónicas en datos abiertos, es decir, en un formato que permita la accesibilidad y facilidad a los particulares, para obtener la información contenida estas; en consecuencia, determina ordenar el documento donde consten las actividades </w:t>
      </w:r>
      <w:r w:rsidR="00393AF2" w:rsidRPr="006B7F39">
        <w:rPr>
          <w:lang w:eastAsia="es-MX"/>
        </w:rPr>
        <w:t xml:space="preserve">que </w:t>
      </w:r>
      <w:r w:rsidRPr="006B7F39">
        <w:rPr>
          <w:lang w:eastAsia="es-MX"/>
        </w:rPr>
        <w:t>realizada el servidor público precisado en la solicitud</w:t>
      </w:r>
      <w:r w:rsidR="00393AF2" w:rsidRPr="006B7F39">
        <w:rPr>
          <w:lang w:eastAsia="es-MX"/>
        </w:rPr>
        <w:t xml:space="preserve"> al catorce de agosto de dos mil veinticuatro. </w:t>
      </w:r>
    </w:p>
    <w:p w14:paraId="5B086ED3" w14:textId="25719421" w:rsidR="006F0A31" w:rsidRPr="006B7F39" w:rsidRDefault="006F0A31" w:rsidP="006B7F39">
      <w:pPr>
        <w:rPr>
          <w:lang w:eastAsia="es-MX"/>
        </w:rPr>
      </w:pPr>
      <w:r w:rsidRPr="006B7F39">
        <w:rPr>
          <w:lang w:eastAsia="es-MX"/>
        </w:rPr>
        <w:t xml:space="preserve"> </w:t>
      </w:r>
    </w:p>
    <w:p w14:paraId="5E847EBC" w14:textId="77777777" w:rsidR="00393AF2" w:rsidRPr="006B7F39" w:rsidRDefault="00393AF2" w:rsidP="006B7F39">
      <w:pPr>
        <w:pStyle w:val="Ttulo3"/>
      </w:pPr>
      <w:bookmarkStart w:id="33" w:name="_Toc165402882"/>
      <w:bookmarkStart w:id="34" w:name="_Toc179394295"/>
      <w:r w:rsidRPr="006B7F39">
        <w:t>d) Versión pública</w:t>
      </w:r>
      <w:bookmarkEnd w:id="33"/>
      <w:bookmarkEnd w:id="34"/>
    </w:p>
    <w:p w14:paraId="1BFECC70" w14:textId="77777777" w:rsidR="00393AF2" w:rsidRPr="006B7F39" w:rsidRDefault="00393AF2" w:rsidP="006B7F39">
      <w:pPr>
        <w:rPr>
          <w:bCs/>
        </w:rPr>
      </w:pPr>
      <w:r w:rsidRPr="006B7F39">
        <w:t xml:space="preserve">Para el caso de que el o los documentos de los cuales se ordena su entrega contengan datos personales susceptibles de ser testados, deberán ser entregados en </w:t>
      </w:r>
      <w:r w:rsidRPr="006B7F39">
        <w:rPr>
          <w:b/>
        </w:rPr>
        <w:t>versión pública</w:t>
      </w:r>
      <w:r w:rsidRPr="006B7F39">
        <w:t>, pues el</w:t>
      </w:r>
      <w:r w:rsidRPr="006B7F3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6B7F39">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8F5ABDF" w14:textId="77777777" w:rsidR="00393AF2" w:rsidRPr="006B7F39" w:rsidRDefault="00393AF2" w:rsidP="006B7F39">
      <w:pPr>
        <w:rPr>
          <w:rFonts w:eastAsia="Calibri"/>
          <w:bCs/>
          <w:lang w:eastAsia="en-US"/>
        </w:rPr>
      </w:pPr>
    </w:p>
    <w:p w14:paraId="23CF52EB" w14:textId="77777777" w:rsidR="00393AF2" w:rsidRPr="006B7F39" w:rsidRDefault="00393AF2" w:rsidP="006B7F39">
      <w:pPr>
        <w:rPr>
          <w:bCs/>
        </w:rPr>
      </w:pPr>
      <w:r w:rsidRPr="006B7F39">
        <w:rPr>
          <w:bCs/>
        </w:rPr>
        <w:t>A este respecto, los artículos 3, fracciones IX, XX, XXI y XLV; 51 y 52 de la Ley de Transparencia y Acceso a la Información Pública del Estado de México y Municipios establecen:</w:t>
      </w:r>
    </w:p>
    <w:p w14:paraId="63ACD118" w14:textId="77777777" w:rsidR="00393AF2" w:rsidRPr="006B7F39" w:rsidRDefault="00393AF2" w:rsidP="006B7F39"/>
    <w:p w14:paraId="77DE69BF" w14:textId="77777777" w:rsidR="00393AF2" w:rsidRPr="006B7F39" w:rsidRDefault="00393AF2" w:rsidP="006B7F39">
      <w:pPr>
        <w:pStyle w:val="Puesto"/>
      </w:pPr>
      <w:r w:rsidRPr="006B7F39">
        <w:rPr>
          <w:b/>
          <w:bCs/>
          <w:noProof/>
        </w:rPr>
        <w:t>“</w:t>
      </w:r>
      <w:r w:rsidRPr="006B7F39">
        <w:rPr>
          <w:b/>
          <w:bCs/>
        </w:rPr>
        <w:t xml:space="preserve">Artículo 3. </w:t>
      </w:r>
      <w:r w:rsidRPr="006B7F39">
        <w:t xml:space="preserve">Para los efectos de la presente Ley se entenderá por: </w:t>
      </w:r>
    </w:p>
    <w:p w14:paraId="2A8BB109" w14:textId="77777777" w:rsidR="00393AF2" w:rsidRPr="006B7F39" w:rsidRDefault="00393AF2" w:rsidP="006B7F39">
      <w:pPr>
        <w:pStyle w:val="Puesto"/>
      </w:pPr>
      <w:r w:rsidRPr="006B7F39">
        <w:rPr>
          <w:b/>
        </w:rPr>
        <w:t>IX.</w:t>
      </w:r>
      <w:r w:rsidRPr="006B7F39">
        <w:t xml:space="preserve"> </w:t>
      </w:r>
      <w:r w:rsidRPr="006B7F39">
        <w:rPr>
          <w:b/>
        </w:rPr>
        <w:t xml:space="preserve">Datos personales: </w:t>
      </w:r>
      <w:r w:rsidRPr="006B7F39">
        <w:t xml:space="preserve">La información concerniente a una persona, identificada o identificable según lo dispuesto por la Ley de Protección de Datos Personales del Estado de México; </w:t>
      </w:r>
    </w:p>
    <w:p w14:paraId="4C13686E" w14:textId="77777777" w:rsidR="00393AF2" w:rsidRPr="006B7F39" w:rsidRDefault="00393AF2" w:rsidP="006B7F39"/>
    <w:p w14:paraId="1F9A2CB7" w14:textId="77777777" w:rsidR="00393AF2" w:rsidRPr="006B7F39" w:rsidRDefault="00393AF2" w:rsidP="006B7F39">
      <w:pPr>
        <w:pStyle w:val="Puesto"/>
      </w:pPr>
      <w:r w:rsidRPr="006B7F39">
        <w:rPr>
          <w:b/>
        </w:rPr>
        <w:t>XX.</w:t>
      </w:r>
      <w:r w:rsidRPr="006B7F39">
        <w:t xml:space="preserve"> </w:t>
      </w:r>
      <w:r w:rsidRPr="006B7F39">
        <w:rPr>
          <w:b/>
        </w:rPr>
        <w:t>Información clasificada:</w:t>
      </w:r>
      <w:r w:rsidRPr="006B7F39">
        <w:t xml:space="preserve"> Aquella considerada por la presente Ley como reservada o confidencial; </w:t>
      </w:r>
    </w:p>
    <w:p w14:paraId="78B21968" w14:textId="77777777" w:rsidR="00393AF2" w:rsidRPr="006B7F39" w:rsidRDefault="00393AF2" w:rsidP="006B7F39"/>
    <w:p w14:paraId="63859C12" w14:textId="77777777" w:rsidR="00393AF2" w:rsidRPr="006B7F39" w:rsidRDefault="00393AF2" w:rsidP="006B7F39">
      <w:pPr>
        <w:pStyle w:val="Puesto"/>
      </w:pPr>
      <w:r w:rsidRPr="006B7F39">
        <w:rPr>
          <w:b/>
        </w:rPr>
        <w:t>XXI.</w:t>
      </w:r>
      <w:r w:rsidRPr="006B7F39">
        <w:t xml:space="preserve"> </w:t>
      </w:r>
      <w:r w:rsidRPr="006B7F39">
        <w:rPr>
          <w:b/>
        </w:rPr>
        <w:t>Información confidencial</w:t>
      </w:r>
      <w:r w:rsidRPr="006B7F3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C150F5" w14:textId="77777777" w:rsidR="00393AF2" w:rsidRPr="006B7F39" w:rsidRDefault="00393AF2" w:rsidP="006B7F39"/>
    <w:p w14:paraId="6E4B887D" w14:textId="77777777" w:rsidR="00393AF2" w:rsidRPr="006B7F39" w:rsidRDefault="00393AF2" w:rsidP="006B7F39">
      <w:pPr>
        <w:pStyle w:val="Puesto"/>
      </w:pPr>
      <w:r w:rsidRPr="006B7F39">
        <w:rPr>
          <w:b/>
        </w:rPr>
        <w:t>XLV. Versión pública:</w:t>
      </w:r>
      <w:r w:rsidRPr="006B7F39">
        <w:t xml:space="preserve"> Documento en el que se elimine, suprime o borra la información clasificada como reservada o confidencial para permitir su acceso. </w:t>
      </w:r>
    </w:p>
    <w:p w14:paraId="62C01A2B" w14:textId="77777777" w:rsidR="00393AF2" w:rsidRPr="006B7F39" w:rsidRDefault="00393AF2" w:rsidP="006B7F39"/>
    <w:p w14:paraId="7EB8E013" w14:textId="77777777" w:rsidR="00393AF2" w:rsidRPr="006B7F39" w:rsidRDefault="00393AF2" w:rsidP="006B7F39">
      <w:pPr>
        <w:pStyle w:val="Puesto"/>
      </w:pPr>
      <w:r w:rsidRPr="006B7F39">
        <w:rPr>
          <w:b/>
        </w:rPr>
        <w:t>Artículo 51.</w:t>
      </w:r>
      <w:r w:rsidRPr="006B7F39">
        <w:t xml:space="preserve"> Los sujetos obligados designaran a un responsable para atender la Unidad de Transparencia, quien fungirá como enlace entre éstos y los solicitantes. Dicha Unidad será la encargada de tramitar internamente la solicitud de información </w:t>
      </w:r>
      <w:r w:rsidRPr="006B7F39">
        <w:rPr>
          <w:b/>
        </w:rPr>
        <w:t xml:space="preserve">y tendrá la responsabilidad de verificar en cada caso que la misma no sea confidencial o reservada. </w:t>
      </w:r>
      <w:r w:rsidRPr="006B7F39">
        <w:t>Dicha Unidad contará con las facultades internas necesarias para gestionar la atención a las solicitudes de información en los términos de la Ley General y la presente Ley.</w:t>
      </w:r>
    </w:p>
    <w:p w14:paraId="15792DCB" w14:textId="77777777" w:rsidR="00393AF2" w:rsidRPr="006B7F39" w:rsidRDefault="00393AF2" w:rsidP="006B7F39"/>
    <w:p w14:paraId="64DE8602" w14:textId="77777777" w:rsidR="00393AF2" w:rsidRPr="006B7F39" w:rsidRDefault="00393AF2" w:rsidP="006B7F39">
      <w:pPr>
        <w:pStyle w:val="Puesto"/>
      </w:pPr>
      <w:r w:rsidRPr="006B7F39">
        <w:rPr>
          <w:b/>
        </w:rPr>
        <w:lastRenderedPageBreak/>
        <w:t>Artículo 52.</w:t>
      </w:r>
      <w:r w:rsidRPr="006B7F39">
        <w:t xml:space="preserve"> Las solicitudes de acceso a la información y las respuestas que se les dé, incluyendo, en su caso, </w:t>
      </w:r>
      <w:r w:rsidRPr="006B7F39">
        <w:rPr>
          <w:u w:val="single"/>
        </w:rPr>
        <w:t>la información entregada, así como las resoluciones a los recursos que en su caso se promuevan serán públicas, y de ser el caso que contenga datos personales que deban ser protegidos se podrá dar su acceso en su versión pública</w:t>
      </w:r>
      <w:r w:rsidRPr="006B7F39">
        <w:t>, siempre y cuando la resolución de referencia se someta a un proceso de disociación, es decir, no haga identificable al titular de tales datos personales.</w:t>
      </w:r>
      <w:r w:rsidRPr="006B7F39">
        <w:rPr>
          <w:bCs/>
          <w:noProof/>
        </w:rPr>
        <w:t xml:space="preserve">” </w:t>
      </w:r>
      <w:r w:rsidRPr="006B7F39">
        <w:rPr>
          <w:i w:val="0"/>
          <w:iCs/>
          <w:szCs w:val="22"/>
        </w:rPr>
        <w:t>(Énfasis añadido)</w:t>
      </w:r>
    </w:p>
    <w:p w14:paraId="47C7DC95" w14:textId="77777777" w:rsidR="00393AF2" w:rsidRPr="006B7F39" w:rsidRDefault="00393AF2" w:rsidP="006B7F39"/>
    <w:p w14:paraId="59662282" w14:textId="77777777" w:rsidR="00393AF2" w:rsidRPr="006B7F39" w:rsidRDefault="00393AF2" w:rsidP="006B7F39">
      <w:r w:rsidRPr="006B7F3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E46C206" w14:textId="77777777" w:rsidR="00393AF2" w:rsidRPr="006B7F39" w:rsidRDefault="00393AF2" w:rsidP="006B7F39"/>
    <w:p w14:paraId="3B8E3021" w14:textId="77777777" w:rsidR="00393AF2" w:rsidRPr="006B7F39" w:rsidRDefault="00393AF2" w:rsidP="006B7F39">
      <w:pPr>
        <w:pStyle w:val="Puesto"/>
        <w:rPr>
          <w:rFonts w:eastAsia="Arial Unicode MS"/>
        </w:rPr>
      </w:pPr>
      <w:r w:rsidRPr="006B7F39">
        <w:rPr>
          <w:rFonts w:eastAsia="Arial Unicode MS"/>
          <w:b/>
        </w:rPr>
        <w:t>“Artículo 22.</w:t>
      </w:r>
      <w:r w:rsidRPr="006B7F3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8D9348F" w14:textId="77777777" w:rsidR="00393AF2" w:rsidRPr="006B7F39" w:rsidRDefault="00393AF2" w:rsidP="006B7F39">
      <w:pPr>
        <w:rPr>
          <w:rFonts w:eastAsia="Arial Unicode MS"/>
        </w:rPr>
      </w:pPr>
    </w:p>
    <w:p w14:paraId="1FC2323C" w14:textId="77777777" w:rsidR="00393AF2" w:rsidRPr="006B7F39" w:rsidRDefault="00393AF2" w:rsidP="006B7F39">
      <w:pPr>
        <w:pStyle w:val="Puesto"/>
        <w:rPr>
          <w:rFonts w:eastAsia="Arial Unicode MS"/>
        </w:rPr>
      </w:pPr>
      <w:r w:rsidRPr="006B7F39">
        <w:rPr>
          <w:rFonts w:eastAsia="Arial Unicode MS"/>
          <w:b/>
        </w:rPr>
        <w:t>Artículo 38.</w:t>
      </w:r>
      <w:r w:rsidRPr="006B7F3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B7F39">
        <w:rPr>
          <w:rFonts w:eastAsia="Arial Unicode MS"/>
          <w:b/>
        </w:rPr>
        <w:t>”</w:t>
      </w:r>
      <w:r w:rsidRPr="006B7F39">
        <w:rPr>
          <w:rFonts w:eastAsia="Arial Unicode MS"/>
        </w:rPr>
        <w:t xml:space="preserve"> </w:t>
      </w:r>
    </w:p>
    <w:p w14:paraId="780DEAEE" w14:textId="77777777" w:rsidR="00393AF2" w:rsidRPr="006B7F39" w:rsidRDefault="00393AF2" w:rsidP="006B7F39">
      <w:pPr>
        <w:rPr>
          <w:rFonts w:eastAsia="Arial Unicode MS"/>
          <w:i/>
          <w:szCs w:val="22"/>
        </w:rPr>
      </w:pPr>
    </w:p>
    <w:p w14:paraId="48FAA312" w14:textId="77777777" w:rsidR="00393AF2" w:rsidRPr="006B7F39" w:rsidRDefault="00393AF2" w:rsidP="006B7F39">
      <w:r w:rsidRPr="006B7F3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6B7F39">
        <w:lastRenderedPageBreak/>
        <w:t xml:space="preserve">particulares toda vez que ésta tiene por objeto proteger datos personales, entendiéndose por tales, aquéllos que hacen identificable a una persona. </w:t>
      </w:r>
    </w:p>
    <w:p w14:paraId="524ED80F" w14:textId="77777777" w:rsidR="00393AF2" w:rsidRPr="006B7F39" w:rsidRDefault="00393AF2" w:rsidP="006B7F39"/>
    <w:p w14:paraId="35C38E38" w14:textId="77777777" w:rsidR="00393AF2" w:rsidRPr="006B7F39" w:rsidRDefault="00393AF2" w:rsidP="006B7F39">
      <w:r w:rsidRPr="006B7F3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B7F39">
        <w:rPr>
          <w:rFonts w:eastAsia="Arial Unicode MS"/>
        </w:rPr>
        <w:t xml:space="preserve"> que debe ser protegida por </w:t>
      </w:r>
      <w:r w:rsidRPr="006B7F39">
        <w:rPr>
          <w:rFonts w:eastAsia="Arial Unicode MS"/>
          <w:b/>
        </w:rPr>
        <w:t>EL SUJETO OBLIGADO,</w:t>
      </w:r>
      <w:r w:rsidRPr="006B7F39">
        <w:rPr>
          <w:rFonts w:eastAsia="Arial Unicode MS"/>
        </w:rPr>
        <w:t xml:space="preserve"> por lo </w:t>
      </w:r>
      <w:r w:rsidRPr="006B7F39">
        <w:t>que, todo dato personal susceptible de clasificación debe ser protegido.</w:t>
      </w:r>
    </w:p>
    <w:p w14:paraId="2A33BADC" w14:textId="77777777" w:rsidR="00393AF2" w:rsidRPr="006B7F39" w:rsidRDefault="00393AF2" w:rsidP="006B7F39"/>
    <w:p w14:paraId="1D944C76" w14:textId="77777777" w:rsidR="00393AF2" w:rsidRPr="006B7F39" w:rsidRDefault="00393AF2" w:rsidP="006B7F39">
      <w:r w:rsidRPr="006B7F3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4609BB" w14:textId="77777777" w:rsidR="00393AF2" w:rsidRPr="006B7F39" w:rsidRDefault="00393AF2" w:rsidP="006B7F39"/>
    <w:p w14:paraId="62F033FB" w14:textId="77777777" w:rsidR="00393AF2" w:rsidRPr="006B7F39" w:rsidRDefault="00393AF2" w:rsidP="006B7F39">
      <w:r w:rsidRPr="006B7F3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4071759" w14:textId="77777777" w:rsidR="00393AF2" w:rsidRPr="006B7F39" w:rsidRDefault="00393AF2" w:rsidP="006B7F39"/>
    <w:p w14:paraId="0F179225" w14:textId="77777777" w:rsidR="00393AF2" w:rsidRPr="006B7F39" w:rsidRDefault="00393AF2" w:rsidP="006B7F39">
      <w:pPr>
        <w:jc w:val="center"/>
        <w:rPr>
          <w:b/>
          <w:i/>
          <w:szCs w:val="22"/>
        </w:rPr>
      </w:pPr>
      <w:r w:rsidRPr="006B7F39">
        <w:rPr>
          <w:b/>
          <w:i/>
          <w:szCs w:val="22"/>
          <w:lang w:val="es-ES_tradnl"/>
        </w:rPr>
        <w:t>Ley de Transparencia y Acceso a la Información Pública del Estado de México y Municipios</w:t>
      </w:r>
    </w:p>
    <w:p w14:paraId="164E3CA2" w14:textId="77777777" w:rsidR="00393AF2" w:rsidRPr="006B7F39" w:rsidRDefault="00393AF2" w:rsidP="006B7F39"/>
    <w:p w14:paraId="5278C640" w14:textId="77777777" w:rsidR="00393AF2" w:rsidRPr="006B7F39" w:rsidRDefault="00393AF2" w:rsidP="006B7F39">
      <w:pPr>
        <w:pStyle w:val="Puesto"/>
      </w:pPr>
      <w:r w:rsidRPr="006B7F39">
        <w:rPr>
          <w:b/>
        </w:rPr>
        <w:lastRenderedPageBreak/>
        <w:t xml:space="preserve">“Artículo 49. </w:t>
      </w:r>
      <w:r w:rsidRPr="006B7F39">
        <w:t>Los Comités de Transparencia tendrán las siguientes atribuciones:</w:t>
      </w:r>
    </w:p>
    <w:p w14:paraId="7E5A7650" w14:textId="77777777" w:rsidR="00393AF2" w:rsidRPr="006B7F39" w:rsidRDefault="00393AF2" w:rsidP="006B7F39">
      <w:pPr>
        <w:pStyle w:val="Puesto"/>
      </w:pPr>
      <w:r w:rsidRPr="006B7F39">
        <w:rPr>
          <w:b/>
        </w:rPr>
        <w:t>VIII.</w:t>
      </w:r>
      <w:r w:rsidRPr="006B7F39">
        <w:t xml:space="preserve"> Aprobar, modificar o revocar la clasificación de la información;</w:t>
      </w:r>
    </w:p>
    <w:p w14:paraId="6F79DEEF" w14:textId="77777777" w:rsidR="00393AF2" w:rsidRPr="006B7F39" w:rsidRDefault="00393AF2" w:rsidP="006B7F39"/>
    <w:p w14:paraId="316A6B0A" w14:textId="77777777" w:rsidR="00393AF2" w:rsidRPr="006B7F39" w:rsidRDefault="00393AF2" w:rsidP="006B7F39">
      <w:pPr>
        <w:pStyle w:val="Puesto"/>
      </w:pPr>
      <w:r w:rsidRPr="006B7F39">
        <w:rPr>
          <w:b/>
        </w:rPr>
        <w:t>Artículo 132.</w:t>
      </w:r>
      <w:r w:rsidRPr="006B7F39">
        <w:t xml:space="preserve"> La clasificación de la información se llevará a cabo en el momento en que:</w:t>
      </w:r>
    </w:p>
    <w:p w14:paraId="5A992DFB" w14:textId="77777777" w:rsidR="00393AF2" w:rsidRPr="006B7F39" w:rsidRDefault="00393AF2" w:rsidP="006B7F39">
      <w:pPr>
        <w:pStyle w:val="Puesto"/>
      </w:pPr>
      <w:r w:rsidRPr="006B7F39">
        <w:rPr>
          <w:b/>
        </w:rPr>
        <w:t>I.</w:t>
      </w:r>
      <w:r w:rsidRPr="006B7F39">
        <w:t xml:space="preserve"> Se reciba una solicitud de acceso a la información;</w:t>
      </w:r>
    </w:p>
    <w:p w14:paraId="4185DDBC" w14:textId="77777777" w:rsidR="00393AF2" w:rsidRPr="006B7F39" w:rsidRDefault="00393AF2" w:rsidP="006B7F39">
      <w:pPr>
        <w:pStyle w:val="Puesto"/>
      </w:pPr>
      <w:r w:rsidRPr="006B7F39">
        <w:rPr>
          <w:b/>
        </w:rPr>
        <w:t>II.</w:t>
      </w:r>
      <w:r w:rsidRPr="006B7F39">
        <w:t xml:space="preserve"> Se determine mediante resolución de autoridad competente; o</w:t>
      </w:r>
    </w:p>
    <w:p w14:paraId="4798502F" w14:textId="77777777" w:rsidR="00393AF2" w:rsidRPr="006B7F39" w:rsidRDefault="00393AF2" w:rsidP="006B7F39">
      <w:pPr>
        <w:pStyle w:val="Puesto"/>
        <w:rPr>
          <w:b/>
        </w:rPr>
      </w:pPr>
      <w:r w:rsidRPr="006B7F39">
        <w:rPr>
          <w:b/>
          <w:bCs/>
        </w:rPr>
        <w:t>III.</w:t>
      </w:r>
      <w:r w:rsidRPr="006B7F39">
        <w:t xml:space="preserve"> Se generen versiones públicas para dar cumplimiento a las obligaciones de transparencia previstas en esta Ley.</w:t>
      </w:r>
      <w:r w:rsidRPr="006B7F39">
        <w:rPr>
          <w:b/>
        </w:rPr>
        <w:t>”</w:t>
      </w:r>
    </w:p>
    <w:p w14:paraId="39490194" w14:textId="77777777" w:rsidR="00393AF2" w:rsidRPr="006B7F39" w:rsidRDefault="00393AF2" w:rsidP="006B7F39"/>
    <w:p w14:paraId="40CE50D3" w14:textId="77777777" w:rsidR="00393AF2" w:rsidRPr="006B7F39" w:rsidRDefault="00393AF2" w:rsidP="006B7F39">
      <w:pPr>
        <w:pStyle w:val="Puesto"/>
      </w:pPr>
      <w:r w:rsidRPr="006B7F39">
        <w:rPr>
          <w:b/>
        </w:rPr>
        <w:t>“Segundo. -</w:t>
      </w:r>
      <w:r w:rsidRPr="006B7F39">
        <w:t xml:space="preserve"> Para efectos de los presentes Lineamientos Generales, se entenderá por:</w:t>
      </w:r>
    </w:p>
    <w:p w14:paraId="45FF821F" w14:textId="77777777" w:rsidR="00393AF2" w:rsidRPr="006B7F39" w:rsidRDefault="00393AF2" w:rsidP="006B7F39">
      <w:pPr>
        <w:pStyle w:val="Puesto"/>
      </w:pPr>
      <w:r w:rsidRPr="006B7F39">
        <w:rPr>
          <w:b/>
        </w:rPr>
        <w:t>XVIII.</w:t>
      </w:r>
      <w:r w:rsidRPr="006B7F39">
        <w:t xml:space="preserve">  </w:t>
      </w:r>
      <w:r w:rsidRPr="006B7F39">
        <w:rPr>
          <w:b/>
        </w:rPr>
        <w:t>Versión pública:</w:t>
      </w:r>
      <w:r w:rsidRPr="006B7F3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2FC66F" w14:textId="77777777" w:rsidR="00393AF2" w:rsidRPr="006B7F39" w:rsidRDefault="00393AF2" w:rsidP="006B7F39">
      <w:pPr>
        <w:pStyle w:val="Puesto"/>
      </w:pPr>
    </w:p>
    <w:p w14:paraId="21DC9519" w14:textId="77777777" w:rsidR="00393AF2" w:rsidRPr="006B7F39" w:rsidRDefault="00393AF2" w:rsidP="006B7F39">
      <w:pPr>
        <w:pStyle w:val="Puesto"/>
        <w:rPr>
          <w:b/>
          <w:lang w:val="es-ES_tradnl" w:eastAsia="es-MX"/>
        </w:rPr>
      </w:pPr>
      <w:r w:rsidRPr="006B7F39">
        <w:rPr>
          <w:b/>
          <w:lang w:val="es-ES_tradnl" w:eastAsia="es-MX"/>
        </w:rPr>
        <w:t xml:space="preserve">Lineamientos Generales en materia de Clasificación y Desclasificación de la </w:t>
      </w:r>
      <w:r w:rsidRPr="006B7F39">
        <w:rPr>
          <w:b/>
          <w:lang w:val="es-ES_tradnl"/>
        </w:rPr>
        <w:t>Información</w:t>
      </w:r>
    </w:p>
    <w:p w14:paraId="2650B4D4" w14:textId="77777777" w:rsidR="00393AF2" w:rsidRPr="006B7F39" w:rsidRDefault="00393AF2" w:rsidP="006B7F39">
      <w:pPr>
        <w:pStyle w:val="Puesto"/>
      </w:pPr>
    </w:p>
    <w:p w14:paraId="0135ED34" w14:textId="77777777" w:rsidR="00393AF2" w:rsidRPr="006B7F39" w:rsidRDefault="00393AF2" w:rsidP="006B7F39">
      <w:pPr>
        <w:pStyle w:val="Puesto"/>
      </w:pPr>
      <w:r w:rsidRPr="006B7F39">
        <w:rPr>
          <w:b/>
        </w:rPr>
        <w:t>Cuarto.</w:t>
      </w:r>
      <w:r w:rsidRPr="006B7F3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D9A29C" w14:textId="77777777" w:rsidR="00393AF2" w:rsidRPr="006B7F39" w:rsidRDefault="00393AF2" w:rsidP="006B7F39">
      <w:pPr>
        <w:pStyle w:val="Puesto"/>
      </w:pPr>
      <w:r w:rsidRPr="006B7F39">
        <w:t>Los sujetos obligados deberán aplicar, de manera estricta, las excepciones al derecho de acceso a la información y sólo podrán invocarlas cuando acrediten su procedencia.</w:t>
      </w:r>
    </w:p>
    <w:p w14:paraId="143FEF6D" w14:textId="77777777" w:rsidR="00393AF2" w:rsidRPr="006B7F39" w:rsidRDefault="00393AF2" w:rsidP="006B7F39"/>
    <w:p w14:paraId="73D0E2C7" w14:textId="77777777" w:rsidR="00393AF2" w:rsidRPr="006B7F39" w:rsidRDefault="00393AF2" w:rsidP="006B7F39">
      <w:pPr>
        <w:pStyle w:val="Puesto"/>
      </w:pPr>
      <w:r w:rsidRPr="006B7F39">
        <w:rPr>
          <w:b/>
        </w:rPr>
        <w:t>Quinto.</w:t>
      </w:r>
      <w:r w:rsidRPr="006B7F3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98DB00" w14:textId="77777777" w:rsidR="00393AF2" w:rsidRPr="006B7F39" w:rsidRDefault="00393AF2" w:rsidP="006B7F39"/>
    <w:p w14:paraId="1616640C" w14:textId="77777777" w:rsidR="00393AF2" w:rsidRPr="006B7F39" w:rsidRDefault="00393AF2" w:rsidP="006B7F39">
      <w:pPr>
        <w:pStyle w:val="Puesto"/>
      </w:pPr>
      <w:r w:rsidRPr="006B7F39">
        <w:rPr>
          <w:b/>
        </w:rPr>
        <w:t>Sexto.</w:t>
      </w:r>
      <w:r w:rsidRPr="006B7F39">
        <w:t xml:space="preserve"> Se deroga.</w:t>
      </w:r>
    </w:p>
    <w:p w14:paraId="7408DA0D" w14:textId="77777777" w:rsidR="00393AF2" w:rsidRPr="006B7F39" w:rsidRDefault="00393AF2" w:rsidP="006B7F39"/>
    <w:p w14:paraId="12A21FAF" w14:textId="77777777" w:rsidR="00393AF2" w:rsidRPr="006B7F39" w:rsidRDefault="00393AF2" w:rsidP="006B7F39">
      <w:pPr>
        <w:pStyle w:val="Puesto"/>
      </w:pPr>
      <w:r w:rsidRPr="006B7F39">
        <w:rPr>
          <w:b/>
        </w:rPr>
        <w:lastRenderedPageBreak/>
        <w:t>Séptimo.</w:t>
      </w:r>
      <w:r w:rsidRPr="006B7F39">
        <w:t xml:space="preserve"> La clasificación de la información se llevará a cabo en el momento en que:</w:t>
      </w:r>
    </w:p>
    <w:p w14:paraId="70A632E5" w14:textId="77777777" w:rsidR="00393AF2" w:rsidRPr="006B7F39" w:rsidRDefault="00393AF2" w:rsidP="006B7F39">
      <w:pPr>
        <w:pStyle w:val="Puesto"/>
      </w:pPr>
      <w:r w:rsidRPr="006B7F39">
        <w:rPr>
          <w:b/>
        </w:rPr>
        <w:t>I.</w:t>
      </w:r>
      <w:r w:rsidRPr="006B7F39">
        <w:t xml:space="preserve">        Se reciba una solicitud de acceso a la información;</w:t>
      </w:r>
    </w:p>
    <w:p w14:paraId="32FB6F7B" w14:textId="77777777" w:rsidR="00393AF2" w:rsidRPr="006B7F39" w:rsidRDefault="00393AF2" w:rsidP="006B7F39">
      <w:pPr>
        <w:pStyle w:val="Puesto"/>
      </w:pPr>
      <w:r w:rsidRPr="006B7F39">
        <w:rPr>
          <w:b/>
        </w:rPr>
        <w:t>II.</w:t>
      </w:r>
      <w:r w:rsidRPr="006B7F39">
        <w:t xml:space="preserve">       Se determine mediante resolución del Comité de Transparencia, el órgano garante competente, o en cumplimiento a una sentencia del Poder Judicial; o</w:t>
      </w:r>
    </w:p>
    <w:p w14:paraId="72F097EC" w14:textId="77777777" w:rsidR="00393AF2" w:rsidRPr="006B7F39" w:rsidRDefault="00393AF2" w:rsidP="006B7F39">
      <w:pPr>
        <w:pStyle w:val="Puesto"/>
      </w:pPr>
      <w:r w:rsidRPr="006B7F39">
        <w:rPr>
          <w:b/>
        </w:rPr>
        <w:t>III.</w:t>
      </w:r>
      <w:r w:rsidRPr="006B7F39">
        <w:t xml:space="preserve">      Se generen versiones públicas para dar cumplimiento a las obligaciones de transparencia previstas en la Ley General, la Ley Federal y las correspondientes de las entidades federativas.</w:t>
      </w:r>
    </w:p>
    <w:p w14:paraId="13013B90" w14:textId="77777777" w:rsidR="00393AF2" w:rsidRPr="006B7F39" w:rsidRDefault="00393AF2" w:rsidP="006B7F39">
      <w:pPr>
        <w:pStyle w:val="Puesto"/>
      </w:pPr>
      <w:r w:rsidRPr="006B7F39">
        <w:t xml:space="preserve">Los titulares de las áreas deberán revisar la información requerida al momento de la recepción de una solicitud de acceso, para verificar, conforme a su naturaleza, si encuadra en una causal de reserva o de confidencialidad. </w:t>
      </w:r>
    </w:p>
    <w:p w14:paraId="3156BC7C" w14:textId="77777777" w:rsidR="00393AF2" w:rsidRPr="006B7F39" w:rsidRDefault="00393AF2" w:rsidP="006B7F39"/>
    <w:p w14:paraId="6789AB39" w14:textId="77777777" w:rsidR="00393AF2" w:rsidRPr="006B7F39" w:rsidRDefault="00393AF2" w:rsidP="006B7F39">
      <w:pPr>
        <w:pStyle w:val="Puesto"/>
      </w:pPr>
      <w:r w:rsidRPr="006B7F39">
        <w:rPr>
          <w:b/>
        </w:rPr>
        <w:t>Octavo.</w:t>
      </w:r>
      <w:r w:rsidRPr="006B7F3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77AA32B" w14:textId="77777777" w:rsidR="00393AF2" w:rsidRPr="006B7F39" w:rsidRDefault="00393AF2" w:rsidP="006B7F39">
      <w:pPr>
        <w:pStyle w:val="Puesto"/>
      </w:pPr>
      <w:r w:rsidRPr="006B7F39">
        <w:t>Para motivar la clasificación se deberán señalar las razones o circunstancias especiales que lo llevaron a concluir que el caso particular se ajusta al supuesto previsto por la norma legal invocada como fundamento.</w:t>
      </w:r>
    </w:p>
    <w:p w14:paraId="26D26CF5" w14:textId="77777777" w:rsidR="00393AF2" w:rsidRPr="006B7F39" w:rsidRDefault="00393AF2" w:rsidP="006B7F39">
      <w:pPr>
        <w:pStyle w:val="Puesto"/>
      </w:pPr>
      <w:r w:rsidRPr="006B7F3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AABFA7" w14:textId="77777777" w:rsidR="00393AF2" w:rsidRPr="006B7F39" w:rsidRDefault="00393AF2" w:rsidP="006B7F39"/>
    <w:p w14:paraId="3E8762E7" w14:textId="77777777" w:rsidR="00393AF2" w:rsidRPr="006B7F39" w:rsidRDefault="00393AF2" w:rsidP="006B7F39">
      <w:pPr>
        <w:pStyle w:val="Puesto"/>
      </w:pPr>
      <w:r w:rsidRPr="006B7F39">
        <w:rPr>
          <w:b/>
        </w:rPr>
        <w:t>Noveno.</w:t>
      </w:r>
      <w:r w:rsidRPr="006B7F3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EA0DDC" w14:textId="77777777" w:rsidR="00393AF2" w:rsidRPr="006B7F39" w:rsidRDefault="00393AF2" w:rsidP="006B7F39"/>
    <w:p w14:paraId="302297E0" w14:textId="77777777" w:rsidR="00393AF2" w:rsidRPr="006B7F39" w:rsidRDefault="00393AF2" w:rsidP="006B7F39">
      <w:pPr>
        <w:pStyle w:val="Puesto"/>
      </w:pPr>
      <w:r w:rsidRPr="006B7F39">
        <w:rPr>
          <w:b/>
        </w:rPr>
        <w:t>Décimo.</w:t>
      </w:r>
      <w:r w:rsidRPr="006B7F3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A293608" w14:textId="77777777" w:rsidR="00393AF2" w:rsidRPr="006B7F39" w:rsidRDefault="00393AF2" w:rsidP="006B7F39">
      <w:pPr>
        <w:pStyle w:val="Puesto"/>
      </w:pPr>
      <w:r w:rsidRPr="006B7F39">
        <w:t>En ausencia de los titulares de las áreas, la información será clasificada o desclasificada por la persona que lo supla, en términos de la normativa que rija la actuación del sujeto obligado.</w:t>
      </w:r>
    </w:p>
    <w:p w14:paraId="5A0A9996" w14:textId="77777777" w:rsidR="00393AF2" w:rsidRPr="006B7F39" w:rsidRDefault="00393AF2" w:rsidP="006B7F39">
      <w:pPr>
        <w:pStyle w:val="Puesto"/>
        <w:rPr>
          <w:b/>
        </w:rPr>
      </w:pPr>
      <w:r w:rsidRPr="006B7F39">
        <w:rPr>
          <w:b/>
        </w:rPr>
        <w:lastRenderedPageBreak/>
        <w:t>Décimo primero.</w:t>
      </w:r>
      <w:r w:rsidRPr="006B7F3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B7F39">
        <w:rPr>
          <w:b/>
        </w:rPr>
        <w:t>”</w:t>
      </w:r>
    </w:p>
    <w:p w14:paraId="63B2F0AC" w14:textId="77777777" w:rsidR="00393AF2" w:rsidRPr="006B7F39" w:rsidRDefault="00393AF2" w:rsidP="006B7F39"/>
    <w:p w14:paraId="62C7E6E0" w14:textId="77777777" w:rsidR="00393AF2" w:rsidRPr="006B7F39" w:rsidRDefault="00393AF2" w:rsidP="006B7F39">
      <w:pPr>
        <w:rPr>
          <w:lang w:eastAsia="es-CO"/>
        </w:rPr>
      </w:pPr>
      <w:r w:rsidRPr="006B7F39">
        <w:t xml:space="preserve">Consecuentemente, se destaca que la versión pública que elabore </w:t>
      </w:r>
      <w:r w:rsidRPr="006B7F39">
        <w:rPr>
          <w:b/>
        </w:rPr>
        <w:t>EL SUJETO OBLIGADO</w:t>
      </w:r>
      <w:r w:rsidRPr="006B7F39">
        <w:t xml:space="preserve"> debe cumplir con las formalidades exigidas en la Ley, por lo que para tal efecto emitirá el </w:t>
      </w:r>
      <w:r w:rsidRPr="006B7F39">
        <w:rPr>
          <w:b/>
        </w:rPr>
        <w:t>Acuerdo del Comité de Transparencia</w:t>
      </w:r>
      <w:r w:rsidRPr="006B7F3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B7F3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CA2D9A6" w14:textId="77777777" w:rsidR="00393AF2" w:rsidRPr="006B7F39" w:rsidRDefault="00393AF2" w:rsidP="006B7F39">
      <w:pPr>
        <w:rPr>
          <w:lang w:eastAsia="es-MX"/>
        </w:rPr>
      </w:pPr>
    </w:p>
    <w:p w14:paraId="65F41E70" w14:textId="77777777" w:rsidR="00262116" w:rsidRPr="006B7F39" w:rsidRDefault="00262116" w:rsidP="006B7F39">
      <w:pPr>
        <w:pStyle w:val="Ttulo3"/>
        <w:rPr>
          <w:rFonts w:eastAsia="Calibri"/>
        </w:rPr>
      </w:pPr>
      <w:bookmarkStart w:id="35" w:name="_Toc165304079"/>
      <w:bookmarkStart w:id="36" w:name="_Toc170932828"/>
      <w:bookmarkStart w:id="37" w:name="_Toc179394296"/>
      <w:r w:rsidRPr="006B7F39">
        <w:rPr>
          <w:rFonts w:eastAsia="Calibri"/>
        </w:rPr>
        <w:t>e) Acuerdo de Inexistencia</w:t>
      </w:r>
      <w:bookmarkEnd w:id="35"/>
      <w:bookmarkEnd w:id="36"/>
      <w:bookmarkEnd w:id="37"/>
    </w:p>
    <w:p w14:paraId="6140A419" w14:textId="77777777" w:rsidR="00262116" w:rsidRPr="006B7F39" w:rsidRDefault="00262116" w:rsidP="006B7F39">
      <w:pPr>
        <w:autoSpaceDE w:val="0"/>
        <w:autoSpaceDN w:val="0"/>
        <w:adjustRightInd w:val="0"/>
        <w:ind w:right="51"/>
        <w:contextualSpacing/>
      </w:pPr>
      <w:r w:rsidRPr="006B7F39">
        <w:t>Los artículos 19; 49, fracciones II y XIII; 169 y 170 de la Ley de Transparencia y Acceso a la Información Pública del Estado de México y Municipios, establecen que:</w:t>
      </w:r>
    </w:p>
    <w:p w14:paraId="07E44520" w14:textId="77777777" w:rsidR="00262116" w:rsidRPr="006B7F39" w:rsidRDefault="00262116" w:rsidP="006B7F39">
      <w:pPr>
        <w:tabs>
          <w:tab w:val="left" w:pos="709"/>
        </w:tabs>
      </w:pPr>
    </w:p>
    <w:p w14:paraId="5B3CA1A2" w14:textId="77777777" w:rsidR="00262116" w:rsidRPr="006B7F39" w:rsidRDefault="00262116" w:rsidP="006B7F39">
      <w:pPr>
        <w:pStyle w:val="Puesto"/>
      </w:pPr>
      <w:r w:rsidRPr="006B7F39">
        <w:rPr>
          <w:b/>
          <w:bCs/>
        </w:rPr>
        <w:t xml:space="preserve">“Artículo 19. </w:t>
      </w:r>
      <w:r w:rsidRPr="006B7F39">
        <w:t>Se presume que la información debe existir si se refiere a las facultades, competencias y funciones que los ordenamientos jurídicos aplicables otorgan a los sujetos obligados.</w:t>
      </w:r>
      <w:r w:rsidRPr="006B7F39">
        <w:rPr>
          <w:u w:val="single"/>
        </w:rPr>
        <w:t> </w:t>
      </w:r>
    </w:p>
    <w:p w14:paraId="4011A8DB" w14:textId="77777777" w:rsidR="00262116" w:rsidRPr="006B7F39" w:rsidRDefault="00262116" w:rsidP="006B7F39">
      <w:pPr>
        <w:pStyle w:val="Puesto"/>
      </w:pPr>
      <w:r w:rsidRPr="006B7F39">
        <w:t>…</w:t>
      </w:r>
    </w:p>
    <w:p w14:paraId="0087ADB5" w14:textId="77777777" w:rsidR="00262116" w:rsidRPr="006B7F39" w:rsidRDefault="00262116" w:rsidP="006B7F39">
      <w:pPr>
        <w:pStyle w:val="Puesto"/>
      </w:pPr>
      <w:r w:rsidRPr="006B7F39">
        <w:t xml:space="preserve">Si el sujeto obligado, en el ejercicio de sus atribuciones, debía generar, poseer o administrar la información, pero ésta no se encuentra, </w:t>
      </w:r>
      <w:r w:rsidRPr="006B7F39">
        <w:rPr>
          <w:u w:val="single"/>
        </w:rPr>
        <w:t xml:space="preserve">el Comité de transparencia deberá emitir un </w:t>
      </w:r>
      <w:r w:rsidRPr="006B7F39">
        <w:rPr>
          <w:u w:val="single"/>
        </w:rPr>
        <w:lastRenderedPageBreak/>
        <w:t>acuerdo de inexistencia, debidamente fundado y motivado, en el que detalle las razones del por qué no obra en sus archivos.</w:t>
      </w:r>
    </w:p>
    <w:p w14:paraId="701FAB8D" w14:textId="77777777" w:rsidR="00262116" w:rsidRPr="006B7F39" w:rsidRDefault="00262116" w:rsidP="006B7F39">
      <w:pPr>
        <w:pStyle w:val="Puesto"/>
      </w:pPr>
      <w:r w:rsidRPr="006B7F39">
        <w:rPr>
          <w:b/>
          <w:bCs/>
        </w:rPr>
        <w:t>Artículo 49.</w:t>
      </w:r>
      <w:r w:rsidRPr="006B7F39">
        <w:t xml:space="preserve"> Los </w:t>
      </w:r>
      <w:r w:rsidRPr="006B7F39">
        <w:rPr>
          <w:u w:val="single"/>
        </w:rPr>
        <w:t xml:space="preserve">Comités de Transparencia </w:t>
      </w:r>
      <w:r w:rsidRPr="006B7F39">
        <w:t>tendrán las siguientes atribuciones:</w:t>
      </w:r>
    </w:p>
    <w:p w14:paraId="0A054646" w14:textId="77777777" w:rsidR="00262116" w:rsidRPr="006B7F39" w:rsidRDefault="00262116" w:rsidP="006B7F39">
      <w:pPr>
        <w:pStyle w:val="Puesto"/>
      </w:pPr>
      <w:r w:rsidRPr="006B7F39">
        <w:t>II. Confirmar, modificar o revocar las determinaciones que en materia de ampliación del plazo de respuesta, clasificación de la información</w:t>
      </w:r>
      <w:r w:rsidRPr="006B7F39">
        <w:rPr>
          <w:u w:val="single"/>
        </w:rPr>
        <w:t xml:space="preserve"> y declaración de inexistencia </w:t>
      </w:r>
      <w:r w:rsidRPr="006B7F39">
        <w:t>o de incompetencia realicen los titulares de las áreas de los sujetos obligados;</w:t>
      </w:r>
    </w:p>
    <w:p w14:paraId="0765A8CD" w14:textId="77777777" w:rsidR="00262116" w:rsidRPr="006B7F39" w:rsidRDefault="00262116" w:rsidP="006B7F39">
      <w:pPr>
        <w:pStyle w:val="Puesto"/>
      </w:pPr>
      <w:r w:rsidRPr="006B7F39">
        <w:t xml:space="preserve">XIII. </w:t>
      </w:r>
      <w:r w:rsidRPr="006B7F39">
        <w:rPr>
          <w:u w:val="single"/>
        </w:rPr>
        <w:t>Dictaminar las declaratorias de inexistencia de la información que les remitan las unidades administrativas y resolver en consecuencia</w:t>
      </w:r>
      <w:r w:rsidRPr="006B7F39">
        <w:t>;</w:t>
      </w:r>
    </w:p>
    <w:p w14:paraId="62096AE1" w14:textId="77777777" w:rsidR="00262116" w:rsidRPr="006B7F39" w:rsidRDefault="00262116" w:rsidP="006B7F39">
      <w:pPr>
        <w:pStyle w:val="Puesto"/>
      </w:pPr>
    </w:p>
    <w:p w14:paraId="1E56329A" w14:textId="77777777" w:rsidR="00262116" w:rsidRPr="006B7F39" w:rsidRDefault="00262116" w:rsidP="006B7F39">
      <w:pPr>
        <w:pStyle w:val="Puesto"/>
      </w:pPr>
      <w:r w:rsidRPr="006B7F39">
        <w:rPr>
          <w:b/>
        </w:rPr>
        <w:t>Artículo 169.</w:t>
      </w:r>
      <w:r w:rsidRPr="006B7F39">
        <w:t xml:space="preserve"> Cuando la información no se encuentre en los archivos del sujeto obligado, el Comité de Transparencia:</w:t>
      </w:r>
    </w:p>
    <w:p w14:paraId="6BDFF0E5" w14:textId="77777777" w:rsidR="00262116" w:rsidRPr="006B7F39" w:rsidRDefault="00262116" w:rsidP="006B7F39">
      <w:pPr>
        <w:pStyle w:val="Puesto"/>
      </w:pPr>
      <w:r w:rsidRPr="006B7F39">
        <w:rPr>
          <w:b/>
        </w:rPr>
        <w:t>I.</w:t>
      </w:r>
      <w:r w:rsidRPr="006B7F39">
        <w:t xml:space="preserve"> Analizará el caso y </w:t>
      </w:r>
      <w:r w:rsidRPr="006B7F39">
        <w:rPr>
          <w:b/>
        </w:rPr>
        <w:t>tomará las medidas necesarias para localizar la información</w:t>
      </w:r>
      <w:r w:rsidRPr="006B7F39">
        <w:t>;</w:t>
      </w:r>
    </w:p>
    <w:p w14:paraId="09296ED1" w14:textId="77777777" w:rsidR="00262116" w:rsidRPr="006B7F39" w:rsidRDefault="00262116" w:rsidP="006B7F39">
      <w:pPr>
        <w:pStyle w:val="Puesto"/>
      </w:pPr>
      <w:r w:rsidRPr="006B7F39">
        <w:rPr>
          <w:b/>
        </w:rPr>
        <w:t>II.</w:t>
      </w:r>
      <w:r w:rsidRPr="006B7F39">
        <w:t xml:space="preserve"> Expedirá una resolución que confirme la inexistencia del documento;</w:t>
      </w:r>
    </w:p>
    <w:p w14:paraId="158CF184" w14:textId="77777777" w:rsidR="00262116" w:rsidRPr="006B7F39" w:rsidRDefault="00262116" w:rsidP="006B7F39">
      <w:pPr>
        <w:pStyle w:val="Puesto"/>
      </w:pPr>
      <w:r w:rsidRPr="006B7F39">
        <w:rPr>
          <w:b/>
        </w:rPr>
        <w:t>III.</w:t>
      </w:r>
      <w:r w:rsidRPr="006B7F39">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B1A0129" w14:textId="77777777" w:rsidR="00262116" w:rsidRPr="006B7F39" w:rsidRDefault="00262116" w:rsidP="006B7F39">
      <w:pPr>
        <w:pStyle w:val="Puesto"/>
      </w:pPr>
      <w:r w:rsidRPr="006B7F39">
        <w:rPr>
          <w:b/>
        </w:rPr>
        <w:t>IV.</w:t>
      </w:r>
      <w:r w:rsidRPr="006B7F39">
        <w:t xml:space="preserve"> Notificará al órgano interno de control o equivalente del sujeto obligado quien, en su caso, deberá iniciar el procedimiento de responsabilidad administrativa que corresponda.</w:t>
      </w:r>
    </w:p>
    <w:p w14:paraId="0FAB622E" w14:textId="77777777" w:rsidR="00262116" w:rsidRPr="006B7F39" w:rsidRDefault="00262116" w:rsidP="006B7F39">
      <w:pPr>
        <w:pStyle w:val="Puesto"/>
      </w:pPr>
      <w:r w:rsidRPr="006B7F39">
        <w:t>La Unidad de Transparencia deberá notificarlo al solicitante por escrito, en un plazo que no exceda de quince días hábiles contados a partir del día siguiente a la presentación de la solicitud.</w:t>
      </w:r>
    </w:p>
    <w:p w14:paraId="3CE241D9" w14:textId="77777777" w:rsidR="00262116" w:rsidRPr="006B7F39" w:rsidRDefault="00262116" w:rsidP="006B7F39">
      <w:pPr>
        <w:pStyle w:val="Puesto"/>
      </w:pPr>
      <w:r w:rsidRPr="006B7F39">
        <w:t>Este plazo podrá ampliarse hasta por otros siete días hábiles, siempre que existan razones para ello, debiendo notificarse por escrito al solicitante.</w:t>
      </w:r>
    </w:p>
    <w:p w14:paraId="4F04F214" w14:textId="77777777" w:rsidR="00262116" w:rsidRPr="006B7F39" w:rsidRDefault="00262116" w:rsidP="006B7F39">
      <w:pPr>
        <w:pStyle w:val="Puesto"/>
      </w:pPr>
    </w:p>
    <w:p w14:paraId="0BC7D7B7" w14:textId="77777777" w:rsidR="00262116" w:rsidRPr="006B7F39" w:rsidRDefault="00262116" w:rsidP="006B7F39">
      <w:pPr>
        <w:pStyle w:val="Puesto"/>
        <w:rPr>
          <w:b/>
        </w:rPr>
      </w:pPr>
      <w:r w:rsidRPr="006B7F39">
        <w:rPr>
          <w:b/>
        </w:rPr>
        <w:t>Artículo 170</w:t>
      </w:r>
      <w:r w:rsidRPr="006B7F39">
        <w:rPr>
          <w:b/>
          <w:bCs/>
        </w:rPr>
        <w:t>.</w:t>
      </w:r>
      <w:r w:rsidRPr="006B7F39">
        <w:t xml:space="preserve"> La resolución del Comité de Transparencia que confirme la inexistencia de la información solicitada contendrá los elementos mínimos que permitan al solicitante tener la </w:t>
      </w:r>
      <w:r w:rsidRPr="006B7F39">
        <w:rPr>
          <w:b/>
        </w:rPr>
        <w:t>certeza de que se utilizó un criterio de búsqueda exhaustivo</w:t>
      </w:r>
      <w:r w:rsidRPr="006B7F39">
        <w:t>, además de señalar las circunstancias de tiempo, modo y lugar que generaron la existencia en cuestión y señalará al servidor público responsable de contar con la misma.”</w:t>
      </w:r>
    </w:p>
    <w:p w14:paraId="0CAB30EB" w14:textId="77777777" w:rsidR="00262116" w:rsidRPr="006B7F39" w:rsidRDefault="00262116" w:rsidP="006B7F39">
      <w:pPr>
        <w:tabs>
          <w:tab w:val="left" w:pos="709"/>
        </w:tabs>
        <w:ind w:left="851" w:right="851"/>
        <w:rPr>
          <w:b/>
          <w:i/>
          <w:iCs/>
        </w:rPr>
      </w:pPr>
    </w:p>
    <w:p w14:paraId="1E806C02" w14:textId="77777777" w:rsidR="00262116" w:rsidRPr="006B7F39" w:rsidRDefault="00262116" w:rsidP="006B7F39">
      <w:pPr>
        <w:tabs>
          <w:tab w:val="left" w:pos="709"/>
        </w:tabs>
        <w:ind w:right="51"/>
        <w:rPr>
          <w:rFonts w:eastAsia="Calibri"/>
        </w:rPr>
      </w:pPr>
      <w:r w:rsidRPr="006B7F39">
        <w:rPr>
          <w:rFonts w:eastAsia="Calibri"/>
        </w:rPr>
        <w:t xml:space="preserve">De los preceptos legales señalados, se advierte que en los casos en que la información solicitada no se encuentre en los archivos del </w:t>
      </w:r>
      <w:r w:rsidRPr="006B7F39">
        <w:rPr>
          <w:rFonts w:eastAsia="Calibri"/>
          <w:b/>
        </w:rPr>
        <w:t>SUJETO OBLIGADO</w:t>
      </w:r>
      <w:r w:rsidRPr="006B7F39">
        <w:rPr>
          <w:rFonts w:eastAsia="Calibri"/>
          <w:bCs/>
        </w:rPr>
        <w:t xml:space="preserve"> y ésta debiera existir</w:t>
      </w:r>
      <w:r w:rsidRPr="006B7F39">
        <w:rPr>
          <w:rFonts w:eastAsia="Calibri"/>
        </w:rPr>
        <w:t xml:space="preserve"> dadas sus facultades, competencias o funciones; el Comité de Transparencia analizará el caso, tomará las medidas necesarias para la localización de la información requerida, emitirá una </w:t>
      </w:r>
      <w:r w:rsidRPr="006B7F39">
        <w:rPr>
          <w:rFonts w:eastAsia="Calibri"/>
        </w:rPr>
        <w:lastRenderedPageBreak/>
        <w:t>resolución en donde se confirme la inexistencia de la información y, en su caso, ordenará</w:t>
      </w:r>
      <w:r w:rsidRPr="006B7F39">
        <w:rPr>
          <w:rFonts w:cs="Arial"/>
          <w:i/>
          <w:lang w:eastAsia="es-MX"/>
        </w:rPr>
        <w:t xml:space="preserve"> </w:t>
      </w:r>
      <w:r w:rsidRPr="006B7F39">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6B7F39">
        <w:rPr>
          <w:rFonts w:eastAsia="Calibri"/>
          <w:b/>
          <w:bCs/>
        </w:rPr>
        <w:t>SUJETRO OBLIGADO</w:t>
      </w:r>
      <w:r w:rsidRPr="006B7F39">
        <w:rPr>
          <w:rFonts w:eastAsia="Calibri"/>
        </w:rPr>
        <w:t>.</w:t>
      </w:r>
    </w:p>
    <w:p w14:paraId="3FBC4AE3" w14:textId="77777777" w:rsidR="00262116" w:rsidRPr="006B7F39" w:rsidRDefault="00262116" w:rsidP="006B7F39">
      <w:pPr>
        <w:autoSpaceDE w:val="0"/>
        <w:autoSpaceDN w:val="0"/>
        <w:adjustRightInd w:val="0"/>
        <w:ind w:right="-91"/>
        <w:contextualSpacing/>
        <w:rPr>
          <w:bCs/>
        </w:rPr>
      </w:pPr>
    </w:p>
    <w:p w14:paraId="3591CF37" w14:textId="77777777" w:rsidR="00262116" w:rsidRPr="006B7F39" w:rsidRDefault="00262116" w:rsidP="006B7F39">
      <w:pPr>
        <w:tabs>
          <w:tab w:val="left" w:pos="709"/>
        </w:tabs>
        <w:ind w:right="51"/>
        <w:rPr>
          <w:rFonts w:eastAsia="Calibri"/>
        </w:rPr>
      </w:pPr>
      <w:r w:rsidRPr="006B7F39">
        <w:rPr>
          <w:bCs/>
        </w:rPr>
        <w:t>Es importante señalar que el acuerdo de inexistencia deberá establecer</w:t>
      </w:r>
      <w:r w:rsidRPr="006B7F39">
        <w:t xml:space="preserve"> de manera fundada y motivada </w:t>
      </w:r>
      <w:r w:rsidRPr="006B7F39">
        <w:rPr>
          <w:rFonts w:cs="Arial"/>
        </w:rPr>
        <w:t xml:space="preserve">las </w:t>
      </w:r>
      <w:r w:rsidRPr="006B7F39">
        <w:rPr>
          <w:rFonts w:cs="Arial"/>
          <w:bCs/>
        </w:rPr>
        <w:t xml:space="preserve">razones por las cuales la información no obra en los archivos del </w:t>
      </w:r>
      <w:r w:rsidRPr="006B7F39">
        <w:rPr>
          <w:rFonts w:cs="Arial"/>
          <w:b/>
        </w:rPr>
        <w:t>SUJETO OBLIGADO</w:t>
      </w:r>
      <w:r w:rsidRPr="006B7F39">
        <w:rPr>
          <w:rFonts w:cs="Arial"/>
          <w:bCs/>
        </w:rPr>
        <w:t>, los cr</w:t>
      </w:r>
      <w:r w:rsidRPr="006B7F39">
        <w:rPr>
          <w:rFonts w:eastAsia="Calibri"/>
        </w:rPr>
        <w:t>iterios y métodos de búsqueda utilizados, así como todas las circunstancias de modo, tiempo y lugar que se tomaron en cuenta para determinar que la información requerida no obra en sus archivos.</w:t>
      </w:r>
    </w:p>
    <w:p w14:paraId="35C74846" w14:textId="77777777" w:rsidR="00262116" w:rsidRPr="006B7F39" w:rsidRDefault="00262116" w:rsidP="006B7F39">
      <w:pPr>
        <w:tabs>
          <w:tab w:val="left" w:pos="709"/>
        </w:tabs>
        <w:ind w:right="51"/>
        <w:rPr>
          <w:bCs/>
        </w:rPr>
      </w:pPr>
    </w:p>
    <w:p w14:paraId="392C705C" w14:textId="77777777" w:rsidR="00262116" w:rsidRPr="006B7F39" w:rsidRDefault="00262116" w:rsidP="006B7F39">
      <w:pPr>
        <w:tabs>
          <w:tab w:val="left" w:pos="709"/>
        </w:tabs>
        <w:ind w:right="51"/>
        <w:rPr>
          <w:bCs/>
        </w:rPr>
      </w:pPr>
      <w:r w:rsidRPr="006B7F39">
        <w:rPr>
          <w:rFonts w:cs="Arial"/>
        </w:rPr>
        <w:t xml:space="preserve">No debe perderse de vista que, la fundamentación y motivación consisten en la obligación que tiene todo ente público de expresar los preceptos jurídicos aplicables al </w:t>
      </w:r>
      <w:r w:rsidRPr="006B7F39">
        <w:rPr>
          <w:rFonts w:eastAsia="Calibri"/>
        </w:rPr>
        <w:t>asunto</w:t>
      </w:r>
      <w:r w:rsidRPr="006B7F39">
        <w:rPr>
          <w:rFonts w:cs="Arial"/>
        </w:rPr>
        <w:t xml:space="preserve"> y las razones o argumentos de su actuar. Al respecto, el máximo tribunal del país ha establecido jurisprudencia en relación a qué debe entenderse por fundamentación y motivación, en los siguientes términos:</w:t>
      </w:r>
    </w:p>
    <w:p w14:paraId="78DF4579" w14:textId="77777777" w:rsidR="00262116" w:rsidRPr="006B7F39" w:rsidRDefault="00262116" w:rsidP="006B7F39">
      <w:pPr>
        <w:rPr>
          <w:rFonts w:cs="Arial"/>
          <w:szCs w:val="22"/>
        </w:rPr>
      </w:pPr>
    </w:p>
    <w:p w14:paraId="28791ACF" w14:textId="77777777" w:rsidR="00262116" w:rsidRPr="006B7F39" w:rsidRDefault="00262116" w:rsidP="006B7F39">
      <w:pPr>
        <w:pStyle w:val="Puesto"/>
      </w:pPr>
      <w:r w:rsidRPr="006B7F39">
        <w:t>“</w:t>
      </w:r>
      <w:r w:rsidRPr="006B7F39">
        <w:rPr>
          <w:b/>
        </w:rPr>
        <w:t xml:space="preserve">FUNDAMENTACIÓN Y MOTIVACIÓN. </w:t>
      </w:r>
      <w:r w:rsidRPr="006B7F39">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490647BF" w14:textId="77777777" w:rsidR="00262116" w:rsidRPr="006B7F39" w:rsidRDefault="00262116" w:rsidP="006B7F39">
      <w:pPr>
        <w:ind w:left="851" w:right="902"/>
        <w:rPr>
          <w:rFonts w:cs="Arial"/>
          <w:i/>
          <w:szCs w:val="22"/>
        </w:rPr>
      </w:pPr>
    </w:p>
    <w:p w14:paraId="10FB4E58" w14:textId="77777777" w:rsidR="00262116" w:rsidRPr="006B7F39" w:rsidRDefault="00262116" w:rsidP="006B7F39">
      <w:pPr>
        <w:tabs>
          <w:tab w:val="left" w:pos="709"/>
        </w:tabs>
        <w:ind w:right="51"/>
        <w:rPr>
          <w:rFonts w:eastAsia="MS Mincho" w:cs="Arial"/>
          <w:lang w:val="es-ES_tradnl"/>
        </w:rPr>
      </w:pPr>
      <w:r w:rsidRPr="006B7F39">
        <w:rPr>
          <w:rFonts w:eastAsia="Calibri"/>
        </w:rPr>
        <w:t xml:space="preserve">Para mayor entendimiento, y </w:t>
      </w:r>
      <w:r w:rsidRPr="006B7F39">
        <w:rPr>
          <w:rFonts w:eastAsia="MS Mincho" w:cs="Arial"/>
          <w:lang w:val="es-ES_tradnl"/>
        </w:rPr>
        <w:t xml:space="preserve">con el propósito de establecer cómo debe de acordarse la declaratoria </w:t>
      </w:r>
      <w:r w:rsidRPr="006B7F39">
        <w:rPr>
          <w:rFonts w:cs="Arial"/>
        </w:rPr>
        <w:t>de</w:t>
      </w:r>
      <w:r w:rsidRPr="006B7F39">
        <w:rPr>
          <w:rFonts w:eastAsia="MS Mincho" w:cs="Arial"/>
          <w:lang w:val="es-ES_tradnl"/>
        </w:rPr>
        <w:t xml:space="preserve"> inexistencia, se reproducen los criterios 0003-11 y 0004-11 aprobados por el Pleno de este organismo Garante, en la sesión ordinaria de fecha 25 de agosto del año 2011, </w:t>
      </w:r>
      <w:r w:rsidRPr="006B7F39">
        <w:rPr>
          <w:rFonts w:eastAsia="MS Mincho" w:cs="Arial"/>
          <w:lang w:val="es-ES_tradnl"/>
        </w:rPr>
        <w:lastRenderedPageBreak/>
        <w:t>que demuestran claramente el concepto de inexistencia, y en qué circunstancias debe emitirse la declaratoria respectiva.</w:t>
      </w:r>
    </w:p>
    <w:p w14:paraId="13F94549" w14:textId="77777777" w:rsidR="00262116" w:rsidRPr="006B7F39" w:rsidRDefault="00262116" w:rsidP="006B7F39">
      <w:pPr>
        <w:tabs>
          <w:tab w:val="left" w:pos="8647"/>
        </w:tabs>
        <w:ind w:left="851" w:right="900"/>
        <w:rPr>
          <w:rFonts w:eastAsia="MS Mincho" w:cs="Arial"/>
          <w:i/>
          <w:szCs w:val="22"/>
          <w:lang w:val="es-ES_tradnl"/>
        </w:rPr>
      </w:pPr>
    </w:p>
    <w:p w14:paraId="5CE3C7A7" w14:textId="77777777" w:rsidR="00262116" w:rsidRPr="006B7F39" w:rsidRDefault="00262116" w:rsidP="006B7F39">
      <w:pPr>
        <w:pStyle w:val="Puesto"/>
        <w:rPr>
          <w:rFonts w:eastAsia="MS Mincho"/>
          <w:lang w:val="es-ES_tradnl"/>
        </w:rPr>
      </w:pPr>
      <w:r w:rsidRPr="006B7F39">
        <w:rPr>
          <w:rFonts w:eastAsia="MS Mincho"/>
          <w:lang w:val="es-ES_tradnl"/>
        </w:rPr>
        <w:t>CRITERIO 0003-11</w:t>
      </w:r>
    </w:p>
    <w:p w14:paraId="296F2C1C" w14:textId="77777777" w:rsidR="00262116" w:rsidRPr="006B7F39" w:rsidRDefault="00262116" w:rsidP="006B7F39">
      <w:pPr>
        <w:pStyle w:val="Puesto"/>
        <w:rPr>
          <w:rFonts w:eastAsia="MS Mincho"/>
          <w:lang w:val="es-ES_tradnl"/>
        </w:rPr>
      </w:pPr>
      <w:r w:rsidRPr="006B7F39">
        <w:rPr>
          <w:rFonts w:eastAsia="MS Mincho"/>
          <w:lang w:val="es-ES_tradnl"/>
        </w:rPr>
        <w:t>INEXISTENCIA, CONCEPTO DE, EN MATERIA DE TRANSPARENCIA.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8FBEADE" w14:textId="77777777" w:rsidR="00262116" w:rsidRPr="006B7F39" w:rsidRDefault="00262116" w:rsidP="006B7F39">
      <w:pPr>
        <w:pStyle w:val="Puesto"/>
        <w:rPr>
          <w:rFonts w:eastAsia="MS Mincho"/>
          <w:lang w:val="es-ES_tradnl"/>
        </w:rPr>
      </w:pPr>
      <w:r w:rsidRPr="006B7F39">
        <w:rPr>
          <w:rFonts w:eastAsia="MS Mincho"/>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36DFF11" w14:textId="77777777" w:rsidR="00262116" w:rsidRPr="006B7F39" w:rsidRDefault="00262116" w:rsidP="006B7F39">
      <w:pPr>
        <w:pStyle w:val="Puesto"/>
        <w:rPr>
          <w:rFonts w:eastAsia="MS Mincho"/>
          <w:lang w:val="es-ES_tradnl"/>
        </w:rPr>
      </w:pPr>
      <w:r w:rsidRPr="006B7F39">
        <w:rPr>
          <w:rFonts w:eastAsia="MS Mincho"/>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6B7F39">
        <w:rPr>
          <w:rFonts w:eastAsia="MS Mincho"/>
          <w:lang w:val="es-ES_tradnl"/>
        </w:rPr>
        <w:t>ninguna</w:t>
      </w:r>
      <w:proofErr w:type="gramEnd"/>
      <w:r w:rsidRPr="006B7F39">
        <w:rPr>
          <w:rFonts w:eastAsia="MS Mincho"/>
          <w:lang w:val="es-ES_tradnl"/>
        </w:rPr>
        <w:t xml:space="preserve"> de esas acciones.</w:t>
      </w:r>
    </w:p>
    <w:p w14:paraId="0DDF26C4" w14:textId="77777777" w:rsidR="00262116" w:rsidRPr="006B7F39" w:rsidRDefault="00262116" w:rsidP="006B7F39">
      <w:pPr>
        <w:pStyle w:val="Puesto"/>
        <w:rPr>
          <w:rFonts w:eastAsia="MS Mincho"/>
          <w:lang w:val="es-ES_tradnl"/>
        </w:rPr>
      </w:pPr>
      <w:r w:rsidRPr="006B7F39">
        <w:rPr>
          <w:rFonts w:eastAsia="MS Mincho"/>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44DEDCC8" w14:textId="77777777" w:rsidR="00262116" w:rsidRPr="006B7F39" w:rsidRDefault="00262116" w:rsidP="006B7F39">
      <w:pPr>
        <w:pStyle w:val="Puesto"/>
        <w:rPr>
          <w:rFonts w:eastAsia="MS Mincho"/>
          <w:lang w:val="es-ES_tradnl"/>
        </w:rPr>
      </w:pPr>
    </w:p>
    <w:p w14:paraId="34C8CB9C" w14:textId="77777777" w:rsidR="00262116" w:rsidRPr="006B7F39" w:rsidRDefault="00262116" w:rsidP="006B7F39">
      <w:pPr>
        <w:pStyle w:val="Puesto"/>
        <w:rPr>
          <w:rFonts w:eastAsia="MS Mincho"/>
          <w:lang w:val="es-ES_tradnl"/>
        </w:rPr>
      </w:pPr>
    </w:p>
    <w:p w14:paraId="1637E92E" w14:textId="77777777" w:rsidR="00262116" w:rsidRPr="006B7F39" w:rsidRDefault="00262116" w:rsidP="006B7F39">
      <w:pPr>
        <w:pStyle w:val="Puesto"/>
        <w:rPr>
          <w:rFonts w:eastAsia="MS Mincho"/>
          <w:lang w:val="es-ES_tradnl"/>
        </w:rPr>
      </w:pPr>
      <w:r w:rsidRPr="006B7F39">
        <w:rPr>
          <w:rFonts w:eastAsia="MS Mincho"/>
          <w:lang w:val="es-ES_tradnl"/>
        </w:rPr>
        <w:t>CRITERIO 0004-11</w:t>
      </w:r>
    </w:p>
    <w:p w14:paraId="79F94474" w14:textId="77777777" w:rsidR="00262116" w:rsidRPr="006B7F39" w:rsidRDefault="00262116" w:rsidP="006B7F39">
      <w:pPr>
        <w:pStyle w:val="Puesto"/>
        <w:rPr>
          <w:rFonts w:eastAsia="MS Mincho"/>
          <w:lang w:val="es-ES_tradnl"/>
        </w:rPr>
      </w:pPr>
      <w:r w:rsidRPr="006B7F39">
        <w:rPr>
          <w:rFonts w:eastAsia="MS Mincho"/>
          <w:lang w:val="es-ES_tradnl"/>
        </w:rPr>
        <w:t xml:space="preserve">INEXISTENCIA. DECLARATORIA DE LA. ALCANCES Y PROCEDIMIENTOS.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w:t>
      </w:r>
      <w:r w:rsidRPr="006B7F39">
        <w:rPr>
          <w:rFonts w:eastAsia="MS Mincho"/>
          <w:lang w:val="es-ES_tradnl"/>
        </w:rPr>
        <w:lastRenderedPageBreak/>
        <w:t>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AC3FF90" w14:textId="77777777" w:rsidR="00262116" w:rsidRPr="006B7F39" w:rsidRDefault="00262116" w:rsidP="006B7F39">
      <w:pPr>
        <w:pStyle w:val="Puesto"/>
        <w:rPr>
          <w:rFonts w:eastAsia="MS Mincho"/>
          <w:lang w:val="es-ES_tradnl"/>
        </w:rPr>
      </w:pPr>
      <w:r w:rsidRPr="006B7F39">
        <w:rPr>
          <w:rFonts w:eastAsia="MS Mincho"/>
          <w:lang w:val="es-ES_tradnl"/>
        </w:rPr>
        <w:t>Bajo el entendido de que dicha búsqueda exhaustiva permitirá dos determinaciones:</w:t>
      </w:r>
    </w:p>
    <w:p w14:paraId="7C302707" w14:textId="77777777" w:rsidR="00262116" w:rsidRPr="006B7F39" w:rsidRDefault="00262116" w:rsidP="006B7F39">
      <w:pPr>
        <w:pStyle w:val="Puesto"/>
        <w:rPr>
          <w:rFonts w:eastAsia="MS Mincho"/>
          <w:lang w:val="es-ES_tradnl"/>
        </w:rPr>
      </w:pPr>
      <w:r w:rsidRPr="006B7F39">
        <w:rPr>
          <w:rFonts w:eastAsia="MS Mincho"/>
          <w:lang w:val="es-ES_tradnl"/>
        </w:rPr>
        <w:t>1ª) Que se localice la documentación que contenga la información solicitada y de ser así la información pueda entregarse al solicitante en la forma en que se encuentra disponible, o</w:t>
      </w:r>
    </w:p>
    <w:p w14:paraId="5E563113" w14:textId="77777777" w:rsidR="00262116" w:rsidRPr="006B7F39" w:rsidRDefault="00262116" w:rsidP="006B7F39">
      <w:pPr>
        <w:pStyle w:val="Puesto"/>
        <w:rPr>
          <w:rFonts w:eastAsia="MS Mincho"/>
          <w:lang w:val="es-ES_tradnl"/>
        </w:rPr>
      </w:pPr>
      <w:r w:rsidRPr="006B7F39">
        <w:rPr>
          <w:rFonts w:eastAsia="MS Mincho"/>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BA597B8" w14:textId="77777777" w:rsidR="00262116" w:rsidRPr="006B7F39" w:rsidRDefault="00262116" w:rsidP="006B7F39">
      <w:pPr>
        <w:pStyle w:val="Puesto"/>
        <w:rPr>
          <w:rFonts w:eastAsia="MS Mincho"/>
          <w:lang w:val="es-ES_tradnl"/>
        </w:rPr>
      </w:pPr>
      <w:r w:rsidRPr="006B7F39">
        <w:rPr>
          <w:rFonts w:eastAsia="MS Mincho"/>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5C6C803" w14:textId="77777777" w:rsidR="00262116" w:rsidRPr="006B7F39" w:rsidRDefault="00262116" w:rsidP="006B7F39">
      <w:pPr>
        <w:rPr>
          <w:lang w:eastAsia="es-MX"/>
        </w:rPr>
      </w:pPr>
    </w:p>
    <w:p w14:paraId="6CD05AC4" w14:textId="51864FE7" w:rsidR="00BD5A7C" w:rsidRPr="006B7F39" w:rsidRDefault="00A6415E" w:rsidP="006B7F39">
      <w:pPr>
        <w:pStyle w:val="Ttulo3"/>
      </w:pPr>
      <w:bookmarkStart w:id="38" w:name="_Toc179394297"/>
      <w:r w:rsidRPr="006B7F39">
        <w:t>d</w:t>
      </w:r>
      <w:r w:rsidR="00BD5A7C" w:rsidRPr="006B7F39">
        <w:t>) Conclusión</w:t>
      </w:r>
      <w:bookmarkEnd w:id="38"/>
    </w:p>
    <w:p w14:paraId="029A5FD9" w14:textId="77777777" w:rsidR="00C351EC" w:rsidRPr="006B7F39" w:rsidRDefault="00C351EC" w:rsidP="006B7F39">
      <w:pPr>
        <w:widowControl w:val="0"/>
        <w:tabs>
          <w:tab w:val="left" w:pos="1701"/>
          <w:tab w:val="left" w:pos="1843"/>
        </w:tabs>
        <w:rPr>
          <w:rFonts w:eastAsia="Palatino Linotype" w:cs="Palatino Linotype"/>
        </w:rPr>
      </w:pPr>
      <w:r w:rsidRPr="006B7F39">
        <w:rPr>
          <w:rFonts w:eastAsia="Palatino Linotype" w:cs="Palatino Linotype"/>
        </w:rPr>
        <w:t xml:space="preserve">En razón de lo anteriormente expuesto, este Instituto estima que las razones o motivos de inconformidad hechos valer por </w:t>
      </w:r>
      <w:r w:rsidRPr="006B7F39">
        <w:rPr>
          <w:rFonts w:eastAsiaTheme="minorHAnsi" w:cs="Tahoma"/>
          <w:b/>
          <w:iCs/>
          <w:szCs w:val="22"/>
          <w:lang w:eastAsia="en-US"/>
        </w:rPr>
        <w:t>LA PARTE RECURRENTE</w:t>
      </w:r>
      <w:r w:rsidRPr="006B7F39">
        <w:rPr>
          <w:rFonts w:eastAsiaTheme="minorHAnsi" w:cs="Tahoma"/>
          <w:bCs/>
          <w:iCs/>
          <w:szCs w:val="22"/>
          <w:lang w:eastAsia="en-US"/>
        </w:rPr>
        <w:t xml:space="preserve"> </w:t>
      </w:r>
      <w:r w:rsidRPr="006B7F39">
        <w:rPr>
          <w:rFonts w:eastAsia="Palatino Linotype" w:cs="Palatino Linotype"/>
        </w:rPr>
        <w:t xml:space="preserve">devienen </w:t>
      </w:r>
      <w:r w:rsidRPr="006B7F39">
        <w:rPr>
          <w:rFonts w:eastAsia="Palatino Linotype" w:cs="Palatino Linotype"/>
          <w:b/>
        </w:rPr>
        <w:t>fundadas</w:t>
      </w:r>
      <w:r w:rsidRPr="006B7F39">
        <w:rPr>
          <w:rFonts w:eastAsia="Palatino Linotype" w:cs="Palatino Linotype"/>
        </w:rPr>
        <w:t xml:space="preserve"> y suficientes para </w:t>
      </w:r>
      <w:r w:rsidRPr="006B7F39">
        <w:rPr>
          <w:rFonts w:eastAsia="Palatino Linotype" w:cs="Palatino Linotype"/>
          <w:b/>
        </w:rPr>
        <w:t>REVOCAR</w:t>
      </w:r>
      <w:r w:rsidRPr="006B7F39">
        <w:rPr>
          <w:rFonts w:eastAsia="Palatino Linotype" w:cs="Palatino Linotype"/>
        </w:rPr>
        <w:t xml:space="preserve"> la respuesta del </w:t>
      </w:r>
      <w:r w:rsidRPr="006B7F39">
        <w:rPr>
          <w:rFonts w:eastAsia="Palatino Linotype" w:cs="Palatino Linotype"/>
          <w:b/>
        </w:rPr>
        <w:t>SUJETO OBLIGADO</w:t>
      </w:r>
      <w:r w:rsidRPr="006B7F39">
        <w:rPr>
          <w:rFonts w:eastAsia="Palatino Linotype" w:cs="Palatino Linotype"/>
        </w:rPr>
        <w:t xml:space="preserve"> y ordenarle haga entrega de la información descrita en el presente Considerando.</w:t>
      </w:r>
    </w:p>
    <w:p w14:paraId="7A667108" w14:textId="77777777" w:rsidR="00A63966" w:rsidRPr="006B7F39" w:rsidRDefault="00A63966" w:rsidP="006B7F39"/>
    <w:p w14:paraId="6C4C444E" w14:textId="16F1DC79" w:rsidR="00BD5A7C" w:rsidRPr="006B7F39" w:rsidRDefault="00BD5A7C" w:rsidP="006B7F39">
      <w:pPr>
        <w:ind w:right="-93"/>
        <w:rPr>
          <w:rFonts w:cs="Tahoma"/>
          <w:bCs/>
          <w:szCs w:val="22"/>
        </w:rPr>
      </w:pPr>
      <w:bookmarkStart w:id="39" w:name="_Hlk165381027"/>
      <w:r w:rsidRPr="006B7F3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F50D7E9" w14:textId="77777777" w:rsidR="006B7F39" w:rsidRPr="006B7F39" w:rsidRDefault="006B7F39" w:rsidP="006B7F39">
      <w:pPr>
        <w:ind w:right="-93"/>
        <w:rPr>
          <w:rFonts w:cs="Tahoma"/>
          <w:bCs/>
          <w:szCs w:val="22"/>
        </w:rPr>
      </w:pPr>
    </w:p>
    <w:bookmarkEnd w:id="39"/>
    <w:p w14:paraId="7C13D1A0" w14:textId="77777777" w:rsidR="00BD5A7C" w:rsidRPr="006B7F39" w:rsidRDefault="00BD5A7C" w:rsidP="006B7F39"/>
    <w:p w14:paraId="5C396097" w14:textId="684A0E4F" w:rsidR="00664420" w:rsidRPr="006B7F39" w:rsidRDefault="00664420" w:rsidP="006B7F39">
      <w:pPr>
        <w:pStyle w:val="Ttulo1"/>
      </w:pPr>
      <w:bookmarkStart w:id="40" w:name="_Toc179394298"/>
      <w:r w:rsidRPr="006B7F39">
        <w:lastRenderedPageBreak/>
        <w:t>RESUELVE</w:t>
      </w:r>
      <w:bookmarkEnd w:id="40"/>
    </w:p>
    <w:p w14:paraId="203B7093" w14:textId="77777777" w:rsidR="00664420" w:rsidRPr="006B7F39" w:rsidRDefault="00664420" w:rsidP="006B7F39">
      <w:pPr>
        <w:ind w:right="113"/>
        <w:rPr>
          <w:rFonts w:cs="Arial"/>
          <w:b/>
          <w:szCs w:val="22"/>
        </w:rPr>
      </w:pPr>
    </w:p>
    <w:p w14:paraId="373B2C7F" w14:textId="1066F168" w:rsidR="00C351EC" w:rsidRPr="006B7F39" w:rsidRDefault="00C351EC" w:rsidP="006B7F39">
      <w:pPr>
        <w:widowControl w:val="0"/>
        <w:rPr>
          <w:rFonts w:eastAsia="Calibri" w:cs="Tahoma"/>
          <w:bCs/>
          <w:szCs w:val="22"/>
          <w:lang w:eastAsia="en-US"/>
        </w:rPr>
      </w:pPr>
      <w:r w:rsidRPr="006B7F39">
        <w:rPr>
          <w:b/>
          <w:bCs/>
        </w:rPr>
        <w:t>PRIMERO.</w:t>
      </w:r>
      <w:r w:rsidRPr="006B7F39">
        <w:t xml:space="preserve"> </w:t>
      </w:r>
      <w:r w:rsidRPr="006B7F39">
        <w:rPr>
          <w:rFonts w:cs="Tahoma"/>
          <w:szCs w:val="22"/>
        </w:rPr>
        <w:t xml:space="preserve">Se </w:t>
      </w:r>
      <w:r w:rsidRPr="006B7F39">
        <w:rPr>
          <w:rFonts w:cs="Tahoma"/>
          <w:b/>
          <w:bCs/>
          <w:szCs w:val="22"/>
        </w:rPr>
        <w:t>REVOCA</w:t>
      </w:r>
      <w:r w:rsidRPr="006B7F39">
        <w:rPr>
          <w:rFonts w:cs="Tahoma"/>
          <w:szCs w:val="22"/>
        </w:rPr>
        <w:t xml:space="preserve"> la respuesta entregada por el </w:t>
      </w:r>
      <w:r w:rsidRPr="006B7F39">
        <w:rPr>
          <w:rFonts w:cs="Tahoma"/>
          <w:b/>
          <w:bCs/>
          <w:szCs w:val="22"/>
        </w:rPr>
        <w:t>SUJETO OBLIGADO</w:t>
      </w:r>
      <w:r w:rsidRPr="006B7F39">
        <w:rPr>
          <w:rFonts w:cs="Tahoma"/>
          <w:szCs w:val="22"/>
        </w:rPr>
        <w:t xml:space="preserve"> en la solicitud de información </w:t>
      </w:r>
      <w:r w:rsidR="00262116" w:rsidRPr="006B7F39">
        <w:rPr>
          <w:rFonts w:cs="Tahoma"/>
          <w:b/>
          <w:szCs w:val="22"/>
        </w:rPr>
        <w:t>00302/SECOGEM/IP/2024</w:t>
      </w:r>
      <w:r w:rsidRPr="006B7F39">
        <w:rPr>
          <w:rFonts w:cs="Tahoma"/>
          <w:bCs/>
          <w:szCs w:val="22"/>
        </w:rPr>
        <w:t xml:space="preserve">, </w:t>
      </w:r>
      <w:r w:rsidRPr="006B7F39">
        <w:rPr>
          <w:rFonts w:eastAsia="Calibri" w:cs="Tahoma"/>
          <w:bCs/>
          <w:szCs w:val="22"/>
          <w:lang w:eastAsia="en-US"/>
        </w:rPr>
        <w:t xml:space="preserve">por resultar </w:t>
      </w:r>
      <w:r w:rsidRPr="006B7F39">
        <w:rPr>
          <w:rFonts w:eastAsia="Calibri" w:cs="Tahoma"/>
          <w:b/>
          <w:bCs/>
          <w:szCs w:val="22"/>
          <w:lang w:eastAsia="en-US"/>
        </w:rPr>
        <w:t>FUNDADAS</w:t>
      </w:r>
      <w:r w:rsidRPr="006B7F39">
        <w:rPr>
          <w:rFonts w:eastAsia="Calibri" w:cs="Tahoma"/>
          <w:bCs/>
          <w:szCs w:val="22"/>
          <w:lang w:eastAsia="en-US"/>
        </w:rPr>
        <w:t xml:space="preserve"> las razones o motivos de inconformidad hechos valer por </w:t>
      </w:r>
      <w:r w:rsidRPr="006B7F39">
        <w:rPr>
          <w:rFonts w:eastAsia="Calibri" w:cs="Tahoma"/>
          <w:b/>
          <w:szCs w:val="22"/>
          <w:lang w:eastAsia="en-US"/>
        </w:rPr>
        <w:t>LA PARTE RECURRENTE</w:t>
      </w:r>
      <w:r w:rsidRPr="006B7F39">
        <w:rPr>
          <w:rFonts w:eastAsia="Calibri" w:cs="Tahoma"/>
          <w:bCs/>
          <w:szCs w:val="22"/>
          <w:lang w:eastAsia="en-US"/>
        </w:rPr>
        <w:t xml:space="preserve"> en el Recurso de Revisión </w:t>
      </w:r>
      <w:r w:rsidRPr="006B7F39">
        <w:rPr>
          <w:rFonts w:eastAsia="Palatino Linotype"/>
          <w:b/>
          <w:szCs w:val="22"/>
        </w:rPr>
        <w:t>0</w:t>
      </w:r>
      <w:r w:rsidR="00262116" w:rsidRPr="006B7F39">
        <w:rPr>
          <w:rFonts w:eastAsia="Palatino Linotype"/>
          <w:b/>
          <w:szCs w:val="22"/>
        </w:rPr>
        <w:t>5227</w:t>
      </w:r>
      <w:r w:rsidRPr="006B7F39">
        <w:rPr>
          <w:rFonts w:eastAsia="Palatino Linotype"/>
          <w:b/>
          <w:szCs w:val="22"/>
        </w:rPr>
        <w:t>/INFOEM/IP/RR/2024</w:t>
      </w:r>
      <w:r w:rsidRPr="006B7F39">
        <w:rPr>
          <w:rFonts w:eastAsiaTheme="minorHAnsi" w:cstheme="minorBidi"/>
          <w:szCs w:val="22"/>
          <w:lang w:eastAsia="en-US"/>
        </w:rPr>
        <w:t>,</w:t>
      </w:r>
      <w:r w:rsidRPr="006B7F39">
        <w:rPr>
          <w:rFonts w:cs="Tahoma"/>
          <w:b/>
          <w:szCs w:val="22"/>
        </w:rPr>
        <w:t xml:space="preserve"> </w:t>
      </w:r>
      <w:r w:rsidRPr="006B7F39">
        <w:rPr>
          <w:rFonts w:eastAsia="Calibri" w:cs="Tahoma"/>
          <w:bCs/>
          <w:szCs w:val="22"/>
          <w:lang w:eastAsia="en-US"/>
        </w:rPr>
        <w:t xml:space="preserve">en términos del considerando </w:t>
      </w:r>
      <w:r w:rsidRPr="006B7F39">
        <w:rPr>
          <w:rFonts w:eastAsia="Calibri" w:cs="Tahoma"/>
          <w:b/>
          <w:szCs w:val="22"/>
          <w:lang w:eastAsia="en-US"/>
        </w:rPr>
        <w:t>SEGUNDO</w:t>
      </w:r>
      <w:r w:rsidRPr="006B7F39">
        <w:rPr>
          <w:rFonts w:eastAsia="Calibri" w:cs="Tahoma"/>
          <w:bCs/>
          <w:szCs w:val="22"/>
          <w:lang w:eastAsia="en-US"/>
        </w:rPr>
        <w:t xml:space="preserve"> de la presente Resolución.</w:t>
      </w:r>
    </w:p>
    <w:p w14:paraId="7426E517" w14:textId="77777777" w:rsidR="00C351EC" w:rsidRPr="006B7F39" w:rsidRDefault="00C351EC" w:rsidP="006B7F39">
      <w:pPr>
        <w:rPr>
          <w:rFonts w:eastAsia="Palatino Linotype"/>
          <w:b/>
          <w:szCs w:val="22"/>
        </w:rPr>
      </w:pPr>
    </w:p>
    <w:p w14:paraId="132FA536" w14:textId="3E0625C1" w:rsidR="00C351EC" w:rsidRPr="006B7F39" w:rsidRDefault="00C351EC" w:rsidP="006B7F39">
      <w:pPr>
        <w:ind w:right="-93"/>
        <w:rPr>
          <w:rFonts w:eastAsia="Calibri" w:cs="Tahoma"/>
          <w:bCs/>
          <w:szCs w:val="22"/>
          <w:lang w:eastAsia="en-US"/>
        </w:rPr>
      </w:pPr>
      <w:r w:rsidRPr="006B7F39">
        <w:rPr>
          <w:rFonts w:eastAsia="Calibri" w:cs="Tahoma"/>
          <w:b/>
          <w:bCs/>
          <w:szCs w:val="22"/>
          <w:lang w:eastAsia="en-US"/>
        </w:rPr>
        <w:t>SEGUNDO.</w:t>
      </w:r>
      <w:r w:rsidRPr="006B7F39">
        <w:rPr>
          <w:rFonts w:eastAsia="Calibri" w:cs="Tahoma"/>
          <w:szCs w:val="22"/>
          <w:lang w:eastAsia="es-MX"/>
        </w:rPr>
        <w:t xml:space="preserve"> Se </w:t>
      </w:r>
      <w:r w:rsidRPr="006B7F39">
        <w:rPr>
          <w:rFonts w:eastAsia="Calibri" w:cs="Tahoma"/>
          <w:b/>
          <w:szCs w:val="22"/>
          <w:lang w:eastAsia="es-MX"/>
        </w:rPr>
        <w:t xml:space="preserve">ORDENA </w:t>
      </w:r>
      <w:r w:rsidRPr="006B7F39">
        <w:rPr>
          <w:rFonts w:eastAsia="Calibri" w:cs="Tahoma"/>
          <w:szCs w:val="22"/>
          <w:lang w:eastAsia="es-MX"/>
        </w:rPr>
        <w:t xml:space="preserve">al </w:t>
      </w:r>
      <w:r w:rsidRPr="006B7F39">
        <w:rPr>
          <w:rFonts w:eastAsia="Calibri" w:cs="Tahoma"/>
          <w:b/>
          <w:bCs/>
          <w:szCs w:val="22"/>
          <w:lang w:eastAsia="es-MX"/>
        </w:rPr>
        <w:t>SUJETO OBLIGADO</w:t>
      </w:r>
      <w:r w:rsidRPr="006B7F39">
        <w:rPr>
          <w:rFonts w:eastAsia="Calibri" w:cs="Tahoma"/>
          <w:szCs w:val="22"/>
          <w:lang w:eastAsia="es-MX"/>
        </w:rPr>
        <w:t xml:space="preserve">, </w:t>
      </w:r>
      <w:r w:rsidRPr="006B7F39">
        <w:rPr>
          <w:rFonts w:eastAsia="Calibri" w:cs="Tahoma"/>
          <w:bCs/>
          <w:szCs w:val="22"/>
          <w:lang w:eastAsia="en-US"/>
        </w:rPr>
        <w:t xml:space="preserve">a efecto de que entregue a través del </w:t>
      </w:r>
      <w:r w:rsidRPr="006B7F39">
        <w:rPr>
          <w:rFonts w:eastAsia="Calibri" w:cs="Tahoma"/>
          <w:b/>
          <w:bCs/>
          <w:szCs w:val="22"/>
          <w:lang w:eastAsia="en-US"/>
        </w:rPr>
        <w:t>SAIMEX</w:t>
      </w:r>
      <w:r w:rsidRPr="006B7F39">
        <w:rPr>
          <w:rFonts w:eastAsia="Calibri" w:cs="Tahoma"/>
          <w:bCs/>
          <w:szCs w:val="22"/>
          <w:lang w:eastAsia="en-US"/>
        </w:rPr>
        <w:t>,</w:t>
      </w:r>
      <w:r w:rsidR="00262116" w:rsidRPr="006B7F39">
        <w:rPr>
          <w:rFonts w:eastAsia="Calibri" w:cs="Tahoma"/>
          <w:bCs/>
          <w:szCs w:val="22"/>
          <w:lang w:eastAsia="en-US"/>
        </w:rPr>
        <w:t xml:space="preserve"> de ser procedente en </w:t>
      </w:r>
      <w:r w:rsidR="00262116" w:rsidRPr="006B7F39">
        <w:rPr>
          <w:rFonts w:eastAsia="Calibri" w:cs="Tahoma"/>
          <w:b/>
          <w:bCs/>
          <w:szCs w:val="22"/>
          <w:lang w:eastAsia="en-US"/>
        </w:rPr>
        <w:t>versión</w:t>
      </w:r>
      <w:r w:rsidR="00262116" w:rsidRPr="006B7F39">
        <w:rPr>
          <w:rFonts w:eastAsia="Calibri" w:cs="Tahoma"/>
          <w:bCs/>
          <w:szCs w:val="22"/>
          <w:lang w:eastAsia="en-US"/>
        </w:rPr>
        <w:t xml:space="preserve"> </w:t>
      </w:r>
      <w:r w:rsidR="00262116" w:rsidRPr="006B7F39">
        <w:rPr>
          <w:rFonts w:eastAsia="Calibri" w:cs="Tahoma"/>
          <w:b/>
          <w:bCs/>
          <w:szCs w:val="22"/>
          <w:lang w:eastAsia="en-US"/>
        </w:rPr>
        <w:t xml:space="preserve">pública, </w:t>
      </w:r>
      <w:r w:rsidR="00262116" w:rsidRPr="006B7F39">
        <w:rPr>
          <w:rFonts w:eastAsia="Calibri" w:cs="Tahoma"/>
          <w:bCs/>
          <w:szCs w:val="22"/>
          <w:lang w:eastAsia="en-US"/>
        </w:rPr>
        <w:t xml:space="preserve">del servidor público precisado en la solicitud, </w:t>
      </w:r>
      <w:r w:rsidR="00D7662E" w:rsidRPr="006B7F39">
        <w:rPr>
          <w:rFonts w:eastAsia="Calibri" w:cs="Tahoma"/>
          <w:bCs/>
          <w:szCs w:val="22"/>
          <w:lang w:eastAsia="en-US"/>
        </w:rPr>
        <w:t xml:space="preserve">al 14 de agosto de 2024, </w:t>
      </w:r>
      <w:r w:rsidR="00262116" w:rsidRPr="006B7F39">
        <w:rPr>
          <w:rFonts w:eastAsia="Calibri" w:cs="Tahoma"/>
          <w:bCs/>
          <w:szCs w:val="22"/>
          <w:lang w:eastAsia="en-US"/>
        </w:rPr>
        <w:t xml:space="preserve">los documentos donde conste </w:t>
      </w:r>
      <w:r w:rsidRPr="006B7F39">
        <w:rPr>
          <w:rFonts w:eastAsia="Calibri" w:cs="Tahoma"/>
          <w:bCs/>
          <w:szCs w:val="22"/>
          <w:lang w:eastAsia="en-US"/>
        </w:rPr>
        <w:t>lo siguiente:</w:t>
      </w:r>
    </w:p>
    <w:p w14:paraId="2B18E46E" w14:textId="77777777" w:rsidR="00262116" w:rsidRPr="006B7F39" w:rsidRDefault="00262116" w:rsidP="006B7F39">
      <w:pPr>
        <w:ind w:right="-93"/>
        <w:rPr>
          <w:rFonts w:eastAsia="Calibri" w:cs="Tahoma"/>
          <w:bCs/>
          <w:szCs w:val="22"/>
          <w:lang w:eastAsia="en-US"/>
        </w:rPr>
      </w:pPr>
    </w:p>
    <w:p w14:paraId="31F6BC1D" w14:textId="0CE324E6" w:rsidR="00393AF2" w:rsidRPr="006B7F39" w:rsidRDefault="00393AF2" w:rsidP="006B7F39">
      <w:pPr>
        <w:pStyle w:val="Prrafodelista"/>
        <w:numPr>
          <w:ilvl w:val="0"/>
          <w:numId w:val="42"/>
        </w:numPr>
      </w:pPr>
      <w:r w:rsidRPr="006B7F39">
        <w:t xml:space="preserve">El sueldo bruto y neto mensual. </w:t>
      </w:r>
    </w:p>
    <w:p w14:paraId="619B784E" w14:textId="010B3F7C" w:rsidR="00393AF2" w:rsidRPr="006B7F39" w:rsidRDefault="00393AF2" w:rsidP="006B7F39">
      <w:pPr>
        <w:pStyle w:val="Prrafodelista"/>
        <w:numPr>
          <w:ilvl w:val="0"/>
          <w:numId w:val="42"/>
        </w:numPr>
      </w:pPr>
      <w:r w:rsidRPr="006B7F39">
        <w:t xml:space="preserve">La autorización emitida por autoridad competente, para exceptuar el registro de asistencia.  </w:t>
      </w:r>
    </w:p>
    <w:p w14:paraId="24632506" w14:textId="6E372A78" w:rsidR="00393AF2" w:rsidRPr="006B7F39" w:rsidRDefault="00393AF2" w:rsidP="006B7F39">
      <w:pPr>
        <w:pStyle w:val="Prrafodelista"/>
        <w:numPr>
          <w:ilvl w:val="0"/>
          <w:numId w:val="42"/>
        </w:numPr>
      </w:pPr>
      <w:r w:rsidRPr="006B7F39">
        <w:t>Las actividades</w:t>
      </w:r>
      <w:r w:rsidR="00D7662E" w:rsidRPr="006B7F39">
        <w:t xml:space="preserve"> realizadas</w:t>
      </w:r>
      <w:r w:rsidRPr="006B7F39">
        <w:t>.</w:t>
      </w:r>
    </w:p>
    <w:p w14:paraId="0A90251C" w14:textId="77777777" w:rsidR="00393AF2" w:rsidRPr="006B7F39" w:rsidRDefault="00393AF2" w:rsidP="006B7F39">
      <w:pPr>
        <w:rPr>
          <w:rFonts w:eastAsia="Palatino Linotype" w:cs="Palatino Linotype"/>
        </w:rPr>
      </w:pPr>
    </w:p>
    <w:p w14:paraId="5032F9CB" w14:textId="77777777" w:rsidR="00262116" w:rsidRPr="006B7F39" w:rsidRDefault="00262116" w:rsidP="006B7F39">
      <w:pPr>
        <w:ind w:right="-93"/>
        <w:rPr>
          <w:rFonts w:eastAsia="Calibri" w:cs="Tahoma"/>
          <w:bCs/>
          <w:szCs w:val="22"/>
          <w:lang w:eastAsia="en-US"/>
        </w:rPr>
      </w:pPr>
      <w:r w:rsidRPr="006B7F3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E377291" w14:textId="77777777" w:rsidR="00262116" w:rsidRPr="006B7F39" w:rsidRDefault="00262116" w:rsidP="006B7F39">
      <w:pPr>
        <w:rPr>
          <w:rFonts w:eastAsia="Palatino Linotype" w:cs="Palatino Linotype"/>
        </w:rPr>
      </w:pPr>
    </w:p>
    <w:p w14:paraId="56EC530D" w14:textId="6F483437" w:rsidR="00393AF2" w:rsidRPr="006B7F39" w:rsidRDefault="00393AF2" w:rsidP="006B7F39">
      <w:pPr>
        <w:ind w:right="-93"/>
        <w:rPr>
          <w:rFonts w:eastAsia="Calibri" w:cs="Tahoma"/>
          <w:bCs/>
          <w:szCs w:val="22"/>
          <w:lang w:eastAsia="en-US"/>
        </w:rPr>
      </w:pPr>
      <w:r w:rsidRPr="006B7F39">
        <w:rPr>
          <w:rFonts w:eastAsia="Calibri" w:cs="Tahoma"/>
          <w:bCs/>
          <w:szCs w:val="22"/>
          <w:lang w:eastAsia="en-US"/>
        </w:rPr>
        <w:t xml:space="preserve">Para el caso de que la información ordenada en el inciso b) no obre en sus archivos, </w:t>
      </w:r>
      <w:r w:rsidRPr="006B7F39">
        <w:rPr>
          <w:rFonts w:eastAsia="Calibri" w:cs="Tahoma"/>
          <w:b/>
          <w:bCs/>
          <w:szCs w:val="22"/>
          <w:lang w:eastAsia="en-US"/>
        </w:rPr>
        <w:t xml:space="preserve">EL SUJETO OBLIGADO </w:t>
      </w:r>
      <w:r w:rsidRPr="006B7F39">
        <w:rPr>
          <w:rFonts w:eastAsia="Calibri" w:cs="Tahoma"/>
          <w:bCs/>
          <w:szCs w:val="22"/>
          <w:lang w:eastAsia="en-US"/>
        </w:rPr>
        <w:t>deberá emitir el Acuerdo de Inexistencia en términos de los artículos 49, fracciones II y XIII, 169 y 170 de la Ley de Transparencia y Acceso a la Información Pública del</w:t>
      </w:r>
      <w:r w:rsidR="00262116" w:rsidRPr="006B7F39">
        <w:rPr>
          <w:rFonts w:eastAsia="Calibri" w:cs="Tahoma"/>
          <w:bCs/>
          <w:szCs w:val="22"/>
          <w:lang w:eastAsia="en-US"/>
        </w:rPr>
        <w:t xml:space="preserve"> Estado de México y Municipios.</w:t>
      </w:r>
    </w:p>
    <w:p w14:paraId="41C3B5D5" w14:textId="77777777" w:rsidR="00C351EC" w:rsidRPr="006B7F39" w:rsidRDefault="00C351EC" w:rsidP="006B7F39">
      <w:r w:rsidRPr="006B7F39">
        <w:rPr>
          <w:b/>
          <w:bCs/>
        </w:rPr>
        <w:lastRenderedPageBreak/>
        <w:t>TERCERO.</w:t>
      </w:r>
      <w:r w:rsidRPr="006B7F39">
        <w:t xml:space="preserve"> </w:t>
      </w:r>
      <w:r w:rsidRPr="006B7F39">
        <w:rPr>
          <w:rFonts w:eastAsia="Palatino Linotype" w:cs="Palatino Linotype"/>
          <w:b/>
          <w:lang w:eastAsia="es-MX"/>
        </w:rPr>
        <w:t xml:space="preserve">Notifíquese </w:t>
      </w:r>
      <w:r w:rsidRPr="006B7F39">
        <w:rPr>
          <w:szCs w:val="17"/>
          <w:lang w:eastAsia="es-ES_tradnl"/>
        </w:rPr>
        <w:t xml:space="preserve">vía </w:t>
      </w:r>
      <w:r w:rsidRPr="006B7F39">
        <w:rPr>
          <w:rFonts w:cs="Arial"/>
        </w:rPr>
        <w:t>Sistema de Acceso a la Información Mexiquense (</w:t>
      </w:r>
      <w:r w:rsidRPr="006B7F39">
        <w:rPr>
          <w:rFonts w:cs="Arial"/>
          <w:b/>
          <w:bCs/>
        </w:rPr>
        <w:t>SAIMEX)</w:t>
      </w:r>
      <w:r w:rsidRPr="006B7F39">
        <w:rPr>
          <w:shd w:val="clear" w:color="auto" w:fill="FFFFFF"/>
        </w:rPr>
        <w:t xml:space="preserve"> la presente resolución al Titular de la Unidad de Transparencia del Sujeto Obligado</w:t>
      </w:r>
      <w:r w:rsidRPr="006B7F39">
        <w:t xml:space="preserve">, para que conforme al artículo 186 último párrafo, 189 segundo párrafo y 194 de la Ley de Transparencia y Acceso a la Información Pública del Estado de México y Municipios, dé cumplimiento a lo ordenado dentro del plazo de </w:t>
      </w:r>
      <w:r w:rsidRPr="006B7F39">
        <w:rPr>
          <w:b/>
          <w:bCs/>
        </w:rPr>
        <w:t>diez días hábiles</w:t>
      </w:r>
      <w:r w:rsidRPr="006B7F39">
        <w:t xml:space="preserve">, e informe a este Instituto en un plazo de </w:t>
      </w:r>
      <w:r w:rsidRPr="006B7F39">
        <w:rPr>
          <w:b/>
          <w:bCs/>
        </w:rPr>
        <w:t>tres días hábiles</w:t>
      </w:r>
      <w:r w:rsidRPr="006B7F3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6B7F39" w:rsidRDefault="00C351EC" w:rsidP="006B7F39"/>
    <w:p w14:paraId="4B9B9019" w14:textId="77777777" w:rsidR="00C351EC" w:rsidRPr="006B7F39" w:rsidRDefault="00C351EC" w:rsidP="006B7F39">
      <w:r w:rsidRPr="006B7F39">
        <w:rPr>
          <w:b/>
          <w:bCs/>
        </w:rPr>
        <w:t>CUARTO.</w:t>
      </w:r>
      <w:r w:rsidRPr="006B7F39">
        <w:t xml:space="preserve"> Notifíquese a </w:t>
      </w:r>
      <w:r w:rsidRPr="006B7F39">
        <w:rPr>
          <w:b/>
          <w:bCs/>
        </w:rPr>
        <w:t>LA PARTE RECURRENTE</w:t>
      </w:r>
      <w:r w:rsidRPr="006B7F39">
        <w:t xml:space="preserve"> la presente resolución vía Sistema de Acceso a la Información Mexiquense (</w:t>
      </w:r>
      <w:r w:rsidRPr="006B7F39">
        <w:rPr>
          <w:b/>
        </w:rPr>
        <w:t>SAIMEX</w:t>
      </w:r>
      <w:r w:rsidRPr="006B7F39">
        <w:t>).</w:t>
      </w:r>
    </w:p>
    <w:p w14:paraId="29F3FA02" w14:textId="77777777" w:rsidR="00C351EC" w:rsidRPr="006B7F39" w:rsidRDefault="00C351EC" w:rsidP="006B7F39"/>
    <w:p w14:paraId="0FCAD9EC" w14:textId="77777777" w:rsidR="00C351EC" w:rsidRPr="006B7F39" w:rsidRDefault="00C351EC" w:rsidP="006B7F39">
      <w:r w:rsidRPr="006B7F39">
        <w:rPr>
          <w:b/>
          <w:bCs/>
        </w:rPr>
        <w:t>QUINTO</w:t>
      </w:r>
      <w:r w:rsidRPr="006B7F39">
        <w:t xml:space="preserve">. Hágase del conocimiento a </w:t>
      </w:r>
      <w:r w:rsidRPr="006B7F39">
        <w:rPr>
          <w:b/>
          <w:bCs/>
        </w:rPr>
        <w:t>LA PARTE RECURRENTE</w:t>
      </w:r>
      <w:r w:rsidRPr="006B7F3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6B7F39" w:rsidRDefault="00C351EC" w:rsidP="006B7F39"/>
    <w:p w14:paraId="30649671" w14:textId="77777777" w:rsidR="00C351EC" w:rsidRPr="006B7F39" w:rsidRDefault="00C351EC" w:rsidP="006B7F39">
      <w:r w:rsidRPr="006B7F39">
        <w:rPr>
          <w:b/>
          <w:bCs/>
        </w:rPr>
        <w:t>SEXTO.</w:t>
      </w:r>
      <w:r w:rsidRPr="006B7F39">
        <w:t xml:space="preserve"> De conformidad con el artículo 198 de la Ley de Transparencia y Acceso a la Información Pública del Estado de México y Municipios, el </w:t>
      </w:r>
      <w:r w:rsidRPr="006B7F39">
        <w:rPr>
          <w:b/>
          <w:bCs/>
        </w:rPr>
        <w:t>SUJETO OBLIGADO</w:t>
      </w:r>
      <w:r w:rsidRPr="006B7F39">
        <w:t xml:space="preserve"> podrá solicitar una ampliación de plazo de manera fundada y motivada, para el cumplimiento de la presente resolución.</w:t>
      </w:r>
    </w:p>
    <w:p w14:paraId="430D4192" w14:textId="77777777" w:rsidR="00B137E8" w:rsidRPr="006B7F39" w:rsidRDefault="00B137E8" w:rsidP="006B7F39">
      <w:pPr>
        <w:ind w:right="113"/>
        <w:rPr>
          <w:rFonts w:cs="Arial"/>
          <w:b/>
          <w:szCs w:val="22"/>
        </w:rPr>
      </w:pPr>
    </w:p>
    <w:p w14:paraId="70497C56" w14:textId="77777777" w:rsidR="006B7F39" w:rsidRPr="006B7F39" w:rsidRDefault="006B7F39" w:rsidP="006B7F39">
      <w:pPr>
        <w:ind w:right="113"/>
        <w:rPr>
          <w:rFonts w:cs="Arial"/>
          <w:b/>
          <w:szCs w:val="22"/>
        </w:rPr>
      </w:pPr>
    </w:p>
    <w:p w14:paraId="0FCFED41" w14:textId="3512A85B" w:rsidR="004B001B" w:rsidRPr="006B7F39" w:rsidRDefault="004B001B" w:rsidP="006B7F39">
      <w:pPr>
        <w:rPr>
          <w:rFonts w:eastAsia="Palatino Linotype" w:cs="Palatino Linotype"/>
          <w:szCs w:val="22"/>
        </w:rPr>
      </w:pPr>
      <w:r w:rsidRPr="006B7F3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C2652" w:rsidRPr="006B7F39">
        <w:rPr>
          <w:rFonts w:eastAsia="Palatino Linotype" w:cs="Palatino Linotype"/>
          <w:szCs w:val="22"/>
        </w:rPr>
        <w:t>TRIGÉSIMA SEXTA</w:t>
      </w:r>
      <w:r w:rsidRPr="006B7F39">
        <w:rPr>
          <w:rFonts w:eastAsia="Palatino Linotype" w:cs="Palatino Linotype"/>
          <w:szCs w:val="22"/>
        </w:rPr>
        <w:t xml:space="preserve"> SESIÓN ORDINARIA, CELEBRADA EL </w:t>
      </w:r>
      <w:r w:rsidR="006B7F39" w:rsidRPr="006B7F39">
        <w:rPr>
          <w:rFonts w:eastAsia="Palatino Linotype" w:cs="Palatino Linotype"/>
          <w:szCs w:val="22"/>
        </w:rPr>
        <w:t>NUEVE DE OCTUBRE</w:t>
      </w:r>
      <w:r w:rsidRPr="006B7F39">
        <w:rPr>
          <w:rFonts w:eastAsia="Palatino Linotype" w:cs="Palatino Linotype"/>
          <w:szCs w:val="22"/>
        </w:rPr>
        <w:t xml:space="preserve"> DE DOS MIL VEINTICUATRO ANTE EL SECRETARIO TÉCNICO DEL PLENO, ALEXIS TAPIA RAMÍREZ.</w:t>
      </w:r>
    </w:p>
    <w:p w14:paraId="5EFEA0CD" w14:textId="484F43CA" w:rsidR="00664420" w:rsidRPr="006B7F39" w:rsidRDefault="00CE1DFB" w:rsidP="006B7F39">
      <w:pPr>
        <w:ind w:right="-93"/>
        <w:rPr>
          <w:rFonts w:eastAsia="Calibri" w:cs="Tahoma"/>
          <w:szCs w:val="22"/>
          <w:lang w:val="es-ES"/>
        </w:rPr>
      </w:pPr>
      <w:r w:rsidRPr="006B7F39">
        <w:rPr>
          <w:rFonts w:eastAsia="Palatino Linotype" w:cs="Palatino Linotype"/>
          <w:sz w:val="20"/>
        </w:rPr>
        <w:t>SCMM/AGZ/DEMF/RPG</w:t>
      </w:r>
    </w:p>
    <w:p w14:paraId="696BC976" w14:textId="77777777" w:rsidR="00664420" w:rsidRPr="006B7F39" w:rsidRDefault="00664420" w:rsidP="006B7F39">
      <w:pPr>
        <w:ind w:right="-93"/>
        <w:rPr>
          <w:rFonts w:eastAsia="Calibri" w:cs="Tahoma"/>
          <w:bCs/>
          <w:szCs w:val="22"/>
          <w:lang w:val="es-ES" w:eastAsia="en-US"/>
        </w:rPr>
      </w:pPr>
    </w:p>
    <w:p w14:paraId="671CB0C5" w14:textId="77777777" w:rsidR="00664420" w:rsidRPr="006B7F39" w:rsidRDefault="00664420" w:rsidP="006B7F39">
      <w:pPr>
        <w:ind w:right="-93"/>
        <w:rPr>
          <w:rFonts w:eastAsia="Calibri" w:cs="Tahoma"/>
          <w:bCs/>
          <w:szCs w:val="22"/>
          <w:lang w:val="es-ES_tradnl" w:eastAsia="en-US"/>
        </w:rPr>
      </w:pPr>
    </w:p>
    <w:p w14:paraId="52B66DE7" w14:textId="77777777" w:rsidR="00664420" w:rsidRPr="006B7F39" w:rsidRDefault="00664420" w:rsidP="006B7F39">
      <w:pPr>
        <w:ind w:right="-93"/>
        <w:rPr>
          <w:rFonts w:eastAsia="Calibri" w:cs="Tahoma"/>
          <w:bCs/>
          <w:szCs w:val="22"/>
          <w:lang w:val="es-ES_tradnl" w:eastAsia="en-US"/>
        </w:rPr>
      </w:pPr>
    </w:p>
    <w:p w14:paraId="3BA305D1" w14:textId="77777777" w:rsidR="00664420" w:rsidRPr="006B7F39" w:rsidRDefault="00664420" w:rsidP="006B7F39">
      <w:pPr>
        <w:ind w:right="-93"/>
        <w:rPr>
          <w:rFonts w:eastAsia="Calibri" w:cs="Tahoma"/>
          <w:bCs/>
          <w:szCs w:val="22"/>
          <w:lang w:val="es-ES_tradnl" w:eastAsia="en-US"/>
        </w:rPr>
      </w:pPr>
    </w:p>
    <w:p w14:paraId="78230707" w14:textId="77777777" w:rsidR="00664420" w:rsidRPr="006B7F39" w:rsidRDefault="00664420" w:rsidP="006B7F39">
      <w:pPr>
        <w:ind w:right="-93"/>
        <w:rPr>
          <w:rFonts w:eastAsia="Calibri" w:cs="Tahoma"/>
          <w:bCs/>
          <w:szCs w:val="22"/>
          <w:lang w:val="es-ES_tradnl" w:eastAsia="en-US"/>
        </w:rPr>
      </w:pPr>
    </w:p>
    <w:p w14:paraId="72D18B28" w14:textId="77777777" w:rsidR="00664420" w:rsidRPr="006B7F39" w:rsidRDefault="00664420" w:rsidP="006B7F39">
      <w:pPr>
        <w:ind w:right="-93"/>
        <w:rPr>
          <w:rFonts w:eastAsia="Calibri" w:cs="Tahoma"/>
          <w:bCs/>
          <w:szCs w:val="22"/>
          <w:lang w:val="es-ES_tradnl" w:eastAsia="en-US"/>
        </w:rPr>
      </w:pPr>
    </w:p>
    <w:p w14:paraId="6BD461DC" w14:textId="77777777" w:rsidR="00664420" w:rsidRPr="006B7F39" w:rsidRDefault="00664420" w:rsidP="006B7F39">
      <w:pPr>
        <w:tabs>
          <w:tab w:val="center" w:pos="4568"/>
        </w:tabs>
        <w:ind w:right="-93"/>
        <w:rPr>
          <w:rFonts w:eastAsia="Calibri" w:cs="Tahoma"/>
          <w:bCs/>
          <w:szCs w:val="22"/>
          <w:lang w:eastAsia="en-US"/>
        </w:rPr>
      </w:pPr>
    </w:p>
    <w:p w14:paraId="4DBB1727" w14:textId="77777777" w:rsidR="00664420" w:rsidRPr="006B7F39" w:rsidRDefault="00664420" w:rsidP="006B7F39">
      <w:pPr>
        <w:tabs>
          <w:tab w:val="center" w:pos="4568"/>
        </w:tabs>
        <w:ind w:right="-93"/>
        <w:rPr>
          <w:rFonts w:eastAsia="Calibri" w:cs="Tahoma"/>
          <w:bCs/>
          <w:szCs w:val="22"/>
          <w:lang w:eastAsia="en-US"/>
        </w:rPr>
      </w:pPr>
    </w:p>
    <w:p w14:paraId="1D74121B" w14:textId="77777777" w:rsidR="00664420" w:rsidRPr="006B7F39" w:rsidRDefault="00664420" w:rsidP="006B7F39">
      <w:pPr>
        <w:tabs>
          <w:tab w:val="center" w:pos="4568"/>
        </w:tabs>
        <w:ind w:right="-93"/>
        <w:rPr>
          <w:rFonts w:eastAsia="Calibri" w:cs="Tahoma"/>
          <w:bCs/>
          <w:szCs w:val="22"/>
          <w:lang w:eastAsia="en-US"/>
        </w:rPr>
      </w:pPr>
    </w:p>
    <w:p w14:paraId="08E74E9C" w14:textId="77777777" w:rsidR="00664420" w:rsidRPr="006B7F39" w:rsidRDefault="00664420" w:rsidP="006B7F39">
      <w:pPr>
        <w:tabs>
          <w:tab w:val="center" w:pos="4568"/>
        </w:tabs>
        <w:ind w:right="-93"/>
        <w:rPr>
          <w:rFonts w:eastAsia="Calibri" w:cs="Tahoma"/>
          <w:bCs/>
          <w:szCs w:val="22"/>
          <w:lang w:eastAsia="en-US"/>
        </w:rPr>
      </w:pPr>
    </w:p>
    <w:p w14:paraId="2CBF5E03" w14:textId="77777777" w:rsidR="00664420" w:rsidRPr="006B7F39" w:rsidRDefault="00664420" w:rsidP="006B7F39">
      <w:pPr>
        <w:tabs>
          <w:tab w:val="center" w:pos="4568"/>
        </w:tabs>
        <w:ind w:right="-93"/>
        <w:rPr>
          <w:rFonts w:eastAsia="Calibri" w:cs="Tahoma"/>
          <w:bCs/>
          <w:szCs w:val="22"/>
          <w:lang w:eastAsia="en-US"/>
        </w:rPr>
      </w:pPr>
    </w:p>
    <w:p w14:paraId="44865A6D" w14:textId="77777777" w:rsidR="00664420" w:rsidRPr="006B7F39" w:rsidRDefault="00664420" w:rsidP="006B7F39">
      <w:pPr>
        <w:tabs>
          <w:tab w:val="center" w:pos="4568"/>
        </w:tabs>
        <w:ind w:right="-93"/>
        <w:rPr>
          <w:rFonts w:eastAsia="Calibri" w:cs="Tahoma"/>
          <w:bCs/>
          <w:szCs w:val="22"/>
          <w:lang w:eastAsia="en-US"/>
        </w:rPr>
      </w:pPr>
    </w:p>
    <w:p w14:paraId="7147F06B" w14:textId="77777777" w:rsidR="00664420" w:rsidRPr="006B7F39" w:rsidRDefault="00664420" w:rsidP="006B7F39">
      <w:pPr>
        <w:tabs>
          <w:tab w:val="center" w:pos="4568"/>
        </w:tabs>
        <w:ind w:right="-93"/>
        <w:rPr>
          <w:rFonts w:eastAsia="Calibri" w:cs="Tahoma"/>
          <w:bCs/>
          <w:szCs w:val="22"/>
          <w:lang w:eastAsia="en-US"/>
        </w:rPr>
      </w:pPr>
    </w:p>
    <w:p w14:paraId="6FDF3D7E" w14:textId="77777777" w:rsidR="00664420" w:rsidRPr="006B7F39" w:rsidRDefault="00664420" w:rsidP="006B7F39">
      <w:pPr>
        <w:tabs>
          <w:tab w:val="center" w:pos="4568"/>
        </w:tabs>
        <w:ind w:right="-93"/>
        <w:rPr>
          <w:rFonts w:eastAsia="Calibri" w:cs="Tahoma"/>
          <w:bCs/>
          <w:szCs w:val="22"/>
          <w:lang w:eastAsia="en-US"/>
        </w:rPr>
      </w:pPr>
    </w:p>
    <w:p w14:paraId="6246F818" w14:textId="77777777" w:rsidR="00664420" w:rsidRPr="006B7F39" w:rsidRDefault="00664420" w:rsidP="006B7F39">
      <w:pPr>
        <w:tabs>
          <w:tab w:val="center" w:pos="4568"/>
        </w:tabs>
        <w:ind w:right="-93"/>
        <w:rPr>
          <w:rFonts w:eastAsia="Calibri" w:cs="Tahoma"/>
          <w:bCs/>
          <w:szCs w:val="22"/>
          <w:lang w:eastAsia="en-US"/>
        </w:rPr>
      </w:pPr>
    </w:p>
    <w:p w14:paraId="57A88B28" w14:textId="77777777" w:rsidR="00664420" w:rsidRPr="006B7F39" w:rsidRDefault="00664420" w:rsidP="006B7F39">
      <w:pPr>
        <w:tabs>
          <w:tab w:val="center" w:pos="4568"/>
        </w:tabs>
        <w:ind w:right="-93"/>
        <w:rPr>
          <w:rFonts w:eastAsia="Calibri" w:cs="Tahoma"/>
          <w:bCs/>
          <w:szCs w:val="22"/>
          <w:lang w:eastAsia="en-US"/>
        </w:rPr>
      </w:pPr>
    </w:p>
    <w:p w14:paraId="77EF6095" w14:textId="77777777" w:rsidR="00664420" w:rsidRPr="006B7F39" w:rsidRDefault="00664420" w:rsidP="006B7F39">
      <w:pPr>
        <w:tabs>
          <w:tab w:val="center" w:pos="4568"/>
        </w:tabs>
        <w:ind w:right="-93"/>
        <w:rPr>
          <w:rFonts w:eastAsia="Calibri" w:cs="Tahoma"/>
          <w:bCs/>
          <w:szCs w:val="22"/>
          <w:lang w:eastAsia="en-US"/>
        </w:rPr>
      </w:pPr>
    </w:p>
    <w:p w14:paraId="35593947" w14:textId="77777777" w:rsidR="00664420" w:rsidRPr="006B7F39" w:rsidRDefault="00664420" w:rsidP="006B7F39">
      <w:pPr>
        <w:tabs>
          <w:tab w:val="center" w:pos="4568"/>
        </w:tabs>
        <w:ind w:right="-93"/>
        <w:rPr>
          <w:rFonts w:eastAsia="Calibri" w:cs="Tahoma"/>
          <w:bCs/>
          <w:szCs w:val="22"/>
          <w:lang w:eastAsia="en-US"/>
        </w:rPr>
      </w:pPr>
    </w:p>
    <w:p w14:paraId="3AF72A17" w14:textId="77777777" w:rsidR="00664420" w:rsidRPr="006B7F39" w:rsidRDefault="00664420" w:rsidP="006B7F39">
      <w:pPr>
        <w:tabs>
          <w:tab w:val="center" w:pos="4568"/>
        </w:tabs>
        <w:ind w:right="-93"/>
        <w:rPr>
          <w:rFonts w:eastAsia="Calibri" w:cs="Tahoma"/>
          <w:bCs/>
          <w:szCs w:val="22"/>
          <w:lang w:eastAsia="en-US"/>
        </w:rPr>
      </w:pPr>
    </w:p>
    <w:p w14:paraId="37169144" w14:textId="77777777" w:rsidR="00664420" w:rsidRPr="006B7F39" w:rsidRDefault="00664420" w:rsidP="006B7F39">
      <w:pPr>
        <w:tabs>
          <w:tab w:val="center" w:pos="4568"/>
        </w:tabs>
        <w:ind w:right="-93"/>
        <w:rPr>
          <w:rFonts w:eastAsia="Calibri" w:cs="Tahoma"/>
          <w:bCs/>
          <w:szCs w:val="22"/>
          <w:lang w:eastAsia="en-US"/>
        </w:rPr>
      </w:pPr>
    </w:p>
    <w:p w14:paraId="77CFC088" w14:textId="77777777" w:rsidR="00664420" w:rsidRPr="006B7F39" w:rsidRDefault="00664420" w:rsidP="006B7F39">
      <w:pPr>
        <w:tabs>
          <w:tab w:val="center" w:pos="4568"/>
        </w:tabs>
        <w:ind w:right="-93"/>
        <w:rPr>
          <w:rFonts w:eastAsia="Calibri" w:cs="Tahoma"/>
          <w:bCs/>
          <w:szCs w:val="22"/>
          <w:lang w:eastAsia="en-US"/>
        </w:rPr>
      </w:pPr>
    </w:p>
    <w:p w14:paraId="781A11A5" w14:textId="77777777" w:rsidR="00664420" w:rsidRPr="006B7F39" w:rsidRDefault="00664420" w:rsidP="006B7F39">
      <w:pPr>
        <w:tabs>
          <w:tab w:val="center" w:pos="4568"/>
        </w:tabs>
        <w:ind w:right="-93"/>
        <w:rPr>
          <w:rFonts w:eastAsia="Calibri" w:cs="Tahoma"/>
          <w:bCs/>
          <w:szCs w:val="22"/>
          <w:lang w:eastAsia="en-US"/>
        </w:rPr>
      </w:pPr>
    </w:p>
    <w:p w14:paraId="5B4ADFF3" w14:textId="77777777" w:rsidR="00A131AC" w:rsidRPr="006B7F39" w:rsidRDefault="00A131AC" w:rsidP="006B7F39"/>
    <w:sectPr w:rsidR="00A131AC" w:rsidRPr="006B7F3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34D1F" w14:textId="77777777" w:rsidR="00F1583F" w:rsidRDefault="00F1583F" w:rsidP="00664420">
      <w:pPr>
        <w:spacing w:line="240" w:lineRule="auto"/>
      </w:pPr>
      <w:r>
        <w:separator/>
      </w:r>
    </w:p>
  </w:endnote>
  <w:endnote w:type="continuationSeparator" w:id="0">
    <w:p w14:paraId="4F6BAD6F" w14:textId="77777777" w:rsidR="00F1583F" w:rsidRDefault="00F1583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86D44" w:rsidRDefault="00186D44">
    <w:pPr>
      <w:tabs>
        <w:tab w:val="center" w:pos="4550"/>
        <w:tab w:val="left" w:pos="5818"/>
      </w:tabs>
      <w:ind w:right="260"/>
      <w:jc w:val="right"/>
      <w:rPr>
        <w:color w:val="071320" w:themeColor="text2" w:themeShade="80"/>
        <w:sz w:val="24"/>
        <w:szCs w:val="24"/>
      </w:rPr>
    </w:pPr>
  </w:p>
  <w:p w14:paraId="1BCA7F23" w14:textId="77777777" w:rsidR="00186D44" w:rsidRDefault="00186D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86D44" w:rsidRDefault="00186D4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B3D56" w:rsidRPr="005B3D56">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B3D56" w:rsidRPr="005B3D56">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186D44" w:rsidRDefault="00186D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2712" w14:textId="77777777" w:rsidR="00F1583F" w:rsidRDefault="00F1583F" w:rsidP="00664420">
      <w:pPr>
        <w:spacing w:line="240" w:lineRule="auto"/>
      </w:pPr>
      <w:r>
        <w:separator/>
      </w:r>
    </w:p>
  </w:footnote>
  <w:footnote w:type="continuationSeparator" w:id="0">
    <w:p w14:paraId="159DC75F" w14:textId="77777777" w:rsidR="00F1583F" w:rsidRDefault="00F1583F" w:rsidP="00664420">
      <w:pPr>
        <w:spacing w:line="240" w:lineRule="auto"/>
      </w:pPr>
      <w:r>
        <w:continuationSeparator/>
      </w:r>
    </w:p>
  </w:footnote>
  <w:footnote w:id="1">
    <w:p w14:paraId="5C9DB9D1" w14:textId="77777777" w:rsidR="00186D44" w:rsidRDefault="00186D44">
      <w:pPr>
        <w:pStyle w:val="Textonotapie"/>
        <w:rPr>
          <w:b/>
          <w:i/>
          <w:sz w:val="16"/>
          <w:szCs w:val="16"/>
        </w:rPr>
      </w:pPr>
      <w:r>
        <w:rPr>
          <w:rStyle w:val="Refdenotaalpie"/>
        </w:rPr>
        <w:footnoteRef/>
      </w:r>
      <w:r>
        <w:t xml:space="preserve"> </w:t>
      </w:r>
      <w:r w:rsidRPr="00EB77BA">
        <w:rPr>
          <w:b/>
          <w:i/>
          <w:sz w:val="16"/>
          <w:szCs w:val="16"/>
        </w:rPr>
        <w:t xml:space="preserve">ARTÍCULO 88. Son obligaciones de los servidores públicos: </w:t>
      </w:r>
    </w:p>
    <w:p w14:paraId="3DA91B56" w14:textId="77777777" w:rsidR="00186D44" w:rsidRDefault="00186D44">
      <w:pPr>
        <w:pStyle w:val="Textonotapie"/>
        <w:rPr>
          <w:i/>
          <w:sz w:val="16"/>
          <w:szCs w:val="16"/>
        </w:rPr>
      </w:pPr>
      <w:r w:rsidRPr="00EB77BA">
        <w:rPr>
          <w:b/>
          <w:i/>
          <w:sz w:val="16"/>
          <w:szCs w:val="16"/>
        </w:rPr>
        <w:t>…</w:t>
      </w:r>
      <w:r w:rsidRPr="00EB77BA">
        <w:rPr>
          <w:i/>
          <w:sz w:val="16"/>
          <w:szCs w:val="16"/>
        </w:rPr>
        <w:t xml:space="preserve"> </w:t>
      </w:r>
    </w:p>
    <w:p w14:paraId="5C13307C" w14:textId="1B8A7980" w:rsidR="00186D44" w:rsidRPr="00EB77BA" w:rsidRDefault="00186D44">
      <w:pPr>
        <w:pStyle w:val="Textonotapie"/>
        <w:rPr>
          <w:i/>
          <w:sz w:val="16"/>
          <w:szCs w:val="16"/>
        </w:rPr>
      </w:pPr>
      <w:r w:rsidRPr="00EB77BA">
        <w:rPr>
          <w:b/>
          <w:i/>
          <w:sz w:val="16"/>
          <w:szCs w:val="16"/>
        </w:rPr>
        <w:t xml:space="preserve">III. </w:t>
      </w:r>
      <w:r w:rsidRPr="00EB77BA">
        <w:rPr>
          <w:i/>
          <w:sz w:val="16"/>
          <w:szCs w:val="16"/>
        </w:rPr>
        <w:t>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w:t>
      </w:r>
    </w:p>
  </w:footnote>
  <w:footnote w:id="2">
    <w:p w14:paraId="20B7C3A5" w14:textId="77777777" w:rsidR="00186D44" w:rsidRPr="00BA61D0" w:rsidRDefault="00186D44" w:rsidP="006F0A31">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86D44" w:rsidRPr="00330DA7" w14:paraId="070A4B18" w14:textId="77777777" w:rsidTr="003F35FD">
      <w:trPr>
        <w:trHeight w:val="144"/>
        <w:jc w:val="right"/>
      </w:trPr>
      <w:tc>
        <w:tcPr>
          <w:tcW w:w="2727" w:type="dxa"/>
        </w:tcPr>
        <w:p w14:paraId="62B7493A" w14:textId="77777777" w:rsidR="00186D44" w:rsidRPr="00330DA7" w:rsidRDefault="00186D4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A202647" w:rsidR="00186D44" w:rsidRPr="00A90C72" w:rsidRDefault="00186D44" w:rsidP="00F9701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5227</w:t>
          </w:r>
          <w:r w:rsidRPr="004D0573">
            <w:rPr>
              <w:rFonts w:eastAsia="Calibri" w:cs="Tahoma"/>
              <w:szCs w:val="22"/>
              <w:lang w:eastAsia="en-US"/>
            </w:rPr>
            <w:t>/INFOEM/IP/RR/2024</w:t>
          </w:r>
        </w:p>
      </w:tc>
    </w:tr>
    <w:tr w:rsidR="00186D44" w:rsidRPr="00330DA7" w14:paraId="4521E058" w14:textId="77777777" w:rsidTr="003F35FD">
      <w:trPr>
        <w:trHeight w:val="283"/>
        <w:jc w:val="right"/>
      </w:trPr>
      <w:tc>
        <w:tcPr>
          <w:tcW w:w="2727" w:type="dxa"/>
        </w:tcPr>
        <w:p w14:paraId="0B68C086" w14:textId="77777777" w:rsidR="00186D44" w:rsidRPr="00330DA7" w:rsidRDefault="00186D4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546EBE0" w:rsidR="00186D44" w:rsidRPr="009233A1" w:rsidRDefault="00186D44" w:rsidP="009233A1">
          <w:pPr>
            <w:tabs>
              <w:tab w:val="right" w:pos="8838"/>
            </w:tabs>
            <w:spacing w:line="240" w:lineRule="auto"/>
            <w:ind w:left="-74" w:right="-105"/>
            <w:rPr>
              <w:rFonts w:eastAsia="Calibri" w:cs="Tahoma"/>
              <w:szCs w:val="22"/>
              <w:lang w:val="es-MX" w:eastAsia="en-US"/>
            </w:rPr>
          </w:pPr>
          <w:r w:rsidRPr="00F9701D">
            <w:rPr>
              <w:rFonts w:eastAsia="Calibri" w:cs="Tahoma"/>
              <w:szCs w:val="22"/>
              <w:lang w:eastAsia="en-US"/>
            </w:rPr>
            <w:t>Secretaría de la Contraloría</w:t>
          </w:r>
        </w:p>
      </w:tc>
    </w:tr>
    <w:tr w:rsidR="00186D44" w:rsidRPr="00330DA7" w14:paraId="6331D9B6" w14:textId="77777777" w:rsidTr="003F35FD">
      <w:trPr>
        <w:trHeight w:val="283"/>
        <w:jc w:val="right"/>
      </w:trPr>
      <w:tc>
        <w:tcPr>
          <w:tcW w:w="2727" w:type="dxa"/>
        </w:tcPr>
        <w:p w14:paraId="3FA86BAE" w14:textId="6568823B" w:rsidR="00186D44" w:rsidRPr="00330DA7" w:rsidRDefault="00186D4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86D44" w:rsidRPr="00EA66FC" w:rsidRDefault="00186D4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86D44" w:rsidRPr="00443C6B" w:rsidRDefault="00186D4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86D44" w:rsidRPr="00330DA7" w14:paraId="29CFF901" w14:textId="77777777" w:rsidTr="004D0573">
      <w:trPr>
        <w:trHeight w:val="1435"/>
      </w:trPr>
      <w:tc>
        <w:tcPr>
          <w:tcW w:w="283" w:type="dxa"/>
          <w:shd w:val="clear" w:color="auto" w:fill="auto"/>
        </w:tcPr>
        <w:p w14:paraId="046B9F8F" w14:textId="77777777" w:rsidR="00186D44" w:rsidRPr="00330DA7" w:rsidRDefault="00186D4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86D44" w:rsidRPr="00330DA7" w14:paraId="04F272D2" w14:textId="77777777" w:rsidTr="004D0573">
            <w:trPr>
              <w:trHeight w:val="144"/>
            </w:trPr>
            <w:tc>
              <w:tcPr>
                <w:tcW w:w="2727" w:type="dxa"/>
              </w:tcPr>
              <w:p w14:paraId="2FD4DBF6" w14:textId="77777777" w:rsidR="00186D44" w:rsidRPr="00330DA7" w:rsidRDefault="00186D44"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78D154D" w:rsidR="00186D44" w:rsidRPr="004D0573" w:rsidRDefault="00186D44" w:rsidP="00F9701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5227</w:t>
                </w:r>
                <w:r w:rsidRPr="004D0573">
                  <w:rPr>
                    <w:rFonts w:eastAsia="Calibri" w:cs="Tahoma"/>
                    <w:szCs w:val="22"/>
                    <w:lang w:eastAsia="en-US"/>
                  </w:rPr>
                  <w:t xml:space="preserve">/INFOEM/IP/RR/2024 </w:t>
                </w:r>
              </w:p>
            </w:tc>
            <w:tc>
              <w:tcPr>
                <w:tcW w:w="3402" w:type="dxa"/>
              </w:tcPr>
              <w:p w14:paraId="71DEA1CF" w14:textId="77777777" w:rsidR="00186D44" w:rsidRDefault="00186D44" w:rsidP="004D0573">
                <w:pPr>
                  <w:tabs>
                    <w:tab w:val="right" w:pos="8838"/>
                  </w:tabs>
                  <w:spacing w:line="240" w:lineRule="auto"/>
                  <w:ind w:left="-74" w:right="-105"/>
                  <w:rPr>
                    <w:rFonts w:eastAsia="Calibri" w:cs="Tahoma"/>
                    <w:szCs w:val="22"/>
                    <w:lang w:eastAsia="en-US"/>
                  </w:rPr>
                </w:pPr>
              </w:p>
            </w:tc>
          </w:tr>
          <w:tr w:rsidR="00186D44" w:rsidRPr="00330DA7" w14:paraId="05C58951" w14:textId="77777777" w:rsidTr="004D0573">
            <w:trPr>
              <w:trHeight w:val="144"/>
            </w:trPr>
            <w:tc>
              <w:tcPr>
                <w:tcW w:w="2727" w:type="dxa"/>
              </w:tcPr>
              <w:p w14:paraId="642B9610" w14:textId="77777777" w:rsidR="00186D44" w:rsidRPr="00330DA7" w:rsidRDefault="00186D44"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FE69C39" w:rsidR="00186D44" w:rsidRPr="004D0573" w:rsidRDefault="00186D44" w:rsidP="00F9701D">
                <w:pPr>
                  <w:tabs>
                    <w:tab w:val="right" w:pos="8838"/>
                  </w:tabs>
                  <w:spacing w:line="240" w:lineRule="auto"/>
                  <w:ind w:left="-108" w:right="-105"/>
                  <w:rPr>
                    <w:rFonts w:eastAsia="Calibri" w:cs="Tahoma"/>
                    <w:szCs w:val="22"/>
                    <w:lang w:eastAsia="en-US"/>
                  </w:rPr>
                </w:pPr>
                <w:r>
                  <w:rPr>
                    <w:rFonts w:eastAsia="Calibri" w:cs="Tahoma"/>
                    <w:szCs w:val="22"/>
                    <w:lang w:eastAsia="en-US"/>
                  </w:rPr>
                  <w:t>XXXXXXXX</w:t>
                </w:r>
              </w:p>
            </w:tc>
            <w:tc>
              <w:tcPr>
                <w:tcW w:w="3402" w:type="dxa"/>
              </w:tcPr>
              <w:p w14:paraId="73F47F53" w14:textId="77777777" w:rsidR="00186D44" w:rsidRPr="005F19B1" w:rsidRDefault="00186D44" w:rsidP="004D0573">
                <w:pPr>
                  <w:tabs>
                    <w:tab w:val="left" w:pos="3122"/>
                    <w:tab w:val="right" w:pos="8838"/>
                  </w:tabs>
                  <w:spacing w:line="240" w:lineRule="auto"/>
                  <w:ind w:left="-105" w:right="-105"/>
                  <w:rPr>
                    <w:rFonts w:eastAsia="Calibri" w:cs="Tahoma"/>
                    <w:szCs w:val="22"/>
                    <w:lang w:eastAsia="en-US"/>
                  </w:rPr>
                </w:pPr>
              </w:p>
            </w:tc>
          </w:tr>
          <w:bookmarkEnd w:id="1"/>
          <w:tr w:rsidR="00186D44" w:rsidRPr="00330DA7" w14:paraId="00E6CDC1" w14:textId="77777777" w:rsidTr="004D0573">
            <w:trPr>
              <w:trHeight w:val="283"/>
            </w:trPr>
            <w:tc>
              <w:tcPr>
                <w:tcW w:w="2727" w:type="dxa"/>
              </w:tcPr>
              <w:p w14:paraId="0631AD24" w14:textId="77777777" w:rsidR="00186D44" w:rsidRPr="00330DA7" w:rsidRDefault="00186D4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44F6749" w:rsidR="00186D44" w:rsidRPr="004D0573" w:rsidRDefault="00186D44" w:rsidP="00F9701D">
                <w:pPr>
                  <w:tabs>
                    <w:tab w:val="right" w:pos="8838"/>
                  </w:tabs>
                  <w:spacing w:line="240" w:lineRule="auto"/>
                  <w:ind w:left="-108" w:right="-105"/>
                  <w:rPr>
                    <w:rFonts w:eastAsia="Calibri" w:cs="Tahoma"/>
                    <w:szCs w:val="22"/>
                    <w:lang w:eastAsia="en-US"/>
                  </w:rPr>
                </w:pPr>
                <w:r w:rsidRPr="00F9701D">
                  <w:rPr>
                    <w:rFonts w:eastAsia="Calibri" w:cs="Tahoma"/>
                    <w:szCs w:val="22"/>
                    <w:lang w:eastAsia="en-US"/>
                  </w:rPr>
                  <w:t>Secretaría de la Contraloría</w:t>
                </w:r>
              </w:p>
            </w:tc>
            <w:tc>
              <w:tcPr>
                <w:tcW w:w="3402" w:type="dxa"/>
              </w:tcPr>
              <w:p w14:paraId="3A7DA319" w14:textId="77777777" w:rsidR="00186D44" w:rsidRPr="00A90C72" w:rsidRDefault="00186D44" w:rsidP="004D0573">
                <w:pPr>
                  <w:tabs>
                    <w:tab w:val="left" w:pos="2834"/>
                    <w:tab w:val="right" w:pos="8838"/>
                  </w:tabs>
                  <w:spacing w:line="240" w:lineRule="auto"/>
                  <w:ind w:left="-108" w:right="-105"/>
                  <w:rPr>
                    <w:rFonts w:eastAsia="Calibri" w:cs="Tahoma"/>
                    <w:szCs w:val="22"/>
                    <w:lang w:eastAsia="en-US"/>
                  </w:rPr>
                </w:pPr>
              </w:p>
            </w:tc>
          </w:tr>
          <w:tr w:rsidR="00186D44" w:rsidRPr="00330DA7" w14:paraId="0F6CD8D2" w14:textId="77777777" w:rsidTr="004D0573">
            <w:trPr>
              <w:trHeight w:val="283"/>
            </w:trPr>
            <w:tc>
              <w:tcPr>
                <w:tcW w:w="2727" w:type="dxa"/>
              </w:tcPr>
              <w:p w14:paraId="31700628" w14:textId="0565A62A" w:rsidR="00186D44" w:rsidRPr="00330DA7" w:rsidRDefault="00186D4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86D44" w:rsidRPr="00EA66FC" w:rsidRDefault="00186D4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86D44" w:rsidRPr="00330DA7" w:rsidRDefault="00186D44" w:rsidP="004D0573">
                <w:pPr>
                  <w:tabs>
                    <w:tab w:val="right" w:pos="8838"/>
                  </w:tabs>
                  <w:spacing w:line="240" w:lineRule="auto"/>
                  <w:ind w:left="-108" w:right="-105"/>
                  <w:rPr>
                    <w:rFonts w:eastAsia="Calibri" w:cs="Tahoma"/>
                    <w:szCs w:val="22"/>
                    <w:lang w:eastAsia="en-US"/>
                  </w:rPr>
                </w:pPr>
              </w:p>
            </w:tc>
          </w:tr>
        </w:tbl>
        <w:p w14:paraId="5DC6AC61" w14:textId="77777777" w:rsidR="00186D44" w:rsidRPr="00330DA7" w:rsidRDefault="00186D44" w:rsidP="004D0573">
          <w:pPr>
            <w:tabs>
              <w:tab w:val="right" w:pos="8838"/>
            </w:tabs>
            <w:ind w:left="-28"/>
            <w:rPr>
              <w:rFonts w:ascii="Arial" w:eastAsia="Calibri" w:hAnsi="Arial" w:cs="Arial"/>
              <w:b/>
              <w:szCs w:val="22"/>
              <w:lang w:eastAsia="en-US"/>
            </w:rPr>
          </w:pPr>
        </w:p>
      </w:tc>
    </w:tr>
  </w:tbl>
  <w:p w14:paraId="2A906731" w14:textId="77777777" w:rsidR="00186D44" w:rsidRPr="00765661" w:rsidRDefault="00186D44"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3"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9"/>
  </w:num>
  <w:num w:numId="3">
    <w:abstractNumId w:val="37"/>
  </w:num>
  <w:num w:numId="4">
    <w:abstractNumId w:val="13"/>
  </w:num>
  <w:num w:numId="5">
    <w:abstractNumId w:val="4"/>
  </w:num>
  <w:num w:numId="6">
    <w:abstractNumId w:val="39"/>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7"/>
  </w:num>
  <w:num w:numId="16">
    <w:abstractNumId w:val="35"/>
  </w:num>
  <w:num w:numId="17">
    <w:abstractNumId w:val="34"/>
  </w:num>
  <w:num w:numId="18">
    <w:abstractNumId w:val="8"/>
  </w:num>
  <w:num w:numId="19">
    <w:abstractNumId w:val="5"/>
  </w:num>
  <w:num w:numId="20">
    <w:abstractNumId w:val="40"/>
  </w:num>
  <w:num w:numId="21">
    <w:abstractNumId w:val="9"/>
  </w:num>
  <w:num w:numId="22">
    <w:abstractNumId w:val="30"/>
  </w:num>
  <w:num w:numId="23">
    <w:abstractNumId w:val="36"/>
  </w:num>
  <w:num w:numId="24">
    <w:abstractNumId w:val="14"/>
  </w:num>
  <w:num w:numId="25">
    <w:abstractNumId w:val="12"/>
  </w:num>
  <w:num w:numId="26">
    <w:abstractNumId w:val="1"/>
  </w:num>
  <w:num w:numId="27">
    <w:abstractNumId w:val="2"/>
  </w:num>
  <w:num w:numId="28">
    <w:abstractNumId w:val="19"/>
  </w:num>
  <w:num w:numId="29">
    <w:abstractNumId w:val="28"/>
  </w:num>
  <w:num w:numId="30">
    <w:abstractNumId w:val="7"/>
  </w:num>
  <w:num w:numId="31">
    <w:abstractNumId w:val="17"/>
  </w:num>
  <w:num w:numId="32">
    <w:abstractNumId w:val="15"/>
  </w:num>
  <w:num w:numId="33">
    <w:abstractNumId w:val="38"/>
  </w:num>
  <w:num w:numId="34">
    <w:abstractNumId w:val="33"/>
  </w:num>
  <w:num w:numId="35">
    <w:abstractNumId w:val="23"/>
  </w:num>
  <w:num w:numId="36">
    <w:abstractNumId w:val="20"/>
  </w:num>
  <w:num w:numId="37">
    <w:abstractNumId w:val="21"/>
  </w:num>
  <w:num w:numId="38">
    <w:abstractNumId w:val="31"/>
  </w:num>
  <w:num w:numId="39">
    <w:abstractNumId w:val="32"/>
  </w:num>
  <w:num w:numId="40">
    <w:abstractNumId w:val="6"/>
  </w:num>
  <w:num w:numId="41">
    <w:abstractNumId w:val="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3156"/>
    <w:rsid w:val="00042FBB"/>
    <w:rsid w:val="00057B2D"/>
    <w:rsid w:val="00065518"/>
    <w:rsid w:val="000777E2"/>
    <w:rsid w:val="00080071"/>
    <w:rsid w:val="000A0798"/>
    <w:rsid w:val="000B6E86"/>
    <w:rsid w:val="000C2652"/>
    <w:rsid w:val="000C3BBA"/>
    <w:rsid w:val="000D0D67"/>
    <w:rsid w:val="000D2569"/>
    <w:rsid w:val="000E09C4"/>
    <w:rsid w:val="000E23B9"/>
    <w:rsid w:val="000E72B3"/>
    <w:rsid w:val="00101093"/>
    <w:rsid w:val="00107F71"/>
    <w:rsid w:val="0011350D"/>
    <w:rsid w:val="001144FB"/>
    <w:rsid w:val="00117DDB"/>
    <w:rsid w:val="00127130"/>
    <w:rsid w:val="00135056"/>
    <w:rsid w:val="00141876"/>
    <w:rsid w:val="0014207B"/>
    <w:rsid w:val="00150C49"/>
    <w:rsid w:val="001664F0"/>
    <w:rsid w:val="00185C7C"/>
    <w:rsid w:val="00186D44"/>
    <w:rsid w:val="001A58B3"/>
    <w:rsid w:val="001C6BE2"/>
    <w:rsid w:val="001C7688"/>
    <w:rsid w:val="001D2464"/>
    <w:rsid w:val="001D5BAD"/>
    <w:rsid w:val="001E0CFD"/>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6393"/>
    <w:rsid w:val="00302476"/>
    <w:rsid w:val="00304C8C"/>
    <w:rsid w:val="00331F35"/>
    <w:rsid w:val="00335CDF"/>
    <w:rsid w:val="00341E94"/>
    <w:rsid w:val="00346BC2"/>
    <w:rsid w:val="00350198"/>
    <w:rsid w:val="00362A11"/>
    <w:rsid w:val="00386CD1"/>
    <w:rsid w:val="00393AF2"/>
    <w:rsid w:val="003A40C1"/>
    <w:rsid w:val="003A67CC"/>
    <w:rsid w:val="003B0255"/>
    <w:rsid w:val="003B0AEC"/>
    <w:rsid w:val="003B5D3E"/>
    <w:rsid w:val="003F35FD"/>
    <w:rsid w:val="0041385B"/>
    <w:rsid w:val="00416357"/>
    <w:rsid w:val="00441BFA"/>
    <w:rsid w:val="00454FBD"/>
    <w:rsid w:val="004565C2"/>
    <w:rsid w:val="00466CA4"/>
    <w:rsid w:val="00475FF6"/>
    <w:rsid w:val="004B001B"/>
    <w:rsid w:val="004B2C64"/>
    <w:rsid w:val="004C43D3"/>
    <w:rsid w:val="004D0573"/>
    <w:rsid w:val="004D7CD8"/>
    <w:rsid w:val="004E2939"/>
    <w:rsid w:val="004E5068"/>
    <w:rsid w:val="004F7A00"/>
    <w:rsid w:val="005122DD"/>
    <w:rsid w:val="00523E60"/>
    <w:rsid w:val="00523F48"/>
    <w:rsid w:val="00525710"/>
    <w:rsid w:val="005365FA"/>
    <w:rsid w:val="00536C50"/>
    <w:rsid w:val="005432B1"/>
    <w:rsid w:val="00550AB5"/>
    <w:rsid w:val="0055624C"/>
    <w:rsid w:val="005723CB"/>
    <w:rsid w:val="00575400"/>
    <w:rsid w:val="00591A20"/>
    <w:rsid w:val="005A468E"/>
    <w:rsid w:val="005A5BF2"/>
    <w:rsid w:val="005B18AF"/>
    <w:rsid w:val="005B3D56"/>
    <w:rsid w:val="005C4AB7"/>
    <w:rsid w:val="005D5A50"/>
    <w:rsid w:val="005F5301"/>
    <w:rsid w:val="005F65B7"/>
    <w:rsid w:val="00603D8C"/>
    <w:rsid w:val="006067C7"/>
    <w:rsid w:val="006159AD"/>
    <w:rsid w:val="00646436"/>
    <w:rsid w:val="00657603"/>
    <w:rsid w:val="00664420"/>
    <w:rsid w:val="00690F2C"/>
    <w:rsid w:val="006A21FC"/>
    <w:rsid w:val="006A646A"/>
    <w:rsid w:val="006B10B0"/>
    <w:rsid w:val="006B7F39"/>
    <w:rsid w:val="006E13CF"/>
    <w:rsid w:val="006E25BC"/>
    <w:rsid w:val="006E6BBC"/>
    <w:rsid w:val="006F0A31"/>
    <w:rsid w:val="006F7768"/>
    <w:rsid w:val="00717E59"/>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A7480"/>
    <w:rsid w:val="008B1E16"/>
    <w:rsid w:val="008E1316"/>
    <w:rsid w:val="008E6224"/>
    <w:rsid w:val="0090194A"/>
    <w:rsid w:val="00903DBE"/>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0B4F"/>
    <w:rsid w:val="00A131AC"/>
    <w:rsid w:val="00A15141"/>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237A9"/>
    <w:rsid w:val="00B360F1"/>
    <w:rsid w:val="00B36848"/>
    <w:rsid w:val="00B65555"/>
    <w:rsid w:val="00BA1AB6"/>
    <w:rsid w:val="00BA55A8"/>
    <w:rsid w:val="00BB2ABF"/>
    <w:rsid w:val="00BB64F4"/>
    <w:rsid w:val="00BD2738"/>
    <w:rsid w:val="00BD3F4F"/>
    <w:rsid w:val="00BD5A7C"/>
    <w:rsid w:val="00BE7A1B"/>
    <w:rsid w:val="00BF0221"/>
    <w:rsid w:val="00BF091A"/>
    <w:rsid w:val="00BF0ADF"/>
    <w:rsid w:val="00BF4EAD"/>
    <w:rsid w:val="00C00D03"/>
    <w:rsid w:val="00C02244"/>
    <w:rsid w:val="00C049E2"/>
    <w:rsid w:val="00C30616"/>
    <w:rsid w:val="00C351EC"/>
    <w:rsid w:val="00C36795"/>
    <w:rsid w:val="00C461EC"/>
    <w:rsid w:val="00C507D4"/>
    <w:rsid w:val="00C71CEF"/>
    <w:rsid w:val="00C72DAA"/>
    <w:rsid w:val="00C7571D"/>
    <w:rsid w:val="00C80B14"/>
    <w:rsid w:val="00CA50B3"/>
    <w:rsid w:val="00CB7C31"/>
    <w:rsid w:val="00CB7E9A"/>
    <w:rsid w:val="00CD0B92"/>
    <w:rsid w:val="00CD3244"/>
    <w:rsid w:val="00CD70E5"/>
    <w:rsid w:val="00CE1DFB"/>
    <w:rsid w:val="00CE29D3"/>
    <w:rsid w:val="00CE58F2"/>
    <w:rsid w:val="00CF2D8B"/>
    <w:rsid w:val="00CF7586"/>
    <w:rsid w:val="00CF7F0C"/>
    <w:rsid w:val="00D036D3"/>
    <w:rsid w:val="00D07C17"/>
    <w:rsid w:val="00D228A6"/>
    <w:rsid w:val="00D2790D"/>
    <w:rsid w:val="00D44B43"/>
    <w:rsid w:val="00D51ECD"/>
    <w:rsid w:val="00D5461D"/>
    <w:rsid w:val="00D55FDA"/>
    <w:rsid w:val="00D6170E"/>
    <w:rsid w:val="00D7662E"/>
    <w:rsid w:val="00D91CB4"/>
    <w:rsid w:val="00DA54C1"/>
    <w:rsid w:val="00DB1C09"/>
    <w:rsid w:val="00DC30FA"/>
    <w:rsid w:val="00DE1133"/>
    <w:rsid w:val="00DE7108"/>
    <w:rsid w:val="00E02E1A"/>
    <w:rsid w:val="00E11AA0"/>
    <w:rsid w:val="00E16BF5"/>
    <w:rsid w:val="00E33233"/>
    <w:rsid w:val="00E37A3F"/>
    <w:rsid w:val="00E37D3C"/>
    <w:rsid w:val="00E62E6A"/>
    <w:rsid w:val="00E73A29"/>
    <w:rsid w:val="00E83EF5"/>
    <w:rsid w:val="00E9335C"/>
    <w:rsid w:val="00EB77BA"/>
    <w:rsid w:val="00ED1C1E"/>
    <w:rsid w:val="00ED45C7"/>
    <w:rsid w:val="00EE2AF2"/>
    <w:rsid w:val="00EE7028"/>
    <w:rsid w:val="00EE73FD"/>
    <w:rsid w:val="00EE77E9"/>
    <w:rsid w:val="00F07EE6"/>
    <w:rsid w:val="00F1583F"/>
    <w:rsid w:val="00F32348"/>
    <w:rsid w:val="00F33CC8"/>
    <w:rsid w:val="00F4481C"/>
    <w:rsid w:val="00F45902"/>
    <w:rsid w:val="00F52005"/>
    <w:rsid w:val="00F52089"/>
    <w:rsid w:val="00F75D23"/>
    <w:rsid w:val="00F86DF5"/>
    <w:rsid w:val="00F9701D"/>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EFB33F88-7E65-4437-91EA-54FD9D81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9584</Words>
  <Characters>52715</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2024-10-10T16:30:00Z</cp:lastPrinted>
  <dcterms:created xsi:type="dcterms:W3CDTF">2024-10-03T15:14:00Z</dcterms:created>
  <dcterms:modified xsi:type="dcterms:W3CDTF">2024-11-12T00:38:00Z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