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2et92p0"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diecisiete de enero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04509/INFOEM/IP/RR/2023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 particular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Zinacantepec,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siete de julio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00503/ZINACANT/IP/2023,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SABER CON QUE RANCHOS, SALONES DW FIESTAS, MANSIONES, CUENTAN LOS EX PRESIDENTES DE ZINACANTEPEC COMO LO MENCIONA EL PRESIDENTE ACTUAL</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once de agosto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“…Se proporciona respuesta a la solicitud de folio 00503/ZINACANT/IP/2023 a través del documento anexo..."(sic)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oficio número ZIN/UT/03225/2023, de fecha once de agosto de dos mil veintitrés, signado por la Titular de la Unidad de Transparencia mediante el cual, derivado del análisis a la solicitud, con fundamento en el artículo 12 de la Ley de Transparencia y Acceso a la Información Pública del Estado de México y Municipios, manifiesta que lo solicitado transgrede la vida privada y/o la información concerniente a una persona identificada o identificable según lo dispuesto por la Ley de Protección de Datos Personales del Estado de México, asimismo, que el requerimiento de información no constituye un derecho de acceso a la información pública y, por lo tanto, no es atendible mediante una solicitud de información, al tratarse de manifestaciones subjetivas vertidas por la persona solicitante, dado que el Derecho a la información constituye una prerrogativa a acceder a documentación en poder de los  Sujetos Obligados, no así a realizar cuestionamientos o manifestaciones subjetivas.</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catorce de agosto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0C">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D">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E">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NO ENTREGA LA INFORMACIÓN SOLICITADA</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F">
      <w:pPr>
        <w:spacing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“OSEA, SU PRESIDENTE LO AFRIMA Y LO VUELVE A REAFIRMAR PUES EL QUE AFIRMA DEBE DE SABER NO?, CARAY.” (sic)</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diecisiete de agosto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581785"/>
            <wp:effectExtent b="0" l="0" r="0" t="0"/>
            <wp:docPr id="199341234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58178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veintiséis de septiembre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nueve de octubre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D">
      <w:pPr>
        <w:numPr>
          <w:ilvl w:val="0"/>
          <w:numId w:val="4"/>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E">
      <w:pPr>
        <w:numPr>
          <w:ilvl w:val="0"/>
          <w:numId w:val="4"/>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1F">
      <w:pPr>
        <w:numPr>
          <w:ilvl w:val="0"/>
          <w:numId w:val="4"/>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0">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5">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6">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9">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once de agosto 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catorce de agosto de dos mil veintitrés, </w:t>
      </w:r>
      <w:r w:rsidDel="00000000" w:rsidR="00000000" w:rsidRPr="00000000">
        <w:rPr>
          <w:rFonts w:ascii="Palatino Linotype" w:cs="Palatino Linotype" w:eastAsia="Palatino Linotype" w:hAnsi="Palatino Linotype"/>
          <w:rtl w:val="0"/>
        </w:rPr>
        <w:t xml:space="preserve">esto es, al siguiente día hábil posterior en que tuvo conocimiento de la respuesta impugnada.</w:t>
      </w:r>
      <w:r w:rsidDel="00000000" w:rsidR="00000000" w:rsidRPr="00000000">
        <w:rPr>
          <w:rtl w:val="0"/>
        </w:rPr>
      </w:r>
    </w:p>
    <w:p w:rsidR="00000000" w:rsidDel="00000000" w:rsidP="00000000" w:rsidRDefault="00000000" w:rsidRPr="00000000" w14:paraId="0000002D">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F">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3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3">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La negativa a la información solicitada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3C">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3F">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0">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4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D">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Ranchos, salones de fiestas, mansiones, con los que cuentan los ex presidentes de Zinacantepec.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la Titular de la Unidad de Transparencia, derivado del análisis efectuado a la solicitud, hizo del conocimiento de la persona solicitante que lo solicitado transgrede la vida privada y/o la información concerniente a una persona identificada o identificable según lo dispuesto por la Ley de Protección de Datos Personales del Estado de México, asimismo, que el requerimiento de información no constituye un derecho de acceso a la información pública y, por lo tanto, no es atendible mediante una solicitud de información, al tratarse de manifestaciones subjetivas vertidas por la persona solicitante, dado que el Derecho a la información constituye una prerrogativa a acceder a documentación en poder de los  Sujetos Obligados, no así a realizar cuestionamientos o  manifestaciones subjetivas.</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emitida,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que nos ocupa, donde señaló como motivo de inconformidad, que no le fue entregada toda la información solicitada.</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recurso de revisión, se integró el expediente y se puso a disposición de las partes para que manifestaran lo que a su derecho resultara conveniente, sin embargo, fueron omisas en emitir pronunciamiento o alegato alguno, como se señaló anteriormente.  </w:t>
      </w:r>
    </w:p>
    <w:p w:rsidR="00000000" w:rsidDel="00000000" w:rsidP="00000000" w:rsidRDefault="00000000" w:rsidRPr="00000000" w14:paraId="0000005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no pasa desapercibido que la persona solicitante realizó diversos planteamientos subjetivos, como parte de su solicitud y recurso de revisión, tales como “</w:t>
      </w:r>
      <w:r w:rsidDel="00000000" w:rsidR="00000000" w:rsidRPr="00000000">
        <w:rPr>
          <w:rFonts w:ascii="Palatino Linotype" w:cs="Palatino Linotype" w:eastAsia="Palatino Linotype" w:hAnsi="Palatino Linotype"/>
          <w:i w:val="1"/>
          <w:rtl w:val="0"/>
        </w:rPr>
        <w:t xml:space="preserve">COMO LO MENCIONA EL PRESIDENTE ACTUAL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SU PRESIDENTE LO AFRIMA Y LO VUELVE A REAFIRMAR PUES EL QUE AFIRMA DEBE DE SABER NO?, CARAY</w:t>
      </w:r>
      <w:r w:rsidDel="00000000" w:rsidR="00000000" w:rsidRPr="00000000">
        <w:rPr>
          <w:rFonts w:ascii="Palatino Linotype" w:cs="Palatino Linotype" w:eastAsia="Palatino Linotype" w:hAnsi="Palatino Linotype"/>
          <w:rtl w:val="0"/>
        </w:rPr>
        <w:t xml:space="preserve">” (sic)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En este sentido, se trata de manifestaciones sobre las cuales este Instituto no está facultado para pronunciarse.</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Acotado lo anterior, tomando en consideración el pronunciamiento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respuesta a la solicitud, es oportuno precisar en primera instancia, que el </w:t>
      </w:r>
      <w:r w:rsidDel="00000000" w:rsidR="00000000" w:rsidRPr="00000000">
        <w:rPr>
          <w:rFonts w:ascii="Palatino Linotype" w:cs="Palatino Linotype" w:eastAsia="Palatino Linotype" w:hAnsi="Palatino Linotype"/>
          <w:b w:val="1"/>
          <w:u w:val="single"/>
          <w:rtl w:val="0"/>
        </w:rPr>
        <w:t xml:space="preserve">Derecho de petición</w:t>
      </w:r>
      <w:r w:rsidDel="00000000" w:rsidR="00000000" w:rsidRPr="00000000">
        <w:rPr>
          <w:rFonts w:ascii="Palatino Linotype" w:cs="Palatino Linotype" w:eastAsia="Palatino Linotype" w:hAnsi="Palatino Linotype"/>
          <w:rtl w:val="0"/>
        </w:rPr>
        <w:t xml:space="preserve">, según David Cienfuegos Salgado, se concibe como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rtl w:val="0"/>
        </w:rPr>
        <w:t xml:space="preserve">o.</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0"/>
      </w:r>
      <w:r w:rsidDel="00000000" w:rsidR="00000000" w:rsidRPr="00000000">
        <w:rPr>
          <w:rFonts w:ascii="Palatino Linotype" w:cs="Palatino Linotype" w:eastAsia="Palatino Linotype" w:hAnsi="Palatino Linotype"/>
          <w:i w:val="1"/>
          <w:rtl w:val="0"/>
        </w:rPr>
        <w:t xml:space="preserve">” (Sic) </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Miguel Carbonell en su libro “Los derechos fundamentales” refiere que el </w:t>
      </w:r>
      <w:r w:rsidDel="00000000" w:rsidR="00000000" w:rsidRPr="00000000">
        <w:rPr>
          <w:rFonts w:ascii="Palatino Linotype" w:cs="Palatino Linotype" w:eastAsia="Palatino Linotype" w:hAnsi="Palatino Linotype"/>
          <w:b w:val="1"/>
          <w:rtl w:val="0"/>
        </w:rPr>
        <w:t xml:space="preserve">Derecho de petición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u w:val="single"/>
          <w:rtl w:val="0"/>
        </w:rPr>
        <w:t xml:space="preserve">se ha entendido de dos distintitas maneras</w:t>
      </w:r>
      <w:r w:rsidDel="00000000" w:rsidR="00000000" w:rsidRPr="00000000">
        <w:rPr>
          <w:rFonts w:ascii="Palatino Linotype" w:cs="Palatino Linotype" w:eastAsia="Palatino Linotype" w:hAnsi="Palatino Linotype"/>
          <w:rtl w:val="0"/>
        </w:rPr>
        <w:t xml:space="preserve">, a saber: como un derecho fundamental de participación política ya que </w:t>
      </w:r>
      <w:r w:rsidDel="00000000" w:rsidR="00000000" w:rsidRPr="00000000">
        <w:rPr>
          <w:rFonts w:ascii="Palatino Linotype" w:cs="Palatino Linotype" w:eastAsia="Palatino Linotype" w:hAnsi="Palatino Linotype"/>
          <w:u w:val="single"/>
          <w:rtl w:val="0"/>
        </w:rPr>
        <w:t xml:space="preserve">permite a los particulares trasladar a las autoridades sus </w:t>
      </w:r>
      <w:r w:rsidDel="00000000" w:rsidR="00000000" w:rsidRPr="00000000">
        <w:rPr>
          <w:rFonts w:ascii="Palatino Linotype" w:cs="Palatino Linotype" w:eastAsia="Palatino Linotype" w:hAnsi="Palatino Linotype"/>
          <w:b w:val="1"/>
          <w:u w:val="single"/>
          <w:rtl w:val="0"/>
        </w:rPr>
        <w:t xml:space="preserve">inquietudes, quejas</w:t>
      </w:r>
      <w:r w:rsidDel="00000000" w:rsidR="00000000" w:rsidRPr="00000000">
        <w:rPr>
          <w:rFonts w:ascii="Palatino Linotype" w:cs="Palatino Linotype" w:eastAsia="Palatino Linotype" w:hAnsi="Palatino Linotype"/>
          <w:u w:val="single"/>
          <w:rtl w:val="0"/>
        </w:rPr>
        <w:t xml:space="preserve">, sugerencias</w:t>
      </w:r>
      <w:r w:rsidDel="00000000" w:rsidR="00000000" w:rsidRPr="00000000">
        <w:rPr>
          <w:rFonts w:ascii="Palatino Linotype" w:cs="Palatino Linotype" w:eastAsia="Palatino Linotype" w:hAnsi="Palatino Linotype"/>
          <w:rtl w:val="0"/>
        </w:rPr>
        <w:t xml:space="preserve"> y requerimientos en cualquier materia o asunto; y como una </w:t>
      </w:r>
      <w:r w:rsidDel="00000000" w:rsidR="00000000" w:rsidRPr="00000000">
        <w:rPr>
          <w:rFonts w:ascii="Palatino Linotype" w:cs="Palatino Linotype" w:eastAsia="Palatino Linotype" w:hAnsi="Palatino Linotype"/>
          <w:b w:val="1"/>
          <w:rtl w:val="0"/>
        </w:rPr>
        <w:t xml:space="preserve">forma específica de la libertad de expresión</w:t>
      </w:r>
      <w:r w:rsidDel="00000000" w:rsidR="00000000" w:rsidRPr="00000000">
        <w:rPr>
          <w:rFonts w:ascii="Palatino Linotype" w:cs="Palatino Linotype" w:eastAsia="Palatino Linotype" w:hAnsi="Palatino Linotype"/>
          <w:rtl w:val="0"/>
        </w:rPr>
        <w:t xml:space="preserve">,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por cuando hace al </w:t>
      </w:r>
      <w:r w:rsidDel="00000000" w:rsidR="00000000" w:rsidRPr="00000000">
        <w:rPr>
          <w:rFonts w:ascii="Palatino Linotype" w:cs="Palatino Linotype" w:eastAsia="Palatino Linotype" w:hAnsi="Palatino Linotype"/>
          <w:b w:val="1"/>
          <w:rtl w:val="0"/>
        </w:rPr>
        <w:t xml:space="preserve">Derecho de acceso a la información pública, </w:t>
      </w:r>
      <w:r w:rsidDel="00000000" w:rsidR="00000000" w:rsidRPr="00000000">
        <w:rPr>
          <w:rFonts w:ascii="Palatino Linotype" w:cs="Palatino Linotype" w:eastAsia="Palatino Linotype" w:hAnsi="Palatino Linotype"/>
          <w:rtl w:val="0"/>
        </w:rPr>
        <w:t xml:space="preserve">el autor anteriormente citado, indica que es el derecho de conocer la </w:t>
      </w:r>
      <w:r w:rsidDel="00000000" w:rsidR="00000000" w:rsidRPr="00000000">
        <w:rPr>
          <w:rFonts w:ascii="Palatino Linotype" w:cs="Palatino Linotype" w:eastAsia="Palatino Linotype" w:hAnsi="Palatino Linotype"/>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55">
      <w:pPr>
        <w:spacing w:after="240" w:before="24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Ernesto Villanueva define al </w:t>
      </w:r>
      <w:r w:rsidDel="00000000" w:rsidR="00000000" w:rsidRPr="00000000">
        <w:rPr>
          <w:rFonts w:ascii="Palatino Linotype" w:cs="Palatino Linotype" w:eastAsia="Palatino Linotype" w:hAnsi="Palatino Linotype"/>
          <w:b w:val="1"/>
          <w:rtl w:val="0"/>
        </w:rPr>
        <w:t xml:space="preserve">Derecho de acceso a la información pública</w:t>
      </w:r>
      <w:r w:rsidDel="00000000" w:rsidR="00000000" w:rsidRPr="00000000">
        <w:rPr>
          <w:rFonts w:ascii="Palatino Linotype" w:cs="Palatino Linotype" w:eastAsia="Palatino Linotype" w:hAnsi="Palatino Linotype"/>
          <w:rtl w:val="0"/>
        </w:rPr>
        <w:t xml:space="preserve"> como la prerrogativa de la persona para </w:t>
      </w:r>
      <w:r w:rsidDel="00000000" w:rsidR="00000000" w:rsidRPr="00000000">
        <w:rPr>
          <w:rFonts w:ascii="Palatino Linotype" w:cs="Palatino Linotype" w:eastAsia="Palatino Linotype" w:hAnsi="Palatino Linotype"/>
          <w:u w:val="single"/>
          <w:rtl w:val="0"/>
        </w:rPr>
        <w:t xml:space="preserve">acceder a datos, registros y todo tipo de informaciones en poder de las entidades públicas y empresas privadas que ejercen gasto público o cumplen funciones de autoridad</w:t>
      </w:r>
      <w:r w:rsidDel="00000000" w:rsidR="00000000" w:rsidRPr="00000000">
        <w:rPr>
          <w:rFonts w:ascii="Palatino Linotype" w:cs="Palatino Linotype" w:eastAsia="Palatino Linotype" w:hAnsi="Palatino Linotype"/>
          <w:rtl w:val="0"/>
        </w:rPr>
        <w:t xml:space="preserve">, con las excepciones taxativas que establezca la ley en una sociedad democrática.</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puede concluir que la distinción entre el </w:t>
      </w:r>
      <w:r w:rsidDel="00000000" w:rsidR="00000000" w:rsidRPr="00000000">
        <w:rPr>
          <w:rFonts w:ascii="Palatino Linotype" w:cs="Palatino Linotype" w:eastAsia="Palatino Linotype" w:hAnsi="Palatino Linotype"/>
          <w:b w:val="1"/>
          <w:rtl w:val="0"/>
        </w:rPr>
        <w:t xml:space="preserve">Derecho de petición</w:t>
      </w:r>
      <w:r w:rsidDel="00000000" w:rsidR="00000000" w:rsidRPr="00000000">
        <w:rPr>
          <w:rFonts w:ascii="Palatino Linotype" w:cs="Palatino Linotype" w:eastAsia="Palatino Linotype" w:hAnsi="Palatino Linotype"/>
          <w:rtl w:val="0"/>
        </w:rPr>
        <w:t xml:space="preserve"> y el </w:t>
      </w:r>
      <w:r w:rsidDel="00000000" w:rsidR="00000000" w:rsidRPr="00000000">
        <w:rPr>
          <w:rFonts w:ascii="Palatino Linotype" w:cs="Palatino Linotype" w:eastAsia="Palatino Linotype" w:hAnsi="Palatino Linotype"/>
          <w:b w:val="1"/>
          <w:rtl w:val="0"/>
        </w:rPr>
        <w:t xml:space="preserve">Derecho de acceso a la información</w:t>
      </w:r>
      <w:r w:rsidDel="00000000" w:rsidR="00000000" w:rsidRPr="00000000">
        <w:rPr>
          <w:rFonts w:ascii="Palatino Linotype" w:cs="Palatino Linotype" w:eastAsia="Palatino Linotype" w:hAnsi="Palatino Linotype"/>
          <w:rtl w:val="0"/>
        </w:rPr>
        <w:t xml:space="preserve"> descansa, principalmente, en que en el primero </w:t>
      </w:r>
      <w:r w:rsidDel="00000000" w:rsidR="00000000" w:rsidRPr="00000000">
        <w:rPr>
          <w:rFonts w:ascii="Palatino Linotype" w:cs="Palatino Linotype" w:eastAsia="Palatino Linotype" w:hAnsi="Palatino Linotype"/>
          <w:u w:val="single"/>
          <w:rtl w:val="0"/>
        </w:rPr>
        <w:t xml:space="preserve">la pretensión del peticionario consiste generalmente en obligar a la autoridad responsable a que actúe</w:t>
      </w:r>
      <w:r w:rsidDel="00000000" w:rsidR="00000000" w:rsidRPr="00000000">
        <w:rPr>
          <w:rFonts w:ascii="Palatino Linotype" w:cs="Palatino Linotype" w:eastAsia="Palatino Linotype" w:hAnsi="Palatino Linotype"/>
          <w:rtl w:val="0"/>
        </w:rPr>
        <w:t xml:space="preserve"> en el sentido de contestar lo solicitado, mientras que en el Derecho de acceso a la información pública </w:t>
      </w:r>
      <w:r w:rsidDel="00000000" w:rsidR="00000000" w:rsidRPr="00000000">
        <w:rPr>
          <w:rFonts w:ascii="Palatino Linotype" w:cs="Palatino Linotype" w:eastAsia="Palatino Linotype" w:hAnsi="Palatino Linotype"/>
          <w:u w:val="single"/>
          <w:rtl w:val="0"/>
        </w:rPr>
        <w:t xml:space="preserve">la pretensión radica en que se permita el acceso a datos y todo tipo de documentación que tenga el carácter de información pública, que sea generada, administrada o se encuentre en posesión de los considerados Sujetos Obligados</w:t>
      </w:r>
      <w:r w:rsidDel="00000000" w:rsidR="00000000" w:rsidRPr="00000000">
        <w:rPr>
          <w:rFonts w:ascii="Palatino Linotype" w:cs="Palatino Linotype" w:eastAsia="Palatino Linotype" w:hAnsi="Palatino Linotype"/>
          <w:rtl w:val="0"/>
        </w:rPr>
        <w:t xml:space="preserve"> por la Ley de la Materia.</w:t>
      </w:r>
    </w:p>
    <w:p w:rsidR="00000000" w:rsidDel="00000000" w:rsidP="00000000" w:rsidRDefault="00000000" w:rsidRPr="00000000" w14:paraId="00000057">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contrario a lo manifestado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información solicitada no constituye manifestaciones subjetivas vertidas por la persona solicitante, ya que en el caso particular esta pudiera obrar en el documento denominado declaración patrimonial como se verá más adelante, en consecuencia, </w:t>
      </w:r>
      <w:r w:rsidDel="00000000" w:rsidR="00000000" w:rsidRPr="00000000">
        <w:rPr>
          <w:rFonts w:ascii="Palatino Linotype" w:cs="Palatino Linotype" w:eastAsia="Palatino Linotype" w:hAnsi="Palatino Linotype"/>
          <w:b w:val="1"/>
          <w:rtl w:val="0"/>
        </w:rPr>
        <w:t xml:space="preserve">el requerimiento de información no puede considerarse como un Derecho de Petición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8">
      <w:pPr>
        <w:tabs>
          <w:tab w:val="left" w:leader="none" w:pos="7230"/>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conviene mencionar que en efecto, los artículos 108, último párrafo de la Constitución Política de los Estados Unidos Mexicanos y 130 de la Constitución Política del Estado Libre y Soberano de México, establecen la obligación de los servidores públicos de presentar, bajo protesta de decir verdad, su declaración patrimonial, de intereses ante las autoridades competentes y constancia de presentación de la declaración fiscal y en los términos que determine la ley.</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manifestación de bienes o declaración de situación patrimonial consiste en brindar información personal y en su caso familiar </w:t>
      </w:r>
      <w:r w:rsidDel="00000000" w:rsidR="00000000" w:rsidRPr="00000000">
        <w:rPr>
          <w:rFonts w:ascii="Palatino Linotype" w:cs="Palatino Linotype" w:eastAsia="Palatino Linotype" w:hAnsi="Palatino Linotype"/>
          <w:b w:val="1"/>
          <w:u w:val="single"/>
          <w:rtl w:val="0"/>
        </w:rPr>
        <w:t xml:space="preserve">respecto la situación de sus ingresos, bienes muebles e inmuebles, inversiones financieras y adeudos</w:t>
      </w:r>
      <w:r w:rsidDel="00000000" w:rsidR="00000000" w:rsidRPr="00000000">
        <w:rPr>
          <w:rFonts w:ascii="Palatino Linotype" w:cs="Palatino Linotype" w:eastAsia="Palatino Linotype" w:hAnsi="Palatino Linotype"/>
          <w:rtl w:val="0"/>
        </w:rPr>
        <w:t xml:space="preserve">, lo cual, permite cumplir con los principios de legalidad y honradez que deben observarse en el ejercicio del servicio público.</w:t>
      </w:r>
    </w:p>
    <w:p w:rsidR="00000000" w:rsidDel="00000000" w:rsidP="00000000" w:rsidRDefault="00000000" w:rsidRPr="00000000" w14:paraId="0000005A">
      <w:pPr>
        <w:numPr>
          <w:ilvl w:val="0"/>
          <w:numId w:val="2"/>
        </w:numPr>
        <w:tabs>
          <w:tab w:val="left" w:leader="none" w:pos="567"/>
        </w:tabs>
        <w:spacing w:after="240" w:before="240" w:line="360" w:lineRule="auto"/>
        <w:ind w:left="284" w:hanging="11.00000000000001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 las atribuciones del Sujeto Obligado</w:t>
      </w:r>
      <w:r w:rsidDel="00000000" w:rsidR="00000000" w:rsidRPr="00000000">
        <w:rPr>
          <w:rtl w:val="0"/>
        </w:rPr>
      </w:r>
    </w:p>
    <w:p w:rsidR="00000000" w:rsidDel="00000000" w:rsidP="00000000" w:rsidRDefault="00000000" w:rsidRPr="00000000" w14:paraId="0000005B">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bien, respecto a las atribuciones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es oportuno traer a colación el contenido de los artículos 110, 111, primer párrafo, y 112, fracción XVI de la Ley Orgánica Municipal del Estado de México, los cuales disponen: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5C">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110</w:t>
      </w:r>
      <w:r w:rsidDel="00000000" w:rsidR="00000000" w:rsidRPr="00000000">
        <w:rPr>
          <w:rFonts w:ascii="Palatino Linotype" w:cs="Palatino Linotype" w:eastAsia="Palatino Linotype" w:hAnsi="Palatino Linotype"/>
          <w:i w:val="1"/>
          <w:sz w:val="22"/>
          <w:szCs w:val="22"/>
          <w:rtl w:val="0"/>
        </w:rPr>
        <w:t xml:space="preserve">.- La contraloría municipal es el órgano interno de control encargado de promover, evaluar y fortalecer el buen funcionamiento del control interno, competente para aplicar las leyes en materia de responsabilidades de los servidores públicos.</w:t>
      </w:r>
    </w:p>
    <w:p w:rsidR="00000000" w:rsidDel="00000000" w:rsidP="00000000" w:rsidRDefault="00000000" w:rsidRPr="00000000" w14:paraId="0000005D">
      <w:pPr>
        <w:tabs>
          <w:tab w:val="left" w:leader="none" w:pos="2410"/>
        </w:tabs>
        <w:spacing w:after="120" w:before="12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111.- </w:t>
      </w:r>
      <w:r w:rsidDel="00000000" w:rsidR="00000000" w:rsidRPr="00000000">
        <w:rPr>
          <w:rFonts w:ascii="Palatino Linotype" w:cs="Palatino Linotype" w:eastAsia="Palatino Linotype" w:hAnsi="Palatino Linotype"/>
          <w:i w:val="1"/>
          <w:sz w:val="22"/>
          <w:szCs w:val="22"/>
          <w:rtl w:val="0"/>
        </w:rPr>
        <w:t xml:space="preserve">La contraloría estará a cargo de una persona titular denominada Contralora o Contralor, la cual será nombrada por acuerdo de Cabildo de entre una terna de ciudadanas y ciudadanos propuestos por la Presidenta o Presidente Municipal y dependerá jerárquicamente del mismo.</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112.</w:t>
      </w:r>
      <w:r w:rsidDel="00000000" w:rsidR="00000000" w:rsidRPr="00000000">
        <w:rPr>
          <w:rFonts w:ascii="Palatino Linotype" w:cs="Palatino Linotype" w:eastAsia="Palatino Linotype" w:hAnsi="Palatino Linotype"/>
          <w:i w:val="1"/>
          <w:sz w:val="22"/>
          <w:szCs w:val="22"/>
          <w:rtl w:val="0"/>
        </w:rPr>
        <w:t xml:space="preserve"> El órgano interno de control municipal, tendrá a su cargo las funciones siguientes: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Verificar que los servidores públicos municipales cumplan con la obligación de presentar oportunamente la manifestación de bienes</w:t>
      </w:r>
      <w:r w:rsidDel="00000000" w:rsidR="00000000" w:rsidRPr="00000000">
        <w:rPr>
          <w:rFonts w:ascii="Palatino Linotype" w:cs="Palatino Linotype" w:eastAsia="Palatino Linotype" w:hAnsi="Palatino Linotype"/>
          <w:i w:val="1"/>
          <w:sz w:val="22"/>
          <w:szCs w:val="22"/>
          <w:rtl w:val="0"/>
        </w:rPr>
        <w:t xml:space="preserve">, en términos de la Ley de Responsabilidades Administrativas del Estado de México y Municipios;”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Preceptos legales de los que se puede advertir que la Contraloría Municipal estará a cargo de un Contralor el cual entre sus funciones se encuentra la de </w:t>
      </w:r>
      <w:r w:rsidDel="00000000" w:rsidR="00000000" w:rsidRPr="00000000">
        <w:rPr>
          <w:rFonts w:ascii="Palatino Linotype" w:cs="Palatino Linotype" w:eastAsia="Palatino Linotype" w:hAnsi="Palatino Linotype"/>
          <w:b w:val="1"/>
          <w:rtl w:val="0"/>
        </w:rPr>
        <w:t xml:space="preserve">verificar que los servidores públicos municipales cumplan con la obligación de presentar oportunamente la manifestación de bienes.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w:t>
      </w:r>
      <w:r w:rsidDel="00000000" w:rsidR="00000000" w:rsidRPr="00000000">
        <w:rPr>
          <w:rFonts w:ascii="Palatino Linotype" w:cs="Palatino Linotype" w:eastAsia="Palatino Linotype" w:hAnsi="Palatino Linotype"/>
          <w:b w:val="1"/>
          <w:rtl w:val="0"/>
        </w:rPr>
        <w:t xml:space="preserve">únicamente corresponde a la Contraloría Municipal verificar que los servidores públicos municipales cumplan con la obligación de presentar oportunamente la declaración de situación patrimonial</w:t>
      </w:r>
      <w:r w:rsidDel="00000000" w:rsidR="00000000" w:rsidRPr="00000000">
        <w:rPr>
          <w:rFonts w:ascii="Palatino Linotype" w:cs="Palatino Linotype" w:eastAsia="Palatino Linotype" w:hAnsi="Palatino Linotype"/>
          <w:rtl w:val="0"/>
        </w:rPr>
        <w:t xml:space="preserve">, lo que se traduce en que </w:t>
      </w:r>
      <w:r w:rsidDel="00000000" w:rsidR="00000000" w:rsidRPr="00000000">
        <w:rPr>
          <w:rFonts w:ascii="Palatino Linotype" w:cs="Palatino Linotype" w:eastAsia="Palatino Linotype" w:hAnsi="Palatino Linotype"/>
          <w:b w:val="1"/>
          <w:u w:val="single"/>
          <w:rtl w:val="0"/>
        </w:rPr>
        <w:t xml:space="preserve">el Sujeto Obligado</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b w:val="1"/>
          <w:u w:val="single"/>
          <w:rtl w:val="0"/>
        </w:rPr>
        <w:t xml:space="preserve">no se encuentra constreñido a tener disponible la información relacionada con las declaraciones de los servidores públicos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imprescindible mencionar que la fracción XIII del artículo 92 de la Ley de Transparencia y Acceso a la Información Pública del Estado de México y Municipios, establece como una obligación de transparencia la publicación en los medios electrónicos, la información relativa a las declaraciones patrimoniales y de intereses de los servidores públicos, en versión pública:</w:t>
      </w:r>
    </w:p>
    <w:p w:rsidR="00000000" w:rsidDel="00000000" w:rsidP="00000000" w:rsidRDefault="00000000" w:rsidRPr="00000000" w14:paraId="00000064">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65">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6">
      <w:pPr>
        <w:spacing w:after="120" w:before="120" w:lineRule="auto"/>
        <w:ind w:left="1134"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XIII. La información en versión pública de las declaraciones patrimoniales y de intereses de los servidores públicos que así lo determinen</w:t>
      </w:r>
      <w:r w:rsidDel="00000000" w:rsidR="00000000" w:rsidRPr="00000000">
        <w:rPr>
          <w:rFonts w:ascii="Palatino Linotype" w:cs="Palatino Linotype" w:eastAsia="Palatino Linotype" w:hAnsi="Palatino Linotype"/>
          <w:i w:val="1"/>
          <w:sz w:val="22"/>
          <w:szCs w:val="22"/>
          <w:rtl w:val="0"/>
        </w:rPr>
        <w:t xml:space="preserve">, en los sistemas habilitados para ello, de acuerdo a la normatividad aplicable;”</w:t>
      </w:r>
      <w:r w:rsidDel="00000000" w:rsidR="00000000" w:rsidRPr="00000000">
        <w:rPr>
          <w:rtl w:val="0"/>
        </w:rPr>
      </w:r>
    </w:p>
    <w:p w:rsidR="00000000" w:rsidDel="00000000" w:rsidP="00000000" w:rsidRDefault="00000000" w:rsidRPr="00000000" w14:paraId="0000006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publicación deberá realizarse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rsidR="00000000" w:rsidDel="00000000" w:rsidP="00000000" w:rsidRDefault="00000000" w:rsidRPr="00000000" w14:paraId="0000006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en uso de sus atribuciones este Organismo Garante procedió a consultar la tabla de aplicabilidad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que se advierte que </w:t>
      </w:r>
      <w:r w:rsidDel="00000000" w:rsidR="00000000" w:rsidRPr="00000000">
        <w:rPr>
          <w:rFonts w:ascii="Palatino Linotype" w:cs="Palatino Linotype" w:eastAsia="Palatino Linotype" w:hAnsi="Palatino Linotype"/>
          <w:b w:val="1"/>
          <w:rtl w:val="0"/>
        </w:rPr>
        <w:t xml:space="preserve">no</w:t>
      </w:r>
      <w:r w:rsidDel="00000000" w:rsidR="00000000" w:rsidRPr="00000000">
        <w:rPr>
          <w:rFonts w:ascii="Palatino Linotype" w:cs="Palatino Linotype" w:eastAsia="Palatino Linotype" w:hAnsi="Palatino Linotype"/>
          <w:rtl w:val="0"/>
        </w:rPr>
        <w:t xml:space="preserve"> le resulta aplicable la obligación de transparencia referida, como se observa en la siguiente ilustración: </w:t>
      </w:r>
    </w:p>
    <w:p w:rsidR="00000000" w:rsidDel="00000000" w:rsidP="00000000" w:rsidRDefault="00000000" w:rsidRPr="00000000" w14:paraId="00000069">
      <w:pPr>
        <w:spacing w:after="280" w:before="28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466850"/>
            <wp:effectExtent b="0" l="0" r="0" t="0"/>
            <wp:docPr id="199341235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1213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colige que existe una evidente incompetencia por parte del Ayuntamiento de Zinacantepec, como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lo solicitado, lo anterior es así, toda vez que, en el caso particular, no se observa que cuente con alguna atribución de la cual pudiera desprenderse la información relacionada con los bienes inmuebles de los ex presidentes municipales de Zinacantepec, pues la normatividad aplicable no le confiere alguna función que relacione con dicha información, así como tampoco cuenta con un área que pudiera administrar o poseer la misma.</w:t>
      </w:r>
    </w:p>
    <w:p w:rsidR="00000000" w:rsidDel="00000000" w:rsidP="00000000" w:rsidRDefault="00000000" w:rsidRPr="00000000" w14:paraId="0000006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 aplicable el criterio 13/17 emitido por el Pleno del Instituto Nacional de Transparencia, Acceso a la Información y Protección de Datos Personales, el cual, para pronta referencia se reproduce a continuación:</w:t>
      </w:r>
    </w:p>
    <w:p w:rsidR="00000000" w:rsidDel="00000000" w:rsidP="00000000" w:rsidRDefault="00000000" w:rsidRPr="00000000" w14:paraId="0000006C">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 La incompetencia implica la ausencia de atribuciones del sujeto obligado para poseer la información solicitada</w:t>
      </w:r>
      <w:r w:rsidDel="00000000" w:rsidR="00000000" w:rsidRPr="00000000">
        <w:rPr>
          <w:rFonts w:ascii="Palatino Linotype" w:cs="Palatino Linotype" w:eastAsia="Palatino Linotype" w:hAnsi="Palatino Linotype"/>
          <w:i w:val="1"/>
          <w:sz w:val="22"/>
          <w:szCs w:val="22"/>
          <w:rtl w:val="0"/>
        </w:rPr>
        <w:t xml:space="preserve">; es decir, se trata de una cuestión de derecho, </w:t>
      </w:r>
      <w:r w:rsidDel="00000000" w:rsidR="00000000" w:rsidRPr="00000000">
        <w:rPr>
          <w:rFonts w:ascii="Palatino Linotype" w:cs="Palatino Linotype" w:eastAsia="Palatino Linotype" w:hAnsi="Palatino Linotype"/>
          <w:b w:val="1"/>
          <w:i w:val="1"/>
          <w:sz w:val="22"/>
          <w:szCs w:val="22"/>
          <w:rtl w:val="0"/>
        </w:rPr>
        <w:t xml:space="preserve">en tanto que no existan facultades para contar con lo requerido</w:t>
      </w:r>
      <w:r w:rsidDel="00000000" w:rsidR="00000000" w:rsidRPr="00000000">
        <w:rPr>
          <w:rFonts w:ascii="Palatino Linotype" w:cs="Palatino Linotype" w:eastAsia="Palatino Linotype" w:hAnsi="Palatino Linotype"/>
          <w:i w:val="1"/>
          <w:sz w:val="22"/>
          <w:szCs w:val="22"/>
          <w:rtl w:val="0"/>
        </w:rPr>
        <w:t xml:space="preserve">; por lo que la incompetencia es una cualidad atribuida al sujeto obligado que la declara.”</w:t>
      </w:r>
    </w:p>
    <w:p w:rsidR="00000000" w:rsidDel="00000000" w:rsidP="00000000" w:rsidRDefault="00000000" w:rsidRPr="00000000" w14:paraId="0000006D">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240" w:before="240" w:line="360" w:lineRule="auto"/>
        <w:ind w:left="284"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Delimitación del ámbito competencial relativo a información solicitada</w:t>
      </w:r>
      <w:r w:rsidDel="00000000" w:rsidR="00000000" w:rsidRPr="00000000">
        <w:rPr>
          <w:rtl w:val="0"/>
        </w:rPr>
      </w:r>
    </w:p>
    <w:p w:rsidR="00000000" w:rsidDel="00000000" w:rsidP="00000000" w:rsidRDefault="00000000" w:rsidRPr="00000000" w14:paraId="0000006F">
      <w:pPr>
        <w:spacing w:after="240" w:before="24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Ley de Responsabilidades Administrativas del Estado de México y Municipios que entró en vigencia, a partir del treinta y uno de mayo de dos mil diecisiete, determina en el artículo 2 fracción VI, como uno de los objetivos de dicha Ley el de establecer las obligaciones y el procedimiento para la declaración de situación patrimonial, la declaración de intereses y la presentación de la constancia de declaración fiscal de los servidores públicos.</w:t>
      </w:r>
    </w:p>
    <w:p w:rsidR="00000000" w:rsidDel="00000000" w:rsidP="00000000" w:rsidRDefault="00000000" w:rsidRPr="00000000" w14:paraId="0000007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de conformidad con los artículos 29 de la Ley General de Responsabilidades Administrativas y 30 de la Ley de Responsabilidades Administrativas del Estado de México y Municipios, las </w:t>
      </w:r>
      <w:r w:rsidDel="00000000" w:rsidR="00000000" w:rsidRPr="00000000">
        <w:rPr>
          <w:rFonts w:ascii="Palatino Linotype" w:cs="Palatino Linotype" w:eastAsia="Palatino Linotype" w:hAnsi="Palatino Linotype"/>
          <w:b w:val="1"/>
          <w:rtl w:val="0"/>
        </w:rPr>
        <w:t xml:space="preserve">declaraciones patrimoniales serán públicas,</w:t>
      </w:r>
      <w:r w:rsidDel="00000000" w:rsidR="00000000" w:rsidRPr="00000000">
        <w:rPr>
          <w:rFonts w:ascii="Palatino Linotype" w:cs="Palatino Linotype" w:eastAsia="Palatino Linotype" w:hAnsi="Palatino Linotype"/>
          <w:rtl w:val="0"/>
        </w:rPr>
        <w:t xml:space="preserve">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000000" w:rsidDel="00000000" w:rsidP="00000000" w:rsidRDefault="00000000" w:rsidRPr="00000000" w14:paraId="00000071">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29. Las declaraciones patrimoniales y de intereses serán públicas salvo los rubros cuya publicidad pueda afectar la vida privada o los datos personales protegidos por la Constitución.</w:t>
      </w:r>
      <w:r w:rsidDel="00000000" w:rsidR="00000000" w:rsidRPr="00000000">
        <w:rPr>
          <w:rFonts w:ascii="Palatino Linotype" w:cs="Palatino Linotype" w:eastAsia="Palatino Linotype" w:hAnsi="Palatino Linotype"/>
          <w:i w:val="1"/>
          <w:sz w:val="22"/>
          <w:szCs w:val="22"/>
          <w:rtl w:val="0"/>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rsidR="00000000" w:rsidDel="00000000" w:rsidP="00000000" w:rsidRDefault="00000000" w:rsidRPr="00000000" w14:paraId="00000072">
      <w:pP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rsidR="00000000" w:rsidDel="00000000" w:rsidP="00000000" w:rsidRDefault="00000000" w:rsidRPr="00000000" w14:paraId="0000007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000000" w:rsidDel="00000000" w:rsidP="00000000" w:rsidRDefault="00000000" w:rsidRPr="00000000" w14:paraId="00000074">
      <w:pPr>
        <w:spacing w:after="240" w:before="24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28"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Inicial: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Dentro de los sesenta días naturales siguientes al ingreso o reingreso al servicio público;</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28"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Modificación Patrimonial: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Durante el mes de mayo de dos cada año, y</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28"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Conclusión: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Dentro de los sesenta días naturales siguientes a la conclusión del cargo.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35 de la Ley de Responsabilidades Administrativas dispone que la declaración patrimonial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w:t>
      </w:r>
      <w:r w:rsidDel="00000000" w:rsidR="00000000" w:rsidRPr="00000000">
        <w:rPr>
          <w:rFonts w:ascii="Palatino Linotype" w:cs="Palatino Linotype" w:eastAsia="Palatino Linotype" w:hAnsi="Palatino Linotype"/>
          <w:b w:val="1"/>
          <w:rtl w:val="0"/>
        </w:rPr>
        <w:t xml:space="preserve">la Secretaría de la Contraloría tendrá a su cargo el sistema de certificación de los medios de identificación electrónica que utilicen los servidores públicos y llevará el control de dicho medio, </w:t>
      </w:r>
      <w:r w:rsidDel="00000000" w:rsidR="00000000" w:rsidRPr="00000000">
        <w:rPr>
          <w:rFonts w:ascii="Palatino Linotype" w:cs="Palatino Linotype" w:eastAsia="Palatino Linotype" w:hAnsi="Palatino Linotype"/>
          <w:rtl w:val="0"/>
        </w:rPr>
        <w:t xml:space="preserve">a saber:</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35</w:t>
      </w:r>
      <w:r w:rsidDel="00000000" w:rsidR="00000000" w:rsidRPr="00000000">
        <w:rPr>
          <w:rFonts w:ascii="Palatino Linotype" w:cs="Palatino Linotype" w:eastAsia="Palatino Linotype" w:hAnsi="Palatino Linotype"/>
          <w:i w:val="1"/>
          <w:sz w:val="22"/>
          <w:szCs w:val="22"/>
          <w:rtl w:val="0"/>
        </w:rPr>
        <w:t xml:space="preserve">. La declaración de situación patrimonial, deberá ser presentada a través de medios electrónicos, empleándose medios de identificación electrónica.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rtl w:val="0"/>
        </w:rPr>
        <w:t xml:space="preserve">Secretaría de la Contraloría tendrá a su cargo el sistema de certificación de los medios de identificación electrónica que utilicen los servidores públicos y llevará el control de dicho medio.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las atribuciones de la Secretaría de la Contraloría, la fracción XVII del artículo 38 bis de la Ley Orgánica de la Administración Pública del Estado de México, le confiere la atribución de recibir y registrar la declaración de situación patrimonial de los servidores públicos de los municipios, como se lee enseguida: </w:t>
      </w:r>
    </w:p>
    <w:p w:rsidR="00000000" w:rsidDel="00000000" w:rsidP="00000000" w:rsidRDefault="00000000" w:rsidRPr="00000000" w14:paraId="0000008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Del="00000000" w:rsidR="00000000" w:rsidRPr="00000000">
        <w:rPr>
          <w:rFonts w:ascii="Palatino Linotype" w:cs="Palatino Linotype" w:eastAsia="Palatino Linotype" w:hAnsi="Palatino Linotype"/>
          <w:i w:val="1"/>
          <w:sz w:val="22"/>
          <w:szCs w:val="22"/>
          <w:rtl w:val="0"/>
        </w:rPr>
        <w:t xml:space="preserve">, de intereses y constancia de presentación de la declaración fiscal, así como de la responsabilidad </w:t>
      </w:r>
      <w:r w:rsidDel="00000000" w:rsidR="00000000" w:rsidRPr="00000000">
        <w:rPr>
          <w:rFonts w:ascii="Palatino Linotype" w:cs="Palatino Linotype" w:eastAsia="Palatino Linotype" w:hAnsi="Palatino Linotype"/>
          <w:b w:val="1"/>
          <w:i w:val="1"/>
          <w:sz w:val="22"/>
          <w:szCs w:val="22"/>
          <w:rtl w:val="0"/>
        </w:rPr>
        <w:t xml:space="preserve">de los servidores públicos</w:t>
      </w:r>
      <w:r w:rsidDel="00000000" w:rsidR="00000000" w:rsidRPr="00000000">
        <w:rPr>
          <w:rFonts w:ascii="Palatino Linotype" w:cs="Palatino Linotype" w:eastAsia="Palatino Linotype" w:hAnsi="Palatino Linotype"/>
          <w:i w:val="1"/>
          <w:sz w:val="22"/>
          <w:szCs w:val="22"/>
          <w:rtl w:val="0"/>
        </w:rPr>
        <w:t xml:space="preserve">, en términos de lo que disponga la normatividad aplicable en la materia.</w:t>
      </w:r>
    </w:p>
    <w:p w:rsidR="00000000" w:rsidDel="00000000" w:rsidP="00000000" w:rsidRDefault="00000000" w:rsidRPr="00000000" w14:paraId="0000008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 </w:t>
      </w:r>
      <w:r w:rsidDel="00000000" w:rsidR="00000000" w:rsidRPr="00000000">
        <w:rPr>
          <w:rFonts w:ascii="Palatino Linotype" w:cs="Palatino Linotype" w:eastAsia="Palatino Linotype" w:hAnsi="Palatino Linotype"/>
          <w:b w:val="1"/>
          <w:i w:val="1"/>
          <w:sz w:val="22"/>
          <w:szCs w:val="22"/>
          <w:u w:val="single"/>
          <w:rtl w:val="0"/>
        </w:rPr>
        <w:t xml:space="preserve">Recibir y registrar la declaración de situación patrimonial, </w:t>
      </w:r>
      <w:r w:rsidDel="00000000" w:rsidR="00000000" w:rsidRPr="00000000">
        <w:rPr>
          <w:rFonts w:ascii="Palatino Linotype" w:cs="Palatino Linotype" w:eastAsia="Palatino Linotype" w:hAnsi="Palatino Linotype"/>
          <w:i w:val="1"/>
          <w:sz w:val="22"/>
          <w:szCs w:val="22"/>
          <w:rtl w:val="0"/>
        </w:rPr>
        <w:t xml:space="preserve">la declaración de intereses, la presentación de la constancia de declaración fiscal y determinar el Conflicto de Intereses </w:t>
      </w:r>
      <w:r w:rsidDel="00000000" w:rsidR="00000000" w:rsidRPr="00000000">
        <w:rPr>
          <w:rFonts w:ascii="Palatino Linotype" w:cs="Palatino Linotype" w:eastAsia="Palatino Linotype" w:hAnsi="Palatino Linotype"/>
          <w:b w:val="1"/>
          <w:i w:val="1"/>
          <w:sz w:val="22"/>
          <w:szCs w:val="22"/>
          <w:u w:val="single"/>
          <w:rtl w:val="0"/>
        </w:rPr>
        <w:t xml:space="preserve">de los servidores públicos </w:t>
      </w:r>
      <w:r w:rsidDel="00000000" w:rsidR="00000000" w:rsidRPr="00000000">
        <w:rPr>
          <w:rFonts w:ascii="Palatino Linotype" w:cs="Palatino Linotype" w:eastAsia="Palatino Linotype" w:hAnsi="Palatino Linotype"/>
          <w:i w:val="1"/>
          <w:sz w:val="22"/>
          <w:szCs w:val="22"/>
          <w:rtl w:val="0"/>
        </w:rPr>
        <w:t xml:space="preserve">del Estado</w:t>
      </w:r>
      <w:r w:rsidDel="00000000" w:rsidR="00000000" w:rsidRPr="00000000">
        <w:rPr>
          <w:rFonts w:ascii="Palatino Linotype" w:cs="Palatino Linotype" w:eastAsia="Palatino Linotype" w:hAnsi="Palatino Linotype"/>
          <w:b w:val="1"/>
          <w:i w:val="1"/>
          <w:sz w:val="22"/>
          <w:szCs w:val="22"/>
          <w:u w:val="single"/>
          <w:rtl w:val="0"/>
        </w:rPr>
        <w:t xml:space="preserve"> y municipios, </w:t>
      </w:r>
      <w:r w:rsidDel="00000000" w:rsidR="00000000" w:rsidRPr="00000000">
        <w:rPr>
          <w:rFonts w:ascii="Palatino Linotype" w:cs="Palatino Linotype" w:eastAsia="Palatino Linotype" w:hAnsi="Palatino Linotype"/>
          <w:i w:val="1"/>
          <w:sz w:val="22"/>
          <w:szCs w:val="22"/>
          <w:rtl w:val="0"/>
        </w:rPr>
        <w:t xml:space="preserve">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Interior de la Secretaría de la Contraloría, señala en su artículo 24 fracciones VI y VII, que corresponde a la Dirección General de Responsabilidades Administrativas, entre otras atribuciones, la de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A la Dirección General de Responsabilidades Administrativas, corresponden las atribuciones siguientes: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Recibir las declaraciones de situación patrimonial, de intereses y el acuse de la presentación de la declaración fiscal de los servidores públicos de la Administración Pública Estatal y Municipal;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colige que la Secretaría de la Contraloría, a través de la Dirección General de Responsabilidades Administrativas, es la entidad responsable de recibir, registrar y resguardar las declaraciones de situación patrimonial, de intereses, así como la presentación de la constancia de declaración fiscal de los servidores públicos de la Administración Pública Estatal y Municipal.</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línea de pensamiento resulta importante señalar, respecto de la Declaración Patrimonial, que este Instituto advirtió que en la página oficial de la Secretaría de la Contraloría, en el apartado de Declaración Patrimonial y de Intereses, consultada en la liga electrónica https://portal.secogem.gob.mx/declaranet, precisa que dicha dependencia ofrece el sistema Decl@raNET, con la finalidad de facilitar a los servidores públicos del Estado de México, presenten su Declaración de Situación Patrimonial, Declaración de Intereses o Posible Conflicto de Intereses y presentación de Constancia de Declaración Fiscal.</w:t>
      </w:r>
    </w:p>
    <w:p w:rsidR="00000000" w:rsidDel="00000000" w:rsidP="00000000" w:rsidRDefault="00000000" w:rsidRPr="00000000" w14:paraId="0000008A">
      <w:pPr>
        <w:spacing w:after="240"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5040000" cy="3154393"/>
            <wp:effectExtent b="0" l="0" r="0" t="0"/>
            <wp:docPr id="1993412351" name="image4.png"/>
            <a:graphic>
              <a:graphicData uri="http://schemas.openxmlformats.org/drawingml/2006/picture">
                <pic:pic>
                  <pic:nvPicPr>
                    <pic:cNvPr id="0" name="image4.png"/>
                    <pic:cNvPicPr preferRelativeResize="0"/>
                  </pic:nvPicPr>
                  <pic:blipFill>
                    <a:blip r:embed="rId10"/>
                    <a:srcRect b="2356" l="0" r="0" t="0"/>
                    <a:stretch>
                      <a:fillRect/>
                    </a:stretch>
                  </pic:blipFill>
                  <pic:spPr>
                    <a:xfrm>
                      <a:off x="0" y="0"/>
                      <a:ext cx="5040000" cy="315439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en dicho portal se precisa que el sistema Decl@raNET, es administrado por la Secretaría de la Contraloría, y cuyo fin es que los servidores públicos del Estado de México, presenten su Declaración de Situación Patrimonial, Declaración de Intereses o Posible Conflicto de Intereses y la Constancia de Declaración Fiscal.</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el Sistema Decl@raNET, es operado únicamente por la Secretaría de la Contraloría, por lo que, es la única dependencia que tiene acceso a las declaraciones presentadas por dicha plataforma; situación que se robustece con el Manual General de Organización de la Secretaría de la Contraloría, que señala que dicha dependencia cuenta con diversas unidades administrativas para el ejercicio de sus funciones, entre las cuales se encuentra el Departamento de Recepción y Análisis de Manifestación de Bienes y Declaración de Intereses, encargado de realizar la recepción, registro y resguardo de las declaraciones de situación patrimonial de los servidores públicos de las Administraciones Públicas Estatal y Municipal.</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80" w:before="28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04509/INFOEM/IP/RR/2023,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bookmarkStart w:colFirst="0" w:colLast="0" w:name="_heading=h.17dp8vu" w:id="7"/>
      <w:bookmarkEnd w:id="7"/>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haga entrega, vía SAIMEX, de lo siguiente:</w:t>
      </w:r>
    </w:p>
    <w:p w:rsidR="00000000" w:rsidDel="00000000" w:rsidP="00000000" w:rsidRDefault="00000000" w:rsidRPr="00000000" w14:paraId="00000092">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Acuerdo que emita el Comité de Transparencia mediante el que confirme la declaratoria de incompetencia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respecto de la información solicitada.</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PRIMERA SESIÓN ORDINARIA, CELEBRADA EL DIECISIETE DE ENERO DE DOS MIL VEINTICUATRO, ANTE EL SECRETARIO TÉCNICO DEL PLENO ALEXIS TAPIA RAMÍREZ.</w:t>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5530850" cy="2520950"/>
                <wp:effectExtent b="0" l="0" r="0" t="0"/>
                <wp:wrapNone/>
                <wp:docPr id="1993412347" name=""/>
                <a:graphic>
                  <a:graphicData uri="http://schemas.microsoft.com/office/word/2010/wordprocessingShape">
                    <wps:wsp>
                      <wps:cNvCnPr/>
                      <wps:spPr>
                        <a:xfrm>
                          <a:off x="2593275" y="2532225"/>
                          <a:ext cx="5505450" cy="249555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5530850" cy="2520950"/>
                <wp:effectExtent b="0" l="0" r="0" t="0"/>
                <wp:wrapNone/>
                <wp:docPr id="199341234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530850" cy="2520950"/>
                        </a:xfrm>
                        <a:prstGeom prst="rect"/>
                        <a:ln/>
                      </pic:spPr>
                    </pic:pic>
                  </a:graphicData>
                </a:graphic>
              </wp:anchor>
            </w:drawing>
          </mc:Fallback>
        </mc:AlternateContent>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bookmarkStart w:colFirst="0" w:colLast="0" w:name="_heading=h.3rdcrjn" w:id="8"/>
      <w:bookmarkEnd w:id="8"/>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bookmarkStart w:colFirst="0" w:colLast="0" w:name="_heading=h.1t3h5sf" w:id="9"/>
      <w:bookmarkEnd w:id="9"/>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bookmarkStart w:colFirst="0" w:colLast="0" w:name="_heading=h.26in1rg" w:id="10"/>
      <w:bookmarkEnd w:id="10"/>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tabs>
        <w:tab w:val="center" w:leader="none" w:pos="4252"/>
        <w:tab w:val="right" w:leader="none" w:pos="8504"/>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Atento a lo anterior,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w:t>
    </w:r>
    <w:r w:rsidDel="00000000" w:rsidR="00000000" w:rsidRPr="00000000">
      <w:rPr>
        <w:rFonts w:ascii="Palatino Linotype" w:cs="Palatino Linotype" w:eastAsia="Palatino Linotype" w:hAnsi="Palatino Linotype"/>
        <w:b w:val="1"/>
        <w:rtl w:val="0"/>
      </w:rPr>
      <w:t xml:space="preserve">al tenerse por acreditado que los Ayuntamientos únicamente verifican el cumplimiento de entrega de las declaraciones patrimoniales</w:t>
    </w:r>
    <w:r w:rsidDel="00000000" w:rsidR="00000000" w:rsidRPr="00000000">
      <w:rPr>
        <w:rFonts w:ascii="Palatino Linotype" w:cs="Palatino Linotype" w:eastAsia="Palatino Linotype" w:hAnsi="Palatino Linotype"/>
        <w:rtl w:val="0"/>
      </w:rPr>
      <w:t xml:space="preserve">, sin que ellos funjan como intermediarios en la recepción y posterior entrega de las mismas ante la Secretaría de la Contraloría del Gobierno del Estado de México, </w:t>
    </w:r>
    <w:r w:rsidDel="00000000" w:rsidR="00000000" w:rsidRPr="00000000">
      <w:rPr>
        <w:rFonts w:ascii="Palatino Linotype" w:cs="Palatino Linotype" w:eastAsia="Palatino Linotype" w:hAnsi="Palatino Linotype"/>
        <w:b w:val="1"/>
        <w:rtl w:val="0"/>
      </w:rPr>
      <w:t xml:space="preserve">es fácticamente imposible que el Sujeto Obligado, haga entrega de información que no genera, administra o posee al no tener  atribuciones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para ello.</w:t>
    </w:r>
  </w:p>
  <w:p w:rsidR="00000000" w:rsidDel="00000000" w:rsidP="00000000" w:rsidRDefault="00000000" w:rsidRPr="00000000" w14:paraId="000000CC">
    <w:pPr>
      <w:tabs>
        <w:tab w:val="center" w:leader="none" w:pos="4252"/>
        <w:tab w:val="right" w:leader="none" w:pos="850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es claro que existe una notoria incompetencia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dar respuesta al requerimiento de información, no obstante, la Unidad de Transparencia no hizo del conocimiento de la persona solicitante dicha circunstancia, sino que se limitó a señalar que lo solicitado transgredía la vida privada de los servidores públicos, además de argumentar que lo requerido, al no constituir un derecho de acceso a la información pública, no era atendible mediante una solicitud de información, al considerar que el requerimiento se trataba de manifestaciones subjetivas vertidas por la persona solicitante, incumpliendo así con el párrafo primero del artículo 167, párrafo primero de la Ley de Transparencia y Acceso a la Información Pública del Estado de México y Municipios, que es del tenor literal siguiente:</w:t>
    </w:r>
  </w:p>
  <w:p w:rsidR="00000000" w:rsidDel="00000000" w:rsidP="00000000" w:rsidRDefault="00000000" w:rsidRPr="00000000" w14:paraId="000000CD">
    <w:pPr>
      <w:tabs>
        <w:tab w:val="center" w:leader="none" w:pos="4252"/>
        <w:tab w:val="right" w:leader="none" w:pos="8504"/>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C</w:t>
    </w:r>
    <w:r w:rsidDel="00000000" w:rsidR="00000000" w:rsidRPr="00000000">
      <w:rPr>
        <w:rFonts w:ascii="Palatino Linotype" w:cs="Palatino Linotype" w:eastAsia="Palatino Linotype" w:hAnsi="Palatino Linotype"/>
        <w:b w:val="1"/>
        <w:i w:val="1"/>
        <w:sz w:val="22"/>
        <w:szCs w:val="22"/>
        <w:rtl w:val="0"/>
      </w:rPr>
      <w:t xml:space="preserve">uando las </w:t>
    </w:r>
    <w:r w:rsidDel="00000000" w:rsidR="00000000" w:rsidRPr="00000000">
      <w:rPr>
        <w:rFonts w:ascii="Palatino Linotype" w:cs="Palatino Linotype" w:eastAsia="Palatino Linotype" w:hAnsi="Palatino Linotype"/>
        <w:b w:val="1"/>
        <w:i w:val="1"/>
        <w:sz w:val="22"/>
        <w:szCs w:val="22"/>
        <w:u w:val="single"/>
        <w:rtl w:val="0"/>
      </w:rPr>
      <w:t xml:space="preserve">unidades de transparencia</w:t>
    </w:r>
    <w:r w:rsidDel="00000000" w:rsidR="00000000" w:rsidRPr="00000000">
      <w:rPr>
        <w:rFonts w:ascii="Palatino Linotype" w:cs="Palatino Linotype" w:eastAsia="Palatino Linotype" w:hAnsi="Palatino Linotype"/>
        <w:b w:val="1"/>
        <w:i w:val="1"/>
        <w:sz w:val="22"/>
        <w:szCs w:val="22"/>
        <w:rtl w:val="0"/>
      </w:rPr>
      <w:t xml:space="preserve"> determinen la notoria incompetencia por parte de los sujetos obligados,</w:t>
    </w:r>
    <w:r w:rsidDel="00000000" w:rsidR="00000000" w:rsidRPr="00000000">
      <w:rPr>
        <w:rFonts w:ascii="Palatino Linotype" w:cs="Palatino Linotype" w:eastAsia="Palatino Linotype" w:hAnsi="Palatino Linotype"/>
        <w:i w:val="1"/>
        <w:sz w:val="22"/>
        <w:szCs w:val="22"/>
        <w:rtl w:val="0"/>
      </w:rPr>
      <w:t xml:space="preserve">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w:t>
    </w:r>
    <w:r w:rsidDel="00000000" w:rsidR="00000000" w:rsidRPr="00000000">
      <w:rPr>
        <w:rFonts w:ascii="Palatino Linotype" w:cs="Palatino Linotype" w:eastAsia="Palatino Linotype" w:hAnsi="Palatino Linotype"/>
        <w:b w:val="1"/>
        <w:i w:val="1"/>
        <w:sz w:val="22"/>
        <w:szCs w:val="22"/>
        <w:u w:val="single"/>
        <w:rtl w:val="0"/>
      </w:rPr>
      <w:t xml:space="preserve">tres días hábiles posteriores</w:t>
    </w:r>
    <w:r w:rsidDel="00000000" w:rsidR="00000000" w:rsidRPr="00000000">
      <w:rPr>
        <w:rFonts w:ascii="Palatino Linotype" w:cs="Palatino Linotype" w:eastAsia="Palatino Linotype" w:hAnsi="Palatino Linotype"/>
        <w:b w:val="1"/>
        <w:i w:val="1"/>
        <w:sz w:val="22"/>
        <w:szCs w:val="22"/>
        <w:rtl w:val="0"/>
      </w:rPr>
      <w:t xml:space="preserve"> a la recepción de la solicitud</w:t>
    </w:r>
    <w:r w:rsidDel="00000000" w:rsidR="00000000" w:rsidRPr="00000000">
      <w:rPr>
        <w:rFonts w:ascii="Palatino Linotype" w:cs="Palatino Linotype" w:eastAsia="Palatino Linotype" w:hAnsi="Palatino Linotype"/>
        <w:i w:val="1"/>
        <w:sz w:val="22"/>
        <w:szCs w:val="22"/>
        <w:rtl w:val="0"/>
      </w:rPr>
      <w:t xml:space="preserve"> y, en su caso orientar al solicitante, el o los sujetos obligados competentes.”</w:t>
    </w:r>
  </w:p>
  <w:p w:rsidR="00000000" w:rsidDel="00000000" w:rsidP="00000000" w:rsidRDefault="00000000" w:rsidRPr="00000000" w14:paraId="000000CE">
    <w:pPr>
      <w:tabs>
        <w:tab w:val="center" w:leader="none" w:pos="4252"/>
        <w:tab w:val="right" w:leader="none"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normativo se desprende que cuando las Unidades de Transparencia, determinen una notoria incompetencia por parte de los entes públicos, deben realizar lo siguiente:</w:t>
    </w:r>
  </w:p>
  <w:p w:rsidR="00000000" w:rsidDel="00000000" w:rsidP="00000000" w:rsidRDefault="00000000" w:rsidRPr="00000000" w14:paraId="000000CF">
    <w:pPr>
      <w:numPr>
        <w:ilvl w:val="0"/>
        <w:numId w:val="3"/>
      </w:numPr>
      <w:tabs>
        <w:tab w:val="left" w:leader="none" w:pos="709"/>
      </w:tabs>
      <w:spacing w:after="120" w:before="120" w:line="36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Hacerlo del conocimiento de la persona solicitante, dentro de los tres días hábiles, posteriores a la presentación de la solicitud de información, y</w:t>
    </w:r>
  </w:p>
  <w:p w:rsidR="00000000" w:rsidDel="00000000" w:rsidP="00000000" w:rsidRDefault="00000000" w:rsidRPr="00000000" w14:paraId="000000D0">
    <w:pPr>
      <w:numPr>
        <w:ilvl w:val="0"/>
        <w:numId w:val="3"/>
      </w:numPr>
      <w:tabs>
        <w:tab w:val="left" w:leader="none" w:pos="709"/>
      </w:tabs>
      <w:spacing w:after="120" w:before="120" w:line="36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caso de conocer el Sujeto Obligado competente, orientarle a presentar la solicitud ante el mismo.</w:t>
    </w:r>
  </w:p>
  <w:p w:rsidR="00000000" w:rsidDel="00000000" w:rsidP="00000000" w:rsidRDefault="00000000" w:rsidRPr="00000000" w14:paraId="000000D1">
    <w:pPr>
      <w:tabs>
        <w:tab w:val="center" w:leader="none" w:pos="4252"/>
        <w:tab w:val="right" w:leader="none" w:pos="850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presente caso la Unidad de Transparencia no manifestó la incompetencia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atender la solicitud, ya que como se ha expuesto anteriormente sí existe un documento que pudiera dar cuenta de la información que es del interés de la persona solicitante, sin embargo,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cuenta con atribuciones para generar, administrar o poseer el mismo.</w:t>
    </w:r>
  </w:p>
  <w:p w:rsidR="00000000" w:rsidDel="00000000" w:rsidP="00000000" w:rsidRDefault="00000000" w:rsidRPr="00000000" w14:paraId="000000D2">
    <w:pPr>
      <w:tabs>
        <w:tab w:val="center" w:leader="none" w:pos="4252"/>
        <w:tab w:val="right" w:leader="none" w:pos="8504"/>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 aplicable lo dispuesto por los artículos 49, fracción II, 53, fracción III y 167 de la Ley de Transparencia y Acceso a la Información Pública del Estado de México y Municipios, de los cuales se desprende que las </w:t>
    </w:r>
    <w:r w:rsidDel="00000000" w:rsidR="00000000" w:rsidRPr="00000000">
      <w:rPr>
        <w:rFonts w:ascii="Palatino Linotype" w:cs="Palatino Linotype" w:eastAsia="Palatino Linotype" w:hAnsi="Palatino Linotype"/>
        <w:b w:val="1"/>
        <w:rtl w:val="0"/>
      </w:rPr>
      <w:t xml:space="preserve">Unidades de Transparencia son responsables de orientar a los particulares respecto de la dependencia, entidad u órgano que pudiera tener la información requerida, cuando la misma no sea competencia del sujeto obligado ante el cual se formule la solicitud de acceso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3">
    <w:pPr>
      <w:tabs>
        <w:tab w:val="center" w:leader="none" w:pos="4252"/>
        <w:tab w:val="right" w:leader="none" w:pos="8504"/>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que los </w:t>
    </w:r>
    <w:r w:rsidDel="00000000" w:rsidR="00000000" w:rsidRPr="00000000">
      <w:rPr>
        <w:rFonts w:ascii="Palatino Linotype" w:cs="Palatino Linotype" w:eastAsia="Palatino Linotype" w:hAnsi="Palatino Linotype"/>
        <w:b w:val="1"/>
        <w:rtl w:val="0"/>
      </w:rPr>
      <w:t xml:space="preserve">Comités de Transparencia tienen entre sus atribuciones confirmar, modificar o revocar la declaración de incompetencia</w:t>
    </w:r>
    <w:r w:rsidDel="00000000" w:rsidR="00000000" w:rsidRPr="00000000">
      <w:rPr>
        <w:rFonts w:ascii="Palatino Linotype" w:cs="Palatino Linotype" w:eastAsia="Palatino Linotype" w:hAnsi="Palatino Linotype"/>
        <w:rtl w:val="0"/>
      </w:rPr>
      <w:t xml:space="preserve"> que realicen los titulares de las unidades administrativas.</w:t>
    </w:r>
  </w:p>
  <w:p w:rsidR="00000000" w:rsidDel="00000000" w:rsidP="00000000" w:rsidRDefault="00000000" w:rsidRPr="00000000" w14:paraId="000000D4">
    <w:pPr>
      <w:tabs>
        <w:tab w:val="center" w:leader="none" w:pos="4252"/>
        <w:tab w:val="right" w:leader="none" w:pos="8504"/>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cuando las Unidades de Transparencia determinen la notoria incompetencia por parte de </w:t>
    </w:r>
    <w:r w:rsidDel="00000000" w:rsidR="00000000" w:rsidRPr="00000000">
      <w:rPr>
        <w:rFonts w:ascii="Palatino Linotype" w:cs="Palatino Linotype" w:eastAsia="Palatino Linotype" w:hAnsi="Palatino Linotype"/>
        <w:b w:val="1"/>
        <w:rtl w:val="0"/>
      </w:rPr>
      <w:t xml:space="preserve">los sujetos obligados deberán comunicar al solicitante la misma dentro de los tres días posteriores a la recepción de la solicitud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5">
    <w:pPr>
      <w:tabs>
        <w:tab w:val="center" w:leader="none" w:pos="4252"/>
        <w:tab w:val="right" w:leader="none" w:pos="8504"/>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rsidR="00000000" w:rsidDel="00000000" w:rsidP="00000000" w:rsidRDefault="00000000" w:rsidRPr="00000000" w14:paraId="000000D6">
    <w:pPr>
      <w:tabs>
        <w:tab w:val="left" w:leader="none" w:pos="567"/>
        <w:tab w:val="left" w:leader="none" w:pos="851"/>
      </w:tabs>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t xml:space="preserve">Competencia: La capacidad de una autoridad para conocer sobre una materia o asunto.</w:t>
    </w:r>
  </w:p>
  <w:p w:rsidR="00000000" w:rsidDel="00000000" w:rsidP="00000000" w:rsidRDefault="00000000" w:rsidRPr="00000000" w14:paraId="000000D7">
    <w:pPr>
      <w:tabs>
        <w:tab w:val="left" w:leader="none" w:pos="567"/>
        <w:tab w:val="left" w:leader="none" w:pos="851"/>
      </w:tabs>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t xml:space="preserve">Incompetencia: Falta de Competencia.</w:t>
    </w:r>
  </w:p>
  <w:p w:rsidR="00000000" w:rsidDel="00000000" w:rsidP="00000000" w:rsidRDefault="00000000" w:rsidRPr="00000000" w14:paraId="000000D8">
    <w:pPr>
      <w:tabs>
        <w:tab w:val="center" w:leader="none" w:pos="4252"/>
        <w:tab w:val="right" w:leader="none" w:pos="8504"/>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000000" w:rsidDel="00000000" w:rsidP="00000000" w:rsidRDefault="00000000" w:rsidRPr="00000000" w14:paraId="000000D9">
    <w:pPr>
      <w:tabs>
        <w:tab w:val="center" w:leader="none" w:pos="4252"/>
        <w:tab w:val="right" w:leader="none" w:pos="8504"/>
      </w:tabs>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LEGITIMACIÓN DE FUNCIONARIOS PÚBLICOS. LOS TRIBUNALES DE AMPARO, POR ESTAR VINCULADOS CON EL CONCEPTO DE COMPETENCIA A QUE SE REFIERE EL ARTÍCULO 16 CONSTITUCIONAL, NO PUEDEN CONOCER DE AQUÉLLA.</w:t>
    </w:r>
    <w:r w:rsidDel="00000000" w:rsidR="00000000" w:rsidRPr="00000000">
      <w:rPr>
        <w:rFonts w:ascii="Palatino Linotype" w:cs="Palatino Linotype" w:eastAsia="Palatino Linotype" w:hAnsi="Palatino Linotype"/>
        <w:i w:val="1"/>
        <w:sz w:val="22"/>
        <w:szCs w:val="22"/>
        <w:rtl w:val="0"/>
      </w:rPr>
      <w:t xml:space="preserve">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000000" w:rsidDel="00000000" w:rsidP="00000000" w:rsidRDefault="00000000" w:rsidRPr="00000000" w14:paraId="000000DA">
    <w:pPr>
      <w:tabs>
        <w:tab w:val="center" w:leader="none" w:pos="4252"/>
        <w:tab w:val="right" w:leader="none" w:pos="8504"/>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necesario traer a colación, el Criterio 13/17, emitido por el Instituto Nacional de Transparencia, Acceso a la Información y Protección de Datos Personales, que dispone lo siguiente: </w:t>
    </w:r>
  </w:p>
  <w:p w:rsidR="00000000" w:rsidDel="00000000" w:rsidP="00000000" w:rsidRDefault="00000000" w:rsidRPr="00000000" w14:paraId="000000DB">
    <w:pPr>
      <w:tabs>
        <w:tab w:val="center" w:leader="none" w:pos="4252"/>
        <w:tab w:val="right" w:leader="none" w:pos="8504"/>
      </w:tabs>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w:t>
    </w:r>
    <w:r w:rsidDel="00000000" w:rsidR="00000000" w:rsidRPr="00000000">
      <w:rPr>
        <w:rFonts w:ascii="Palatino Linotype" w:cs="Palatino Linotype" w:eastAsia="Palatino Linotype" w:hAnsi="Palatino Linotype"/>
        <w:i w:val="1"/>
        <w:sz w:val="22"/>
        <w:szCs w:val="22"/>
        <w:rtl w:val="0"/>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000000" w:rsidDel="00000000" w:rsidP="00000000" w:rsidRDefault="00000000" w:rsidRPr="00000000" w14:paraId="000000DC">
    <w:pPr>
      <w:tabs>
        <w:tab w:val="left" w:leader="none" w:pos="709"/>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la incompetencia implica que, de conformidad con las atribuciones conferidas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habría razón por la cual éste deba contar con la información solicitada, en cuyo caso, tendría que orientar al particular para que acuda a la instancia competente, situación que aconteció no en el presente asunto</w:t>
    </w:r>
  </w:p>
  <w:p w:rsidR="00000000" w:rsidDel="00000000" w:rsidP="00000000" w:rsidRDefault="00000000" w:rsidRPr="00000000" w14:paraId="000000DD">
    <w:pPr>
      <w:tabs>
        <w:tab w:val="left" w:leader="none" w:pos="709"/>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 confirmar la incompetencia que en el presente asunto encuadra en el supuesto de la Ley, es decir se deberá elaborar el acuerdo mediante el cual se confirme la incompetencia respecto a la solicitud de información presentada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debiendo notificarle de igual forma el Acuerdo de referencia.</w:t>
    </w:r>
  </w:p>
  <w:p w:rsidR="00000000" w:rsidDel="00000000" w:rsidP="00000000" w:rsidRDefault="00000000" w:rsidRPr="00000000" w14:paraId="000000DE">
    <w:pPr>
      <w:tabs>
        <w:tab w:val="left" w:leader="none" w:pos="709"/>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ante la incompetencia,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tiene la potestad de orientar al particular sobre la dependencia pública ante quien deba presentar su solicitud de información. En este orden de ideas, se dejan a salvo los derechos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para que formule una nueva solicitud de información ante el Sujeto Obligado competente, para lo cual deberá señalar de manera precisa la información que es de su interés. </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Revocar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3">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1">
    <w:p w:rsidR="00000000" w:rsidDel="00000000" w:rsidP="00000000" w:rsidRDefault="00000000" w:rsidRPr="00000000" w14:paraId="000000B4">
      <w:pPr>
        <w:spacing w:after="240"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 w:id="2">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line="198" w:lineRule="auto"/>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VILLANUEVA VILLANUEVA Ernesto, Derecho de la Información, Ed, Porrúa S.A., México. 2006, pág.270.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-1079498</wp:posOffset>
          </wp:positionH>
          <wp:positionV relativeFrom="paragraph">
            <wp:posOffset>-328928</wp:posOffset>
          </wp:positionV>
          <wp:extent cx="7809865" cy="10165715"/>
          <wp:effectExtent b="0" l="0" r="0" t="0"/>
          <wp:wrapNone/>
          <wp:docPr id="199341234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B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8">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04509/INFOEM/IP/RR/2023</w:t>
          </w:r>
        </w:p>
      </w:tc>
    </w:tr>
    <w:tr>
      <w:trPr>
        <w:cantSplit w:val="0"/>
        <w:trHeight w:val="130" w:hRule="atLeast"/>
        <w:tblHeader w:val="0"/>
      </w:trPr>
      <w:tc>
        <w:tcPr>
          <w:shd w:fill="auto" w:val="clear"/>
          <w:vAlign w:val="center"/>
        </w:tcPr>
        <w:p w:rsidR="00000000" w:rsidDel="00000000" w:rsidP="00000000" w:rsidRDefault="00000000" w:rsidRPr="00000000" w14:paraId="000000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BA">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C">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shd w:fill="auto" w:val="clear"/>
          <w:vAlign w:val="center"/>
        </w:tcPr>
        <w:p w:rsidR="00000000" w:rsidDel="00000000" w:rsidP="00000000" w:rsidRDefault="00000000" w:rsidRPr="00000000" w14:paraId="000000B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E">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-1080120</wp:posOffset>
          </wp:positionH>
          <wp:positionV relativeFrom="paragraph">
            <wp:posOffset>-488298</wp:posOffset>
          </wp:positionV>
          <wp:extent cx="7809865" cy="10165715"/>
          <wp:effectExtent b="0" l="0" r="0" t="0"/>
          <wp:wrapNone/>
          <wp:docPr id="19934123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04509/INFOEM/IP/RR/2023</w:t>
          </w:r>
        </w:p>
      </w:tc>
    </w:tr>
    <w:tr>
      <w:trPr>
        <w:cantSplit w:val="0"/>
        <w:trHeight w:val="228" w:hRule="atLeast"/>
        <w:tblHeader w:val="0"/>
      </w:trPr>
      <w:tc>
        <w:tcPr>
          <w:shd w:fill="auto" w:val="clea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5">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shd w:fill="auto" w:val="clear"/>
          <w:vAlign w:val="center"/>
        </w:tcPr>
        <w:p w:rsidR="00000000" w:rsidDel="00000000" w:rsidP="00000000" w:rsidRDefault="00000000" w:rsidRPr="00000000" w14:paraId="000000C6">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8">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20" w:customStyle="1">
    <w:name w:val="20"/>
    <w:basedOn w:val="TableNormal4"/>
    <w:tblPr>
      <w:tblStyleRowBandSize w:val="1"/>
      <w:tblStyleColBandSize w:val="1"/>
      <w:tblCellMar>
        <w:left w:w="115.0" w:type="dxa"/>
        <w:right w:w="115.0" w:type="dxa"/>
      </w:tblCellMar>
    </w:tblPr>
  </w:style>
  <w:style w:type="table" w:styleId="19" w:customStyle="1">
    <w:name w:val="19"/>
    <w:basedOn w:val="TableNormal4"/>
    <w:tblPr>
      <w:tblStyleRowBandSize w:val="1"/>
      <w:tblStyleColBandSize w:val="1"/>
      <w:tblCellMar>
        <w:left w:w="115.0" w:type="dxa"/>
        <w:right w:w="115.0" w:type="dxa"/>
      </w:tblCellMar>
    </w:tblPr>
  </w:style>
  <w:style w:type="table" w:styleId="18" w:customStyle="1">
    <w:name w:val="18"/>
    <w:basedOn w:val="TableNormal5"/>
    <w:tblPr>
      <w:tblStyleRowBandSize w:val="1"/>
      <w:tblStyleColBandSize w:val="1"/>
      <w:tblCellMar>
        <w:left w:w="115.0" w:type="dxa"/>
        <w:right w:w="115.0" w:type="dxa"/>
      </w:tblCellMar>
    </w:tblPr>
  </w:style>
  <w:style w:type="table" w:styleId="17" w:customStyle="1">
    <w:name w:val="17"/>
    <w:basedOn w:val="TableNormal5"/>
    <w:tblPr>
      <w:tblStyleRowBandSize w:val="1"/>
      <w:tblStyleColBandSize w:val="1"/>
      <w:tblCellMar>
        <w:left w:w="115.0" w:type="dxa"/>
        <w:right w:w="115.0" w:type="dxa"/>
      </w:tblCellMar>
    </w:tblPr>
  </w:style>
  <w:style w:type="table" w:styleId="16" w:customStyle="1">
    <w:name w:val="16"/>
    <w:basedOn w:val="TableNormal6"/>
    <w:tblPr>
      <w:tblStyleRowBandSize w:val="1"/>
      <w:tblStyleColBandSize w:val="1"/>
      <w:tblCellMar>
        <w:left w:w="115.0" w:type="dxa"/>
        <w:right w:w="115.0" w:type="dxa"/>
      </w:tblCellMar>
    </w:tblPr>
  </w:style>
  <w:style w:type="table" w:styleId="15" w:customStyle="1">
    <w:name w:val="15"/>
    <w:basedOn w:val="TableNormal6"/>
    <w:tblPr>
      <w:tblStyleRowBandSize w:val="1"/>
      <w:tblStyleColBandSize w:val="1"/>
      <w:tblCellMar>
        <w:left w:w="115.0" w:type="dxa"/>
        <w:right w:w="115.0" w:type="dxa"/>
      </w:tblCellMar>
    </w:tblPr>
  </w:style>
  <w:style w:type="table" w:styleId="14" w:customStyle="1">
    <w:name w:val="14"/>
    <w:basedOn w:val="TableNormal7"/>
    <w:tblPr>
      <w:tblStyleRowBandSize w:val="1"/>
      <w:tblStyleColBandSize w:val="1"/>
      <w:tblCellMar>
        <w:left w:w="115.0" w:type="dxa"/>
        <w:right w:w="115.0" w:type="dxa"/>
      </w:tblCellMar>
    </w:tblPr>
  </w:style>
  <w:style w:type="table" w:styleId="13" w:customStyle="1">
    <w:name w:val="13"/>
    <w:basedOn w:val="TableNormal7"/>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3"/>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UuVoE06IFbaLYIB+w7filG9+iQ==">CgMxLjAyCWguMmV0OTJwMDIIaC5namRneHMyCWguM2R5NnZrbTIJaC4zMGowemxsMgloLjJzOGV5bzEyCGgudHlqY3d0MgloLjN6bnlzaDcyCWguMTdkcDh2dTIJaC4zcmRjcmpuMgloLjF0M2g1c2YyCWguMjZpbjFyZzgAciExeDllV3RKaEIteTI4UkswQWU2dzVTR1BrZ3ZPOEl0Z2c=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2024-01-24T22:39:00Z</dcterms:created>
  <dc:creator>iMac</dc:creator>
</cp:coreProperties>
</file>