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686797" w14:textId="77777777" w:rsidR="001B55DB" w:rsidRDefault="006D6396">
      <w:pPr>
        <w:shd w:val="clear" w:color="auto" w:fill="FFFFFF"/>
        <w:spacing w:after="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México y Municipios, con domicilio en Metepec, Estado de México, a diecisiete de enero de dos mil veinticuatro.</w:t>
      </w:r>
    </w:p>
    <w:p w14:paraId="7D5AFEDE" w14:textId="77777777" w:rsidR="001B55DB" w:rsidRDefault="001B55DB">
      <w:pPr>
        <w:shd w:val="clear" w:color="auto" w:fill="FFFFFF"/>
        <w:spacing w:after="0" w:line="360" w:lineRule="auto"/>
        <w:jc w:val="both"/>
        <w:rPr>
          <w:rFonts w:ascii="Palatino Linotype" w:eastAsia="Times New Roman" w:hAnsi="Palatino Linotype" w:cs="Arial"/>
          <w:color w:val="000000"/>
          <w:sz w:val="24"/>
          <w:szCs w:val="24"/>
          <w:lang w:eastAsia="es-MX"/>
        </w:rPr>
      </w:pPr>
    </w:p>
    <w:p w14:paraId="26F083E2" w14:textId="2A13A0AD" w:rsidR="001B55DB" w:rsidRDefault="006D6396">
      <w:pPr>
        <w:tabs>
          <w:tab w:val="left" w:pos="1701"/>
        </w:tabs>
        <w:spacing w:after="0" w:line="360" w:lineRule="auto"/>
        <w:jc w:val="both"/>
        <w:rPr>
          <w:rFonts w:ascii="Palatino Linotype" w:hAnsi="Palatino Linotype" w:cs="Arial"/>
          <w:b/>
          <w:sz w:val="24"/>
          <w:szCs w:val="24"/>
        </w:rPr>
      </w:pPr>
      <w:r>
        <w:rPr>
          <w:rFonts w:ascii="Palatino Linotype" w:hAnsi="Palatino Linotype" w:cs="Arial"/>
          <w:b/>
          <w:sz w:val="24"/>
          <w:szCs w:val="24"/>
        </w:rPr>
        <w:t>VISTO</w:t>
      </w:r>
      <w:r>
        <w:rPr>
          <w:rFonts w:ascii="Palatino Linotype" w:hAnsi="Palatino Linotype" w:cs="Arial"/>
          <w:sz w:val="24"/>
          <w:szCs w:val="24"/>
        </w:rPr>
        <w:t xml:space="preserve"> el expediente electrónico formado con motivo del recurso de revisión número </w:t>
      </w:r>
      <w:r>
        <w:rPr>
          <w:rFonts w:ascii="Palatino Linotype" w:hAnsi="Palatino Linotype" w:cs="Arial"/>
          <w:b/>
          <w:bCs/>
          <w:sz w:val="24"/>
          <w:szCs w:val="24"/>
          <w:lang w:eastAsia="es-MX"/>
        </w:rPr>
        <w:t>02690/INFOEM/IP/RR/2023</w:t>
      </w:r>
      <w:r>
        <w:rPr>
          <w:rFonts w:ascii="Palatino Linotype" w:hAnsi="Palatino Linotype" w:cs="Arial"/>
          <w:sz w:val="24"/>
          <w:szCs w:val="24"/>
        </w:rPr>
        <w:t xml:space="preserve">, </w:t>
      </w:r>
      <w:r>
        <w:rPr>
          <w:rFonts w:ascii="Palatino Linotype" w:hAnsi="Palatino Linotype"/>
          <w:sz w:val="24"/>
          <w:szCs w:val="24"/>
        </w:rPr>
        <w:t xml:space="preserve">promovido por un particular que al momento de ingresar la solicitud de información no señaló nombre o seudónimo con el cual desee ser identificado, quien en lo sucesivo y para efectos prácticos se le denominará como </w:t>
      </w:r>
      <w:r>
        <w:rPr>
          <w:rFonts w:ascii="Palatino Linotype" w:hAnsi="Palatino Linotype"/>
          <w:b/>
          <w:sz w:val="24"/>
          <w:szCs w:val="24"/>
        </w:rPr>
        <w:t>El Recurrente</w:t>
      </w:r>
      <w:r>
        <w:rPr>
          <w:rFonts w:ascii="Palatino Linotype" w:hAnsi="Palatino Linotype" w:cs="Arial"/>
          <w:sz w:val="24"/>
          <w:szCs w:val="24"/>
        </w:rPr>
        <w:t xml:space="preserve">, en contra de la respuesta del </w:t>
      </w:r>
      <w:r>
        <w:rPr>
          <w:rFonts w:ascii="Palatino Linotype" w:hAnsi="Palatino Linotype" w:cs="Arial"/>
          <w:b/>
          <w:sz w:val="24"/>
          <w:szCs w:val="24"/>
        </w:rPr>
        <w:t>Poder Legislativo</w:t>
      </w:r>
      <w:r>
        <w:rPr>
          <w:rFonts w:ascii="Palatino Linotype" w:hAnsi="Palatino Linotype" w:cs="Arial"/>
          <w:sz w:val="24"/>
          <w:szCs w:val="24"/>
        </w:rPr>
        <w:t>,</w:t>
      </w:r>
      <w:r>
        <w:rPr>
          <w:rFonts w:ascii="Palatino Linotype" w:hAnsi="Palatino Linotype" w:cs="Arial"/>
          <w:b/>
          <w:sz w:val="24"/>
          <w:szCs w:val="24"/>
        </w:rPr>
        <w:t xml:space="preserve"> </w:t>
      </w:r>
      <w:r>
        <w:rPr>
          <w:rFonts w:ascii="Palatino Linotype" w:hAnsi="Palatino Linotype" w:cs="Arial"/>
          <w:sz w:val="24"/>
          <w:szCs w:val="24"/>
        </w:rPr>
        <w:t>en lo subsecuente</w:t>
      </w:r>
      <w:r>
        <w:rPr>
          <w:rFonts w:ascii="Palatino Linotype" w:hAnsi="Palatino Linotype" w:cs="Arial"/>
          <w:b/>
          <w:sz w:val="24"/>
          <w:szCs w:val="24"/>
        </w:rPr>
        <w:t xml:space="preserve"> El Sujeto Obligado, </w:t>
      </w:r>
      <w:r>
        <w:rPr>
          <w:rFonts w:ascii="Palatino Linotype" w:hAnsi="Palatino Linotype" w:cs="Arial"/>
          <w:sz w:val="24"/>
          <w:szCs w:val="24"/>
        </w:rPr>
        <w:t>se procede a dictar la presente resolución.</w:t>
      </w:r>
    </w:p>
    <w:p w14:paraId="74004B0B" w14:textId="77777777" w:rsidR="001B55DB" w:rsidRDefault="001B55DB">
      <w:pPr>
        <w:tabs>
          <w:tab w:val="left" w:pos="1701"/>
        </w:tabs>
        <w:spacing w:after="0" w:line="360" w:lineRule="auto"/>
        <w:jc w:val="both"/>
        <w:rPr>
          <w:rFonts w:ascii="Palatino Linotype" w:hAnsi="Palatino Linotype" w:cs="Arial"/>
          <w:sz w:val="24"/>
          <w:szCs w:val="24"/>
        </w:rPr>
      </w:pPr>
    </w:p>
    <w:p w14:paraId="4A4BCBF3" w14:textId="77777777" w:rsidR="001B55DB" w:rsidRDefault="006D6396">
      <w:pPr>
        <w:spacing w:after="0" w:line="360" w:lineRule="auto"/>
        <w:jc w:val="center"/>
        <w:rPr>
          <w:rFonts w:ascii="Palatino Linotype" w:hAnsi="Palatino Linotype" w:cs="Arial"/>
          <w:b/>
          <w:sz w:val="28"/>
          <w:szCs w:val="24"/>
        </w:rPr>
      </w:pPr>
      <w:r>
        <w:rPr>
          <w:rFonts w:ascii="Palatino Linotype" w:hAnsi="Palatino Linotype" w:cs="Arial"/>
          <w:b/>
          <w:sz w:val="28"/>
          <w:szCs w:val="24"/>
        </w:rPr>
        <w:t>A N T E C E D E N T E S</w:t>
      </w:r>
    </w:p>
    <w:p w14:paraId="58DBF2EE" w14:textId="77777777" w:rsidR="001B55DB" w:rsidRDefault="001B55DB">
      <w:pPr>
        <w:spacing w:after="0" w:line="360" w:lineRule="auto"/>
        <w:jc w:val="center"/>
        <w:rPr>
          <w:rFonts w:ascii="Palatino Linotype" w:hAnsi="Palatino Linotype" w:cs="Arial"/>
          <w:b/>
          <w:sz w:val="28"/>
          <w:szCs w:val="24"/>
        </w:rPr>
      </w:pPr>
    </w:p>
    <w:p w14:paraId="09038382" w14:textId="77777777" w:rsidR="001B55DB" w:rsidRDefault="006D6396">
      <w:pPr>
        <w:spacing w:after="0" w:line="360" w:lineRule="auto"/>
        <w:jc w:val="both"/>
        <w:rPr>
          <w:rFonts w:ascii="Palatino Linotype" w:hAnsi="Palatino Linotype" w:cs="Arial"/>
          <w:b/>
          <w:sz w:val="28"/>
          <w:szCs w:val="24"/>
        </w:rPr>
      </w:pPr>
      <w:r>
        <w:rPr>
          <w:rFonts w:ascii="Palatino Linotype" w:hAnsi="Palatino Linotype" w:cs="Arial"/>
          <w:b/>
          <w:sz w:val="28"/>
          <w:szCs w:val="24"/>
        </w:rPr>
        <w:t>PRIMERO. De la solicitud de información.</w:t>
      </w:r>
    </w:p>
    <w:p w14:paraId="66D8CD0B" w14:textId="77777777" w:rsidR="001B55DB" w:rsidRDefault="006D6396">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Con fecha veintiuno de abril de dos mil veintitrés, </w:t>
      </w:r>
      <w:r>
        <w:rPr>
          <w:rFonts w:ascii="Palatino Linotype" w:hAnsi="Palatino Linotype" w:cs="Arial"/>
          <w:b/>
          <w:sz w:val="24"/>
          <w:szCs w:val="24"/>
        </w:rPr>
        <w:t>El Recurrente</w:t>
      </w:r>
      <w:r>
        <w:rPr>
          <w:rFonts w:ascii="Palatino Linotype" w:hAnsi="Palatino Linotype" w:cs="Arial"/>
          <w:sz w:val="24"/>
          <w:szCs w:val="24"/>
        </w:rPr>
        <w:t>, presentó a través del Sistema de Acceso a la Información Mexiquense (</w:t>
      </w:r>
      <w:r>
        <w:rPr>
          <w:rFonts w:ascii="Palatino Linotype" w:hAnsi="Palatino Linotype" w:cs="Arial"/>
          <w:b/>
          <w:sz w:val="24"/>
          <w:szCs w:val="24"/>
        </w:rPr>
        <w:t>SAIMEX)</w:t>
      </w:r>
      <w:r>
        <w:rPr>
          <w:rFonts w:ascii="Palatino Linotype" w:hAnsi="Palatino Linotype" w:cs="Arial"/>
          <w:sz w:val="24"/>
          <w:szCs w:val="24"/>
        </w:rPr>
        <w:t xml:space="preserve"> ante </w:t>
      </w:r>
      <w:r>
        <w:rPr>
          <w:rFonts w:ascii="Palatino Linotype" w:hAnsi="Palatino Linotype" w:cs="Arial"/>
          <w:b/>
          <w:sz w:val="24"/>
          <w:szCs w:val="24"/>
        </w:rPr>
        <w:t>El Sujeto Obligado</w:t>
      </w:r>
      <w:r>
        <w:rPr>
          <w:rFonts w:ascii="Palatino Linotype" w:hAnsi="Palatino Linotype" w:cs="Arial"/>
          <w:sz w:val="24"/>
          <w:szCs w:val="24"/>
        </w:rPr>
        <w:t>, la solicitud de acceso a la información pública, registrada bajo el número de expediente</w:t>
      </w:r>
      <w:r>
        <w:rPr>
          <w:rFonts w:ascii="Palatino Linotype" w:hAnsi="Palatino Linotype" w:cs="Arial"/>
          <w:b/>
          <w:sz w:val="24"/>
          <w:szCs w:val="24"/>
        </w:rPr>
        <w:t xml:space="preserve"> 00216/PLEGISLA/IP/2023</w:t>
      </w:r>
      <w:r>
        <w:rPr>
          <w:rFonts w:ascii="Palatino Linotype" w:hAnsi="Palatino Linotype" w:cs="Arial"/>
          <w:sz w:val="24"/>
          <w:szCs w:val="24"/>
          <w:lang w:eastAsia="es-MX"/>
        </w:rPr>
        <w:t>,</w:t>
      </w:r>
      <w:r>
        <w:rPr>
          <w:rFonts w:ascii="Palatino Linotype" w:hAnsi="Palatino Linotype" w:cs="Arial"/>
          <w:b/>
          <w:sz w:val="24"/>
          <w:szCs w:val="24"/>
          <w:lang w:eastAsia="es-MX"/>
        </w:rPr>
        <w:t xml:space="preserve"> </w:t>
      </w:r>
      <w:r>
        <w:rPr>
          <w:rFonts w:ascii="Palatino Linotype" w:hAnsi="Palatino Linotype" w:cs="Arial"/>
          <w:sz w:val="24"/>
          <w:szCs w:val="24"/>
        </w:rPr>
        <w:t>mediante la cual solicitó información en el tenor siguiente:</w:t>
      </w:r>
    </w:p>
    <w:p w14:paraId="263F0F64" w14:textId="77777777" w:rsidR="001B55DB" w:rsidRDefault="001B55DB">
      <w:pPr>
        <w:spacing w:after="0" w:line="360" w:lineRule="auto"/>
        <w:ind w:left="851" w:right="850"/>
        <w:jc w:val="both"/>
        <w:rPr>
          <w:rFonts w:ascii="Palatino Linotype" w:hAnsi="Palatino Linotype" w:cs="Arial"/>
          <w:i/>
          <w:sz w:val="20"/>
          <w:szCs w:val="24"/>
        </w:rPr>
      </w:pPr>
    </w:p>
    <w:p w14:paraId="5C3E347C" w14:textId="77777777" w:rsidR="001B55DB" w:rsidRPr="006D6396" w:rsidRDefault="006D6396">
      <w:pPr>
        <w:ind w:left="851" w:right="850"/>
        <w:jc w:val="both"/>
        <w:rPr>
          <w:rFonts w:ascii="Palatino Linotype" w:eastAsia="Times New Roman" w:hAnsi="Palatino Linotype"/>
          <w:i/>
          <w:lang w:val="en-US" w:eastAsia="es-ES"/>
        </w:rPr>
      </w:pPr>
      <w:r>
        <w:rPr>
          <w:rFonts w:ascii="Palatino Linotype" w:eastAsia="Times New Roman" w:hAnsi="Palatino Linotype"/>
          <w:i/>
          <w:lang w:eastAsia="es-ES"/>
        </w:rPr>
        <w:t>“</w:t>
      </w:r>
      <w:r>
        <w:rPr>
          <w:rFonts w:ascii="Palatino Linotype" w:eastAsia="Times New Roman" w:hAnsi="Palatino Linotype"/>
          <w:i/>
          <w:lang w:eastAsia="es-MX"/>
        </w:rPr>
        <w:t xml:space="preserve">Para los Diputados Daniel Andrés Sibaja González, Faustino de la Cruz Pérez, Azucena Cisneros Coss, Camilo Murillo Zavala y </w:t>
      </w:r>
      <w:bookmarkStart w:id="0" w:name="_GoBack"/>
      <w:r>
        <w:rPr>
          <w:rFonts w:ascii="Palatino Linotype" w:eastAsia="Times New Roman" w:hAnsi="Palatino Linotype"/>
          <w:i/>
          <w:lang w:eastAsia="es-MX"/>
        </w:rPr>
        <w:t>Luz Ma. Hernández Bermúdez</w:t>
      </w:r>
      <w:bookmarkEnd w:id="0"/>
      <w:r>
        <w:rPr>
          <w:rFonts w:ascii="Palatino Linotype" w:eastAsia="Times New Roman" w:hAnsi="Palatino Linotype"/>
          <w:i/>
          <w:lang w:eastAsia="es-MX"/>
        </w:rPr>
        <w:t xml:space="preserve">. Derivado de las declaraciones que se realizaron a diferentes medios, respecto a las investigaciones que se han publicado en los medios informativos de “Animal Político”, “Proceso”, “Prensa Universitaria de la (UAEM)” y “El Sol de Toluca”, con respecto al desvió de recursos realizado por diversas instituciones de educación superior, referente al tema de la “la estafa maestra”, donde se ha mencionado que en </w:t>
      </w:r>
      <w:r>
        <w:rPr>
          <w:rFonts w:ascii="Palatino Linotype" w:eastAsia="Times New Roman" w:hAnsi="Palatino Linotype"/>
          <w:i/>
          <w:lang w:eastAsia="es-MX"/>
        </w:rPr>
        <w:lastRenderedPageBreak/>
        <w:t xml:space="preserve">el Estado de México, las instituciones de educación superior tales como: • Universidad Autónoma del Estado de México (UAEM) • Universidad Intercultural del Estado de México (UIEM) • Universidad Tecnológica de Nezahualcóyotl (UTN) Son participes del desvío de recursos conocido como “la estafa maestra”, por diversos miles de millones de pesos, por lo cual, y de acuerdo a las investigaciones de los diferentes medios informativos (Proceso, Animal Político, Prensa Universitaria UAEM y el Sol de Toluca); las autoridades han realizado las denuncias correspondientes ante las instancias que deben de conocer del asunto. Por lo anterior los ciudadanos del Estado de México, solicitamos que se nos proporcione la información con la que cuente que avale lo declarado en prensa. También de lo siguiente: 1.- Nombre de todas Universidades Públicas del Estado de México, que se encuentran involucradas en dichos actos de corrupción denominado “la estafa maestra”. 2.- Los montos a que hacienden los desvíos de cada una de ellas. 3.-Cuál es el estado procesal que guarda cada una, así como el número de denuncia y/o expediente con el que se interpuso y fue recibida por la autoridad competente. 3.- El nombre completo de los Ex Servidores Públicos que se encuentran involucrados en cada una de las universidades. 4.- el estado procesal que guardan las denuncias presentadas 5.- Tos los documentos necesarios en versión pública que avale la información antes solicitada. ¡¡¡¡Todo lo anterior es con la finalidad de seguir denunciando los actos que se han realizados para que no queden impunes y no piensen que a la ciudadanía ya se nos olvidado!!! </w:t>
      </w:r>
      <w:r w:rsidRPr="006D6396">
        <w:rPr>
          <w:rFonts w:ascii="Palatino Linotype" w:eastAsia="Times New Roman" w:hAnsi="Palatino Linotype"/>
          <w:i/>
          <w:lang w:val="en-US" w:eastAsia="es-MX"/>
        </w:rPr>
        <w:t>https://contralacorrupcion.mx/web/estafamaestra/ https://www.proceso.com.mx/nacional/2021/6/30/estafa-maestra-encabeza-anomalias-denuncias-de-losultimos-tres-anos-asf-266902.html https://www.animalpolitico.com/politica/estafa-maestra-impune-cuatro-anos-investigaciones https://prensauniversitaria.com.mx/2022/05/11/involucrados-en-la-estafa-maestra-en-la-uaemex-sinsalida/</w:t>
      </w:r>
      <w:r w:rsidRPr="006D6396">
        <w:rPr>
          <w:rFonts w:ascii="Palatino Linotype" w:eastAsia="Times New Roman" w:hAnsi="Palatino Linotype"/>
          <w:i/>
          <w:lang w:val="en-US" w:eastAsia="es-ES"/>
        </w:rPr>
        <w:t>” (Sic).</w:t>
      </w:r>
    </w:p>
    <w:p w14:paraId="59706BFC" w14:textId="77777777" w:rsidR="001B55DB" w:rsidRPr="006D6396" w:rsidRDefault="001B55DB">
      <w:pPr>
        <w:tabs>
          <w:tab w:val="left" w:pos="5647"/>
        </w:tabs>
        <w:spacing w:after="0" w:line="360" w:lineRule="auto"/>
        <w:ind w:right="850"/>
        <w:jc w:val="both"/>
        <w:rPr>
          <w:rFonts w:ascii="Palatino Linotype" w:eastAsia="Times New Roman" w:hAnsi="Palatino Linotype"/>
          <w:b/>
          <w:sz w:val="24"/>
          <w:szCs w:val="24"/>
          <w:lang w:val="en-US" w:eastAsia="es-ES"/>
        </w:rPr>
      </w:pPr>
    </w:p>
    <w:p w14:paraId="48EB94D0" w14:textId="77777777" w:rsidR="001B55DB" w:rsidRDefault="006D6396">
      <w:pPr>
        <w:tabs>
          <w:tab w:val="left" w:pos="5647"/>
        </w:tabs>
        <w:spacing w:after="0" w:line="360" w:lineRule="auto"/>
        <w:ind w:right="850"/>
        <w:jc w:val="both"/>
        <w:rPr>
          <w:rFonts w:ascii="Palatino Linotype" w:hAnsi="Palatino Linotype"/>
          <w:color w:val="000000"/>
          <w:sz w:val="24"/>
          <w:szCs w:val="24"/>
        </w:rPr>
      </w:pPr>
      <w:r>
        <w:rPr>
          <w:rFonts w:ascii="Palatino Linotype" w:eastAsia="Times New Roman" w:hAnsi="Palatino Linotype"/>
          <w:b/>
          <w:sz w:val="24"/>
          <w:szCs w:val="24"/>
          <w:lang w:eastAsia="es-ES"/>
        </w:rPr>
        <w:t>MODALIDAD DE ENTREGA:</w:t>
      </w:r>
      <w:r>
        <w:rPr>
          <w:rFonts w:ascii="Palatino Linotype" w:eastAsia="Times New Roman" w:hAnsi="Palatino Linotype"/>
          <w:sz w:val="24"/>
          <w:szCs w:val="24"/>
          <w:lang w:eastAsia="es-ES"/>
        </w:rPr>
        <w:t xml:space="preserve"> </w:t>
      </w:r>
      <w:r>
        <w:rPr>
          <w:rFonts w:ascii="Palatino Linotype" w:hAnsi="Palatino Linotype"/>
          <w:color w:val="000000"/>
          <w:sz w:val="24"/>
          <w:szCs w:val="24"/>
        </w:rPr>
        <w:t>A través del SAIMEX.</w:t>
      </w:r>
    </w:p>
    <w:p w14:paraId="10B8C97B" w14:textId="77777777" w:rsidR="001B55DB" w:rsidRDefault="001B55DB">
      <w:pPr>
        <w:spacing w:after="0" w:line="360" w:lineRule="auto"/>
        <w:jc w:val="both"/>
        <w:rPr>
          <w:rFonts w:ascii="Palatino Linotype" w:hAnsi="Palatino Linotype" w:cs="Arial"/>
          <w:b/>
          <w:sz w:val="28"/>
          <w:szCs w:val="24"/>
        </w:rPr>
      </w:pPr>
    </w:p>
    <w:p w14:paraId="1C1625F7" w14:textId="77777777" w:rsidR="001B55DB" w:rsidRDefault="006D6396">
      <w:pPr>
        <w:spacing w:after="0" w:line="360" w:lineRule="auto"/>
        <w:jc w:val="both"/>
        <w:rPr>
          <w:rFonts w:ascii="Palatino Linotype" w:eastAsiaTheme="minorHAnsi" w:hAnsi="Palatino Linotype" w:cs="Arial"/>
          <w:b/>
          <w:sz w:val="28"/>
          <w:szCs w:val="28"/>
        </w:rPr>
      </w:pPr>
      <w:r>
        <w:rPr>
          <w:rFonts w:ascii="Palatino Linotype" w:eastAsiaTheme="minorHAnsi" w:hAnsi="Palatino Linotype" w:cs="Arial"/>
          <w:b/>
          <w:sz w:val="28"/>
          <w:szCs w:val="28"/>
        </w:rPr>
        <w:t xml:space="preserve">SEGUNDO. Del Requerimiento de Aclaración a la Solicitud de Información por parte del Sujeto Obligado. </w:t>
      </w:r>
    </w:p>
    <w:p w14:paraId="18BB23A3" w14:textId="77777777" w:rsidR="001B55DB" w:rsidRDefault="006D6396">
      <w:pPr>
        <w:spacing w:after="0" w:line="360" w:lineRule="auto"/>
        <w:jc w:val="both"/>
        <w:rPr>
          <w:rFonts w:ascii="Palatino Linotype" w:eastAsiaTheme="minorHAnsi" w:hAnsi="Palatino Linotype" w:cs="Arial"/>
          <w:sz w:val="24"/>
        </w:rPr>
      </w:pPr>
      <w:r>
        <w:rPr>
          <w:rFonts w:ascii="Palatino Linotype" w:eastAsiaTheme="minorHAnsi" w:hAnsi="Palatino Linotype" w:cs="Arial"/>
          <w:sz w:val="24"/>
        </w:rPr>
        <w:lastRenderedPageBreak/>
        <w:t xml:space="preserve">En fecha veinticinco de abril de dos mil veintitrés, </w:t>
      </w:r>
      <w:r>
        <w:rPr>
          <w:rFonts w:ascii="Palatino Linotype" w:eastAsiaTheme="minorHAnsi" w:hAnsi="Palatino Linotype" w:cs="Arial"/>
          <w:b/>
          <w:sz w:val="24"/>
        </w:rPr>
        <w:t>El Sujeto Obligado</w:t>
      </w:r>
      <w:r>
        <w:rPr>
          <w:rFonts w:ascii="Palatino Linotype" w:eastAsiaTheme="minorHAnsi" w:hAnsi="Palatino Linotype" w:cs="Arial"/>
          <w:sz w:val="24"/>
        </w:rPr>
        <w:t xml:space="preserve"> solicitó la aclaración a la solicitud de información referida en el antecedente primero, de conformidad con lo siguiente:</w:t>
      </w:r>
    </w:p>
    <w:p w14:paraId="5E52F2D0" w14:textId="77777777" w:rsidR="001B55DB" w:rsidRDefault="001B55DB">
      <w:pPr>
        <w:spacing w:after="0" w:line="240" w:lineRule="auto"/>
        <w:rPr>
          <w:rFonts w:asciiTheme="minorHAnsi" w:eastAsiaTheme="minorHAnsi" w:hAnsiTheme="minorHAnsi" w:cstheme="minorBidi"/>
        </w:rPr>
      </w:pPr>
    </w:p>
    <w:p w14:paraId="2F3A0428" w14:textId="77777777" w:rsidR="001B55DB" w:rsidRDefault="006D6396">
      <w:pPr>
        <w:spacing w:after="0" w:line="240" w:lineRule="auto"/>
        <w:ind w:left="567" w:right="567"/>
        <w:jc w:val="right"/>
        <w:rPr>
          <w:rFonts w:ascii="Palatino Linotype" w:eastAsiaTheme="minorHAnsi" w:hAnsi="Palatino Linotype" w:cstheme="minorBidi"/>
          <w:i/>
          <w:lang w:eastAsia="es-MX"/>
        </w:rPr>
      </w:pPr>
      <w:r>
        <w:rPr>
          <w:rFonts w:ascii="Palatino Linotype" w:eastAsiaTheme="minorHAnsi" w:hAnsi="Palatino Linotype" w:cstheme="minorBidi"/>
          <w:i/>
          <w:lang w:eastAsia="es-MX"/>
        </w:rPr>
        <w:t>“Folio de la solicitud: 00216/PLEGISLA/IP/2023</w:t>
      </w:r>
    </w:p>
    <w:p w14:paraId="5FBE5044" w14:textId="77777777" w:rsidR="001B55DB" w:rsidRDefault="001B55DB">
      <w:pPr>
        <w:spacing w:after="0" w:line="240" w:lineRule="auto"/>
        <w:ind w:left="567" w:right="567"/>
        <w:jc w:val="both"/>
        <w:rPr>
          <w:rFonts w:ascii="Palatino Linotype" w:eastAsiaTheme="minorHAnsi" w:hAnsi="Palatino Linotype" w:cstheme="minorBidi"/>
          <w:i/>
          <w:lang w:eastAsia="es-MX"/>
        </w:rPr>
      </w:pPr>
    </w:p>
    <w:p w14:paraId="231A2376" w14:textId="77777777" w:rsidR="001B55DB" w:rsidRDefault="006D6396">
      <w:pPr>
        <w:spacing w:after="0" w:line="240" w:lineRule="auto"/>
        <w:ind w:left="567" w:right="567"/>
        <w:jc w:val="both"/>
        <w:rPr>
          <w:rFonts w:ascii="Palatino Linotype" w:eastAsiaTheme="minorHAnsi" w:hAnsi="Palatino Linotype" w:cstheme="minorBidi"/>
          <w:i/>
          <w:lang w:eastAsia="es-MX"/>
        </w:rPr>
      </w:pPr>
      <w:r>
        <w:rPr>
          <w:rFonts w:ascii="Palatino Linotype" w:eastAsiaTheme="minorHAnsi" w:hAnsi="Palatino Linotype" w:cstheme="minorBidi"/>
          <w:i/>
          <w:lang w:eastAsia="es-MX"/>
        </w:rPr>
        <w:t xml:space="preserve">Con fundamento en el </w:t>
      </w:r>
      <w:proofErr w:type="spellStart"/>
      <w:proofErr w:type="gramStart"/>
      <w:r>
        <w:rPr>
          <w:rFonts w:ascii="Palatino Linotype" w:eastAsiaTheme="minorHAnsi" w:hAnsi="Palatino Linotype" w:cstheme="minorBidi"/>
          <w:i/>
          <w:lang w:eastAsia="es-MX"/>
        </w:rPr>
        <w:t>articulo</w:t>
      </w:r>
      <w:proofErr w:type="spellEnd"/>
      <w:proofErr w:type="gramEnd"/>
      <w:r>
        <w:rPr>
          <w:rFonts w:ascii="Palatino Linotype" w:eastAsiaTheme="minorHAnsi" w:hAnsi="Palatino Linotype" w:cstheme="minorBidi"/>
          <w:i/>
          <w:lang w:eastAsia="es-MX"/>
        </w:rPr>
        <w:t xml:space="preserve"> 159 de la Ley de Transparencia y Acceso a la Información Pública del Estado de México y Municipios, se le requiere para que dentro del plazo de diez días hábiles realice lo siguiente:</w:t>
      </w:r>
    </w:p>
    <w:p w14:paraId="3CCF28C7" w14:textId="77777777" w:rsidR="001B55DB" w:rsidRDefault="001B55DB">
      <w:pPr>
        <w:spacing w:after="0" w:line="240" w:lineRule="auto"/>
        <w:ind w:left="567" w:right="567"/>
        <w:jc w:val="both"/>
        <w:rPr>
          <w:rFonts w:ascii="Palatino Linotype" w:eastAsiaTheme="minorHAnsi" w:hAnsi="Palatino Linotype" w:cstheme="minorBidi"/>
          <w:i/>
          <w:lang w:eastAsia="es-MX"/>
        </w:rPr>
      </w:pPr>
    </w:p>
    <w:p w14:paraId="725C3BFF" w14:textId="77777777" w:rsidR="001B55DB" w:rsidRDefault="006D6396">
      <w:pPr>
        <w:spacing w:after="0" w:line="240" w:lineRule="auto"/>
        <w:ind w:left="567" w:right="567"/>
        <w:jc w:val="both"/>
        <w:rPr>
          <w:rFonts w:ascii="Palatino Linotype" w:eastAsiaTheme="minorHAnsi" w:hAnsi="Palatino Linotype" w:cstheme="minorBidi"/>
          <w:i/>
          <w:lang w:eastAsia="es-MX"/>
        </w:rPr>
      </w:pPr>
      <w:r>
        <w:rPr>
          <w:rFonts w:ascii="Palatino Linotype" w:eastAsiaTheme="minorHAnsi" w:hAnsi="Palatino Linotype" w:cstheme="minorBidi"/>
          <w:i/>
          <w:lang w:eastAsia="es-MX"/>
        </w:rPr>
        <w:t>Se adjunta documento.</w:t>
      </w:r>
    </w:p>
    <w:p w14:paraId="5776A071" w14:textId="77777777" w:rsidR="001B55DB" w:rsidRDefault="001B55DB">
      <w:pPr>
        <w:spacing w:after="0" w:line="240" w:lineRule="auto"/>
        <w:ind w:left="567" w:right="567"/>
        <w:jc w:val="both"/>
        <w:rPr>
          <w:rFonts w:ascii="Palatino Linotype" w:eastAsiaTheme="minorHAnsi" w:hAnsi="Palatino Linotype" w:cstheme="minorBidi"/>
          <w:i/>
          <w:lang w:eastAsia="es-MX"/>
        </w:rPr>
      </w:pPr>
    </w:p>
    <w:p w14:paraId="7CF60429" w14:textId="77777777" w:rsidR="001B55DB" w:rsidRDefault="006D6396">
      <w:pPr>
        <w:spacing w:after="0" w:line="240" w:lineRule="auto"/>
        <w:ind w:left="567" w:right="567"/>
        <w:jc w:val="both"/>
        <w:rPr>
          <w:rFonts w:ascii="Palatino Linotype" w:eastAsiaTheme="minorHAnsi" w:hAnsi="Palatino Linotype" w:cstheme="minorBidi"/>
          <w:i/>
          <w:lang w:eastAsia="es-MX"/>
        </w:rPr>
      </w:pPr>
      <w:r>
        <w:rPr>
          <w:rFonts w:ascii="Palatino Linotype" w:eastAsiaTheme="minorHAnsi" w:hAnsi="Palatino Linotype" w:cstheme="minorBidi"/>
          <w:i/>
          <w:lang w:eastAsia="es-MX"/>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050A956E" w14:textId="77777777" w:rsidR="001B55DB" w:rsidRDefault="001B55DB">
      <w:pPr>
        <w:spacing w:after="0" w:line="240" w:lineRule="auto"/>
        <w:ind w:left="567" w:right="567"/>
        <w:jc w:val="both"/>
        <w:rPr>
          <w:rFonts w:ascii="Palatino Linotype" w:eastAsiaTheme="minorHAnsi" w:hAnsi="Palatino Linotype" w:cstheme="minorBidi"/>
          <w:i/>
          <w:lang w:eastAsia="es-MX"/>
        </w:rPr>
      </w:pPr>
    </w:p>
    <w:p w14:paraId="02134C3F" w14:textId="77777777" w:rsidR="001B55DB" w:rsidRDefault="006D6396">
      <w:pPr>
        <w:spacing w:after="0" w:line="240" w:lineRule="auto"/>
        <w:ind w:left="567" w:right="567"/>
        <w:jc w:val="both"/>
        <w:rPr>
          <w:rFonts w:ascii="Palatino Linotype" w:eastAsiaTheme="minorHAnsi" w:hAnsi="Palatino Linotype" w:cstheme="minorBidi"/>
          <w:i/>
          <w:lang w:eastAsia="es-MX"/>
        </w:rPr>
      </w:pPr>
      <w:r>
        <w:rPr>
          <w:rFonts w:ascii="Palatino Linotype" w:eastAsiaTheme="minorHAnsi" w:hAnsi="Palatino Linotype" w:cstheme="minorBidi"/>
          <w:i/>
          <w:lang w:eastAsia="es-MX"/>
        </w:rPr>
        <w:t>ATENTAMENTE</w:t>
      </w:r>
    </w:p>
    <w:p w14:paraId="3960B19A" w14:textId="77777777" w:rsidR="001B55DB" w:rsidRDefault="006D6396">
      <w:pPr>
        <w:spacing w:after="0" w:line="240" w:lineRule="auto"/>
        <w:ind w:left="567" w:right="567"/>
        <w:jc w:val="both"/>
        <w:rPr>
          <w:rFonts w:ascii="Palatino Linotype" w:eastAsiaTheme="minorHAnsi" w:hAnsi="Palatino Linotype" w:cstheme="minorBidi"/>
          <w:i/>
          <w:lang w:eastAsia="es-MX"/>
        </w:rPr>
      </w:pPr>
      <w:r>
        <w:rPr>
          <w:rFonts w:ascii="Palatino Linotype" w:eastAsiaTheme="minorHAnsi" w:hAnsi="Palatino Linotype" w:cstheme="minorBidi"/>
          <w:i/>
          <w:lang w:eastAsia="es-MX"/>
        </w:rPr>
        <w:t>Jesús Felipe Borja Coronel” (Sic).”</w:t>
      </w:r>
    </w:p>
    <w:p w14:paraId="4D8A3AF0" w14:textId="77777777" w:rsidR="001B55DB" w:rsidRDefault="001B55DB">
      <w:pPr>
        <w:spacing w:after="0" w:line="240" w:lineRule="auto"/>
        <w:ind w:left="567" w:right="567"/>
        <w:jc w:val="both"/>
        <w:rPr>
          <w:rFonts w:ascii="Palatino Linotype" w:eastAsiaTheme="minorHAnsi" w:hAnsi="Palatino Linotype" w:cstheme="minorBidi"/>
          <w:i/>
          <w:lang w:eastAsia="es-MX"/>
        </w:rPr>
      </w:pPr>
    </w:p>
    <w:p w14:paraId="4B03D96F" w14:textId="77777777" w:rsidR="001B55DB" w:rsidRDefault="006D6396">
      <w:pPr>
        <w:pStyle w:val="Sinespaciado"/>
        <w:spacing w:line="360" w:lineRule="auto"/>
        <w:rPr>
          <w:rFonts w:ascii="Palatino Linotype" w:hAnsi="Palatino Linotype"/>
        </w:rPr>
      </w:pPr>
      <w:r>
        <w:rPr>
          <w:rFonts w:ascii="Palatino Linotype" w:hAnsi="Palatino Linotype"/>
        </w:rPr>
        <w:t>Adjuntando a su solicitud de aclaración, el archivo electrónico denominado “</w:t>
      </w:r>
      <w:r>
        <w:rPr>
          <w:rFonts w:ascii="Palatino Linotype" w:hAnsi="Palatino Linotype"/>
          <w:b/>
          <w:bCs/>
          <w:i/>
          <w:iCs/>
        </w:rPr>
        <w:t>Aclaración 216.pdf</w:t>
      </w:r>
      <w:r>
        <w:rPr>
          <w:rFonts w:ascii="Palatino Linotype" w:hAnsi="Palatino Linotype"/>
        </w:rPr>
        <w:t>”, en el cual se precisa lo siguiente:</w:t>
      </w:r>
    </w:p>
    <w:p w14:paraId="6DB965C4" w14:textId="77777777" w:rsidR="001B55DB" w:rsidRDefault="006D6396">
      <w:pPr>
        <w:spacing w:after="0" w:line="240" w:lineRule="auto"/>
        <w:ind w:right="567"/>
        <w:jc w:val="both"/>
        <w:rPr>
          <w:rFonts w:ascii="Palatino Linotype" w:eastAsiaTheme="minorHAnsi" w:hAnsi="Palatino Linotype" w:cstheme="minorBidi"/>
          <w:i/>
          <w:lang w:eastAsia="es-MX"/>
        </w:rPr>
      </w:pPr>
      <w:r>
        <w:rPr>
          <w:rFonts w:ascii="Palatino Linotype" w:eastAsiaTheme="minorHAnsi" w:hAnsi="Palatino Linotype" w:cstheme="minorBidi"/>
          <w:i/>
          <w:noProof/>
          <w:lang w:eastAsia="es-MX"/>
        </w:rPr>
        <w:drawing>
          <wp:inline distT="0" distB="0" distL="0" distR="0" wp14:anchorId="7D4EA6EC" wp14:editId="4D66B381">
            <wp:extent cx="5760720" cy="1692910"/>
            <wp:effectExtent l="0" t="0" r="0" b="2540"/>
            <wp:docPr id="9463208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320896" name="Imagen 1"/>
                    <pic:cNvPicPr>
                      <a:picLocks noChangeAspect="1"/>
                    </pic:cNvPicPr>
                  </pic:nvPicPr>
                  <pic:blipFill>
                    <a:blip r:embed="rId9"/>
                    <a:stretch>
                      <a:fillRect/>
                    </a:stretch>
                  </pic:blipFill>
                  <pic:spPr>
                    <a:xfrm>
                      <a:off x="0" y="0"/>
                      <a:ext cx="5760720" cy="1692910"/>
                    </a:xfrm>
                    <a:prstGeom prst="rect">
                      <a:avLst/>
                    </a:prstGeom>
                  </pic:spPr>
                </pic:pic>
              </a:graphicData>
            </a:graphic>
          </wp:inline>
        </w:drawing>
      </w:r>
    </w:p>
    <w:p w14:paraId="7C82065D" w14:textId="77777777" w:rsidR="001B55DB" w:rsidRDefault="001B55DB">
      <w:pPr>
        <w:spacing w:after="0" w:line="240" w:lineRule="auto"/>
        <w:rPr>
          <w:rFonts w:asciiTheme="minorHAnsi" w:eastAsiaTheme="minorHAnsi" w:hAnsiTheme="minorHAnsi" w:cstheme="minorBidi"/>
        </w:rPr>
      </w:pPr>
    </w:p>
    <w:p w14:paraId="233B08DC" w14:textId="77777777" w:rsidR="001B55DB" w:rsidRDefault="001B55DB">
      <w:pPr>
        <w:spacing w:after="0" w:line="240" w:lineRule="auto"/>
        <w:rPr>
          <w:rFonts w:asciiTheme="minorHAnsi" w:eastAsiaTheme="minorHAnsi" w:hAnsiTheme="minorHAnsi" w:cstheme="minorBidi"/>
        </w:rPr>
      </w:pPr>
    </w:p>
    <w:p w14:paraId="2ACFA921" w14:textId="77777777" w:rsidR="001B55DB" w:rsidRDefault="006D6396">
      <w:pPr>
        <w:spacing w:after="0" w:line="360" w:lineRule="auto"/>
        <w:jc w:val="both"/>
        <w:rPr>
          <w:rFonts w:ascii="Palatino Linotype" w:eastAsiaTheme="minorHAnsi" w:hAnsi="Palatino Linotype" w:cs="Arial"/>
          <w:b/>
          <w:sz w:val="28"/>
          <w:szCs w:val="28"/>
        </w:rPr>
      </w:pPr>
      <w:r>
        <w:rPr>
          <w:rFonts w:ascii="Palatino Linotype" w:eastAsiaTheme="minorHAnsi" w:hAnsi="Palatino Linotype" w:cs="Arial"/>
          <w:b/>
          <w:sz w:val="28"/>
          <w:szCs w:val="28"/>
        </w:rPr>
        <w:t xml:space="preserve">TERCERO. De la respuesta al Requerimiento de Aclaración a la Solicitud de Información por parte del solicitante. </w:t>
      </w:r>
    </w:p>
    <w:p w14:paraId="7B981C38" w14:textId="77777777" w:rsidR="001B55DB" w:rsidRDefault="006D6396">
      <w:pPr>
        <w:spacing w:after="0" w:line="360" w:lineRule="auto"/>
        <w:jc w:val="both"/>
        <w:rPr>
          <w:rFonts w:ascii="Palatino Linotype" w:eastAsiaTheme="minorHAnsi" w:hAnsi="Palatino Linotype" w:cs="Arial"/>
          <w:sz w:val="24"/>
        </w:rPr>
      </w:pPr>
      <w:r>
        <w:rPr>
          <w:rFonts w:ascii="Palatino Linotype" w:eastAsiaTheme="minorHAnsi" w:hAnsi="Palatino Linotype" w:cs="Arial"/>
          <w:sz w:val="24"/>
        </w:rPr>
        <w:lastRenderedPageBreak/>
        <w:t xml:space="preserve">En el expediente electrónico </w:t>
      </w:r>
      <w:r>
        <w:rPr>
          <w:rFonts w:ascii="Palatino Linotype" w:eastAsiaTheme="minorHAnsi" w:hAnsi="Palatino Linotype" w:cs="Arial"/>
          <w:b/>
          <w:sz w:val="24"/>
        </w:rPr>
        <w:t>SAIMEX</w:t>
      </w:r>
      <w:r>
        <w:rPr>
          <w:rFonts w:ascii="Palatino Linotype" w:eastAsiaTheme="minorHAnsi" w:hAnsi="Palatino Linotype" w:cs="Arial"/>
          <w:sz w:val="24"/>
        </w:rPr>
        <w:t xml:space="preserve">, se aprecia que el día nueve de mayo de dos mil veintitrés, el solicitante dio respuesta a la solicitud de requerimiento de aclaración de la solicitud de información referida en el antecedente primero de esta resolución, señalando lo siguiente: </w:t>
      </w:r>
    </w:p>
    <w:p w14:paraId="157F8A41" w14:textId="77777777" w:rsidR="001B55DB" w:rsidRDefault="001B55DB">
      <w:pPr>
        <w:spacing w:after="0" w:line="360" w:lineRule="auto"/>
        <w:jc w:val="both"/>
        <w:rPr>
          <w:rFonts w:ascii="Palatino Linotype" w:eastAsiaTheme="minorHAnsi" w:hAnsi="Palatino Linotype" w:cs="Arial"/>
          <w:sz w:val="24"/>
        </w:rPr>
      </w:pPr>
    </w:p>
    <w:p w14:paraId="58E7A778" w14:textId="77777777" w:rsidR="001B55DB" w:rsidRDefault="006D6396">
      <w:pPr>
        <w:spacing w:after="0" w:line="360" w:lineRule="auto"/>
        <w:ind w:left="567" w:right="567"/>
        <w:jc w:val="both"/>
        <w:rPr>
          <w:rFonts w:ascii="Palatino Linotype" w:eastAsiaTheme="minorHAnsi" w:hAnsi="Palatino Linotype" w:cstheme="minorBidi"/>
          <w:i/>
          <w:lang w:eastAsia="es-MX"/>
        </w:rPr>
      </w:pPr>
      <w:r>
        <w:rPr>
          <w:rFonts w:ascii="Palatino Linotype" w:eastAsiaTheme="minorHAnsi" w:hAnsi="Palatino Linotype" w:cstheme="minorBidi"/>
          <w:i/>
          <w:lang w:eastAsia="es-MX"/>
        </w:rPr>
        <w:t>“</w:t>
      </w:r>
      <w:r>
        <w:rPr>
          <w:rFonts w:ascii="Palatino Linotype" w:eastAsiaTheme="minorHAnsi" w:hAnsi="Palatino Linotype" w:cstheme="minorBidi"/>
          <w:b/>
          <w:bCs/>
          <w:i/>
          <w:lang w:eastAsia="es-MX"/>
        </w:rPr>
        <w:t>Que los Diputados</w:t>
      </w:r>
      <w:r>
        <w:rPr>
          <w:rFonts w:ascii="Palatino Linotype" w:eastAsiaTheme="minorHAnsi" w:hAnsi="Palatino Linotype" w:cstheme="minorBidi"/>
          <w:i/>
          <w:lang w:eastAsia="es-MX"/>
        </w:rPr>
        <w:t xml:space="preserve"> de nombre Daniel Andrés Sibaja González, Faustino de la Cruz Pérez, Azucena Cisneros Coss, Camilo Murillo Zavala y Luz Ma. Hernández Bermúdez. </w:t>
      </w:r>
      <w:r>
        <w:rPr>
          <w:rFonts w:ascii="Palatino Linotype" w:eastAsiaTheme="minorHAnsi" w:hAnsi="Palatino Linotype" w:cstheme="minorBidi"/>
          <w:b/>
          <w:bCs/>
          <w:i/>
          <w:u w:val="single"/>
          <w:lang w:eastAsia="es-MX"/>
        </w:rPr>
        <w:t xml:space="preserve">Realizaron diversas declaraciones </w:t>
      </w:r>
      <w:proofErr w:type="spellStart"/>
      <w:proofErr w:type="gramStart"/>
      <w:r>
        <w:rPr>
          <w:rFonts w:ascii="Palatino Linotype" w:eastAsiaTheme="minorHAnsi" w:hAnsi="Palatino Linotype" w:cstheme="minorBidi"/>
          <w:b/>
          <w:bCs/>
          <w:i/>
          <w:u w:val="single"/>
          <w:lang w:eastAsia="es-MX"/>
        </w:rPr>
        <w:t>publicas</w:t>
      </w:r>
      <w:proofErr w:type="spellEnd"/>
      <w:proofErr w:type="gramEnd"/>
      <w:r>
        <w:rPr>
          <w:rFonts w:ascii="Palatino Linotype" w:eastAsiaTheme="minorHAnsi" w:hAnsi="Palatino Linotype" w:cstheme="minorBidi"/>
          <w:b/>
          <w:bCs/>
          <w:i/>
          <w:u w:val="single"/>
          <w:lang w:eastAsia="es-MX"/>
        </w:rPr>
        <w:t xml:space="preserve"> a medios informativos en las cuales hacen mención de las investigaciones que se sigue a las instituciones de educación superior del Estado de México que participaron en la denominada estafa maestra</w:t>
      </w:r>
      <w:r>
        <w:rPr>
          <w:rFonts w:ascii="Palatino Linotype" w:eastAsiaTheme="minorHAnsi" w:hAnsi="Palatino Linotype" w:cstheme="minorBidi"/>
          <w:i/>
          <w:lang w:eastAsia="es-MX"/>
        </w:rPr>
        <w:t xml:space="preserve">. Las declaraciones se sustentan en los links que se proporcionan, de los medios que han dado a conocer la noticia. Por lo que se pide a los Diputados antes citados, </w:t>
      </w:r>
      <w:r>
        <w:rPr>
          <w:rFonts w:ascii="Palatino Linotype" w:eastAsiaTheme="minorHAnsi" w:hAnsi="Palatino Linotype" w:cstheme="minorBidi"/>
          <w:b/>
          <w:bCs/>
          <w:i/>
          <w:u w:val="single"/>
          <w:lang w:eastAsia="es-MX"/>
        </w:rPr>
        <w:t>proporcionen por este medio toda la información con la que cuentan respecto a las declaraciones que han hecho a los diferentes medios de comunicación</w:t>
      </w:r>
      <w:r>
        <w:rPr>
          <w:rFonts w:ascii="Palatino Linotype" w:eastAsiaTheme="minorHAnsi" w:hAnsi="Palatino Linotype" w:cstheme="minorBidi"/>
          <w:i/>
          <w:lang w:eastAsia="es-MX"/>
        </w:rPr>
        <w:t>, para que la ciudadanía del Estado de México se mantenga informada y sepamos de forma clara lo que han manifestado dichos legisladores. https://contralacorrupcion.mx/web/estafamaestra/ https://www.proceso.com.mx/nacional/2021/6/30/estafa-maestra-encabeza-anomalias-denuncias-de-losultimos-tres-anos-asf-266902.html https://www.animalpolitico.com/politica/estafa-maestra-impune-cuatro-anos-investigaciones https://prensauniversitaria.com.mx/2022/05/11/involucrados-en-la-estafa-maestra-en-la-uaemex-sinsalida/” (Sic)</w:t>
      </w:r>
    </w:p>
    <w:p w14:paraId="4A1087DA" w14:textId="77777777" w:rsidR="001B55DB" w:rsidRDefault="001B55DB">
      <w:pPr>
        <w:spacing w:after="0" w:line="360" w:lineRule="auto"/>
        <w:jc w:val="both"/>
        <w:rPr>
          <w:rFonts w:ascii="Palatino Linotype" w:hAnsi="Palatino Linotype" w:cs="Arial"/>
          <w:b/>
          <w:sz w:val="28"/>
          <w:szCs w:val="24"/>
        </w:rPr>
      </w:pPr>
    </w:p>
    <w:p w14:paraId="77388731" w14:textId="77777777" w:rsidR="001B55DB" w:rsidRDefault="006D6396">
      <w:pPr>
        <w:spacing w:after="0" w:line="360" w:lineRule="auto"/>
        <w:jc w:val="both"/>
        <w:rPr>
          <w:rFonts w:ascii="Palatino Linotype" w:hAnsi="Palatino Linotype" w:cs="Arial"/>
          <w:b/>
          <w:sz w:val="28"/>
          <w:szCs w:val="24"/>
        </w:rPr>
      </w:pPr>
      <w:r>
        <w:rPr>
          <w:rFonts w:ascii="Palatino Linotype" w:hAnsi="Palatino Linotype" w:cs="Arial"/>
          <w:b/>
          <w:sz w:val="28"/>
          <w:szCs w:val="24"/>
        </w:rPr>
        <w:t xml:space="preserve">CUARTO. De la respuesta del Sujeto Obligado. </w:t>
      </w:r>
    </w:p>
    <w:p w14:paraId="4EA74A34" w14:textId="77777777" w:rsidR="001B55DB" w:rsidRDefault="006D6396">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De las constancias que obran en el Sistema de Acceso a la Información Mexiquense </w:t>
      </w:r>
      <w:r>
        <w:rPr>
          <w:rFonts w:ascii="Palatino Linotype" w:hAnsi="Palatino Linotype" w:cs="Arial"/>
          <w:b/>
          <w:bCs/>
          <w:sz w:val="24"/>
          <w:szCs w:val="24"/>
        </w:rPr>
        <w:t>(SAIMEX)</w:t>
      </w:r>
      <w:r>
        <w:rPr>
          <w:rFonts w:ascii="Palatino Linotype" w:hAnsi="Palatino Linotype" w:cs="Arial"/>
          <w:sz w:val="24"/>
          <w:szCs w:val="24"/>
        </w:rPr>
        <w:t xml:space="preserve">, se advierte que en fecha doce de mayo de dos mil v veintitrés, </w:t>
      </w:r>
      <w:r>
        <w:rPr>
          <w:rFonts w:ascii="Palatino Linotype" w:hAnsi="Palatino Linotype" w:cs="Arial"/>
          <w:b/>
          <w:sz w:val="24"/>
          <w:szCs w:val="24"/>
        </w:rPr>
        <w:t xml:space="preserve">El Sujeto </w:t>
      </w:r>
      <w:r>
        <w:rPr>
          <w:rFonts w:ascii="Palatino Linotype" w:hAnsi="Palatino Linotype" w:cs="Arial"/>
          <w:b/>
          <w:sz w:val="24"/>
          <w:szCs w:val="24"/>
        </w:rPr>
        <w:lastRenderedPageBreak/>
        <w:t>Obligado</w:t>
      </w:r>
      <w:r>
        <w:rPr>
          <w:rFonts w:ascii="Palatino Linotype" w:hAnsi="Palatino Linotype" w:cs="Arial"/>
          <w:sz w:val="24"/>
          <w:szCs w:val="24"/>
        </w:rPr>
        <w:t xml:space="preserve"> emitió la respuesta mediante el apartado correspondiente a “Entrega de Información u Orientación” en los siguientes términos:</w:t>
      </w:r>
    </w:p>
    <w:p w14:paraId="02D679D9" w14:textId="77777777" w:rsidR="001B55DB" w:rsidRDefault="001B55DB">
      <w:pPr>
        <w:spacing w:after="0" w:line="360" w:lineRule="auto"/>
        <w:jc w:val="both"/>
        <w:rPr>
          <w:rFonts w:ascii="Palatino Linotype" w:hAnsi="Palatino Linotype" w:cs="Arial"/>
          <w:sz w:val="24"/>
          <w:szCs w:val="24"/>
        </w:rPr>
      </w:pPr>
    </w:p>
    <w:p w14:paraId="790D1BD9" w14:textId="77777777" w:rsidR="001B55DB" w:rsidRDefault="001B55DB">
      <w:pPr>
        <w:spacing w:after="0" w:line="360" w:lineRule="auto"/>
        <w:jc w:val="both"/>
        <w:rPr>
          <w:rFonts w:ascii="Palatino Linotype" w:hAnsi="Palatino Linotype" w:cs="Arial"/>
          <w:sz w:val="10"/>
          <w:szCs w:val="24"/>
        </w:rPr>
      </w:pPr>
    </w:p>
    <w:p w14:paraId="06F23F83" w14:textId="77777777" w:rsidR="001B55DB" w:rsidRDefault="006D6396">
      <w:pPr>
        <w:spacing w:after="0" w:line="240" w:lineRule="auto"/>
        <w:ind w:left="851" w:right="850"/>
        <w:jc w:val="right"/>
        <w:rPr>
          <w:rFonts w:ascii="Palatino Linotype" w:eastAsia="Times New Roman" w:hAnsi="Palatino Linotype"/>
          <w:i/>
          <w:lang w:eastAsia="es-MX"/>
        </w:rPr>
      </w:pPr>
      <w:r>
        <w:rPr>
          <w:rFonts w:ascii="Palatino Linotype" w:eastAsia="Times New Roman" w:hAnsi="Palatino Linotype"/>
          <w:i/>
          <w:lang w:eastAsia="es-MX"/>
        </w:rPr>
        <w:t>“olio de la solicitud: 00216/PLEGISLA/IP/2023</w:t>
      </w:r>
    </w:p>
    <w:p w14:paraId="167B2962" w14:textId="77777777" w:rsidR="001B55DB" w:rsidRDefault="001B55DB">
      <w:pPr>
        <w:spacing w:after="0" w:line="240" w:lineRule="auto"/>
        <w:ind w:left="851" w:right="850"/>
        <w:jc w:val="both"/>
        <w:rPr>
          <w:rFonts w:ascii="Palatino Linotype" w:eastAsia="Times New Roman" w:hAnsi="Palatino Linotype"/>
          <w:i/>
          <w:lang w:eastAsia="es-MX"/>
        </w:rPr>
      </w:pPr>
    </w:p>
    <w:p w14:paraId="0DEF4F33" w14:textId="77777777" w:rsidR="001B55DB" w:rsidRDefault="006D6396">
      <w:pPr>
        <w:spacing w:after="0" w:line="240" w:lineRule="auto"/>
        <w:ind w:left="851" w:right="850"/>
        <w:jc w:val="both"/>
        <w:rPr>
          <w:rFonts w:ascii="Palatino Linotype" w:eastAsia="Times New Roman" w:hAnsi="Palatino Linotype"/>
          <w:i/>
          <w:lang w:eastAsia="es-MX"/>
        </w:rPr>
      </w:pPr>
      <w:r>
        <w:rPr>
          <w:rFonts w:ascii="Palatino Linotype" w:eastAsia="Times New Roman" w:hAnsi="Palatino Linotype"/>
          <w:i/>
          <w:lang w:eastAsia="es-MX"/>
        </w:rPr>
        <w:t>Con fundamento en el artículo 163 de la Ley de Transparencia y Acceso a la Información Pública del Estado de México y Municipios, le contestamos que:</w:t>
      </w:r>
    </w:p>
    <w:p w14:paraId="30BE0CA7" w14:textId="77777777" w:rsidR="001B55DB" w:rsidRDefault="001B55DB">
      <w:pPr>
        <w:spacing w:after="0" w:line="240" w:lineRule="auto"/>
        <w:ind w:left="851" w:right="850"/>
        <w:jc w:val="both"/>
        <w:rPr>
          <w:rFonts w:ascii="Palatino Linotype" w:eastAsia="Times New Roman" w:hAnsi="Palatino Linotype"/>
          <w:i/>
          <w:lang w:eastAsia="es-MX"/>
        </w:rPr>
      </w:pPr>
    </w:p>
    <w:p w14:paraId="05F83432" w14:textId="77777777" w:rsidR="001B55DB" w:rsidRDefault="006D6396">
      <w:pPr>
        <w:spacing w:after="0" w:line="240" w:lineRule="auto"/>
        <w:ind w:left="851" w:right="850"/>
        <w:jc w:val="both"/>
        <w:rPr>
          <w:rFonts w:ascii="Palatino Linotype" w:eastAsia="Times New Roman" w:hAnsi="Palatino Linotype"/>
          <w:i/>
          <w:lang w:eastAsia="es-MX"/>
        </w:rPr>
      </w:pPr>
      <w:r>
        <w:rPr>
          <w:rFonts w:ascii="Palatino Linotype" w:eastAsia="Times New Roman" w:hAnsi="Palatino Linotype"/>
          <w:i/>
          <w:lang w:eastAsia="es-MX"/>
        </w:rPr>
        <w:t>Se adjunta documento.</w:t>
      </w:r>
    </w:p>
    <w:p w14:paraId="1DF70742" w14:textId="77777777" w:rsidR="001B55DB" w:rsidRDefault="001B55DB">
      <w:pPr>
        <w:spacing w:after="0" w:line="240" w:lineRule="auto"/>
        <w:ind w:left="851" w:right="850"/>
        <w:jc w:val="both"/>
        <w:rPr>
          <w:rFonts w:ascii="Palatino Linotype" w:eastAsia="Times New Roman" w:hAnsi="Palatino Linotype"/>
          <w:i/>
          <w:lang w:eastAsia="es-MX"/>
        </w:rPr>
      </w:pPr>
    </w:p>
    <w:p w14:paraId="28DE1F15" w14:textId="77777777" w:rsidR="001B55DB" w:rsidRDefault="006D6396">
      <w:pPr>
        <w:spacing w:after="0" w:line="240" w:lineRule="auto"/>
        <w:ind w:left="851" w:right="850"/>
        <w:jc w:val="both"/>
        <w:rPr>
          <w:rFonts w:ascii="Palatino Linotype" w:eastAsia="Times New Roman" w:hAnsi="Palatino Linotype"/>
          <w:i/>
          <w:lang w:eastAsia="es-MX"/>
        </w:rPr>
      </w:pPr>
      <w:r>
        <w:rPr>
          <w:rFonts w:ascii="Palatino Linotype" w:eastAsia="Times New Roman" w:hAnsi="Palatino Linotype"/>
          <w:i/>
          <w:lang w:eastAsia="es-MX"/>
        </w:rPr>
        <w:t>ATENTAMENTE</w:t>
      </w:r>
    </w:p>
    <w:p w14:paraId="6C5B33A1" w14:textId="77777777" w:rsidR="001B55DB" w:rsidRDefault="006D6396">
      <w:pPr>
        <w:spacing w:after="0" w:line="240" w:lineRule="auto"/>
        <w:ind w:left="851" w:right="850"/>
        <w:jc w:val="both"/>
        <w:rPr>
          <w:rFonts w:ascii="Palatino Linotype" w:eastAsia="Times New Roman" w:hAnsi="Palatino Linotype"/>
          <w:i/>
          <w:lang w:eastAsia="es-MX"/>
        </w:rPr>
      </w:pPr>
      <w:r>
        <w:rPr>
          <w:rFonts w:ascii="Palatino Linotype" w:eastAsia="Times New Roman" w:hAnsi="Palatino Linotype"/>
          <w:i/>
          <w:lang w:eastAsia="es-MX"/>
        </w:rPr>
        <w:t>Jesús Felipe Borja Coronel” (Sic).</w:t>
      </w:r>
    </w:p>
    <w:p w14:paraId="01D8A0E0" w14:textId="77777777" w:rsidR="001B55DB" w:rsidRDefault="001B55DB">
      <w:pPr>
        <w:spacing w:after="0" w:line="360" w:lineRule="auto"/>
        <w:jc w:val="both"/>
        <w:rPr>
          <w:rFonts w:ascii="Palatino Linotype" w:hAnsi="Palatino Linotype"/>
          <w:sz w:val="24"/>
          <w:szCs w:val="24"/>
        </w:rPr>
      </w:pPr>
    </w:p>
    <w:p w14:paraId="6EA06EBD" w14:textId="77777777" w:rsidR="001B55DB" w:rsidRDefault="006D6396">
      <w:pPr>
        <w:spacing w:after="0" w:line="360" w:lineRule="auto"/>
        <w:jc w:val="both"/>
        <w:rPr>
          <w:rFonts w:ascii="Palatino Linotype" w:hAnsi="Palatino Linotype"/>
          <w:sz w:val="24"/>
          <w:szCs w:val="24"/>
        </w:rPr>
      </w:pPr>
      <w:r>
        <w:rPr>
          <w:rFonts w:ascii="Palatino Linotype" w:hAnsi="Palatino Linotype"/>
          <w:sz w:val="24"/>
          <w:szCs w:val="24"/>
        </w:rPr>
        <w:t xml:space="preserve">A su respuesta anexó el archivo electrónico denominado </w:t>
      </w:r>
      <w:r>
        <w:rPr>
          <w:rFonts w:ascii="Palatino Linotype" w:hAnsi="Palatino Linotype"/>
          <w:b/>
          <w:sz w:val="24"/>
          <w:szCs w:val="24"/>
        </w:rPr>
        <w:t>“Sol. No presentada 216.pdf”</w:t>
      </w:r>
      <w:r>
        <w:rPr>
          <w:rFonts w:ascii="Palatino Linotype" w:hAnsi="Palatino Linotype"/>
          <w:sz w:val="24"/>
          <w:szCs w:val="24"/>
        </w:rPr>
        <w:t>, el cual no se reproduce toda vez que su contenido es del conocimiento de las partes; no obstante, se hará mérito de su contenido más adelante.</w:t>
      </w:r>
    </w:p>
    <w:p w14:paraId="1BC53FCD" w14:textId="77777777" w:rsidR="001B55DB" w:rsidRDefault="001B55DB">
      <w:pPr>
        <w:spacing w:after="0" w:line="360" w:lineRule="auto"/>
        <w:jc w:val="both"/>
        <w:rPr>
          <w:rFonts w:ascii="Palatino Linotype" w:hAnsi="Palatino Linotype"/>
          <w:sz w:val="24"/>
          <w:szCs w:val="24"/>
        </w:rPr>
      </w:pPr>
    </w:p>
    <w:p w14:paraId="792D5EAE" w14:textId="77777777" w:rsidR="001B55DB" w:rsidRDefault="001B55DB">
      <w:pPr>
        <w:pStyle w:val="Sinespaciado"/>
      </w:pPr>
    </w:p>
    <w:p w14:paraId="5C9636CA" w14:textId="77777777" w:rsidR="001B55DB" w:rsidRDefault="006D6396">
      <w:pPr>
        <w:spacing w:after="0" w:line="360" w:lineRule="auto"/>
        <w:jc w:val="both"/>
        <w:rPr>
          <w:rFonts w:ascii="Palatino Linotype" w:hAnsi="Palatino Linotype" w:cs="Arial"/>
          <w:b/>
          <w:sz w:val="28"/>
          <w:szCs w:val="24"/>
        </w:rPr>
      </w:pPr>
      <w:r>
        <w:rPr>
          <w:rFonts w:ascii="Palatino Linotype" w:hAnsi="Palatino Linotype" w:cs="Arial"/>
          <w:b/>
          <w:sz w:val="28"/>
          <w:szCs w:val="24"/>
        </w:rPr>
        <w:t>QUINTO. Del recurso de revisión.</w:t>
      </w:r>
    </w:p>
    <w:p w14:paraId="09C0CDB6" w14:textId="77777777" w:rsidR="001B55DB" w:rsidRDefault="006D6396">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Inconforme con la respuesta por parte del </w:t>
      </w:r>
      <w:r>
        <w:rPr>
          <w:rFonts w:ascii="Palatino Linotype" w:hAnsi="Palatino Linotype" w:cs="Arial"/>
          <w:b/>
          <w:sz w:val="24"/>
          <w:szCs w:val="24"/>
        </w:rPr>
        <w:t>Sujeto Obligado</w:t>
      </w:r>
      <w:r>
        <w:rPr>
          <w:rFonts w:ascii="Palatino Linotype" w:hAnsi="Palatino Linotype" w:cs="Arial"/>
          <w:sz w:val="24"/>
          <w:szCs w:val="24"/>
        </w:rPr>
        <w:t xml:space="preserve">, el ahora </w:t>
      </w:r>
      <w:r>
        <w:rPr>
          <w:rFonts w:ascii="Palatino Linotype" w:hAnsi="Palatino Linotype" w:cs="Arial"/>
          <w:b/>
          <w:sz w:val="24"/>
          <w:szCs w:val="24"/>
        </w:rPr>
        <w:t>Recurrente</w:t>
      </w:r>
      <w:r>
        <w:rPr>
          <w:rFonts w:ascii="Palatino Linotype" w:hAnsi="Palatino Linotype" w:cs="Arial"/>
          <w:sz w:val="24"/>
          <w:szCs w:val="24"/>
        </w:rPr>
        <w:t xml:space="preserve"> interpuso el presente recurso de revisión en fecha diecisiete de mayo de dos mil veintitrés, el cual fue registrado</w:t>
      </w:r>
      <w:r>
        <w:rPr>
          <w:rFonts w:ascii="Palatino Linotype" w:hAnsi="Palatino Linotype" w:cs="Arial"/>
          <w:b/>
          <w:sz w:val="24"/>
          <w:szCs w:val="24"/>
        </w:rPr>
        <w:t xml:space="preserve"> </w:t>
      </w:r>
      <w:r>
        <w:rPr>
          <w:rFonts w:ascii="Palatino Linotype" w:hAnsi="Palatino Linotype" w:cs="Arial"/>
          <w:sz w:val="24"/>
          <w:szCs w:val="24"/>
        </w:rPr>
        <w:t xml:space="preserve">en el sistema electrónico con el expediente número </w:t>
      </w:r>
      <w:r>
        <w:rPr>
          <w:rFonts w:ascii="Palatino Linotype" w:hAnsi="Palatino Linotype" w:cs="Arial"/>
          <w:b/>
          <w:bCs/>
          <w:sz w:val="24"/>
          <w:szCs w:val="24"/>
          <w:lang w:eastAsia="es-MX"/>
        </w:rPr>
        <w:t>02690/INFOEM/IP/RR/2023</w:t>
      </w:r>
      <w:r>
        <w:rPr>
          <w:rFonts w:ascii="Palatino Linotype" w:hAnsi="Palatino Linotype" w:cs="Arial"/>
          <w:sz w:val="24"/>
          <w:szCs w:val="24"/>
        </w:rPr>
        <w:t>, en el cual aduce, las siguientes manifestaciones:</w:t>
      </w:r>
    </w:p>
    <w:p w14:paraId="44A068ED" w14:textId="77777777" w:rsidR="001B55DB" w:rsidRDefault="001B55DB">
      <w:pPr>
        <w:spacing w:after="0" w:line="360" w:lineRule="auto"/>
        <w:jc w:val="both"/>
        <w:rPr>
          <w:rFonts w:ascii="Palatino Linotype" w:hAnsi="Palatino Linotype" w:cs="Arial"/>
          <w:sz w:val="24"/>
          <w:szCs w:val="24"/>
        </w:rPr>
      </w:pPr>
    </w:p>
    <w:p w14:paraId="58E63393" w14:textId="77777777" w:rsidR="001B55DB" w:rsidRDefault="006D6396">
      <w:pPr>
        <w:pStyle w:val="Prrafodelista"/>
        <w:numPr>
          <w:ilvl w:val="0"/>
          <w:numId w:val="1"/>
        </w:numPr>
        <w:spacing w:line="360" w:lineRule="auto"/>
        <w:jc w:val="both"/>
        <w:rPr>
          <w:rFonts w:ascii="Palatino Linotype" w:hAnsi="Palatino Linotype" w:cs="Arial"/>
          <w:b/>
        </w:rPr>
      </w:pPr>
      <w:r>
        <w:rPr>
          <w:rFonts w:ascii="Palatino Linotype" w:hAnsi="Palatino Linotype" w:cs="Arial"/>
          <w:b/>
        </w:rPr>
        <w:t>Acto Impugnado:</w:t>
      </w:r>
    </w:p>
    <w:p w14:paraId="12556253" w14:textId="77777777" w:rsidR="001B55DB" w:rsidRDefault="006D6396">
      <w:pPr>
        <w:spacing w:line="240" w:lineRule="auto"/>
        <w:ind w:left="851" w:right="850"/>
        <w:jc w:val="both"/>
        <w:rPr>
          <w:rFonts w:ascii="Palatino Linotype" w:eastAsia="Times New Roman" w:hAnsi="Palatino Linotype"/>
          <w:i/>
          <w:lang w:eastAsia="es-MX"/>
        </w:rPr>
      </w:pPr>
      <w:r>
        <w:rPr>
          <w:rFonts w:ascii="Palatino Linotype" w:hAnsi="Palatino Linotype"/>
          <w:i/>
          <w:color w:val="000000"/>
        </w:rPr>
        <w:t>“</w:t>
      </w:r>
      <w:r>
        <w:rPr>
          <w:rFonts w:ascii="Palatino Linotype" w:hAnsi="Palatino Linotype"/>
          <w:b/>
          <w:bCs/>
          <w:i/>
          <w:color w:val="000000"/>
        </w:rPr>
        <w:t>No proporcionan información de los diputados citados, siendo que las declaraciones son ciertas y públicas</w:t>
      </w:r>
      <w:r>
        <w:rPr>
          <w:rFonts w:ascii="Palatino Linotype" w:hAnsi="Palatino Linotype"/>
          <w:i/>
          <w:color w:val="000000"/>
        </w:rPr>
        <w:t xml:space="preserve"> y se encuentran </w:t>
      </w:r>
      <w:proofErr w:type="spellStart"/>
      <w:r>
        <w:rPr>
          <w:rFonts w:ascii="Palatino Linotype" w:hAnsi="Palatino Linotype"/>
          <w:i/>
          <w:color w:val="000000"/>
        </w:rPr>
        <w:t>el las</w:t>
      </w:r>
      <w:proofErr w:type="spellEnd"/>
      <w:r>
        <w:rPr>
          <w:rFonts w:ascii="Palatino Linotype" w:hAnsi="Palatino Linotype"/>
          <w:i/>
          <w:color w:val="000000"/>
        </w:rPr>
        <w:t xml:space="preserve"> ligas referidas obviamente con fecha de cuando las hicieron, la unidad de transparencia solicita una aclaración la cual se </w:t>
      </w:r>
      <w:proofErr w:type="spellStart"/>
      <w:r>
        <w:rPr>
          <w:rFonts w:ascii="Palatino Linotype" w:hAnsi="Palatino Linotype"/>
          <w:i/>
          <w:color w:val="000000"/>
        </w:rPr>
        <w:t>realizo</w:t>
      </w:r>
      <w:proofErr w:type="spellEnd"/>
      <w:r>
        <w:rPr>
          <w:rFonts w:ascii="Palatino Linotype" w:hAnsi="Palatino Linotype"/>
          <w:i/>
          <w:color w:val="000000"/>
        </w:rPr>
        <w:t xml:space="preserve"> y emite contestación pero no da prueba de que alguno de los diputados citados en la solicitud hayan proporcionado información alguna que </w:t>
      </w:r>
      <w:r>
        <w:rPr>
          <w:rFonts w:ascii="Palatino Linotype" w:hAnsi="Palatino Linotype"/>
          <w:i/>
          <w:color w:val="000000"/>
        </w:rPr>
        <w:lastRenderedPageBreak/>
        <w:t xml:space="preserve">les fue solicitada. </w:t>
      </w:r>
      <w:r>
        <w:rPr>
          <w:rFonts w:ascii="Palatino Linotype" w:hAnsi="Palatino Linotype"/>
          <w:i/>
          <w:color w:val="000000"/>
          <w:u w:val="single"/>
        </w:rPr>
        <w:t>Se anexa link de una aclaración que hace la misma legislatura del Estado, sobre declaraciones de los diputados ya mencionados. https://www.scribd.com/document/642698762/Nota-Aclaratoria</w:t>
      </w:r>
      <w:r>
        <w:rPr>
          <w:rFonts w:ascii="Palatino Linotype" w:hAnsi="Palatino Linotype"/>
          <w:i/>
          <w:color w:val="000000"/>
        </w:rPr>
        <w:t xml:space="preserve"> </w:t>
      </w:r>
      <w:r>
        <w:rPr>
          <w:rFonts w:ascii="Palatino Linotype" w:hAnsi="Palatino Linotype"/>
          <w:b/>
          <w:bCs/>
          <w:i/>
          <w:color w:val="000000"/>
        </w:rPr>
        <w:t>La información que se solicita versa en que los diputados entreguen evidencia por este medio de lo que han declarado</w:t>
      </w:r>
      <w:r>
        <w:rPr>
          <w:rFonts w:ascii="Palatino Linotype" w:hAnsi="Palatino Linotype"/>
          <w:i/>
          <w:color w:val="000000"/>
        </w:rPr>
        <w:t>.” (Sic).</w:t>
      </w:r>
    </w:p>
    <w:p w14:paraId="70A9CE69" w14:textId="77777777" w:rsidR="001B55DB" w:rsidRDefault="001B55DB">
      <w:pPr>
        <w:pStyle w:val="Sinespaciado"/>
        <w:rPr>
          <w:sz w:val="22"/>
        </w:rPr>
      </w:pPr>
    </w:p>
    <w:p w14:paraId="3D607E31" w14:textId="77777777" w:rsidR="001B55DB" w:rsidRDefault="006D6396">
      <w:pPr>
        <w:pStyle w:val="Prrafodelista"/>
        <w:numPr>
          <w:ilvl w:val="0"/>
          <w:numId w:val="1"/>
        </w:numPr>
        <w:spacing w:line="360" w:lineRule="auto"/>
        <w:jc w:val="both"/>
        <w:rPr>
          <w:rFonts w:ascii="Palatino Linotype" w:hAnsi="Palatino Linotype" w:cs="Arial"/>
        </w:rPr>
      </w:pPr>
      <w:r>
        <w:rPr>
          <w:rFonts w:ascii="Palatino Linotype" w:hAnsi="Palatino Linotype" w:cs="Arial"/>
          <w:b/>
        </w:rPr>
        <w:t>Razones o Motivos de Inconformidad</w:t>
      </w:r>
      <w:r>
        <w:rPr>
          <w:rFonts w:ascii="Palatino Linotype" w:hAnsi="Palatino Linotype" w:cs="Arial"/>
        </w:rPr>
        <w:t xml:space="preserve">: </w:t>
      </w:r>
    </w:p>
    <w:p w14:paraId="39D5F4F1" w14:textId="77777777" w:rsidR="001B55DB" w:rsidRDefault="006D6396">
      <w:pPr>
        <w:tabs>
          <w:tab w:val="left" w:pos="851"/>
        </w:tabs>
        <w:spacing w:after="0" w:line="240" w:lineRule="auto"/>
        <w:ind w:left="851" w:right="850"/>
        <w:jc w:val="both"/>
        <w:rPr>
          <w:rFonts w:ascii="Palatino Linotype" w:eastAsia="Times New Roman" w:hAnsi="Palatino Linotype"/>
          <w:i/>
          <w:lang w:eastAsia="es-MX"/>
        </w:rPr>
      </w:pPr>
      <w:r>
        <w:rPr>
          <w:rFonts w:ascii="Palatino Linotype" w:hAnsi="Palatino Linotype" w:cs="Arial"/>
          <w:i/>
        </w:rPr>
        <w:t>“</w:t>
      </w:r>
      <w:r>
        <w:rPr>
          <w:rFonts w:ascii="Palatino Linotype" w:hAnsi="Palatino Linotype"/>
          <w:b/>
          <w:bCs/>
          <w:i/>
          <w:color w:val="000000"/>
        </w:rPr>
        <w:t>No proporcionan información de los diputados citados, siendo que las declaraciones son ciertas y públicas</w:t>
      </w:r>
      <w:r>
        <w:rPr>
          <w:rFonts w:ascii="Palatino Linotype" w:hAnsi="Palatino Linotype"/>
          <w:i/>
          <w:color w:val="000000"/>
        </w:rPr>
        <w:t xml:space="preserve"> y se encuentran </w:t>
      </w:r>
      <w:proofErr w:type="spellStart"/>
      <w:r>
        <w:rPr>
          <w:rFonts w:ascii="Palatino Linotype" w:hAnsi="Palatino Linotype"/>
          <w:i/>
          <w:color w:val="000000"/>
        </w:rPr>
        <w:t>el las</w:t>
      </w:r>
      <w:proofErr w:type="spellEnd"/>
      <w:r>
        <w:rPr>
          <w:rFonts w:ascii="Palatino Linotype" w:hAnsi="Palatino Linotype"/>
          <w:i/>
          <w:color w:val="000000"/>
        </w:rPr>
        <w:t xml:space="preserve"> ligas referidas obviamente con fecha de cuando las hicieron, la unidad de transparencia solicita una aclaración la cual se </w:t>
      </w:r>
      <w:proofErr w:type="spellStart"/>
      <w:r>
        <w:rPr>
          <w:rFonts w:ascii="Palatino Linotype" w:hAnsi="Palatino Linotype"/>
          <w:i/>
          <w:color w:val="000000"/>
        </w:rPr>
        <w:t>realizo</w:t>
      </w:r>
      <w:proofErr w:type="spellEnd"/>
      <w:r>
        <w:rPr>
          <w:rFonts w:ascii="Palatino Linotype" w:hAnsi="Palatino Linotype"/>
          <w:i/>
          <w:color w:val="000000"/>
        </w:rPr>
        <w:t xml:space="preserve"> y emite contestación pero no da prueba de que alguno de los diputados citados en la solicitud hayan proporcionado información alguna que les fue solicitada. </w:t>
      </w:r>
      <w:r>
        <w:rPr>
          <w:rFonts w:ascii="Palatino Linotype" w:hAnsi="Palatino Linotype"/>
          <w:i/>
          <w:color w:val="000000"/>
          <w:u w:val="single"/>
        </w:rPr>
        <w:t>Se anexa link de una aclaración que hace la misma legislatura del Estado, sobre declaraciones de los diputados ya mencionados. https://www.scribd.com/document/642698762/Nota-Aclaratoria</w:t>
      </w:r>
      <w:r>
        <w:rPr>
          <w:rFonts w:ascii="Palatino Linotype" w:hAnsi="Palatino Linotype"/>
          <w:i/>
          <w:color w:val="000000"/>
        </w:rPr>
        <w:t xml:space="preserve"> </w:t>
      </w:r>
      <w:r>
        <w:rPr>
          <w:rFonts w:ascii="Palatino Linotype" w:hAnsi="Palatino Linotype"/>
          <w:b/>
          <w:bCs/>
          <w:i/>
          <w:color w:val="000000"/>
        </w:rPr>
        <w:t>La información que se solicita versa en que los diputados entreguen evidencia por este medio de lo que han declarado</w:t>
      </w:r>
      <w:r>
        <w:rPr>
          <w:rFonts w:ascii="Palatino Linotype" w:hAnsi="Palatino Linotype"/>
          <w:i/>
          <w:color w:val="000000"/>
        </w:rPr>
        <w:t>.” (Sic)</w:t>
      </w:r>
    </w:p>
    <w:p w14:paraId="6022A4E7" w14:textId="77777777" w:rsidR="001B55DB" w:rsidRDefault="001B55DB">
      <w:pPr>
        <w:spacing w:after="0" w:line="360" w:lineRule="auto"/>
        <w:jc w:val="both"/>
        <w:rPr>
          <w:rFonts w:ascii="Palatino Linotype" w:hAnsi="Palatino Linotype" w:cs="Arial"/>
          <w:b/>
          <w:sz w:val="28"/>
          <w:szCs w:val="24"/>
        </w:rPr>
      </w:pPr>
    </w:p>
    <w:p w14:paraId="2C1D2C94" w14:textId="77777777" w:rsidR="001B55DB" w:rsidRDefault="006D6396">
      <w:pPr>
        <w:spacing w:after="0" w:line="360" w:lineRule="auto"/>
        <w:jc w:val="both"/>
        <w:rPr>
          <w:rFonts w:ascii="Palatino Linotype" w:hAnsi="Palatino Linotype" w:cs="Arial"/>
          <w:b/>
          <w:sz w:val="28"/>
          <w:szCs w:val="24"/>
        </w:rPr>
      </w:pPr>
      <w:r>
        <w:rPr>
          <w:rFonts w:ascii="Palatino Linotype" w:hAnsi="Palatino Linotype" w:cs="Arial"/>
          <w:b/>
          <w:sz w:val="28"/>
          <w:szCs w:val="24"/>
        </w:rPr>
        <w:t>SEXTO. Del turno del recurso de revisión.</w:t>
      </w:r>
    </w:p>
    <w:p w14:paraId="7643EA80" w14:textId="77777777" w:rsidR="001B55DB" w:rsidRDefault="006D6396">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al </w:t>
      </w:r>
      <w:r>
        <w:rPr>
          <w:rFonts w:ascii="Palatino Linotype" w:hAnsi="Palatino Linotype" w:cs="Arial"/>
          <w:b/>
          <w:bCs/>
          <w:sz w:val="24"/>
          <w:szCs w:val="24"/>
        </w:rPr>
        <w:t>Comisionado Presidente José Martínez Vilchis</w:t>
      </w:r>
      <w:r>
        <w:rPr>
          <w:rFonts w:ascii="Palatino Linotype" w:hAnsi="Palatino Linotype" w:cs="Arial"/>
          <w:sz w:val="24"/>
          <w:szCs w:val="24"/>
        </w:rPr>
        <w:t>, por medio del sistema electrónico en términos del numeral 185 fracción I de la Ley de Transparencia y Acceso a la información Pública del Estado de México y Municipios, del cual recayó acuerdo de admisión en fecha veintitrés de mayo de dos mil veintitrés, otorgándose en él un plazo de siete días para que las partes manifestaran lo que a su derecho corresponda en términos del numeral ya citado.</w:t>
      </w:r>
    </w:p>
    <w:p w14:paraId="26882E4E" w14:textId="77777777" w:rsidR="001B55DB" w:rsidRDefault="001B55DB">
      <w:pPr>
        <w:pStyle w:val="Sinespaciado"/>
      </w:pPr>
    </w:p>
    <w:p w14:paraId="51653F46" w14:textId="77777777" w:rsidR="001B55DB" w:rsidRDefault="001B55DB">
      <w:pPr>
        <w:pStyle w:val="Sinespaciado"/>
      </w:pPr>
    </w:p>
    <w:p w14:paraId="34395193" w14:textId="77777777" w:rsidR="001B55DB" w:rsidRDefault="006D6396">
      <w:pPr>
        <w:spacing w:after="0" w:line="360" w:lineRule="auto"/>
        <w:jc w:val="both"/>
        <w:rPr>
          <w:rFonts w:ascii="Palatino Linotype" w:hAnsi="Palatino Linotype" w:cs="Arial"/>
          <w:b/>
          <w:sz w:val="28"/>
          <w:szCs w:val="24"/>
        </w:rPr>
      </w:pPr>
      <w:r>
        <w:rPr>
          <w:rFonts w:ascii="Palatino Linotype" w:hAnsi="Palatino Linotype" w:cs="Arial"/>
          <w:b/>
          <w:sz w:val="28"/>
          <w:szCs w:val="24"/>
        </w:rPr>
        <w:t>SÉPTIMO. De la etapa de manifestaciones y/o alegatos.</w:t>
      </w:r>
    </w:p>
    <w:p w14:paraId="15FB3285" w14:textId="77777777" w:rsidR="001B55DB" w:rsidRDefault="006D6396">
      <w:pPr>
        <w:spacing w:after="0" w:line="360" w:lineRule="auto"/>
        <w:jc w:val="both"/>
        <w:rPr>
          <w:rFonts w:ascii="Palatino Linotype" w:hAnsi="Palatino Linotype" w:cs="Arial"/>
          <w:sz w:val="24"/>
          <w:szCs w:val="24"/>
        </w:rPr>
      </w:pPr>
      <w:r>
        <w:rPr>
          <w:rFonts w:ascii="Palatino Linotype" w:hAnsi="Palatino Linotype" w:cs="Arial"/>
          <w:sz w:val="24"/>
          <w:szCs w:val="24"/>
        </w:rPr>
        <w:t>Así, una vez abierta la etapa de instrucción, en el sumario se observa que en fecha primero de junio de dos mil veintitrés, el Sujeto Obligado rindió su Informe Justificado, consistente en los documentos electrónicos denominados “</w:t>
      </w:r>
      <w:r>
        <w:rPr>
          <w:rFonts w:ascii="Palatino Linotype" w:hAnsi="Palatino Linotype" w:cs="Arial"/>
          <w:b/>
          <w:bCs/>
          <w:sz w:val="24"/>
          <w:szCs w:val="24"/>
        </w:rPr>
        <w:t xml:space="preserve">Informe justificado RR. </w:t>
      </w:r>
      <w:r>
        <w:rPr>
          <w:rFonts w:ascii="Palatino Linotype" w:hAnsi="Palatino Linotype" w:cs="Arial"/>
          <w:b/>
          <w:bCs/>
          <w:sz w:val="24"/>
          <w:szCs w:val="24"/>
        </w:rPr>
        <w:lastRenderedPageBreak/>
        <w:t>02690-2023 (sol. 0216-2023).</w:t>
      </w:r>
      <w:proofErr w:type="spellStart"/>
      <w:r>
        <w:rPr>
          <w:rFonts w:ascii="Palatino Linotype" w:hAnsi="Palatino Linotype" w:cs="Arial"/>
          <w:b/>
          <w:bCs/>
          <w:sz w:val="24"/>
          <w:szCs w:val="24"/>
        </w:rPr>
        <w:t>pdf</w:t>
      </w:r>
      <w:proofErr w:type="spellEnd"/>
      <w:r>
        <w:rPr>
          <w:rFonts w:ascii="Palatino Linotype" w:hAnsi="Palatino Linotype" w:cs="Arial"/>
          <w:sz w:val="24"/>
          <w:szCs w:val="24"/>
        </w:rPr>
        <w:t>” y “</w:t>
      </w:r>
      <w:r>
        <w:rPr>
          <w:rFonts w:ascii="Palatino Linotype" w:hAnsi="Palatino Linotype" w:cs="Arial"/>
          <w:b/>
          <w:bCs/>
          <w:sz w:val="24"/>
          <w:szCs w:val="24"/>
        </w:rPr>
        <w:t>137-PA-ESTAFA-SIBAJA-PM.docx</w:t>
      </w:r>
      <w:r>
        <w:rPr>
          <w:rFonts w:ascii="Palatino Linotype" w:hAnsi="Palatino Linotype" w:cs="Arial"/>
          <w:sz w:val="24"/>
          <w:szCs w:val="24"/>
        </w:rPr>
        <w:t xml:space="preserve">”. Dicho documento fue puesto a la vista del Recurrente mediante acuerdo de fecha seis de diciembre del año en curso, en términos de la fracción III del artículo 185 de la Ley de Transparencia y Acceso a la Información Pública del Estado de México y Municipios, otorgando a la particular un término de tres días para manifestar lo que a su derecho conviniera. El contenido de dichos documentos será motivo de análisis durante el estudio respectivo. Por otra parte, se observa que el </w:t>
      </w:r>
      <w:r>
        <w:rPr>
          <w:rFonts w:ascii="Palatino Linotype" w:hAnsi="Palatino Linotype" w:cs="Arial"/>
          <w:b/>
          <w:bCs/>
          <w:sz w:val="24"/>
          <w:szCs w:val="24"/>
        </w:rPr>
        <w:t>Recurrente</w:t>
      </w:r>
      <w:r>
        <w:rPr>
          <w:rFonts w:ascii="Palatino Linotype" w:hAnsi="Palatino Linotype" w:cs="Arial"/>
          <w:sz w:val="24"/>
          <w:szCs w:val="24"/>
        </w:rPr>
        <w:t xml:space="preserve"> no emitió manifestaciones, presentó pruebas ni vertió alegatos que a su derecho convinieran durante la etapa de instrucción; así como tampoco se manifestó respecto del Informe Justificado del Sujeto Obligado.</w:t>
      </w:r>
    </w:p>
    <w:p w14:paraId="60CDE20B" w14:textId="77777777" w:rsidR="001B55DB" w:rsidRDefault="001B55DB">
      <w:pPr>
        <w:spacing w:after="0" w:line="360" w:lineRule="auto"/>
        <w:jc w:val="both"/>
        <w:rPr>
          <w:rFonts w:ascii="Palatino Linotype" w:hAnsi="Palatino Linotype" w:cs="Arial"/>
          <w:sz w:val="24"/>
          <w:szCs w:val="24"/>
        </w:rPr>
      </w:pPr>
    </w:p>
    <w:p w14:paraId="5565B602" w14:textId="77777777" w:rsidR="001B55DB" w:rsidRDefault="006D6396">
      <w:pPr>
        <w:tabs>
          <w:tab w:val="left" w:pos="3206"/>
        </w:tabs>
        <w:spacing w:after="0" w:line="360" w:lineRule="auto"/>
        <w:jc w:val="both"/>
        <w:rPr>
          <w:rFonts w:ascii="Palatino Linotype" w:hAnsi="Palatino Linotype" w:cs="Arial"/>
          <w:b/>
          <w:sz w:val="28"/>
          <w:szCs w:val="24"/>
        </w:rPr>
      </w:pPr>
      <w:r>
        <w:rPr>
          <w:rFonts w:ascii="Palatino Linotype" w:hAnsi="Palatino Linotype" w:cs="Arial"/>
          <w:b/>
          <w:sz w:val="28"/>
          <w:szCs w:val="24"/>
        </w:rPr>
        <w:t>OCTAVO. Del cierre de instrucción.</w:t>
      </w:r>
      <w:r>
        <w:rPr>
          <w:rFonts w:ascii="Palatino Linotype" w:hAnsi="Palatino Linotype" w:cs="Arial"/>
          <w:b/>
          <w:sz w:val="28"/>
          <w:szCs w:val="24"/>
        </w:rPr>
        <w:tab/>
      </w:r>
    </w:p>
    <w:p w14:paraId="3A0447CA" w14:textId="77777777" w:rsidR="001B55DB" w:rsidRDefault="006D6396">
      <w:pPr>
        <w:spacing w:after="0" w:line="360" w:lineRule="auto"/>
        <w:jc w:val="both"/>
        <w:rPr>
          <w:rFonts w:ascii="Palatino Linotype" w:hAnsi="Palatino Linotype" w:cs="Arial"/>
          <w:sz w:val="24"/>
          <w:szCs w:val="24"/>
        </w:rPr>
      </w:pPr>
      <w:r>
        <w:rPr>
          <w:rFonts w:ascii="Palatino Linotype" w:hAnsi="Palatino Linotype" w:cs="Arial"/>
          <w:sz w:val="24"/>
          <w:szCs w:val="24"/>
        </w:rPr>
        <w:t>Por lo que, una vez transcurrido el término legal, se decretó el cierre de instrucción en fecha catorce de diciembre de dos mil veintitrés, en términos del artículo 185, Fracción VI, de la Ley de Transparencia y Acceso a la Información Pública del Estado de México y Municipios, iniciando el término legal para dictar resolución definitiva del asunto.</w:t>
      </w:r>
    </w:p>
    <w:p w14:paraId="5142DAC9" w14:textId="77777777" w:rsidR="001B55DB" w:rsidRDefault="001B55DB">
      <w:pPr>
        <w:spacing w:after="0" w:line="360" w:lineRule="auto"/>
        <w:jc w:val="both"/>
        <w:rPr>
          <w:rFonts w:ascii="Palatino Linotype" w:hAnsi="Palatino Linotype" w:cs="Arial"/>
          <w:sz w:val="24"/>
          <w:szCs w:val="24"/>
        </w:rPr>
      </w:pPr>
    </w:p>
    <w:p w14:paraId="0CD03906" w14:textId="77777777" w:rsidR="001B55DB" w:rsidRDefault="006D6396">
      <w:pPr>
        <w:spacing w:after="0" w:line="360" w:lineRule="auto"/>
        <w:jc w:val="both"/>
        <w:rPr>
          <w:rFonts w:ascii="Palatino Linotype" w:hAnsi="Palatino Linotype" w:cs="Arial"/>
          <w:sz w:val="24"/>
          <w:szCs w:val="24"/>
        </w:rPr>
      </w:pPr>
      <w:r>
        <w:rPr>
          <w:rFonts w:ascii="Palatino Linotype" w:hAnsi="Palatino Linotype"/>
          <w:b/>
          <w:sz w:val="28"/>
          <w:szCs w:val="28"/>
        </w:rPr>
        <w:t>SÉPTIMO. De la ampliación del término para resolver.</w:t>
      </w:r>
    </w:p>
    <w:p w14:paraId="2B285327" w14:textId="77777777" w:rsidR="001B55DB" w:rsidRDefault="006D6396">
      <w:pPr>
        <w:spacing w:after="0" w:line="360" w:lineRule="auto"/>
        <w:jc w:val="both"/>
        <w:rPr>
          <w:rFonts w:ascii="Palatino Linotype" w:hAnsi="Palatino Linotype"/>
          <w:sz w:val="24"/>
          <w:szCs w:val="24"/>
        </w:rPr>
      </w:pPr>
      <w:r>
        <w:rPr>
          <w:rFonts w:ascii="Palatino Linotype" w:hAnsi="Palatino Linotype"/>
          <w:sz w:val="24"/>
          <w:szCs w:val="24"/>
        </w:rPr>
        <w:t>En fecha seis de diciembre de dos mil veintidós, se amplió el término para resolver el recurso de revisión en términos del artículo 181 párrafo tercero de la Ley de Transparencia y Acceso a la Información Pública del Estado de México y Municipios por un plazo de quince días hábiles.</w:t>
      </w:r>
    </w:p>
    <w:p w14:paraId="450ACCF2" w14:textId="77777777" w:rsidR="001B55DB" w:rsidRDefault="001B55DB">
      <w:pPr>
        <w:spacing w:after="0" w:line="360" w:lineRule="auto"/>
        <w:jc w:val="both"/>
        <w:rPr>
          <w:rFonts w:ascii="Palatino Linotype" w:hAnsi="Palatino Linotype"/>
          <w:sz w:val="24"/>
          <w:szCs w:val="24"/>
        </w:rPr>
      </w:pPr>
    </w:p>
    <w:p w14:paraId="4A652838" w14:textId="77777777" w:rsidR="001B55DB" w:rsidRDefault="006D6396">
      <w:pPr>
        <w:spacing w:after="0" w:line="360" w:lineRule="auto"/>
        <w:jc w:val="both"/>
        <w:rPr>
          <w:rFonts w:ascii="Palatino Linotype" w:hAnsi="Palatino Linotype" w:cstheme="majorHAnsi"/>
          <w:sz w:val="24"/>
          <w:szCs w:val="24"/>
        </w:rPr>
      </w:pPr>
      <w:r>
        <w:rPr>
          <w:rFonts w:ascii="Palatino Linotype" w:hAnsi="Palatino Linotype" w:cstheme="majorHAnsi"/>
          <w:sz w:val="24"/>
          <w:szCs w:val="24"/>
        </w:rPr>
        <w:lastRenderedPageBreak/>
        <w:t xml:space="preserve">Este organismo garante no pasa por alto justificar, </w:t>
      </w:r>
      <w:r>
        <w:rPr>
          <w:rFonts w:ascii="Palatino Linotype" w:hAnsi="Palatino Linotype" w:cstheme="majorHAnsi"/>
          <w:bCs/>
          <w:sz w:val="24"/>
          <w:szCs w:val="24"/>
        </w:rPr>
        <w:t xml:space="preserve">que el plazo para emitir resolución en el presente asunto </w:t>
      </w:r>
      <w:r>
        <w:rPr>
          <w:rFonts w:ascii="Palatino Linotype" w:hAnsi="Palatino Linotype" w:cstheme="majorHAnsi"/>
          <w:sz w:val="24"/>
          <w:szCs w:val="24"/>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25C4D10D" w14:textId="77777777" w:rsidR="001B55DB" w:rsidRDefault="006D6396">
      <w:pPr>
        <w:spacing w:after="0" w:line="360" w:lineRule="auto"/>
        <w:jc w:val="both"/>
        <w:rPr>
          <w:rFonts w:ascii="Palatino Linotype" w:hAnsi="Palatino Linotype" w:cstheme="majorHAnsi"/>
          <w:sz w:val="24"/>
          <w:szCs w:val="24"/>
        </w:rPr>
      </w:pPr>
      <w:r>
        <w:rPr>
          <w:rFonts w:ascii="Palatino Linotype" w:hAnsi="Palatino Linotype" w:cstheme="majorHAnsi"/>
          <w:sz w:val="24"/>
          <w:szCs w:val="24"/>
        </w:rPr>
        <w:t xml:space="preserve"> </w:t>
      </w:r>
    </w:p>
    <w:p w14:paraId="0A9497FF" w14:textId="77777777" w:rsidR="001B55DB" w:rsidRDefault="006D6396">
      <w:pPr>
        <w:spacing w:after="0" w:line="360" w:lineRule="auto"/>
        <w:jc w:val="both"/>
        <w:rPr>
          <w:rFonts w:ascii="Palatino Linotype" w:hAnsi="Palatino Linotype" w:cstheme="majorHAnsi"/>
          <w:sz w:val="24"/>
          <w:szCs w:val="24"/>
        </w:rPr>
      </w:pPr>
      <w:r>
        <w:rPr>
          <w:rFonts w:ascii="Palatino Linotype" w:hAnsi="Palatino Linotype" w:cstheme="majorHAnsi"/>
          <w:sz w:val="24"/>
          <w:szCs w:val="24"/>
        </w:rPr>
        <w:t xml:space="preserve">Por ello, es menester precisar que si bien se ha excedido el plazo para resolver el presente medio de impugnación, de conformidad con la ley de la materia, </w:t>
      </w:r>
      <w:r>
        <w:rPr>
          <w:rFonts w:ascii="Palatino Linotype" w:hAnsi="Palatino Linotype" w:cstheme="majorHAnsi"/>
          <w:bCs/>
          <w:sz w:val="24"/>
          <w:szCs w:val="24"/>
        </w:rPr>
        <w:t>el plazo para emitir resolución</w:t>
      </w:r>
      <w:r>
        <w:rPr>
          <w:rFonts w:ascii="Palatino Linotype" w:hAnsi="Palatino Linotype" w:cstheme="majorHAnsi"/>
          <w:sz w:val="24"/>
          <w:szCs w:val="24"/>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0197D4ED" w14:textId="77777777" w:rsidR="001B55DB" w:rsidRDefault="006D6396">
      <w:pPr>
        <w:spacing w:after="0" w:line="360" w:lineRule="auto"/>
        <w:jc w:val="both"/>
        <w:rPr>
          <w:rFonts w:ascii="Palatino Linotype" w:hAnsi="Palatino Linotype" w:cstheme="majorHAnsi"/>
          <w:sz w:val="24"/>
          <w:szCs w:val="24"/>
        </w:rPr>
      </w:pPr>
      <w:r>
        <w:rPr>
          <w:rFonts w:ascii="Palatino Linotype" w:hAnsi="Palatino Linotype" w:cstheme="majorHAnsi"/>
          <w:sz w:val="24"/>
          <w:szCs w:val="24"/>
        </w:rPr>
        <w:t xml:space="preserve"> </w:t>
      </w:r>
    </w:p>
    <w:p w14:paraId="38D03FEC" w14:textId="77777777" w:rsidR="001B55DB" w:rsidRDefault="006D6396">
      <w:pPr>
        <w:spacing w:after="0" w:line="360" w:lineRule="auto"/>
        <w:jc w:val="both"/>
        <w:rPr>
          <w:rFonts w:ascii="Palatino Linotype" w:hAnsi="Palatino Linotype" w:cstheme="majorHAnsi"/>
          <w:sz w:val="24"/>
          <w:szCs w:val="24"/>
        </w:rPr>
      </w:pPr>
      <w:r>
        <w:rPr>
          <w:rFonts w:ascii="Palatino Linotype" w:hAnsi="Palatino Linotype" w:cstheme="majorHAnsi"/>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8310094" w14:textId="77777777" w:rsidR="001B55DB" w:rsidRDefault="006D6396">
      <w:pPr>
        <w:spacing w:after="0" w:line="360" w:lineRule="auto"/>
        <w:jc w:val="both"/>
        <w:rPr>
          <w:rFonts w:ascii="Palatino Linotype" w:hAnsi="Palatino Linotype" w:cstheme="majorHAnsi"/>
          <w:sz w:val="24"/>
          <w:szCs w:val="24"/>
        </w:rPr>
      </w:pPr>
      <w:r>
        <w:rPr>
          <w:rFonts w:ascii="Palatino Linotype" w:hAnsi="Palatino Linotype" w:cstheme="majorHAnsi"/>
          <w:sz w:val="24"/>
          <w:szCs w:val="24"/>
        </w:rPr>
        <w:t xml:space="preserve"> </w:t>
      </w:r>
    </w:p>
    <w:p w14:paraId="7AEFE369" w14:textId="77777777" w:rsidR="001B55DB" w:rsidRDefault="006D6396">
      <w:pPr>
        <w:spacing w:after="0" w:line="360" w:lineRule="auto"/>
        <w:jc w:val="both"/>
        <w:rPr>
          <w:rFonts w:ascii="Palatino Linotype" w:hAnsi="Palatino Linotype" w:cstheme="majorHAnsi"/>
          <w:sz w:val="24"/>
          <w:szCs w:val="24"/>
        </w:rPr>
      </w:pPr>
      <w:r>
        <w:rPr>
          <w:rFonts w:ascii="Palatino Linotype" w:hAnsi="Palatino Linotype" w:cstheme="majorHAnsi"/>
          <w:sz w:val="24"/>
          <w:szCs w:val="24"/>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5FF43571" w14:textId="77777777" w:rsidR="001B55DB" w:rsidRDefault="006D6396">
      <w:pPr>
        <w:spacing w:after="0" w:line="360" w:lineRule="auto"/>
        <w:jc w:val="both"/>
        <w:rPr>
          <w:rFonts w:ascii="Palatino Linotype" w:hAnsi="Palatino Linotype" w:cstheme="majorHAnsi"/>
          <w:sz w:val="24"/>
          <w:szCs w:val="24"/>
        </w:rPr>
      </w:pPr>
      <w:r>
        <w:rPr>
          <w:rFonts w:ascii="Palatino Linotype" w:hAnsi="Palatino Linotype" w:cstheme="majorHAnsi"/>
          <w:sz w:val="24"/>
          <w:szCs w:val="24"/>
        </w:rPr>
        <w:t xml:space="preserve"> </w:t>
      </w:r>
    </w:p>
    <w:p w14:paraId="36B32B75" w14:textId="77777777" w:rsidR="001B55DB" w:rsidRDefault="006D6396">
      <w:pPr>
        <w:spacing w:after="0" w:line="360" w:lineRule="auto"/>
        <w:jc w:val="both"/>
        <w:rPr>
          <w:rFonts w:ascii="Palatino Linotype" w:hAnsi="Palatino Linotype" w:cstheme="majorHAnsi"/>
          <w:sz w:val="24"/>
          <w:szCs w:val="24"/>
        </w:rPr>
      </w:pPr>
      <w:r>
        <w:rPr>
          <w:rFonts w:ascii="Palatino Linotype" w:hAnsi="Palatino Linotype" w:cstheme="majorHAnsi"/>
          <w:sz w:val="24"/>
          <w:szCs w:val="24"/>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12970791" w14:textId="77777777" w:rsidR="001B55DB" w:rsidRDefault="006D6396">
      <w:pPr>
        <w:spacing w:line="360" w:lineRule="auto"/>
        <w:jc w:val="both"/>
        <w:rPr>
          <w:rFonts w:ascii="Palatino Linotype" w:hAnsi="Palatino Linotype" w:cstheme="majorHAnsi"/>
          <w:sz w:val="24"/>
          <w:szCs w:val="24"/>
        </w:rPr>
      </w:pPr>
      <w:r>
        <w:rPr>
          <w:rFonts w:ascii="Palatino Linotype" w:hAnsi="Palatino Linotype" w:cstheme="majorHAnsi"/>
          <w:sz w:val="24"/>
          <w:szCs w:val="24"/>
        </w:rPr>
        <w:t xml:space="preserve"> </w:t>
      </w:r>
    </w:p>
    <w:p w14:paraId="4709F3E8" w14:textId="77777777" w:rsidR="001B55DB" w:rsidRDefault="006D6396">
      <w:pPr>
        <w:spacing w:after="240" w:line="276" w:lineRule="auto"/>
        <w:ind w:left="708"/>
        <w:jc w:val="both"/>
        <w:rPr>
          <w:rFonts w:ascii="Palatino Linotype" w:hAnsi="Palatino Linotype" w:cstheme="majorHAnsi"/>
          <w:sz w:val="24"/>
          <w:szCs w:val="24"/>
        </w:rPr>
      </w:pPr>
      <w:r>
        <w:rPr>
          <w:rFonts w:ascii="Palatino Linotype" w:hAnsi="Palatino Linotype" w:cstheme="majorHAnsi"/>
          <w:sz w:val="24"/>
          <w:szCs w:val="24"/>
        </w:rPr>
        <w:t>a)      Complejidad del asunto: La complejidad de la prueba, la pluralidad de sujetos procesales, el tiempo transcurrido, las características y contexto del recurso.</w:t>
      </w:r>
    </w:p>
    <w:p w14:paraId="63DEE7E4" w14:textId="77777777" w:rsidR="001B55DB" w:rsidRDefault="006D6396">
      <w:pPr>
        <w:spacing w:after="240" w:line="276" w:lineRule="auto"/>
        <w:ind w:firstLine="708"/>
        <w:jc w:val="both"/>
        <w:rPr>
          <w:rFonts w:ascii="Palatino Linotype" w:hAnsi="Palatino Linotype" w:cstheme="majorHAnsi"/>
          <w:sz w:val="24"/>
          <w:szCs w:val="24"/>
        </w:rPr>
      </w:pPr>
      <w:r>
        <w:rPr>
          <w:rFonts w:ascii="Palatino Linotype" w:hAnsi="Palatino Linotype" w:cstheme="majorHAnsi"/>
          <w:sz w:val="24"/>
          <w:szCs w:val="24"/>
        </w:rPr>
        <w:t>b)     Actividad Procesal del interesado: Acciones u omisiones del interesado.</w:t>
      </w:r>
    </w:p>
    <w:p w14:paraId="79730325" w14:textId="77777777" w:rsidR="001B55DB" w:rsidRDefault="006D6396">
      <w:pPr>
        <w:spacing w:after="240" w:line="276" w:lineRule="auto"/>
        <w:ind w:left="708"/>
        <w:jc w:val="both"/>
        <w:rPr>
          <w:rFonts w:ascii="Palatino Linotype" w:hAnsi="Palatino Linotype" w:cstheme="majorHAnsi"/>
          <w:sz w:val="24"/>
          <w:szCs w:val="24"/>
        </w:rPr>
      </w:pPr>
      <w:r>
        <w:rPr>
          <w:rFonts w:ascii="Palatino Linotype" w:hAnsi="Palatino Linotype" w:cstheme="majorHAnsi"/>
          <w:sz w:val="24"/>
          <w:szCs w:val="24"/>
        </w:rPr>
        <w:t>c)      Conducta de la Autoridad: Las Acciones u omisiones realizadas en el procedimiento. Así como si la autoridad actuó con la debida diligencia.</w:t>
      </w:r>
    </w:p>
    <w:p w14:paraId="4C4CA32B" w14:textId="77777777" w:rsidR="001B55DB" w:rsidRDefault="006D6396">
      <w:pPr>
        <w:spacing w:after="240" w:line="276" w:lineRule="auto"/>
        <w:ind w:left="708"/>
        <w:jc w:val="both"/>
        <w:rPr>
          <w:rFonts w:ascii="Palatino Linotype" w:hAnsi="Palatino Linotype" w:cstheme="majorHAnsi"/>
          <w:sz w:val="24"/>
          <w:szCs w:val="24"/>
        </w:rPr>
      </w:pPr>
      <w:r>
        <w:rPr>
          <w:rFonts w:ascii="Palatino Linotype" w:hAnsi="Palatino Linotype" w:cstheme="majorHAnsi"/>
          <w:sz w:val="24"/>
          <w:szCs w:val="24"/>
        </w:rPr>
        <w:t>d) La afectación generada en la situación jurídica de la persona involucrada en el proceso: Violación a sus derechos humanos.</w:t>
      </w:r>
    </w:p>
    <w:p w14:paraId="331C84DC" w14:textId="77777777" w:rsidR="001B55DB" w:rsidRDefault="001B55DB">
      <w:pPr>
        <w:spacing w:after="0" w:line="360" w:lineRule="auto"/>
        <w:jc w:val="both"/>
        <w:rPr>
          <w:rFonts w:ascii="Palatino Linotype" w:hAnsi="Palatino Linotype" w:cstheme="majorHAnsi"/>
          <w:sz w:val="24"/>
          <w:szCs w:val="24"/>
        </w:rPr>
      </w:pPr>
    </w:p>
    <w:p w14:paraId="6821B666" w14:textId="77777777" w:rsidR="001B55DB" w:rsidRDefault="006D6396">
      <w:pPr>
        <w:spacing w:after="0" w:line="360" w:lineRule="auto"/>
        <w:jc w:val="both"/>
        <w:rPr>
          <w:rFonts w:ascii="Palatino Linotype" w:hAnsi="Palatino Linotype" w:cstheme="majorHAnsi"/>
          <w:sz w:val="24"/>
          <w:szCs w:val="24"/>
        </w:rPr>
      </w:pPr>
      <w:r>
        <w:rPr>
          <w:rFonts w:ascii="Palatino Linotype" w:hAnsi="Palatino Linotype" w:cstheme="majorHAnsi"/>
          <w:sz w:val="24"/>
          <w:szCs w:val="24"/>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05F5605" w14:textId="77777777" w:rsidR="001B55DB" w:rsidRDefault="006D6396">
      <w:pPr>
        <w:spacing w:after="0" w:line="360" w:lineRule="auto"/>
        <w:jc w:val="both"/>
        <w:rPr>
          <w:rFonts w:ascii="Palatino Linotype" w:hAnsi="Palatino Linotype" w:cstheme="majorHAnsi"/>
          <w:sz w:val="24"/>
          <w:szCs w:val="24"/>
        </w:rPr>
      </w:pPr>
      <w:r>
        <w:rPr>
          <w:rFonts w:ascii="Palatino Linotype" w:hAnsi="Palatino Linotype" w:cstheme="majorHAnsi"/>
          <w:sz w:val="24"/>
          <w:szCs w:val="24"/>
        </w:rPr>
        <w:t xml:space="preserve"> </w:t>
      </w:r>
    </w:p>
    <w:p w14:paraId="1473FE65" w14:textId="77777777" w:rsidR="001B55DB" w:rsidRDefault="006D6396">
      <w:pPr>
        <w:spacing w:after="0" w:line="360" w:lineRule="auto"/>
        <w:jc w:val="both"/>
        <w:rPr>
          <w:rFonts w:ascii="Palatino Linotype" w:hAnsi="Palatino Linotype" w:cstheme="majorHAnsi"/>
          <w:sz w:val="24"/>
          <w:szCs w:val="24"/>
        </w:rPr>
      </w:pPr>
      <w:r>
        <w:rPr>
          <w:rFonts w:ascii="Palatino Linotype" w:hAnsi="Palatino Linotype" w:cstheme="majorHAnsi"/>
          <w:sz w:val="24"/>
          <w:szCs w:val="24"/>
        </w:rPr>
        <w:t>Argumento que encuentra sustento en la jurisprudencia P</w:t>
      </w:r>
      <w:proofErr w:type="gramStart"/>
      <w:r>
        <w:rPr>
          <w:rFonts w:ascii="Palatino Linotype" w:hAnsi="Palatino Linotype" w:cstheme="majorHAnsi"/>
          <w:sz w:val="24"/>
          <w:szCs w:val="24"/>
        </w:rPr>
        <w:t>./</w:t>
      </w:r>
      <w:proofErr w:type="gramEnd"/>
      <w:r>
        <w:rPr>
          <w:rFonts w:ascii="Palatino Linotype" w:hAnsi="Palatino Linotype" w:cstheme="majorHAnsi"/>
          <w:sz w:val="24"/>
          <w:szCs w:val="24"/>
        </w:rPr>
        <w:t xml:space="preserve">J. 32/92 emitida por el Pleno de la Suprema Corte de Justicia de la Nación de rubro “TÉRMINOS PROCESALES. PARA DETERMINAR SI UN FUNCIONARIO JUDICIAL ACTUÓ INDEBIDAMENTE POR NO RESPETARLOS SE DEBE ATENDER AL PRESUPUESTO QUE CONSIDERÓ EL LEGISLADOR AL FIJARLOS Y LAS </w:t>
      </w:r>
      <w:r>
        <w:rPr>
          <w:rFonts w:ascii="Palatino Linotype" w:hAnsi="Palatino Linotype" w:cstheme="majorHAnsi"/>
          <w:sz w:val="24"/>
          <w:szCs w:val="24"/>
        </w:rPr>
        <w:lastRenderedPageBreak/>
        <w:t>CARACTERÍSTICAS DEL CASO.”, visible en la Gaceta del Seminario Judicial de la Federación con el registro digital 205635.</w:t>
      </w:r>
    </w:p>
    <w:p w14:paraId="40F336D8" w14:textId="77777777" w:rsidR="001B55DB" w:rsidRDefault="006D6396">
      <w:pPr>
        <w:spacing w:after="0" w:line="360" w:lineRule="auto"/>
        <w:jc w:val="both"/>
        <w:rPr>
          <w:rFonts w:ascii="Palatino Linotype" w:hAnsi="Palatino Linotype" w:cstheme="majorHAnsi"/>
          <w:sz w:val="24"/>
          <w:szCs w:val="24"/>
        </w:rPr>
      </w:pPr>
      <w:r>
        <w:rPr>
          <w:rFonts w:ascii="Palatino Linotype" w:hAnsi="Palatino Linotype" w:cstheme="majorHAnsi"/>
          <w:sz w:val="24"/>
          <w:szCs w:val="24"/>
        </w:rPr>
        <w:t xml:space="preserve"> </w:t>
      </w:r>
    </w:p>
    <w:p w14:paraId="4D8BC141" w14:textId="77777777" w:rsidR="001B55DB" w:rsidRDefault="006D6396">
      <w:pPr>
        <w:spacing w:after="0" w:line="360" w:lineRule="auto"/>
        <w:jc w:val="both"/>
        <w:rPr>
          <w:rFonts w:ascii="Palatino Linotype" w:hAnsi="Palatino Linotype" w:cstheme="majorHAnsi"/>
          <w:sz w:val="24"/>
          <w:szCs w:val="24"/>
        </w:rPr>
      </w:pPr>
      <w:r>
        <w:rPr>
          <w:rFonts w:ascii="Palatino Linotype" w:hAnsi="Palatino Linotype" w:cstheme="majorHAnsi"/>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581AAB7" w14:textId="77777777" w:rsidR="001B55DB" w:rsidRDefault="001B55DB">
      <w:pPr>
        <w:spacing w:after="0" w:line="360" w:lineRule="auto"/>
        <w:jc w:val="both"/>
        <w:rPr>
          <w:rFonts w:ascii="Palatino Linotype" w:hAnsi="Palatino Linotype" w:cstheme="majorHAnsi"/>
          <w:sz w:val="24"/>
          <w:szCs w:val="24"/>
        </w:rPr>
      </w:pPr>
    </w:p>
    <w:p w14:paraId="5A7EE8A0" w14:textId="77777777" w:rsidR="001B55DB" w:rsidRDefault="006D6396">
      <w:pPr>
        <w:spacing w:after="0" w:line="360" w:lineRule="auto"/>
        <w:jc w:val="both"/>
        <w:rPr>
          <w:rFonts w:ascii="Palatino Linotype" w:hAnsi="Palatino Linotype" w:cstheme="majorHAnsi"/>
          <w:sz w:val="24"/>
          <w:szCs w:val="24"/>
        </w:rPr>
      </w:pPr>
      <w:r>
        <w:rPr>
          <w:rFonts w:ascii="Palatino Linotype" w:hAnsi="Palatino Linotype" w:cstheme="majorHAnsi"/>
          <w:sz w:val="24"/>
          <w:szCs w:val="24"/>
        </w:rPr>
        <w:t>Al respecto, también son de considerar los criterios sostenidos por el Cuarto Tribunal Colegiado en Materia Administrativa del Primer Circuito, cuyos rubros y datos de identificación son los siguientes:</w:t>
      </w:r>
    </w:p>
    <w:p w14:paraId="51AF1A2A" w14:textId="77777777" w:rsidR="001B55DB" w:rsidRDefault="006D6396">
      <w:pPr>
        <w:spacing w:after="0" w:line="360" w:lineRule="auto"/>
        <w:jc w:val="both"/>
        <w:rPr>
          <w:rFonts w:ascii="Palatino Linotype" w:hAnsi="Palatino Linotype" w:cstheme="majorHAnsi"/>
          <w:sz w:val="24"/>
          <w:szCs w:val="24"/>
        </w:rPr>
      </w:pPr>
      <w:r>
        <w:rPr>
          <w:rFonts w:ascii="Palatino Linotype" w:hAnsi="Palatino Linotype" w:cstheme="majorHAnsi"/>
          <w:sz w:val="24"/>
          <w:szCs w:val="24"/>
        </w:rPr>
        <w:t xml:space="preserve"> </w:t>
      </w:r>
    </w:p>
    <w:p w14:paraId="458BA782" w14:textId="77777777" w:rsidR="001B55DB" w:rsidRDefault="006D6396">
      <w:pPr>
        <w:spacing w:after="0" w:line="360" w:lineRule="auto"/>
        <w:jc w:val="both"/>
        <w:rPr>
          <w:rFonts w:ascii="Palatino Linotype" w:hAnsi="Palatino Linotype" w:cstheme="majorHAnsi"/>
          <w:sz w:val="24"/>
          <w:szCs w:val="24"/>
        </w:rPr>
      </w:pPr>
      <w:r>
        <w:rPr>
          <w:rFonts w:ascii="Palatino Linotype" w:hAnsi="Palatino Linotype" w:cstheme="majorHAnsi"/>
          <w:sz w:val="24"/>
          <w:szCs w:val="24"/>
        </w:rPr>
        <w:t xml:space="preserve"> “PLAZO RAZONABLE PARA RESOLVER. DIMENSIÓN Y EFECTOS DE ESTE CONCEPTO CUANDO SE ADUCE EXCESIVA CARGA DE TRABAJO.” consultable en el Seminario Judicial de la Federación y su gaceta, con el registro digital 2002351.</w:t>
      </w:r>
    </w:p>
    <w:p w14:paraId="19A5EF6F" w14:textId="77777777" w:rsidR="001B55DB" w:rsidRDefault="006D6396">
      <w:pPr>
        <w:spacing w:after="0" w:line="360" w:lineRule="auto"/>
        <w:jc w:val="both"/>
        <w:rPr>
          <w:rFonts w:ascii="Palatino Linotype" w:hAnsi="Palatino Linotype" w:cstheme="majorHAnsi"/>
          <w:sz w:val="24"/>
          <w:szCs w:val="24"/>
        </w:rPr>
      </w:pPr>
      <w:r>
        <w:rPr>
          <w:rFonts w:ascii="Palatino Linotype" w:hAnsi="Palatino Linotype" w:cstheme="majorHAnsi"/>
          <w:sz w:val="24"/>
          <w:szCs w:val="24"/>
        </w:rPr>
        <w:t xml:space="preserve"> </w:t>
      </w:r>
    </w:p>
    <w:p w14:paraId="0DDF3A90" w14:textId="77777777" w:rsidR="001B55DB" w:rsidRDefault="006D6396">
      <w:pPr>
        <w:spacing w:after="0" w:line="360" w:lineRule="auto"/>
        <w:jc w:val="both"/>
        <w:rPr>
          <w:rFonts w:ascii="Palatino Linotype" w:hAnsi="Palatino Linotype" w:cstheme="majorHAnsi"/>
          <w:sz w:val="24"/>
          <w:szCs w:val="24"/>
        </w:rPr>
      </w:pPr>
      <w:r>
        <w:rPr>
          <w:rFonts w:ascii="Palatino Linotype" w:hAnsi="Palatino Linotype" w:cstheme="majorHAnsi"/>
          <w:sz w:val="24"/>
          <w:szCs w:val="24"/>
        </w:rPr>
        <w:t xml:space="preserve">“PLAZO RAZONABLE PARA RESOLVER. CONCEPTO Y ELEMENTOS QUE LO INTEGRAN A LA LUZ DEL DERECHO INTERNACIONAL DE LOS DERECHOS </w:t>
      </w:r>
      <w:r>
        <w:rPr>
          <w:rFonts w:ascii="Palatino Linotype" w:hAnsi="Palatino Linotype" w:cstheme="majorHAnsi"/>
          <w:sz w:val="24"/>
          <w:szCs w:val="24"/>
        </w:rPr>
        <w:lastRenderedPageBreak/>
        <w:t>HUMANOS.”, visible en el Seminario Judicial de la Federación y su gaceta, con el registro digital 2002350.</w:t>
      </w:r>
    </w:p>
    <w:p w14:paraId="47D6537E" w14:textId="77777777" w:rsidR="001B55DB" w:rsidRDefault="001B55DB">
      <w:pPr>
        <w:spacing w:after="0" w:line="360" w:lineRule="auto"/>
        <w:jc w:val="both"/>
        <w:rPr>
          <w:rFonts w:ascii="Palatino Linotype" w:hAnsi="Palatino Linotype" w:cstheme="majorHAnsi"/>
          <w:sz w:val="24"/>
          <w:szCs w:val="24"/>
        </w:rPr>
      </w:pPr>
    </w:p>
    <w:p w14:paraId="044DF6EC" w14:textId="77777777" w:rsidR="001B55DB" w:rsidRDefault="006D6396">
      <w:pPr>
        <w:spacing w:after="0" w:line="360" w:lineRule="auto"/>
        <w:jc w:val="both"/>
        <w:rPr>
          <w:rFonts w:ascii="Palatino Linotype" w:hAnsi="Palatino Linotype"/>
          <w:sz w:val="24"/>
          <w:szCs w:val="24"/>
        </w:rPr>
      </w:pPr>
      <w:r>
        <w:rPr>
          <w:rFonts w:ascii="Palatino Linotype" w:hAnsi="Palatino Linotype" w:cstheme="majorHAnsi"/>
          <w:bCs/>
          <w:sz w:val="24"/>
          <w:szCs w:val="24"/>
        </w:rPr>
        <w:t>Por ello, este organismo garante comprometido con la tutela de los derechos humanos confiados, señala que este exceso del plazo legal para resolver el presente asunto, resulta de carácter excepcional.</w:t>
      </w:r>
    </w:p>
    <w:p w14:paraId="3E066FA9" w14:textId="77777777" w:rsidR="001B55DB" w:rsidRDefault="001B55DB">
      <w:pPr>
        <w:spacing w:before="240" w:line="360" w:lineRule="auto"/>
        <w:jc w:val="both"/>
        <w:rPr>
          <w:rFonts w:ascii="Palatino Linotype" w:hAnsi="Palatino Linotype" w:cs="Arial"/>
          <w:sz w:val="24"/>
          <w:szCs w:val="24"/>
        </w:rPr>
      </w:pPr>
    </w:p>
    <w:p w14:paraId="17F67B84" w14:textId="77777777" w:rsidR="001B55DB" w:rsidRDefault="001B55DB">
      <w:pPr>
        <w:spacing w:after="0" w:line="360" w:lineRule="auto"/>
        <w:jc w:val="both"/>
        <w:rPr>
          <w:rFonts w:ascii="Palatino Linotype" w:hAnsi="Palatino Linotype" w:cs="Arial"/>
          <w:sz w:val="6"/>
          <w:szCs w:val="24"/>
        </w:rPr>
      </w:pPr>
    </w:p>
    <w:p w14:paraId="65ED379D" w14:textId="77777777" w:rsidR="001B55DB" w:rsidRDefault="006D6396">
      <w:pPr>
        <w:spacing w:after="0" w:line="360" w:lineRule="auto"/>
        <w:jc w:val="center"/>
        <w:rPr>
          <w:rFonts w:ascii="Palatino Linotype" w:hAnsi="Palatino Linotype" w:cs="Arial"/>
          <w:b/>
          <w:sz w:val="28"/>
          <w:szCs w:val="24"/>
        </w:rPr>
      </w:pPr>
      <w:r>
        <w:rPr>
          <w:rFonts w:ascii="Palatino Linotype" w:hAnsi="Palatino Linotype" w:cs="Arial"/>
          <w:b/>
          <w:sz w:val="28"/>
          <w:szCs w:val="24"/>
        </w:rPr>
        <w:t xml:space="preserve">C O N S I D E R A N D O </w:t>
      </w:r>
    </w:p>
    <w:p w14:paraId="587B78DF" w14:textId="77777777" w:rsidR="001B55DB" w:rsidRDefault="001B55DB">
      <w:pPr>
        <w:spacing w:after="0" w:line="360" w:lineRule="auto"/>
        <w:jc w:val="center"/>
        <w:rPr>
          <w:rFonts w:ascii="Palatino Linotype" w:hAnsi="Palatino Linotype" w:cs="Arial"/>
          <w:b/>
          <w:sz w:val="14"/>
          <w:szCs w:val="24"/>
        </w:rPr>
      </w:pPr>
    </w:p>
    <w:p w14:paraId="13D8E000" w14:textId="77777777" w:rsidR="001B55DB" w:rsidRDefault="006D6396">
      <w:pPr>
        <w:spacing w:after="0" w:line="360" w:lineRule="auto"/>
        <w:jc w:val="both"/>
        <w:rPr>
          <w:rFonts w:ascii="Palatino Linotype" w:hAnsi="Palatino Linotype" w:cs="Arial"/>
          <w:sz w:val="28"/>
          <w:szCs w:val="24"/>
        </w:rPr>
      </w:pPr>
      <w:r>
        <w:rPr>
          <w:rFonts w:ascii="Palatino Linotype" w:hAnsi="Palatino Linotype" w:cs="Arial"/>
          <w:b/>
          <w:sz w:val="28"/>
          <w:szCs w:val="24"/>
        </w:rPr>
        <w:t>PRIMERO. De la competencia</w:t>
      </w:r>
      <w:r>
        <w:rPr>
          <w:rFonts w:ascii="Palatino Linotype" w:hAnsi="Palatino Linotype" w:cs="Arial"/>
          <w:sz w:val="28"/>
          <w:szCs w:val="24"/>
        </w:rPr>
        <w:t>.</w:t>
      </w:r>
    </w:p>
    <w:p w14:paraId="02162371" w14:textId="77777777" w:rsidR="001B55DB" w:rsidRDefault="006D6396">
      <w:pPr>
        <w:spacing w:after="0" w:line="360" w:lineRule="auto"/>
        <w:jc w:val="both"/>
        <w:rPr>
          <w:rFonts w:ascii="Palatino Linotype" w:hAnsi="Palatino Linotype" w:cs="Arial"/>
          <w:sz w:val="24"/>
          <w:szCs w:val="24"/>
        </w:rPr>
      </w:pPr>
      <w:r>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ahora Recurrente, conforme a lo dispuesto en los artículos 6, apartado A, fracción IV, de la Constitución Política de los Estados Unidos Mexicanos; 5, párrafos trigésimo segundo y trigésimo tercero,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265A4573" w14:textId="77777777" w:rsidR="001B55DB" w:rsidRDefault="001B55DB">
      <w:pPr>
        <w:spacing w:after="0" w:line="360" w:lineRule="auto"/>
        <w:jc w:val="both"/>
        <w:rPr>
          <w:rFonts w:ascii="Palatino Linotype" w:hAnsi="Palatino Linotype" w:cs="Arial"/>
          <w:sz w:val="24"/>
          <w:szCs w:val="24"/>
        </w:rPr>
      </w:pPr>
    </w:p>
    <w:p w14:paraId="70270460" w14:textId="77777777" w:rsidR="001B55DB" w:rsidRDefault="006D6396">
      <w:pPr>
        <w:autoSpaceDE w:val="0"/>
        <w:autoSpaceDN w:val="0"/>
        <w:adjustRightInd w:val="0"/>
        <w:spacing w:after="0" w:line="360" w:lineRule="auto"/>
        <w:jc w:val="both"/>
        <w:rPr>
          <w:rFonts w:ascii="Palatino Linotype" w:hAnsi="Palatino Linotype" w:cs="Arial"/>
          <w:b/>
          <w:sz w:val="28"/>
          <w:szCs w:val="24"/>
        </w:rPr>
      </w:pPr>
      <w:r>
        <w:rPr>
          <w:rFonts w:ascii="Palatino Linotype" w:hAnsi="Palatino Linotype" w:cs="Arial"/>
          <w:b/>
          <w:sz w:val="28"/>
          <w:szCs w:val="24"/>
        </w:rPr>
        <w:t xml:space="preserve">SEGUNDO. De los alcances del Recurso de Revisión. </w:t>
      </w:r>
    </w:p>
    <w:p w14:paraId="23DFBF2D" w14:textId="77777777" w:rsidR="001B55DB" w:rsidRDefault="006D6396">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59B5F531" w14:textId="77777777" w:rsidR="001B55DB" w:rsidRDefault="001B55DB">
      <w:pPr>
        <w:autoSpaceDE w:val="0"/>
        <w:autoSpaceDN w:val="0"/>
        <w:adjustRightInd w:val="0"/>
        <w:spacing w:after="0" w:line="360" w:lineRule="auto"/>
        <w:jc w:val="both"/>
        <w:rPr>
          <w:rFonts w:ascii="Palatino Linotype" w:hAnsi="Palatino Linotype" w:cs="Arial"/>
          <w:sz w:val="24"/>
          <w:szCs w:val="24"/>
        </w:rPr>
      </w:pPr>
    </w:p>
    <w:p w14:paraId="348C3C75" w14:textId="77777777" w:rsidR="001B55DB" w:rsidRDefault="006D6396">
      <w:pPr>
        <w:autoSpaceDE w:val="0"/>
        <w:autoSpaceDN w:val="0"/>
        <w:adjustRightInd w:val="0"/>
        <w:spacing w:after="0" w:line="360" w:lineRule="auto"/>
        <w:jc w:val="both"/>
        <w:rPr>
          <w:rFonts w:ascii="Palatino Linotype" w:eastAsia="Times New Roman" w:hAnsi="Palatino Linotype" w:cs="Arial"/>
          <w:b/>
          <w:sz w:val="24"/>
          <w:szCs w:val="24"/>
          <w:lang w:val="es-ES" w:eastAsia="es-ES"/>
        </w:rPr>
      </w:pPr>
      <w:r>
        <w:rPr>
          <w:rFonts w:ascii="Palatino Linotype" w:eastAsia="Times New Roman" w:hAnsi="Palatino Linotype" w:cs="Arial"/>
          <w:b/>
          <w:sz w:val="28"/>
          <w:szCs w:val="24"/>
          <w:lang w:val="es-ES" w:eastAsia="es-ES"/>
        </w:rPr>
        <w:t>TERCERO. Cuestiones de previo y especial pronunciamiento</w:t>
      </w:r>
      <w:r>
        <w:rPr>
          <w:rFonts w:ascii="Palatino Linotype" w:eastAsia="Times New Roman" w:hAnsi="Palatino Linotype" w:cs="Arial"/>
          <w:b/>
          <w:sz w:val="24"/>
          <w:szCs w:val="24"/>
          <w:lang w:val="es-ES" w:eastAsia="es-ES"/>
        </w:rPr>
        <w:t>.</w:t>
      </w:r>
    </w:p>
    <w:p w14:paraId="02F81E50" w14:textId="77777777" w:rsidR="001B55DB" w:rsidRDefault="006D6396">
      <w:pPr>
        <w:autoSpaceDE w:val="0"/>
        <w:autoSpaceDN w:val="0"/>
        <w:adjustRightInd w:val="0"/>
        <w:spacing w:after="0" w:line="360" w:lineRule="auto"/>
        <w:jc w:val="both"/>
        <w:rPr>
          <w:rFonts w:ascii="Palatino Linotype" w:eastAsia="Times New Roman" w:hAnsi="Palatino Linotype" w:cs="Arial"/>
          <w:sz w:val="28"/>
          <w:szCs w:val="24"/>
          <w:lang w:val="es-ES" w:eastAsia="es-ES"/>
        </w:rPr>
      </w:pPr>
      <w:r>
        <w:rPr>
          <w:rFonts w:ascii="Palatino Linotype" w:eastAsia="Times New Roman" w:hAnsi="Palatino Linotype" w:cs="Arial"/>
          <w:sz w:val="24"/>
          <w:szCs w:val="24"/>
          <w:lang w:val="es-ES" w:eastAsia="es-ES"/>
        </w:rPr>
        <w:t xml:space="preserve">El Recurso de Revisión en estudio contiene los elementos normativos de validez exigidos en </w:t>
      </w:r>
      <w:r>
        <w:rPr>
          <w:rFonts w:ascii="Palatino Linotype" w:eastAsia="Times New Roman" w:hAnsi="Palatino Linotype"/>
          <w:sz w:val="24"/>
          <w:szCs w:val="24"/>
          <w:lang w:val="es-ES" w:eastAsia="es-ES"/>
        </w:rPr>
        <w:t xml:space="preserve">la Ley de Transparencia y </w:t>
      </w:r>
      <w:r>
        <w:rPr>
          <w:rFonts w:ascii="Palatino Linotype" w:eastAsia="Times New Roman" w:hAnsi="Palatino Linotype" w:cs="Arial"/>
          <w:sz w:val="24"/>
          <w:szCs w:val="24"/>
          <w:lang w:eastAsia="es-ES"/>
        </w:rPr>
        <w:t>Acceso a la Información Pública del Estado de México y Municipios</w:t>
      </w:r>
      <w:r>
        <w:rPr>
          <w:rFonts w:ascii="Palatino Linotype" w:eastAsia="Times New Roman" w:hAnsi="Palatino Linotype"/>
          <w:sz w:val="24"/>
          <w:szCs w:val="24"/>
          <w:lang w:val="es-ES" w:eastAsia="es-ES"/>
        </w:rPr>
        <w:t>, establecidos en el artículo 180, que enuncia:</w:t>
      </w:r>
    </w:p>
    <w:p w14:paraId="03AF9352" w14:textId="77777777" w:rsidR="001B55DB" w:rsidRDefault="001B55DB">
      <w:pPr>
        <w:spacing w:after="0" w:line="240" w:lineRule="auto"/>
        <w:rPr>
          <w:rFonts w:ascii="Times New Roman" w:eastAsia="Times New Roman" w:hAnsi="Times New Roman"/>
          <w:sz w:val="24"/>
          <w:szCs w:val="24"/>
          <w:lang w:eastAsia="es-ES"/>
        </w:rPr>
      </w:pPr>
    </w:p>
    <w:p w14:paraId="01B3635F" w14:textId="77777777" w:rsidR="001B55DB" w:rsidRDefault="006D6396">
      <w:pPr>
        <w:spacing w:after="0" w:line="240" w:lineRule="auto"/>
        <w:ind w:left="851" w:right="1275"/>
        <w:jc w:val="both"/>
        <w:rPr>
          <w:rFonts w:ascii="Palatino Linotype" w:eastAsia="Times New Roman" w:hAnsi="Palatino Linotype" w:cs="Arial"/>
          <w:i/>
          <w:szCs w:val="24"/>
          <w:lang w:val="es-ES" w:eastAsia="es-ES"/>
        </w:rPr>
      </w:pPr>
      <w:r>
        <w:rPr>
          <w:rFonts w:ascii="Palatino Linotype" w:eastAsia="Times New Roman" w:hAnsi="Palatino Linotype" w:cs="Arial"/>
          <w:b/>
          <w:i/>
          <w:szCs w:val="24"/>
          <w:lang w:val="es-ES" w:eastAsia="es-ES"/>
        </w:rPr>
        <w:t xml:space="preserve">“Artículo 180. </w:t>
      </w:r>
      <w:r>
        <w:rPr>
          <w:rFonts w:ascii="Palatino Linotype" w:eastAsia="Times New Roman" w:hAnsi="Palatino Linotype" w:cs="Arial"/>
          <w:i/>
          <w:szCs w:val="24"/>
          <w:lang w:val="es-ES" w:eastAsia="es-ES"/>
        </w:rPr>
        <w:t>El recurso de revisión contendrá:</w:t>
      </w:r>
    </w:p>
    <w:p w14:paraId="59F7EEEB" w14:textId="77777777" w:rsidR="001B55DB" w:rsidRDefault="006D6396">
      <w:pPr>
        <w:spacing w:after="0" w:line="240" w:lineRule="auto"/>
        <w:ind w:left="851" w:right="1275"/>
        <w:jc w:val="both"/>
        <w:rPr>
          <w:rFonts w:ascii="Palatino Linotype" w:eastAsia="Times New Roman" w:hAnsi="Palatino Linotype" w:cs="Arial"/>
          <w:i/>
          <w:szCs w:val="24"/>
          <w:lang w:val="es-ES" w:eastAsia="es-ES"/>
        </w:rPr>
      </w:pPr>
      <w:r>
        <w:rPr>
          <w:rFonts w:ascii="Palatino Linotype" w:eastAsia="Times New Roman" w:hAnsi="Palatino Linotype" w:cs="Arial"/>
          <w:i/>
          <w:szCs w:val="24"/>
          <w:lang w:val="es-ES" w:eastAsia="es-ES"/>
        </w:rPr>
        <w:t>I. El sujeto obligado ante la cual se presentó la solicitud;</w:t>
      </w:r>
    </w:p>
    <w:p w14:paraId="17959FE5" w14:textId="77777777" w:rsidR="001B55DB" w:rsidRDefault="006D6396">
      <w:pPr>
        <w:spacing w:after="0" w:line="240" w:lineRule="auto"/>
        <w:ind w:left="851" w:right="1275"/>
        <w:jc w:val="both"/>
        <w:rPr>
          <w:rFonts w:ascii="Palatino Linotype" w:eastAsia="Times New Roman" w:hAnsi="Palatino Linotype" w:cs="Arial"/>
          <w:i/>
          <w:szCs w:val="24"/>
          <w:lang w:val="es-ES" w:eastAsia="es-ES"/>
        </w:rPr>
      </w:pPr>
      <w:r>
        <w:rPr>
          <w:rFonts w:ascii="Palatino Linotype" w:eastAsia="Times New Roman" w:hAnsi="Palatino Linotype" w:cs="Arial"/>
          <w:b/>
          <w:i/>
          <w:szCs w:val="24"/>
          <w:lang w:val="es-ES" w:eastAsia="es-ES"/>
        </w:rPr>
        <w:t>II. El nombre del solicitante que recurre</w:t>
      </w:r>
      <w:r>
        <w:rPr>
          <w:rFonts w:ascii="Palatino Linotype" w:eastAsia="Times New Roman" w:hAnsi="Palatino Linotype" w:cs="Arial"/>
          <w:i/>
          <w:szCs w:val="24"/>
          <w:lang w:val="es-ES" w:eastAsia="es-ES"/>
        </w:rPr>
        <w:t xml:space="preserve"> o de su representante y, en su caso, del tercero interesado, así como la dirección o medio que señale para recibir notificaciones;</w:t>
      </w:r>
    </w:p>
    <w:p w14:paraId="6223D4B4" w14:textId="77777777" w:rsidR="001B55DB" w:rsidRDefault="006D6396">
      <w:pPr>
        <w:spacing w:after="0" w:line="240" w:lineRule="auto"/>
        <w:ind w:left="851" w:right="1275"/>
        <w:jc w:val="both"/>
        <w:rPr>
          <w:rFonts w:ascii="Palatino Linotype" w:eastAsia="Times New Roman" w:hAnsi="Palatino Linotype" w:cs="Arial"/>
          <w:i/>
          <w:szCs w:val="24"/>
          <w:lang w:val="es-ES" w:eastAsia="es-ES"/>
        </w:rPr>
      </w:pPr>
      <w:r>
        <w:rPr>
          <w:rFonts w:ascii="Palatino Linotype" w:eastAsia="Times New Roman" w:hAnsi="Palatino Linotype" w:cs="Arial"/>
          <w:i/>
          <w:szCs w:val="24"/>
          <w:lang w:val="es-ES" w:eastAsia="es-ES"/>
        </w:rPr>
        <w:t>III. El número de folio de respuesta de la solicitud de acceso;</w:t>
      </w:r>
    </w:p>
    <w:p w14:paraId="13A3E64B" w14:textId="77777777" w:rsidR="001B55DB" w:rsidRDefault="006D6396">
      <w:pPr>
        <w:spacing w:after="0" w:line="240" w:lineRule="auto"/>
        <w:ind w:left="851" w:right="1275"/>
        <w:jc w:val="both"/>
        <w:rPr>
          <w:rFonts w:ascii="Palatino Linotype" w:eastAsia="Times New Roman" w:hAnsi="Palatino Linotype" w:cs="Arial"/>
          <w:i/>
          <w:szCs w:val="24"/>
          <w:lang w:val="es-ES" w:eastAsia="es-ES"/>
        </w:rPr>
      </w:pPr>
      <w:r>
        <w:rPr>
          <w:rFonts w:ascii="Palatino Linotype" w:eastAsia="Times New Roman" w:hAnsi="Palatino Linotype" w:cs="Arial"/>
          <w:i/>
          <w:szCs w:val="24"/>
          <w:lang w:val="es-ES" w:eastAsia="es-ES"/>
        </w:rPr>
        <w:t>IV. La fecha en que fue notificada la respuesta al solicitante o tuvo conocimiento del acto reclamado, o de presentación de la solicitud, en caso de falta de respuesta;</w:t>
      </w:r>
    </w:p>
    <w:p w14:paraId="11C68A1D" w14:textId="77777777" w:rsidR="001B55DB" w:rsidRDefault="006D6396">
      <w:pPr>
        <w:spacing w:after="0" w:line="240" w:lineRule="auto"/>
        <w:ind w:left="851" w:right="1275"/>
        <w:jc w:val="both"/>
        <w:rPr>
          <w:rFonts w:ascii="Palatino Linotype" w:eastAsia="Times New Roman" w:hAnsi="Palatino Linotype" w:cs="Arial"/>
          <w:i/>
          <w:szCs w:val="24"/>
          <w:lang w:val="es-ES" w:eastAsia="es-ES"/>
        </w:rPr>
      </w:pPr>
      <w:r>
        <w:rPr>
          <w:rFonts w:ascii="Palatino Linotype" w:eastAsia="Times New Roman" w:hAnsi="Palatino Linotype" w:cs="Arial"/>
          <w:i/>
          <w:szCs w:val="24"/>
          <w:lang w:val="es-ES" w:eastAsia="es-ES"/>
        </w:rPr>
        <w:t>V. El acto que se recurre;</w:t>
      </w:r>
    </w:p>
    <w:p w14:paraId="08AD3D3A" w14:textId="77777777" w:rsidR="001B55DB" w:rsidRDefault="006D6396">
      <w:pPr>
        <w:spacing w:after="0" w:line="240" w:lineRule="auto"/>
        <w:ind w:left="851" w:right="1275"/>
        <w:jc w:val="both"/>
        <w:rPr>
          <w:rFonts w:ascii="Palatino Linotype" w:eastAsia="Times New Roman" w:hAnsi="Palatino Linotype" w:cs="Arial"/>
          <w:i/>
          <w:szCs w:val="24"/>
          <w:lang w:val="es-ES" w:eastAsia="es-ES"/>
        </w:rPr>
      </w:pPr>
      <w:r>
        <w:rPr>
          <w:rFonts w:ascii="Palatino Linotype" w:eastAsia="Times New Roman" w:hAnsi="Palatino Linotype" w:cs="Arial"/>
          <w:i/>
          <w:szCs w:val="24"/>
          <w:lang w:val="es-ES" w:eastAsia="es-ES"/>
        </w:rPr>
        <w:t>VI. Las razones o motivos de inconformidad;</w:t>
      </w:r>
    </w:p>
    <w:p w14:paraId="79128081" w14:textId="77777777" w:rsidR="001B55DB" w:rsidRDefault="006D6396">
      <w:pPr>
        <w:spacing w:after="0" w:line="240" w:lineRule="auto"/>
        <w:ind w:left="851" w:right="1275"/>
        <w:jc w:val="both"/>
        <w:rPr>
          <w:rFonts w:ascii="Palatino Linotype" w:eastAsia="Times New Roman" w:hAnsi="Palatino Linotype" w:cs="Arial"/>
          <w:i/>
          <w:szCs w:val="24"/>
          <w:lang w:val="es-ES" w:eastAsia="es-ES"/>
        </w:rPr>
      </w:pPr>
      <w:r>
        <w:rPr>
          <w:rFonts w:ascii="Palatino Linotype" w:eastAsia="Times New Roman" w:hAnsi="Palatino Linotype" w:cs="Arial"/>
          <w:i/>
          <w:szCs w:val="24"/>
          <w:lang w:val="es-ES" w:eastAsia="es-ES"/>
        </w:rPr>
        <w:t>VII. La copia de la respuesta que se impugna y, en su caso, de la notificación correspondiente, en el caso de respuesta de la solicitud; y</w:t>
      </w:r>
    </w:p>
    <w:p w14:paraId="55D8DC08" w14:textId="77777777" w:rsidR="001B55DB" w:rsidRDefault="006D6396">
      <w:pPr>
        <w:spacing w:after="0" w:line="240" w:lineRule="auto"/>
        <w:ind w:left="851" w:right="1275"/>
        <w:jc w:val="both"/>
        <w:rPr>
          <w:rFonts w:ascii="Palatino Linotype" w:eastAsia="Times New Roman" w:hAnsi="Palatino Linotype" w:cs="Arial"/>
          <w:i/>
          <w:szCs w:val="24"/>
          <w:lang w:val="es-ES" w:eastAsia="es-ES"/>
        </w:rPr>
      </w:pPr>
      <w:r>
        <w:rPr>
          <w:rFonts w:ascii="Palatino Linotype" w:eastAsia="Times New Roman" w:hAnsi="Palatino Linotype" w:cs="Arial"/>
          <w:i/>
          <w:szCs w:val="24"/>
          <w:lang w:val="es-ES" w:eastAsia="es-ES"/>
        </w:rPr>
        <w:t>VIII. Firma del recurrente, en su caso, cuando se presente por escrito, requisito sin el cual se dará trámite al recurso.</w:t>
      </w:r>
    </w:p>
    <w:p w14:paraId="7B7E12D1" w14:textId="77777777" w:rsidR="001B55DB" w:rsidRDefault="001B55DB">
      <w:pPr>
        <w:spacing w:after="0" w:line="240" w:lineRule="auto"/>
        <w:ind w:left="851" w:right="1275"/>
        <w:jc w:val="both"/>
        <w:rPr>
          <w:rFonts w:ascii="Palatino Linotype" w:eastAsia="Times New Roman" w:hAnsi="Palatino Linotype" w:cs="Arial"/>
          <w:i/>
          <w:szCs w:val="24"/>
          <w:lang w:val="es-ES" w:eastAsia="es-ES"/>
        </w:rPr>
      </w:pPr>
    </w:p>
    <w:p w14:paraId="2EA4DC0E" w14:textId="77777777" w:rsidR="001B55DB" w:rsidRDefault="006D6396">
      <w:pPr>
        <w:spacing w:after="0" w:line="240" w:lineRule="auto"/>
        <w:ind w:left="851" w:right="1275"/>
        <w:jc w:val="both"/>
        <w:rPr>
          <w:rFonts w:ascii="Palatino Linotype" w:eastAsia="Times New Roman" w:hAnsi="Palatino Linotype" w:cs="Arial"/>
          <w:i/>
          <w:szCs w:val="24"/>
          <w:lang w:val="es-ES" w:eastAsia="es-ES"/>
        </w:rPr>
      </w:pPr>
      <w:r>
        <w:rPr>
          <w:rFonts w:ascii="Palatino Linotype" w:eastAsia="Times New Roman" w:hAnsi="Palatino Linotype" w:cs="Arial"/>
          <w:i/>
          <w:szCs w:val="24"/>
          <w:lang w:val="es-ES" w:eastAsia="es-ES"/>
        </w:rPr>
        <w:t>Adicionalmente, se podrán anexar las pruebas y demás elementos que considere procedentes someter a juicio del Instituto.</w:t>
      </w:r>
    </w:p>
    <w:p w14:paraId="059ACFF1" w14:textId="77777777" w:rsidR="001B55DB" w:rsidRDefault="001B55DB">
      <w:pPr>
        <w:spacing w:after="0" w:line="240" w:lineRule="auto"/>
        <w:ind w:left="851" w:right="1275"/>
        <w:jc w:val="both"/>
        <w:rPr>
          <w:rFonts w:ascii="Palatino Linotype" w:eastAsia="Times New Roman" w:hAnsi="Palatino Linotype" w:cs="Arial"/>
          <w:i/>
          <w:szCs w:val="24"/>
          <w:lang w:val="es-ES" w:eastAsia="es-ES"/>
        </w:rPr>
      </w:pPr>
    </w:p>
    <w:p w14:paraId="1F2815A3" w14:textId="77777777" w:rsidR="001B55DB" w:rsidRDefault="006D6396">
      <w:pPr>
        <w:spacing w:after="0" w:line="240" w:lineRule="auto"/>
        <w:ind w:left="851" w:right="1275"/>
        <w:jc w:val="both"/>
        <w:rPr>
          <w:rFonts w:ascii="Palatino Linotype" w:eastAsia="Times New Roman" w:hAnsi="Palatino Linotype" w:cs="Arial"/>
          <w:i/>
          <w:szCs w:val="24"/>
          <w:lang w:val="es-ES" w:eastAsia="es-ES"/>
        </w:rPr>
      </w:pPr>
      <w:r>
        <w:rPr>
          <w:rFonts w:ascii="Palatino Linotype" w:eastAsia="Times New Roman" w:hAnsi="Palatino Linotype" w:cs="Arial"/>
          <w:i/>
          <w:szCs w:val="24"/>
          <w:lang w:val="es-ES" w:eastAsia="es-ES"/>
        </w:rPr>
        <w:lastRenderedPageBreak/>
        <w:t>En ningún caso será necesario que el particular ratifique el recurso de revisión interpuesto.</w:t>
      </w:r>
    </w:p>
    <w:p w14:paraId="5FD2D3D2" w14:textId="77777777" w:rsidR="001B55DB" w:rsidRDefault="001B55DB">
      <w:pPr>
        <w:spacing w:after="0" w:line="240" w:lineRule="auto"/>
        <w:ind w:left="851" w:right="1275"/>
        <w:jc w:val="both"/>
        <w:rPr>
          <w:rFonts w:ascii="Palatino Linotype" w:eastAsia="Times New Roman" w:hAnsi="Palatino Linotype" w:cs="Arial"/>
          <w:i/>
          <w:szCs w:val="24"/>
          <w:lang w:val="es-ES" w:eastAsia="es-ES"/>
        </w:rPr>
      </w:pPr>
    </w:p>
    <w:p w14:paraId="361515AD" w14:textId="77777777" w:rsidR="001B55DB" w:rsidRDefault="006D6396">
      <w:pPr>
        <w:spacing w:after="0" w:line="240" w:lineRule="auto"/>
        <w:ind w:left="851" w:right="1275"/>
        <w:jc w:val="both"/>
        <w:rPr>
          <w:rFonts w:ascii="Palatino Linotype" w:eastAsia="Times New Roman" w:hAnsi="Palatino Linotype" w:cs="Arial"/>
          <w:i/>
          <w:szCs w:val="24"/>
          <w:lang w:val="es-ES" w:eastAsia="es-ES"/>
        </w:rPr>
      </w:pPr>
      <w:r>
        <w:rPr>
          <w:rFonts w:ascii="Palatino Linotype" w:eastAsia="Times New Roman" w:hAnsi="Palatino Linotype" w:cs="Arial"/>
          <w:b/>
          <w:i/>
          <w:szCs w:val="24"/>
          <w:lang w:val="es-ES" w:eastAsia="es-ES"/>
        </w:rPr>
        <w:t>En caso de que el recurso se interponga de manera electrónica no será indispensable que contengan los requisitos establecidos en las fracciones II</w:t>
      </w:r>
      <w:r>
        <w:rPr>
          <w:rFonts w:ascii="Palatino Linotype" w:eastAsia="Times New Roman" w:hAnsi="Palatino Linotype" w:cs="Arial"/>
          <w:i/>
          <w:szCs w:val="24"/>
          <w:lang w:val="es-ES" w:eastAsia="es-ES"/>
        </w:rPr>
        <w:t>, IV, VII y VIII.”</w:t>
      </w:r>
    </w:p>
    <w:p w14:paraId="61ED6763" w14:textId="77777777" w:rsidR="001B55DB" w:rsidRDefault="006D6396">
      <w:pPr>
        <w:spacing w:after="0" w:line="240" w:lineRule="auto"/>
        <w:ind w:left="851"/>
        <w:jc w:val="right"/>
        <w:rPr>
          <w:rFonts w:ascii="Palatino Linotype" w:eastAsia="Times New Roman" w:hAnsi="Palatino Linotype" w:cs="Arial"/>
          <w:b/>
          <w:i/>
          <w:sz w:val="20"/>
          <w:szCs w:val="24"/>
          <w:lang w:val="es-ES" w:eastAsia="es-ES"/>
        </w:rPr>
      </w:pPr>
      <w:r>
        <w:rPr>
          <w:rFonts w:ascii="Palatino Linotype" w:eastAsia="Times New Roman" w:hAnsi="Palatino Linotype" w:cs="Arial"/>
          <w:b/>
          <w:i/>
          <w:sz w:val="20"/>
          <w:szCs w:val="24"/>
          <w:lang w:val="es-ES" w:eastAsia="es-ES"/>
        </w:rPr>
        <w:t>[Énfasis añadido]</w:t>
      </w:r>
    </w:p>
    <w:p w14:paraId="6BA41D20" w14:textId="77777777" w:rsidR="001B55DB" w:rsidRDefault="001B55DB">
      <w:pPr>
        <w:spacing w:after="0" w:line="360" w:lineRule="auto"/>
        <w:jc w:val="both"/>
        <w:rPr>
          <w:rFonts w:ascii="Palatino Linotype" w:hAnsi="Palatino Linotype" w:cs="Segoe UI"/>
          <w:sz w:val="24"/>
          <w:szCs w:val="24"/>
          <w:lang w:val="es-ES" w:eastAsia="es-ES"/>
        </w:rPr>
      </w:pPr>
    </w:p>
    <w:p w14:paraId="11FE3E80" w14:textId="77777777" w:rsidR="001B55DB" w:rsidRDefault="006D6396">
      <w:pPr>
        <w:spacing w:after="0" w:line="360" w:lineRule="auto"/>
        <w:jc w:val="both"/>
        <w:rPr>
          <w:rFonts w:ascii="Palatino Linotype" w:hAnsi="Palatino Linotype" w:cs="Arial"/>
          <w:sz w:val="24"/>
          <w:szCs w:val="24"/>
          <w:lang w:val="es-ES" w:eastAsia="es-ES"/>
        </w:rPr>
      </w:pPr>
      <w:r>
        <w:rPr>
          <w:rFonts w:ascii="Palatino Linotype" w:hAnsi="Palatino Linotype" w:cs="Segoe UI"/>
          <w:sz w:val="24"/>
          <w:szCs w:val="24"/>
          <w:lang w:val="es-ES" w:eastAsia="es-ES"/>
        </w:rPr>
        <w:t xml:space="preserve">Cabe señalar que </w:t>
      </w:r>
      <w:r>
        <w:rPr>
          <w:rFonts w:ascii="Palatino Linotype" w:hAnsi="Palatino Linotype" w:cs="Segoe UI"/>
          <w:b/>
          <w:sz w:val="24"/>
          <w:szCs w:val="24"/>
          <w:lang w:val="es-ES" w:eastAsia="es-ES"/>
        </w:rPr>
        <w:t xml:space="preserve">El Recurrente </w:t>
      </w:r>
      <w:r>
        <w:rPr>
          <w:rFonts w:ascii="Palatino Linotype" w:hAnsi="Palatino Linotype" w:cs="Segoe UI"/>
          <w:sz w:val="24"/>
          <w:szCs w:val="24"/>
          <w:lang w:val="es-ES" w:eastAsia="es-ES"/>
        </w:rPr>
        <w:t>no señaló nombre o seudónimo para ser identificado en la solicitud de información</w:t>
      </w:r>
      <w:r>
        <w:rPr>
          <w:rFonts w:ascii="Palatino Linotype" w:eastAsiaTheme="minorEastAsia" w:hAnsi="Palatino Linotype" w:cs="Arial"/>
          <w:sz w:val="24"/>
          <w:szCs w:val="24"/>
          <w:lang w:val="es-ES" w:eastAsia="es-ES"/>
        </w:rPr>
        <w:t xml:space="preserve">. </w:t>
      </w:r>
      <w:r>
        <w:rPr>
          <w:rFonts w:ascii="Palatino Linotype" w:hAnsi="Palatino Linotype"/>
          <w:sz w:val="24"/>
          <w:szCs w:val="24"/>
          <w:lang w:val="es-ES" w:eastAsia="es-ES"/>
        </w:rPr>
        <w:t xml:space="preserve">No obstante lo anterior, proporcionar un seudónimo, no es motivo para desechar las </w:t>
      </w:r>
      <w:r>
        <w:rPr>
          <w:rFonts w:ascii="Palatino Linotype"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14:paraId="61B0814D" w14:textId="77777777" w:rsidR="001B55DB" w:rsidRDefault="001B55DB">
      <w:pPr>
        <w:spacing w:after="0" w:line="240" w:lineRule="auto"/>
        <w:rPr>
          <w:rFonts w:ascii="Times New Roman" w:hAnsi="Times New Roman"/>
          <w:sz w:val="16"/>
          <w:szCs w:val="24"/>
          <w:lang w:val="es-ES" w:eastAsia="es-ES"/>
        </w:rPr>
      </w:pPr>
    </w:p>
    <w:p w14:paraId="4B5D47C8" w14:textId="77777777" w:rsidR="001B55DB" w:rsidRDefault="001B55DB">
      <w:pPr>
        <w:spacing w:after="0" w:line="240" w:lineRule="auto"/>
        <w:rPr>
          <w:rFonts w:ascii="Times New Roman" w:hAnsi="Times New Roman"/>
          <w:sz w:val="2"/>
          <w:szCs w:val="24"/>
          <w:lang w:val="es-ES" w:eastAsia="es-ES"/>
        </w:rPr>
      </w:pPr>
    </w:p>
    <w:p w14:paraId="54979135" w14:textId="77777777" w:rsidR="001B55DB" w:rsidRDefault="006D6396">
      <w:pPr>
        <w:spacing w:after="0" w:line="240" w:lineRule="auto"/>
        <w:ind w:left="851" w:right="900"/>
        <w:jc w:val="both"/>
        <w:rPr>
          <w:rFonts w:ascii="Palatino Linotype" w:hAnsi="Palatino Linotype" w:cs="Arial"/>
          <w:i/>
          <w:sz w:val="24"/>
          <w:szCs w:val="24"/>
          <w:lang w:val="es-ES" w:eastAsia="es-ES"/>
        </w:rPr>
      </w:pPr>
      <w:r>
        <w:rPr>
          <w:rFonts w:ascii="Palatino Linotype" w:hAnsi="Palatino Linotype" w:cs="Arial"/>
          <w:i/>
          <w:sz w:val="24"/>
          <w:szCs w:val="24"/>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p>
    <w:p w14:paraId="55AA7804" w14:textId="77777777" w:rsidR="001B55DB" w:rsidRDefault="001B55DB">
      <w:pPr>
        <w:spacing w:after="0" w:line="240" w:lineRule="auto"/>
        <w:ind w:left="851" w:right="900"/>
        <w:jc w:val="both"/>
        <w:rPr>
          <w:rFonts w:ascii="Palatino Linotype" w:hAnsi="Palatino Linotype" w:cs="Arial"/>
          <w:i/>
          <w:sz w:val="12"/>
          <w:szCs w:val="24"/>
          <w:lang w:val="es-ES" w:eastAsia="es-ES"/>
        </w:rPr>
      </w:pPr>
    </w:p>
    <w:p w14:paraId="07CB2286" w14:textId="77777777" w:rsidR="001B55DB" w:rsidRDefault="006D6396">
      <w:pPr>
        <w:spacing w:before="240" w:after="240" w:line="360" w:lineRule="auto"/>
        <w:jc w:val="both"/>
        <w:rPr>
          <w:rFonts w:ascii="Palatino Linotype" w:hAnsi="Palatino Linotype"/>
          <w:sz w:val="24"/>
          <w:szCs w:val="24"/>
          <w:lang w:val="es-ES" w:eastAsia="es-ES"/>
        </w:rPr>
      </w:pPr>
      <w:r>
        <w:rPr>
          <w:rFonts w:ascii="Palatino Linotype" w:hAnsi="Palatino Linotype"/>
          <w:sz w:val="24"/>
          <w:szCs w:val="24"/>
          <w:lang w:val="es-ES" w:eastAsia="es-ES"/>
        </w:rPr>
        <w:t xml:space="preserve">Robusteciendo lo anterior se encuentra lo dispuesto en los artículos 6, Apartado A, fracciones III y IV, de la Constitución Política de los Estados Unidos Mexicanos y 5 párrafos </w:t>
      </w:r>
      <w:r>
        <w:rPr>
          <w:rFonts w:ascii="Palatino Linotype" w:hAnsi="Palatino Linotype" w:cs="Arial"/>
          <w:sz w:val="24"/>
          <w:szCs w:val="24"/>
          <w:lang w:val="es-ES" w:eastAsia="es-ES"/>
        </w:rPr>
        <w:t>vigésimo, vigésimo primero</w:t>
      </w:r>
      <w:r>
        <w:rPr>
          <w:rFonts w:ascii="Palatino Linotype" w:eastAsia="Times New Roman" w:hAnsi="Palatino Linotype" w:cs="Arial"/>
          <w:sz w:val="24"/>
          <w:szCs w:val="24"/>
          <w:lang w:val="es-ES" w:eastAsia="es-ES"/>
        </w:rPr>
        <w:t xml:space="preserve"> y vigésimo segundo</w:t>
      </w:r>
      <w:r>
        <w:rPr>
          <w:rFonts w:ascii="Palatino Linotype" w:hAnsi="Palatino Linotype"/>
          <w:sz w:val="24"/>
          <w:szCs w:val="24"/>
          <w:lang w:val="es-ES" w:eastAsia="es-ES"/>
        </w:rPr>
        <w:t>, de la Constitución Política del Estado Libre y Soberano de México, se establece lo siguiente:</w:t>
      </w:r>
    </w:p>
    <w:p w14:paraId="16F825D4" w14:textId="77777777" w:rsidR="001B55DB" w:rsidRDefault="006D6396">
      <w:pPr>
        <w:spacing w:before="240" w:after="240" w:line="240" w:lineRule="auto"/>
        <w:ind w:left="851" w:right="900"/>
        <w:jc w:val="center"/>
        <w:rPr>
          <w:rFonts w:ascii="Palatino Linotype" w:hAnsi="Palatino Linotype"/>
          <w:b/>
          <w:i/>
          <w:sz w:val="24"/>
          <w:szCs w:val="24"/>
          <w:lang w:val="es-ES" w:eastAsia="es-ES"/>
        </w:rPr>
      </w:pPr>
      <w:r>
        <w:rPr>
          <w:rFonts w:ascii="Palatino Linotype" w:hAnsi="Palatino Linotype"/>
          <w:b/>
          <w:i/>
          <w:sz w:val="24"/>
          <w:szCs w:val="24"/>
          <w:lang w:val="es-ES" w:eastAsia="es-ES"/>
        </w:rPr>
        <w:t>Constitución Política de los Estados Unidos Mexicanos</w:t>
      </w:r>
    </w:p>
    <w:p w14:paraId="48D003DE" w14:textId="77777777" w:rsidR="001B55DB" w:rsidRDefault="006D6396">
      <w:pPr>
        <w:spacing w:before="240" w:after="240" w:line="240" w:lineRule="auto"/>
        <w:ind w:left="851" w:right="900"/>
        <w:jc w:val="both"/>
        <w:rPr>
          <w:rFonts w:ascii="Palatino Linotype" w:hAnsi="Palatino Linotype"/>
          <w:i/>
          <w:sz w:val="24"/>
          <w:szCs w:val="24"/>
          <w:lang w:val="es-ES" w:eastAsia="es-ES"/>
        </w:rPr>
      </w:pPr>
      <w:r>
        <w:rPr>
          <w:rFonts w:ascii="Palatino Linotype" w:hAnsi="Palatino Linotype"/>
          <w:i/>
          <w:sz w:val="24"/>
          <w:szCs w:val="24"/>
          <w:lang w:val="es-ES" w:eastAsia="es-ES"/>
        </w:rPr>
        <w:t>“</w:t>
      </w:r>
      <w:r>
        <w:rPr>
          <w:rFonts w:ascii="Palatino Linotype" w:hAnsi="Palatino Linotype"/>
          <w:b/>
          <w:i/>
          <w:sz w:val="24"/>
          <w:szCs w:val="24"/>
          <w:lang w:val="es-ES" w:eastAsia="es-ES"/>
        </w:rPr>
        <w:t>Artículo 6</w:t>
      </w:r>
      <w:r>
        <w:rPr>
          <w:rFonts w:ascii="Palatino Linotype" w:hAnsi="Palatino Linotype"/>
          <w:i/>
          <w:sz w:val="24"/>
          <w:szCs w:val="24"/>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6F312AEC" w14:textId="77777777" w:rsidR="001B55DB" w:rsidRDefault="006D6396">
      <w:pPr>
        <w:spacing w:before="240" w:after="240" w:line="240" w:lineRule="auto"/>
        <w:ind w:left="851" w:right="900"/>
        <w:jc w:val="both"/>
        <w:rPr>
          <w:rFonts w:ascii="Palatino Linotype" w:hAnsi="Palatino Linotype"/>
          <w:i/>
          <w:sz w:val="24"/>
          <w:szCs w:val="24"/>
          <w:lang w:val="es-ES" w:eastAsia="es-ES"/>
        </w:rPr>
      </w:pPr>
      <w:r>
        <w:rPr>
          <w:rFonts w:ascii="Palatino Linotype" w:hAnsi="Palatino Linotype"/>
          <w:i/>
          <w:sz w:val="24"/>
          <w:szCs w:val="24"/>
          <w:lang w:val="es-ES" w:eastAsia="es-ES"/>
        </w:rPr>
        <w:t>(…)</w:t>
      </w:r>
    </w:p>
    <w:p w14:paraId="4C488051" w14:textId="77777777" w:rsidR="001B55DB" w:rsidRDefault="006D6396">
      <w:pPr>
        <w:spacing w:before="240" w:after="240" w:line="240" w:lineRule="auto"/>
        <w:ind w:left="851" w:right="900"/>
        <w:jc w:val="both"/>
        <w:rPr>
          <w:rFonts w:ascii="Palatino Linotype" w:hAnsi="Palatino Linotype"/>
          <w:i/>
          <w:sz w:val="24"/>
          <w:szCs w:val="24"/>
          <w:lang w:val="es-ES" w:eastAsia="es-ES"/>
        </w:rPr>
      </w:pPr>
      <w:r>
        <w:rPr>
          <w:rFonts w:ascii="Palatino Linotype" w:hAnsi="Palatino Linotype"/>
          <w:i/>
          <w:sz w:val="24"/>
          <w:szCs w:val="24"/>
          <w:lang w:val="es-ES" w:eastAsia="es-ES"/>
        </w:rPr>
        <w:lastRenderedPageBreak/>
        <w:t xml:space="preserve">Para efectos de lo dispuesto en el presente artículo se observará lo siguiente: </w:t>
      </w:r>
    </w:p>
    <w:p w14:paraId="146F8283" w14:textId="77777777" w:rsidR="001B55DB" w:rsidRDefault="006D6396">
      <w:pPr>
        <w:spacing w:before="240" w:after="240" w:line="240" w:lineRule="auto"/>
        <w:ind w:left="851" w:right="900"/>
        <w:jc w:val="both"/>
        <w:rPr>
          <w:rFonts w:ascii="Palatino Linotype" w:hAnsi="Palatino Linotype"/>
          <w:i/>
          <w:sz w:val="24"/>
          <w:szCs w:val="24"/>
          <w:lang w:val="es-ES" w:eastAsia="es-ES"/>
        </w:rPr>
      </w:pPr>
      <w:r>
        <w:rPr>
          <w:rFonts w:ascii="Palatino Linotype" w:hAnsi="Palatino Linotype"/>
          <w:i/>
          <w:sz w:val="24"/>
          <w:szCs w:val="24"/>
          <w:lang w:val="es-ES" w:eastAsia="es-ES"/>
        </w:rPr>
        <w:t>A. Para el ejercicio del derecho de acceso a la información, la Federación, los Estados y el Distrito Federal, en el ámbito de sus respectivas competencias, se regirán por los siguientes principios y bases:</w:t>
      </w:r>
    </w:p>
    <w:p w14:paraId="14EEA253" w14:textId="77777777" w:rsidR="001B55DB" w:rsidRDefault="006D6396">
      <w:pPr>
        <w:spacing w:before="240" w:after="240" w:line="240" w:lineRule="auto"/>
        <w:ind w:left="851" w:right="900"/>
        <w:jc w:val="both"/>
        <w:rPr>
          <w:rFonts w:ascii="Palatino Linotype" w:hAnsi="Palatino Linotype"/>
          <w:i/>
          <w:sz w:val="24"/>
          <w:szCs w:val="24"/>
          <w:lang w:val="es-ES" w:eastAsia="es-ES"/>
        </w:rPr>
      </w:pPr>
      <w:r>
        <w:rPr>
          <w:rFonts w:ascii="Palatino Linotype" w:hAnsi="Palatino Linotype"/>
          <w:i/>
          <w:sz w:val="24"/>
          <w:szCs w:val="24"/>
          <w:lang w:val="es-ES" w:eastAsia="es-ES"/>
        </w:rPr>
        <w:t>(…)</w:t>
      </w:r>
    </w:p>
    <w:p w14:paraId="21D60F9D" w14:textId="77777777" w:rsidR="001B55DB" w:rsidRDefault="006D6396">
      <w:pPr>
        <w:spacing w:before="240" w:after="240" w:line="240" w:lineRule="auto"/>
        <w:ind w:left="851" w:right="900"/>
        <w:jc w:val="both"/>
        <w:rPr>
          <w:rFonts w:ascii="Palatino Linotype" w:hAnsi="Palatino Linotype"/>
          <w:i/>
          <w:sz w:val="24"/>
          <w:szCs w:val="24"/>
          <w:lang w:val="es-ES" w:eastAsia="es-ES"/>
        </w:rPr>
      </w:pPr>
      <w:r>
        <w:rPr>
          <w:rFonts w:ascii="Palatino Linotype" w:hAnsi="Palatino Linotype"/>
          <w:i/>
          <w:sz w:val="24"/>
          <w:szCs w:val="24"/>
          <w:lang w:val="es-ES" w:eastAsia="es-ES"/>
        </w:rPr>
        <w:t xml:space="preserve">III. Toda persona, sin necesidad de acreditar interés alguno o justificar su utilización, tendrá acceso gratuito a la información pública, a sus datos personales o a la rectificación de éstos. </w:t>
      </w:r>
    </w:p>
    <w:p w14:paraId="2C21BC20" w14:textId="77777777" w:rsidR="001B55DB" w:rsidRDefault="006D6396">
      <w:pPr>
        <w:spacing w:before="240" w:after="240" w:line="240" w:lineRule="auto"/>
        <w:ind w:left="851" w:right="900"/>
        <w:jc w:val="both"/>
        <w:rPr>
          <w:rFonts w:ascii="Palatino Linotype" w:hAnsi="Palatino Linotype"/>
          <w:i/>
          <w:sz w:val="24"/>
          <w:szCs w:val="24"/>
          <w:lang w:val="es-ES" w:eastAsia="es-ES"/>
        </w:rPr>
      </w:pPr>
      <w:r>
        <w:rPr>
          <w:rFonts w:ascii="Palatino Linotype" w:hAnsi="Palatino Linotype"/>
          <w:i/>
          <w:sz w:val="24"/>
          <w:szCs w:val="24"/>
          <w:lang w:val="es-ES" w:eastAsia="es-ES"/>
        </w:rPr>
        <w:t xml:space="preserve">IV. Se establecerán mecanismos de acceso a la información y procedimientos de revisión expeditos que se sustanciarán ante los organismos autónomos especializados e imparciales que establece esta Constitución.” </w:t>
      </w:r>
    </w:p>
    <w:p w14:paraId="253AD30C" w14:textId="77777777" w:rsidR="001B55DB" w:rsidRDefault="006D6396">
      <w:pPr>
        <w:spacing w:before="240" w:after="240" w:line="240" w:lineRule="auto"/>
        <w:ind w:left="851" w:right="900"/>
        <w:jc w:val="center"/>
        <w:rPr>
          <w:rFonts w:ascii="Palatino Linotype" w:hAnsi="Palatino Linotype"/>
          <w:b/>
          <w:i/>
          <w:sz w:val="24"/>
          <w:szCs w:val="24"/>
          <w:lang w:val="es-ES" w:eastAsia="es-ES"/>
        </w:rPr>
      </w:pPr>
      <w:r>
        <w:rPr>
          <w:rFonts w:ascii="Palatino Linotype" w:hAnsi="Palatino Linotype"/>
          <w:b/>
          <w:i/>
          <w:sz w:val="24"/>
          <w:szCs w:val="24"/>
          <w:lang w:val="es-ES" w:eastAsia="es-ES"/>
        </w:rPr>
        <w:t>Constitución Política del Estado Libre y Soberano de México</w:t>
      </w:r>
    </w:p>
    <w:p w14:paraId="5CBF2868" w14:textId="77777777" w:rsidR="001B55DB" w:rsidRDefault="006D6396">
      <w:pPr>
        <w:spacing w:before="240" w:after="240" w:line="240" w:lineRule="auto"/>
        <w:ind w:left="851" w:right="900"/>
        <w:jc w:val="both"/>
        <w:rPr>
          <w:rFonts w:ascii="Palatino Linotype" w:hAnsi="Palatino Linotype"/>
          <w:i/>
          <w:sz w:val="24"/>
          <w:szCs w:val="24"/>
          <w:lang w:val="es-ES" w:eastAsia="es-ES"/>
        </w:rPr>
      </w:pPr>
      <w:r>
        <w:rPr>
          <w:rFonts w:ascii="Palatino Linotype" w:hAnsi="Palatino Linotype"/>
          <w:i/>
          <w:sz w:val="24"/>
          <w:szCs w:val="24"/>
          <w:lang w:val="es-ES" w:eastAsia="es-ES"/>
        </w:rPr>
        <w:t>“</w:t>
      </w:r>
      <w:r>
        <w:rPr>
          <w:rFonts w:ascii="Palatino Linotype" w:hAnsi="Palatino Linotype"/>
          <w:b/>
          <w:i/>
          <w:sz w:val="24"/>
          <w:szCs w:val="24"/>
          <w:lang w:val="es-ES" w:eastAsia="es-ES"/>
        </w:rPr>
        <w:t>Artículo 5</w:t>
      </w:r>
      <w:r>
        <w:rPr>
          <w:rFonts w:ascii="Palatino Linotype" w:hAnsi="Palatino Linotype"/>
          <w:i/>
          <w:sz w:val="24"/>
          <w:szCs w:val="24"/>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2C7E0EB3" w14:textId="77777777" w:rsidR="001B55DB" w:rsidRDefault="006D6396">
      <w:pPr>
        <w:spacing w:before="240" w:after="240" w:line="240" w:lineRule="auto"/>
        <w:ind w:left="851" w:right="900"/>
        <w:jc w:val="both"/>
        <w:rPr>
          <w:rFonts w:ascii="Palatino Linotype" w:hAnsi="Palatino Linotype"/>
          <w:i/>
          <w:sz w:val="24"/>
          <w:szCs w:val="24"/>
          <w:lang w:val="es-ES" w:eastAsia="es-ES"/>
        </w:rPr>
      </w:pPr>
      <w:r>
        <w:rPr>
          <w:rFonts w:ascii="Palatino Linotype" w:hAnsi="Palatino Linotype"/>
          <w:i/>
          <w:sz w:val="24"/>
          <w:szCs w:val="24"/>
          <w:lang w:val="es-ES" w:eastAsia="es-ES"/>
        </w:rPr>
        <w:t>(…)</w:t>
      </w:r>
    </w:p>
    <w:p w14:paraId="7B06B899" w14:textId="77777777" w:rsidR="001B55DB" w:rsidRDefault="006D6396">
      <w:pPr>
        <w:spacing w:before="240" w:after="240" w:line="240" w:lineRule="auto"/>
        <w:ind w:left="851" w:right="900"/>
        <w:jc w:val="both"/>
        <w:rPr>
          <w:rFonts w:ascii="Palatino Linotype" w:hAnsi="Palatino Linotype"/>
          <w:i/>
          <w:sz w:val="24"/>
          <w:szCs w:val="24"/>
          <w:lang w:val="es-ES" w:eastAsia="es-ES"/>
        </w:rPr>
      </w:pPr>
      <w:r>
        <w:rPr>
          <w:rFonts w:ascii="Palatino Linotype" w:hAnsi="Palatino Linotype"/>
          <w:i/>
          <w:sz w:val="24"/>
          <w:szCs w:val="24"/>
          <w:lang w:val="es-ES" w:eastAsia="es-ES"/>
        </w:rPr>
        <w:t>Toda persona en el Estado de México, tiene derecho al libre acceso a la información plural y oportuna, así como a buscar recibir y difundir información e ideas de toda índole por cualquier medio de expresión.</w:t>
      </w:r>
    </w:p>
    <w:p w14:paraId="4BE4C20A" w14:textId="77777777" w:rsidR="001B55DB" w:rsidRDefault="006D6396">
      <w:pPr>
        <w:spacing w:before="240" w:after="240" w:line="240" w:lineRule="auto"/>
        <w:ind w:left="851" w:right="900"/>
        <w:jc w:val="both"/>
        <w:rPr>
          <w:rFonts w:ascii="Palatino Linotype" w:hAnsi="Palatino Linotype"/>
          <w:i/>
          <w:sz w:val="24"/>
          <w:szCs w:val="24"/>
          <w:lang w:val="es-ES" w:eastAsia="es-ES"/>
        </w:rPr>
      </w:pPr>
      <w:r>
        <w:rPr>
          <w:rFonts w:ascii="Palatino Linotype" w:hAnsi="Palatino Linotype"/>
          <w:i/>
          <w:sz w:val="24"/>
          <w:szCs w:val="24"/>
          <w:lang w:val="es-ES" w:eastAsia="es-ES"/>
        </w:rPr>
        <w:t xml:space="preserve"> (…)</w:t>
      </w:r>
    </w:p>
    <w:p w14:paraId="21F4C83C" w14:textId="77777777" w:rsidR="001B55DB" w:rsidRDefault="006D6396">
      <w:pPr>
        <w:spacing w:before="240" w:after="240" w:line="240" w:lineRule="auto"/>
        <w:ind w:left="851" w:right="900"/>
        <w:jc w:val="both"/>
        <w:rPr>
          <w:rFonts w:ascii="Palatino Linotype" w:hAnsi="Palatino Linotype"/>
          <w:i/>
          <w:sz w:val="24"/>
          <w:szCs w:val="24"/>
          <w:lang w:val="es-ES" w:eastAsia="es-ES"/>
        </w:rPr>
      </w:pPr>
      <w:r>
        <w:rPr>
          <w:rFonts w:ascii="Palatino Linotype" w:hAnsi="Palatino Linotype"/>
          <w:i/>
          <w:sz w:val="24"/>
          <w:szCs w:val="24"/>
          <w:lang w:val="es-ES" w:eastAsia="es-ES"/>
        </w:rPr>
        <w:t xml:space="preserve">El derecho a la información será garantizado por el Estado. La ley establecerá las previsiones que permitan asegurar la protección, el respeto y la difusión de este derecho. </w:t>
      </w:r>
    </w:p>
    <w:p w14:paraId="46B26E07" w14:textId="77777777" w:rsidR="001B55DB" w:rsidRDefault="006D6396">
      <w:pPr>
        <w:spacing w:before="240" w:after="240" w:line="240" w:lineRule="auto"/>
        <w:ind w:left="851" w:right="900"/>
        <w:jc w:val="both"/>
        <w:rPr>
          <w:rFonts w:ascii="Palatino Linotype" w:hAnsi="Palatino Linotype"/>
          <w:i/>
          <w:sz w:val="24"/>
          <w:szCs w:val="24"/>
          <w:lang w:val="es-ES" w:eastAsia="es-ES"/>
        </w:rPr>
      </w:pPr>
      <w:r>
        <w:rPr>
          <w:rFonts w:ascii="Palatino Linotype" w:hAnsi="Palatino Linotype"/>
          <w:i/>
          <w:sz w:val="24"/>
          <w:szCs w:val="24"/>
          <w:lang w:val="es-ES" w:eastAsia="es-ES"/>
        </w:rPr>
        <w:t xml:space="preserve">Para garantizar el ejercicio del derecho de transparencia, acceso a la información pública y protección de datos personales, los poderes públicos y </w:t>
      </w:r>
      <w:r>
        <w:rPr>
          <w:rFonts w:ascii="Palatino Linotype" w:hAnsi="Palatino Linotype"/>
          <w:i/>
          <w:sz w:val="24"/>
          <w:szCs w:val="24"/>
          <w:lang w:val="es-ES" w:eastAsia="es-ES"/>
        </w:rPr>
        <w:lastRenderedPageBreak/>
        <w:t>los organismos autónomos, transparentarán sus acciones, en términos de las disposiciones aplicables, la información será oportuna, clara, veraz y de fácil acceso. Este derecho se regirá por los principios y bases siguientes:</w:t>
      </w:r>
    </w:p>
    <w:p w14:paraId="4633E047" w14:textId="77777777" w:rsidR="001B55DB" w:rsidRDefault="006D6396">
      <w:pPr>
        <w:spacing w:before="240" w:after="240" w:line="240" w:lineRule="auto"/>
        <w:ind w:left="851" w:right="900"/>
        <w:jc w:val="both"/>
        <w:rPr>
          <w:rFonts w:ascii="Palatino Linotype" w:hAnsi="Palatino Linotype"/>
          <w:i/>
          <w:sz w:val="24"/>
          <w:szCs w:val="24"/>
          <w:lang w:val="es-ES" w:eastAsia="es-ES"/>
        </w:rPr>
      </w:pPr>
      <w:r>
        <w:rPr>
          <w:rFonts w:ascii="Palatino Linotype" w:hAnsi="Palatino Linotype"/>
          <w:i/>
          <w:sz w:val="24"/>
          <w:szCs w:val="24"/>
          <w:lang w:val="es-ES" w:eastAsia="es-ES"/>
        </w:rPr>
        <w:t>III. Toda persona, sin necesidad de acreditar interés alguno o justificar su utilización, tendrá acceso gratuito a la información pública, a sus datos personales o a la rectificación de éstos;</w:t>
      </w:r>
    </w:p>
    <w:p w14:paraId="4F2FE68C" w14:textId="77777777" w:rsidR="001B55DB" w:rsidRDefault="006D6396">
      <w:pPr>
        <w:spacing w:before="240" w:after="240" w:line="240" w:lineRule="auto"/>
        <w:ind w:left="851" w:right="900"/>
        <w:jc w:val="both"/>
        <w:rPr>
          <w:rFonts w:ascii="Palatino Linotype" w:hAnsi="Palatino Linotype"/>
          <w:i/>
          <w:sz w:val="24"/>
          <w:szCs w:val="24"/>
          <w:lang w:val="es-ES" w:eastAsia="es-ES"/>
        </w:rPr>
      </w:pPr>
      <w:r>
        <w:rPr>
          <w:rFonts w:ascii="Palatino Linotype" w:hAnsi="Palatino Linotype"/>
          <w:i/>
          <w:sz w:val="24"/>
          <w:szCs w:val="24"/>
          <w:lang w:val="es-ES" w:eastAsia="es-ES"/>
        </w:rPr>
        <w:t>IV. Se establecerán mecanismos de acceso a la información y procedimientos de revisión expeditos que se sustanciarán ante el organismo autónomo especializado e imparcial que establece esta Constitución.</w:t>
      </w:r>
    </w:p>
    <w:p w14:paraId="7BAC7221" w14:textId="77777777" w:rsidR="001B55DB" w:rsidRDefault="006D6396">
      <w:pPr>
        <w:spacing w:before="240" w:after="240" w:line="240" w:lineRule="auto"/>
        <w:ind w:left="851" w:right="900"/>
        <w:jc w:val="both"/>
        <w:rPr>
          <w:rFonts w:ascii="Palatino Linotype" w:hAnsi="Palatino Linotype"/>
          <w:i/>
          <w:sz w:val="24"/>
          <w:szCs w:val="24"/>
          <w:lang w:val="es-ES" w:eastAsia="es-ES"/>
        </w:rPr>
      </w:pPr>
      <w:r>
        <w:rPr>
          <w:rFonts w:ascii="Palatino Linotype" w:hAnsi="Palatino Linotype"/>
          <w:i/>
          <w:sz w:val="24"/>
          <w:szCs w:val="24"/>
          <w:lang w:val="es-ES" w:eastAsia="es-ES"/>
        </w:rPr>
        <w:t>(…)</w:t>
      </w:r>
    </w:p>
    <w:p w14:paraId="21A3640F" w14:textId="77777777" w:rsidR="001B55DB" w:rsidRDefault="006D6396">
      <w:pPr>
        <w:spacing w:before="240" w:after="240" w:line="240" w:lineRule="auto"/>
        <w:ind w:left="851" w:right="900"/>
        <w:jc w:val="both"/>
        <w:rPr>
          <w:rFonts w:ascii="Palatino Linotype" w:hAnsi="Palatino Linotype"/>
          <w:i/>
          <w:sz w:val="24"/>
          <w:szCs w:val="24"/>
          <w:lang w:val="es-ES" w:eastAsia="es-ES"/>
        </w:rPr>
      </w:pPr>
      <w:r>
        <w:rPr>
          <w:rFonts w:ascii="Palatino Linotype" w:hAnsi="Palatino Linotype"/>
          <w:i/>
          <w:sz w:val="24"/>
          <w:szCs w:val="24"/>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144267E5" w14:textId="77777777" w:rsidR="001B55DB" w:rsidRDefault="001B55DB">
      <w:pPr>
        <w:spacing w:before="240" w:after="240" w:line="240" w:lineRule="auto"/>
        <w:ind w:left="851" w:right="900"/>
        <w:jc w:val="both"/>
        <w:rPr>
          <w:rFonts w:ascii="Palatino Linotype" w:hAnsi="Palatino Linotype"/>
          <w:i/>
          <w:sz w:val="24"/>
          <w:szCs w:val="24"/>
          <w:lang w:val="es-ES" w:eastAsia="es-ES"/>
        </w:rPr>
      </w:pPr>
    </w:p>
    <w:p w14:paraId="52988ADE" w14:textId="77777777" w:rsidR="001B55DB" w:rsidRDefault="006D6396">
      <w:pPr>
        <w:spacing w:before="240" w:after="240" w:line="360" w:lineRule="auto"/>
        <w:jc w:val="both"/>
        <w:rPr>
          <w:rFonts w:ascii="Palatino Linotype" w:hAnsi="Palatino Linotype"/>
          <w:sz w:val="24"/>
          <w:szCs w:val="24"/>
          <w:lang w:val="es-ES" w:eastAsia="es-ES"/>
        </w:rPr>
      </w:pPr>
      <w:r>
        <w:rPr>
          <w:rFonts w:ascii="Palatino Linotype" w:hAnsi="Palatino Linotype"/>
          <w:sz w:val="24"/>
          <w:szCs w:val="24"/>
          <w:lang w:val="es-ES" w:eastAsia="es-ES"/>
        </w:rPr>
        <w:t>Por otra parte, del contenido del artículo 1, de la Constitución Política de los Estados Unidos Mexicanos, se destaca lo siguiente:</w:t>
      </w:r>
    </w:p>
    <w:p w14:paraId="411435D9" w14:textId="77777777" w:rsidR="001B55DB" w:rsidRDefault="006D6396">
      <w:pPr>
        <w:spacing w:before="240" w:after="240" w:line="240" w:lineRule="auto"/>
        <w:ind w:left="851" w:right="900"/>
        <w:jc w:val="both"/>
        <w:rPr>
          <w:rFonts w:ascii="Palatino Linotype" w:hAnsi="Palatino Linotype"/>
          <w:i/>
          <w:sz w:val="24"/>
          <w:szCs w:val="24"/>
          <w:lang w:val="es-ES" w:eastAsia="es-ES"/>
        </w:rPr>
      </w:pPr>
      <w:r>
        <w:rPr>
          <w:rFonts w:ascii="Palatino Linotype" w:hAnsi="Palatino Linotype"/>
          <w:i/>
          <w:sz w:val="24"/>
          <w:szCs w:val="24"/>
          <w:lang w:val="es-ES" w:eastAsia="es-ES"/>
        </w:rPr>
        <w:t>“</w:t>
      </w:r>
      <w:r>
        <w:rPr>
          <w:rFonts w:ascii="Palatino Linotype" w:hAnsi="Palatino Linotype"/>
          <w:b/>
          <w:i/>
          <w:sz w:val="24"/>
          <w:szCs w:val="24"/>
          <w:lang w:val="es-ES" w:eastAsia="es-ES"/>
        </w:rPr>
        <w:t>Artículo 1o</w:t>
      </w:r>
      <w:r>
        <w:rPr>
          <w:rFonts w:ascii="Palatino Linotype" w:hAnsi="Palatino Linotype"/>
          <w:i/>
          <w:sz w:val="24"/>
          <w:szCs w:val="24"/>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3F629F72" w14:textId="77777777" w:rsidR="001B55DB" w:rsidRDefault="006D6396">
      <w:pPr>
        <w:spacing w:before="240" w:after="240" w:line="240" w:lineRule="auto"/>
        <w:ind w:left="851" w:right="900"/>
        <w:jc w:val="both"/>
        <w:rPr>
          <w:rFonts w:ascii="Palatino Linotype" w:hAnsi="Palatino Linotype"/>
          <w:i/>
          <w:sz w:val="24"/>
          <w:szCs w:val="24"/>
          <w:lang w:val="es-ES" w:eastAsia="es-ES"/>
        </w:rPr>
      </w:pPr>
      <w:r>
        <w:rPr>
          <w:rFonts w:ascii="Palatino Linotype" w:hAnsi="Palatino Linotype"/>
          <w:i/>
          <w:sz w:val="24"/>
          <w:szCs w:val="24"/>
          <w:lang w:val="es-ES" w:eastAsia="es-ES"/>
        </w:rPr>
        <w:t>Las normas relativas a los derechos humanos se interpretarán de conformidad con esta Constitución y con los tratados internacionales de la materia favoreciendo en todo tiempo a las personas la protección más amplia.</w:t>
      </w:r>
    </w:p>
    <w:p w14:paraId="458BBB8B" w14:textId="77777777" w:rsidR="001B55DB" w:rsidRDefault="006D6396">
      <w:pPr>
        <w:spacing w:before="240" w:after="240" w:line="240" w:lineRule="auto"/>
        <w:ind w:left="851" w:right="900"/>
        <w:jc w:val="both"/>
        <w:rPr>
          <w:rFonts w:ascii="Palatino Linotype" w:hAnsi="Palatino Linotype"/>
          <w:i/>
          <w:sz w:val="24"/>
          <w:szCs w:val="24"/>
          <w:lang w:val="es-ES" w:eastAsia="es-ES"/>
        </w:rPr>
      </w:pPr>
      <w:r>
        <w:rPr>
          <w:rFonts w:ascii="Palatino Linotype" w:hAnsi="Palatino Linotype"/>
          <w:i/>
          <w:sz w:val="24"/>
          <w:szCs w:val="24"/>
          <w:lang w:val="es-ES" w:eastAsia="es-ES"/>
        </w:rPr>
        <w:lastRenderedPageBreak/>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1CA6A940" w14:textId="77777777" w:rsidR="001B55DB" w:rsidRDefault="001B55DB">
      <w:pPr>
        <w:spacing w:after="0" w:line="240" w:lineRule="auto"/>
        <w:rPr>
          <w:rFonts w:ascii="Times New Roman" w:hAnsi="Times New Roman"/>
          <w:sz w:val="8"/>
          <w:szCs w:val="24"/>
          <w:lang w:val="es-ES" w:eastAsia="es-ES"/>
        </w:rPr>
      </w:pPr>
    </w:p>
    <w:p w14:paraId="40B7C95A" w14:textId="77777777" w:rsidR="001B55DB" w:rsidRDefault="006D6396">
      <w:pPr>
        <w:spacing w:before="240" w:after="240" w:line="360" w:lineRule="auto"/>
        <w:jc w:val="both"/>
        <w:rPr>
          <w:rFonts w:ascii="Palatino Linotype" w:hAnsi="Palatino Linotype"/>
          <w:sz w:val="24"/>
          <w:szCs w:val="24"/>
          <w:lang w:val="es-ES" w:eastAsia="es-ES"/>
        </w:rPr>
      </w:pPr>
      <w:r>
        <w:rPr>
          <w:rFonts w:ascii="Palatino Linotype" w:hAnsi="Palatino Linotype"/>
          <w:sz w:val="24"/>
          <w:szCs w:val="24"/>
          <w:lang w:val="es-ES" w:eastAsia="es-ES"/>
        </w:rPr>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65B45803" w14:textId="77777777" w:rsidR="001B55DB" w:rsidRDefault="001B55DB">
      <w:pPr>
        <w:spacing w:after="0" w:line="240" w:lineRule="auto"/>
        <w:rPr>
          <w:rFonts w:ascii="Times New Roman" w:hAnsi="Times New Roman"/>
          <w:sz w:val="10"/>
          <w:szCs w:val="24"/>
          <w:lang w:val="es-ES" w:eastAsia="es-ES"/>
        </w:rPr>
      </w:pPr>
    </w:p>
    <w:p w14:paraId="52A14E85" w14:textId="77777777" w:rsidR="001B55DB" w:rsidRDefault="006D6396">
      <w:pPr>
        <w:spacing w:after="0" w:line="360" w:lineRule="auto"/>
        <w:jc w:val="both"/>
        <w:rPr>
          <w:rFonts w:ascii="Palatino Linotype" w:hAnsi="Palatino Linotype" w:cs="Arial"/>
          <w:sz w:val="24"/>
          <w:szCs w:val="24"/>
          <w:lang w:val="es-ES" w:eastAsia="es-ES"/>
        </w:rPr>
      </w:pPr>
      <w:r>
        <w:rPr>
          <w:rFonts w:ascii="Palatino Linotype" w:hAnsi="Palatino Linotype" w:cs="Arial"/>
          <w:sz w:val="24"/>
          <w:szCs w:val="24"/>
          <w:lang w:val="es-ES" w:eastAsia="es-ES"/>
        </w:rPr>
        <w:t>En conclusión, se cubrieron los requisitos de procedencia y procedibilidad y conforme a las constancias que obran en el expediente.</w:t>
      </w:r>
    </w:p>
    <w:p w14:paraId="114E1F95" w14:textId="77777777" w:rsidR="001B55DB" w:rsidRDefault="001B55DB">
      <w:pPr>
        <w:autoSpaceDE w:val="0"/>
        <w:autoSpaceDN w:val="0"/>
        <w:adjustRightInd w:val="0"/>
        <w:spacing w:after="0" w:line="360" w:lineRule="auto"/>
        <w:jc w:val="both"/>
        <w:rPr>
          <w:rFonts w:ascii="Palatino Linotype" w:hAnsi="Palatino Linotype" w:cs="Arial"/>
          <w:sz w:val="24"/>
          <w:szCs w:val="24"/>
        </w:rPr>
      </w:pPr>
    </w:p>
    <w:p w14:paraId="7D1E53BE" w14:textId="77777777" w:rsidR="001B55DB" w:rsidRDefault="001B55DB">
      <w:pPr>
        <w:pStyle w:val="Prrafodelista"/>
        <w:autoSpaceDE w:val="0"/>
        <w:autoSpaceDN w:val="0"/>
        <w:adjustRightInd w:val="0"/>
        <w:spacing w:line="360" w:lineRule="auto"/>
        <w:ind w:left="0"/>
        <w:jc w:val="both"/>
        <w:rPr>
          <w:rFonts w:ascii="Palatino Linotype" w:hAnsi="Palatino Linotype" w:cs="Arial"/>
        </w:rPr>
      </w:pPr>
    </w:p>
    <w:p w14:paraId="0F7F9E35" w14:textId="77777777" w:rsidR="001B55DB" w:rsidRDefault="006D6396">
      <w:pPr>
        <w:pStyle w:val="Prrafodelista"/>
        <w:autoSpaceDE w:val="0"/>
        <w:autoSpaceDN w:val="0"/>
        <w:adjustRightInd w:val="0"/>
        <w:spacing w:line="360" w:lineRule="auto"/>
        <w:ind w:left="0"/>
        <w:jc w:val="both"/>
        <w:rPr>
          <w:rFonts w:ascii="Palatino Linotype" w:hAnsi="Palatino Linotype" w:cs="Arial"/>
          <w:sz w:val="28"/>
        </w:rPr>
      </w:pPr>
      <w:r>
        <w:rPr>
          <w:rFonts w:ascii="Palatino Linotype" w:hAnsi="Palatino Linotype" w:cs="Arial"/>
          <w:b/>
          <w:sz w:val="28"/>
        </w:rPr>
        <w:t>CUARTO. Del estudio de las causas de improcedencia y sobreseimiento.</w:t>
      </w:r>
      <w:r>
        <w:rPr>
          <w:rFonts w:ascii="Palatino Linotype" w:hAnsi="Palatino Linotype" w:cs="Arial"/>
          <w:sz w:val="28"/>
        </w:rPr>
        <w:t xml:space="preserve"> </w:t>
      </w:r>
    </w:p>
    <w:p w14:paraId="2DE5063C" w14:textId="77777777" w:rsidR="001B55DB" w:rsidRDefault="006D6396">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 xml:space="preserve">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w:t>
      </w:r>
      <w:r>
        <w:rPr>
          <w:rFonts w:ascii="Palatino Linotype" w:eastAsia="Times New Roman" w:hAnsi="Palatino Linotype" w:cs="Arial"/>
          <w:sz w:val="24"/>
          <w:szCs w:val="24"/>
          <w:lang w:val="es-ES" w:eastAsia="es-ES"/>
        </w:rPr>
        <w:lastRenderedPageBreak/>
        <w:t>en correlación con la seguridad jurídica que debe generar lo actuado ante este Organismo garante.</w:t>
      </w:r>
    </w:p>
    <w:p w14:paraId="462D015D" w14:textId="77777777" w:rsidR="001B55DB" w:rsidRDefault="001B55DB">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479A3742" w14:textId="77777777" w:rsidR="001B55DB" w:rsidRDefault="006D6396">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Siendo una facultad legal entrar al estudio de las causas de improcedencia que hagan valer las partes o que se adviertan de oficio por este Resolutor;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w:t>
      </w:r>
    </w:p>
    <w:p w14:paraId="0246BD17" w14:textId="77777777" w:rsidR="001B55DB" w:rsidRDefault="001B55DB">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6ED0D439" w14:textId="77777777" w:rsidR="001B55DB" w:rsidRDefault="006D6396">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Estudio de causales de improcedencia que no son incompatibles con el derecho de acceso a la justicia, ya que éste no se coarta por regular causas de improcedencia y sobreseimiento con tales fines</w:t>
      </w:r>
      <w:r>
        <w:rPr>
          <w:rFonts w:ascii="Palatino Linotype" w:eastAsia="Times New Roman" w:hAnsi="Palatino Linotype" w:cs="Arial"/>
          <w:sz w:val="24"/>
          <w:szCs w:val="24"/>
          <w:vertAlign w:val="superscript"/>
          <w:lang w:val="es-ES" w:eastAsia="es-ES"/>
        </w:rPr>
        <w:footnoteReference w:id="1"/>
      </w:r>
      <w:r>
        <w:rPr>
          <w:rFonts w:ascii="Palatino Linotype" w:eastAsia="Times New Roman" w:hAnsi="Palatino Linotype" w:cs="Arial"/>
          <w:sz w:val="24"/>
          <w:szCs w:val="24"/>
          <w:lang w:val="es-ES" w:eastAsia="es-ES"/>
        </w:rPr>
        <w:t>.</w:t>
      </w:r>
    </w:p>
    <w:p w14:paraId="5C6A89BD" w14:textId="77777777" w:rsidR="001B55DB" w:rsidRDefault="001B55DB">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7E331250" w14:textId="77777777" w:rsidR="001B55DB" w:rsidRDefault="006D6396">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lastRenderedPageBreak/>
        <w:t>En primer término es necesario hacer alusión a las solicitudes de información ya que de ellas deriva por un lado al procedimiento de acceso a la información ante el sujeto obligado, y por otro lado la materia sobre la que versara el recurso de revisión ante este Órgano Garante; se resalta la innegable necesidad de interpretar el texto de las solicitudes,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se le dé a las solicitudes de información, ya que el sujeto obligado puede considerar una circunstancia en particular diversa a la que el particular objetivamente requiere.</w:t>
      </w:r>
    </w:p>
    <w:p w14:paraId="08529488" w14:textId="77777777" w:rsidR="001B55DB" w:rsidRDefault="001B55DB">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6318D67C" w14:textId="77777777" w:rsidR="001B55DB" w:rsidRDefault="006D6396">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Ya que el planteamiento del problema es de toral importancia, a efecto de determinar la intención o voluntad del recurrente a la luz de la interpretación de las solicitudes de información, y que puede generar de forma objetiva y material el sujeto obligado que se relacione con esa intención, respecto del presente asunto se realiza a continuación.</w:t>
      </w:r>
    </w:p>
    <w:p w14:paraId="4AE92BE9" w14:textId="77777777" w:rsidR="001B55DB" w:rsidRDefault="001B55DB">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6E4673D1" w14:textId="77777777" w:rsidR="001B55DB" w:rsidRDefault="006D6396">
      <w:pPr>
        <w:tabs>
          <w:tab w:val="left" w:pos="709"/>
        </w:tabs>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La Ley de Transparencia de la entidad, en su artículo 192, contempla la figura jurídica del sobreseimiento, y específicamente en sus hipótesis inmersas en la fracción III, refieren que se sobreseerá el asunto cuando el sujeto obligado responsable del acto lo modifique o revoque de tal manera que el recurso de revisión quede sin materia.</w:t>
      </w:r>
    </w:p>
    <w:p w14:paraId="1FD60187" w14:textId="77777777" w:rsidR="001B55DB" w:rsidRDefault="001B55DB">
      <w:pPr>
        <w:tabs>
          <w:tab w:val="left" w:pos="709"/>
        </w:tabs>
        <w:spacing w:after="0" w:line="360" w:lineRule="auto"/>
        <w:jc w:val="both"/>
        <w:rPr>
          <w:rFonts w:ascii="Palatino Linotype" w:eastAsia="Times New Roman" w:hAnsi="Palatino Linotype" w:cs="Arial"/>
          <w:sz w:val="24"/>
          <w:szCs w:val="24"/>
          <w:lang w:val="es-ES" w:eastAsia="es-ES"/>
        </w:rPr>
      </w:pPr>
    </w:p>
    <w:p w14:paraId="70056165" w14:textId="77777777" w:rsidR="001B55DB" w:rsidRDefault="006D6396">
      <w:pPr>
        <w:tabs>
          <w:tab w:val="left" w:pos="709"/>
        </w:tabs>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 xml:space="preserve">Bajo esa línea, con la finalidad de determinar si se modificó o revocó el acto u omisión del </w:t>
      </w:r>
      <w:r>
        <w:rPr>
          <w:rFonts w:ascii="Palatino Linotype" w:eastAsia="Times New Roman" w:hAnsi="Palatino Linotype" w:cs="Arial"/>
          <w:b/>
          <w:sz w:val="24"/>
          <w:szCs w:val="24"/>
          <w:lang w:val="es-ES" w:eastAsia="es-ES"/>
        </w:rPr>
        <w:t>Sujeto Obligado</w:t>
      </w:r>
      <w:r>
        <w:rPr>
          <w:rFonts w:ascii="Palatino Linotype" w:eastAsia="Times New Roman" w:hAnsi="Palatino Linotype" w:cs="Arial"/>
          <w:sz w:val="24"/>
          <w:szCs w:val="24"/>
          <w:lang w:val="es-ES" w:eastAsia="es-ES"/>
        </w:rPr>
        <w:t xml:space="preserve">, para el efecto de que quede sin materia el recurso de revisión, es </w:t>
      </w:r>
      <w:r>
        <w:rPr>
          <w:rFonts w:ascii="Palatino Linotype" w:eastAsia="Times New Roman" w:hAnsi="Palatino Linotype" w:cs="Arial"/>
          <w:sz w:val="24"/>
          <w:szCs w:val="24"/>
          <w:lang w:val="es-ES" w:eastAsia="es-ES"/>
        </w:rPr>
        <w:lastRenderedPageBreak/>
        <w:t>necesario realizar una valoración de la información remitida en informe justificado y determinar si dicha consecuencia se subsume en el presupuesto procesal que establece la fracción III, del artículo 192, de la Ley de Transparencia y Acceso a la Información Pública del Estado de México y Municipios, a efecto de generar certeza jurídica sobre la satisfacción del derecho de acceso a la información accionado por el particular, sirviendo para tales efectos las siguientes líneas argumentativas.</w:t>
      </w:r>
    </w:p>
    <w:p w14:paraId="1976593A" w14:textId="77777777" w:rsidR="001B55DB" w:rsidRDefault="001B55DB">
      <w:pPr>
        <w:autoSpaceDE w:val="0"/>
        <w:autoSpaceDN w:val="0"/>
        <w:adjustRightInd w:val="0"/>
        <w:spacing w:after="0" w:line="360" w:lineRule="auto"/>
        <w:jc w:val="both"/>
        <w:rPr>
          <w:rFonts w:ascii="Palatino Linotype" w:hAnsi="Palatino Linotype" w:cs="Arial"/>
          <w:sz w:val="24"/>
          <w:szCs w:val="24"/>
        </w:rPr>
      </w:pPr>
    </w:p>
    <w:p w14:paraId="6C49D185" w14:textId="77777777" w:rsidR="001B55DB" w:rsidRDefault="006D6396">
      <w:pPr>
        <w:spacing w:after="0" w:line="360" w:lineRule="auto"/>
        <w:jc w:val="both"/>
        <w:rPr>
          <w:rFonts w:ascii="Palatino Linotype" w:hAnsi="Palatino Linotype"/>
          <w:sz w:val="24"/>
          <w:szCs w:val="24"/>
        </w:rPr>
      </w:pPr>
      <w:r>
        <w:rPr>
          <w:rFonts w:ascii="Palatino Linotype" w:hAnsi="Palatino Linotype"/>
          <w:sz w:val="24"/>
          <w:szCs w:val="24"/>
        </w:rPr>
        <w:t xml:space="preserve">Con el propósito de resolver el presente medio de impugnación, es conveniente recordar que </w:t>
      </w:r>
      <w:r>
        <w:rPr>
          <w:rFonts w:ascii="Palatino Linotype" w:hAnsi="Palatino Linotype"/>
          <w:sz w:val="24"/>
          <w:szCs w:val="24"/>
        </w:rPr>
        <w:tab/>
        <w:t xml:space="preserve">el </w:t>
      </w:r>
      <w:r>
        <w:rPr>
          <w:rFonts w:ascii="Palatino Linotype" w:hAnsi="Palatino Linotype"/>
          <w:b/>
          <w:sz w:val="24"/>
          <w:szCs w:val="24"/>
        </w:rPr>
        <w:t>Recurrente</w:t>
      </w:r>
      <w:r>
        <w:rPr>
          <w:rFonts w:ascii="Palatino Linotype" w:hAnsi="Palatino Linotype"/>
          <w:sz w:val="24"/>
          <w:szCs w:val="24"/>
        </w:rPr>
        <w:t xml:space="preserve"> solicitó al </w:t>
      </w:r>
      <w:r>
        <w:rPr>
          <w:rFonts w:ascii="Palatino Linotype" w:hAnsi="Palatino Linotype"/>
          <w:b/>
          <w:sz w:val="24"/>
          <w:szCs w:val="24"/>
        </w:rPr>
        <w:t>Sujeto Obligado</w:t>
      </w:r>
      <w:r>
        <w:rPr>
          <w:rFonts w:ascii="Palatino Linotype" w:hAnsi="Palatino Linotype"/>
          <w:sz w:val="24"/>
          <w:szCs w:val="24"/>
        </w:rPr>
        <w:t xml:space="preserve"> que se le proporcionara </w:t>
      </w:r>
      <w:r>
        <w:rPr>
          <w:rFonts w:ascii="Palatino Linotype" w:hAnsi="Palatino Linotype"/>
          <w:b/>
          <w:sz w:val="24"/>
          <w:szCs w:val="24"/>
        </w:rPr>
        <w:t>de los Diputados Daniel Andrés Sibaja González, Faustino de la Cruz Pérez, Azucena Cisneros Coss, Camilo Murillo Zavala y Luz Ma. Hernández Bermúdez</w:t>
      </w:r>
      <w:r>
        <w:rPr>
          <w:rFonts w:ascii="Palatino Linotype" w:hAnsi="Palatino Linotype"/>
          <w:sz w:val="24"/>
          <w:szCs w:val="24"/>
        </w:rPr>
        <w:t>, el o los documentos soporte de lo siguiente:</w:t>
      </w:r>
    </w:p>
    <w:p w14:paraId="66F7D825" w14:textId="77777777" w:rsidR="001B55DB" w:rsidRDefault="001B55DB">
      <w:pPr>
        <w:spacing w:after="0" w:line="360" w:lineRule="auto"/>
        <w:jc w:val="both"/>
        <w:rPr>
          <w:rFonts w:ascii="Palatino Linotype" w:hAnsi="Palatino Linotype"/>
          <w:sz w:val="24"/>
          <w:szCs w:val="24"/>
        </w:rPr>
      </w:pPr>
    </w:p>
    <w:p w14:paraId="4D2BF4F5" w14:textId="77777777" w:rsidR="001B55DB" w:rsidRDefault="006D6396">
      <w:pPr>
        <w:numPr>
          <w:ilvl w:val="0"/>
          <w:numId w:val="2"/>
        </w:numPr>
        <w:spacing w:after="0" w:line="360" w:lineRule="auto"/>
        <w:ind w:left="714" w:right="141" w:hanging="357"/>
        <w:jc w:val="both"/>
        <w:rPr>
          <w:rFonts w:ascii="Palatino Linotype" w:hAnsi="Palatino Linotype"/>
          <w:sz w:val="24"/>
          <w:szCs w:val="24"/>
          <w:lang w:eastAsia="es-MX"/>
        </w:rPr>
      </w:pPr>
      <w:r>
        <w:rPr>
          <w:rFonts w:ascii="Palatino Linotype" w:hAnsi="Palatino Linotype"/>
          <w:iCs/>
          <w:sz w:val="24"/>
          <w:szCs w:val="24"/>
        </w:rPr>
        <w:t>Declaraciones públicas realizadas a los medios informativos</w:t>
      </w:r>
      <w:r>
        <w:t xml:space="preserve"> </w:t>
      </w:r>
      <w:r>
        <w:rPr>
          <w:rFonts w:ascii="Palatino Linotype" w:hAnsi="Palatino Linotype"/>
          <w:iCs/>
          <w:sz w:val="24"/>
          <w:szCs w:val="24"/>
        </w:rPr>
        <w:t>relacionadas con las investigaciones llevadas a cabo a las instituciones de educación superior del Estado de México que participaron en la denominada “</w:t>
      </w:r>
      <w:r>
        <w:rPr>
          <w:rFonts w:ascii="Palatino Linotype" w:hAnsi="Palatino Linotype"/>
          <w:b/>
          <w:bCs/>
          <w:iCs/>
          <w:sz w:val="24"/>
          <w:szCs w:val="24"/>
        </w:rPr>
        <w:t>estafa maestra</w:t>
      </w:r>
      <w:r>
        <w:rPr>
          <w:rFonts w:ascii="Palatino Linotype" w:hAnsi="Palatino Linotype"/>
          <w:iCs/>
          <w:sz w:val="24"/>
          <w:szCs w:val="24"/>
        </w:rPr>
        <w:t>”, relacionadas con las publicaciones siguientes:</w:t>
      </w:r>
    </w:p>
    <w:p w14:paraId="2A613BF6" w14:textId="77777777" w:rsidR="001B55DB" w:rsidRDefault="007424BC">
      <w:pPr>
        <w:numPr>
          <w:ilvl w:val="1"/>
          <w:numId w:val="2"/>
        </w:numPr>
        <w:spacing w:after="0" w:line="360" w:lineRule="auto"/>
        <w:ind w:right="141"/>
        <w:jc w:val="both"/>
        <w:rPr>
          <w:rFonts w:ascii="Palatino Linotype" w:hAnsi="Palatino Linotype"/>
          <w:sz w:val="24"/>
          <w:szCs w:val="24"/>
          <w:lang w:eastAsia="es-MX"/>
        </w:rPr>
      </w:pPr>
      <w:hyperlink r:id="rId10" w:history="1">
        <w:r w:rsidR="006D6396">
          <w:rPr>
            <w:rStyle w:val="Hipervnculo"/>
            <w:rFonts w:ascii="Palatino Linotype" w:hAnsi="Palatino Linotype"/>
            <w:sz w:val="24"/>
            <w:szCs w:val="24"/>
            <w:lang w:eastAsia="es-MX"/>
          </w:rPr>
          <w:t>https://contralacorrupcion.mx/web/estafamaestra/</w:t>
        </w:r>
      </w:hyperlink>
    </w:p>
    <w:p w14:paraId="6F4627DA" w14:textId="77777777" w:rsidR="001B55DB" w:rsidRDefault="007424BC">
      <w:pPr>
        <w:numPr>
          <w:ilvl w:val="1"/>
          <w:numId w:val="2"/>
        </w:numPr>
        <w:spacing w:after="0" w:line="360" w:lineRule="auto"/>
        <w:ind w:right="141"/>
        <w:jc w:val="both"/>
        <w:rPr>
          <w:rFonts w:ascii="Palatino Linotype" w:hAnsi="Palatino Linotype"/>
          <w:sz w:val="24"/>
          <w:szCs w:val="24"/>
          <w:lang w:eastAsia="es-MX"/>
        </w:rPr>
      </w:pPr>
      <w:hyperlink r:id="rId11" w:history="1">
        <w:r w:rsidR="006D6396">
          <w:rPr>
            <w:rStyle w:val="Hipervnculo"/>
            <w:rFonts w:ascii="Palatino Linotype" w:hAnsi="Palatino Linotype"/>
            <w:sz w:val="24"/>
            <w:szCs w:val="24"/>
            <w:lang w:eastAsia="es-MX"/>
          </w:rPr>
          <w:t>https://www.proceso.com.mx/nacional/2021/6/30/estafa-maestra-encabeza-anomalias-denuncias-de-losultimos-tres-anos-asf-266902.html</w:t>
        </w:r>
      </w:hyperlink>
      <w:r w:rsidR="006D6396">
        <w:rPr>
          <w:rFonts w:ascii="Palatino Linotype" w:hAnsi="Palatino Linotype"/>
          <w:sz w:val="24"/>
          <w:szCs w:val="24"/>
          <w:lang w:eastAsia="es-MX"/>
        </w:rPr>
        <w:t xml:space="preserve">  </w:t>
      </w:r>
    </w:p>
    <w:p w14:paraId="7173CE14" w14:textId="77777777" w:rsidR="001B55DB" w:rsidRDefault="007424BC">
      <w:pPr>
        <w:numPr>
          <w:ilvl w:val="1"/>
          <w:numId w:val="2"/>
        </w:numPr>
        <w:spacing w:after="0" w:line="360" w:lineRule="auto"/>
        <w:ind w:right="141"/>
        <w:jc w:val="both"/>
        <w:rPr>
          <w:rFonts w:ascii="Palatino Linotype" w:hAnsi="Palatino Linotype"/>
          <w:sz w:val="24"/>
          <w:szCs w:val="24"/>
          <w:lang w:eastAsia="es-MX"/>
        </w:rPr>
      </w:pPr>
      <w:hyperlink r:id="rId12" w:history="1">
        <w:r w:rsidR="006D6396">
          <w:rPr>
            <w:rStyle w:val="Hipervnculo"/>
            <w:rFonts w:ascii="Palatino Linotype" w:hAnsi="Palatino Linotype"/>
            <w:sz w:val="24"/>
            <w:szCs w:val="24"/>
            <w:lang w:eastAsia="es-MX"/>
          </w:rPr>
          <w:t>https://www.animalpolitico.com/politica/estafa-maestra-impune-cuatro-anos-investigaciones</w:t>
        </w:r>
      </w:hyperlink>
    </w:p>
    <w:p w14:paraId="02B5C716" w14:textId="77777777" w:rsidR="001B55DB" w:rsidRDefault="007424BC">
      <w:pPr>
        <w:numPr>
          <w:ilvl w:val="1"/>
          <w:numId w:val="2"/>
        </w:numPr>
        <w:spacing w:after="0" w:line="360" w:lineRule="auto"/>
        <w:ind w:right="141"/>
        <w:jc w:val="both"/>
        <w:rPr>
          <w:rFonts w:ascii="Palatino Linotype" w:hAnsi="Palatino Linotype"/>
          <w:sz w:val="24"/>
          <w:szCs w:val="24"/>
          <w:lang w:eastAsia="es-MX"/>
        </w:rPr>
      </w:pPr>
      <w:hyperlink r:id="rId13" w:history="1">
        <w:r w:rsidR="006D6396">
          <w:rPr>
            <w:rStyle w:val="Hipervnculo"/>
            <w:rFonts w:ascii="Palatino Linotype" w:hAnsi="Palatino Linotype"/>
            <w:sz w:val="24"/>
            <w:szCs w:val="24"/>
            <w:lang w:eastAsia="es-MX"/>
          </w:rPr>
          <w:t>https://prensauniversitaria.com.mx/2022/05/11/involucrados-en-la-estafa-maestra-en-la-uaemex-sinsalida/</w:t>
        </w:r>
      </w:hyperlink>
      <w:r w:rsidR="006D6396">
        <w:rPr>
          <w:rFonts w:ascii="Palatino Linotype" w:hAnsi="Palatino Linotype"/>
          <w:sz w:val="24"/>
          <w:szCs w:val="24"/>
          <w:lang w:eastAsia="es-MX"/>
        </w:rPr>
        <w:t xml:space="preserve"> </w:t>
      </w:r>
    </w:p>
    <w:p w14:paraId="12A3472D" w14:textId="77777777" w:rsidR="001B55DB" w:rsidRDefault="001B55DB">
      <w:pPr>
        <w:spacing w:after="0" w:line="360" w:lineRule="auto"/>
        <w:ind w:left="714" w:right="141"/>
        <w:jc w:val="both"/>
        <w:rPr>
          <w:rFonts w:ascii="Palatino Linotype" w:hAnsi="Palatino Linotype"/>
          <w:sz w:val="24"/>
          <w:szCs w:val="24"/>
          <w:lang w:eastAsia="es-MX"/>
        </w:rPr>
      </w:pPr>
    </w:p>
    <w:p w14:paraId="1CEE34F6" w14:textId="77777777" w:rsidR="001B55DB" w:rsidRDefault="006D6396">
      <w:pPr>
        <w:spacing w:after="240" w:line="360" w:lineRule="auto"/>
        <w:jc w:val="both"/>
        <w:rPr>
          <w:rFonts w:ascii="Palatino Linotype" w:hAnsi="Palatino Linotype"/>
          <w:sz w:val="24"/>
          <w:szCs w:val="24"/>
        </w:rPr>
      </w:pPr>
      <w:r>
        <w:rPr>
          <w:rFonts w:ascii="Palatino Linotype" w:hAnsi="Palatino Linotype"/>
          <w:sz w:val="24"/>
          <w:szCs w:val="24"/>
        </w:rPr>
        <w:t>El Sujeto Obligado requirió al particular la aclaración y/o complementación de la solicitud planteada, toda vez que, de los enlaces proporcionados en la solicitud inicial, hacen referencia únicamente a investigaciones a cargo de la Auditoría Superior de Fiscalización y, una vez desahogada en los términos presentados, el Sujeto Obligado respondió a través de un archivo electrónico mediante el cual hizo del conocimiento del particular lo siguiente:</w:t>
      </w:r>
    </w:p>
    <w:p w14:paraId="797280E7" w14:textId="77777777" w:rsidR="001B55DB" w:rsidRDefault="006D6396">
      <w:pPr>
        <w:numPr>
          <w:ilvl w:val="0"/>
          <w:numId w:val="3"/>
        </w:numPr>
        <w:spacing w:after="120" w:line="360" w:lineRule="auto"/>
        <w:jc w:val="both"/>
        <w:rPr>
          <w:rFonts w:ascii="Palatino Linotype" w:hAnsi="Palatino Linotype"/>
          <w:b/>
          <w:sz w:val="24"/>
          <w:szCs w:val="24"/>
        </w:rPr>
      </w:pPr>
      <w:r>
        <w:rPr>
          <w:rFonts w:ascii="Palatino Linotype" w:hAnsi="Palatino Linotype"/>
          <w:bCs/>
          <w:sz w:val="24"/>
          <w:szCs w:val="24"/>
        </w:rPr>
        <w:t>“</w:t>
      </w:r>
      <w:r>
        <w:rPr>
          <w:rFonts w:ascii="Palatino Linotype" w:hAnsi="Palatino Linotype"/>
          <w:b/>
          <w:sz w:val="24"/>
          <w:szCs w:val="24"/>
        </w:rPr>
        <w:t>Sol. No presentada 216.pdf”</w:t>
      </w:r>
      <w:r>
        <w:rPr>
          <w:rFonts w:ascii="Palatino Linotype" w:hAnsi="Palatino Linotype"/>
          <w:bCs/>
          <w:sz w:val="24"/>
          <w:szCs w:val="24"/>
        </w:rPr>
        <w:t xml:space="preserve">: Documento electrónico que contiene el oficio número UIPL/0446/2023, </w:t>
      </w:r>
      <w:r>
        <w:rPr>
          <w:rFonts w:ascii="Palatino Linotype" w:hAnsi="Palatino Linotype"/>
          <w:sz w:val="24"/>
          <w:szCs w:val="24"/>
        </w:rPr>
        <w:t>signado por el Titular de la Unidad de Transparencia, mismo que fue remitido al solicitante de información, a través del cual informa medularmente que, derivado de que la respuesta a la solicitud de aclaración realizada, se determina que la misma corresponde a la solicitud inicial, es decir, no proporciona los links en los que obre declaración alguna de los Diputados a los que hace referencia ni tampoco aporta algún elemento adicional o aclaración a la solicitud inicial, toda vez que los enlaces proporcionados, hacer referencia únicamente a investigaciones a cargo de la Auditoría Superior de Fiscalización.</w:t>
      </w:r>
    </w:p>
    <w:p w14:paraId="38C81F52" w14:textId="77777777" w:rsidR="001B55DB" w:rsidRDefault="001B55DB">
      <w:pPr>
        <w:spacing w:after="120" w:line="360" w:lineRule="auto"/>
        <w:ind w:left="720"/>
        <w:jc w:val="both"/>
        <w:rPr>
          <w:rFonts w:ascii="Palatino Linotype" w:hAnsi="Palatino Linotype"/>
          <w:sz w:val="24"/>
          <w:szCs w:val="24"/>
        </w:rPr>
      </w:pPr>
    </w:p>
    <w:p w14:paraId="70665AF0" w14:textId="77777777" w:rsidR="001B55DB" w:rsidRDefault="006D6396">
      <w:pPr>
        <w:spacing w:after="120" w:line="360" w:lineRule="auto"/>
        <w:ind w:left="720"/>
        <w:jc w:val="both"/>
        <w:rPr>
          <w:rFonts w:ascii="Palatino Linotype" w:hAnsi="Palatino Linotype"/>
          <w:b/>
          <w:sz w:val="24"/>
          <w:szCs w:val="24"/>
        </w:rPr>
      </w:pPr>
      <w:r>
        <w:rPr>
          <w:rFonts w:ascii="Palatino Linotype" w:hAnsi="Palatino Linotype"/>
          <w:sz w:val="24"/>
          <w:szCs w:val="24"/>
        </w:rPr>
        <w:t xml:space="preserve">Por lo anterior, no existen elementos que acrediten que dichas manifestaciones fueran efectivamente expresadas por los legisladores, motivo por el cual, no es posible determinar la posible existencia de alguna expresión documental que las contenga y a partir de esa base ordena la búsqueda exhaustiva y razonable, por ello, con fundamento en el artículo 159 de la Ley de Transparencia y Acceso a la Información Pública del Estado de México y Municipios, </w:t>
      </w:r>
      <w:r>
        <w:rPr>
          <w:rFonts w:ascii="Palatino Linotype" w:hAnsi="Palatino Linotype"/>
          <w:b/>
          <w:bCs/>
          <w:sz w:val="24"/>
          <w:szCs w:val="24"/>
        </w:rPr>
        <w:t>se tiene por no presentada la solicitud de información 00216/PLEGISLA/IP/2023.</w:t>
      </w:r>
    </w:p>
    <w:p w14:paraId="21BB9456" w14:textId="77777777" w:rsidR="001B55DB" w:rsidRDefault="006D6396">
      <w:pPr>
        <w:spacing w:after="0" w:line="360" w:lineRule="auto"/>
        <w:ind w:right="141"/>
        <w:jc w:val="both"/>
        <w:rPr>
          <w:rFonts w:ascii="Palatino Linotype" w:hAnsi="Palatino Linotype" w:cs="Arial"/>
          <w:bCs/>
          <w:sz w:val="24"/>
          <w:szCs w:val="24"/>
        </w:rPr>
      </w:pPr>
      <w:r>
        <w:rPr>
          <w:rFonts w:ascii="Palatino Linotype" w:hAnsi="Palatino Linotype" w:cs="Arial"/>
          <w:bCs/>
          <w:sz w:val="24"/>
          <w:szCs w:val="24"/>
        </w:rPr>
        <w:lastRenderedPageBreak/>
        <w:t xml:space="preserve">Es así que derivado de la respuesta emitida por </w:t>
      </w:r>
      <w:r>
        <w:rPr>
          <w:rFonts w:ascii="Palatino Linotype" w:hAnsi="Palatino Linotype" w:cs="Arial"/>
          <w:b/>
          <w:bCs/>
          <w:sz w:val="24"/>
          <w:szCs w:val="24"/>
        </w:rPr>
        <w:t>El Sujeto Obligado</w:t>
      </w:r>
      <w:r>
        <w:rPr>
          <w:rFonts w:ascii="Palatino Linotype" w:hAnsi="Palatino Linotype" w:cs="Arial"/>
          <w:bCs/>
          <w:sz w:val="24"/>
          <w:szCs w:val="24"/>
        </w:rPr>
        <w:t xml:space="preserve">, </w:t>
      </w:r>
      <w:r>
        <w:rPr>
          <w:rFonts w:ascii="Palatino Linotype" w:hAnsi="Palatino Linotype" w:cs="Arial"/>
          <w:b/>
          <w:bCs/>
          <w:sz w:val="24"/>
          <w:szCs w:val="24"/>
        </w:rPr>
        <w:t>El Recurrente</w:t>
      </w:r>
      <w:r>
        <w:rPr>
          <w:rFonts w:ascii="Palatino Linotype" w:hAnsi="Palatino Linotype" w:cs="Arial"/>
          <w:bCs/>
          <w:sz w:val="24"/>
          <w:szCs w:val="24"/>
        </w:rPr>
        <w:t>, interpuso el presente recurso de revisión, señalando como razones o motivos de inconformidad lo siguiente.</w:t>
      </w:r>
    </w:p>
    <w:p w14:paraId="3436777E" w14:textId="77777777" w:rsidR="001B55DB" w:rsidRDefault="001B55DB">
      <w:pPr>
        <w:spacing w:after="0" w:line="360" w:lineRule="auto"/>
        <w:ind w:right="141"/>
        <w:jc w:val="both"/>
        <w:rPr>
          <w:rFonts w:ascii="Palatino Linotype" w:hAnsi="Palatino Linotype" w:cs="Arial"/>
          <w:bCs/>
          <w:sz w:val="24"/>
          <w:szCs w:val="24"/>
        </w:rPr>
      </w:pPr>
    </w:p>
    <w:p w14:paraId="2892E4DB" w14:textId="77777777" w:rsidR="001B55DB" w:rsidRDefault="006D6396">
      <w:pPr>
        <w:spacing w:line="240" w:lineRule="auto"/>
        <w:ind w:left="851" w:right="850"/>
        <w:jc w:val="both"/>
        <w:rPr>
          <w:rFonts w:ascii="Palatino Linotype" w:eastAsia="Times New Roman" w:hAnsi="Palatino Linotype"/>
          <w:i/>
          <w:lang w:eastAsia="es-MX"/>
        </w:rPr>
      </w:pPr>
      <w:r>
        <w:rPr>
          <w:rFonts w:ascii="Palatino Linotype" w:hAnsi="Palatino Linotype"/>
          <w:i/>
          <w:color w:val="000000"/>
        </w:rPr>
        <w:t>“</w:t>
      </w:r>
      <w:r>
        <w:rPr>
          <w:rFonts w:ascii="Palatino Linotype" w:eastAsia="Times New Roman" w:hAnsi="Palatino Linotype"/>
          <w:b/>
          <w:bCs/>
          <w:i/>
          <w:lang w:eastAsia="es-MX"/>
        </w:rPr>
        <w:t>No proporcionan información de los diputados citados, siendo que las declaraciones son ciertas y públicas</w:t>
      </w:r>
      <w:r>
        <w:rPr>
          <w:rFonts w:ascii="Palatino Linotype" w:eastAsia="Times New Roman" w:hAnsi="Palatino Linotype"/>
          <w:i/>
          <w:lang w:eastAsia="es-MX"/>
        </w:rPr>
        <w:t xml:space="preserve"> y se encuentran </w:t>
      </w:r>
      <w:proofErr w:type="spellStart"/>
      <w:r>
        <w:rPr>
          <w:rFonts w:ascii="Palatino Linotype" w:eastAsia="Times New Roman" w:hAnsi="Palatino Linotype"/>
          <w:i/>
          <w:lang w:eastAsia="es-MX"/>
        </w:rPr>
        <w:t>el las</w:t>
      </w:r>
      <w:proofErr w:type="spellEnd"/>
      <w:r>
        <w:rPr>
          <w:rFonts w:ascii="Palatino Linotype" w:eastAsia="Times New Roman" w:hAnsi="Palatino Linotype"/>
          <w:i/>
          <w:lang w:eastAsia="es-MX"/>
        </w:rPr>
        <w:t xml:space="preserve"> ligas referidas obviamente con fecha de cuando las hicieron, la unidad de transparencia solicita una aclaración la cual se </w:t>
      </w:r>
      <w:proofErr w:type="spellStart"/>
      <w:r>
        <w:rPr>
          <w:rFonts w:ascii="Palatino Linotype" w:eastAsia="Times New Roman" w:hAnsi="Palatino Linotype"/>
          <w:i/>
          <w:lang w:eastAsia="es-MX"/>
        </w:rPr>
        <w:t>realizo</w:t>
      </w:r>
      <w:proofErr w:type="spellEnd"/>
      <w:r>
        <w:rPr>
          <w:rFonts w:ascii="Palatino Linotype" w:eastAsia="Times New Roman" w:hAnsi="Palatino Linotype"/>
          <w:i/>
          <w:lang w:eastAsia="es-MX"/>
        </w:rPr>
        <w:t xml:space="preserve"> y emite contestación pero no da prueba de que alguno de los diputados citados en la solicitud hayan proporcionado información alguna que les fue solicitada. </w:t>
      </w:r>
      <w:r>
        <w:rPr>
          <w:rFonts w:ascii="Palatino Linotype" w:eastAsia="Times New Roman" w:hAnsi="Palatino Linotype"/>
          <w:i/>
          <w:u w:val="single"/>
          <w:lang w:eastAsia="es-MX"/>
        </w:rPr>
        <w:t>Se anexa link de una aclaración que hace la misma legislatura del Estado, sobre declaraciones de los diputados ya mencionados. https://www.scribd.com/document/642698762/Nota-Aclaratoria</w:t>
      </w:r>
      <w:r>
        <w:rPr>
          <w:rFonts w:ascii="Palatino Linotype" w:eastAsia="Times New Roman" w:hAnsi="Palatino Linotype"/>
          <w:i/>
          <w:lang w:eastAsia="es-MX"/>
        </w:rPr>
        <w:t xml:space="preserve"> </w:t>
      </w:r>
      <w:r>
        <w:rPr>
          <w:rFonts w:ascii="Palatino Linotype" w:eastAsia="Times New Roman" w:hAnsi="Palatino Linotype"/>
          <w:b/>
          <w:bCs/>
          <w:i/>
          <w:lang w:eastAsia="es-MX"/>
        </w:rPr>
        <w:t>La información que se solicita versa en que los diputados entreguen evidencia por este medio de lo que han declarado</w:t>
      </w:r>
      <w:r>
        <w:rPr>
          <w:rFonts w:ascii="Palatino Linotype" w:eastAsia="Times New Roman" w:hAnsi="Palatino Linotype"/>
          <w:i/>
          <w:lang w:eastAsia="es-MX"/>
        </w:rPr>
        <w:t>.</w:t>
      </w:r>
      <w:r>
        <w:rPr>
          <w:rFonts w:ascii="Palatino Linotype" w:hAnsi="Palatino Linotype"/>
          <w:i/>
          <w:color w:val="000000"/>
        </w:rPr>
        <w:t>” (Sic).</w:t>
      </w:r>
    </w:p>
    <w:p w14:paraId="2662755C" w14:textId="77777777" w:rsidR="001B55DB" w:rsidRDefault="001B55DB">
      <w:pPr>
        <w:spacing w:after="0" w:line="360" w:lineRule="auto"/>
        <w:ind w:right="141"/>
        <w:jc w:val="both"/>
        <w:rPr>
          <w:rFonts w:ascii="Palatino Linotype" w:hAnsi="Palatino Linotype" w:cs="Arial"/>
          <w:bCs/>
          <w:sz w:val="24"/>
          <w:szCs w:val="24"/>
        </w:rPr>
      </w:pPr>
    </w:p>
    <w:p w14:paraId="2A3D0F0F" w14:textId="77777777" w:rsidR="001B55DB" w:rsidRDefault="006D6396">
      <w:pPr>
        <w:spacing w:after="0" w:line="360" w:lineRule="auto"/>
        <w:ind w:right="141"/>
        <w:jc w:val="both"/>
        <w:rPr>
          <w:rFonts w:ascii="Palatino Linotype" w:hAnsi="Palatino Linotype"/>
          <w:sz w:val="24"/>
          <w:szCs w:val="24"/>
          <w:lang w:eastAsia="es-MX"/>
        </w:rPr>
      </w:pPr>
      <w:r>
        <w:rPr>
          <w:rFonts w:ascii="Palatino Linotype" w:hAnsi="Palatino Linotype"/>
          <w:sz w:val="24"/>
          <w:szCs w:val="24"/>
          <w:lang w:eastAsia="es-MX"/>
        </w:rPr>
        <w:t xml:space="preserve">Bajo las premisas anteriores, se concluye que en la especie será motivo de análisis si efectivamente, la respuesta otorgada por parte del </w:t>
      </w:r>
      <w:r>
        <w:rPr>
          <w:rFonts w:ascii="Palatino Linotype" w:hAnsi="Palatino Linotype"/>
          <w:b/>
          <w:sz w:val="24"/>
          <w:szCs w:val="24"/>
          <w:lang w:eastAsia="es-MX"/>
        </w:rPr>
        <w:t>Sujeto Obligado</w:t>
      </w:r>
      <w:r>
        <w:rPr>
          <w:rFonts w:ascii="Palatino Linotype" w:hAnsi="Palatino Linotype"/>
          <w:sz w:val="24"/>
          <w:szCs w:val="24"/>
          <w:lang w:eastAsia="es-MX"/>
        </w:rPr>
        <w:t xml:space="preserve"> satisface los requisitos establecidos por la Ley de la materia.</w:t>
      </w:r>
    </w:p>
    <w:p w14:paraId="0377749D" w14:textId="77777777" w:rsidR="001B55DB" w:rsidRDefault="001B55DB">
      <w:pPr>
        <w:spacing w:after="0" w:line="360" w:lineRule="auto"/>
        <w:ind w:right="141"/>
        <w:jc w:val="both"/>
        <w:rPr>
          <w:rFonts w:ascii="Palatino Linotype" w:hAnsi="Palatino Linotype"/>
          <w:sz w:val="24"/>
          <w:szCs w:val="24"/>
          <w:lang w:eastAsia="es-MX"/>
        </w:rPr>
      </w:pPr>
    </w:p>
    <w:p w14:paraId="18C16D6D" w14:textId="77777777" w:rsidR="001B55DB" w:rsidRDefault="006D6396">
      <w:pPr>
        <w:spacing w:after="0" w:line="360" w:lineRule="auto"/>
        <w:jc w:val="both"/>
        <w:rPr>
          <w:rFonts w:ascii="Palatino Linotype" w:eastAsia="Times New Roman" w:hAnsi="Palatino Linotype"/>
          <w:color w:val="000000"/>
          <w:sz w:val="24"/>
          <w:szCs w:val="24"/>
          <w:lang w:eastAsia="es-ES"/>
        </w:rPr>
      </w:pPr>
      <w:r>
        <w:rPr>
          <w:rFonts w:ascii="Palatino Linotype" w:eastAsia="Times New Roman" w:hAnsi="Palatino Linotype"/>
          <w:sz w:val="24"/>
          <w:szCs w:val="24"/>
          <w:lang w:eastAsia="es-ES"/>
        </w:rPr>
        <w:t xml:space="preserve">En Primer lugar, </w:t>
      </w:r>
      <w:r>
        <w:rPr>
          <w:rFonts w:ascii="Palatino Linotype" w:eastAsia="Times New Roman" w:hAnsi="Palatino Linotype"/>
          <w:color w:val="000000"/>
          <w:sz w:val="24"/>
          <w:szCs w:val="24"/>
          <w:lang w:eastAsia="es-ES"/>
        </w:rPr>
        <w:t>es de advertirse lo siguiente: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14:paraId="4F8F9F86" w14:textId="77777777" w:rsidR="001B55DB" w:rsidRDefault="001B55DB">
      <w:pPr>
        <w:spacing w:after="0" w:line="360" w:lineRule="auto"/>
        <w:jc w:val="both"/>
        <w:rPr>
          <w:rFonts w:ascii="Palatino Linotype" w:eastAsia="Times New Roman" w:hAnsi="Palatino Linotype"/>
          <w:color w:val="000000"/>
          <w:sz w:val="24"/>
          <w:szCs w:val="24"/>
          <w:lang w:eastAsia="es-ES"/>
        </w:rPr>
      </w:pPr>
    </w:p>
    <w:p w14:paraId="53E7C8F8" w14:textId="77777777" w:rsidR="001B55DB" w:rsidRDefault="006D6396">
      <w:pPr>
        <w:spacing w:after="0" w:line="240" w:lineRule="auto"/>
        <w:ind w:left="851" w:right="851"/>
        <w:jc w:val="both"/>
        <w:rPr>
          <w:rFonts w:ascii="Palatino Linotype" w:eastAsia="Times New Roman" w:hAnsi="Palatino Linotype"/>
          <w:b/>
          <w:i/>
          <w:lang w:eastAsia="es-ES"/>
        </w:rPr>
      </w:pPr>
      <w:r>
        <w:rPr>
          <w:rFonts w:ascii="Palatino Linotype" w:eastAsia="Times New Roman" w:hAnsi="Palatino Linotype"/>
          <w:b/>
          <w:i/>
          <w:lang w:eastAsia="es-ES"/>
        </w:rPr>
        <w:t>Artículo 6</w:t>
      </w:r>
    </w:p>
    <w:p w14:paraId="7E15C481" w14:textId="77777777" w:rsidR="001B55DB" w:rsidRDefault="006D6396">
      <w:pPr>
        <w:spacing w:after="0" w:line="240" w:lineRule="auto"/>
        <w:ind w:left="851" w:right="851"/>
        <w:jc w:val="both"/>
        <w:rPr>
          <w:rFonts w:ascii="Palatino Linotype" w:eastAsia="Times New Roman" w:hAnsi="Palatino Linotype"/>
          <w:i/>
          <w:lang w:eastAsia="es-ES"/>
        </w:rPr>
      </w:pPr>
      <w:r>
        <w:rPr>
          <w:rFonts w:ascii="Palatino Linotype" w:eastAsia="Times New Roman" w:hAnsi="Palatino Linotype"/>
          <w:i/>
          <w:lang w:eastAsia="es-ES"/>
        </w:rPr>
        <w:t>…</w:t>
      </w:r>
    </w:p>
    <w:p w14:paraId="24209714" w14:textId="77777777" w:rsidR="001B55DB" w:rsidRDefault="006D6396">
      <w:pPr>
        <w:spacing w:after="0" w:line="240" w:lineRule="auto"/>
        <w:ind w:left="851" w:right="851"/>
        <w:jc w:val="both"/>
        <w:rPr>
          <w:rFonts w:ascii="Palatino Linotype" w:eastAsia="Times New Roman" w:hAnsi="Palatino Linotype"/>
          <w:i/>
          <w:lang w:eastAsia="es-ES"/>
        </w:rPr>
      </w:pPr>
      <w:r>
        <w:rPr>
          <w:rFonts w:ascii="Palatino Linotype" w:eastAsia="Times New Roman" w:hAnsi="Palatino Linotype"/>
          <w:i/>
          <w:lang w:eastAsia="es-ES"/>
        </w:rPr>
        <w:t>Para el ejercicio del derecho de acceso a la información, la Federación, los Estados y el Distrito Federal, en el ámbito de sus respectivas competencias, se regirán por los siguientes principios y bases:</w:t>
      </w:r>
    </w:p>
    <w:p w14:paraId="1150AAD1" w14:textId="77777777" w:rsidR="001B55DB" w:rsidRDefault="001B55DB">
      <w:pPr>
        <w:spacing w:after="0" w:line="240" w:lineRule="auto"/>
        <w:ind w:left="851" w:right="851"/>
        <w:jc w:val="both"/>
        <w:rPr>
          <w:rFonts w:ascii="Palatino Linotype" w:eastAsia="Times New Roman" w:hAnsi="Palatino Linotype"/>
          <w:i/>
          <w:lang w:eastAsia="es-ES"/>
        </w:rPr>
      </w:pPr>
    </w:p>
    <w:p w14:paraId="5EB5D184" w14:textId="77777777" w:rsidR="001B55DB" w:rsidRDefault="006D6396">
      <w:pPr>
        <w:numPr>
          <w:ilvl w:val="0"/>
          <w:numId w:val="4"/>
        </w:numPr>
        <w:spacing w:after="0" w:line="240" w:lineRule="auto"/>
        <w:ind w:left="851" w:right="851"/>
        <w:jc w:val="both"/>
        <w:rPr>
          <w:rFonts w:ascii="Palatino Linotype" w:eastAsia="Times New Roman" w:hAnsi="Palatino Linotype"/>
          <w:i/>
          <w:lang w:eastAsia="es-ES"/>
        </w:rPr>
      </w:pPr>
      <w:r>
        <w:rPr>
          <w:rFonts w:ascii="Palatino Linotype" w:eastAsia="Times New Roman" w:hAnsi="Palatino Linotype"/>
          <w:i/>
          <w:lang w:eastAsia="es-ES"/>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0339AA3" w14:textId="77777777" w:rsidR="001B55DB" w:rsidRDefault="001B55DB">
      <w:pPr>
        <w:spacing w:after="0" w:line="360" w:lineRule="auto"/>
        <w:jc w:val="both"/>
        <w:rPr>
          <w:rFonts w:ascii="Palatino Linotype" w:eastAsia="Times New Roman" w:hAnsi="Palatino Linotype"/>
          <w:sz w:val="24"/>
          <w:szCs w:val="24"/>
          <w:lang w:eastAsia="es-ES"/>
        </w:rPr>
      </w:pPr>
    </w:p>
    <w:p w14:paraId="56BFFEFC" w14:textId="77777777" w:rsidR="001B55DB" w:rsidRDefault="006D6396">
      <w:pPr>
        <w:spacing w:after="0" w:line="360" w:lineRule="auto"/>
        <w:jc w:val="both"/>
        <w:rPr>
          <w:rFonts w:ascii="Palatino Linotype" w:eastAsia="Times New Roman" w:hAnsi="Palatino Linotype" w:cs="Arial"/>
          <w:sz w:val="24"/>
          <w:szCs w:val="24"/>
          <w:lang w:eastAsia="es-ES"/>
        </w:rPr>
      </w:pPr>
      <w:r>
        <w:rPr>
          <w:rFonts w:ascii="Palatino Linotype" w:eastAsia="Times New Roman" w:hAnsi="Palatino Linotype" w:cs="Arial"/>
          <w:sz w:val="24"/>
          <w:szCs w:val="24"/>
          <w:lang w:eastAsia="es-ES"/>
        </w:rPr>
        <w:t xml:space="preserve">Ahora bien, en atención a lo dispuesto por los artículos 3, fracción XI y 12 </w:t>
      </w:r>
      <w:r>
        <w:rPr>
          <w:rFonts w:ascii="Palatino Linotype" w:eastAsia="Times New Roman" w:hAnsi="Palatino Linotype" w:cs="Arial"/>
          <w:bCs/>
          <w:sz w:val="24"/>
          <w:szCs w:val="24"/>
          <w:lang w:eastAsia="es-ES"/>
        </w:rPr>
        <w:t>de la Ley de Transparencia y Acceso a la Información Pública del Estado de México y Municipios</w:t>
      </w:r>
      <w:r>
        <w:rPr>
          <w:rFonts w:ascii="Palatino Linotype" w:eastAsia="Times New Roman" w:hAnsi="Palatino Linotype" w:cs="Arial"/>
          <w:sz w:val="24"/>
          <w:szCs w:val="24"/>
          <w:lang w:eastAsia="es-ES"/>
        </w:rPr>
        <w:t>, los cuales son del tenor literal siguiente:</w:t>
      </w:r>
    </w:p>
    <w:p w14:paraId="1EA5E3FD" w14:textId="77777777" w:rsidR="001B55DB" w:rsidRDefault="001B55DB">
      <w:pPr>
        <w:spacing w:after="0" w:line="240" w:lineRule="auto"/>
        <w:ind w:left="567" w:right="567"/>
        <w:jc w:val="both"/>
        <w:rPr>
          <w:rFonts w:ascii="Palatino Linotype" w:eastAsia="Times New Roman" w:hAnsi="Palatino Linotype"/>
          <w:sz w:val="24"/>
          <w:szCs w:val="24"/>
          <w:lang w:eastAsia="es-ES"/>
        </w:rPr>
      </w:pPr>
    </w:p>
    <w:p w14:paraId="5D282BFD" w14:textId="77777777" w:rsidR="001B55DB" w:rsidRDefault="006D6396">
      <w:pPr>
        <w:spacing w:after="0" w:line="240" w:lineRule="auto"/>
        <w:ind w:left="851" w:right="851"/>
        <w:jc w:val="both"/>
        <w:rPr>
          <w:rFonts w:ascii="Palatino Linotype" w:eastAsia="Times New Roman" w:hAnsi="Palatino Linotype"/>
          <w:i/>
          <w:lang w:eastAsia="es-ES"/>
        </w:rPr>
      </w:pPr>
      <w:r>
        <w:rPr>
          <w:rFonts w:ascii="Palatino Linotype" w:eastAsia="Times New Roman" w:hAnsi="Palatino Linotype"/>
          <w:b/>
          <w:bCs/>
          <w:i/>
          <w:lang w:eastAsia="es-ES"/>
        </w:rPr>
        <w:t xml:space="preserve">Artículo 3.- </w:t>
      </w:r>
      <w:r>
        <w:rPr>
          <w:rFonts w:ascii="Palatino Linotype" w:eastAsia="Times New Roman" w:hAnsi="Palatino Linotype"/>
          <w:i/>
          <w:lang w:eastAsia="es-ES"/>
        </w:rPr>
        <w:t>Para los efectos de la presente Ley se entenderá por:</w:t>
      </w:r>
    </w:p>
    <w:p w14:paraId="692C62E6" w14:textId="77777777" w:rsidR="001B55DB" w:rsidRDefault="006D6396">
      <w:pPr>
        <w:spacing w:after="0" w:line="240" w:lineRule="auto"/>
        <w:ind w:left="851" w:right="851"/>
        <w:jc w:val="both"/>
        <w:rPr>
          <w:rFonts w:ascii="Palatino Linotype" w:eastAsia="Times New Roman" w:hAnsi="Palatino Linotype"/>
          <w:i/>
          <w:lang w:eastAsia="es-ES"/>
        </w:rPr>
      </w:pPr>
      <w:r>
        <w:rPr>
          <w:rFonts w:ascii="Palatino Linotype" w:eastAsia="Times New Roman" w:hAnsi="Palatino Linotype"/>
          <w:i/>
          <w:lang w:eastAsia="es-ES"/>
        </w:rPr>
        <w:t>…</w:t>
      </w:r>
    </w:p>
    <w:p w14:paraId="66DAF129" w14:textId="77777777" w:rsidR="001B55DB" w:rsidRDefault="006D6396">
      <w:pPr>
        <w:spacing w:after="0" w:line="240" w:lineRule="auto"/>
        <w:ind w:left="851" w:right="851"/>
        <w:jc w:val="both"/>
        <w:rPr>
          <w:rFonts w:ascii="Palatino Linotype" w:eastAsia="Times New Roman" w:hAnsi="Palatino Linotype"/>
          <w:i/>
          <w:lang w:eastAsia="es-ES"/>
        </w:rPr>
      </w:pPr>
      <w:r>
        <w:rPr>
          <w:rFonts w:ascii="Palatino Linotype" w:eastAsia="Times New Roman" w:hAnsi="Palatino Linotype"/>
          <w:b/>
          <w:i/>
          <w:lang w:eastAsia="es-ES"/>
        </w:rPr>
        <w:t>XI.</w:t>
      </w:r>
      <w:r>
        <w:rPr>
          <w:rFonts w:ascii="Palatino Linotype" w:eastAsia="Times New Roman" w:hAnsi="Palatino Linotype"/>
          <w:i/>
          <w:lang w:eastAsia="es-ES"/>
        </w:rPr>
        <w:t xml:space="preserve"> </w:t>
      </w:r>
      <w:r>
        <w:rPr>
          <w:rFonts w:ascii="Palatino Linotype" w:eastAsia="Times New Roman" w:hAnsi="Palatino Linotype"/>
          <w:b/>
          <w:i/>
          <w:lang w:eastAsia="es-ES"/>
        </w:rPr>
        <w:t>Documento:</w:t>
      </w:r>
      <w:r>
        <w:rPr>
          <w:rFonts w:ascii="Palatino Linotype" w:eastAsia="Times New Roman" w:hAnsi="Palatino Linotype"/>
          <w:i/>
          <w:lang w:eastAsia="es-ES"/>
        </w:rPr>
        <w:t xml:space="preserve"> Los expedientes, reportes, estudios, actas, resoluciones, oficios, correspondencia, acuerdos, directivas, directrices, circulares, contratos, convenios, instructivos, notas, memorandos, estadísticas o bien, </w:t>
      </w:r>
      <w:r>
        <w:rPr>
          <w:rFonts w:ascii="Palatino Linotype" w:eastAsia="Times New Roman" w:hAnsi="Palatino Linotype"/>
          <w:b/>
          <w:i/>
          <w:u w:val="single"/>
          <w:lang w:eastAsia="es-ES"/>
        </w:rPr>
        <w:t>cualquier otro registro que documente el ejercicio de las facultades, funciones y competencias de los sujetos obligados, sus servidores públicos e integrantes, sin importar su fuente o fecha de elaboración.</w:t>
      </w:r>
      <w:r>
        <w:rPr>
          <w:rFonts w:ascii="Palatino Linotype" w:eastAsia="Times New Roman" w:hAnsi="Palatino Linotype"/>
          <w:i/>
          <w:lang w:eastAsia="es-ES"/>
        </w:rPr>
        <w:t xml:space="preserve"> Los documentos podrán estar en cualquier medio, sea escrito, impreso, sonoro, visual, electrónico, informático u holográfico;</w:t>
      </w:r>
    </w:p>
    <w:p w14:paraId="7862A967" w14:textId="77777777" w:rsidR="001B55DB" w:rsidRDefault="001B55DB">
      <w:pPr>
        <w:spacing w:after="0" w:line="240" w:lineRule="auto"/>
        <w:ind w:left="851" w:right="851"/>
        <w:jc w:val="both"/>
        <w:rPr>
          <w:rFonts w:ascii="Palatino Linotype" w:eastAsia="Times New Roman" w:hAnsi="Palatino Linotype"/>
          <w:i/>
          <w:lang w:eastAsia="es-ES"/>
        </w:rPr>
      </w:pPr>
    </w:p>
    <w:p w14:paraId="7C09C9C1" w14:textId="77777777" w:rsidR="001B55DB" w:rsidRDefault="006D6396">
      <w:pPr>
        <w:spacing w:after="0" w:line="240" w:lineRule="auto"/>
        <w:ind w:left="851" w:right="851"/>
        <w:jc w:val="both"/>
        <w:rPr>
          <w:rFonts w:ascii="Palatino Linotype" w:eastAsia="Times New Roman" w:hAnsi="Palatino Linotype"/>
          <w:bCs/>
          <w:i/>
          <w:lang w:eastAsia="es-ES"/>
        </w:rPr>
      </w:pPr>
      <w:r>
        <w:rPr>
          <w:rFonts w:ascii="Palatino Linotype" w:eastAsia="Times New Roman" w:hAnsi="Palatino Linotype"/>
          <w:b/>
          <w:bCs/>
          <w:i/>
          <w:lang w:eastAsia="es-ES"/>
        </w:rPr>
        <w:t>Artículo 4.</w:t>
      </w:r>
      <w:r>
        <w:rPr>
          <w:rFonts w:ascii="Palatino Linotype" w:eastAsia="Times New Roman" w:hAnsi="Palatino Linotype"/>
          <w:bCs/>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1E8DDC57" w14:textId="77777777" w:rsidR="001B55DB" w:rsidRDefault="001B55DB">
      <w:pPr>
        <w:spacing w:after="0" w:line="240" w:lineRule="auto"/>
        <w:ind w:left="851" w:right="851"/>
        <w:jc w:val="both"/>
        <w:rPr>
          <w:rFonts w:ascii="Palatino Linotype" w:eastAsia="Times New Roman" w:hAnsi="Palatino Linotype"/>
          <w:bCs/>
          <w:i/>
          <w:lang w:eastAsia="es-ES"/>
        </w:rPr>
      </w:pPr>
    </w:p>
    <w:p w14:paraId="434AA662" w14:textId="77777777" w:rsidR="001B55DB" w:rsidRDefault="006D6396">
      <w:pPr>
        <w:spacing w:after="0" w:line="240" w:lineRule="auto"/>
        <w:ind w:left="851" w:right="851"/>
        <w:jc w:val="both"/>
        <w:rPr>
          <w:rFonts w:ascii="Palatino Linotype" w:eastAsia="Times New Roman" w:hAnsi="Palatino Linotype"/>
          <w:bCs/>
          <w:i/>
          <w:lang w:eastAsia="es-ES"/>
        </w:rPr>
      </w:pPr>
      <w:r>
        <w:rPr>
          <w:rFonts w:ascii="Palatino Linotype" w:eastAsia="Times New Roman" w:hAnsi="Palatino Linotype"/>
          <w:b/>
          <w:bCs/>
          <w:i/>
          <w:u w:val="single"/>
          <w:lang w:eastAsia="es-ES"/>
        </w:rPr>
        <w:lastRenderedPageBreak/>
        <w:t>Toda la información generada, obtenida, adquirida, transformada, administrada o en posesión de los sujetos obligados es pública y accesible de manera permanente a cualquier persona,</w:t>
      </w:r>
      <w:r>
        <w:rPr>
          <w:rFonts w:ascii="Palatino Linotype" w:eastAsia="Times New Roman" w:hAnsi="Palatino Linotype"/>
          <w:bCs/>
          <w:i/>
          <w:lang w:eastAsia="es-ES"/>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1DDE0F5" w14:textId="77777777" w:rsidR="001B55DB" w:rsidRDefault="001B55DB">
      <w:pPr>
        <w:spacing w:after="0" w:line="240" w:lineRule="auto"/>
        <w:ind w:left="851" w:right="851"/>
        <w:jc w:val="both"/>
        <w:rPr>
          <w:rFonts w:ascii="Palatino Linotype" w:eastAsia="Times New Roman" w:hAnsi="Palatino Linotype"/>
          <w:bCs/>
          <w:i/>
          <w:lang w:eastAsia="es-ES"/>
        </w:rPr>
      </w:pPr>
    </w:p>
    <w:p w14:paraId="580BEB4C" w14:textId="77777777" w:rsidR="001B55DB" w:rsidRDefault="006D6396">
      <w:pPr>
        <w:spacing w:after="0" w:line="240" w:lineRule="auto"/>
        <w:ind w:left="851" w:right="851"/>
        <w:jc w:val="both"/>
        <w:rPr>
          <w:rFonts w:ascii="Palatino Linotype" w:eastAsia="Times New Roman" w:hAnsi="Palatino Linotype"/>
          <w:bCs/>
          <w:i/>
          <w:lang w:eastAsia="es-ES"/>
        </w:rPr>
      </w:pPr>
      <w:r>
        <w:rPr>
          <w:rFonts w:ascii="Palatino Linotype" w:eastAsia="Times New Roman" w:hAnsi="Palatino Linotype"/>
          <w:bCs/>
          <w:i/>
          <w:lang w:eastAsia="es-ES"/>
        </w:rPr>
        <w:t>Los sujetos obligados deben poner en práctica, políticas y programas de acceso a la información que se apeguen a criterios de publicidad, veracidad, oportunidad, precisión y suficiencia en beneficio de los solicitantes.</w:t>
      </w:r>
    </w:p>
    <w:p w14:paraId="5C4EA9B6" w14:textId="77777777" w:rsidR="001B55DB" w:rsidRDefault="001B55DB">
      <w:pPr>
        <w:spacing w:after="0" w:line="240" w:lineRule="auto"/>
        <w:ind w:left="851" w:right="851"/>
        <w:jc w:val="both"/>
        <w:rPr>
          <w:rFonts w:ascii="Palatino Linotype" w:eastAsia="Times New Roman" w:hAnsi="Palatino Linotype"/>
          <w:i/>
          <w:lang w:eastAsia="es-ES"/>
        </w:rPr>
      </w:pPr>
    </w:p>
    <w:p w14:paraId="50D1828F" w14:textId="77777777" w:rsidR="001B55DB" w:rsidRDefault="006D6396">
      <w:pPr>
        <w:spacing w:after="0" w:line="240" w:lineRule="auto"/>
        <w:ind w:left="851" w:right="851"/>
        <w:jc w:val="both"/>
        <w:rPr>
          <w:rFonts w:ascii="Palatino Linotype" w:eastAsia="Times New Roman" w:hAnsi="Palatino Linotype"/>
          <w:i/>
          <w:lang w:eastAsia="es-ES"/>
        </w:rPr>
      </w:pPr>
      <w:r>
        <w:rPr>
          <w:rFonts w:ascii="Palatino Linotype" w:eastAsia="Times New Roman" w:hAnsi="Palatino Linotype"/>
          <w:b/>
          <w:i/>
          <w:lang w:eastAsia="es-ES"/>
        </w:rPr>
        <w:t>Artículo 12.</w:t>
      </w:r>
      <w:r>
        <w:rPr>
          <w:rFonts w:ascii="Palatino Linotype" w:eastAsia="Times New Roman" w:hAnsi="Palatino Linotype"/>
          <w:i/>
          <w:lang w:eastAsia="es-ES"/>
        </w:rPr>
        <w:t xml:space="preserve"> Quienes generen, recopilen, administren, manejen, procesen, archiven o conserven información pública serán responsables de la misma en los términos de las disposiciones jurídicas aplicables.</w:t>
      </w:r>
    </w:p>
    <w:p w14:paraId="108A80D1" w14:textId="77777777" w:rsidR="001B55DB" w:rsidRDefault="001B55DB">
      <w:pPr>
        <w:spacing w:after="0" w:line="240" w:lineRule="auto"/>
        <w:ind w:left="851" w:right="851"/>
        <w:jc w:val="both"/>
        <w:rPr>
          <w:rFonts w:ascii="Palatino Linotype" w:eastAsia="Times New Roman" w:hAnsi="Palatino Linotype"/>
          <w:i/>
          <w:lang w:eastAsia="es-ES"/>
        </w:rPr>
      </w:pPr>
    </w:p>
    <w:p w14:paraId="2C7C95BD" w14:textId="77777777" w:rsidR="001B55DB" w:rsidRDefault="006D6396">
      <w:pPr>
        <w:spacing w:after="0" w:line="240" w:lineRule="auto"/>
        <w:ind w:left="851" w:right="851"/>
        <w:jc w:val="both"/>
        <w:rPr>
          <w:rFonts w:ascii="Palatino Linotype" w:eastAsia="Times New Roman" w:hAnsi="Palatino Linotype"/>
          <w:i/>
          <w:sz w:val="24"/>
          <w:szCs w:val="24"/>
          <w:u w:val="single"/>
          <w:lang w:eastAsia="es-ES"/>
        </w:rPr>
      </w:pPr>
      <w:r>
        <w:rPr>
          <w:rFonts w:ascii="Palatino Linotype" w:eastAsia="Times New Roman" w:hAnsi="Palatino Linotype"/>
          <w:b/>
          <w:i/>
          <w:u w:val="single"/>
          <w:lang w:eastAsia="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eastAsia="Times New Roman" w:hAnsi="Palatino Linotype"/>
          <w:i/>
          <w:lang w:eastAsia="es-ES"/>
        </w:rPr>
        <w:t>.</w:t>
      </w:r>
    </w:p>
    <w:p w14:paraId="428935E6" w14:textId="77777777" w:rsidR="001B55DB" w:rsidRDefault="001B55DB">
      <w:pPr>
        <w:spacing w:after="0" w:line="360" w:lineRule="auto"/>
        <w:jc w:val="both"/>
        <w:rPr>
          <w:rFonts w:ascii="Palatino Linotype" w:eastAsia="Times New Roman" w:hAnsi="Palatino Linotype"/>
          <w:sz w:val="24"/>
          <w:szCs w:val="24"/>
          <w:lang w:eastAsia="es-ES"/>
        </w:rPr>
      </w:pPr>
    </w:p>
    <w:p w14:paraId="24E581E9" w14:textId="77777777" w:rsidR="001B55DB" w:rsidRDefault="006D6396">
      <w:pPr>
        <w:spacing w:after="0" w:line="360" w:lineRule="auto"/>
        <w:jc w:val="both"/>
        <w:rPr>
          <w:rFonts w:ascii="Palatino Linotype" w:eastAsia="Times New Roman" w:hAnsi="Palatino Linotype" w:cs="Arial"/>
          <w:sz w:val="24"/>
          <w:szCs w:val="24"/>
          <w:lang w:eastAsia="es-ES"/>
        </w:rPr>
      </w:pPr>
      <w:r>
        <w:rPr>
          <w:rFonts w:ascii="Palatino Linotype" w:eastAsia="Times New Roman" w:hAnsi="Palatino Linotype" w:cs="Arial"/>
          <w:sz w:val="24"/>
          <w:szCs w:val="24"/>
          <w:lang w:eastAsia="es-ES"/>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14:paraId="13B59AD1" w14:textId="77777777" w:rsidR="001B55DB" w:rsidRDefault="001B55DB">
      <w:pPr>
        <w:spacing w:after="0" w:line="360" w:lineRule="auto"/>
        <w:jc w:val="both"/>
        <w:rPr>
          <w:rFonts w:ascii="Palatino Linotype" w:eastAsia="Times New Roman" w:hAnsi="Palatino Linotype" w:cs="Arial"/>
          <w:sz w:val="24"/>
          <w:szCs w:val="24"/>
          <w:lang w:eastAsia="es-ES"/>
        </w:rPr>
      </w:pPr>
    </w:p>
    <w:p w14:paraId="39010F3B" w14:textId="77777777" w:rsidR="001B55DB" w:rsidRDefault="006D6396">
      <w:pPr>
        <w:spacing w:after="0" w:line="360" w:lineRule="auto"/>
        <w:jc w:val="both"/>
        <w:rPr>
          <w:rFonts w:ascii="Palatino Linotype" w:eastAsiaTheme="minorHAnsi" w:hAnsi="Palatino Linotype" w:cstheme="minorBidi"/>
          <w:sz w:val="24"/>
          <w:szCs w:val="24"/>
          <w:lang w:eastAsia="es-MX"/>
        </w:rPr>
      </w:pPr>
      <w:r>
        <w:rPr>
          <w:rFonts w:ascii="Palatino Linotype" w:eastAsiaTheme="minorHAnsi" w:hAnsi="Palatino Linotype" w:cstheme="minorBidi"/>
          <w:sz w:val="24"/>
          <w:szCs w:val="24"/>
          <w:lang w:eastAsia="es-MX"/>
        </w:rPr>
        <w:t xml:space="preserve">En ese orden de ideas, de la solicitud de acceso a la información pública, se desprende que el particular requiere conocer los documentos que den cuenta de las declaraciones públicas realizadas por Diputados a los medios informativos relacionadas con las investigaciones llevadas a cabo a las instituciones de educación superior del Estado de </w:t>
      </w:r>
      <w:r>
        <w:rPr>
          <w:rFonts w:ascii="Palatino Linotype" w:eastAsiaTheme="minorHAnsi" w:hAnsi="Palatino Linotype" w:cstheme="minorBidi"/>
          <w:sz w:val="24"/>
          <w:szCs w:val="24"/>
          <w:lang w:eastAsia="es-MX"/>
        </w:rPr>
        <w:lastRenderedPageBreak/>
        <w:t xml:space="preserve">México que participaron en la denominada “estafa maestra”, proporcionado diversas ligas electrónicas de las publicaciones referidas, de las cuales se detalla su contenido a continuación: </w:t>
      </w:r>
    </w:p>
    <w:p w14:paraId="78B212F6" w14:textId="77777777" w:rsidR="001B55DB" w:rsidRDefault="001B55DB">
      <w:pPr>
        <w:spacing w:after="0" w:line="360" w:lineRule="auto"/>
        <w:jc w:val="both"/>
        <w:rPr>
          <w:rFonts w:ascii="Palatino Linotype" w:eastAsiaTheme="minorHAnsi" w:hAnsi="Palatino Linotype" w:cstheme="minorBidi"/>
          <w:sz w:val="24"/>
          <w:szCs w:val="24"/>
          <w:lang w:eastAsia="es-MX"/>
        </w:rPr>
      </w:pPr>
    </w:p>
    <w:p w14:paraId="628E60F9" w14:textId="77777777" w:rsidR="001B55DB" w:rsidRDefault="007424BC">
      <w:pPr>
        <w:pStyle w:val="Prrafodelista"/>
        <w:numPr>
          <w:ilvl w:val="0"/>
          <w:numId w:val="5"/>
        </w:numPr>
        <w:spacing w:line="360" w:lineRule="auto"/>
        <w:jc w:val="both"/>
        <w:rPr>
          <w:rFonts w:ascii="Palatino Linotype" w:eastAsiaTheme="minorHAnsi" w:hAnsi="Palatino Linotype" w:cstheme="minorBidi"/>
          <w:lang w:eastAsia="es-MX"/>
        </w:rPr>
      </w:pPr>
      <w:hyperlink r:id="rId14" w:history="1">
        <w:r w:rsidR="006D6396">
          <w:rPr>
            <w:rStyle w:val="Hipervnculo"/>
            <w:rFonts w:ascii="Palatino Linotype" w:eastAsiaTheme="minorHAnsi" w:hAnsi="Palatino Linotype" w:cstheme="minorBidi"/>
            <w:lang w:eastAsia="es-MX"/>
          </w:rPr>
          <w:t>https://contralacorrupcion.mx/web/estafamaestra/</w:t>
        </w:r>
      </w:hyperlink>
      <w:r w:rsidR="006D6396">
        <w:rPr>
          <w:rFonts w:ascii="Palatino Linotype" w:eastAsiaTheme="minorHAnsi" w:hAnsi="Palatino Linotype" w:cstheme="minorBidi"/>
          <w:lang w:eastAsia="es-MX"/>
        </w:rPr>
        <w:t xml:space="preserve"> </w:t>
      </w:r>
    </w:p>
    <w:p w14:paraId="0B2B292C" w14:textId="77777777" w:rsidR="001B55DB" w:rsidRDefault="001B55DB">
      <w:pPr>
        <w:spacing w:line="360" w:lineRule="auto"/>
        <w:jc w:val="both"/>
        <w:rPr>
          <w:rFonts w:ascii="Palatino Linotype" w:eastAsiaTheme="minorHAnsi" w:hAnsi="Palatino Linotype" w:cstheme="minorBidi"/>
          <w:lang w:eastAsia="es-MX"/>
        </w:rPr>
      </w:pPr>
    </w:p>
    <w:p w14:paraId="11D72201" w14:textId="77777777" w:rsidR="001B55DB" w:rsidRDefault="006D6396">
      <w:pPr>
        <w:spacing w:line="360" w:lineRule="auto"/>
        <w:jc w:val="both"/>
        <w:rPr>
          <w:rFonts w:ascii="Palatino Linotype" w:eastAsiaTheme="minorHAnsi" w:hAnsi="Palatino Linotype" w:cstheme="minorBidi"/>
          <w:lang w:eastAsia="es-MX"/>
        </w:rPr>
      </w:pPr>
      <w:r>
        <w:rPr>
          <w:rFonts w:ascii="Palatino Linotype" w:eastAsiaTheme="minorHAnsi" w:hAnsi="Palatino Linotype" w:cstheme="minorBidi"/>
          <w:lang w:eastAsia="es-MX"/>
        </w:rPr>
        <w:t xml:space="preserve">Publicación realizada por el medio “Animal Político” titulada “La Estafa Maestra: graduados en desaparecer dinero público” en la cual hace referencia al desvío de recursos federales, como se advierte enseguida: </w:t>
      </w:r>
    </w:p>
    <w:p w14:paraId="05402981" w14:textId="77777777" w:rsidR="001B55DB" w:rsidRDefault="006D6396">
      <w:pPr>
        <w:spacing w:line="360" w:lineRule="auto"/>
        <w:jc w:val="center"/>
        <w:rPr>
          <w:rFonts w:ascii="Palatino Linotype" w:eastAsiaTheme="minorHAnsi" w:hAnsi="Palatino Linotype" w:cstheme="minorBidi"/>
          <w:lang w:eastAsia="es-MX"/>
        </w:rPr>
      </w:pPr>
      <w:r>
        <w:rPr>
          <w:rFonts w:ascii="Palatino Linotype" w:eastAsiaTheme="minorHAnsi" w:hAnsi="Palatino Linotype" w:cstheme="minorBidi"/>
          <w:noProof/>
          <w:lang w:eastAsia="es-MX"/>
        </w:rPr>
        <w:drawing>
          <wp:inline distT="0" distB="0" distL="0" distR="0" wp14:anchorId="78013ACB" wp14:editId="62398344">
            <wp:extent cx="4944745" cy="4773295"/>
            <wp:effectExtent l="0" t="0" r="8255" b="8255"/>
            <wp:docPr id="10706682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668267" name="Imagen 1"/>
                    <pic:cNvPicPr>
                      <a:picLocks noChangeAspect="1"/>
                    </pic:cNvPicPr>
                  </pic:nvPicPr>
                  <pic:blipFill>
                    <a:blip r:embed="rId15"/>
                    <a:stretch>
                      <a:fillRect/>
                    </a:stretch>
                  </pic:blipFill>
                  <pic:spPr>
                    <a:xfrm>
                      <a:off x="0" y="0"/>
                      <a:ext cx="4960710" cy="4788464"/>
                    </a:xfrm>
                    <a:prstGeom prst="rect">
                      <a:avLst/>
                    </a:prstGeom>
                  </pic:spPr>
                </pic:pic>
              </a:graphicData>
            </a:graphic>
          </wp:inline>
        </w:drawing>
      </w:r>
    </w:p>
    <w:p w14:paraId="0984E2A1" w14:textId="77777777" w:rsidR="001B55DB" w:rsidRDefault="007424BC">
      <w:pPr>
        <w:pStyle w:val="Prrafodelista"/>
        <w:numPr>
          <w:ilvl w:val="0"/>
          <w:numId w:val="5"/>
        </w:numPr>
        <w:rPr>
          <w:rFonts w:ascii="Palatino Linotype" w:eastAsiaTheme="minorHAnsi" w:hAnsi="Palatino Linotype" w:cstheme="minorBidi"/>
          <w:lang w:eastAsia="es-MX"/>
        </w:rPr>
      </w:pPr>
      <w:hyperlink r:id="rId16" w:history="1">
        <w:r w:rsidR="006D6396">
          <w:rPr>
            <w:rStyle w:val="Hipervnculo"/>
            <w:rFonts w:ascii="Palatino Linotype" w:eastAsiaTheme="minorHAnsi" w:hAnsi="Palatino Linotype" w:cstheme="minorBidi"/>
            <w:lang w:eastAsia="es-MX"/>
          </w:rPr>
          <w:t>https://www.proceso.com.mx/nacional/2021/6/30/estafa-maestra-encabeza-anomalias-denuncias-de-losultimos-tres-anos-asf-266902.html</w:t>
        </w:r>
      </w:hyperlink>
      <w:r w:rsidR="006D6396">
        <w:rPr>
          <w:rFonts w:ascii="Palatino Linotype" w:eastAsiaTheme="minorHAnsi" w:hAnsi="Palatino Linotype" w:cstheme="minorBidi"/>
          <w:lang w:eastAsia="es-MX"/>
        </w:rPr>
        <w:t xml:space="preserve">    </w:t>
      </w:r>
    </w:p>
    <w:p w14:paraId="49F6E6C5" w14:textId="77777777" w:rsidR="001B55DB" w:rsidRDefault="001B55DB">
      <w:pPr>
        <w:spacing w:line="360" w:lineRule="auto"/>
        <w:ind w:left="360"/>
        <w:jc w:val="both"/>
        <w:rPr>
          <w:rFonts w:ascii="Palatino Linotype" w:eastAsiaTheme="minorHAnsi" w:hAnsi="Palatino Linotype" w:cstheme="minorBidi"/>
          <w:lang w:eastAsia="es-MX"/>
        </w:rPr>
      </w:pPr>
    </w:p>
    <w:p w14:paraId="1FFFFAD2" w14:textId="77777777" w:rsidR="001B55DB" w:rsidRDefault="006D6396">
      <w:pPr>
        <w:spacing w:line="360" w:lineRule="auto"/>
        <w:ind w:left="360"/>
        <w:jc w:val="both"/>
        <w:rPr>
          <w:rFonts w:ascii="Palatino Linotype" w:eastAsiaTheme="minorHAnsi" w:hAnsi="Palatino Linotype" w:cstheme="minorBidi"/>
          <w:sz w:val="24"/>
          <w:szCs w:val="24"/>
          <w:lang w:eastAsia="es-MX"/>
        </w:rPr>
      </w:pPr>
      <w:r>
        <w:rPr>
          <w:rFonts w:ascii="Palatino Linotype" w:eastAsiaTheme="minorHAnsi" w:hAnsi="Palatino Linotype" w:cstheme="minorBidi"/>
          <w:sz w:val="24"/>
          <w:szCs w:val="24"/>
          <w:lang w:eastAsia="es-MX"/>
        </w:rPr>
        <w:t xml:space="preserve">Publicación realizada por el medio “Proceso” titulada </w:t>
      </w:r>
      <w:r>
        <w:rPr>
          <w:rFonts w:ascii="Palatino Linotype" w:eastAsiaTheme="minorHAnsi" w:hAnsi="Palatino Linotype" w:cstheme="minorBidi"/>
          <w:i/>
          <w:iCs/>
          <w:sz w:val="24"/>
          <w:szCs w:val="24"/>
          <w:lang w:eastAsia="es-MX"/>
        </w:rPr>
        <w:t>“"Estafa Maestra" encabeza anomalías y denuncias de los últimos tres años: ASF</w:t>
      </w:r>
      <w:r>
        <w:rPr>
          <w:rFonts w:ascii="Palatino Linotype" w:eastAsiaTheme="minorHAnsi" w:hAnsi="Palatino Linotype" w:cstheme="minorBidi"/>
          <w:sz w:val="24"/>
          <w:szCs w:val="24"/>
          <w:lang w:eastAsia="es-MX"/>
        </w:rPr>
        <w:t xml:space="preserve">” en la cual hace referencia a diversas denuncias realizadas a la Auditoría Superior de Fiscalización, como se advierte enseguida: </w:t>
      </w:r>
    </w:p>
    <w:p w14:paraId="3A46094E" w14:textId="77777777" w:rsidR="001B55DB" w:rsidRDefault="006D6396">
      <w:pPr>
        <w:spacing w:after="0" w:line="360" w:lineRule="auto"/>
        <w:jc w:val="both"/>
        <w:rPr>
          <w:rFonts w:ascii="Palatino Linotype" w:eastAsiaTheme="minorHAnsi" w:hAnsi="Palatino Linotype" w:cstheme="minorBidi"/>
          <w:sz w:val="24"/>
          <w:szCs w:val="24"/>
          <w:lang w:eastAsia="es-MX"/>
        </w:rPr>
      </w:pPr>
      <w:r>
        <w:rPr>
          <w:rFonts w:ascii="Palatino Linotype" w:eastAsiaTheme="minorHAnsi" w:hAnsi="Palatino Linotype" w:cstheme="minorBidi"/>
          <w:noProof/>
          <w:sz w:val="24"/>
          <w:szCs w:val="24"/>
          <w:lang w:eastAsia="es-MX"/>
        </w:rPr>
        <w:drawing>
          <wp:inline distT="0" distB="0" distL="0" distR="0" wp14:anchorId="536DBBEB" wp14:editId="33CEF5A5">
            <wp:extent cx="5760720" cy="3133090"/>
            <wp:effectExtent l="0" t="0" r="0" b="0"/>
            <wp:docPr id="18851648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164877" name="Imagen 1"/>
                    <pic:cNvPicPr>
                      <a:picLocks noChangeAspect="1"/>
                    </pic:cNvPicPr>
                  </pic:nvPicPr>
                  <pic:blipFill>
                    <a:blip r:embed="rId17"/>
                    <a:stretch>
                      <a:fillRect/>
                    </a:stretch>
                  </pic:blipFill>
                  <pic:spPr>
                    <a:xfrm>
                      <a:off x="0" y="0"/>
                      <a:ext cx="5760720" cy="3133090"/>
                    </a:xfrm>
                    <a:prstGeom prst="rect">
                      <a:avLst/>
                    </a:prstGeom>
                  </pic:spPr>
                </pic:pic>
              </a:graphicData>
            </a:graphic>
          </wp:inline>
        </w:drawing>
      </w:r>
    </w:p>
    <w:p w14:paraId="2BDFC5F6" w14:textId="77777777" w:rsidR="001B55DB" w:rsidRDefault="001B55DB">
      <w:pPr>
        <w:tabs>
          <w:tab w:val="left" w:pos="7938"/>
        </w:tabs>
        <w:spacing w:after="0" w:line="360" w:lineRule="auto"/>
        <w:jc w:val="both"/>
        <w:rPr>
          <w:rFonts w:ascii="Palatino Linotype" w:eastAsiaTheme="minorHAnsi" w:hAnsi="Palatino Linotype" w:cstheme="minorBidi"/>
          <w:sz w:val="24"/>
          <w:szCs w:val="24"/>
          <w:lang w:eastAsia="es-MX"/>
        </w:rPr>
      </w:pPr>
    </w:p>
    <w:p w14:paraId="42BA32ED" w14:textId="77777777" w:rsidR="001B55DB" w:rsidRDefault="007424BC">
      <w:pPr>
        <w:pStyle w:val="Prrafodelista"/>
        <w:numPr>
          <w:ilvl w:val="0"/>
          <w:numId w:val="5"/>
        </w:numPr>
        <w:tabs>
          <w:tab w:val="left" w:pos="7938"/>
        </w:tabs>
        <w:spacing w:line="360" w:lineRule="auto"/>
        <w:jc w:val="both"/>
        <w:rPr>
          <w:rFonts w:ascii="Palatino Linotype" w:eastAsiaTheme="minorHAnsi" w:hAnsi="Palatino Linotype" w:cstheme="minorBidi"/>
          <w:lang w:eastAsia="es-MX"/>
        </w:rPr>
      </w:pPr>
      <w:hyperlink r:id="rId18" w:history="1">
        <w:r w:rsidR="006D6396">
          <w:rPr>
            <w:rStyle w:val="Hipervnculo"/>
            <w:rFonts w:ascii="Palatino Linotype" w:eastAsiaTheme="minorHAnsi" w:hAnsi="Palatino Linotype" w:cstheme="minorBidi"/>
            <w:lang w:eastAsia="es-MX"/>
          </w:rPr>
          <w:t>https://www.animalpolitico.com/politica/estafa-maestra-impune-cuatro-anos-investigaciones</w:t>
        </w:r>
      </w:hyperlink>
      <w:r w:rsidR="006D6396">
        <w:rPr>
          <w:rFonts w:ascii="Palatino Linotype" w:eastAsiaTheme="minorHAnsi" w:hAnsi="Palatino Linotype" w:cstheme="minorBidi"/>
          <w:lang w:eastAsia="es-MX"/>
        </w:rPr>
        <w:t xml:space="preserve"> </w:t>
      </w:r>
    </w:p>
    <w:p w14:paraId="7C408FA7" w14:textId="77777777" w:rsidR="001B55DB" w:rsidRDefault="001B55DB">
      <w:pPr>
        <w:tabs>
          <w:tab w:val="left" w:pos="7938"/>
        </w:tabs>
        <w:spacing w:after="0" w:line="360" w:lineRule="auto"/>
        <w:jc w:val="both"/>
        <w:rPr>
          <w:rFonts w:ascii="Palatino Linotype" w:eastAsiaTheme="minorHAnsi" w:hAnsi="Palatino Linotype" w:cstheme="minorBidi"/>
          <w:sz w:val="24"/>
          <w:szCs w:val="24"/>
          <w:lang w:eastAsia="es-MX"/>
        </w:rPr>
      </w:pPr>
    </w:p>
    <w:p w14:paraId="53D3E68A" w14:textId="77777777" w:rsidR="001B55DB" w:rsidRDefault="006D6396">
      <w:pPr>
        <w:tabs>
          <w:tab w:val="left" w:pos="7938"/>
        </w:tabs>
        <w:spacing w:after="0" w:line="360" w:lineRule="auto"/>
        <w:jc w:val="both"/>
        <w:rPr>
          <w:rFonts w:ascii="Palatino Linotype" w:eastAsiaTheme="minorHAnsi" w:hAnsi="Palatino Linotype" w:cstheme="minorBidi"/>
          <w:sz w:val="24"/>
          <w:szCs w:val="24"/>
          <w:lang w:eastAsia="es-MX"/>
        </w:rPr>
      </w:pPr>
      <w:r>
        <w:rPr>
          <w:rFonts w:ascii="Palatino Linotype" w:eastAsiaTheme="minorHAnsi" w:hAnsi="Palatino Linotype" w:cstheme="minorBidi"/>
          <w:sz w:val="24"/>
          <w:szCs w:val="24"/>
          <w:lang w:eastAsia="es-MX"/>
        </w:rPr>
        <w:t>Publicación realizada por el medio “Animal Político” titulada “</w:t>
      </w:r>
      <w:r>
        <w:rPr>
          <w:rFonts w:ascii="Palatino Linotype" w:eastAsiaTheme="minorHAnsi" w:hAnsi="Palatino Linotype" w:cstheme="minorBidi"/>
          <w:i/>
          <w:iCs/>
          <w:sz w:val="24"/>
          <w:szCs w:val="24"/>
          <w:lang w:eastAsia="es-MX"/>
        </w:rPr>
        <w:t>A cuatro años, con una fiscalía autónoma y en otro gobierno, La Estafa Maestra sigue impune</w:t>
      </w:r>
      <w:r>
        <w:rPr>
          <w:rFonts w:ascii="Palatino Linotype" w:eastAsiaTheme="minorHAnsi" w:hAnsi="Palatino Linotype" w:cstheme="minorBidi"/>
          <w:sz w:val="24"/>
          <w:szCs w:val="24"/>
          <w:lang w:eastAsia="es-MX"/>
        </w:rPr>
        <w:t xml:space="preserve">” en la cual hace </w:t>
      </w:r>
      <w:r>
        <w:rPr>
          <w:rFonts w:ascii="Palatino Linotype" w:eastAsiaTheme="minorHAnsi" w:hAnsi="Palatino Linotype" w:cstheme="minorBidi"/>
          <w:sz w:val="24"/>
          <w:szCs w:val="24"/>
          <w:lang w:eastAsia="es-MX"/>
        </w:rPr>
        <w:lastRenderedPageBreak/>
        <w:t>referencia al compromiso de la FGR</w:t>
      </w:r>
      <w:r>
        <w:t xml:space="preserve"> </w:t>
      </w:r>
      <w:r>
        <w:rPr>
          <w:rFonts w:ascii="Palatino Linotype" w:eastAsiaTheme="minorHAnsi" w:hAnsi="Palatino Linotype" w:cstheme="minorBidi"/>
          <w:sz w:val="24"/>
          <w:szCs w:val="24"/>
          <w:lang w:eastAsia="es-MX"/>
        </w:rPr>
        <w:t>a realizar una indagatoria integral sobre el desvío de recursos operado con La Estafa Maestra, como se advierte enseguida:</w:t>
      </w:r>
    </w:p>
    <w:p w14:paraId="03401321" w14:textId="77777777" w:rsidR="001B55DB" w:rsidRDefault="001B55DB">
      <w:pPr>
        <w:tabs>
          <w:tab w:val="left" w:pos="7938"/>
        </w:tabs>
        <w:spacing w:after="0" w:line="360" w:lineRule="auto"/>
        <w:jc w:val="both"/>
        <w:rPr>
          <w:rFonts w:ascii="Palatino Linotype" w:eastAsiaTheme="minorHAnsi" w:hAnsi="Palatino Linotype" w:cstheme="minorBidi"/>
          <w:sz w:val="24"/>
          <w:szCs w:val="24"/>
          <w:lang w:eastAsia="es-MX"/>
        </w:rPr>
      </w:pPr>
    </w:p>
    <w:p w14:paraId="4C2A880B" w14:textId="77777777" w:rsidR="001B55DB" w:rsidRDefault="006D6396">
      <w:pPr>
        <w:tabs>
          <w:tab w:val="left" w:pos="7938"/>
        </w:tabs>
        <w:spacing w:after="0" w:line="360" w:lineRule="auto"/>
        <w:jc w:val="center"/>
        <w:rPr>
          <w:rFonts w:ascii="Palatino Linotype" w:eastAsiaTheme="minorHAnsi" w:hAnsi="Palatino Linotype" w:cstheme="minorBidi"/>
          <w:sz w:val="24"/>
          <w:szCs w:val="24"/>
          <w:lang w:eastAsia="es-MX"/>
        </w:rPr>
      </w:pPr>
      <w:r>
        <w:rPr>
          <w:rFonts w:ascii="Palatino Linotype" w:eastAsiaTheme="minorHAnsi" w:hAnsi="Palatino Linotype" w:cstheme="minorBidi"/>
          <w:noProof/>
          <w:sz w:val="24"/>
          <w:szCs w:val="24"/>
          <w:lang w:eastAsia="es-MX"/>
        </w:rPr>
        <w:drawing>
          <wp:inline distT="0" distB="0" distL="0" distR="0" wp14:anchorId="25B29B87" wp14:editId="500542B0">
            <wp:extent cx="5054600" cy="2255520"/>
            <wp:effectExtent l="0" t="0" r="0" b="0"/>
            <wp:docPr id="13730902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090269" name="Imagen 1"/>
                    <pic:cNvPicPr>
                      <a:picLocks noChangeAspect="1"/>
                    </pic:cNvPicPr>
                  </pic:nvPicPr>
                  <pic:blipFill>
                    <a:blip r:embed="rId19"/>
                    <a:stretch>
                      <a:fillRect/>
                    </a:stretch>
                  </pic:blipFill>
                  <pic:spPr>
                    <a:xfrm>
                      <a:off x="0" y="0"/>
                      <a:ext cx="5061080" cy="2258295"/>
                    </a:xfrm>
                    <a:prstGeom prst="rect">
                      <a:avLst/>
                    </a:prstGeom>
                  </pic:spPr>
                </pic:pic>
              </a:graphicData>
            </a:graphic>
          </wp:inline>
        </w:drawing>
      </w:r>
    </w:p>
    <w:p w14:paraId="16B1EA8A" w14:textId="77777777" w:rsidR="001B55DB" w:rsidRDefault="007424BC">
      <w:pPr>
        <w:pStyle w:val="Prrafodelista"/>
        <w:numPr>
          <w:ilvl w:val="0"/>
          <w:numId w:val="5"/>
        </w:numPr>
        <w:tabs>
          <w:tab w:val="left" w:pos="7938"/>
        </w:tabs>
        <w:spacing w:line="360" w:lineRule="auto"/>
        <w:jc w:val="both"/>
        <w:rPr>
          <w:rFonts w:ascii="Palatino Linotype" w:eastAsiaTheme="minorHAnsi" w:hAnsi="Palatino Linotype" w:cstheme="minorBidi"/>
          <w:lang w:eastAsia="es-MX"/>
        </w:rPr>
      </w:pPr>
      <w:hyperlink r:id="rId20" w:history="1">
        <w:r w:rsidR="006D6396">
          <w:rPr>
            <w:rStyle w:val="Hipervnculo"/>
            <w:rFonts w:ascii="Palatino Linotype" w:eastAsiaTheme="minorHAnsi" w:hAnsi="Palatino Linotype" w:cstheme="minorBidi"/>
            <w:lang w:eastAsia="es-MX"/>
          </w:rPr>
          <w:t>https://prensauniversitaria.com.mx/2022/05/11/involucrados-en-la-estafa-maestra-en-la-uaemex-sinsalida/</w:t>
        </w:r>
      </w:hyperlink>
      <w:r w:rsidR="006D6396">
        <w:rPr>
          <w:rFonts w:ascii="Palatino Linotype" w:eastAsiaTheme="minorHAnsi" w:hAnsi="Palatino Linotype" w:cstheme="minorBidi"/>
          <w:lang w:eastAsia="es-MX"/>
        </w:rPr>
        <w:t xml:space="preserve"> </w:t>
      </w:r>
    </w:p>
    <w:p w14:paraId="427F60C3" w14:textId="77777777" w:rsidR="001B55DB" w:rsidRDefault="001B55DB">
      <w:pPr>
        <w:tabs>
          <w:tab w:val="left" w:pos="7938"/>
        </w:tabs>
        <w:spacing w:after="0" w:line="360" w:lineRule="auto"/>
        <w:jc w:val="both"/>
        <w:rPr>
          <w:rFonts w:ascii="Palatino Linotype" w:eastAsiaTheme="minorHAnsi" w:hAnsi="Palatino Linotype" w:cstheme="minorBidi"/>
          <w:sz w:val="24"/>
          <w:szCs w:val="24"/>
          <w:lang w:eastAsia="es-MX"/>
        </w:rPr>
      </w:pPr>
    </w:p>
    <w:p w14:paraId="2BAFEE42" w14:textId="77777777" w:rsidR="001B55DB" w:rsidRDefault="006D6396">
      <w:pPr>
        <w:tabs>
          <w:tab w:val="left" w:pos="7938"/>
        </w:tabs>
        <w:spacing w:after="0" w:line="360" w:lineRule="auto"/>
        <w:jc w:val="both"/>
        <w:rPr>
          <w:rFonts w:ascii="Palatino Linotype" w:eastAsiaTheme="minorHAnsi" w:hAnsi="Palatino Linotype" w:cstheme="minorBidi"/>
          <w:sz w:val="24"/>
          <w:szCs w:val="24"/>
          <w:lang w:eastAsia="es-MX"/>
        </w:rPr>
      </w:pPr>
      <w:r>
        <w:rPr>
          <w:rFonts w:ascii="Palatino Linotype" w:eastAsiaTheme="minorHAnsi" w:hAnsi="Palatino Linotype" w:cstheme="minorBidi"/>
          <w:sz w:val="24"/>
          <w:szCs w:val="24"/>
          <w:lang w:eastAsia="es-MX"/>
        </w:rPr>
        <w:t>Enlace electrónico dañado de que no se desprende información alguna, como se advierte a continuación:</w:t>
      </w:r>
    </w:p>
    <w:p w14:paraId="17543684" w14:textId="77777777" w:rsidR="001B55DB" w:rsidRDefault="001B55DB">
      <w:pPr>
        <w:tabs>
          <w:tab w:val="left" w:pos="7938"/>
        </w:tabs>
        <w:spacing w:after="0" w:line="360" w:lineRule="auto"/>
        <w:jc w:val="both"/>
        <w:rPr>
          <w:rFonts w:ascii="Palatino Linotype" w:eastAsiaTheme="minorHAnsi" w:hAnsi="Palatino Linotype" w:cstheme="minorBidi"/>
          <w:sz w:val="24"/>
          <w:szCs w:val="24"/>
          <w:lang w:eastAsia="es-MX"/>
        </w:rPr>
      </w:pPr>
    </w:p>
    <w:p w14:paraId="14BC25F2" w14:textId="77777777" w:rsidR="001B55DB" w:rsidRDefault="006D6396">
      <w:pPr>
        <w:tabs>
          <w:tab w:val="left" w:pos="7938"/>
        </w:tabs>
        <w:spacing w:after="0" w:line="360" w:lineRule="auto"/>
        <w:jc w:val="center"/>
        <w:rPr>
          <w:rFonts w:ascii="Palatino Linotype" w:eastAsiaTheme="minorHAnsi" w:hAnsi="Palatino Linotype" w:cstheme="minorBidi"/>
          <w:sz w:val="24"/>
          <w:szCs w:val="24"/>
          <w:lang w:eastAsia="es-MX"/>
        </w:rPr>
      </w:pPr>
      <w:r>
        <w:rPr>
          <w:rFonts w:ascii="Palatino Linotype" w:eastAsiaTheme="minorHAnsi" w:hAnsi="Palatino Linotype" w:cstheme="minorBidi"/>
          <w:noProof/>
          <w:sz w:val="24"/>
          <w:szCs w:val="24"/>
          <w:lang w:eastAsia="es-MX"/>
        </w:rPr>
        <w:drawing>
          <wp:inline distT="0" distB="0" distL="0" distR="0" wp14:anchorId="74DC4010" wp14:editId="409295C1">
            <wp:extent cx="4686935" cy="904875"/>
            <wp:effectExtent l="0" t="0" r="0" b="9525"/>
            <wp:docPr id="20005249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524900" name="Imagen 1"/>
                    <pic:cNvPicPr>
                      <a:picLocks noChangeAspect="1"/>
                    </pic:cNvPicPr>
                  </pic:nvPicPr>
                  <pic:blipFill>
                    <a:blip r:embed="rId21"/>
                    <a:stretch>
                      <a:fillRect/>
                    </a:stretch>
                  </pic:blipFill>
                  <pic:spPr>
                    <a:xfrm>
                      <a:off x="0" y="0"/>
                      <a:ext cx="4686954" cy="905001"/>
                    </a:xfrm>
                    <a:prstGeom prst="rect">
                      <a:avLst/>
                    </a:prstGeom>
                  </pic:spPr>
                </pic:pic>
              </a:graphicData>
            </a:graphic>
          </wp:inline>
        </w:drawing>
      </w:r>
    </w:p>
    <w:p w14:paraId="11086D0A" w14:textId="77777777" w:rsidR="001B55DB" w:rsidRDefault="001B55DB">
      <w:pPr>
        <w:tabs>
          <w:tab w:val="left" w:pos="7938"/>
        </w:tabs>
        <w:spacing w:after="0" w:line="360" w:lineRule="auto"/>
        <w:jc w:val="both"/>
        <w:rPr>
          <w:rFonts w:ascii="Palatino Linotype" w:eastAsiaTheme="minorHAnsi" w:hAnsi="Palatino Linotype" w:cstheme="minorBidi"/>
          <w:sz w:val="24"/>
          <w:szCs w:val="24"/>
          <w:lang w:eastAsia="es-MX"/>
        </w:rPr>
      </w:pPr>
    </w:p>
    <w:p w14:paraId="0B4BCDFC" w14:textId="77777777" w:rsidR="001B55DB" w:rsidRDefault="006D6396">
      <w:pPr>
        <w:tabs>
          <w:tab w:val="left" w:pos="7938"/>
        </w:tabs>
        <w:spacing w:after="0" w:line="360" w:lineRule="auto"/>
        <w:jc w:val="both"/>
        <w:rPr>
          <w:rFonts w:ascii="Palatino Linotype" w:eastAsiaTheme="minorHAnsi" w:hAnsi="Palatino Linotype" w:cstheme="minorBidi"/>
          <w:sz w:val="24"/>
          <w:szCs w:val="24"/>
          <w:lang w:eastAsia="es-MX"/>
        </w:rPr>
      </w:pPr>
      <w:r>
        <w:rPr>
          <w:rFonts w:ascii="Palatino Linotype" w:eastAsiaTheme="minorHAnsi" w:hAnsi="Palatino Linotype" w:cstheme="minorBidi"/>
          <w:sz w:val="24"/>
          <w:szCs w:val="24"/>
          <w:lang w:eastAsia="es-MX"/>
        </w:rPr>
        <w:t xml:space="preserve">De los enlaces electrónicos proporcionados por el Recurrente antes referidos, se puede advertir que en la solicitud de acceso a la información públicas, no se le proporcionaron al Sujeto Obligado elementos suficientes que le permitan localizar los documentos a los cuales pretende acceder el particular, ello en virtud de que, de las </w:t>
      </w:r>
      <w:r>
        <w:rPr>
          <w:rFonts w:ascii="Palatino Linotype" w:eastAsiaTheme="minorHAnsi" w:hAnsi="Palatino Linotype" w:cstheme="minorBidi"/>
          <w:sz w:val="24"/>
          <w:szCs w:val="24"/>
          <w:lang w:eastAsia="es-MX"/>
        </w:rPr>
        <w:lastRenderedPageBreak/>
        <w:t>notas periodísticas proporcionadas, no se advierte declaración alguna realizada por los servidores públicos referidos en la solicitud, es por ello que se colige que lo manifestado por el ahora Recurrente, resulta ser insuficiente, incompleto o erróneo.</w:t>
      </w:r>
    </w:p>
    <w:p w14:paraId="7629FC9C" w14:textId="77777777" w:rsidR="001B55DB" w:rsidRDefault="001B55DB">
      <w:pPr>
        <w:tabs>
          <w:tab w:val="left" w:pos="7938"/>
        </w:tabs>
        <w:spacing w:after="0" w:line="360" w:lineRule="auto"/>
        <w:jc w:val="both"/>
        <w:rPr>
          <w:rFonts w:ascii="Palatino Linotype" w:eastAsiaTheme="minorHAnsi" w:hAnsi="Palatino Linotype" w:cstheme="minorBidi"/>
          <w:sz w:val="24"/>
          <w:szCs w:val="24"/>
          <w:lang w:eastAsia="es-MX"/>
        </w:rPr>
      </w:pPr>
    </w:p>
    <w:p w14:paraId="43CCD220" w14:textId="77777777" w:rsidR="001B55DB" w:rsidRDefault="006D6396">
      <w:pPr>
        <w:tabs>
          <w:tab w:val="left" w:pos="7938"/>
        </w:tabs>
        <w:spacing w:after="0" w:line="360" w:lineRule="auto"/>
        <w:jc w:val="both"/>
        <w:rPr>
          <w:rFonts w:ascii="Palatino Linotype" w:eastAsiaTheme="minorHAnsi" w:hAnsi="Palatino Linotype" w:cstheme="minorBidi"/>
          <w:sz w:val="24"/>
          <w:szCs w:val="24"/>
          <w:lang w:eastAsia="es-MX"/>
        </w:rPr>
      </w:pPr>
      <w:r>
        <w:rPr>
          <w:rFonts w:ascii="Palatino Linotype" w:eastAsiaTheme="minorHAnsi" w:hAnsi="Palatino Linotype" w:cstheme="minorBidi"/>
          <w:sz w:val="24"/>
          <w:szCs w:val="24"/>
          <w:lang w:eastAsia="es-MX"/>
        </w:rPr>
        <w:t xml:space="preserve">Se precisa lo anterior, ya que únicamente se desprende información que versa sobre desvío de recursos federales, denuncias realizadas a la Auditoría Superior de Fiscalización, así como información referente a la Fiscalía General de la República; Instituciones que al pertenecer al ámbito Federal, no forman parte de las facultades y competencias del Sujeto Obligado. </w:t>
      </w:r>
    </w:p>
    <w:p w14:paraId="23A5ED5E" w14:textId="77777777" w:rsidR="001B55DB" w:rsidRDefault="001B55DB">
      <w:pPr>
        <w:spacing w:after="0" w:line="360" w:lineRule="auto"/>
        <w:jc w:val="both"/>
        <w:rPr>
          <w:rFonts w:ascii="Palatino Linotype" w:eastAsia="Times New Roman" w:hAnsi="Palatino Linotype" w:cs="Arial"/>
          <w:sz w:val="24"/>
          <w:szCs w:val="24"/>
          <w:lang w:eastAsia="es-MX"/>
        </w:rPr>
      </w:pPr>
    </w:p>
    <w:p w14:paraId="2F8FFD86" w14:textId="77777777" w:rsidR="001B55DB" w:rsidRDefault="006D6396">
      <w:pPr>
        <w:spacing w:after="0" w:line="360" w:lineRule="auto"/>
        <w:jc w:val="both"/>
        <w:rPr>
          <w:rFonts w:ascii="Palatino Linotype" w:eastAsia="Times New Roman" w:hAnsi="Palatino Linotype" w:cs="Arial"/>
          <w:i/>
          <w:sz w:val="24"/>
          <w:szCs w:val="24"/>
          <w:lang w:eastAsia="es-MX"/>
        </w:rPr>
      </w:pPr>
      <w:r>
        <w:rPr>
          <w:rFonts w:ascii="Palatino Linotype" w:eastAsia="Times New Roman" w:hAnsi="Palatino Linotype" w:cs="Arial"/>
          <w:sz w:val="24"/>
          <w:szCs w:val="24"/>
          <w:lang w:eastAsia="es-MX"/>
        </w:rPr>
        <w:t>Atento a ello, se colige que la información requerida por el particular correspondiente a los documentos que den cuenta de las declaraciones realizadas por diversos servidores públicos adscritos al Sujeto Obligado en las notas periodísticas remitidas, es información que no es posible localizar y en su caso poner a disposición del Recurrente, ya que no se advierten dichas declaraciones; asimismo, no se tiene certeza de que se hayan realizado, al no contar con elementos suficientes que permitan su localización y en su caso entrega mediante el acceso a la información pública.</w:t>
      </w:r>
    </w:p>
    <w:p w14:paraId="41FDD75E" w14:textId="77777777" w:rsidR="001B55DB" w:rsidRDefault="001B55DB">
      <w:pPr>
        <w:spacing w:after="0" w:line="360" w:lineRule="auto"/>
        <w:rPr>
          <w:rFonts w:ascii="Palatino Linotype" w:eastAsiaTheme="minorHAnsi" w:hAnsi="Palatino Linotype" w:cs="Arial"/>
          <w:sz w:val="24"/>
          <w:szCs w:val="24"/>
        </w:rPr>
      </w:pPr>
    </w:p>
    <w:p w14:paraId="423C1B3F" w14:textId="77777777" w:rsidR="001B55DB" w:rsidRDefault="006D6396">
      <w:pPr>
        <w:spacing w:after="0" w:line="360" w:lineRule="auto"/>
        <w:jc w:val="both"/>
        <w:rPr>
          <w:rFonts w:ascii="Palatino Linotype" w:eastAsiaTheme="minorHAnsi" w:hAnsi="Palatino Linotype" w:cs="Arial"/>
          <w:sz w:val="24"/>
          <w:szCs w:val="24"/>
        </w:rPr>
      </w:pPr>
      <w:r>
        <w:rPr>
          <w:rFonts w:ascii="Palatino Linotype" w:eastAsiaTheme="minorHAnsi" w:hAnsi="Palatino Linotype" w:cs="Arial"/>
          <w:sz w:val="24"/>
          <w:szCs w:val="24"/>
        </w:rPr>
        <w:t xml:space="preserve">En otras palabras, </w:t>
      </w:r>
      <w:r>
        <w:rPr>
          <w:rFonts w:ascii="Palatino Linotype" w:eastAsiaTheme="minorHAnsi" w:hAnsi="Palatino Linotype" w:cs="Arial"/>
          <w:b/>
          <w:sz w:val="24"/>
          <w:szCs w:val="24"/>
        </w:rPr>
        <w:t>el sujeto obligado</w:t>
      </w:r>
      <w:r>
        <w:rPr>
          <w:rFonts w:ascii="Palatino Linotype" w:eastAsiaTheme="minorHAnsi" w:hAnsi="Palatino Linotype" w:cs="Arial"/>
          <w:sz w:val="24"/>
          <w:szCs w:val="24"/>
        </w:rPr>
        <w:t xml:space="preserve"> se encuentra impedido jurídicamente para entregar los documentos requeridos por el particular, pues no cuenta con la potestad o mandato jurídico, ni funcional ni operativo, para requerir o solicitar a las Instituciones federales referidas determinada información.</w:t>
      </w:r>
    </w:p>
    <w:p w14:paraId="16EE2185" w14:textId="77777777" w:rsidR="001B55DB" w:rsidRDefault="001B55DB">
      <w:pPr>
        <w:tabs>
          <w:tab w:val="left" w:pos="7938"/>
        </w:tabs>
        <w:spacing w:after="0" w:line="360" w:lineRule="auto"/>
        <w:jc w:val="both"/>
        <w:rPr>
          <w:rFonts w:ascii="Palatino Linotype" w:eastAsia="Times New Roman" w:hAnsi="Palatino Linotype" w:cs="Arial"/>
          <w:sz w:val="24"/>
          <w:szCs w:val="24"/>
          <w:lang w:val="es-ES" w:eastAsia="es-ES"/>
        </w:rPr>
      </w:pPr>
    </w:p>
    <w:p w14:paraId="4888B8CB" w14:textId="77777777" w:rsidR="001B55DB" w:rsidRDefault="006D6396">
      <w:pPr>
        <w:spacing w:after="0" w:line="360" w:lineRule="auto"/>
        <w:jc w:val="both"/>
        <w:rPr>
          <w:rFonts w:ascii="Palatino Linotype" w:eastAsiaTheme="minorHAnsi" w:hAnsi="Palatino Linotype" w:cstheme="minorBidi"/>
          <w:sz w:val="24"/>
        </w:rPr>
      </w:pPr>
      <w:r>
        <w:rPr>
          <w:rFonts w:ascii="Palatino Linotype" w:eastAsiaTheme="minorHAnsi" w:hAnsi="Palatino Linotype" w:cstheme="minorBidi"/>
          <w:sz w:val="24"/>
        </w:rPr>
        <w:t xml:space="preserve">Lo anterior no implica que se le niegue el acceso al derecho accionado, ya que los derechos no son absolutos y tienen un tratamiento específico de acuerdo a lo </w:t>
      </w:r>
      <w:r>
        <w:rPr>
          <w:rFonts w:ascii="Palatino Linotype" w:eastAsiaTheme="minorHAnsi" w:hAnsi="Palatino Linotype" w:cstheme="minorBidi"/>
          <w:sz w:val="24"/>
        </w:rPr>
        <w:lastRenderedPageBreak/>
        <w:t>enunciado en las leyes reglamentarias, y en el presente es una excepción el entregar información que no obra en sus archivos, en virtud de no contar con elementos para localizarla.</w:t>
      </w:r>
    </w:p>
    <w:p w14:paraId="4026168B" w14:textId="77777777" w:rsidR="001B55DB" w:rsidRDefault="001B55DB">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103BA153" w14:textId="77777777" w:rsidR="001B55DB" w:rsidRDefault="006D6396">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 xml:space="preserve">En síntesis, se tiene por acreditado que el </w:t>
      </w:r>
      <w:r>
        <w:rPr>
          <w:rFonts w:ascii="Palatino Linotype" w:eastAsia="Times New Roman" w:hAnsi="Palatino Linotype" w:cs="Arial"/>
          <w:b/>
          <w:sz w:val="24"/>
          <w:szCs w:val="24"/>
          <w:lang w:val="es-ES" w:eastAsia="es-ES"/>
        </w:rPr>
        <w:t>Sujeto Obligado</w:t>
      </w:r>
      <w:r>
        <w:rPr>
          <w:rFonts w:ascii="Palatino Linotype" w:eastAsia="Times New Roman" w:hAnsi="Palatino Linotype" w:cs="Arial"/>
          <w:sz w:val="24"/>
          <w:szCs w:val="24"/>
          <w:lang w:val="es-ES" w:eastAsia="es-ES"/>
        </w:rPr>
        <w:t xml:space="preserve"> no encuadra en los supuestos señalados en el artículo 12 de la Ley de Transparencia y Acceso a la Información pública del Estado de México y Municipios</w:t>
      </w:r>
      <w:r>
        <w:rPr>
          <w:rFonts w:ascii="Palatino Linotype" w:eastAsia="Times New Roman" w:hAnsi="Palatino Linotype" w:cs="Arial"/>
          <w:sz w:val="24"/>
          <w:szCs w:val="24"/>
          <w:vertAlign w:val="superscript"/>
          <w:lang w:val="es-ES" w:eastAsia="es-ES"/>
        </w:rPr>
        <w:footnoteReference w:id="2"/>
      </w:r>
      <w:r>
        <w:rPr>
          <w:rFonts w:ascii="Palatino Linotype" w:eastAsia="Times New Roman" w:hAnsi="Palatino Linotype" w:cs="Arial"/>
          <w:sz w:val="24"/>
          <w:szCs w:val="24"/>
          <w:lang w:val="es-ES" w:eastAsia="es-ES"/>
        </w:rPr>
        <w:t>, al no tener en sus archivos la información peticionada en la solicitud de información, materia del presente fallo, al no generarla, administrarla o poseerla.</w:t>
      </w:r>
    </w:p>
    <w:p w14:paraId="5AA8A3EC" w14:textId="77777777" w:rsidR="001B55DB" w:rsidRDefault="001B55DB">
      <w:pPr>
        <w:tabs>
          <w:tab w:val="left" w:pos="7938"/>
        </w:tabs>
        <w:spacing w:after="0" w:line="360" w:lineRule="auto"/>
        <w:jc w:val="both"/>
        <w:rPr>
          <w:rFonts w:ascii="Palatino Linotype" w:eastAsia="Times New Roman" w:hAnsi="Palatino Linotype" w:cs="Arial"/>
          <w:sz w:val="24"/>
          <w:szCs w:val="24"/>
          <w:lang w:val="es-ES" w:eastAsia="es-MX"/>
        </w:rPr>
      </w:pPr>
    </w:p>
    <w:p w14:paraId="12A58C79" w14:textId="77777777" w:rsidR="001B55DB" w:rsidRDefault="006D6396">
      <w:pPr>
        <w:tabs>
          <w:tab w:val="left" w:pos="7938"/>
        </w:tabs>
        <w:spacing w:after="0" w:line="360" w:lineRule="auto"/>
        <w:jc w:val="both"/>
        <w:rPr>
          <w:rFonts w:ascii="Palatino Linotype" w:eastAsia="Times New Roman" w:hAnsi="Palatino Linotype" w:cs="Arial"/>
          <w:i/>
          <w:iCs/>
          <w:sz w:val="24"/>
          <w:szCs w:val="24"/>
          <w:lang w:val="es-ES" w:eastAsia="es-MX"/>
        </w:rPr>
      </w:pPr>
      <w:r>
        <w:rPr>
          <w:rFonts w:ascii="Palatino Linotype" w:eastAsia="Times New Roman" w:hAnsi="Palatino Linotype" w:cs="Arial"/>
          <w:sz w:val="24"/>
          <w:szCs w:val="24"/>
          <w:lang w:val="es-ES" w:eastAsia="es-MX"/>
        </w:rPr>
        <w:t xml:space="preserve">Por otro lado, no pasa inadvertido para este Órgano Garante, el hecho de que el particular al momento de interponer el presente medio de impugnación, señaló como razones o motivos de inconformidad que </w:t>
      </w:r>
      <w:r>
        <w:rPr>
          <w:rFonts w:ascii="Palatino Linotype" w:eastAsia="Times New Roman" w:hAnsi="Palatino Linotype" w:cs="Arial"/>
          <w:i/>
          <w:iCs/>
          <w:sz w:val="24"/>
          <w:szCs w:val="24"/>
          <w:lang w:val="es-ES" w:eastAsia="es-MX"/>
        </w:rPr>
        <w:t xml:space="preserve">“…Se anexa link de una aclaración que hace la misma legislatura del Estado, sobre declaraciones de los diputados ya mencionados. </w:t>
      </w:r>
      <w:hyperlink r:id="rId22" w:history="1">
        <w:r>
          <w:rPr>
            <w:rStyle w:val="Hipervnculo"/>
            <w:rFonts w:ascii="Palatino Linotype" w:eastAsia="Times New Roman" w:hAnsi="Palatino Linotype" w:cs="Arial"/>
            <w:i/>
            <w:iCs/>
            <w:sz w:val="24"/>
            <w:szCs w:val="24"/>
            <w:lang w:val="es-ES" w:eastAsia="es-MX"/>
          </w:rPr>
          <w:t>https://www.scribd.com/document/642698762/Nota-Aclaratoria</w:t>
        </w:r>
      </w:hyperlink>
      <w:r>
        <w:rPr>
          <w:rFonts w:ascii="Palatino Linotype" w:eastAsia="Times New Roman" w:hAnsi="Palatino Linotype" w:cs="Arial"/>
          <w:i/>
          <w:iCs/>
          <w:sz w:val="24"/>
          <w:szCs w:val="24"/>
          <w:lang w:val="es-ES" w:eastAsia="es-MX"/>
        </w:rPr>
        <w:t xml:space="preserve">” </w:t>
      </w:r>
    </w:p>
    <w:p w14:paraId="740ABB78" w14:textId="77777777" w:rsidR="001B55DB" w:rsidRDefault="001B55DB">
      <w:pPr>
        <w:tabs>
          <w:tab w:val="left" w:pos="7938"/>
        </w:tabs>
        <w:spacing w:after="0" w:line="360" w:lineRule="auto"/>
        <w:jc w:val="both"/>
        <w:rPr>
          <w:rFonts w:ascii="Palatino Linotype" w:eastAsia="Times New Roman" w:hAnsi="Palatino Linotype" w:cs="Arial"/>
          <w:i/>
          <w:iCs/>
          <w:sz w:val="24"/>
          <w:szCs w:val="24"/>
          <w:lang w:val="es-ES" w:eastAsia="es-MX"/>
        </w:rPr>
      </w:pPr>
    </w:p>
    <w:p w14:paraId="5AC6EFAA" w14:textId="77777777" w:rsidR="001B55DB" w:rsidRDefault="006D6396">
      <w:pPr>
        <w:tabs>
          <w:tab w:val="left" w:pos="7938"/>
        </w:tabs>
        <w:spacing w:after="0" w:line="360" w:lineRule="auto"/>
        <w:jc w:val="both"/>
        <w:rPr>
          <w:rFonts w:ascii="Palatino Linotype" w:eastAsia="Times New Roman" w:hAnsi="Palatino Linotype" w:cs="Arial"/>
          <w:sz w:val="24"/>
          <w:szCs w:val="24"/>
          <w:lang w:val="es-ES" w:eastAsia="es-MX"/>
        </w:rPr>
      </w:pPr>
      <w:r>
        <w:rPr>
          <w:rFonts w:ascii="Palatino Linotype" w:eastAsia="Times New Roman" w:hAnsi="Palatino Linotype" w:cs="Arial"/>
          <w:sz w:val="24"/>
          <w:szCs w:val="24"/>
          <w:lang w:val="es-ES" w:eastAsia="es-MX"/>
        </w:rPr>
        <w:t xml:space="preserve">Ante dichos señalamiento, es conveniente señalar el contenido de la liga electrónica proporcionada, que a la letra señala lo siguiente: </w:t>
      </w:r>
    </w:p>
    <w:p w14:paraId="1CE53D61" w14:textId="77777777" w:rsidR="001B55DB" w:rsidRDefault="001B55DB">
      <w:pPr>
        <w:tabs>
          <w:tab w:val="left" w:pos="7938"/>
        </w:tabs>
        <w:spacing w:after="0" w:line="360" w:lineRule="auto"/>
        <w:jc w:val="both"/>
        <w:rPr>
          <w:rFonts w:ascii="Palatino Linotype" w:eastAsia="Times New Roman" w:hAnsi="Palatino Linotype" w:cs="Arial"/>
          <w:sz w:val="24"/>
          <w:szCs w:val="24"/>
          <w:lang w:val="es-ES" w:eastAsia="es-MX"/>
        </w:rPr>
      </w:pPr>
    </w:p>
    <w:p w14:paraId="217065F1" w14:textId="77777777" w:rsidR="001B55DB" w:rsidRDefault="001B55DB">
      <w:pPr>
        <w:tabs>
          <w:tab w:val="left" w:pos="7938"/>
        </w:tabs>
        <w:spacing w:after="0" w:line="360" w:lineRule="auto"/>
        <w:jc w:val="both"/>
        <w:rPr>
          <w:rFonts w:ascii="Palatino Linotype" w:eastAsia="Times New Roman" w:hAnsi="Palatino Linotype" w:cs="Arial"/>
          <w:sz w:val="24"/>
          <w:szCs w:val="24"/>
          <w:lang w:val="es-ES" w:eastAsia="es-MX"/>
        </w:rPr>
      </w:pPr>
    </w:p>
    <w:p w14:paraId="70038EC3" w14:textId="77777777" w:rsidR="001B55DB" w:rsidRDefault="006D6396">
      <w:pPr>
        <w:tabs>
          <w:tab w:val="left" w:pos="7938"/>
        </w:tabs>
        <w:spacing w:after="0" w:line="360" w:lineRule="auto"/>
        <w:jc w:val="both"/>
        <w:rPr>
          <w:rFonts w:ascii="Palatino Linotype" w:eastAsia="Times New Roman" w:hAnsi="Palatino Linotype" w:cs="Arial"/>
          <w:sz w:val="24"/>
          <w:szCs w:val="24"/>
          <w:lang w:val="es-ES" w:eastAsia="es-MX"/>
        </w:rPr>
      </w:pPr>
      <w:r>
        <w:rPr>
          <w:rFonts w:ascii="Palatino Linotype" w:eastAsia="Times New Roman" w:hAnsi="Palatino Linotype" w:cs="Arial"/>
          <w:noProof/>
          <w:sz w:val="24"/>
          <w:szCs w:val="24"/>
          <w:lang w:eastAsia="es-MX"/>
        </w:rPr>
        <w:lastRenderedPageBreak/>
        <w:drawing>
          <wp:inline distT="0" distB="0" distL="0" distR="0" wp14:anchorId="5287F556" wp14:editId="44DBD77B">
            <wp:extent cx="5756910" cy="6932930"/>
            <wp:effectExtent l="0" t="0" r="0" b="1270"/>
            <wp:docPr id="144499001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990017" name="Imagen 3"/>
                    <pic:cNvPicPr>
                      <a:picLocks noChangeAspect="1" noChangeArrowheads="1"/>
                    </pic:cNvPicPr>
                  </pic:nvPicPr>
                  <pic:blipFill>
                    <a:blip r:embed="rId23">
                      <a:extLst>
                        <a:ext uri="{28A0092B-C50C-407E-A947-70E740481C1C}">
                          <a14:useLocalDpi xmlns:a14="http://schemas.microsoft.com/office/drawing/2010/main" val="0"/>
                        </a:ext>
                      </a:extLst>
                    </a:blip>
                    <a:srcRect b="1025"/>
                    <a:stretch>
                      <a:fillRect/>
                    </a:stretch>
                  </pic:blipFill>
                  <pic:spPr>
                    <a:xfrm>
                      <a:off x="0" y="0"/>
                      <a:ext cx="5756910" cy="6933538"/>
                    </a:xfrm>
                    <a:prstGeom prst="rect">
                      <a:avLst/>
                    </a:prstGeom>
                    <a:noFill/>
                    <a:ln>
                      <a:noFill/>
                    </a:ln>
                  </pic:spPr>
                </pic:pic>
              </a:graphicData>
            </a:graphic>
          </wp:inline>
        </w:drawing>
      </w:r>
    </w:p>
    <w:p w14:paraId="5388C23B" w14:textId="77777777" w:rsidR="001B55DB" w:rsidRDefault="001B55DB">
      <w:pPr>
        <w:spacing w:after="0" w:line="360" w:lineRule="auto"/>
        <w:jc w:val="both"/>
        <w:rPr>
          <w:rFonts w:ascii="Palatino Linotype" w:eastAsiaTheme="minorHAnsi" w:hAnsi="Palatino Linotype" w:cs="Arial"/>
          <w:sz w:val="24"/>
          <w:szCs w:val="24"/>
        </w:rPr>
      </w:pPr>
    </w:p>
    <w:p w14:paraId="409020C8" w14:textId="77777777" w:rsidR="001B55DB" w:rsidRDefault="006D6396">
      <w:pPr>
        <w:spacing w:after="0" w:line="360" w:lineRule="auto"/>
        <w:jc w:val="both"/>
        <w:rPr>
          <w:rFonts w:ascii="Palatino Linotype" w:eastAsiaTheme="minorHAnsi" w:hAnsi="Palatino Linotype" w:cs="Arial"/>
          <w:sz w:val="24"/>
          <w:szCs w:val="24"/>
        </w:rPr>
      </w:pPr>
      <w:r>
        <w:rPr>
          <w:rFonts w:ascii="Palatino Linotype" w:eastAsiaTheme="minorHAnsi" w:hAnsi="Palatino Linotype" w:cs="Arial"/>
          <w:sz w:val="24"/>
          <w:szCs w:val="24"/>
        </w:rPr>
        <w:lastRenderedPageBreak/>
        <w:t xml:space="preserve">En esa línea de ideas, se destaca que el particular proporcionó elementos novedosos sobre la información a la cual pretende acceder, en relación al Punto de Acuerdo presentado por la Diputada Azucena Cisneros Coss por el que se exhorta respetuosamente al Sistema Estatal Anticorrupción, dentro de sus competencias, se pronuncie respecto a la denominada “Estafa Maestra”, que aludo a una presunta red de desvíos de recursos derivados del informe de la Auditoría Superior de Fiscalización. </w:t>
      </w:r>
    </w:p>
    <w:p w14:paraId="74468034" w14:textId="77777777" w:rsidR="001B55DB" w:rsidRDefault="001B55DB">
      <w:pPr>
        <w:spacing w:after="0" w:line="360" w:lineRule="auto"/>
        <w:jc w:val="both"/>
        <w:rPr>
          <w:rFonts w:ascii="Palatino Linotype" w:eastAsiaTheme="minorHAnsi" w:hAnsi="Palatino Linotype" w:cs="Arial"/>
          <w:sz w:val="24"/>
          <w:szCs w:val="24"/>
        </w:rPr>
      </w:pPr>
    </w:p>
    <w:p w14:paraId="4FB14C24" w14:textId="77777777" w:rsidR="001B55DB" w:rsidRDefault="006D6396">
      <w:pPr>
        <w:spacing w:after="0" w:line="360" w:lineRule="auto"/>
        <w:jc w:val="both"/>
        <w:rPr>
          <w:rFonts w:ascii="Palatino Linotype" w:eastAsiaTheme="minorHAnsi" w:hAnsi="Palatino Linotype" w:cs="Arial"/>
          <w:sz w:val="24"/>
          <w:szCs w:val="24"/>
        </w:rPr>
      </w:pPr>
      <w:r>
        <w:rPr>
          <w:rFonts w:ascii="Palatino Linotype" w:eastAsiaTheme="minorHAnsi" w:hAnsi="Palatino Linotype" w:cs="Arial"/>
          <w:sz w:val="24"/>
          <w:szCs w:val="24"/>
        </w:rPr>
        <w:t xml:space="preserve"> Atento a lo anterior, El Sujeto Obligado en fecha primero de junio de la presente anualidad, rindió su informe justificado en la etapa procesal oportuna, remitiendo para tal efecto los documentos electrónicos denominados “</w:t>
      </w:r>
      <w:r>
        <w:rPr>
          <w:rFonts w:ascii="Palatino Linotype" w:eastAsiaTheme="minorHAnsi" w:hAnsi="Palatino Linotype" w:cs="Arial"/>
          <w:b/>
          <w:sz w:val="24"/>
          <w:szCs w:val="24"/>
        </w:rPr>
        <w:t>Informe justificado RR. 02690-2023 (sol. 0216-2023).</w:t>
      </w:r>
      <w:proofErr w:type="spellStart"/>
      <w:r>
        <w:rPr>
          <w:rFonts w:ascii="Palatino Linotype" w:eastAsiaTheme="minorHAnsi" w:hAnsi="Palatino Linotype" w:cs="Arial"/>
          <w:b/>
          <w:sz w:val="24"/>
          <w:szCs w:val="24"/>
        </w:rPr>
        <w:t>pdf</w:t>
      </w:r>
      <w:proofErr w:type="spellEnd"/>
      <w:r>
        <w:rPr>
          <w:rFonts w:ascii="Palatino Linotype" w:eastAsiaTheme="minorHAnsi" w:hAnsi="Palatino Linotype" w:cs="Arial"/>
          <w:sz w:val="24"/>
          <w:szCs w:val="24"/>
        </w:rPr>
        <w:t>” y “</w:t>
      </w:r>
      <w:r>
        <w:rPr>
          <w:rFonts w:ascii="Palatino Linotype" w:eastAsiaTheme="minorHAnsi" w:hAnsi="Palatino Linotype" w:cs="Arial"/>
          <w:b/>
          <w:bCs/>
          <w:sz w:val="24"/>
          <w:szCs w:val="24"/>
        </w:rPr>
        <w:t>137-PA-ESTAFA-SIBAJA-PM.docx</w:t>
      </w:r>
      <w:r>
        <w:rPr>
          <w:rFonts w:ascii="Palatino Linotype" w:eastAsiaTheme="minorHAnsi" w:hAnsi="Palatino Linotype" w:cs="Arial"/>
          <w:sz w:val="24"/>
          <w:szCs w:val="24"/>
        </w:rPr>
        <w:t xml:space="preserve">” de los cuales se analiza su contenido a continuación: </w:t>
      </w:r>
    </w:p>
    <w:p w14:paraId="5FC2E7A7" w14:textId="77777777" w:rsidR="001B55DB" w:rsidRDefault="001B55DB">
      <w:pPr>
        <w:spacing w:after="0" w:line="360" w:lineRule="auto"/>
        <w:jc w:val="both"/>
        <w:rPr>
          <w:rFonts w:ascii="Palatino Linotype" w:eastAsiaTheme="minorHAnsi" w:hAnsi="Palatino Linotype" w:cs="Arial"/>
          <w:sz w:val="24"/>
          <w:szCs w:val="24"/>
        </w:rPr>
      </w:pPr>
    </w:p>
    <w:p w14:paraId="533DE50F" w14:textId="77777777" w:rsidR="001B55DB" w:rsidRDefault="006D6396">
      <w:pPr>
        <w:pStyle w:val="Prrafodelista"/>
        <w:numPr>
          <w:ilvl w:val="0"/>
          <w:numId w:val="3"/>
        </w:numPr>
        <w:spacing w:line="360" w:lineRule="auto"/>
        <w:jc w:val="both"/>
        <w:rPr>
          <w:rFonts w:ascii="Palatino Linotype" w:eastAsiaTheme="minorHAnsi" w:hAnsi="Palatino Linotype" w:cs="Arial"/>
        </w:rPr>
      </w:pPr>
      <w:r>
        <w:rPr>
          <w:rFonts w:ascii="Palatino Linotype" w:eastAsiaTheme="minorHAnsi" w:hAnsi="Palatino Linotype" w:cs="Arial"/>
        </w:rPr>
        <w:t>“</w:t>
      </w:r>
      <w:r>
        <w:rPr>
          <w:rFonts w:ascii="Palatino Linotype" w:eastAsiaTheme="minorHAnsi" w:hAnsi="Palatino Linotype" w:cs="Arial"/>
          <w:b/>
        </w:rPr>
        <w:t>Informe justificado RR. 02690-2023 (sol. 0216-2023).</w:t>
      </w:r>
      <w:proofErr w:type="spellStart"/>
      <w:r>
        <w:rPr>
          <w:rFonts w:ascii="Palatino Linotype" w:eastAsiaTheme="minorHAnsi" w:hAnsi="Palatino Linotype" w:cs="Arial"/>
          <w:b/>
        </w:rPr>
        <w:t>pdf</w:t>
      </w:r>
      <w:proofErr w:type="spellEnd"/>
      <w:r>
        <w:rPr>
          <w:rFonts w:ascii="Palatino Linotype" w:eastAsiaTheme="minorHAnsi" w:hAnsi="Palatino Linotype" w:cs="Arial"/>
        </w:rPr>
        <w:t xml:space="preserve">”: Oficio número UIPL/0900/2023, signado por el Titular de la Unidad de Transparencia del Sujeto Obligado, mismo que fue remitido a este Instituto, mediante el cual amplia la respuesta proporcionada, informando medularmente que , el enlace electrónico señalado por el Recurrente en su medio de impugnación, dirige a un documento “Nota Aclaratoria”, presuntamente emitido por el Coordinador de Comunicación Social del Grupo Parlamentario PRI en la LXI Legislatura del Estado de México, por lo que esa Unidad de Información se dio a la tarea de buscar la nota a la que hace referencia la Nota Aclaratoria referida, encontrándose un artículo denominado “Congreso Mexiquense rechaza </w:t>
      </w:r>
      <w:r>
        <w:rPr>
          <w:rFonts w:ascii="Palatino Linotype" w:eastAsiaTheme="minorHAnsi" w:hAnsi="Palatino Linotype" w:cs="Arial"/>
        </w:rPr>
        <w:lastRenderedPageBreak/>
        <w:t xml:space="preserve">investigar y sancionar a funcionarios priistas por Estafa Maestra”, como se advierte a continuación: </w:t>
      </w:r>
    </w:p>
    <w:p w14:paraId="08893FCD" w14:textId="77777777" w:rsidR="001B55DB" w:rsidRDefault="001B55DB">
      <w:pPr>
        <w:pStyle w:val="Prrafodelista"/>
        <w:spacing w:line="360" w:lineRule="auto"/>
        <w:ind w:left="720"/>
        <w:jc w:val="both"/>
        <w:rPr>
          <w:rFonts w:ascii="Palatino Linotype" w:eastAsiaTheme="minorHAnsi" w:hAnsi="Palatino Linotype" w:cs="Arial"/>
        </w:rPr>
      </w:pPr>
    </w:p>
    <w:p w14:paraId="14615CAA" w14:textId="77777777" w:rsidR="001B55DB" w:rsidRDefault="006D6396">
      <w:pPr>
        <w:pStyle w:val="Prrafodelista"/>
        <w:spacing w:line="360" w:lineRule="auto"/>
        <w:ind w:left="720"/>
        <w:jc w:val="center"/>
        <w:rPr>
          <w:rFonts w:ascii="Palatino Linotype" w:eastAsiaTheme="minorHAnsi" w:hAnsi="Palatino Linotype" w:cs="Arial"/>
        </w:rPr>
      </w:pPr>
      <w:r>
        <w:rPr>
          <w:rFonts w:ascii="Palatino Linotype" w:eastAsiaTheme="minorHAnsi" w:hAnsi="Palatino Linotype" w:cs="Arial"/>
          <w:noProof/>
          <w:lang w:val="es-MX" w:eastAsia="es-MX"/>
        </w:rPr>
        <w:drawing>
          <wp:inline distT="0" distB="0" distL="0" distR="0" wp14:anchorId="40E67176" wp14:editId="639B854C">
            <wp:extent cx="4341495" cy="2703195"/>
            <wp:effectExtent l="0" t="0" r="1905" b="1905"/>
            <wp:docPr id="133134272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342725" name="Imagen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341495" cy="2703195"/>
                    </a:xfrm>
                    <a:prstGeom prst="rect">
                      <a:avLst/>
                    </a:prstGeom>
                    <a:noFill/>
                    <a:ln>
                      <a:noFill/>
                    </a:ln>
                  </pic:spPr>
                </pic:pic>
              </a:graphicData>
            </a:graphic>
          </wp:inline>
        </w:drawing>
      </w:r>
    </w:p>
    <w:p w14:paraId="762C9A48" w14:textId="77777777" w:rsidR="001B55DB" w:rsidRDefault="001B55DB">
      <w:pPr>
        <w:pStyle w:val="Prrafodelista"/>
        <w:spacing w:line="360" w:lineRule="auto"/>
        <w:ind w:left="720"/>
        <w:jc w:val="both"/>
        <w:rPr>
          <w:rFonts w:ascii="Palatino Linotype" w:eastAsiaTheme="minorHAnsi" w:hAnsi="Palatino Linotype" w:cs="Arial"/>
        </w:rPr>
      </w:pPr>
    </w:p>
    <w:p w14:paraId="2827A2A9" w14:textId="77777777" w:rsidR="001B55DB" w:rsidRDefault="006D6396">
      <w:pPr>
        <w:pStyle w:val="Prrafodelista"/>
        <w:spacing w:line="360" w:lineRule="auto"/>
        <w:ind w:left="720"/>
        <w:jc w:val="both"/>
        <w:rPr>
          <w:rFonts w:ascii="Palatino Linotype" w:eastAsiaTheme="minorHAnsi" w:hAnsi="Palatino Linotype" w:cs="Arial"/>
          <w:b/>
        </w:rPr>
      </w:pPr>
      <w:r>
        <w:rPr>
          <w:rFonts w:ascii="Palatino Linotype" w:eastAsiaTheme="minorHAnsi" w:hAnsi="Palatino Linotype" w:cs="Arial"/>
        </w:rPr>
        <w:t>Asimismo refiere que,  de la nota antes referida, se desprenden nuevos elementos que permiten realizar una búsqueda exhaustiva y razonable, localizando a la postre, el siguiente documento: “</w:t>
      </w:r>
      <w:bookmarkStart w:id="1" w:name="_Hlk152870874"/>
      <w:r>
        <w:rPr>
          <w:rFonts w:ascii="Palatino Linotype" w:eastAsiaTheme="minorHAnsi" w:hAnsi="Palatino Linotype" w:cs="Arial"/>
          <w:b/>
          <w:bCs/>
        </w:rPr>
        <w:t>Proposición con</w:t>
      </w:r>
      <w:r>
        <w:rPr>
          <w:rFonts w:ascii="Palatino Linotype" w:eastAsiaTheme="minorHAnsi" w:hAnsi="Palatino Linotype" w:cs="Arial"/>
        </w:rPr>
        <w:t xml:space="preserve"> </w:t>
      </w:r>
      <w:r>
        <w:rPr>
          <w:rFonts w:ascii="Palatino Linotype" w:eastAsiaTheme="minorHAnsi" w:hAnsi="Palatino Linotype" w:cs="Arial"/>
          <w:b/>
          <w:bCs/>
          <w:lang w:val="es-MX"/>
        </w:rPr>
        <w:t>Punto de Acuerdo de Urgente y Obvia Resolución por el que se exhorta respetuosamente al Sistema Estatal Anticorrupción, dentro de sus competencias, se pronuncie respecto a la denominada “Estafa Maestra”,</w:t>
      </w:r>
      <w:r>
        <w:rPr>
          <w:rFonts w:ascii="Arial" w:hAnsi="Arial" w:cs="Arial"/>
          <w:b/>
          <w:bCs/>
          <w:sz w:val="32"/>
          <w:szCs w:val="32"/>
          <w:lang w:val="es-MX" w:eastAsia="en-US"/>
        </w:rPr>
        <w:t xml:space="preserve"> </w:t>
      </w:r>
      <w:r>
        <w:rPr>
          <w:rFonts w:ascii="Palatino Linotype" w:eastAsiaTheme="minorHAnsi" w:hAnsi="Palatino Linotype" w:cs="Arial"/>
          <w:b/>
          <w:bCs/>
          <w:lang w:val="es-MX"/>
        </w:rPr>
        <w:t>se estudie el caso y emita las recomendaciones respectivas; asimismo, se exhorta respetuosamente al Órgano Superior de Fiscalización del Estado de México (OSFEM) y al Titular del Órgano Interno de Control de la Universidad Autónoma del Estado de México (UAEM), informen los motivos por los cuales no han realizado ningún actuación para investigar y sancionar a los participantes de la llamada “Estafa Maestra”</w:t>
      </w:r>
      <w:bookmarkEnd w:id="1"/>
      <w:r>
        <w:rPr>
          <w:rFonts w:ascii="Palatino Linotype" w:eastAsiaTheme="minorHAnsi" w:hAnsi="Palatino Linotype" w:cs="Arial"/>
        </w:rPr>
        <w:t>”</w:t>
      </w:r>
    </w:p>
    <w:p w14:paraId="1397F375" w14:textId="77777777" w:rsidR="001B55DB" w:rsidRDefault="006D6396">
      <w:pPr>
        <w:pStyle w:val="Prrafodelista"/>
        <w:spacing w:line="360" w:lineRule="auto"/>
        <w:ind w:left="720"/>
        <w:jc w:val="both"/>
        <w:rPr>
          <w:rFonts w:ascii="Palatino Linotype" w:eastAsiaTheme="minorHAnsi" w:hAnsi="Palatino Linotype" w:cs="Arial"/>
          <w:bCs/>
        </w:rPr>
      </w:pPr>
      <w:r>
        <w:rPr>
          <w:rFonts w:ascii="Palatino Linotype" w:eastAsiaTheme="minorHAnsi" w:hAnsi="Palatino Linotype" w:cs="Arial"/>
          <w:bCs/>
        </w:rPr>
        <w:lastRenderedPageBreak/>
        <w:t xml:space="preserve">Dicho documento es de autoría de los Diputados Azucena Cisneros Coss, Daniel Andrés Sibaja González y Faustino de la Cruz Pérez, integrantes del Grupo Parlamentario Morena, proporcionando el enlace para su consulta, aclarando que en dicho documento, podrá localizar la Exposición de Motivos, la información relacionada con la investigación y las fuentes consultadas por los Diputados que sustentan la propuesta.  </w:t>
      </w:r>
    </w:p>
    <w:p w14:paraId="47637C9C" w14:textId="77777777" w:rsidR="001B55DB" w:rsidRDefault="001B55DB">
      <w:pPr>
        <w:spacing w:line="360" w:lineRule="auto"/>
        <w:jc w:val="both"/>
        <w:rPr>
          <w:rFonts w:ascii="Palatino Linotype" w:eastAsiaTheme="minorHAnsi" w:hAnsi="Palatino Linotype" w:cs="Arial"/>
        </w:rPr>
      </w:pPr>
    </w:p>
    <w:p w14:paraId="4EB053D9" w14:textId="77777777" w:rsidR="001B55DB" w:rsidRDefault="006D6396">
      <w:pPr>
        <w:pStyle w:val="Prrafodelista"/>
        <w:numPr>
          <w:ilvl w:val="0"/>
          <w:numId w:val="3"/>
        </w:numPr>
        <w:spacing w:line="360" w:lineRule="auto"/>
        <w:jc w:val="both"/>
        <w:rPr>
          <w:rFonts w:ascii="Palatino Linotype" w:eastAsiaTheme="minorHAnsi" w:hAnsi="Palatino Linotype" w:cs="Arial"/>
        </w:rPr>
      </w:pPr>
      <w:r>
        <w:rPr>
          <w:rFonts w:ascii="Palatino Linotype" w:eastAsiaTheme="minorHAnsi" w:hAnsi="Palatino Linotype" w:cs="Arial"/>
          <w:b/>
          <w:bCs/>
        </w:rPr>
        <w:t>“137-PA-ESTAFA-SIBAJA-PM.docx”:</w:t>
      </w:r>
      <w:r>
        <w:rPr>
          <w:rFonts w:ascii="Palatino Linotype" w:eastAsiaTheme="minorHAnsi" w:hAnsi="Palatino Linotype" w:cs="Arial"/>
        </w:rPr>
        <w:t xml:space="preserve"> Documento electrónico que contiene la </w:t>
      </w:r>
      <w:r>
        <w:rPr>
          <w:rFonts w:ascii="Palatino Linotype" w:eastAsiaTheme="minorHAnsi" w:hAnsi="Palatino Linotype" w:cs="Arial"/>
          <w:b/>
          <w:bCs/>
        </w:rPr>
        <w:t>Proposición con</w:t>
      </w:r>
      <w:r>
        <w:rPr>
          <w:rFonts w:ascii="Palatino Linotype" w:eastAsiaTheme="minorHAnsi" w:hAnsi="Palatino Linotype" w:cs="Arial"/>
        </w:rPr>
        <w:t xml:space="preserve"> </w:t>
      </w:r>
      <w:r>
        <w:rPr>
          <w:rFonts w:ascii="Palatino Linotype" w:eastAsiaTheme="minorHAnsi" w:hAnsi="Palatino Linotype" w:cs="Arial"/>
          <w:b/>
          <w:bCs/>
          <w:lang w:val="es-MX"/>
        </w:rPr>
        <w:t xml:space="preserve">Punto de Acuerdo de Urgente y Obvia Resolución por el que se exhorta respetuosamente al Sistema Estatal Anticorrupción, dentro de sus competencias, se pronuncie respecto a la denominada “Estafa Maestra”, se estudie el caso y emita las recomendaciones respectivas; asimismo, se exhorta respetuosamente al Órgano Superior de Fiscalización del Estado de México (OSFEM) y al Titular del Órgano Interno de Control de la Universidad Autónoma del Estado de México (UAEM), informen los motivos por los cuales no han realizado ningún actuación para investigar y sancionar a los participantes de la llamada “Estafa Maestra#, </w:t>
      </w:r>
      <w:r>
        <w:rPr>
          <w:rFonts w:ascii="Palatino Linotype" w:eastAsiaTheme="minorHAnsi" w:hAnsi="Palatino Linotype" w:cs="Arial"/>
          <w:lang w:val="es-MX"/>
        </w:rPr>
        <w:t xml:space="preserve">como se advierte enseguida en su parte medular a continuación: </w:t>
      </w:r>
    </w:p>
    <w:p w14:paraId="5D8D8A3D" w14:textId="77777777" w:rsidR="001B55DB" w:rsidRDefault="001B55DB">
      <w:pPr>
        <w:spacing w:line="360" w:lineRule="auto"/>
        <w:jc w:val="both"/>
        <w:rPr>
          <w:rFonts w:ascii="Palatino Linotype" w:eastAsiaTheme="minorHAnsi" w:hAnsi="Palatino Linotype" w:cs="Arial"/>
        </w:rPr>
      </w:pPr>
    </w:p>
    <w:p w14:paraId="19FD4145" w14:textId="77777777" w:rsidR="001B55DB" w:rsidRDefault="006D6396">
      <w:pPr>
        <w:pStyle w:val="Prrafodelista"/>
        <w:autoSpaceDE w:val="0"/>
        <w:autoSpaceDN w:val="0"/>
        <w:adjustRightInd w:val="0"/>
        <w:spacing w:line="360" w:lineRule="auto"/>
        <w:ind w:left="0"/>
        <w:jc w:val="center"/>
        <w:rPr>
          <w:rFonts w:ascii="Palatino Linotype" w:eastAsiaTheme="minorHAnsi" w:hAnsi="Palatino Linotype" w:cs="Arial"/>
        </w:rPr>
      </w:pPr>
      <w:r>
        <w:rPr>
          <w:rFonts w:ascii="Palatino Linotype" w:eastAsiaTheme="minorHAnsi" w:hAnsi="Palatino Linotype" w:cs="Arial"/>
          <w:noProof/>
          <w:lang w:val="es-MX" w:eastAsia="es-MX"/>
        </w:rPr>
        <w:lastRenderedPageBreak/>
        <w:drawing>
          <wp:inline distT="0" distB="0" distL="0" distR="0" wp14:anchorId="60558EBF" wp14:editId="4D5222EE">
            <wp:extent cx="3689350" cy="4197985"/>
            <wp:effectExtent l="0" t="0" r="6350" b="0"/>
            <wp:docPr id="61902615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026155" name="Imagen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689350" cy="4197985"/>
                    </a:xfrm>
                    <a:prstGeom prst="rect">
                      <a:avLst/>
                    </a:prstGeom>
                    <a:noFill/>
                    <a:ln>
                      <a:noFill/>
                    </a:ln>
                  </pic:spPr>
                </pic:pic>
              </a:graphicData>
            </a:graphic>
          </wp:inline>
        </w:drawing>
      </w:r>
    </w:p>
    <w:p w14:paraId="23BDB841" w14:textId="77777777" w:rsidR="001B55DB" w:rsidRDefault="001B55DB">
      <w:pPr>
        <w:pStyle w:val="Prrafodelista"/>
        <w:autoSpaceDE w:val="0"/>
        <w:autoSpaceDN w:val="0"/>
        <w:adjustRightInd w:val="0"/>
        <w:spacing w:line="360" w:lineRule="auto"/>
        <w:ind w:left="0"/>
        <w:jc w:val="both"/>
        <w:rPr>
          <w:rFonts w:ascii="Palatino Linotype" w:eastAsiaTheme="minorHAnsi" w:hAnsi="Palatino Linotype" w:cs="Arial"/>
        </w:rPr>
      </w:pPr>
    </w:p>
    <w:p w14:paraId="40525454" w14:textId="77777777" w:rsidR="001B55DB" w:rsidRDefault="006D6396">
      <w:pPr>
        <w:pStyle w:val="Prrafodelista"/>
        <w:autoSpaceDE w:val="0"/>
        <w:autoSpaceDN w:val="0"/>
        <w:adjustRightInd w:val="0"/>
        <w:spacing w:line="360" w:lineRule="auto"/>
        <w:ind w:left="0"/>
        <w:jc w:val="both"/>
        <w:rPr>
          <w:i/>
          <w:color w:val="222222"/>
        </w:rPr>
      </w:pPr>
      <w:r>
        <w:rPr>
          <w:rFonts w:ascii="Palatino Linotype" w:eastAsiaTheme="minorHAnsi" w:hAnsi="Palatino Linotype" w:cs="Arial"/>
        </w:rPr>
        <w:t>E</w:t>
      </w:r>
      <w:r>
        <w:rPr>
          <w:rFonts w:ascii="Palatino Linotype" w:hAnsi="Palatino Linotype" w:cs="Arial"/>
        </w:rPr>
        <w:t>n consecuencia</w:t>
      </w:r>
      <w:r>
        <w:rPr>
          <w:rFonts w:ascii="Palatino Linotype" w:eastAsia="Calibri" w:hAnsi="Palatino Linotype" w:cs="Arial"/>
        </w:rPr>
        <w:t>, se ha modificado el acto con la información remitida por el Sujeto Obligado, remitiendo la información que obra en sus archivos referente a</w:t>
      </w:r>
      <w:r>
        <w:t xml:space="preserve"> </w:t>
      </w:r>
      <w:r>
        <w:rPr>
          <w:rFonts w:ascii="Palatino Linotype" w:eastAsia="Calibri" w:hAnsi="Palatino Linotype" w:cs="Arial"/>
        </w:rPr>
        <w:t>toda la información con la que cuenta respecto a las declaraciones que han hecho a los diferentes medios de comunicación los Diputados en comento relacionada con la “Estafa Maestra”</w:t>
      </w:r>
      <w:r>
        <w:rPr>
          <w:rFonts w:ascii="Palatino Linotype" w:hAnsi="Palatino Linotype" w:cs="Arial"/>
        </w:rPr>
        <w:t>, actualizando con ello, lo establecido en el artículo 12 de la Ley de Transparencias y Acceso a la Información Pública del Estado de México y Municipios, establece que los sujetos obligados proporcionarán la información pública que se les requiera y esta obre en sus archivos, mismo precepto que a continuación se transcribe:</w:t>
      </w:r>
    </w:p>
    <w:p w14:paraId="3179F5A1" w14:textId="77777777" w:rsidR="001B55DB" w:rsidRDefault="001B55DB">
      <w:pPr>
        <w:spacing w:after="0" w:line="240" w:lineRule="auto"/>
        <w:rPr>
          <w:rFonts w:ascii="Times New Roman" w:eastAsia="Times New Roman" w:hAnsi="Times New Roman"/>
          <w:sz w:val="24"/>
          <w:szCs w:val="24"/>
          <w:lang w:eastAsia="es-ES"/>
        </w:rPr>
      </w:pPr>
    </w:p>
    <w:p w14:paraId="2ED0F689" w14:textId="77777777" w:rsidR="001B55DB" w:rsidRDefault="006D6396">
      <w:pPr>
        <w:spacing w:after="0" w:line="240" w:lineRule="auto"/>
        <w:ind w:left="851" w:right="850"/>
        <w:jc w:val="both"/>
        <w:rPr>
          <w:rFonts w:ascii="Palatino Linotype" w:eastAsia="Times New Roman" w:hAnsi="Palatino Linotype"/>
          <w:i/>
          <w:lang w:eastAsia="es-ES"/>
        </w:rPr>
      </w:pPr>
      <w:r>
        <w:rPr>
          <w:rFonts w:ascii="Palatino Linotype" w:eastAsia="Times New Roman" w:hAnsi="Palatino Linotype"/>
          <w:lang w:eastAsia="es-ES"/>
        </w:rPr>
        <w:lastRenderedPageBreak/>
        <w:t>“</w:t>
      </w:r>
      <w:r>
        <w:rPr>
          <w:rFonts w:ascii="Palatino Linotype" w:eastAsia="Times New Roman" w:hAnsi="Palatino Linotype"/>
          <w:b/>
          <w:i/>
          <w:lang w:eastAsia="es-ES"/>
        </w:rPr>
        <w:t>Artículo 12.</w:t>
      </w:r>
      <w:r>
        <w:rPr>
          <w:rFonts w:ascii="Palatino Linotype" w:eastAsia="Times New Roman" w:hAnsi="Palatino Linotype"/>
          <w:i/>
          <w:lang w:eastAsia="es-ES"/>
        </w:rPr>
        <w:t xml:space="preserve"> Quienes generen, recopilen, administren, manejen, procesen, archiven o conserven información pública serán responsables de la misma en los términos de las disposiciones jurídicas aplicables. </w:t>
      </w:r>
    </w:p>
    <w:p w14:paraId="218E9F77" w14:textId="77777777" w:rsidR="001B55DB" w:rsidRDefault="001B55DB">
      <w:pPr>
        <w:spacing w:after="0" w:line="240" w:lineRule="auto"/>
        <w:ind w:left="851" w:right="850"/>
        <w:jc w:val="both"/>
        <w:rPr>
          <w:rFonts w:ascii="Palatino Linotype" w:eastAsia="Times New Roman" w:hAnsi="Palatino Linotype"/>
          <w:i/>
          <w:lang w:eastAsia="es-ES"/>
        </w:rPr>
      </w:pPr>
    </w:p>
    <w:p w14:paraId="77886CD2" w14:textId="77777777" w:rsidR="001B55DB" w:rsidRDefault="006D6396">
      <w:pPr>
        <w:spacing w:after="0" w:line="240" w:lineRule="auto"/>
        <w:ind w:left="851" w:right="850"/>
        <w:jc w:val="both"/>
        <w:rPr>
          <w:rFonts w:ascii="Palatino Linotype" w:eastAsia="Times New Roman" w:hAnsi="Palatino Linotype"/>
          <w:lang w:eastAsia="es-ES"/>
        </w:rPr>
      </w:pPr>
      <w:r>
        <w:rPr>
          <w:rFonts w:ascii="Palatino Linotype" w:eastAsia="Times New Roman" w:hAnsi="Palatino Linotype"/>
          <w:b/>
          <w:i/>
          <w:u w:val="single"/>
          <w:lang w:eastAsia="es-ES"/>
        </w:rPr>
        <w:t>Los sujetos obligados sólo proporcionarán la información pública que se les requiera y que obre en sus archivos</w:t>
      </w:r>
      <w:r>
        <w:rPr>
          <w:rFonts w:ascii="Palatino Linotype" w:eastAsia="Times New Roman" w:hAnsi="Palatino Linotype"/>
          <w:i/>
          <w:lang w:eastAsia="es-ES"/>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47C3B743" w14:textId="77777777" w:rsidR="001B55DB" w:rsidRDefault="001B55DB">
      <w:pPr>
        <w:autoSpaceDE w:val="0"/>
        <w:autoSpaceDN w:val="0"/>
        <w:adjustRightInd w:val="0"/>
        <w:spacing w:after="0" w:line="360" w:lineRule="auto"/>
        <w:jc w:val="both"/>
        <w:rPr>
          <w:rFonts w:ascii="Palatino Linotype" w:eastAsiaTheme="minorHAnsi" w:hAnsi="Palatino Linotype" w:cs="Arial"/>
          <w:sz w:val="24"/>
          <w:szCs w:val="24"/>
        </w:rPr>
      </w:pPr>
    </w:p>
    <w:p w14:paraId="3A5A72A9" w14:textId="77777777" w:rsidR="001B55DB" w:rsidRDefault="006D6396">
      <w:pPr>
        <w:autoSpaceDE w:val="0"/>
        <w:autoSpaceDN w:val="0"/>
        <w:adjustRightInd w:val="0"/>
        <w:spacing w:after="0" w:line="360" w:lineRule="auto"/>
        <w:jc w:val="both"/>
        <w:rPr>
          <w:rFonts w:ascii="Palatino Linotype" w:eastAsiaTheme="minorHAnsi" w:hAnsi="Palatino Linotype" w:cs="Arial"/>
          <w:sz w:val="24"/>
          <w:szCs w:val="24"/>
        </w:rPr>
      </w:pPr>
      <w:r>
        <w:rPr>
          <w:rFonts w:ascii="Palatino Linotype" w:eastAsiaTheme="minorHAnsi" w:hAnsi="Palatino Linotype" w:cs="Arial"/>
          <w:sz w:val="24"/>
          <w:szCs w:val="24"/>
        </w:rPr>
        <w:t>Bajo ese tenor, es evidente que toda la información generada, obtenida, adquirida, transformada, administrada o en posesión de los sujetos obligados es pública y accesible de manera permanente a cualquier persona, empero, en los términos que establezca la normatividad aplicable, conminando a los sujetos obligado a sólo 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w:t>
      </w:r>
    </w:p>
    <w:p w14:paraId="3AED97C2" w14:textId="77777777" w:rsidR="001B55DB" w:rsidRDefault="001B55DB">
      <w:pPr>
        <w:spacing w:after="0" w:line="259" w:lineRule="auto"/>
        <w:rPr>
          <w:rFonts w:ascii="Palatino Linotype" w:eastAsiaTheme="minorHAnsi" w:hAnsi="Palatino Linotype" w:cstheme="minorBidi"/>
          <w:sz w:val="24"/>
        </w:rPr>
      </w:pPr>
    </w:p>
    <w:p w14:paraId="47E3C990" w14:textId="77777777" w:rsidR="001B55DB" w:rsidRDefault="006D6396">
      <w:pPr>
        <w:spacing w:after="0" w:line="360" w:lineRule="auto"/>
        <w:jc w:val="both"/>
        <w:rPr>
          <w:rFonts w:ascii="Palatino Linotype" w:eastAsiaTheme="minorHAnsi" w:hAnsi="Palatino Linotype" w:cs="Arial"/>
          <w:bCs/>
          <w:sz w:val="24"/>
          <w:szCs w:val="24"/>
        </w:rPr>
      </w:pPr>
      <w:r>
        <w:rPr>
          <w:rFonts w:ascii="Palatino Linotype" w:eastAsiaTheme="minorHAnsi" w:hAnsi="Palatino Linotype" w:cs="Arial"/>
          <w:bCs/>
          <w:sz w:val="24"/>
          <w:szCs w:val="24"/>
        </w:rPr>
        <w:t xml:space="preserve">Adicionalmente, es de destacar que este Órgano Garante no está facultado para manifestarse sobre la veracidad de lo afirmado por parte del </w:t>
      </w:r>
      <w:r>
        <w:rPr>
          <w:rFonts w:ascii="Palatino Linotype" w:eastAsiaTheme="minorHAnsi" w:hAnsi="Palatino Linotype" w:cs="Arial"/>
          <w:b/>
          <w:bCs/>
          <w:sz w:val="24"/>
          <w:szCs w:val="24"/>
        </w:rPr>
        <w:t>Sujeto Obligado</w:t>
      </w:r>
      <w:r>
        <w:rPr>
          <w:rFonts w:ascii="Palatino Linotype" w:eastAsiaTheme="minorHAnsi" w:hAnsi="Palatino Linotype" w:cs="Arial"/>
          <w:bCs/>
          <w:sz w:val="24"/>
          <w:szCs w:val="24"/>
        </w:rPr>
        <w:t xml:space="preserve"> pues no existe precepto legal alguno en la Ley de la materia que lo faculte para ello. </w:t>
      </w:r>
    </w:p>
    <w:p w14:paraId="08B87C39" w14:textId="77777777" w:rsidR="001B55DB" w:rsidRDefault="001B55DB">
      <w:pPr>
        <w:spacing w:after="0" w:line="240" w:lineRule="auto"/>
        <w:rPr>
          <w:rFonts w:asciiTheme="minorHAnsi" w:eastAsiaTheme="minorHAnsi" w:hAnsiTheme="minorHAnsi" w:cstheme="minorBidi"/>
          <w:sz w:val="2"/>
        </w:rPr>
      </w:pPr>
    </w:p>
    <w:p w14:paraId="28824131" w14:textId="77777777" w:rsidR="001B55DB" w:rsidRDefault="001B55DB">
      <w:pPr>
        <w:spacing w:after="0" w:line="240" w:lineRule="auto"/>
        <w:rPr>
          <w:rFonts w:asciiTheme="minorHAnsi" w:eastAsiaTheme="minorHAnsi" w:hAnsiTheme="minorHAnsi" w:cstheme="minorBidi"/>
          <w:sz w:val="2"/>
        </w:rPr>
      </w:pPr>
    </w:p>
    <w:p w14:paraId="280BCE44" w14:textId="77777777" w:rsidR="001B55DB" w:rsidRDefault="001B55DB">
      <w:pPr>
        <w:spacing w:after="0" w:line="240" w:lineRule="auto"/>
        <w:rPr>
          <w:rFonts w:asciiTheme="minorHAnsi" w:eastAsiaTheme="minorHAnsi" w:hAnsiTheme="minorHAnsi" w:cstheme="minorBidi"/>
          <w:sz w:val="2"/>
        </w:rPr>
      </w:pPr>
    </w:p>
    <w:p w14:paraId="67F4DBE5" w14:textId="77777777" w:rsidR="001B55DB" w:rsidRDefault="001B55DB">
      <w:pPr>
        <w:spacing w:after="0" w:line="240" w:lineRule="auto"/>
        <w:rPr>
          <w:rFonts w:asciiTheme="minorHAnsi" w:eastAsiaTheme="minorHAnsi" w:hAnsiTheme="minorHAnsi" w:cstheme="minorBidi"/>
          <w:sz w:val="2"/>
        </w:rPr>
      </w:pPr>
    </w:p>
    <w:p w14:paraId="37A4CE30" w14:textId="77777777" w:rsidR="001B55DB" w:rsidRDefault="001B55DB">
      <w:pPr>
        <w:spacing w:after="0" w:line="240" w:lineRule="auto"/>
        <w:rPr>
          <w:rFonts w:asciiTheme="minorHAnsi" w:eastAsiaTheme="minorHAnsi" w:hAnsiTheme="minorHAnsi" w:cstheme="minorBidi"/>
          <w:sz w:val="2"/>
        </w:rPr>
      </w:pPr>
    </w:p>
    <w:p w14:paraId="4886D3CA" w14:textId="77777777" w:rsidR="001B55DB" w:rsidRDefault="001B55DB">
      <w:pPr>
        <w:spacing w:after="0" w:line="240" w:lineRule="auto"/>
        <w:rPr>
          <w:rFonts w:asciiTheme="minorHAnsi" w:eastAsiaTheme="minorHAnsi" w:hAnsiTheme="minorHAnsi" w:cstheme="minorBidi"/>
          <w:sz w:val="24"/>
        </w:rPr>
      </w:pPr>
    </w:p>
    <w:p w14:paraId="7777C9BE" w14:textId="77777777" w:rsidR="001B55DB" w:rsidRDefault="006D6396">
      <w:pPr>
        <w:spacing w:after="0" w:line="360" w:lineRule="auto"/>
        <w:jc w:val="both"/>
        <w:rPr>
          <w:rFonts w:ascii="Palatino Linotype" w:eastAsiaTheme="minorHAnsi" w:hAnsi="Palatino Linotype" w:cstheme="minorBidi"/>
          <w:sz w:val="24"/>
        </w:rPr>
      </w:pPr>
      <w:r>
        <w:rPr>
          <w:rFonts w:ascii="Palatino Linotype" w:eastAsiaTheme="minorHAnsi" w:hAnsi="Palatino Linotype" w:cs="Arial"/>
          <w:sz w:val="24"/>
        </w:rPr>
        <w:t>Lo anterior se robustece con lo plasmado en el criterio</w:t>
      </w:r>
      <w:r>
        <w:rPr>
          <w:rFonts w:ascii="Palatino Linotype" w:eastAsiaTheme="minorHAnsi" w:hAnsi="Palatino Linotype" w:cstheme="minorBidi"/>
          <w:sz w:val="24"/>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14:paraId="4983644D" w14:textId="77777777" w:rsidR="001B55DB" w:rsidRDefault="001B55DB">
      <w:pPr>
        <w:spacing w:after="0" w:line="240" w:lineRule="auto"/>
        <w:rPr>
          <w:rFonts w:asciiTheme="minorHAnsi" w:eastAsiaTheme="minorHAnsi" w:hAnsiTheme="minorHAnsi" w:cstheme="minorBidi"/>
        </w:rPr>
      </w:pPr>
    </w:p>
    <w:p w14:paraId="50ABB590" w14:textId="77777777" w:rsidR="001B55DB" w:rsidRDefault="001B55DB">
      <w:pPr>
        <w:spacing w:after="0" w:line="240" w:lineRule="auto"/>
        <w:rPr>
          <w:rFonts w:asciiTheme="minorHAnsi" w:eastAsiaTheme="minorHAnsi" w:hAnsiTheme="minorHAnsi" w:cstheme="minorBidi"/>
          <w:sz w:val="6"/>
        </w:rPr>
      </w:pPr>
    </w:p>
    <w:p w14:paraId="66613C1D" w14:textId="77777777" w:rsidR="001B55DB" w:rsidRDefault="006D6396">
      <w:pPr>
        <w:spacing w:after="0" w:line="276" w:lineRule="auto"/>
        <w:ind w:left="1068" w:right="1043"/>
        <w:jc w:val="both"/>
        <w:rPr>
          <w:rFonts w:ascii="Palatino Linotype" w:eastAsia="Times New Roman" w:hAnsi="Palatino Linotype"/>
          <w:i/>
          <w:szCs w:val="24"/>
          <w:lang w:val="es-ES" w:eastAsia="es-ES"/>
        </w:rPr>
      </w:pPr>
      <w:r>
        <w:rPr>
          <w:rFonts w:ascii="Palatino Linotype" w:eastAsia="Times New Roman" w:hAnsi="Palatino Linotype"/>
          <w:i/>
          <w:szCs w:val="24"/>
          <w:lang w:val="es-ES" w:eastAsia="es-ES"/>
        </w:rPr>
        <w:lastRenderedPageBreak/>
        <w:t>“</w:t>
      </w:r>
      <w:r>
        <w:rPr>
          <w:rFonts w:ascii="Palatino Linotype" w:eastAsia="Times New Roman" w:hAnsi="Palatino Linotype"/>
          <w:b/>
          <w:i/>
          <w:szCs w:val="24"/>
          <w:u w:val="single"/>
          <w:lang w:val="es-ES" w:eastAsia="es-ES"/>
        </w:rPr>
        <w:t>El Instituto Federal de Acceso a la Información y Protección de Datos no cuenta con facultades para pronunciarse respecto de la veracidad de los documentos proporcionados por los sujetos obligados</w:t>
      </w:r>
      <w:r>
        <w:rPr>
          <w:rFonts w:ascii="Palatino Linotype" w:eastAsia="Times New Roman" w:hAnsi="Palatino Linotype"/>
          <w:b/>
          <w:i/>
          <w:szCs w:val="24"/>
          <w:lang w:val="es-ES" w:eastAsia="es-ES"/>
        </w:rPr>
        <w:t>.</w:t>
      </w:r>
      <w:r>
        <w:rPr>
          <w:rFonts w:ascii="Palatino Linotype" w:eastAsia="Times New Roman" w:hAnsi="Palatino Linotype"/>
          <w:i/>
          <w:szCs w:val="24"/>
          <w:lang w:val="es-ES" w:eastAsia="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B4C0678" w14:textId="77777777" w:rsidR="001B55DB" w:rsidRDefault="001B55DB">
      <w:pPr>
        <w:spacing w:after="0" w:line="240" w:lineRule="auto"/>
        <w:rPr>
          <w:rFonts w:asciiTheme="minorHAnsi" w:eastAsiaTheme="minorHAnsi" w:hAnsiTheme="minorHAnsi" w:cstheme="minorBidi"/>
        </w:rPr>
      </w:pPr>
    </w:p>
    <w:p w14:paraId="6EA0EC94" w14:textId="77777777" w:rsidR="001B55DB" w:rsidRDefault="001B55DB">
      <w:pPr>
        <w:autoSpaceDE w:val="0"/>
        <w:autoSpaceDN w:val="0"/>
        <w:adjustRightInd w:val="0"/>
        <w:spacing w:after="0" w:line="360" w:lineRule="auto"/>
        <w:jc w:val="both"/>
        <w:rPr>
          <w:rFonts w:ascii="Palatino Linotype" w:eastAsiaTheme="minorHAnsi" w:hAnsi="Palatino Linotype" w:cs="Arial"/>
          <w:sz w:val="24"/>
          <w:szCs w:val="24"/>
        </w:rPr>
      </w:pPr>
    </w:p>
    <w:p w14:paraId="2EA0D271" w14:textId="77777777" w:rsidR="001B55DB" w:rsidRDefault="006D6396">
      <w:pPr>
        <w:autoSpaceDE w:val="0"/>
        <w:autoSpaceDN w:val="0"/>
        <w:adjustRightInd w:val="0"/>
        <w:spacing w:after="0" w:line="360" w:lineRule="auto"/>
        <w:jc w:val="both"/>
        <w:rPr>
          <w:rFonts w:ascii="Palatino Linotype" w:eastAsiaTheme="minorHAnsi" w:hAnsi="Palatino Linotype" w:cstheme="minorBidi"/>
          <w:sz w:val="24"/>
        </w:rPr>
      </w:pPr>
      <w:r>
        <w:rPr>
          <w:rFonts w:ascii="Palatino Linotype" w:eastAsiaTheme="minorHAnsi" w:hAnsi="Palatino Linotype" w:cstheme="minorBidi"/>
          <w:sz w:val="24"/>
        </w:rPr>
        <w:t xml:space="preserve">En esa virtud, del análisis efectuado a las manifestaciones esgrimidas mediante su respuesta y el informe justificado mediante al cual amplió su respuesta, se advierte que </w:t>
      </w:r>
      <w:r>
        <w:rPr>
          <w:rFonts w:ascii="Palatino Linotype" w:eastAsiaTheme="minorHAnsi" w:hAnsi="Palatino Linotype" w:cstheme="minorBidi"/>
          <w:b/>
          <w:sz w:val="24"/>
        </w:rPr>
        <w:t>El Sujeto Obligado</w:t>
      </w:r>
      <w:r>
        <w:rPr>
          <w:rFonts w:ascii="Palatino Linotype" w:eastAsiaTheme="minorHAnsi" w:hAnsi="Palatino Linotype" w:cstheme="minorBidi"/>
          <w:sz w:val="24"/>
        </w:rPr>
        <w:t xml:space="preserve"> colma en su totalidad lo solicitado por la particular, como se desarrolló en los párrafos anteriores.</w:t>
      </w:r>
    </w:p>
    <w:p w14:paraId="6AB60972" w14:textId="77777777" w:rsidR="001B55DB" w:rsidRDefault="001B55DB">
      <w:pPr>
        <w:spacing w:after="0" w:line="360" w:lineRule="auto"/>
        <w:ind w:right="51"/>
        <w:jc w:val="both"/>
        <w:rPr>
          <w:rFonts w:ascii="Palatino Linotype" w:eastAsiaTheme="minorHAnsi" w:hAnsi="Palatino Linotype" w:cs="Arial"/>
          <w:sz w:val="24"/>
          <w:szCs w:val="24"/>
        </w:rPr>
      </w:pPr>
    </w:p>
    <w:p w14:paraId="649556CB" w14:textId="77777777" w:rsidR="001B55DB" w:rsidRDefault="006D6396">
      <w:pPr>
        <w:spacing w:after="0" w:line="360" w:lineRule="auto"/>
        <w:ind w:right="51"/>
        <w:jc w:val="both"/>
        <w:rPr>
          <w:rFonts w:ascii="Palatino Linotype" w:eastAsiaTheme="minorHAnsi" w:hAnsi="Palatino Linotype" w:cs="Arial"/>
          <w:color w:val="000000" w:themeColor="text1"/>
          <w:sz w:val="24"/>
        </w:rPr>
      </w:pPr>
      <w:r>
        <w:rPr>
          <w:rFonts w:ascii="Palatino Linotype" w:eastAsiaTheme="minorHAnsi" w:hAnsi="Palatino Linotype" w:cs="Arial"/>
          <w:sz w:val="24"/>
          <w:szCs w:val="24"/>
        </w:rPr>
        <w:t xml:space="preserve">En esa tesitura, de acuerdo a lo inmerso en el expediente que nos ocupa se advierte que </w:t>
      </w:r>
      <w:r>
        <w:rPr>
          <w:rFonts w:ascii="Palatino Linotype" w:eastAsiaTheme="minorHAnsi" w:hAnsi="Palatino Linotype" w:cs="Arial"/>
          <w:b/>
          <w:sz w:val="24"/>
          <w:szCs w:val="24"/>
        </w:rPr>
        <w:t>El Sujeto Obligado</w:t>
      </w:r>
      <w:r>
        <w:rPr>
          <w:rFonts w:ascii="Palatino Linotype" w:eastAsiaTheme="minorHAnsi" w:hAnsi="Palatino Linotype" w:cs="Arial"/>
          <w:sz w:val="24"/>
          <w:szCs w:val="24"/>
        </w:rPr>
        <w:t xml:space="preserve"> ha modificado el acto, remitiendo  la proposición con Punto de Acuerdo de Urgente y Obvia Resolución por el que se exhorta respetuosamente al Sistema Estatal Anticorrupción, dentro de sus competencias, se pronuncie respecto a la denominada “Estafa Maestra”, se estudie el caso y emita las recomendaciones respectivas; asimismo, por el que se exhorta respetuosamente al Órgano Superior de Fiscalización del Estado de México (OSFEM) y al Titular del Órgano Interno de Control de la Universidad Autónoma del Estado de México (UAEM), informen los </w:t>
      </w:r>
      <w:r>
        <w:rPr>
          <w:rFonts w:ascii="Palatino Linotype" w:eastAsiaTheme="minorHAnsi" w:hAnsi="Palatino Linotype" w:cs="Arial"/>
          <w:sz w:val="24"/>
          <w:szCs w:val="24"/>
        </w:rPr>
        <w:lastRenderedPageBreak/>
        <w:t>motivos por los cuales no han realizado ningún actuación para investigar y sancionar a los participantes de la llamada “Estafa Maestra , como ya ha sido demostrado en los párrafos que anteceden.</w:t>
      </w:r>
    </w:p>
    <w:p w14:paraId="502F97AA" w14:textId="77777777" w:rsidR="001B55DB" w:rsidRDefault="001B55DB">
      <w:pPr>
        <w:spacing w:after="0" w:line="360" w:lineRule="auto"/>
        <w:rPr>
          <w:rFonts w:asciiTheme="minorHAnsi" w:eastAsiaTheme="minorHAnsi" w:hAnsiTheme="minorHAnsi" w:cstheme="minorBidi"/>
        </w:rPr>
      </w:pPr>
    </w:p>
    <w:p w14:paraId="4CDA4081" w14:textId="77777777" w:rsidR="001B55DB" w:rsidRDefault="006D6396">
      <w:pPr>
        <w:autoSpaceDE w:val="0"/>
        <w:autoSpaceDN w:val="0"/>
        <w:adjustRightInd w:val="0"/>
        <w:spacing w:after="0" w:line="360" w:lineRule="auto"/>
        <w:jc w:val="both"/>
        <w:rPr>
          <w:rFonts w:ascii="Palatino Linotype" w:eastAsiaTheme="minorHAnsi" w:hAnsi="Palatino Linotype" w:cs="Arial"/>
          <w:sz w:val="24"/>
          <w:szCs w:val="24"/>
        </w:rPr>
      </w:pPr>
      <w:r>
        <w:rPr>
          <w:rFonts w:ascii="Palatino Linotype" w:eastAsiaTheme="minorHAnsi" w:hAnsi="Palatino Linotype" w:cs="Arial"/>
          <w:sz w:val="24"/>
          <w:szCs w:val="24"/>
        </w:rPr>
        <w:t xml:space="preserve">Hasta lo aquí expuesto, se concluye que </w:t>
      </w:r>
      <w:r>
        <w:rPr>
          <w:rFonts w:ascii="Palatino Linotype" w:eastAsiaTheme="minorHAnsi" w:hAnsi="Palatino Linotype" w:cs="Arial"/>
          <w:b/>
          <w:sz w:val="24"/>
          <w:szCs w:val="24"/>
        </w:rPr>
        <w:t>El Sujeto Obligado</w:t>
      </w:r>
      <w:r>
        <w:rPr>
          <w:rFonts w:ascii="Palatino Linotype" w:eastAsiaTheme="minorHAnsi" w:hAnsi="Palatino Linotype" w:cs="Arial"/>
          <w:sz w:val="24"/>
          <w:szCs w:val="24"/>
        </w:rPr>
        <w:t xml:space="preserve"> satisfizo el derecho de acceso a la información mediante la respuesta primigenia y la modificación de la misma en su informe justificado, actualizándose la fracción III, del arábigo 192, de la Ley de Transparencia vigente en la entidad</w:t>
      </w:r>
      <w:r>
        <w:rPr>
          <w:rFonts w:ascii="Palatino Linotype" w:eastAsiaTheme="minorHAnsi" w:hAnsi="Palatino Linotype" w:cstheme="minorBidi"/>
          <w:sz w:val="24"/>
          <w:szCs w:val="24"/>
        </w:rPr>
        <w:t xml:space="preserve">, por darse por satisfechos los elementos que integran dicha hipótesis, </w:t>
      </w:r>
      <w:r>
        <w:rPr>
          <w:rFonts w:ascii="Palatino Linotype" w:eastAsiaTheme="minorHAnsi" w:hAnsi="Palatino Linotype" w:cs="Arial"/>
          <w:sz w:val="24"/>
          <w:szCs w:val="24"/>
        </w:rPr>
        <w:t xml:space="preserve">a saber: </w:t>
      </w:r>
    </w:p>
    <w:p w14:paraId="6BE97658" w14:textId="77777777" w:rsidR="001B55DB" w:rsidRDefault="001B55DB">
      <w:pPr>
        <w:autoSpaceDE w:val="0"/>
        <w:autoSpaceDN w:val="0"/>
        <w:adjustRightInd w:val="0"/>
        <w:spacing w:after="0" w:line="360" w:lineRule="auto"/>
        <w:jc w:val="both"/>
        <w:rPr>
          <w:rFonts w:ascii="Palatino Linotype" w:eastAsiaTheme="minorHAnsi" w:hAnsi="Palatino Linotype" w:cs="Arial"/>
          <w:sz w:val="24"/>
          <w:szCs w:val="24"/>
        </w:rPr>
      </w:pPr>
    </w:p>
    <w:p w14:paraId="766DF3DE" w14:textId="77777777" w:rsidR="001B55DB" w:rsidRDefault="006D6396">
      <w:pPr>
        <w:numPr>
          <w:ilvl w:val="0"/>
          <w:numId w:val="6"/>
        </w:numPr>
        <w:tabs>
          <w:tab w:val="left" w:pos="709"/>
        </w:tabs>
        <w:spacing w:after="0" w:line="360" w:lineRule="auto"/>
        <w:ind w:right="51"/>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 xml:space="preserve">El primero de ellos es que el sujeto obligado responsable del acto lo modifique o revoque, lo que se demuestra con las documentales en el informe justificado de fecha </w:t>
      </w:r>
      <w:r>
        <w:rPr>
          <w:rFonts w:ascii="Palatino Linotype" w:eastAsia="Times New Roman" w:hAnsi="Palatino Linotype" w:cs="Arial"/>
          <w:b/>
          <w:sz w:val="24"/>
          <w:szCs w:val="24"/>
          <w:lang w:val="es-ES" w:eastAsia="es-ES"/>
        </w:rPr>
        <w:t>primero de junio de dos mil veintitrés</w:t>
      </w:r>
      <w:r>
        <w:rPr>
          <w:rFonts w:ascii="Palatino Linotype" w:eastAsia="Times New Roman" w:hAnsi="Palatino Linotype" w:cs="Arial"/>
          <w:sz w:val="24"/>
          <w:szCs w:val="24"/>
          <w:lang w:val="es-ES" w:eastAsia="es-ES"/>
        </w:rPr>
        <w:t>, el cual deviene de la autoridad quien emitió el acto impugnado.</w:t>
      </w:r>
    </w:p>
    <w:p w14:paraId="73318D0C" w14:textId="77777777" w:rsidR="001B55DB" w:rsidRDefault="001B55DB">
      <w:pPr>
        <w:spacing w:after="0" w:line="240" w:lineRule="auto"/>
        <w:rPr>
          <w:rFonts w:asciiTheme="minorHAnsi" w:eastAsiaTheme="minorHAnsi" w:hAnsiTheme="minorHAnsi" w:cstheme="minorBidi"/>
        </w:rPr>
      </w:pPr>
    </w:p>
    <w:p w14:paraId="4EFCF9DF" w14:textId="77777777" w:rsidR="001B55DB" w:rsidRDefault="006D6396">
      <w:pPr>
        <w:numPr>
          <w:ilvl w:val="0"/>
          <w:numId w:val="6"/>
        </w:numPr>
        <w:spacing w:after="0" w:line="360" w:lineRule="auto"/>
        <w:ind w:right="51"/>
        <w:jc w:val="both"/>
        <w:rPr>
          <w:rFonts w:ascii="Palatino Linotype" w:eastAsia="Times New Roman" w:hAnsi="Palatino Linotype"/>
          <w:sz w:val="24"/>
          <w:szCs w:val="24"/>
          <w:lang w:val="es-ES" w:eastAsia="es-ES"/>
        </w:rPr>
      </w:pPr>
      <w:r>
        <w:rPr>
          <w:rFonts w:ascii="Palatino Linotype" w:eastAsia="Times New Roman" w:hAnsi="Palatino Linotype" w:cs="Arial"/>
          <w:sz w:val="24"/>
          <w:szCs w:val="24"/>
          <w:lang w:val="es-ES" w:eastAsia="es-ES"/>
        </w:rPr>
        <w:t xml:space="preserve">Por lo que hace al segundo elemento inmerso en el numeral en comento, se requiere que el recurso de revisión se quede sin materia, lo cual se actualiza con las líneas argumentativas inmersas en el presente considerando, atendiendo a que la materia del recurso de revisión se hizo consistir en </w:t>
      </w:r>
      <w:r>
        <w:rPr>
          <w:rFonts w:ascii="Palatino Linotype" w:eastAsia="Times New Roman" w:hAnsi="Palatino Linotype"/>
          <w:bCs/>
          <w:sz w:val="24"/>
          <w:szCs w:val="24"/>
          <w:lang w:val="es-ES" w:eastAsia="es-ES"/>
        </w:rPr>
        <w:t>proporcionar la información que obra en sus archivos referente a toda la información con la que cuenta respecto a las declaraciones que han hecho a los diferentes medios de comunicación en los enlaces proporcionados, los Diputados referidos en la solicitud de información relacionada con la “Estafa Maestra”;</w:t>
      </w:r>
      <w:r>
        <w:rPr>
          <w:rFonts w:ascii="Palatino Linotype" w:eastAsia="Times New Roman" w:hAnsi="Palatino Linotype" w:cs="Arial"/>
          <w:sz w:val="24"/>
          <w:szCs w:val="24"/>
          <w:lang w:val="es-ES" w:eastAsia="es-ES"/>
        </w:rPr>
        <w:t xml:space="preserve"> lo que se vio superado con las referencias electrónicas señaladas en el inciso anterior.</w:t>
      </w:r>
    </w:p>
    <w:p w14:paraId="5A0ACB3C" w14:textId="77777777" w:rsidR="001B55DB" w:rsidRDefault="001B55DB">
      <w:pPr>
        <w:autoSpaceDE w:val="0"/>
        <w:autoSpaceDN w:val="0"/>
        <w:adjustRightInd w:val="0"/>
        <w:spacing w:after="0" w:line="360" w:lineRule="auto"/>
        <w:jc w:val="both"/>
        <w:rPr>
          <w:rFonts w:ascii="Palatino Linotype" w:eastAsiaTheme="minorHAnsi" w:hAnsi="Palatino Linotype" w:cs="Arial"/>
          <w:sz w:val="24"/>
        </w:rPr>
      </w:pPr>
    </w:p>
    <w:p w14:paraId="6B2393DC" w14:textId="77777777" w:rsidR="001B55DB" w:rsidRDefault="006D6396">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Pr>
          <w:rFonts w:ascii="Palatino Linotype" w:eastAsiaTheme="minorHAnsi" w:hAnsi="Palatino Linotype" w:cs="Arial"/>
          <w:sz w:val="24"/>
        </w:rPr>
        <w:lastRenderedPageBreak/>
        <w:t xml:space="preserve">En conclusión, la ley de la materia establece </w:t>
      </w:r>
      <w:r>
        <w:rPr>
          <w:rFonts w:ascii="Palatino Linotype" w:eastAsia="Times New Roman" w:hAnsi="Palatino Linotype" w:cs="Arial"/>
          <w:sz w:val="24"/>
          <w:szCs w:val="24"/>
          <w:lang w:val="es-ES" w:eastAsia="es-ES"/>
        </w:rPr>
        <w:t>en la fracción III, del artículo 192, de la Ley de Transparencia vigente en la entidad, que a la letra establecen:</w:t>
      </w:r>
    </w:p>
    <w:p w14:paraId="4EEC61AC" w14:textId="77777777" w:rsidR="001B55DB" w:rsidRDefault="001B55DB">
      <w:pPr>
        <w:spacing w:after="0" w:line="259" w:lineRule="auto"/>
        <w:rPr>
          <w:rFonts w:asciiTheme="minorHAnsi" w:eastAsiaTheme="minorHAnsi" w:hAnsiTheme="minorHAnsi" w:cstheme="minorBidi"/>
          <w:lang w:val="es-ES" w:eastAsia="es-ES"/>
        </w:rPr>
      </w:pPr>
    </w:p>
    <w:p w14:paraId="5D6BDBF9" w14:textId="77777777" w:rsidR="001B55DB" w:rsidRDefault="006D6396">
      <w:pPr>
        <w:autoSpaceDE w:val="0"/>
        <w:autoSpaceDN w:val="0"/>
        <w:adjustRightInd w:val="0"/>
        <w:spacing w:after="0" w:line="240" w:lineRule="auto"/>
        <w:ind w:left="708"/>
        <w:jc w:val="both"/>
        <w:rPr>
          <w:rFonts w:ascii="Palatino Linotype" w:eastAsia="Times New Roman" w:hAnsi="Palatino Linotype"/>
          <w:i/>
          <w:szCs w:val="24"/>
          <w:lang w:val="es-ES" w:eastAsia="es-ES"/>
        </w:rPr>
      </w:pPr>
      <w:r>
        <w:rPr>
          <w:rFonts w:ascii="Palatino Linotype" w:eastAsia="Times New Roman" w:hAnsi="Palatino Linotype"/>
          <w:b/>
          <w:i/>
          <w:szCs w:val="24"/>
          <w:lang w:val="es-ES" w:eastAsia="es-ES"/>
        </w:rPr>
        <w:t xml:space="preserve">“Artículo 192. </w:t>
      </w:r>
      <w:r>
        <w:rPr>
          <w:rFonts w:ascii="Palatino Linotype" w:eastAsia="Times New Roman" w:hAnsi="Palatino Linotype"/>
          <w:b/>
          <w:i/>
          <w:szCs w:val="24"/>
          <w:u w:val="single"/>
          <w:lang w:val="es-ES" w:eastAsia="es-ES"/>
        </w:rPr>
        <w:t>El recurso será sobreseído, en todo o en parte, cuando una vez admitido, se actualicen alguno de los siguientes supuestos</w:t>
      </w:r>
      <w:r>
        <w:rPr>
          <w:rFonts w:ascii="Palatino Linotype" w:eastAsia="Times New Roman" w:hAnsi="Palatino Linotype"/>
          <w:i/>
          <w:szCs w:val="24"/>
          <w:lang w:val="es-ES" w:eastAsia="es-ES"/>
        </w:rPr>
        <w:t>:</w:t>
      </w:r>
    </w:p>
    <w:p w14:paraId="0DE2CD28" w14:textId="77777777" w:rsidR="001B55DB" w:rsidRDefault="006D6396">
      <w:pPr>
        <w:numPr>
          <w:ilvl w:val="0"/>
          <w:numId w:val="7"/>
        </w:numPr>
        <w:autoSpaceDE w:val="0"/>
        <w:autoSpaceDN w:val="0"/>
        <w:adjustRightInd w:val="0"/>
        <w:spacing w:after="0" w:line="240" w:lineRule="auto"/>
        <w:jc w:val="both"/>
        <w:rPr>
          <w:rFonts w:ascii="Palatino Linotype" w:eastAsia="Times New Roman" w:hAnsi="Palatino Linotype"/>
          <w:i/>
          <w:szCs w:val="24"/>
          <w:lang w:val="es-ES" w:eastAsia="es-ES"/>
        </w:rPr>
      </w:pPr>
      <w:r>
        <w:rPr>
          <w:rFonts w:ascii="Palatino Linotype" w:eastAsia="Times New Roman" w:hAnsi="Palatino Linotype"/>
          <w:i/>
          <w:szCs w:val="24"/>
          <w:lang w:val="es-ES" w:eastAsia="es-ES"/>
        </w:rPr>
        <w:t xml:space="preserve">El recurrente se desista expresamente del recurso; </w:t>
      </w:r>
    </w:p>
    <w:p w14:paraId="50E52802" w14:textId="77777777" w:rsidR="001B55DB" w:rsidRDefault="006D6396">
      <w:pPr>
        <w:numPr>
          <w:ilvl w:val="0"/>
          <w:numId w:val="7"/>
        </w:numPr>
        <w:autoSpaceDE w:val="0"/>
        <w:autoSpaceDN w:val="0"/>
        <w:adjustRightInd w:val="0"/>
        <w:spacing w:after="0" w:line="240" w:lineRule="auto"/>
        <w:jc w:val="both"/>
        <w:rPr>
          <w:rFonts w:ascii="Palatino Linotype" w:eastAsia="Times New Roman" w:hAnsi="Palatino Linotype" w:cs="Arial"/>
          <w:i/>
          <w:szCs w:val="24"/>
          <w:lang w:val="es-ES" w:eastAsia="es-ES"/>
        </w:rPr>
      </w:pPr>
      <w:r>
        <w:rPr>
          <w:rFonts w:ascii="Palatino Linotype" w:eastAsia="Times New Roman" w:hAnsi="Palatino Linotype"/>
          <w:i/>
          <w:szCs w:val="24"/>
          <w:lang w:val="es-ES" w:eastAsia="es-ES"/>
        </w:rPr>
        <w:t xml:space="preserve">El recurrente fallezca o, tratándose de personas jurídicas colectivas, se disuelva; </w:t>
      </w:r>
    </w:p>
    <w:p w14:paraId="023CC293" w14:textId="77777777" w:rsidR="001B55DB" w:rsidRDefault="006D6396">
      <w:pPr>
        <w:numPr>
          <w:ilvl w:val="0"/>
          <w:numId w:val="7"/>
        </w:numPr>
        <w:autoSpaceDE w:val="0"/>
        <w:autoSpaceDN w:val="0"/>
        <w:adjustRightInd w:val="0"/>
        <w:spacing w:after="0" w:line="240" w:lineRule="auto"/>
        <w:jc w:val="both"/>
        <w:rPr>
          <w:rFonts w:ascii="Palatino Linotype" w:eastAsia="Times New Roman" w:hAnsi="Palatino Linotype" w:cs="Arial"/>
          <w:i/>
          <w:szCs w:val="24"/>
          <w:lang w:val="es-ES" w:eastAsia="es-ES"/>
        </w:rPr>
      </w:pPr>
      <w:r>
        <w:rPr>
          <w:rFonts w:ascii="Palatino Linotype" w:eastAsia="Times New Roman" w:hAnsi="Palatino Linotype"/>
          <w:b/>
          <w:i/>
          <w:szCs w:val="24"/>
          <w:u w:val="single"/>
          <w:lang w:val="es-ES" w:eastAsia="es-ES"/>
        </w:rPr>
        <w:t>El sujeto obligado responsable del acto lo modifique o revoque de tal manera que el recurso de revisión quede sin materia</w:t>
      </w:r>
      <w:r>
        <w:rPr>
          <w:rFonts w:ascii="Palatino Linotype" w:eastAsia="Times New Roman" w:hAnsi="Palatino Linotype"/>
          <w:i/>
          <w:szCs w:val="24"/>
          <w:lang w:val="es-ES" w:eastAsia="es-ES"/>
        </w:rPr>
        <w:t xml:space="preserve">; </w:t>
      </w:r>
    </w:p>
    <w:p w14:paraId="70013FD1" w14:textId="77777777" w:rsidR="001B55DB" w:rsidRDefault="006D6396">
      <w:pPr>
        <w:numPr>
          <w:ilvl w:val="0"/>
          <w:numId w:val="7"/>
        </w:numPr>
        <w:autoSpaceDE w:val="0"/>
        <w:autoSpaceDN w:val="0"/>
        <w:adjustRightInd w:val="0"/>
        <w:spacing w:after="0" w:line="240" w:lineRule="auto"/>
        <w:jc w:val="both"/>
        <w:rPr>
          <w:rFonts w:ascii="Palatino Linotype" w:eastAsia="Times New Roman" w:hAnsi="Palatino Linotype" w:cs="Arial"/>
          <w:i/>
          <w:szCs w:val="24"/>
          <w:lang w:val="es-ES" w:eastAsia="es-ES"/>
        </w:rPr>
      </w:pPr>
      <w:r>
        <w:rPr>
          <w:rFonts w:ascii="Palatino Linotype" w:eastAsia="Times New Roman" w:hAnsi="Palatino Linotype"/>
          <w:i/>
          <w:szCs w:val="24"/>
          <w:lang w:val="es-ES" w:eastAsia="es-ES"/>
        </w:rPr>
        <w:t xml:space="preserve">Admitido el recurso de revisión, aparezca alguna causal de improcedencia en los términos de la presente Ley; y </w:t>
      </w:r>
    </w:p>
    <w:p w14:paraId="7AFA1A87" w14:textId="77777777" w:rsidR="001B55DB" w:rsidRDefault="006D6396">
      <w:pPr>
        <w:numPr>
          <w:ilvl w:val="0"/>
          <w:numId w:val="7"/>
        </w:numPr>
        <w:autoSpaceDE w:val="0"/>
        <w:autoSpaceDN w:val="0"/>
        <w:adjustRightInd w:val="0"/>
        <w:spacing w:after="0" w:line="240" w:lineRule="auto"/>
        <w:jc w:val="both"/>
        <w:rPr>
          <w:rFonts w:ascii="Palatino Linotype" w:eastAsia="Times New Roman" w:hAnsi="Palatino Linotype" w:cs="Arial"/>
          <w:i/>
          <w:szCs w:val="24"/>
          <w:lang w:val="es-ES" w:eastAsia="es-ES"/>
        </w:rPr>
      </w:pPr>
      <w:r>
        <w:rPr>
          <w:rFonts w:ascii="Palatino Linotype" w:eastAsia="Times New Roman" w:hAnsi="Palatino Linotype"/>
          <w:i/>
          <w:szCs w:val="24"/>
          <w:lang w:val="es-ES" w:eastAsia="es-ES"/>
        </w:rPr>
        <w:t>Cuando por cualquier motivo quede sin materia el recurso.”</w:t>
      </w:r>
    </w:p>
    <w:p w14:paraId="67D8A9A6" w14:textId="77777777" w:rsidR="001B55DB" w:rsidRDefault="001B55DB">
      <w:pPr>
        <w:spacing w:line="259" w:lineRule="auto"/>
        <w:rPr>
          <w:rFonts w:ascii="Palatino Linotype" w:eastAsiaTheme="minorHAnsi" w:hAnsi="Palatino Linotype" w:cstheme="minorBidi"/>
          <w:sz w:val="24"/>
          <w:lang w:val="es-ES" w:eastAsia="es-ES"/>
        </w:rPr>
      </w:pPr>
    </w:p>
    <w:p w14:paraId="7DF121D6" w14:textId="77777777" w:rsidR="001B55DB" w:rsidRDefault="006D6396">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Por lo que hace a los requisitos de procedencia del sobreseimiento en términos del artículo 192, de la Ley de Transparencia estatal se establece lo siguiente:</w:t>
      </w:r>
    </w:p>
    <w:p w14:paraId="26AC1B76" w14:textId="77777777" w:rsidR="001B55DB" w:rsidRDefault="001B55DB">
      <w:pPr>
        <w:spacing w:after="0" w:line="240" w:lineRule="auto"/>
        <w:rPr>
          <w:rFonts w:asciiTheme="minorHAnsi" w:eastAsiaTheme="minorHAnsi" w:hAnsiTheme="minorHAnsi" w:cstheme="minorBidi"/>
          <w:lang w:val="es-ES" w:eastAsia="es-ES"/>
        </w:rPr>
      </w:pPr>
    </w:p>
    <w:p w14:paraId="33A63624" w14:textId="77777777" w:rsidR="001B55DB" w:rsidRDefault="006D6396">
      <w:pPr>
        <w:numPr>
          <w:ilvl w:val="0"/>
          <w:numId w:val="8"/>
        </w:numPr>
        <w:autoSpaceDE w:val="0"/>
        <w:autoSpaceDN w:val="0"/>
        <w:adjustRightInd w:val="0"/>
        <w:spacing w:after="0" w:line="360" w:lineRule="auto"/>
        <w:ind w:left="851" w:right="850" w:firstLine="10"/>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 xml:space="preserve">Mediante acuerdo de fecha </w:t>
      </w:r>
      <w:r>
        <w:rPr>
          <w:rFonts w:ascii="Palatino Linotype" w:eastAsia="Times New Roman" w:hAnsi="Palatino Linotype" w:cs="Arial"/>
          <w:b/>
          <w:sz w:val="24"/>
          <w:szCs w:val="24"/>
          <w:lang w:val="es-ES" w:eastAsia="es-ES"/>
        </w:rPr>
        <w:t>veintitrés de mayo de dos mil veintitrés</w:t>
      </w:r>
      <w:r>
        <w:rPr>
          <w:rFonts w:ascii="Palatino Linotype" w:eastAsia="Times New Roman" w:hAnsi="Palatino Linotype" w:cs="Arial"/>
          <w:sz w:val="24"/>
          <w:szCs w:val="24"/>
          <w:lang w:val="es-ES" w:eastAsia="es-ES"/>
        </w:rPr>
        <w:t xml:space="preserve">, el Comisionado Presidente </w:t>
      </w:r>
      <w:r>
        <w:rPr>
          <w:rFonts w:ascii="Palatino Linotype" w:eastAsia="Times New Roman" w:hAnsi="Palatino Linotype" w:cs="Arial"/>
          <w:b/>
          <w:sz w:val="24"/>
          <w:szCs w:val="24"/>
          <w:lang w:val="es-ES" w:eastAsia="es-ES"/>
        </w:rPr>
        <w:t>José Martínez Vilchis</w:t>
      </w:r>
      <w:r>
        <w:rPr>
          <w:rFonts w:ascii="Palatino Linotype" w:eastAsia="Times New Roman" w:hAnsi="Palatino Linotype" w:cs="Arial"/>
          <w:sz w:val="24"/>
          <w:szCs w:val="24"/>
          <w:lang w:val="es-ES" w:eastAsia="es-ES"/>
        </w:rPr>
        <w:t>, admitió a trámite el recurso de revisión que nos ocupa</w:t>
      </w:r>
      <w:r>
        <w:rPr>
          <w:rFonts w:ascii="Palatino Linotype" w:eastAsia="Times New Roman" w:hAnsi="Palatino Linotype" w:cs="Arial"/>
          <w:sz w:val="24"/>
          <w:szCs w:val="24"/>
          <w:lang w:eastAsia="es-ES"/>
        </w:rPr>
        <w:t>.</w:t>
      </w:r>
    </w:p>
    <w:p w14:paraId="0A77C65E" w14:textId="77777777" w:rsidR="001B55DB" w:rsidRDefault="001B55DB">
      <w:pPr>
        <w:spacing w:after="0" w:line="240" w:lineRule="auto"/>
        <w:rPr>
          <w:rFonts w:asciiTheme="minorHAnsi" w:eastAsiaTheme="minorHAnsi" w:hAnsiTheme="minorHAnsi" w:cstheme="minorBidi"/>
        </w:rPr>
      </w:pPr>
    </w:p>
    <w:p w14:paraId="3001BBF9" w14:textId="77777777" w:rsidR="001B55DB" w:rsidRDefault="006D6396">
      <w:pPr>
        <w:numPr>
          <w:ilvl w:val="0"/>
          <w:numId w:val="8"/>
        </w:numPr>
        <w:autoSpaceDE w:val="0"/>
        <w:autoSpaceDN w:val="0"/>
        <w:adjustRightInd w:val="0"/>
        <w:spacing w:after="0" w:line="360" w:lineRule="auto"/>
        <w:ind w:left="851" w:right="850" w:firstLine="10"/>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 xml:space="preserve">Lo esgrimido por </w:t>
      </w:r>
      <w:r>
        <w:rPr>
          <w:rFonts w:ascii="Palatino Linotype" w:eastAsia="Times New Roman" w:hAnsi="Palatino Linotype" w:cs="Arial"/>
          <w:b/>
          <w:sz w:val="24"/>
          <w:szCs w:val="24"/>
          <w:lang w:val="es-ES" w:eastAsia="es-ES"/>
        </w:rPr>
        <w:t>El Recurrente</w:t>
      </w:r>
      <w:r>
        <w:rPr>
          <w:rFonts w:ascii="Palatino Linotype" w:eastAsia="Times New Roman" w:hAnsi="Palatino Linotype" w:cs="Arial"/>
          <w:sz w:val="24"/>
          <w:szCs w:val="24"/>
          <w:lang w:val="es-ES" w:eastAsia="es-ES"/>
        </w:rPr>
        <w:t xml:space="preserve"> dentro del recurso de revisión impugnado queda sin materia, toda vez que </w:t>
      </w:r>
      <w:r>
        <w:rPr>
          <w:rFonts w:ascii="Palatino Linotype" w:eastAsia="Times New Roman" w:hAnsi="Palatino Linotype" w:cs="Arial"/>
          <w:b/>
          <w:sz w:val="24"/>
          <w:szCs w:val="24"/>
          <w:lang w:val="es-ES" w:eastAsia="es-ES"/>
        </w:rPr>
        <w:t>El Sujeto Obligado</w:t>
      </w:r>
      <w:r>
        <w:rPr>
          <w:rFonts w:ascii="Palatino Linotype" w:eastAsia="Times New Roman" w:hAnsi="Palatino Linotype" w:cs="Arial"/>
          <w:sz w:val="24"/>
          <w:szCs w:val="24"/>
          <w:lang w:val="es-ES" w:eastAsia="es-ES"/>
        </w:rPr>
        <w:t xml:space="preserve"> colmó el derecho de acceso a la información del </w:t>
      </w:r>
      <w:r>
        <w:rPr>
          <w:rFonts w:ascii="Palatino Linotype" w:eastAsia="Times New Roman" w:hAnsi="Palatino Linotype" w:cs="Arial"/>
          <w:b/>
          <w:sz w:val="24"/>
          <w:szCs w:val="24"/>
          <w:lang w:val="es-ES" w:eastAsia="es-ES"/>
        </w:rPr>
        <w:t>Recurrente</w:t>
      </w:r>
      <w:r>
        <w:rPr>
          <w:rFonts w:ascii="Palatino Linotype" w:eastAsia="Times New Roman" w:hAnsi="Palatino Linotype" w:cs="Arial"/>
          <w:sz w:val="24"/>
          <w:szCs w:val="24"/>
          <w:lang w:val="es-ES" w:eastAsia="es-ES"/>
        </w:rPr>
        <w:t>,</w:t>
      </w:r>
      <w:r>
        <w:rPr>
          <w:rFonts w:ascii="Palatino Linotype" w:eastAsia="Times New Roman" w:hAnsi="Palatino Linotype" w:cs="Arial"/>
          <w:b/>
          <w:sz w:val="24"/>
          <w:szCs w:val="24"/>
          <w:lang w:val="es-ES" w:eastAsia="es-ES"/>
        </w:rPr>
        <w:t xml:space="preserve"> </w:t>
      </w:r>
      <w:r>
        <w:rPr>
          <w:rFonts w:ascii="Palatino Linotype" w:eastAsia="Times New Roman" w:hAnsi="Palatino Linotype" w:cs="Arial"/>
          <w:sz w:val="24"/>
          <w:szCs w:val="24"/>
          <w:lang w:val="es-ES" w:eastAsia="es-ES"/>
        </w:rPr>
        <w:t xml:space="preserve">ello al modificar su respuesta primigenia, mediante la información remitida en su informe justificado, en fecha </w:t>
      </w:r>
      <w:r>
        <w:rPr>
          <w:rFonts w:ascii="Palatino Linotype" w:eastAsia="Times New Roman" w:hAnsi="Palatino Linotype" w:cs="Arial"/>
          <w:b/>
          <w:sz w:val="24"/>
          <w:szCs w:val="24"/>
          <w:lang w:val="es-ES" w:eastAsia="es-ES"/>
        </w:rPr>
        <w:t>primero de junio de dos mil veintitrés</w:t>
      </w:r>
      <w:r>
        <w:rPr>
          <w:rFonts w:ascii="Palatino Linotype" w:eastAsia="Times New Roman" w:hAnsi="Palatino Linotype" w:cs="Arial"/>
          <w:sz w:val="24"/>
          <w:szCs w:val="24"/>
          <w:lang w:val="es-ES" w:eastAsia="es-ES"/>
        </w:rPr>
        <w:t>.</w:t>
      </w:r>
    </w:p>
    <w:p w14:paraId="4D94FF4C" w14:textId="77777777" w:rsidR="001B55DB" w:rsidRDefault="001B55DB">
      <w:pPr>
        <w:spacing w:after="0" w:line="240" w:lineRule="auto"/>
        <w:rPr>
          <w:rFonts w:asciiTheme="minorHAnsi" w:eastAsiaTheme="minorHAnsi" w:hAnsiTheme="minorHAnsi" w:cstheme="minorBidi"/>
        </w:rPr>
      </w:pPr>
    </w:p>
    <w:p w14:paraId="6812D728" w14:textId="77777777" w:rsidR="001B55DB" w:rsidRDefault="006D6396">
      <w:pPr>
        <w:numPr>
          <w:ilvl w:val="0"/>
          <w:numId w:val="8"/>
        </w:numPr>
        <w:autoSpaceDE w:val="0"/>
        <w:autoSpaceDN w:val="0"/>
        <w:adjustRightInd w:val="0"/>
        <w:spacing w:after="0" w:line="360" w:lineRule="auto"/>
        <w:ind w:left="851" w:right="850" w:firstLine="10"/>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 xml:space="preserve">El recurso </w:t>
      </w:r>
      <w:hyperlink r:id="rId26" w:history="1">
        <w:r>
          <w:rPr>
            <w:rStyle w:val="Hipervnculo"/>
            <w:rFonts w:ascii="Palatino Linotype" w:eastAsia="Times New Roman" w:hAnsi="Palatino Linotype" w:cs="Arial"/>
            <w:b/>
            <w:bCs/>
            <w:color w:val="auto"/>
            <w:sz w:val="24"/>
            <w:szCs w:val="24"/>
            <w:u w:val="none"/>
            <w:lang w:eastAsia="es-MX"/>
          </w:rPr>
          <w:t>02690/INFOEM/IP/RR/2023,</w:t>
        </w:r>
      </w:hyperlink>
      <w:r>
        <w:rPr>
          <w:rFonts w:ascii="Palatino Linotype" w:eastAsia="Times New Roman" w:hAnsi="Palatino Linotype" w:cs="Arial"/>
          <w:sz w:val="24"/>
          <w:szCs w:val="24"/>
          <w:lang w:val="es-ES" w:eastAsia="es-ES"/>
        </w:rPr>
        <w:t xml:space="preserve"> no actualiza ninguna hipótesis de las inmersas en el numeral 179, de la Ley en materia vigente en la entidad. </w:t>
      </w:r>
    </w:p>
    <w:p w14:paraId="35D4FD7D" w14:textId="77777777" w:rsidR="001B55DB" w:rsidRDefault="001B55DB">
      <w:pPr>
        <w:autoSpaceDE w:val="0"/>
        <w:autoSpaceDN w:val="0"/>
        <w:adjustRightInd w:val="0"/>
        <w:spacing w:after="0" w:line="360" w:lineRule="auto"/>
        <w:jc w:val="both"/>
        <w:rPr>
          <w:rFonts w:ascii="Palatino Linotype" w:eastAsia="Times New Roman" w:hAnsi="Palatino Linotype"/>
          <w:sz w:val="24"/>
          <w:szCs w:val="24"/>
          <w:lang w:val="es-ES" w:eastAsia="es-ES"/>
        </w:rPr>
      </w:pPr>
    </w:p>
    <w:p w14:paraId="470D63B9" w14:textId="77777777" w:rsidR="001B55DB" w:rsidRDefault="006D6396">
      <w:pPr>
        <w:autoSpaceDE w:val="0"/>
        <w:autoSpaceDN w:val="0"/>
        <w:adjustRightInd w:val="0"/>
        <w:spacing w:after="0" w:line="360" w:lineRule="auto"/>
        <w:jc w:val="both"/>
        <w:rPr>
          <w:rFonts w:ascii="Palatino Linotype" w:eastAsia="Times New Roman" w:hAnsi="Palatino Linotype"/>
          <w:sz w:val="24"/>
          <w:szCs w:val="24"/>
          <w:lang w:val="es-ES" w:eastAsia="es-ES"/>
        </w:rPr>
      </w:pPr>
      <w:r>
        <w:rPr>
          <w:rFonts w:ascii="Palatino Linotype" w:eastAsia="Times New Roman" w:hAnsi="Palatino Linotype"/>
          <w:sz w:val="24"/>
          <w:szCs w:val="24"/>
          <w:lang w:val="es-ES" w:eastAsia="es-ES"/>
        </w:rPr>
        <w:t xml:space="preserve">Es importante resaltar a manera de analogía que la Suprema Corte de Justicia de la Nación mediante el número 2 de la Serie </w:t>
      </w:r>
      <w:r>
        <w:rPr>
          <w:rFonts w:ascii="Palatino Linotype" w:eastAsia="Times New Roman" w:hAnsi="Palatino Linotype"/>
          <w:i/>
          <w:sz w:val="24"/>
          <w:szCs w:val="24"/>
          <w:lang w:val="es-ES" w:eastAsia="es-ES"/>
        </w:rPr>
        <w:t xml:space="preserve">Estudios Introductorios sobre el Juicio de Amparo </w:t>
      </w:r>
      <w:r>
        <w:rPr>
          <w:rFonts w:ascii="Palatino Linotype" w:eastAsia="Times New Roman" w:hAnsi="Palatino Linotype"/>
          <w:sz w:val="24"/>
          <w:szCs w:val="24"/>
          <w:lang w:val="es-ES" w:eastAsia="es-ES"/>
        </w:rPr>
        <w:t xml:space="preserve">relativo a </w:t>
      </w:r>
      <w:r>
        <w:rPr>
          <w:rFonts w:ascii="Palatino Linotype" w:eastAsia="Times New Roman" w:hAnsi="Palatino Linotype"/>
          <w:i/>
          <w:sz w:val="24"/>
          <w:szCs w:val="24"/>
          <w:lang w:val="es-ES" w:eastAsia="es-ES"/>
        </w:rPr>
        <w:t xml:space="preserve">LA IMPROCEDENCIA DE LA ACCIÓN DE AMPARO </w:t>
      </w:r>
      <w:r>
        <w:rPr>
          <w:rFonts w:ascii="Palatino Linotype" w:eastAsia="Times New Roman" w:hAnsi="Palatino Linotype"/>
          <w:sz w:val="24"/>
          <w:szCs w:val="24"/>
          <w:lang w:val="es-ES" w:eastAsia="es-ES"/>
        </w:rPr>
        <w:t xml:space="preserve">definió a la improcedencia del amparo como la institución jurídica procesal en la que, al actualizarse ciertas circunstancias previstas en la Constitución Federal, en la Ley de Amparo o en la Jurisprudencia, el órgano jurisdiccional se ve impedido para analizar y resolver el fondo del asunto y que la causa de improcedencia puede tenerse por acreditada desde el momento en que se presenta la demanda de amparo, </w:t>
      </w:r>
      <w:r>
        <w:rPr>
          <w:rFonts w:ascii="Palatino Linotype" w:eastAsia="Times New Roman" w:hAnsi="Palatino Linotype"/>
          <w:b/>
          <w:sz w:val="24"/>
          <w:szCs w:val="24"/>
          <w:u w:val="single"/>
          <w:lang w:val="es-ES" w:eastAsia="es-ES"/>
        </w:rPr>
        <w:t>lo que generará que la demanda sea desechada; o bien, después de admitida la demanda, lo que tendrá como consecuencia que se sobresea en el juicio.</w:t>
      </w:r>
    </w:p>
    <w:p w14:paraId="67B79CB3" w14:textId="77777777" w:rsidR="001B55DB" w:rsidRDefault="001B55DB">
      <w:pPr>
        <w:spacing w:after="0" w:line="240" w:lineRule="auto"/>
        <w:rPr>
          <w:rFonts w:asciiTheme="minorHAnsi" w:eastAsiaTheme="minorHAnsi" w:hAnsiTheme="minorHAnsi" w:cstheme="minorBidi"/>
        </w:rPr>
      </w:pPr>
    </w:p>
    <w:p w14:paraId="0A037FD5" w14:textId="77777777" w:rsidR="001B55DB" w:rsidRDefault="006D6396">
      <w:pPr>
        <w:autoSpaceDE w:val="0"/>
        <w:autoSpaceDN w:val="0"/>
        <w:adjustRightInd w:val="0"/>
        <w:spacing w:before="240" w:after="240" w:line="360" w:lineRule="auto"/>
        <w:jc w:val="both"/>
        <w:rPr>
          <w:rFonts w:ascii="Palatino Linotype" w:eastAsia="Times New Roman" w:hAnsi="Palatino Linotype"/>
          <w:sz w:val="24"/>
          <w:szCs w:val="24"/>
          <w:lang w:val="es-ES" w:eastAsia="es-ES"/>
        </w:rPr>
      </w:pPr>
      <w:r>
        <w:rPr>
          <w:rFonts w:ascii="Palatino Linotype" w:eastAsia="Times New Roman" w:hAnsi="Palatino Linotype"/>
          <w:sz w:val="24"/>
          <w:szCs w:val="24"/>
          <w:lang w:val="es-ES" w:eastAsia="es-ES"/>
        </w:rPr>
        <w:t xml:space="preserve">Por lo tanto, en mérito de lo expuesto en líneas anteriores, </w:t>
      </w:r>
      <w:r>
        <w:rPr>
          <w:rFonts w:ascii="Palatino Linotype" w:eastAsia="Times New Roman" w:hAnsi="Palatino Linotype" w:cs="Arial"/>
          <w:b/>
          <w:sz w:val="24"/>
          <w:szCs w:val="24"/>
          <w:lang w:val="es-ES" w:eastAsia="es-ES"/>
        </w:rPr>
        <w:t xml:space="preserve">con fundamento en la fracción III del artículo 192, </w:t>
      </w:r>
      <w:r>
        <w:rPr>
          <w:rFonts w:ascii="Palatino Linotype" w:eastAsia="Times New Roman" w:hAnsi="Palatino Linotype" w:cs="Arial"/>
          <w:sz w:val="24"/>
          <w:szCs w:val="24"/>
          <w:lang w:val="es-ES" w:eastAsia="es-ES"/>
        </w:rPr>
        <w:t xml:space="preserve">de la Ley de Transparencia y Acceso a la Información Pública del Estado de México y Municipios, se </w:t>
      </w:r>
      <w:r>
        <w:rPr>
          <w:rFonts w:ascii="Palatino Linotype" w:eastAsia="Times New Roman" w:hAnsi="Palatino Linotype" w:cs="Arial"/>
          <w:b/>
          <w:sz w:val="24"/>
          <w:szCs w:val="24"/>
          <w:lang w:val="es-ES" w:eastAsia="es-ES"/>
        </w:rPr>
        <w:t xml:space="preserve">SOBRESEE </w:t>
      </w:r>
      <w:r>
        <w:rPr>
          <w:rFonts w:ascii="Palatino Linotype" w:eastAsia="Times New Roman" w:hAnsi="Palatino Linotype" w:cs="Arial"/>
          <w:sz w:val="24"/>
          <w:szCs w:val="24"/>
          <w:lang w:val="es-ES" w:eastAsia="es-ES"/>
        </w:rPr>
        <w:t xml:space="preserve">el recurso de revisión </w:t>
      </w:r>
      <w:r>
        <w:rPr>
          <w:rFonts w:ascii="Palatino Linotype" w:eastAsia="Times New Roman" w:hAnsi="Palatino Linotype" w:cs="Arial"/>
          <w:b/>
          <w:sz w:val="24"/>
          <w:szCs w:val="24"/>
          <w:lang w:val="es-ES" w:eastAsia="es-ES"/>
        </w:rPr>
        <w:t>02690/INFOEM/IP/RR/2023</w:t>
      </w:r>
      <w:r>
        <w:rPr>
          <w:rFonts w:ascii="Palatino Linotype" w:eastAsia="Times New Roman" w:hAnsi="Palatino Linotype" w:cs="Arial"/>
          <w:sz w:val="24"/>
          <w:szCs w:val="24"/>
          <w:lang w:val="es-ES" w:eastAsia="es-ES"/>
        </w:rPr>
        <w:t>,</w:t>
      </w:r>
      <w:r>
        <w:rPr>
          <w:rFonts w:ascii="Palatino Linotype" w:eastAsia="Times New Roman" w:hAnsi="Palatino Linotype"/>
          <w:sz w:val="24"/>
          <w:szCs w:val="24"/>
          <w:lang w:val="es-ES" w:eastAsia="es-ES"/>
        </w:rPr>
        <w:t xml:space="preserve"> que ha sido materia del presente fallo.</w:t>
      </w:r>
    </w:p>
    <w:p w14:paraId="434BCB12" w14:textId="77777777" w:rsidR="001B55DB" w:rsidRDefault="001B55DB">
      <w:pPr>
        <w:spacing w:after="0" w:line="240" w:lineRule="auto"/>
        <w:rPr>
          <w:rFonts w:ascii="Palatino Linotype" w:eastAsiaTheme="minorHAnsi" w:hAnsi="Palatino Linotype" w:cstheme="minorBidi"/>
          <w:sz w:val="24"/>
          <w:lang w:eastAsia="es-MX"/>
        </w:rPr>
      </w:pPr>
    </w:p>
    <w:p w14:paraId="4DBA5053" w14:textId="77777777" w:rsidR="001B55DB" w:rsidRDefault="006D6396">
      <w:pPr>
        <w:tabs>
          <w:tab w:val="left" w:pos="8931"/>
        </w:tabs>
        <w:spacing w:after="0" w:line="360" w:lineRule="auto"/>
        <w:ind w:right="51"/>
        <w:jc w:val="both"/>
        <w:rPr>
          <w:rFonts w:ascii="Palatino Linotype" w:eastAsiaTheme="minorHAnsi" w:hAnsi="Palatino Linotype" w:cstheme="minorBidi"/>
          <w:sz w:val="24"/>
          <w:szCs w:val="24"/>
        </w:rPr>
      </w:pPr>
      <w:r>
        <w:rPr>
          <w:rFonts w:ascii="Palatino Linotype" w:eastAsiaTheme="minorHAnsi" w:hAnsi="Palatino Linotype" w:cstheme="minorBidi"/>
          <w:sz w:val="24"/>
          <w:szCs w:val="24"/>
        </w:rPr>
        <w:t>Por lo antes expuesto y fundado es de resolverse y,</w:t>
      </w:r>
    </w:p>
    <w:p w14:paraId="7FA8515F" w14:textId="77777777" w:rsidR="001B55DB" w:rsidRDefault="001B55DB">
      <w:pPr>
        <w:spacing w:after="0" w:line="360" w:lineRule="auto"/>
        <w:jc w:val="both"/>
        <w:rPr>
          <w:rFonts w:ascii="Palatino Linotype" w:hAnsi="Palatino Linotype"/>
        </w:rPr>
      </w:pPr>
    </w:p>
    <w:p w14:paraId="7746A5D1" w14:textId="77777777" w:rsidR="001B55DB" w:rsidRDefault="006D6396">
      <w:pPr>
        <w:spacing w:before="240" w:after="240" w:line="360" w:lineRule="auto"/>
        <w:jc w:val="center"/>
        <w:rPr>
          <w:rFonts w:ascii="Palatino Linotype" w:hAnsi="Palatino Linotype"/>
          <w:b/>
          <w:spacing w:val="60"/>
          <w:sz w:val="24"/>
          <w:szCs w:val="24"/>
        </w:rPr>
      </w:pPr>
      <w:r>
        <w:rPr>
          <w:rFonts w:ascii="Palatino Linotype" w:hAnsi="Palatino Linotype"/>
          <w:b/>
          <w:spacing w:val="60"/>
          <w:sz w:val="24"/>
          <w:szCs w:val="24"/>
        </w:rPr>
        <w:t>S E RESUELVE</w:t>
      </w:r>
    </w:p>
    <w:p w14:paraId="6C5429F3" w14:textId="77777777" w:rsidR="001B55DB" w:rsidRDefault="006D6396">
      <w:pPr>
        <w:spacing w:after="0" w:line="360" w:lineRule="auto"/>
        <w:jc w:val="both"/>
        <w:rPr>
          <w:rFonts w:ascii="Palatino Linotype" w:eastAsiaTheme="minorHAnsi" w:hAnsi="Palatino Linotype" w:cs="Arial"/>
          <w:sz w:val="24"/>
          <w:szCs w:val="24"/>
        </w:rPr>
      </w:pPr>
      <w:r>
        <w:rPr>
          <w:rFonts w:ascii="Palatino Linotype" w:eastAsiaTheme="minorHAnsi" w:hAnsi="Palatino Linotype" w:cs="Arial"/>
          <w:b/>
          <w:sz w:val="24"/>
          <w:szCs w:val="24"/>
        </w:rPr>
        <w:t>PRIMERO.</w:t>
      </w:r>
      <w:r>
        <w:rPr>
          <w:rFonts w:ascii="Palatino Linotype" w:eastAsiaTheme="minorHAnsi" w:hAnsi="Palatino Linotype" w:cs="Arial"/>
          <w:sz w:val="24"/>
          <w:szCs w:val="24"/>
        </w:rPr>
        <w:t xml:space="preserve"> Se</w:t>
      </w:r>
      <w:r>
        <w:rPr>
          <w:rFonts w:ascii="Palatino Linotype" w:eastAsiaTheme="minorHAnsi" w:hAnsi="Palatino Linotype" w:cs="Arial"/>
          <w:b/>
          <w:sz w:val="24"/>
          <w:szCs w:val="24"/>
        </w:rPr>
        <w:t xml:space="preserve"> SOBRESEE </w:t>
      </w:r>
      <w:r>
        <w:rPr>
          <w:rFonts w:ascii="Palatino Linotype" w:eastAsiaTheme="minorHAnsi" w:hAnsi="Palatino Linotype" w:cs="Arial"/>
          <w:sz w:val="24"/>
          <w:szCs w:val="24"/>
        </w:rPr>
        <w:t xml:space="preserve">el recurso de revisión número </w:t>
      </w:r>
      <w:r>
        <w:rPr>
          <w:rFonts w:ascii="Palatino Linotype" w:eastAsiaTheme="minorHAnsi" w:hAnsi="Palatino Linotype" w:cs="Arial"/>
          <w:b/>
          <w:sz w:val="24"/>
          <w:szCs w:val="24"/>
        </w:rPr>
        <w:t>02690/INFOEM/IP/RR/2023</w:t>
      </w:r>
      <w:r>
        <w:rPr>
          <w:rFonts w:ascii="Palatino Linotype" w:eastAsiaTheme="minorHAnsi" w:hAnsi="Palatino Linotype" w:cs="Arial"/>
          <w:sz w:val="24"/>
          <w:szCs w:val="24"/>
        </w:rPr>
        <w:t xml:space="preserve">, </w:t>
      </w:r>
      <w:r>
        <w:rPr>
          <w:rFonts w:ascii="Palatino Linotype" w:hAnsi="Palatino Linotype" w:cs="Arial"/>
          <w:sz w:val="24"/>
          <w:szCs w:val="24"/>
        </w:rPr>
        <w:t xml:space="preserve">porque al modificar la respuesta al recurso de revisión quedó sin materia </w:t>
      </w:r>
      <w:r>
        <w:rPr>
          <w:rFonts w:ascii="Palatino Linotype" w:hAnsi="Palatino Linotype" w:cs="Arial"/>
          <w:b/>
          <w:sz w:val="24"/>
          <w:szCs w:val="24"/>
        </w:rPr>
        <w:t>actualizándose la causal de la fracción III del artículo 192</w:t>
      </w:r>
      <w:r>
        <w:rPr>
          <w:rFonts w:ascii="Palatino Linotype" w:hAnsi="Palatino Linotype" w:cs="Arial"/>
          <w:sz w:val="24"/>
          <w:szCs w:val="24"/>
        </w:rPr>
        <w:t xml:space="preserve"> de la Ley de Transparencia </w:t>
      </w:r>
      <w:r>
        <w:rPr>
          <w:rFonts w:ascii="Palatino Linotype" w:hAnsi="Palatino Linotype" w:cs="Arial"/>
          <w:sz w:val="24"/>
          <w:szCs w:val="24"/>
        </w:rPr>
        <w:lastRenderedPageBreak/>
        <w:t>y Acceso a la Información Pública del Estado de México y Municipios,</w:t>
      </w:r>
      <w:r>
        <w:rPr>
          <w:rFonts w:ascii="Palatino Linotype" w:eastAsiaTheme="minorHAnsi" w:hAnsi="Palatino Linotype" w:cs="Arial"/>
          <w:sz w:val="24"/>
          <w:szCs w:val="24"/>
        </w:rPr>
        <w:t xml:space="preserve"> en términos del </w:t>
      </w:r>
      <w:r>
        <w:rPr>
          <w:rFonts w:ascii="Palatino Linotype" w:eastAsiaTheme="minorHAnsi" w:hAnsi="Palatino Linotype" w:cs="Arial"/>
          <w:b/>
          <w:sz w:val="24"/>
          <w:szCs w:val="24"/>
        </w:rPr>
        <w:t>Considerando CUARTO</w:t>
      </w:r>
      <w:r>
        <w:rPr>
          <w:rFonts w:ascii="Palatino Linotype" w:eastAsiaTheme="minorHAnsi" w:hAnsi="Palatino Linotype" w:cs="Arial"/>
          <w:sz w:val="24"/>
          <w:szCs w:val="24"/>
        </w:rPr>
        <w:t xml:space="preserve"> de la presente resolución.</w:t>
      </w:r>
    </w:p>
    <w:p w14:paraId="73DA4630" w14:textId="77777777" w:rsidR="001B55DB" w:rsidRDefault="001B55DB">
      <w:pPr>
        <w:spacing w:after="0" w:line="360" w:lineRule="auto"/>
        <w:jc w:val="both"/>
        <w:rPr>
          <w:rFonts w:ascii="Palatino Linotype" w:eastAsiaTheme="minorHAnsi" w:hAnsi="Palatino Linotype" w:cs="Arial"/>
          <w:szCs w:val="24"/>
        </w:rPr>
      </w:pPr>
    </w:p>
    <w:p w14:paraId="17C38378" w14:textId="77777777" w:rsidR="001B55DB" w:rsidRDefault="006D6396">
      <w:pPr>
        <w:spacing w:after="0" w:line="360" w:lineRule="auto"/>
        <w:jc w:val="both"/>
        <w:rPr>
          <w:rFonts w:ascii="Palatino Linotype" w:eastAsiaTheme="minorHAnsi" w:hAnsi="Palatino Linotype" w:cs="Arial"/>
          <w:sz w:val="24"/>
          <w:szCs w:val="24"/>
        </w:rPr>
      </w:pPr>
      <w:r>
        <w:rPr>
          <w:rFonts w:ascii="Palatino Linotype" w:eastAsiaTheme="minorHAnsi" w:hAnsi="Palatino Linotype" w:cs="Arial"/>
          <w:b/>
          <w:sz w:val="24"/>
          <w:szCs w:val="24"/>
        </w:rPr>
        <w:t>SEGUNDO.</w:t>
      </w:r>
      <w:r>
        <w:rPr>
          <w:rFonts w:ascii="Palatino Linotype" w:eastAsiaTheme="minorHAnsi" w:hAnsi="Palatino Linotype" w:cs="Arial"/>
          <w:sz w:val="24"/>
          <w:szCs w:val="24"/>
        </w:rPr>
        <w:t xml:space="preserve"> </w:t>
      </w:r>
      <w:r>
        <w:rPr>
          <w:rFonts w:ascii="Palatino Linotype" w:eastAsiaTheme="minorHAnsi" w:hAnsi="Palatino Linotype" w:cs="Arial"/>
          <w:b/>
          <w:sz w:val="24"/>
          <w:szCs w:val="24"/>
        </w:rPr>
        <w:t>Notifíquese</w:t>
      </w:r>
      <w:r>
        <w:rPr>
          <w:rFonts w:ascii="Palatino Linotype" w:eastAsiaTheme="minorHAnsi" w:hAnsi="Palatino Linotype" w:cs="Arial"/>
          <w:sz w:val="24"/>
          <w:szCs w:val="24"/>
        </w:rPr>
        <w:t xml:space="preserve"> la presente resolución al Titular de la Unidad de Transparencia del Sujeto Obligado mediante el Sistema de Acceso a la Información Mexiquense (SAIMEX).</w:t>
      </w:r>
    </w:p>
    <w:p w14:paraId="429758F4" w14:textId="77777777" w:rsidR="001B55DB" w:rsidRDefault="001B55DB">
      <w:pPr>
        <w:spacing w:after="0" w:line="360" w:lineRule="auto"/>
        <w:jc w:val="both"/>
        <w:rPr>
          <w:rFonts w:ascii="Palatino Linotype" w:eastAsiaTheme="minorHAnsi" w:hAnsi="Palatino Linotype" w:cs="Arial"/>
          <w:sz w:val="24"/>
          <w:szCs w:val="24"/>
        </w:rPr>
      </w:pPr>
    </w:p>
    <w:p w14:paraId="433C519F" w14:textId="77777777" w:rsidR="001B55DB" w:rsidRDefault="006D6396">
      <w:pPr>
        <w:spacing w:after="0" w:line="360" w:lineRule="auto"/>
        <w:contextualSpacing/>
        <w:jc w:val="both"/>
        <w:rPr>
          <w:rFonts w:ascii="Palatino Linotype" w:eastAsiaTheme="minorHAnsi" w:hAnsi="Palatino Linotype" w:cs="Arial"/>
          <w:sz w:val="24"/>
          <w:szCs w:val="24"/>
        </w:rPr>
      </w:pPr>
      <w:r>
        <w:rPr>
          <w:rFonts w:ascii="Palatino Linotype" w:eastAsiaTheme="minorHAnsi" w:hAnsi="Palatino Linotype" w:cs="Arial"/>
          <w:b/>
          <w:sz w:val="24"/>
          <w:szCs w:val="24"/>
        </w:rPr>
        <w:t xml:space="preserve">TERCERO. </w:t>
      </w:r>
      <w:r>
        <w:rPr>
          <w:rFonts w:ascii="Palatino Linotype" w:hAnsi="Palatino Linotype" w:cs="Arial"/>
          <w:b/>
          <w:sz w:val="24"/>
          <w:szCs w:val="24"/>
          <w:lang w:eastAsia="es-MX"/>
        </w:rPr>
        <w:t>Notifíquese</w:t>
      </w:r>
      <w:r>
        <w:rPr>
          <w:rFonts w:ascii="Palatino Linotype" w:hAnsi="Palatino Linotype" w:cs="Arial"/>
          <w:sz w:val="24"/>
          <w:szCs w:val="24"/>
          <w:lang w:eastAsia="es-MX"/>
        </w:rPr>
        <w:t xml:space="preserve"> al </w:t>
      </w:r>
      <w:r>
        <w:rPr>
          <w:rFonts w:ascii="Palatino Linotype" w:hAnsi="Palatino Linotype" w:cs="Arial"/>
          <w:b/>
          <w:sz w:val="24"/>
          <w:szCs w:val="24"/>
          <w:lang w:eastAsia="es-MX"/>
        </w:rPr>
        <w:t>Recurrente</w:t>
      </w:r>
      <w:r>
        <w:rPr>
          <w:rFonts w:ascii="Palatino Linotype" w:hAnsi="Palatino Linotype" w:cs="Arial"/>
          <w:sz w:val="24"/>
          <w:szCs w:val="24"/>
          <w:lang w:eastAsia="es-MX"/>
        </w:rPr>
        <w:t xml:space="preserve"> la presente resolución </w:t>
      </w:r>
      <w:r>
        <w:rPr>
          <w:rFonts w:ascii="Palatino Linotype" w:eastAsiaTheme="minorHAnsi" w:hAnsi="Palatino Linotype" w:cs="Arial"/>
          <w:sz w:val="24"/>
          <w:szCs w:val="24"/>
        </w:rPr>
        <w:t xml:space="preserve">a través del Sistema de Acceso a la Información Mexiquense </w:t>
      </w:r>
      <w:r>
        <w:rPr>
          <w:rFonts w:ascii="Palatino Linotype" w:eastAsiaTheme="minorHAnsi" w:hAnsi="Palatino Linotype" w:cs="Arial"/>
          <w:b/>
          <w:sz w:val="24"/>
          <w:szCs w:val="24"/>
        </w:rPr>
        <w:t>(SAIMEX)</w:t>
      </w:r>
      <w:r>
        <w:rPr>
          <w:rFonts w:ascii="Palatino Linotype" w:hAnsi="Palatino Linotype" w:cs="Arial"/>
          <w:sz w:val="24"/>
          <w:szCs w:val="24"/>
          <w:lang w:eastAsia="es-MX"/>
        </w:rPr>
        <w:t>,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7C141773" w14:textId="77777777" w:rsidR="001B55DB" w:rsidRDefault="001B55DB">
      <w:pPr>
        <w:spacing w:after="0" w:line="360" w:lineRule="auto"/>
        <w:jc w:val="both"/>
        <w:rPr>
          <w:rFonts w:ascii="Palatino Linotype" w:eastAsia="Palatino Linotype" w:hAnsi="Palatino Linotype" w:cs="Palatino Linotype"/>
          <w:color w:val="000000"/>
          <w:sz w:val="24"/>
          <w:szCs w:val="24"/>
          <w:lang w:eastAsia="es-MX"/>
        </w:rPr>
      </w:pPr>
    </w:p>
    <w:p w14:paraId="29D49D0D" w14:textId="4229D2E2" w:rsidR="001B55DB" w:rsidRPr="006D6396" w:rsidRDefault="006D6396">
      <w:pPr>
        <w:spacing w:after="0" w:line="360" w:lineRule="auto"/>
        <w:contextualSpacing/>
        <w:jc w:val="both"/>
        <w:rPr>
          <w:rFonts w:ascii="Palatino Linotype" w:eastAsia="Palatino Linotype" w:hAnsi="Palatino Linotype" w:cs="Palatino Linotype"/>
          <w:color w:val="000000"/>
          <w:szCs w:val="24"/>
          <w:lang w:eastAsia="es-MX"/>
        </w:rPr>
      </w:pPr>
      <w:r>
        <w:rPr>
          <w:rFonts w:ascii="Palatino Linotype" w:eastAsia="Palatino Linotype" w:hAnsi="Palatino Linotype" w:cs="Palatino Linotype"/>
          <w:color w:val="000000"/>
          <w:sz w:val="24"/>
          <w:szCs w:val="24"/>
          <w:lang w:eastAsia="es-MX"/>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PRIMERA SESIÓN ORDINARIA CELEBRADA EL DIECISIETE DE ENERO DE DOS MIL VEINTICUATRO, ANTE EL SECRETARIO TÉCNICO DEL PLENO, ALEXIS TAPIA RAMÍREZ.-------------------------------------------------------------------------------------------------------------------------------------------------------------------------------------------------------------------</w:t>
      </w:r>
    </w:p>
    <w:p w14:paraId="5C99C261" w14:textId="77777777" w:rsidR="001B55DB" w:rsidRDefault="006D6396">
      <w:pPr>
        <w:spacing w:after="0" w:line="360" w:lineRule="auto"/>
        <w:contextualSpacing/>
        <w:jc w:val="both"/>
        <w:rPr>
          <w:rFonts w:ascii="Palatino Linotype" w:eastAsia="Palatino Linotype" w:hAnsi="Palatino Linotype" w:cs="Palatino Linotype"/>
          <w:color w:val="000000"/>
          <w:sz w:val="20"/>
          <w:szCs w:val="20"/>
          <w:lang w:eastAsia="es-MX"/>
        </w:rPr>
      </w:pPr>
      <w:r>
        <w:rPr>
          <w:rFonts w:ascii="Palatino Linotype" w:eastAsia="Palatino Linotype" w:hAnsi="Palatino Linotype" w:cs="Palatino Linotype"/>
          <w:color w:val="000000"/>
          <w:sz w:val="20"/>
          <w:szCs w:val="20"/>
          <w:lang w:eastAsia="es-MX"/>
        </w:rPr>
        <w:t>JMV/CCR/EJDG</w:t>
      </w:r>
    </w:p>
    <w:p w14:paraId="11C2E818" w14:textId="77777777" w:rsidR="001B55DB" w:rsidRDefault="001B55DB">
      <w:pPr>
        <w:spacing w:before="240" w:line="360" w:lineRule="auto"/>
        <w:jc w:val="both"/>
        <w:rPr>
          <w:rFonts w:ascii="Palatino Linotype" w:hAnsi="Palatino Linotype"/>
          <w:sz w:val="14"/>
          <w:szCs w:val="20"/>
        </w:rPr>
      </w:pPr>
    </w:p>
    <w:sectPr w:rsidR="001B55DB">
      <w:headerReference w:type="default" r:id="rId27"/>
      <w:footerReference w:type="default" r:id="rId28"/>
      <w:headerReference w:type="first" r:id="rId29"/>
      <w:footerReference w:type="first" r:id="rId3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A90D87" w14:textId="77777777" w:rsidR="001B55DB" w:rsidRDefault="006D6396">
      <w:pPr>
        <w:spacing w:line="240" w:lineRule="auto"/>
      </w:pPr>
      <w:r>
        <w:separator/>
      </w:r>
    </w:p>
  </w:endnote>
  <w:endnote w:type="continuationSeparator" w:id="0">
    <w:p w14:paraId="24195CCF" w14:textId="77777777" w:rsidR="001B55DB" w:rsidRDefault="006D63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AutoText"/>
      </w:docPartObj>
    </w:sdtPr>
    <w:sdtEndPr/>
    <w:sdtContent>
      <w:sdt>
        <w:sdtPr>
          <w:id w:val="-1769616900"/>
          <w:docPartObj>
            <w:docPartGallery w:val="AutoText"/>
          </w:docPartObj>
        </w:sdtPr>
        <w:sdtEndPr/>
        <w:sdtContent>
          <w:p w14:paraId="73A456AB" w14:textId="77777777" w:rsidR="001B55DB" w:rsidRDefault="006D6396">
            <w:pPr>
              <w:pStyle w:val="Piedepgina"/>
              <w:jc w:val="right"/>
              <w:rPr>
                <w:rFonts w:ascii="Palatino Linotype" w:hAnsi="Palatino Linotype"/>
                <w:sz w:val="20"/>
              </w:rPr>
            </w:pPr>
            <w:r>
              <w:rPr>
                <w:rFonts w:ascii="Palatino Linotype" w:hAnsi="Palatino Linotype"/>
                <w:sz w:val="20"/>
              </w:rPr>
              <w:t xml:space="preserve">Página </w:t>
            </w:r>
            <w:r>
              <w:rPr>
                <w:rFonts w:ascii="Palatino Linotype" w:hAnsi="Palatino Linotype"/>
                <w:bCs/>
                <w:sz w:val="20"/>
              </w:rPr>
              <w:fldChar w:fldCharType="begin"/>
            </w:r>
            <w:r>
              <w:rPr>
                <w:rFonts w:ascii="Palatino Linotype" w:hAnsi="Palatino Linotype"/>
                <w:bCs/>
                <w:sz w:val="20"/>
              </w:rPr>
              <w:instrText>PAGE  \* Arabic  \* MERGEFORMAT</w:instrText>
            </w:r>
            <w:r>
              <w:rPr>
                <w:rFonts w:ascii="Palatino Linotype" w:hAnsi="Palatino Linotype"/>
                <w:bCs/>
                <w:sz w:val="20"/>
              </w:rPr>
              <w:fldChar w:fldCharType="separate"/>
            </w:r>
            <w:r w:rsidR="007424BC">
              <w:rPr>
                <w:rFonts w:ascii="Palatino Linotype" w:hAnsi="Palatino Linotype"/>
                <w:bCs/>
                <w:noProof/>
                <w:sz w:val="20"/>
              </w:rPr>
              <w:t>2</w:t>
            </w:r>
            <w:r>
              <w:rPr>
                <w:rFonts w:ascii="Palatino Linotype" w:hAnsi="Palatino Linotype"/>
                <w:bCs/>
                <w:sz w:val="20"/>
              </w:rPr>
              <w:fldChar w:fldCharType="end"/>
            </w:r>
            <w:r>
              <w:rPr>
                <w:rFonts w:ascii="Palatino Linotype" w:hAnsi="Palatino Linotype"/>
                <w:sz w:val="20"/>
              </w:rPr>
              <w:t xml:space="preserve"> de </w:t>
            </w:r>
            <w:r>
              <w:rPr>
                <w:rFonts w:ascii="Palatino Linotype" w:hAnsi="Palatino Linotype"/>
                <w:bCs/>
                <w:sz w:val="20"/>
              </w:rPr>
              <w:fldChar w:fldCharType="begin"/>
            </w:r>
            <w:r>
              <w:rPr>
                <w:rFonts w:ascii="Palatino Linotype" w:hAnsi="Palatino Linotype"/>
                <w:bCs/>
                <w:sz w:val="20"/>
              </w:rPr>
              <w:instrText>NUMPAGES  \* Arabic  \* MERGEFORMAT</w:instrText>
            </w:r>
            <w:r>
              <w:rPr>
                <w:rFonts w:ascii="Palatino Linotype" w:hAnsi="Palatino Linotype"/>
                <w:bCs/>
                <w:sz w:val="20"/>
              </w:rPr>
              <w:fldChar w:fldCharType="separate"/>
            </w:r>
            <w:r w:rsidR="007424BC">
              <w:rPr>
                <w:rFonts w:ascii="Palatino Linotype" w:hAnsi="Palatino Linotype"/>
                <w:bCs/>
                <w:noProof/>
                <w:sz w:val="20"/>
              </w:rPr>
              <w:t>40</w:t>
            </w:r>
            <w:r>
              <w:rPr>
                <w:rFonts w:ascii="Palatino Linotype" w:hAnsi="Palatino Linotype"/>
                <w:bCs/>
                <w:sz w:val="20"/>
              </w:rPr>
              <w:fldChar w:fldCharType="end"/>
            </w:r>
          </w:p>
        </w:sdtContent>
      </w:sdt>
    </w:sdtContent>
  </w:sdt>
  <w:p w14:paraId="029DD9E8" w14:textId="77777777" w:rsidR="001B55DB" w:rsidRDefault="001B55D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5D7CE8" w14:textId="77777777" w:rsidR="001B55DB" w:rsidRDefault="006D6396">
    <w:pPr>
      <w:pStyle w:val="Piedepgina"/>
      <w:jc w:val="right"/>
      <w:rPr>
        <w:rFonts w:ascii="Palatino Linotype" w:hAnsi="Palatino Linotype"/>
        <w:sz w:val="20"/>
      </w:rPr>
    </w:pPr>
    <w:r>
      <w:rPr>
        <w:rFonts w:ascii="Palatino Linotype" w:hAnsi="Palatino Linotype"/>
        <w:sz w:val="20"/>
      </w:rPr>
      <w:t xml:space="preserve">Página </w:t>
    </w:r>
    <w:r>
      <w:rPr>
        <w:rFonts w:ascii="Palatino Linotype" w:hAnsi="Palatino Linotype"/>
        <w:bCs/>
        <w:sz w:val="20"/>
      </w:rPr>
      <w:fldChar w:fldCharType="begin"/>
    </w:r>
    <w:r>
      <w:rPr>
        <w:rFonts w:ascii="Palatino Linotype" w:hAnsi="Palatino Linotype"/>
        <w:bCs/>
        <w:sz w:val="20"/>
      </w:rPr>
      <w:instrText>PAGE  \* Arabic  \* MERGEFORMAT</w:instrText>
    </w:r>
    <w:r>
      <w:rPr>
        <w:rFonts w:ascii="Palatino Linotype" w:hAnsi="Palatino Linotype"/>
        <w:bCs/>
        <w:sz w:val="20"/>
      </w:rPr>
      <w:fldChar w:fldCharType="separate"/>
    </w:r>
    <w:r w:rsidR="007424BC">
      <w:rPr>
        <w:rFonts w:ascii="Palatino Linotype" w:hAnsi="Palatino Linotype"/>
        <w:bCs/>
        <w:noProof/>
        <w:sz w:val="20"/>
      </w:rPr>
      <w:t>1</w:t>
    </w:r>
    <w:r>
      <w:rPr>
        <w:rFonts w:ascii="Palatino Linotype" w:hAnsi="Palatino Linotype"/>
        <w:bCs/>
        <w:sz w:val="20"/>
      </w:rPr>
      <w:fldChar w:fldCharType="end"/>
    </w:r>
    <w:r>
      <w:rPr>
        <w:rFonts w:ascii="Palatino Linotype" w:hAnsi="Palatino Linotype"/>
        <w:sz w:val="20"/>
      </w:rPr>
      <w:t xml:space="preserve"> de </w:t>
    </w:r>
    <w:r>
      <w:rPr>
        <w:rFonts w:ascii="Palatino Linotype" w:hAnsi="Palatino Linotype"/>
        <w:bCs/>
        <w:sz w:val="20"/>
      </w:rPr>
      <w:fldChar w:fldCharType="begin"/>
    </w:r>
    <w:r>
      <w:rPr>
        <w:rFonts w:ascii="Palatino Linotype" w:hAnsi="Palatino Linotype"/>
        <w:bCs/>
        <w:sz w:val="20"/>
      </w:rPr>
      <w:instrText>NUMPAGES  \* Arabic  \* MERGEFORMAT</w:instrText>
    </w:r>
    <w:r>
      <w:rPr>
        <w:rFonts w:ascii="Palatino Linotype" w:hAnsi="Palatino Linotype"/>
        <w:bCs/>
        <w:sz w:val="20"/>
      </w:rPr>
      <w:fldChar w:fldCharType="separate"/>
    </w:r>
    <w:r w:rsidR="007424BC">
      <w:rPr>
        <w:rFonts w:ascii="Palatino Linotype" w:hAnsi="Palatino Linotype"/>
        <w:bCs/>
        <w:noProof/>
        <w:sz w:val="20"/>
      </w:rPr>
      <w:t>40</w:t>
    </w:r>
    <w:r>
      <w:rPr>
        <w:rFonts w:ascii="Palatino Linotype" w:hAnsi="Palatino Linotype"/>
        <w:bCs/>
        <w:sz w:val="20"/>
      </w:rPr>
      <w:fldChar w:fldCharType="end"/>
    </w:r>
  </w:p>
  <w:p w14:paraId="018DADB9" w14:textId="77777777" w:rsidR="001B55DB" w:rsidRDefault="001B55D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1D1CA8" w14:textId="77777777" w:rsidR="001B55DB" w:rsidRDefault="006D6396">
      <w:pPr>
        <w:spacing w:after="0"/>
      </w:pPr>
      <w:r>
        <w:separator/>
      </w:r>
    </w:p>
  </w:footnote>
  <w:footnote w:type="continuationSeparator" w:id="0">
    <w:p w14:paraId="07F05519" w14:textId="77777777" w:rsidR="001B55DB" w:rsidRDefault="006D6396">
      <w:pPr>
        <w:spacing w:after="0"/>
      </w:pPr>
      <w:r>
        <w:continuationSeparator/>
      </w:r>
    </w:p>
  </w:footnote>
  <w:footnote w:id="1">
    <w:p w14:paraId="08E6D180" w14:textId="77777777" w:rsidR="001B55DB" w:rsidRDefault="006D6396">
      <w:pPr>
        <w:jc w:val="both"/>
        <w:rPr>
          <w:rFonts w:ascii="Palatino Linotype" w:hAnsi="Palatino Linotype"/>
          <w:b/>
          <w:bCs/>
          <w:i/>
          <w:sz w:val="16"/>
          <w:szCs w:val="16"/>
          <w:lang w:eastAsia="es-MX"/>
        </w:rPr>
      </w:pPr>
      <w:r>
        <w:rPr>
          <w:rStyle w:val="Refdenotaalpie"/>
        </w:rPr>
        <w:footnoteRef/>
      </w:r>
      <w:r>
        <w:t xml:space="preserve"> </w:t>
      </w:r>
      <w:r>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19FFBEDE" w14:textId="77777777" w:rsidR="001B55DB" w:rsidRDefault="006D6396">
      <w:pPr>
        <w:jc w:val="both"/>
        <w:rPr>
          <w:rFonts w:ascii="Palatino Linotype" w:hAnsi="Palatino Linotype"/>
          <w:i/>
          <w:sz w:val="16"/>
          <w:szCs w:val="16"/>
        </w:rPr>
      </w:pPr>
      <w:r>
        <w:rPr>
          <w:rFonts w:ascii="Palatino Linotype" w:hAnsi="Palatino Linotype"/>
          <w:i/>
          <w:sz w:val="16"/>
          <w:szCs w:val="16"/>
        </w:rPr>
        <w:t>Del examen de compatibilidad de los artículos</w:t>
      </w:r>
      <w:r>
        <w:rPr>
          <w:rStyle w:val="apple-converted-space"/>
          <w:rFonts w:ascii="Palatino Linotype" w:hAnsi="Palatino Linotype"/>
          <w:i/>
          <w:sz w:val="16"/>
          <w:szCs w:val="16"/>
        </w:rPr>
        <w:t> </w:t>
      </w:r>
      <w:hyperlink r:id="rId1" w:history="1">
        <w:r>
          <w:rPr>
            <w:rStyle w:val="Hipervnculo"/>
            <w:rFonts w:ascii="Palatino Linotype" w:hAnsi="Palatino Linotype"/>
            <w:i/>
            <w:sz w:val="16"/>
            <w:szCs w:val="16"/>
          </w:rPr>
          <w:t>73 y 74 de la Ley de Amparo</w:t>
        </w:r>
      </w:hyperlink>
      <w:r>
        <w:rPr>
          <w:rStyle w:val="apple-converted-space"/>
          <w:rFonts w:ascii="Palatino Linotype" w:hAnsi="Palatino Linotype"/>
          <w:i/>
          <w:sz w:val="16"/>
          <w:szCs w:val="16"/>
        </w:rPr>
        <w:t> </w:t>
      </w:r>
      <w:r>
        <w:rPr>
          <w:rFonts w:ascii="Palatino Linotype" w:hAnsi="Palatino Linotype"/>
          <w:i/>
          <w:sz w:val="16"/>
          <w:szCs w:val="16"/>
        </w:rPr>
        <w:t>con el artículo</w:t>
      </w:r>
      <w:r>
        <w:rPr>
          <w:rStyle w:val="apple-converted-space"/>
          <w:rFonts w:ascii="Palatino Linotype" w:hAnsi="Palatino Linotype"/>
          <w:i/>
          <w:sz w:val="16"/>
          <w:szCs w:val="16"/>
        </w:rPr>
        <w:t> </w:t>
      </w:r>
      <w:hyperlink r:id="rId2" w:history="1">
        <w:r>
          <w:rPr>
            <w:rStyle w:val="Hipervnculo"/>
            <w:rFonts w:ascii="Palatino Linotype" w:hAnsi="Palatino Linotype"/>
            <w:i/>
            <w:sz w:val="16"/>
            <w:szCs w:val="16"/>
          </w:rPr>
          <w:t>25.1 de la Convención Americana sobre Derechos Humanos</w:t>
        </w:r>
      </w:hyperlink>
      <w:r>
        <w:rPr>
          <w:rStyle w:val="apple-converted-space"/>
          <w:rFonts w:ascii="Palatino Linotype" w:hAnsi="Palatino Linotype"/>
          <w:i/>
          <w:sz w:val="16"/>
          <w:szCs w:val="16"/>
        </w:rPr>
        <w:t> </w:t>
      </w:r>
      <w:r>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034A1A4D" w14:textId="77777777" w:rsidR="001B55DB" w:rsidRDefault="006D6396">
      <w:pPr>
        <w:pStyle w:val="Textonotapie"/>
        <w:jc w:val="both"/>
        <w:rPr>
          <w:rFonts w:ascii="Palatino Linotype" w:hAnsi="Palatino Linotype"/>
          <w:i/>
        </w:rPr>
      </w:pPr>
      <w:r>
        <w:rPr>
          <w:rStyle w:val="Refdenotaalpie"/>
          <w:b/>
        </w:rPr>
        <w:footnoteRef/>
      </w:r>
      <w:r>
        <w:rPr>
          <w:b/>
        </w:rPr>
        <w:t xml:space="preserve"> </w:t>
      </w:r>
      <w:r>
        <w:rPr>
          <w:rFonts w:ascii="Palatino Linotype" w:hAnsi="Palatino Linotype"/>
          <w:b/>
          <w:i/>
        </w:rPr>
        <w:t>Artículo 12.</w:t>
      </w:r>
      <w:r>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14:paraId="4CDFB2AB" w14:textId="77777777" w:rsidR="001B55DB" w:rsidRDefault="006D6396">
      <w:pPr>
        <w:pStyle w:val="Textonotapie"/>
        <w:jc w:val="both"/>
      </w:pPr>
      <w:r>
        <w:rPr>
          <w:rFonts w:ascii="Palatino Linotype" w:hAnsi="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i/>
        </w:rPr>
        <w:c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671"/>
      <w:gridCol w:w="4394"/>
    </w:tblGrid>
    <w:tr w:rsidR="001B55DB" w14:paraId="0F85EB76" w14:textId="77777777">
      <w:trPr>
        <w:trHeight w:val="227"/>
      </w:trPr>
      <w:tc>
        <w:tcPr>
          <w:tcW w:w="5671" w:type="dxa"/>
        </w:tcPr>
        <w:p w14:paraId="2C367222" w14:textId="77777777" w:rsidR="001B55DB" w:rsidRDefault="006D6396">
          <w:pPr>
            <w:spacing w:after="120"/>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tcPr>
        <w:p w14:paraId="3FC54F74" w14:textId="77777777" w:rsidR="001B55DB" w:rsidRDefault="006D6396">
          <w:pPr>
            <w:spacing w:after="120"/>
            <w:ind w:left="-486" w:right="214" w:firstLine="1585"/>
            <w:jc w:val="right"/>
            <w:rPr>
              <w:rFonts w:ascii="Palatino Linotype" w:hAnsi="Palatino Linotype" w:cs="Arial"/>
              <w:szCs w:val="20"/>
            </w:rPr>
          </w:pPr>
          <w:r>
            <w:rPr>
              <w:rFonts w:ascii="Palatino Linotype" w:hAnsi="Palatino Linotype" w:cs="Arial"/>
              <w:bCs/>
              <w:sz w:val="24"/>
              <w:lang w:eastAsia="es-MX"/>
            </w:rPr>
            <w:t>02690/INFOEM/IP/RR/2023</w:t>
          </w:r>
        </w:p>
      </w:tc>
    </w:tr>
    <w:tr w:rsidR="001B55DB" w14:paraId="685D44F8" w14:textId="77777777">
      <w:trPr>
        <w:trHeight w:val="242"/>
      </w:trPr>
      <w:tc>
        <w:tcPr>
          <w:tcW w:w="5671" w:type="dxa"/>
        </w:tcPr>
        <w:p w14:paraId="1FA6CAF0" w14:textId="77777777" w:rsidR="001B55DB" w:rsidRDefault="006D6396">
          <w:pPr>
            <w:spacing w:after="120"/>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tcPr>
        <w:p w14:paraId="5CC40E16" w14:textId="77777777" w:rsidR="001B55DB" w:rsidRDefault="006D6396">
          <w:pPr>
            <w:spacing w:after="120"/>
            <w:ind w:left="-486" w:right="214" w:firstLine="284"/>
            <w:jc w:val="right"/>
            <w:rPr>
              <w:rFonts w:ascii="Palatino Linotype" w:hAnsi="Palatino Linotype" w:cs="Arial"/>
              <w:szCs w:val="20"/>
            </w:rPr>
          </w:pPr>
          <w:r>
            <w:rPr>
              <w:rFonts w:ascii="Palatino Linotype" w:hAnsi="Palatino Linotype" w:cs="Arial"/>
              <w:szCs w:val="20"/>
            </w:rPr>
            <w:t>Poder Legislativo</w:t>
          </w:r>
        </w:p>
      </w:tc>
    </w:tr>
    <w:tr w:rsidR="001B55DB" w14:paraId="15AB0780" w14:textId="77777777">
      <w:trPr>
        <w:trHeight w:val="342"/>
      </w:trPr>
      <w:tc>
        <w:tcPr>
          <w:tcW w:w="5671" w:type="dxa"/>
        </w:tcPr>
        <w:p w14:paraId="5D2BDC46" w14:textId="77777777" w:rsidR="001B55DB" w:rsidRDefault="006D6396">
          <w:pPr>
            <w:tabs>
              <w:tab w:val="left" w:pos="4892"/>
            </w:tabs>
            <w:spacing w:after="120"/>
            <w:ind w:right="204"/>
            <w:jc w:val="right"/>
            <w:rPr>
              <w:rFonts w:ascii="Palatino Linotype" w:hAnsi="Palatino Linotype" w:cs="Arial"/>
              <w:b/>
              <w:szCs w:val="20"/>
            </w:rPr>
          </w:pPr>
          <w:r>
            <w:rPr>
              <w:rFonts w:ascii="Palatino Linotype" w:hAnsi="Palatino Linotype" w:cs="Arial"/>
              <w:b/>
              <w:szCs w:val="20"/>
            </w:rPr>
            <w:t>Comisionado Ponente:</w:t>
          </w:r>
        </w:p>
      </w:tc>
      <w:tc>
        <w:tcPr>
          <w:tcW w:w="4394" w:type="dxa"/>
        </w:tcPr>
        <w:p w14:paraId="76AE3EC5" w14:textId="77777777" w:rsidR="001B55DB" w:rsidRDefault="006D6396">
          <w:pPr>
            <w:spacing w:after="120"/>
            <w:ind w:left="-486" w:right="214" w:firstLine="567"/>
            <w:jc w:val="right"/>
            <w:rPr>
              <w:rFonts w:ascii="Palatino Linotype" w:hAnsi="Palatino Linotype" w:cs="Arial"/>
              <w:szCs w:val="20"/>
            </w:rPr>
          </w:pPr>
          <w:bookmarkStart w:id="2" w:name="_Hlk102155910"/>
          <w:r>
            <w:rPr>
              <w:rFonts w:ascii="Palatino Linotype" w:hAnsi="Palatino Linotype" w:cs="Arial"/>
              <w:szCs w:val="20"/>
            </w:rPr>
            <w:t>José Martínez Vilchis</w:t>
          </w:r>
          <w:bookmarkEnd w:id="2"/>
        </w:p>
      </w:tc>
    </w:tr>
  </w:tbl>
  <w:p w14:paraId="5D4B7DC2" w14:textId="77777777" w:rsidR="001B55DB" w:rsidRDefault="007424BC">
    <w:pPr>
      <w:pStyle w:val="Encabezado"/>
      <w:tabs>
        <w:tab w:val="clear" w:pos="4419"/>
        <w:tab w:val="clear" w:pos="8838"/>
        <w:tab w:val="left" w:pos="6005"/>
      </w:tabs>
    </w:pPr>
    <w:r>
      <w:rPr>
        <w:rFonts w:ascii="Palatino Linotype" w:hAnsi="Palatino Linotype" w:cs="Arial"/>
        <w:b/>
        <w:szCs w:val="20"/>
      </w:rPr>
      <w:pict w14:anchorId="54B5DB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83" type="#_x0000_t75" alt="infoem" style="position:absolute;margin-left:-84.45pt;margin-top:-130.6pt;width:609.4pt;height:793.75pt;z-index:-251656192;mso-position-horizontal-relative:margin;mso-position-vertical-relative:margin;mso-width-relative:page;mso-height-relative:page" o:allowincell="f">
          <v:imagedata r:id="rId1" o:title="infoem"/>
          <w10:wrap anchorx="margin" anchory="margin"/>
        </v:shape>
      </w:pict>
    </w:r>
    <w:r w:rsidR="006D6396">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671"/>
      <w:gridCol w:w="4394"/>
    </w:tblGrid>
    <w:tr w:rsidR="001B55DB" w14:paraId="7FEDEADA" w14:textId="77777777">
      <w:trPr>
        <w:trHeight w:val="227"/>
      </w:trPr>
      <w:tc>
        <w:tcPr>
          <w:tcW w:w="5671" w:type="dxa"/>
        </w:tcPr>
        <w:p w14:paraId="059DFB80" w14:textId="77777777" w:rsidR="001B55DB" w:rsidRDefault="006D6396">
          <w:pPr>
            <w:spacing w:after="120" w:line="240"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tcPr>
        <w:p w14:paraId="18C60657" w14:textId="77777777" w:rsidR="001B55DB" w:rsidRDefault="006D6396">
          <w:pPr>
            <w:spacing w:after="120" w:line="240" w:lineRule="auto"/>
            <w:ind w:left="-486" w:right="214" w:firstLine="1585"/>
            <w:jc w:val="right"/>
            <w:rPr>
              <w:rFonts w:ascii="Palatino Linotype" w:hAnsi="Palatino Linotype" w:cs="Arial"/>
              <w:szCs w:val="20"/>
            </w:rPr>
          </w:pPr>
          <w:r>
            <w:rPr>
              <w:rFonts w:ascii="Palatino Linotype" w:hAnsi="Palatino Linotype" w:cs="Arial"/>
              <w:bCs/>
              <w:sz w:val="24"/>
              <w:lang w:eastAsia="es-MX"/>
            </w:rPr>
            <w:t>02690/INFOEM/IP/RR/2023</w:t>
          </w:r>
        </w:p>
      </w:tc>
    </w:tr>
    <w:tr w:rsidR="001B55DB" w14:paraId="69E82A45" w14:textId="77777777">
      <w:trPr>
        <w:trHeight w:val="242"/>
      </w:trPr>
      <w:tc>
        <w:tcPr>
          <w:tcW w:w="5671" w:type="dxa"/>
        </w:tcPr>
        <w:p w14:paraId="6557B6B0" w14:textId="77777777" w:rsidR="001B55DB" w:rsidRDefault="006D6396">
          <w:pPr>
            <w:spacing w:after="120" w:line="240"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tcPr>
        <w:p w14:paraId="710863C3" w14:textId="77777777" w:rsidR="001B55DB" w:rsidRDefault="006D6396">
          <w:pPr>
            <w:spacing w:after="120" w:line="240" w:lineRule="auto"/>
            <w:ind w:left="-486" w:right="214" w:firstLine="284"/>
            <w:jc w:val="right"/>
            <w:rPr>
              <w:rFonts w:ascii="Palatino Linotype" w:hAnsi="Palatino Linotype" w:cs="Arial"/>
              <w:szCs w:val="20"/>
            </w:rPr>
          </w:pPr>
          <w:r>
            <w:rPr>
              <w:rFonts w:ascii="Palatino Linotype" w:hAnsi="Palatino Linotype" w:cs="Arial"/>
              <w:szCs w:val="20"/>
            </w:rPr>
            <w:t>Poder Legislativo</w:t>
          </w:r>
        </w:p>
      </w:tc>
    </w:tr>
    <w:tr w:rsidR="001B55DB" w14:paraId="48E877FC" w14:textId="77777777">
      <w:trPr>
        <w:trHeight w:val="342"/>
      </w:trPr>
      <w:tc>
        <w:tcPr>
          <w:tcW w:w="5671" w:type="dxa"/>
        </w:tcPr>
        <w:p w14:paraId="0AAA91C8" w14:textId="77777777" w:rsidR="001B55DB" w:rsidRDefault="006D6396">
          <w:pPr>
            <w:tabs>
              <w:tab w:val="left" w:pos="4892"/>
            </w:tabs>
            <w:spacing w:after="120" w:line="240" w:lineRule="auto"/>
            <w:ind w:right="204"/>
            <w:jc w:val="right"/>
            <w:rPr>
              <w:rFonts w:ascii="Palatino Linotype" w:hAnsi="Palatino Linotype" w:cs="Arial"/>
              <w:b/>
              <w:szCs w:val="20"/>
            </w:rPr>
          </w:pPr>
          <w:r>
            <w:rPr>
              <w:rFonts w:ascii="Palatino Linotype" w:hAnsi="Palatino Linotype" w:cs="Arial"/>
              <w:b/>
              <w:szCs w:val="20"/>
            </w:rPr>
            <w:t>Recurrente:</w:t>
          </w:r>
        </w:p>
      </w:tc>
      <w:tc>
        <w:tcPr>
          <w:tcW w:w="4394" w:type="dxa"/>
        </w:tcPr>
        <w:p w14:paraId="4CA74AAC" w14:textId="17881492" w:rsidR="001B55DB" w:rsidRDefault="007424BC">
          <w:pPr>
            <w:spacing w:after="120" w:line="240" w:lineRule="auto"/>
            <w:ind w:left="-486" w:right="214" w:firstLine="567"/>
            <w:jc w:val="right"/>
            <w:rPr>
              <w:rFonts w:ascii="Palatino Linotype" w:hAnsi="Palatino Linotype" w:cs="Arial"/>
            </w:rPr>
          </w:pPr>
          <w:r>
            <w:rPr>
              <w:rFonts w:ascii="Palatino Linotype" w:hAnsi="Palatino Linotype" w:cs="Arial"/>
            </w:rPr>
            <w:t>XXXX</w:t>
          </w:r>
        </w:p>
      </w:tc>
    </w:tr>
    <w:tr w:rsidR="001B55DB" w14:paraId="6FCE633D" w14:textId="77777777">
      <w:trPr>
        <w:trHeight w:val="342"/>
      </w:trPr>
      <w:tc>
        <w:tcPr>
          <w:tcW w:w="5671" w:type="dxa"/>
        </w:tcPr>
        <w:p w14:paraId="194FCDAD" w14:textId="77777777" w:rsidR="001B55DB" w:rsidRDefault="006D6396">
          <w:pPr>
            <w:tabs>
              <w:tab w:val="left" w:pos="4892"/>
            </w:tabs>
            <w:spacing w:after="120" w:line="240"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394" w:type="dxa"/>
        </w:tcPr>
        <w:p w14:paraId="25921222" w14:textId="77777777" w:rsidR="001B55DB" w:rsidRDefault="006D6396">
          <w:pPr>
            <w:spacing w:after="120" w:line="240" w:lineRule="auto"/>
            <w:ind w:left="-486" w:right="214" w:firstLine="567"/>
            <w:jc w:val="right"/>
            <w:rPr>
              <w:rFonts w:ascii="Palatino Linotype" w:hAnsi="Palatino Linotype" w:cs="Arial"/>
              <w:szCs w:val="20"/>
            </w:rPr>
          </w:pPr>
          <w:r>
            <w:rPr>
              <w:rFonts w:ascii="Palatino Linotype" w:hAnsi="Palatino Linotype" w:cs="Arial"/>
              <w:szCs w:val="20"/>
            </w:rPr>
            <w:t>José Martínez Vilchis</w:t>
          </w:r>
        </w:p>
      </w:tc>
    </w:tr>
  </w:tbl>
  <w:p w14:paraId="5BC20089" w14:textId="77777777" w:rsidR="001B55DB" w:rsidRDefault="007424BC">
    <w:pPr>
      <w:pStyle w:val="Encabezado"/>
    </w:pPr>
    <w:r>
      <w:rPr>
        <w:rFonts w:ascii="Palatino Linotype" w:hAnsi="Palatino Linotype" w:cs="Arial"/>
        <w:b/>
        <w:szCs w:val="20"/>
      </w:rPr>
      <w:pict w14:anchorId="5FB048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6" o:spid="_x0000_s20482" type="#_x0000_t75" alt="infoem" style="position:absolute;margin-left:-83.7pt;margin-top:-132.4pt;width:609.4pt;height:793.75pt;z-index:-251657216;mso-position-horizontal-relative:margin;mso-position-vertical-relative:margin;mso-width-relative:page;mso-height-relative:page"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9B5BAF"/>
    <w:multiLevelType w:val="multilevel"/>
    <w:tmpl w:val="179B5BA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2DA962AC"/>
    <w:multiLevelType w:val="multilevel"/>
    <w:tmpl w:val="2DA962AC"/>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30CF2C4D"/>
    <w:multiLevelType w:val="multilevel"/>
    <w:tmpl w:val="30CF2C4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32406E06"/>
    <w:multiLevelType w:val="multilevel"/>
    <w:tmpl w:val="32406E06"/>
    <w:lvl w:ilvl="0">
      <w:start w:val="1"/>
      <w:numFmt w:val="decimal"/>
      <w:lvlText w:val="%1."/>
      <w:lvlJc w:val="left"/>
      <w:pPr>
        <w:ind w:left="2258" w:hanging="720"/>
      </w:pPr>
      <w:rPr>
        <w:rFonts w:hint="default"/>
        <w:b/>
      </w:rPr>
    </w:lvl>
    <w:lvl w:ilvl="1">
      <w:start w:val="1"/>
      <w:numFmt w:val="lowerLetter"/>
      <w:lvlText w:val="%2."/>
      <w:lvlJc w:val="left"/>
      <w:pPr>
        <w:ind w:left="2210" w:hanging="360"/>
      </w:pPr>
    </w:lvl>
    <w:lvl w:ilvl="2">
      <w:start w:val="1"/>
      <w:numFmt w:val="lowerRoman"/>
      <w:lvlText w:val="%3."/>
      <w:lvlJc w:val="right"/>
      <w:pPr>
        <w:ind w:left="2930" w:hanging="180"/>
      </w:pPr>
    </w:lvl>
    <w:lvl w:ilvl="3">
      <w:start w:val="1"/>
      <w:numFmt w:val="decimal"/>
      <w:lvlText w:val="%4."/>
      <w:lvlJc w:val="left"/>
      <w:pPr>
        <w:ind w:left="3650" w:hanging="360"/>
      </w:pPr>
    </w:lvl>
    <w:lvl w:ilvl="4">
      <w:start w:val="1"/>
      <w:numFmt w:val="lowerLetter"/>
      <w:lvlText w:val="%5."/>
      <w:lvlJc w:val="left"/>
      <w:pPr>
        <w:ind w:left="4370" w:hanging="360"/>
      </w:pPr>
    </w:lvl>
    <w:lvl w:ilvl="5">
      <w:start w:val="1"/>
      <w:numFmt w:val="lowerRoman"/>
      <w:lvlText w:val="%6."/>
      <w:lvlJc w:val="right"/>
      <w:pPr>
        <w:ind w:left="5090" w:hanging="180"/>
      </w:pPr>
    </w:lvl>
    <w:lvl w:ilvl="6">
      <w:start w:val="1"/>
      <w:numFmt w:val="decimal"/>
      <w:lvlText w:val="%7."/>
      <w:lvlJc w:val="left"/>
      <w:pPr>
        <w:ind w:left="5810" w:hanging="360"/>
      </w:pPr>
    </w:lvl>
    <w:lvl w:ilvl="7">
      <w:start w:val="1"/>
      <w:numFmt w:val="lowerLetter"/>
      <w:lvlText w:val="%8."/>
      <w:lvlJc w:val="left"/>
      <w:pPr>
        <w:ind w:left="6530" w:hanging="360"/>
      </w:pPr>
    </w:lvl>
    <w:lvl w:ilvl="8">
      <w:start w:val="1"/>
      <w:numFmt w:val="lowerRoman"/>
      <w:lvlText w:val="%9."/>
      <w:lvlJc w:val="right"/>
      <w:pPr>
        <w:ind w:left="7250" w:hanging="180"/>
      </w:pPr>
    </w:lvl>
  </w:abstractNum>
  <w:abstractNum w:abstractNumId="4">
    <w:nsid w:val="373530B1"/>
    <w:multiLevelType w:val="multilevel"/>
    <w:tmpl w:val="373530B1"/>
    <w:lvl w:ilvl="0">
      <w:start w:val="1"/>
      <w:numFmt w:val="upperRoman"/>
      <w:lvlText w:val="%1."/>
      <w:lvlJc w:val="left"/>
      <w:pPr>
        <w:ind w:left="1488" w:hanging="720"/>
      </w:pPr>
      <w:rPr>
        <w:rFonts w:hint="default"/>
        <w:b/>
      </w:rPr>
    </w:lvl>
    <w:lvl w:ilvl="1">
      <w:start w:val="1"/>
      <w:numFmt w:val="lowerLetter"/>
      <w:lvlText w:val="%2."/>
      <w:lvlJc w:val="left"/>
      <w:pPr>
        <w:ind w:left="1848" w:hanging="360"/>
      </w:pPr>
    </w:lvl>
    <w:lvl w:ilvl="2">
      <w:start w:val="1"/>
      <w:numFmt w:val="lowerRoman"/>
      <w:lvlText w:val="%3."/>
      <w:lvlJc w:val="right"/>
      <w:pPr>
        <w:ind w:left="2568" w:hanging="180"/>
      </w:pPr>
    </w:lvl>
    <w:lvl w:ilvl="3">
      <w:start w:val="1"/>
      <w:numFmt w:val="decimal"/>
      <w:lvlText w:val="%4."/>
      <w:lvlJc w:val="left"/>
      <w:pPr>
        <w:ind w:left="3288" w:hanging="360"/>
      </w:pPr>
    </w:lvl>
    <w:lvl w:ilvl="4">
      <w:start w:val="1"/>
      <w:numFmt w:val="lowerLetter"/>
      <w:lvlText w:val="%5."/>
      <w:lvlJc w:val="left"/>
      <w:pPr>
        <w:ind w:left="4008" w:hanging="360"/>
      </w:pPr>
    </w:lvl>
    <w:lvl w:ilvl="5">
      <w:start w:val="1"/>
      <w:numFmt w:val="lowerRoman"/>
      <w:lvlText w:val="%6."/>
      <w:lvlJc w:val="right"/>
      <w:pPr>
        <w:ind w:left="4728" w:hanging="180"/>
      </w:pPr>
    </w:lvl>
    <w:lvl w:ilvl="6">
      <w:start w:val="1"/>
      <w:numFmt w:val="decimal"/>
      <w:lvlText w:val="%7."/>
      <w:lvlJc w:val="left"/>
      <w:pPr>
        <w:ind w:left="5448" w:hanging="360"/>
      </w:pPr>
    </w:lvl>
    <w:lvl w:ilvl="7">
      <w:start w:val="1"/>
      <w:numFmt w:val="lowerLetter"/>
      <w:lvlText w:val="%8."/>
      <w:lvlJc w:val="left"/>
      <w:pPr>
        <w:ind w:left="6168" w:hanging="360"/>
      </w:pPr>
    </w:lvl>
    <w:lvl w:ilvl="8">
      <w:start w:val="1"/>
      <w:numFmt w:val="lowerRoman"/>
      <w:lvlText w:val="%9."/>
      <w:lvlJc w:val="right"/>
      <w:pPr>
        <w:ind w:left="6888" w:hanging="180"/>
      </w:pPr>
    </w:lvl>
  </w:abstractNum>
  <w:abstractNum w:abstractNumId="5">
    <w:nsid w:val="571F19F5"/>
    <w:multiLevelType w:val="multilevel"/>
    <w:tmpl w:val="571F19F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797A193D"/>
    <w:multiLevelType w:val="multilevel"/>
    <w:tmpl w:val="797A193D"/>
    <w:lvl w:ilvl="0">
      <w:start w:val="1"/>
      <w:numFmt w:val="low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7D3E0EBE"/>
    <w:multiLevelType w:val="multilevel"/>
    <w:tmpl w:val="7D3E0EBE"/>
    <w:lvl w:ilvl="0">
      <w:start w:val="1"/>
      <w:numFmt w:val="low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1"/>
  </w:num>
  <w:num w:numId="3">
    <w:abstractNumId w:val="0"/>
  </w:num>
  <w:num w:numId="4">
    <w:abstractNumId w:val="2"/>
  </w:num>
  <w:num w:numId="5">
    <w:abstractNumId w:val="5"/>
  </w:num>
  <w:num w:numId="6">
    <w:abstractNumId w:val="7"/>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characterSpacingControl w:val="doNotCompress"/>
  <w:hdrShapeDefaults>
    <o:shapedefaults v:ext="edit" spidmax="21506"/>
    <o:shapelayout v:ext="edit">
      <o:idmap v:ext="edit" data="20"/>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14"/>
    <w:rsid w:val="00001849"/>
    <w:rsid w:val="000035B9"/>
    <w:rsid w:val="00004473"/>
    <w:rsid w:val="000046FB"/>
    <w:rsid w:val="00005497"/>
    <w:rsid w:val="00007919"/>
    <w:rsid w:val="00007D3D"/>
    <w:rsid w:val="000104F7"/>
    <w:rsid w:val="000108DB"/>
    <w:rsid w:val="00010B26"/>
    <w:rsid w:val="00010E31"/>
    <w:rsid w:val="00011162"/>
    <w:rsid w:val="000122B4"/>
    <w:rsid w:val="000122EA"/>
    <w:rsid w:val="000127D5"/>
    <w:rsid w:val="0001406C"/>
    <w:rsid w:val="00014D5E"/>
    <w:rsid w:val="00015AEF"/>
    <w:rsid w:val="0001676D"/>
    <w:rsid w:val="000168BA"/>
    <w:rsid w:val="00016E9D"/>
    <w:rsid w:val="0001725E"/>
    <w:rsid w:val="00017353"/>
    <w:rsid w:val="000176F8"/>
    <w:rsid w:val="000205EA"/>
    <w:rsid w:val="000225EB"/>
    <w:rsid w:val="000229C8"/>
    <w:rsid w:val="00022CB4"/>
    <w:rsid w:val="00023CA8"/>
    <w:rsid w:val="00023CE4"/>
    <w:rsid w:val="000241E1"/>
    <w:rsid w:val="0002487C"/>
    <w:rsid w:val="000250E7"/>
    <w:rsid w:val="00025104"/>
    <w:rsid w:val="00026F87"/>
    <w:rsid w:val="0002762D"/>
    <w:rsid w:val="000278BD"/>
    <w:rsid w:val="00027ADB"/>
    <w:rsid w:val="0003070B"/>
    <w:rsid w:val="0003124C"/>
    <w:rsid w:val="00031A78"/>
    <w:rsid w:val="00031DF7"/>
    <w:rsid w:val="000326F0"/>
    <w:rsid w:val="000328CC"/>
    <w:rsid w:val="00032985"/>
    <w:rsid w:val="00032DAE"/>
    <w:rsid w:val="00033A0C"/>
    <w:rsid w:val="00033E1A"/>
    <w:rsid w:val="00033FCA"/>
    <w:rsid w:val="00035312"/>
    <w:rsid w:val="000360FD"/>
    <w:rsid w:val="00036DCC"/>
    <w:rsid w:val="000374B7"/>
    <w:rsid w:val="00040D11"/>
    <w:rsid w:val="000426E9"/>
    <w:rsid w:val="000434B2"/>
    <w:rsid w:val="00043A0D"/>
    <w:rsid w:val="00044369"/>
    <w:rsid w:val="0004462C"/>
    <w:rsid w:val="00044D45"/>
    <w:rsid w:val="000465EF"/>
    <w:rsid w:val="00046870"/>
    <w:rsid w:val="00047D12"/>
    <w:rsid w:val="000525D6"/>
    <w:rsid w:val="00052B88"/>
    <w:rsid w:val="000531A9"/>
    <w:rsid w:val="00053514"/>
    <w:rsid w:val="00054FB4"/>
    <w:rsid w:val="00055149"/>
    <w:rsid w:val="0005520E"/>
    <w:rsid w:val="00055594"/>
    <w:rsid w:val="00055698"/>
    <w:rsid w:val="00055744"/>
    <w:rsid w:val="0005692C"/>
    <w:rsid w:val="00056D89"/>
    <w:rsid w:val="00061049"/>
    <w:rsid w:val="00061B86"/>
    <w:rsid w:val="00062E9A"/>
    <w:rsid w:val="0006300D"/>
    <w:rsid w:val="0006317A"/>
    <w:rsid w:val="00063549"/>
    <w:rsid w:val="00063662"/>
    <w:rsid w:val="00064430"/>
    <w:rsid w:val="000648A8"/>
    <w:rsid w:val="00065220"/>
    <w:rsid w:val="000664A5"/>
    <w:rsid w:val="0006665C"/>
    <w:rsid w:val="000672BE"/>
    <w:rsid w:val="0006794C"/>
    <w:rsid w:val="00071A92"/>
    <w:rsid w:val="00072234"/>
    <w:rsid w:val="000725F9"/>
    <w:rsid w:val="00073311"/>
    <w:rsid w:val="00073EDD"/>
    <w:rsid w:val="00074845"/>
    <w:rsid w:val="000764BF"/>
    <w:rsid w:val="0008000B"/>
    <w:rsid w:val="0008117C"/>
    <w:rsid w:val="000813E2"/>
    <w:rsid w:val="00081DAC"/>
    <w:rsid w:val="00083D2E"/>
    <w:rsid w:val="00083D90"/>
    <w:rsid w:val="000848AC"/>
    <w:rsid w:val="00090293"/>
    <w:rsid w:val="00090582"/>
    <w:rsid w:val="0009144C"/>
    <w:rsid w:val="00091652"/>
    <w:rsid w:val="00091919"/>
    <w:rsid w:val="000925AB"/>
    <w:rsid w:val="000925EF"/>
    <w:rsid w:val="0009276D"/>
    <w:rsid w:val="000927BF"/>
    <w:rsid w:val="00093594"/>
    <w:rsid w:val="00093851"/>
    <w:rsid w:val="00094043"/>
    <w:rsid w:val="00094619"/>
    <w:rsid w:val="0009483C"/>
    <w:rsid w:val="00094F79"/>
    <w:rsid w:val="00096A12"/>
    <w:rsid w:val="000A0432"/>
    <w:rsid w:val="000A0CAE"/>
    <w:rsid w:val="000A0EAE"/>
    <w:rsid w:val="000A1C06"/>
    <w:rsid w:val="000A1E35"/>
    <w:rsid w:val="000A2763"/>
    <w:rsid w:val="000A3953"/>
    <w:rsid w:val="000A4444"/>
    <w:rsid w:val="000A4495"/>
    <w:rsid w:val="000A4552"/>
    <w:rsid w:val="000A4623"/>
    <w:rsid w:val="000A4EF0"/>
    <w:rsid w:val="000A571A"/>
    <w:rsid w:val="000A6038"/>
    <w:rsid w:val="000A63F8"/>
    <w:rsid w:val="000B0406"/>
    <w:rsid w:val="000B0794"/>
    <w:rsid w:val="000B14EB"/>
    <w:rsid w:val="000B1C70"/>
    <w:rsid w:val="000B249F"/>
    <w:rsid w:val="000B2630"/>
    <w:rsid w:val="000B2F5E"/>
    <w:rsid w:val="000B3967"/>
    <w:rsid w:val="000B5190"/>
    <w:rsid w:val="000B69D5"/>
    <w:rsid w:val="000B6CFA"/>
    <w:rsid w:val="000C0753"/>
    <w:rsid w:val="000C0F46"/>
    <w:rsid w:val="000C226A"/>
    <w:rsid w:val="000C23BC"/>
    <w:rsid w:val="000C3A6F"/>
    <w:rsid w:val="000C511F"/>
    <w:rsid w:val="000C620D"/>
    <w:rsid w:val="000C6549"/>
    <w:rsid w:val="000D05EB"/>
    <w:rsid w:val="000D096D"/>
    <w:rsid w:val="000D0A65"/>
    <w:rsid w:val="000D172D"/>
    <w:rsid w:val="000D2D00"/>
    <w:rsid w:val="000D2DCA"/>
    <w:rsid w:val="000D3FB5"/>
    <w:rsid w:val="000D419B"/>
    <w:rsid w:val="000D505C"/>
    <w:rsid w:val="000D79B2"/>
    <w:rsid w:val="000D7E22"/>
    <w:rsid w:val="000D7F2B"/>
    <w:rsid w:val="000E0D14"/>
    <w:rsid w:val="000E1094"/>
    <w:rsid w:val="000E16E6"/>
    <w:rsid w:val="000E1D14"/>
    <w:rsid w:val="000E1D57"/>
    <w:rsid w:val="000E283C"/>
    <w:rsid w:val="000E3B63"/>
    <w:rsid w:val="000E4D1D"/>
    <w:rsid w:val="000E5282"/>
    <w:rsid w:val="000E601F"/>
    <w:rsid w:val="000F0118"/>
    <w:rsid w:val="000F148F"/>
    <w:rsid w:val="000F1E30"/>
    <w:rsid w:val="000F24E3"/>
    <w:rsid w:val="000F327A"/>
    <w:rsid w:val="000F3721"/>
    <w:rsid w:val="000F447C"/>
    <w:rsid w:val="00100BA8"/>
    <w:rsid w:val="00101061"/>
    <w:rsid w:val="00101F49"/>
    <w:rsid w:val="00102050"/>
    <w:rsid w:val="00102336"/>
    <w:rsid w:val="0010309D"/>
    <w:rsid w:val="00103C0F"/>
    <w:rsid w:val="001046C7"/>
    <w:rsid w:val="00105201"/>
    <w:rsid w:val="001054C9"/>
    <w:rsid w:val="001059AB"/>
    <w:rsid w:val="00105CA0"/>
    <w:rsid w:val="00105D75"/>
    <w:rsid w:val="0010636E"/>
    <w:rsid w:val="00107399"/>
    <w:rsid w:val="00107FE5"/>
    <w:rsid w:val="00110188"/>
    <w:rsid w:val="00112BF6"/>
    <w:rsid w:val="001140E9"/>
    <w:rsid w:val="001146C3"/>
    <w:rsid w:val="00115058"/>
    <w:rsid w:val="0011612B"/>
    <w:rsid w:val="001168FD"/>
    <w:rsid w:val="001175B6"/>
    <w:rsid w:val="001179E2"/>
    <w:rsid w:val="001213B8"/>
    <w:rsid w:val="00121AD8"/>
    <w:rsid w:val="00121D8A"/>
    <w:rsid w:val="00122AE9"/>
    <w:rsid w:val="00122D33"/>
    <w:rsid w:val="00124027"/>
    <w:rsid w:val="001245EB"/>
    <w:rsid w:val="00124A8E"/>
    <w:rsid w:val="00124FDF"/>
    <w:rsid w:val="00125191"/>
    <w:rsid w:val="00127090"/>
    <w:rsid w:val="001274AE"/>
    <w:rsid w:val="00127EDC"/>
    <w:rsid w:val="00130298"/>
    <w:rsid w:val="00130EAD"/>
    <w:rsid w:val="001314B9"/>
    <w:rsid w:val="00132376"/>
    <w:rsid w:val="001356A1"/>
    <w:rsid w:val="00135A22"/>
    <w:rsid w:val="00135C5A"/>
    <w:rsid w:val="00137C1B"/>
    <w:rsid w:val="00137CB7"/>
    <w:rsid w:val="00141A33"/>
    <w:rsid w:val="00141A5B"/>
    <w:rsid w:val="001429D2"/>
    <w:rsid w:val="00143209"/>
    <w:rsid w:val="0014480A"/>
    <w:rsid w:val="00145732"/>
    <w:rsid w:val="00145770"/>
    <w:rsid w:val="001457AA"/>
    <w:rsid w:val="00145DCC"/>
    <w:rsid w:val="00145EC1"/>
    <w:rsid w:val="001461E1"/>
    <w:rsid w:val="0014757D"/>
    <w:rsid w:val="00150673"/>
    <w:rsid w:val="00152075"/>
    <w:rsid w:val="00152086"/>
    <w:rsid w:val="001526A1"/>
    <w:rsid w:val="00152802"/>
    <w:rsid w:val="00152859"/>
    <w:rsid w:val="00153CA3"/>
    <w:rsid w:val="001544E4"/>
    <w:rsid w:val="00154931"/>
    <w:rsid w:val="00154EAD"/>
    <w:rsid w:val="00155ABF"/>
    <w:rsid w:val="001570FC"/>
    <w:rsid w:val="00157EC4"/>
    <w:rsid w:val="00160590"/>
    <w:rsid w:val="00161485"/>
    <w:rsid w:val="00161AAC"/>
    <w:rsid w:val="00162779"/>
    <w:rsid w:val="00162CBB"/>
    <w:rsid w:val="00163D26"/>
    <w:rsid w:val="001641B7"/>
    <w:rsid w:val="00164834"/>
    <w:rsid w:val="00164C6A"/>
    <w:rsid w:val="00165FC0"/>
    <w:rsid w:val="00166E57"/>
    <w:rsid w:val="001672CC"/>
    <w:rsid w:val="0016776C"/>
    <w:rsid w:val="0017089C"/>
    <w:rsid w:val="00170DC7"/>
    <w:rsid w:val="00171044"/>
    <w:rsid w:val="00171493"/>
    <w:rsid w:val="001725CE"/>
    <w:rsid w:val="00172797"/>
    <w:rsid w:val="00173A17"/>
    <w:rsid w:val="001745DC"/>
    <w:rsid w:val="00175141"/>
    <w:rsid w:val="001755D9"/>
    <w:rsid w:val="00176B57"/>
    <w:rsid w:val="00176E06"/>
    <w:rsid w:val="00176FE3"/>
    <w:rsid w:val="001778C1"/>
    <w:rsid w:val="00177E41"/>
    <w:rsid w:val="001801A8"/>
    <w:rsid w:val="00180D90"/>
    <w:rsid w:val="001825C0"/>
    <w:rsid w:val="00182916"/>
    <w:rsid w:val="00183F42"/>
    <w:rsid w:val="00185636"/>
    <w:rsid w:val="0018595B"/>
    <w:rsid w:val="00185AD8"/>
    <w:rsid w:val="00187D06"/>
    <w:rsid w:val="00190218"/>
    <w:rsid w:val="0019025A"/>
    <w:rsid w:val="00190DF5"/>
    <w:rsid w:val="001917EB"/>
    <w:rsid w:val="00191DDC"/>
    <w:rsid w:val="001922F0"/>
    <w:rsid w:val="00192CA7"/>
    <w:rsid w:val="0019349E"/>
    <w:rsid w:val="001953B2"/>
    <w:rsid w:val="001976E1"/>
    <w:rsid w:val="001A0045"/>
    <w:rsid w:val="001A060F"/>
    <w:rsid w:val="001A09CA"/>
    <w:rsid w:val="001A1E27"/>
    <w:rsid w:val="001A205F"/>
    <w:rsid w:val="001A20F2"/>
    <w:rsid w:val="001A298F"/>
    <w:rsid w:val="001A2CFF"/>
    <w:rsid w:val="001A3FF0"/>
    <w:rsid w:val="001A4D74"/>
    <w:rsid w:val="001A4F0F"/>
    <w:rsid w:val="001A53AA"/>
    <w:rsid w:val="001A5C35"/>
    <w:rsid w:val="001A60A6"/>
    <w:rsid w:val="001A6BE1"/>
    <w:rsid w:val="001A71C8"/>
    <w:rsid w:val="001A7576"/>
    <w:rsid w:val="001B05FB"/>
    <w:rsid w:val="001B0708"/>
    <w:rsid w:val="001B1D8A"/>
    <w:rsid w:val="001B3637"/>
    <w:rsid w:val="001B3DCE"/>
    <w:rsid w:val="001B5588"/>
    <w:rsid w:val="001B55DB"/>
    <w:rsid w:val="001B6B1E"/>
    <w:rsid w:val="001B7300"/>
    <w:rsid w:val="001B7445"/>
    <w:rsid w:val="001B7495"/>
    <w:rsid w:val="001B7A62"/>
    <w:rsid w:val="001C07BA"/>
    <w:rsid w:val="001C0DAA"/>
    <w:rsid w:val="001C150C"/>
    <w:rsid w:val="001C16ED"/>
    <w:rsid w:val="001C2EBC"/>
    <w:rsid w:val="001C37D0"/>
    <w:rsid w:val="001C3F37"/>
    <w:rsid w:val="001C4322"/>
    <w:rsid w:val="001C63FA"/>
    <w:rsid w:val="001C6AC8"/>
    <w:rsid w:val="001C77A7"/>
    <w:rsid w:val="001C7E71"/>
    <w:rsid w:val="001D034A"/>
    <w:rsid w:val="001D0BD2"/>
    <w:rsid w:val="001D1B77"/>
    <w:rsid w:val="001D226D"/>
    <w:rsid w:val="001D2FDA"/>
    <w:rsid w:val="001D3A76"/>
    <w:rsid w:val="001D5071"/>
    <w:rsid w:val="001D50A4"/>
    <w:rsid w:val="001D541A"/>
    <w:rsid w:val="001D5E04"/>
    <w:rsid w:val="001D626F"/>
    <w:rsid w:val="001E3F7D"/>
    <w:rsid w:val="001E4B77"/>
    <w:rsid w:val="001E5028"/>
    <w:rsid w:val="001E57DC"/>
    <w:rsid w:val="001E5C88"/>
    <w:rsid w:val="001E634B"/>
    <w:rsid w:val="001E7325"/>
    <w:rsid w:val="001E76B8"/>
    <w:rsid w:val="001F0995"/>
    <w:rsid w:val="001F14F5"/>
    <w:rsid w:val="001F2BA4"/>
    <w:rsid w:val="001F33CD"/>
    <w:rsid w:val="001F3596"/>
    <w:rsid w:val="001F365A"/>
    <w:rsid w:val="001F3A21"/>
    <w:rsid w:val="001F3B65"/>
    <w:rsid w:val="001F4B8F"/>
    <w:rsid w:val="001F5AFA"/>
    <w:rsid w:val="001F6DB3"/>
    <w:rsid w:val="001F7790"/>
    <w:rsid w:val="002001C5"/>
    <w:rsid w:val="00201EF1"/>
    <w:rsid w:val="00201FE0"/>
    <w:rsid w:val="00202977"/>
    <w:rsid w:val="0020456F"/>
    <w:rsid w:val="002046E0"/>
    <w:rsid w:val="00205295"/>
    <w:rsid w:val="00205C74"/>
    <w:rsid w:val="002117C3"/>
    <w:rsid w:val="0021242D"/>
    <w:rsid w:val="002126A7"/>
    <w:rsid w:val="0021274F"/>
    <w:rsid w:val="0021383F"/>
    <w:rsid w:val="00214417"/>
    <w:rsid w:val="0021497A"/>
    <w:rsid w:val="002167C0"/>
    <w:rsid w:val="00216A9F"/>
    <w:rsid w:val="00216F73"/>
    <w:rsid w:val="00217EAF"/>
    <w:rsid w:val="00217FB3"/>
    <w:rsid w:val="00220890"/>
    <w:rsid w:val="0022193D"/>
    <w:rsid w:val="002225E9"/>
    <w:rsid w:val="00222E94"/>
    <w:rsid w:val="002237C7"/>
    <w:rsid w:val="002266CE"/>
    <w:rsid w:val="00226D02"/>
    <w:rsid w:val="00227ACA"/>
    <w:rsid w:val="00231341"/>
    <w:rsid w:val="00231925"/>
    <w:rsid w:val="00232ED3"/>
    <w:rsid w:val="00234DF9"/>
    <w:rsid w:val="00234E7C"/>
    <w:rsid w:val="00234E7F"/>
    <w:rsid w:val="00236CD2"/>
    <w:rsid w:val="00236E3B"/>
    <w:rsid w:val="00236F76"/>
    <w:rsid w:val="0023707C"/>
    <w:rsid w:val="00237D19"/>
    <w:rsid w:val="0024025D"/>
    <w:rsid w:val="00241420"/>
    <w:rsid w:val="0024185A"/>
    <w:rsid w:val="00241BCD"/>
    <w:rsid w:val="00241C26"/>
    <w:rsid w:val="00243450"/>
    <w:rsid w:val="0024453C"/>
    <w:rsid w:val="0024472B"/>
    <w:rsid w:val="0024635B"/>
    <w:rsid w:val="0024637B"/>
    <w:rsid w:val="002468D4"/>
    <w:rsid w:val="0024698C"/>
    <w:rsid w:val="00246C0D"/>
    <w:rsid w:val="00246E7D"/>
    <w:rsid w:val="0024736A"/>
    <w:rsid w:val="00247426"/>
    <w:rsid w:val="002475C8"/>
    <w:rsid w:val="00247A64"/>
    <w:rsid w:val="00247AA7"/>
    <w:rsid w:val="00247E49"/>
    <w:rsid w:val="00250489"/>
    <w:rsid w:val="002507E9"/>
    <w:rsid w:val="0025121C"/>
    <w:rsid w:val="00251D24"/>
    <w:rsid w:val="0025238C"/>
    <w:rsid w:val="002527EE"/>
    <w:rsid w:val="00252AD8"/>
    <w:rsid w:val="002537B8"/>
    <w:rsid w:val="002539CF"/>
    <w:rsid w:val="00253D9D"/>
    <w:rsid w:val="002540AA"/>
    <w:rsid w:val="00255C14"/>
    <w:rsid w:val="00256D4B"/>
    <w:rsid w:val="00256D9A"/>
    <w:rsid w:val="002570EC"/>
    <w:rsid w:val="00257A88"/>
    <w:rsid w:val="00260768"/>
    <w:rsid w:val="00260A22"/>
    <w:rsid w:val="00260EF6"/>
    <w:rsid w:val="002621CB"/>
    <w:rsid w:val="00263218"/>
    <w:rsid w:val="00263617"/>
    <w:rsid w:val="0026375A"/>
    <w:rsid w:val="00263FFF"/>
    <w:rsid w:val="00264C90"/>
    <w:rsid w:val="00265C42"/>
    <w:rsid w:val="00266C54"/>
    <w:rsid w:val="00267172"/>
    <w:rsid w:val="00267444"/>
    <w:rsid w:val="002677FB"/>
    <w:rsid w:val="00267FD6"/>
    <w:rsid w:val="00270C70"/>
    <w:rsid w:val="0027181F"/>
    <w:rsid w:val="00271DE4"/>
    <w:rsid w:val="00271F42"/>
    <w:rsid w:val="002727AC"/>
    <w:rsid w:val="0027304D"/>
    <w:rsid w:val="002740E0"/>
    <w:rsid w:val="00274137"/>
    <w:rsid w:val="00274147"/>
    <w:rsid w:val="002742B5"/>
    <w:rsid w:val="00274B71"/>
    <w:rsid w:val="00274D10"/>
    <w:rsid w:val="00275251"/>
    <w:rsid w:val="00276034"/>
    <w:rsid w:val="00276EF4"/>
    <w:rsid w:val="0027720C"/>
    <w:rsid w:val="002776EF"/>
    <w:rsid w:val="00277CB9"/>
    <w:rsid w:val="0028034A"/>
    <w:rsid w:val="002805E6"/>
    <w:rsid w:val="00281D24"/>
    <w:rsid w:val="00282741"/>
    <w:rsid w:val="00282984"/>
    <w:rsid w:val="00284A4B"/>
    <w:rsid w:val="0028671D"/>
    <w:rsid w:val="00286E8C"/>
    <w:rsid w:val="00287A17"/>
    <w:rsid w:val="0029052D"/>
    <w:rsid w:val="00290DD7"/>
    <w:rsid w:val="0029141A"/>
    <w:rsid w:val="00291626"/>
    <w:rsid w:val="00292136"/>
    <w:rsid w:val="0029268F"/>
    <w:rsid w:val="00294AC6"/>
    <w:rsid w:val="0029533E"/>
    <w:rsid w:val="002959EF"/>
    <w:rsid w:val="00295A47"/>
    <w:rsid w:val="00295BE8"/>
    <w:rsid w:val="00296627"/>
    <w:rsid w:val="00296816"/>
    <w:rsid w:val="00296CB4"/>
    <w:rsid w:val="0029794D"/>
    <w:rsid w:val="002A1955"/>
    <w:rsid w:val="002A26B8"/>
    <w:rsid w:val="002A2AC3"/>
    <w:rsid w:val="002A2D36"/>
    <w:rsid w:val="002A5832"/>
    <w:rsid w:val="002A613B"/>
    <w:rsid w:val="002A6BCE"/>
    <w:rsid w:val="002A798F"/>
    <w:rsid w:val="002A7C52"/>
    <w:rsid w:val="002B0149"/>
    <w:rsid w:val="002B1018"/>
    <w:rsid w:val="002B3AE0"/>
    <w:rsid w:val="002B42AA"/>
    <w:rsid w:val="002B45D2"/>
    <w:rsid w:val="002B4EBF"/>
    <w:rsid w:val="002B56F6"/>
    <w:rsid w:val="002B613F"/>
    <w:rsid w:val="002B626D"/>
    <w:rsid w:val="002B70F3"/>
    <w:rsid w:val="002B7ED6"/>
    <w:rsid w:val="002C02E6"/>
    <w:rsid w:val="002C08C0"/>
    <w:rsid w:val="002C2B44"/>
    <w:rsid w:val="002C2BB7"/>
    <w:rsid w:val="002C2EBB"/>
    <w:rsid w:val="002C4CF7"/>
    <w:rsid w:val="002C555A"/>
    <w:rsid w:val="002C5EF0"/>
    <w:rsid w:val="002C6122"/>
    <w:rsid w:val="002C65DA"/>
    <w:rsid w:val="002C67F1"/>
    <w:rsid w:val="002C7427"/>
    <w:rsid w:val="002C7524"/>
    <w:rsid w:val="002C7981"/>
    <w:rsid w:val="002C7E55"/>
    <w:rsid w:val="002D0669"/>
    <w:rsid w:val="002D19D6"/>
    <w:rsid w:val="002D1A63"/>
    <w:rsid w:val="002D1ED7"/>
    <w:rsid w:val="002D2A03"/>
    <w:rsid w:val="002D2A33"/>
    <w:rsid w:val="002D2CF7"/>
    <w:rsid w:val="002D3BD2"/>
    <w:rsid w:val="002D4177"/>
    <w:rsid w:val="002D5867"/>
    <w:rsid w:val="002D5B6B"/>
    <w:rsid w:val="002D6BCF"/>
    <w:rsid w:val="002D75BC"/>
    <w:rsid w:val="002D7DDB"/>
    <w:rsid w:val="002E08E5"/>
    <w:rsid w:val="002E1317"/>
    <w:rsid w:val="002E28E7"/>
    <w:rsid w:val="002E43CB"/>
    <w:rsid w:val="002E43FA"/>
    <w:rsid w:val="002E52BF"/>
    <w:rsid w:val="002E55E5"/>
    <w:rsid w:val="002E6122"/>
    <w:rsid w:val="002E6157"/>
    <w:rsid w:val="002E6A47"/>
    <w:rsid w:val="002F07AC"/>
    <w:rsid w:val="002F1F62"/>
    <w:rsid w:val="002F3635"/>
    <w:rsid w:val="002F3ECD"/>
    <w:rsid w:val="002F450A"/>
    <w:rsid w:val="00301738"/>
    <w:rsid w:val="00304CD6"/>
    <w:rsid w:val="00304F9C"/>
    <w:rsid w:val="00305BC1"/>
    <w:rsid w:val="003064C7"/>
    <w:rsid w:val="00306BD4"/>
    <w:rsid w:val="00307BC8"/>
    <w:rsid w:val="003116CC"/>
    <w:rsid w:val="00311872"/>
    <w:rsid w:val="0031263C"/>
    <w:rsid w:val="00312C62"/>
    <w:rsid w:val="00313B2B"/>
    <w:rsid w:val="003147C8"/>
    <w:rsid w:val="00315252"/>
    <w:rsid w:val="00321127"/>
    <w:rsid w:val="00321885"/>
    <w:rsid w:val="003226D7"/>
    <w:rsid w:val="003227E2"/>
    <w:rsid w:val="00323542"/>
    <w:rsid w:val="00323967"/>
    <w:rsid w:val="00323A1D"/>
    <w:rsid w:val="00323AC6"/>
    <w:rsid w:val="0032429F"/>
    <w:rsid w:val="003249B7"/>
    <w:rsid w:val="0032617D"/>
    <w:rsid w:val="00326525"/>
    <w:rsid w:val="00326B25"/>
    <w:rsid w:val="003276E2"/>
    <w:rsid w:val="00331A8E"/>
    <w:rsid w:val="00331AD7"/>
    <w:rsid w:val="00332125"/>
    <w:rsid w:val="00333464"/>
    <w:rsid w:val="00333E4E"/>
    <w:rsid w:val="003343E4"/>
    <w:rsid w:val="0033483F"/>
    <w:rsid w:val="00334A2A"/>
    <w:rsid w:val="003401FE"/>
    <w:rsid w:val="00340233"/>
    <w:rsid w:val="00341442"/>
    <w:rsid w:val="003423F3"/>
    <w:rsid w:val="003424F4"/>
    <w:rsid w:val="00342F5E"/>
    <w:rsid w:val="0034305C"/>
    <w:rsid w:val="00343D4F"/>
    <w:rsid w:val="00344B23"/>
    <w:rsid w:val="00345AF5"/>
    <w:rsid w:val="003467DE"/>
    <w:rsid w:val="003476E2"/>
    <w:rsid w:val="003479CF"/>
    <w:rsid w:val="003501F9"/>
    <w:rsid w:val="00350307"/>
    <w:rsid w:val="0035154E"/>
    <w:rsid w:val="003518DA"/>
    <w:rsid w:val="00352CF4"/>
    <w:rsid w:val="00353207"/>
    <w:rsid w:val="00353384"/>
    <w:rsid w:val="00353FEE"/>
    <w:rsid w:val="00354782"/>
    <w:rsid w:val="00355198"/>
    <w:rsid w:val="003554E2"/>
    <w:rsid w:val="003556FE"/>
    <w:rsid w:val="00355A1A"/>
    <w:rsid w:val="00355C93"/>
    <w:rsid w:val="003574CA"/>
    <w:rsid w:val="0036004D"/>
    <w:rsid w:val="003600C9"/>
    <w:rsid w:val="0036055C"/>
    <w:rsid w:val="0036148E"/>
    <w:rsid w:val="00363018"/>
    <w:rsid w:val="0036314B"/>
    <w:rsid w:val="00363388"/>
    <w:rsid w:val="00363A61"/>
    <w:rsid w:val="00364175"/>
    <w:rsid w:val="003642E6"/>
    <w:rsid w:val="0036453C"/>
    <w:rsid w:val="00364644"/>
    <w:rsid w:val="0037012F"/>
    <w:rsid w:val="0037105E"/>
    <w:rsid w:val="00371488"/>
    <w:rsid w:val="00371A6C"/>
    <w:rsid w:val="003720C4"/>
    <w:rsid w:val="00372149"/>
    <w:rsid w:val="003721E8"/>
    <w:rsid w:val="0037238E"/>
    <w:rsid w:val="00373F6E"/>
    <w:rsid w:val="0037412F"/>
    <w:rsid w:val="003746CE"/>
    <w:rsid w:val="003756CA"/>
    <w:rsid w:val="00376263"/>
    <w:rsid w:val="0037641A"/>
    <w:rsid w:val="00376480"/>
    <w:rsid w:val="003768FF"/>
    <w:rsid w:val="0037694D"/>
    <w:rsid w:val="0037781C"/>
    <w:rsid w:val="00380454"/>
    <w:rsid w:val="003820FC"/>
    <w:rsid w:val="00383010"/>
    <w:rsid w:val="003832A0"/>
    <w:rsid w:val="00383B5C"/>
    <w:rsid w:val="0038665E"/>
    <w:rsid w:val="00387386"/>
    <w:rsid w:val="003900D0"/>
    <w:rsid w:val="0039057C"/>
    <w:rsid w:val="0039096F"/>
    <w:rsid w:val="00391135"/>
    <w:rsid w:val="00392F65"/>
    <w:rsid w:val="003934C5"/>
    <w:rsid w:val="00393680"/>
    <w:rsid w:val="00393B5C"/>
    <w:rsid w:val="00394D98"/>
    <w:rsid w:val="0039548A"/>
    <w:rsid w:val="00395CCD"/>
    <w:rsid w:val="003A016B"/>
    <w:rsid w:val="003A2911"/>
    <w:rsid w:val="003A4778"/>
    <w:rsid w:val="003A4875"/>
    <w:rsid w:val="003A50D8"/>
    <w:rsid w:val="003A586B"/>
    <w:rsid w:val="003A7C3A"/>
    <w:rsid w:val="003A7C4B"/>
    <w:rsid w:val="003B0D81"/>
    <w:rsid w:val="003B12C8"/>
    <w:rsid w:val="003B2B99"/>
    <w:rsid w:val="003B3756"/>
    <w:rsid w:val="003B52F6"/>
    <w:rsid w:val="003B5A10"/>
    <w:rsid w:val="003B70C3"/>
    <w:rsid w:val="003B72A4"/>
    <w:rsid w:val="003B77D8"/>
    <w:rsid w:val="003C04A9"/>
    <w:rsid w:val="003C0D93"/>
    <w:rsid w:val="003C1624"/>
    <w:rsid w:val="003C1711"/>
    <w:rsid w:val="003C1B58"/>
    <w:rsid w:val="003C2943"/>
    <w:rsid w:val="003C327C"/>
    <w:rsid w:val="003C4311"/>
    <w:rsid w:val="003C4B82"/>
    <w:rsid w:val="003C4C92"/>
    <w:rsid w:val="003C4DA2"/>
    <w:rsid w:val="003C608B"/>
    <w:rsid w:val="003C66EE"/>
    <w:rsid w:val="003C6D59"/>
    <w:rsid w:val="003D1912"/>
    <w:rsid w:val="003D1C5D"/>
    <w:rsid w:val="003D23D7"/>
    <w:rsid w:val="003D3C50"/>
    <w:rsid w:val="003D4448"/>
    <w:rsid w:val="003D5057"/>
    <w:rsid w:val="003D505B"/>
    <w:rsid w:val="003D6523"/>
    <w:rsid w:val="003D6732"/>
    <w:rsid w:val="003D6FB4"/>
    <w:rsid w:val="003D7061"/>
    <w:rsid w:val="003D776C"/>
    <w:rsid w:val="003D7B0A"/>
    <w:rsid w:val="003D7EF9"/>
    <w:rsid w:val="003E076B"/>
    <w:rsid w:val="003E0D65"/>
    <w:rsid w:val="003E15C2"/>
    <w:rsid w:val="003E1E14"/>
    <w:rsid w:val="003E2106"/>
    <w:rsid w:val="003E2A29"/>
    <w:rsid w:val="003E396F"/>
    <w:rsid w:val="003E3E7C"/>
    <w:rsid w:val="003E41C3"/>
    <w:rsid w:val="003E61D4"/>
    <w:rsid w:val="003E74CC"/>
    <w:rsid w:val="003E74F3"/>
    <w:rsid w:val="003F13FD"/>
    <w:rsid w:val="003F16F9"/>
    <w:rsid w:val="003F1F6E"/>
    <w:rsid w:val="003F4BC7"/>
    <w:rsid w:val="003F4F16"/>
    <w:rsid w:val="003F6183"/>
    <w:rsid w:val="003F622B"/>
    <w:rsid w:val="003F6292"/>
    <w:rsid w:val="003F650F"/>
    <w:rsid w:val="003F77AD"/>
    <w:rsid w:val="003F7A83"/>
    <w:rsid w:val="0040097A"/>
    <w:rsid w:val="00403BCC"/>
    <w:rsid w:val="00404210"/>
    <w:rsid w:val="00405306"/>
    <w:rsid w:val="00405622"/>
    <w:rsid w:val="00406545"/>
    <w:rsid w:val="00407BB7"/>
    <w:rsid w:val="00407E4D"/>
    <w:rsid w:val="0041067B"/>
    <w:rsid w:val="00411044"/>
    <w:rsid w:val="004125CA"/>
    <w:rsid w:val="00412821"/>
    <w:rsid w:val="004139AE"/>
    <w:rsid w:val="00413DC0"/>
    <w:rsid w:val="0041408B"/>
    <w:rsid w:val="00414452"/>
    <w:rsid w:val="004148CC"/>
    <w:rsid w:val="00415360"/>
    <w:rsid w:val="0041774D"/>
    <w:rsid w:val="004202D3"/>
    <w:rsid w:val="004213A9"/>
    <w:rsid w:val="00423A08"/>
    <w:rsid w:val="00424EB5"/>
    <w:rsid w:val="00425499"/>
    <w:rsid w:val="00425555"/>
    <w:rsid w:val="004256A6"/>
    <w:rsid w:val="00425880"/>
    <w:rsid w:val="00426B4D"/>
    <w:rsid w:val="00426D09"/>
    <w:rsid w:val="00427BB2"/>
    <w:rsid w:val="004304C0"/>
    <w:rsid w:val="00430581"/>
    <w:rsid w:val="004305EB"/>
    <w:rsid w:val="00430E89"/>
    <w:rsid w:val="00431816"/>
    <w:rsid w:val="0043205D"/>
    <w:rsid w:val="00432B19"/>
    <w:rsid w:val="00432DEF"/>
    <w:rsid w:val="00433E1F"/>
    <w:rsid w:val="00434562"/>
    <w:rsid w:val="00435FB3"/>
    <w:rsid w:val="00437CC7"/>
    <w:rsid w:val="00437E89"/>
    <w:rsid w:val="004400CB"/>
    <w:rsid w:val="00440319"/>
    <w:rsid w:val="00440B5C"/>
    <w:rsid w:val="00440BDB"/>
    <w:rsid w:val="00440CD5"/>
    <w:rsid w:val="0044287F"/>
    <w:rsid w:val="00442A70"/>
    <w:rsid w:val="00443D7D"/>
    <w:rsid w:val="00444EB3"/>
    <w:rsid w:val="00444F0A"/>
    <w:rsid w:val="0044514B"/>
    <w:rsid w:val="0044569F"/>
    <w:rsid w:val="00445E9C"/>
    <w:rsid w:val="00446A95"/>
    <w:rsid w:val="00446FB6"/>
    <w:rsid w:val="004474CE"/>
    <w:rsid w:val="00450C46"/>
    <w:rsid w:val="0045187B"/>
    <w:rsid w:val="004519E9"/>
    <w:rsid w:val="0045294C"/>
    <w:rsid w:val="00452F61"/>
    <w:rsid w:val="00453786"/>
    <w:rsid w:val="004538E6"/>
    <w:rsid w:val="00454560"/>
    <w:rsid w:val="004547AB"/>
    <w:rsid w:val="004568B2"/>
    <w:rsid w:val="00457643"/>
    <w:rsid w:val="004619EA"/>
    <w:rsid w:val="00463933"/>
    <w:rsid w:val="00463E3D"/>
    <w:rsid w:val="00464149"/>
    <w:rsid w:val="004655A5"/>
    <w:rsid w:val="00465FA5"/>
    <w:rsid w:val="00466B99"/>
    <w:rsid w:val="004674DB"/>
    <w:rsid w:val="00467A33"/>
    <w:rsid w:val="004708E9"/>
    <w:rsid w:val="00471972"/>
    <w:rsid w:val="00473DCA"/>
    <w:rsid w:val="004760EB"/>
    <w:rsid w:val="00481514"/>
    <w:rsid w:val="00482195"/>
    <w:rsid w:val="00482CC8"/>
    <w:rsid w:val="004835FE"/>
    <w:rsid w:val="00484D63"/>
    <w:rsid w:val="00485C34"/>
    <w:rsid w:val="004862CF"/>
    <w:rsid w:val="004863CC"/>
    <w:rsid w:val="00486910"/>
    <w:rsid w:val="0048766B"/>
    <w:rsid w:val="004878B3"/>
    <w:rsid w:val="004878CB"/>
    <w:rsid w:val="004902E3"/>
    <w:rsid w:val="00491187"/>
    <w:rsid w:val="00491510"/>
    <w:rsid w:val="004918A4"/>
    <w:rsid w:val="004922D6"/>
    <w:rsid w:val="0049234A"/>
    <w:rsid w:val="00492A8F"/>
    <w:rsid w:val="00493C1D"/>
    <w:rsid w:val="00493ECD"/>
    <w:rsid w:val="00494302"/>
    <w:rsid w:val="00494D0C"/>
    <w:rsid w:val="0049529D"/>
    <w:rsid w:val="00495374"/>
    <w:rsid w:val="00495984"/>
    <w:rsid w:val="00497A7E"/>
    <w:rsid w:val="004A13FD"/>
    <w:rsid w:val="004A14A3"/>
    <w:rsid w:val="004A236B"/>
    <w:rsid w:val="004A5218"/>
    <w:rsid w:val="004A5425"/>
    <w:rsid w:val="004A549E"/>
    <w:rsid w:val="004A7970"/>
    <w:rsid w:val="004A7C26"/>
    <w:rsid w:val="004B07A4"/>
    <w:rsid w:val="004B1036"/>
    <w:rsid w:val="004B10DC"/>
    <w:rsid w:val="004B184A"/>
    <w:rsid w:val="004B1A2B"/>
    <w:rsid w:val="004B222E"/>
    <w:rsid w:val="004B25CA"/>
    <w:rsid w:val="004B25EC"/>
    <w:rsid w:val="004B37BA"/>
    <w:rsid w:val="004B4320"/>
    <w:rsid w:val="004B5302"/>
    <w:rsid w:val="004B5407"/>
    <w:rsid w:val="004B6DA5"/>
    <w:rsid w:val="004C0934"/>
    <w:rsid w:val="004C134C"/>
    <w:rsid w:val="004C2767"/>
    <w:rsid w:val="004C2A96"/>
    <w:rsid w:val="004C2DA4"/>
    <w:rsid w:val="004C2FAA"/>
    <w:rsid w:val="004C3970"/>
    <w:rsid w:val="004C3C5D"/>
    <w:rsid w:val="004C432A"/>
    <w:rsid w:val="004C48D7"/>
    <w:rsid w:val="004C54E8"/>
    <w:rsid w:val="004C63AE"/>
    <w:rsid w:val="004C63DD"/>
    <w:rsid w:val="004C750D"/>
    <w:rsid w:val="004C768A"/>
    <w:rsid w:val="004C7BB7"/>
    <w:rsid w:val="004C7EF0"/>
    <w:rsid w:val="004D03DF"/>
    <w:rsid w:val="004D0818"/>
    <w:rsid w:val="004D1D39"/>
    <w:rsid w:val="004D24F7"/>
    <w:rsid w:val="004D3087"/>
    <w:rsid w:val="004D4123"/>
    <w:rsid w:val="004D4883"/>
    <w:rsid w:val="004D6700"/>
    <w:rsid w:val="004D7033"/>
    <w:rsid w:val="004D7E26"/>
    <w:rsid w:val="004E0A13"/>
    <w:rsid w:val="004E1269"/>
    <w:rsid w:val="004E26BE"/>
    <w:rsid w:val="004E300F"/>
    <w:rsid w:val="004E33F1"/>
    <w:rsid w:val="004E3C70"/>
    <w:rsid w:val="004E47A4"/>
    <w:rsid w:val="004E53F0"/>
    <w:rsid w:val="004E608C"/>
    <w:rsid w:val="004E76C2"/>
    <w:rsid w:val="004F1AF6"/>
    <w:rsid w:val="004F2094"/>
    <w:rsid w:val="004F28A7"/>
    <w:rsid w:val="004F33A7"/>
    <w:rsid w:val="004F3C5E"/>
    <w:rsid w:val="004F4BE0"/>
    <w:rsid w:val="004F532B"/>
    <w:rsid w:val="004F5D2C"/>
    <w:rsid w:val="004F7BE9"/>
    <w:rsid w:val="00500108"/>
    <w:rsid w:val="00500B66"/>
    <w:rsid w:val="00500FE2"/>
    <w:rsid w:val="005017EF"/>
    <w:rsid w:val="00501B25"/>
    <w:rsid w:val="00501F44"/>
    <w:rsid w:val="005021D7"/>
    <w:rsid w:val="00503048"/>
    <w:rsid w:val="00503569"/>
    <w:rsid w:val="00503D67"/>
    <w:rsid w:val="00503FB9"/>
    <w:rsid w:val="00504BE4"/>
    <w:rsid w:val="005052D4"/>
    <w:rsid w:val="00505D8F"/>
    <w:rsid w:val="00510B0F"/>
    <w:rsid w:val="00512E74"/>
    <w:rsid w:val="00513A7B"/>
    <w:rsid w:val="00513D2E"/>
    <w:rsid w:val="00514397"/>
    <w:rsid w:val="0051483D"/>
    <w:rsid w:val="00515769"/>
    <w:rsid w:val="00515883"/>
    <w:rsid w:val="00515F9D"/>
    <w:rsid w:val="005165F7"/>
    <w:rsid w:val="00516B20"/>
    <w:rsid w:val="005173CD"/>
    <w:rsid w:val="00517DB6"/>
    <w:rsid w:val="00517F05"/>
    <w:rsid w:val="005210CD"/>
    <w:rsid w:val="005213EC"/>
    <w:rsid w:val="005216A0"/>
    <w:rsid w:val="0052303D"/>
    <w:rsid w:val="005234AB"/>
    <w:rsid w:val="005235CC"/>
    <w:rsid w:val="00523C9F"/>
    <w:rsid w:val="005244B8"/>
    <w:rsid w:val="005254C5"/>
    <w:rsid w:val="00525913"/>
    <w:rsid w:val="00530123"/>
    <w:rsid w:val="00530771"/>
    <w:rsid w:val="00531697"/>
    <w:rsid w:val="0053190D"/>
    <w:rsid w:val="005325E8"/>
    <w:rsid w:val="005353D8"/>
    <w:rsid w:val="00535AED"/>
    <w:rsid w:val="0053606B"/>
    <w:rsid w:val="00536EF4"/>
    <w:rsid w:val="00540872"/>
    <w:rsid w:val="00540B83"/>
    <w:rsid w:val="0054331B"/>
    <w:rsid w:val="00543E5E"/>
    <w:rsid w:val="005440DF"/>
    <w:rsid w:val="005458DE"/>
    <w:rsid w:val="005479B3"/>
    <w:rsid w:val="0055126D"/>
    <w:rsid w:val="00551DEB"/>
    <w:rsid w:val="005533B8"/>
    <w:rsid w:val="00554282"/>
    <w:rsid w:val="005557B9"/>
    <w:rsid w:val="00557720"/>
    <w:rsid w:val="00557A07"/>
    <w:rsid w:val="00560E0C"/>
    <w:rsid w:val="00561348"/>
    <w:rsid w:val="0056161F"/>
    <w:rsid w:val="00561DFF"/>
    <w:rsid w:val="00561EE7"/>
    <w:rsid w:val="00562F16"/>
    <w:rsid w:val="005639B6"/>
    <w:rsid w:val="00564E8C"/>
    <w:rsid w:val="005659D7"/>
    <w:rsid w:val="00566330"/>
    <w:rsid w:val="0056704C"/>
    <w:rsid w:val="005675F7"/>
    <w:rsid w:val="00567C16"/>
    <w:rsid w:val="00570BDD"/>
    <w:rsid w:val="00570DD3"/>
    <w:rsid w:val="00571014"/>
    <w:rsid w:val="005741CD"/>
    <w:rsid w:val="00574340"/>
    <w:rsid w:val="005743EE"/>
    <w:rsid w:val="00574C2A"/>
    <w:rsid w:val="00574C51"/>
    <w:rsid w:val="00574CA8"/>
    <w:rsid w:val="00574EBD"/>
    <w:rsid w:val="00575161"/>
    <w:rsid w:val="00575884"/>
    <w:rsid w:val="005762E2"/>
    <w:rsid w:val="00576D0A"/>
    <w:rsid w:val="00577E42"/>
    <w:rsid w:val="00582883"/>
    <w:rsid w:val="0058295B"/>
    <w:rsid w:val="00582DA2"/>
    <w:rsid w:val="00583E8B"/>
    <w:rsid w:val="00583FE7"/>
    <w:rsid w:val="00584278"/>
    <w:rsid w:val="00584BB6"/>
    <w:rsid w:val="00584BFB"/>
    <w:rsid w:val="00585D98"/>
    <w:rsid w:val="005861D4"/>
    <w:rsid w:val="00586480"/>
    <w:rsid w:val="005864E9"/>
    <w:rsid w:val="005870B4"/>
    <w:rsid w:val="005871F2"/>
    <w:rsid w:val="0058727E"/>
    <w:rsid w:val="005875F4"/>
    <w:rsid w:val="00587DD6"/>
    <w:rsid w:val="00587F9A"/>
    <w:rsid w:val="00590EFA"/>
    <w:rsid w:val="00592372"/>
    <w:rsid w:val="00592A72"/>
    <w:rsid w:val="0059317F"/>
    <w:rsid w:val="0059377F"/>
    <w:rsid w:val="00594932"/>
    <w:rsid w:val="00594CF3"/>
    <w:rsid w:val="0059552B"/>
    <w:rsid w:val="005956D7"/>
    <w:rsid w:val="00597CF3"/>
    <w:rsid w:val="005A0C3A"/>
    <w:rsid w:val="005A1598"/>
    <w:rsid w:val="005A24A4"/>
    <w:rsid w:val="005A2A39"/>
    <w:rsid w:val="005A42BA"/>
    <w:rsid w:val="005A49D5"/>
    <w:rsid w:val="005A64BE"/>
    <w:rsid w:val="005A7566"/>
    <w:rsid w:val="005A7D3E"/>
    <w:rsid w:val="005B2D0B"/>
    <w:rsid w:val="005B2E7D"/>
    <w:rsid w:val="005B3E8D"/>
    <w:rsid w:val="005B5E92"/>
    <w:rsid w:val="005B5F5D"/>
    <w:rsid w:val="005B64EB"/>
    <w:rsid w:val="005B71C4"/>
    <w:rsid w:val="005B7211"/>
    <w:rsid w:val="005B7871"/>
    <w:rsid w:val="005C02D1"/>
    <w:rsid w:val="005C0975"/>
    <w:rsid w:val="005C188B"/>
    <w:rsid w:val="005C1D57"/>
    <w:rsid w:val="005C271B"/>
    <w:rsid w:val="005C3B32"/>
    <w:rsid w:val="005C403F"/>
    <w:rsid w:val="005C44D9"/>
    <w:rsid w:val="005C458E"/>
    <w:rsid w:val="005C5EDB"/>
    <w:rsid w:val="005C6575"/>
    <w:rsid w:val="005C7957"/>
    <w:rsid w:val="005D2099"/>
    <w:rsid w:val="005D3C05"/>
    <w:rsid w:val="005D4036"/>
    <w:rsid w:val="005D4327"/>
    <w:rsid w:val="005D4572"/>
    <w:rsid w:val="005D4723"/>
    <w:rsid w:val="005D7590"/>
    <w:rsid w:val="005D76A8"/>
    <w:rsid w:val="005D77E7"/>
    <w:rsid w:val="005D791B"/>
    <w:rsid w:val="005D7A23"/>
    <w:rsid w:val="005D7F68"/>
    <w:rsid w:val="005E00DF"/>
    <w:rsid w:val="005E206D"/>
    <w:rsid w:val="005E3C4B"/>
    <w:rsid w:val="005E409C"/>
    <w:rsid w:val="005E42E3"/>
    <w:rsid w:val="005E4782"/>
    <w:rsid w:val="005E4BDA"/>
    <w:rsid w:val="005E5F2D"/>
    <w:rsid w:val="005E6530"/>
    <w:rsid w:val="005E6BCA"/>
    <w:rsid w:val="005E710D"/>
    <w:rsid w:val="005E72D0"/>
    <w:rsid w:val="005F0884"/>
    <w:rsid w:val="005F17B3"/>
    <w:rsid w:val="005F32E0"/>
    <w:rsid w:val="005F347D"/>
    <w:rsid w:val="005F390E"/>
    <w:rsid w:val="005F4E4F"/>
    <w:rsid w:val="005F5DEB"/>
    <w:rsid w:val="005F69E6"/>
    <w:rsid w:val="005F7291"/>
    <w:rsid w:val="005F78F4"/>
    <w:rsid w:val="005F7C80"/>
    <w:rsid w:val="0060098A"/>
    <w:rsid w:val="00601109"/>
    <w:rsid w:val="00601BA5"/>
    <w:rsid w:val="006022C6"/>
    <w:rsid w:val="00602AB7"/>
    <w:rsid w:val="00602B1D"/>
    <w:rsid w:val="00603898"/>
    <w:rsid w:val="00603A7C"/>
    <w:rsid w:val="00603AAD"/>
    <w:rsid w:val="006043AE"/>
    <w:rsid w:val="0060549D"/>
    <w:rsid w:val="00606C24"/>
    <w:rsid w:val="00606C40"/>
    <w:rsid w:val="00606CDA"/>
    <w:rsid w:val="00606E98"/>
    <w:rsid w:val="0061076E"/>
    <w:rsid w:val="00611BAF"/>
    <w:rsid w:val="00611F1C"/>
    <w:rsid w:val="00612469"/>
    <w:rsid w:val="0061314F"/>
    <w:rsid w:val="00613F77"/>
    <w:rsid w:val="00615F2C"/>
    <w:rsid w:val="00616402"/>
    <w:rsid w:val="00616834"/>
    <w:rsid w:val="006175E4"/>
    <w:rsid w:val="00617783"/>
    <w:rsid w:val="00617BF5"/>
    <w:rsid w:val="006219E8"/>
    <w:rsid w:val="00622A72"/>
    <w:rsid w:val="00622CB2"/>
    <w:rsid w:val="006231FF"/>
    <w:rsid w:val="00623CF7"/>
    <w:rsid w:val="00623EA0"/>
    <w:rsid w:val="006252E5"/>
    <w:rsid w:val="00625A32"/>
    <w:rsid w:val="00625D72"/>
    <w:rsid w:val="006268F8"/>
    <w:rsid w:val="00627BC4"/>
    <w:rsid w:val="00630096"/>
    <w:rsid w:val="0063039A"/>
    <w:rsid w:val="00630D01"/>
    <w:rsid w:val="00631855"/>
    <w:rsid w:val="00631D27"/>
    <w:rsid w:val="006356A6"/>
    <w:rsid w:val="00635E21"/>
    <w:rsid w:val="00635FC9"/>
    <w:rsid w:val="00640AF3"/>
    <w:rsid w:val="006425DB"/>
    <w:rsid w:val="0064293B"/>
    <w:rsid w:val="00642AEF"/>
    <w:rsid w:val="006433DC"/>
    <w:rsid w:val="00643626"/>
    <w:rsid w:val="00645479"/>
    <w:rsid w:val="00646D4B"/>
    <w:rsid w:val="00646E52"/>
    <w:rsid w:val="006471E2"/>
    <w:rsid w:val="006474F9"/>
    <w:rsid w:val="00650556"/>
    <w:rsid w:val="00650A4F"/>
    <w:rsid w:val="006534DA"/>
    <w:rsid w:val="006540B9"/>
    <w:rsid w:val="00655B55"/>
    <w:rsid w:val="0065659C"/>
    <w:rsid w:val="006571D2"/>
    <w:rsid w:val="00657C23"/>
    <w:rsid w:val="00660EE4"/>
    <w:rsid w:val="00662815"/>
    <w:rsid w:val="0066313C"/>
    <w:rsid w:val="0066335E"/>
    <w:rsid w:val="006644F2"/>
    <w:rsid w:val="00664C2D"/>
    <w:rsid w:val="00664D18"/>
    <w:rsid w:val="006652FC"/>
    <w:rsid w:val="00665593"/>
    <w:rsid w:val="00667BA8"/>
    <w:rsid w:val="00670DF7"/>
    <w:rsid w:val="006711F2"/>
    <w:rsid w:val="00671C54"/>
    <w:rsid w:val="00671EF9"/>
    <w:rsid w:val="00672007"/>
    <w:rsid w:val="00672B41"/>
    <w:rsid w:val="00672FAF"/>
    <w:rsid w:val="0067304C"/>
    <w:rsid w:val="006733D8"/>
    <w:rsid w:val="00674CEC"/>
    <w:rsid w:val="006754FB"/>
    <w:rsid w:val="0067577C"/>
    <w:rsid w:val="006776B7"/>
    <w:rsid w:val="0068020D"/>
    <w:rsid w:val="00682A4C"/>
    <w:rsid w:val="00682E5E"/>
    <w:rsid w:val="00682E91"/>
    <w:rsid w:val="00682FDE"/>
    <w:rsid w:val="00683007"/>
    <w:rsid w:val="00684EED"/>
    <w:rsid w:val="00685199"/>
    <w:rsid w:val="006853A1"/>
    <w:rsid w:val="00685672"/>
    <w:rsid w:val="00685AA2"/>
    <w:rsid w:val="0068617D"/>
    <w:rsid w:val="00687EC2"/>
    <w:rsid w:val="00690E76"/>
    <w:rsid w:val="00692BAA"/>
    <w:rsid w:val="00693442"/>
    <w:rsid w:val="0069355B"/>
    <w:rsid w:val="00693D67"/>
    <w:rsid w:val="006953F1"/>
    <w:rsid w:val="00695B8D"/>
    <w:rsid w:val="00695C64"/>
    <w:rsid w:val="006A07A6"/>
    <w:rsid w:val="006A2D8B"/>
    <w:rsid w:val="006A458E"/>
    <w:rsid w:val="006A5AC2"/>
    <w:rsid w:val="006A6148"/>
    <w:rsid w:val="006A69A8"/>
    <w:rsid w:val="006A6E65"/>
    <w:rsid w:val="006A6EBA"/>
    <w:rsid w:val="006A6F83"/>
    <w:rsid w:val="006A7382"/>
    <w:rsid w:val="006B1B46"/>
    <w:rsid w:val="006B255C"/>
    <w:rsid w:val="006B25C0"/>
    <w:rsid w:val="006B2F3A"/>
    <w:rsid w:val="006B411F"/>
    <w:rsid w:val="006B414E"/>
    <w:rsid w:val="006B5C9A"/>
    <w:rsid w:val="006B5CAC"/>
    <w:rsid w:val="006B61F4"/>
    <w:rsid w:val="006B6D9E"/>
    <w:rsid w:val="006B75EA"/>
    <w:rsid w:val="006C0743"/>
    <w:rsid w:val="006C0E9A"/>
    <w:rsid w:val="006C1997"/>
    <w:rsid w:val="006C1B16"/>
    <w:rsid w:val="006C1C46"/>
    <w:rsid w:val="006C29CD"/>
    <w:rsid w:val="006C35F4"/>
    <w:rsid w:val="006C5012"/>
    <w:rsid w:val="006C7E02"/>
    <w:rsid w:val="006D10AD"/>
    <w:rsid w:val="006D113D"/>
    <w:rsid w:val="006D2AE4"/>
    <w:rsid w:val="006D4126"/>
    <w:rsid w:val="006D5AA8"/>
    <w:rsid w:val="006D5DBB"/>
    <w:rsid w:val="006D6396"/>
    <w:rsid w:val="006D663B"/>
    <w:rsid w:val="006D6FAD"/>
    <w:rsid w:val="006E04E1"/>
    <w:rsid w:val="006E192D"/>
    <w:rsid w:val="006E2907"/>
    <w:rsid w:val="006E2B14"/>
    <w:rsid w:val="006E2CDB"/>
    <w:rsid w:val="006E31CC"/>
    <w:rsid w:val="006E3E3B"/>
    <w:rsid w:val="006E3E41"/>
    <w:rsid w:val="006E47C2"/>
    <w:rsid w:val="006E530F"/>
    <w:rsid w:val="006E5BF5"/>
    <w:rsid w:val="006E5FF5"/>
    <w:rsid w:val="006E68F4"/>
    <w:rsid w:val="006E6B59"/>
    <w:rsid w:val="006F0715"/>
    <w:rsid w:val="006F0DED"/>
    <w:rsid w:val="006F4158"/>
    <w:rsid w:val="006F481E"/>
    <w:rsid w:val="006F49BB"/>
    <w:rsid w:val="006F52AB"/>
    <w:rsid w:val="006F55F3"/>
    <w:rsid w:val="006F58F5"/>
    <w:rsid w:val="006F626C"/>
    <w:rsid w:val="006F62AA"/>
    <w:rsid w:val="006F6A44"/>
    <w:rsid w:val="006F6CD2"/>
    <w:rsid w:val="006F6FF0"/>
    <w:rsid w:val="006F7016"/>
    <w:rsid w:val="006F7A7B"/>
    <w:rsid w:val="006F7B5E"/>
    <w:rsid w:val="007001F9"/>
    <w:rsid w:val="007012D2"/>
    <w:rsid w:val="007033E3"/>
    <w:rsid w:val="007034DE"/>
    <w:rsid w:val="00704962"/>
    <w:rsid w:val="007052CB"/>
    <w:rsid w:val="0070575D"/>
    <w:rsid w:val="0070668B"/>
    <w:rsid w:val="0071083C"/>
    <w:rsid w:val="00710E13"/>
    <w:rsid w:val="00710E33"/>
    <w:rsid w:val="00711111"/>
    <w:rsid w:val="00711386"/>
    <w:rsid w:val="0071149E"/>
    <w:rsid w:val="007141B6"/>
    <w:rsid w:val="00714A96"/>
    <w:rsid w:val="00714F14"/>
    <w:rsid w:val="00714F44"/>
    <w:rsid w:val="0071676F"/>
    <w:rsid w:val="00720C8D"/>
    <w:rsid w:val="00721BC6"/>
    <w:rsid w:val="00721F45"/>
    <w:rsid w:val="00722980"/>
    <w:rsid w:val="00722B70"/>
    <w:rsid w:val="00722D2A"/>
    <w:rsid w:val="007240A8"/>
    <w:rsid w:val="0072428A"/>
    <w:rsid w:val="00724299"/>
    <w:rsid w:val="00725D4D"/>
    <w:rsid w:val="007264B3"/>
    <w:rsid w:val="007271FA"/>
    <w:rsid w:val="0073033E"/>
    <w:rsid w:val="00730A30"/>
    <w:rsid w:val="00731B59"/>
    <w:rsid w:val="00731C61"/>
    <w:rsid w:val="00732D98"/>
    <w:rsid w:val="0073404F"/>
    <w:rsid w:val="00734A8A"/>
    <w:rsid w:val="00734C7A"/>
    <w:rsid w:val="00735C7F"/>
    <w:rsid w:val="00735D54"/>
    <w:rsid w:val="00737458"/>
    <w:rsid w:val="00737795"/>
    <w:rsid w:val="00740A7E"/>
    <w:rsid w:val="0074185C"/>
    <w:rsid w:val="00741F3D"/>
    <w:rsid w:val="007424BC"/>
    <w:rsid w:val="00742C68"/>
    <w:rsid w:val="00743218"/>
    <w:rsid w:val="0074371A"/>
    <w:rsid w:val="00745404"/>
    <w:rsid w:val="007469B9"/>
    <w:rsid w:val="00746BB8"/>
    <w:rsid w:val="0075026B"/>
    <w:rsid w:val="007509F4"/>
    <w:rsid w:val="00753154"/>
    <w:rsid w:val="0075506C"/>
    <w:rsid w:val="007552B0"/>
    <w:rsid w:val="007561F2"/>
    <w:rsid w:val="00756327"/>
    <w:rsid w:val="00756D92"/>
    <w:rsid w:val="007606FD"/>
    <w:rsid w:val="00760B28"/>
    <w:rsid w:val="0076189E"/>
    <w:rsid w:val="00761CE1"/>
    <w:rsid w:val="00763410"/>
    <w:rsid w:val="00763830"/>
    <w:rsid w:val="00764294"/>
    <w:rsid w:val="00764C28"/>
    <w:rsid w:val="007675DB"/>
    <w:rsid w:val="0077008C"/>
    <w:rsid w:val="007703FF"/>
    <w:rsid w:val="007704C0"/>
    <w:rsid w:val="00771211"/>
    <w:rsid w:val="00771668"/>
    <w:rsid w:val="00771A4D"/>
    <w:rsid w:val="007734F0"/>
    <w:rsid w:val="0077376D"/>
    <w:rsid w:val="00774D14"/>
    <w:rsid w:val="007757C1"/>
    <w:rsid w:val="00775CB5"/>
    <w:rsid w:val="007763F3"/>
    <w:rsid w:val="00776A85"/>
    <w:rsid w:val="00776B3D"/>
    <w:rsid w:val="007771B8"/>
    <w:rsid w:val="0077743E"/>
    <w:rsid w:val="00777B7C"/>
    <w:rsid w:val="00780E2E"/>
    <w:rsid w:val="00781EC0"/>
    <w:rsid w:val="0078435F"/>
    <w:rsid w:val="0078453F"/>
    <w:rsid w:val="00784F3B"/>
    <w:rsid w:val="0078631E"/>
    <w:rsid w:val="0078781D"/>
    <w:rsid w:val="00787E79"/>
    <w:rsid w:val="007909A7"/>
    <w:rsid w:val="00791079"/>
    <w:rsid w:val="00791929"/>
    <w:rsid w:val="0079214E"/>
    <w:rsid w:val="00792419"/>
    <w:rsid w:val="00792FAB"/>
    <w:rsid w:val="00793820"/>
    <w:rsid w:val="0079401E"/>
    <w:rsid w:val="00794AC5"/>
    <w:rsid w:val="007954E4"/>
    <w:rsid w:val="00795C2D"/>
    <w:rsid w:val="00795D0D"/>
    <w:rsid w:val="00796B5E"/>
    <w:rsid w:val="00797066"/>
    <w:rsid w:val="007A07B8"/>
    <w:rsid w:val="007A0A64"/>
    <w:rsid w:val="007A0FF6"/>
    <w:rsid w:val="007A1344"/>
    <w:rsid w:val="007A13A5"/>
    <w:rsid w:val="007A265B"/>
    <w:rsid w:val="007A2BE5"/>
    <w:rsid w:val="007A3BCE"/>
    <w:rsid w:val="007A53EE"/>
    <w:rsid w:val="007A6A20"/>
    <w:rsid w:val="007A6A60"/>
    <w:rsid w:val="007A7CF8"/>
    <w:rsid w:val="007B44AF"/>
    <w:rsid w:val="007B4541"/>
    <w:rsid w:val="007B4879"/>
    <w:rsid w:val="007B5322"/>
    <w:rsid w:val="007B5AEC"/>
    <w:rsid w:val="007B5C43"/>
    <w:rsid w:val="007B6770"/>
    <w:rsid w:val="007B7C08"/>
    <w:rsid w:val="007C1C4C"/>
    <w:rsid w:val="007C1D37"/>
    <w:rsid w:val="007C2ABA"/>
    <w:rsid w:val="007C36E8"/>
    <w:rsid w:val="007C4B2C"/>
    <w:rsid w:val="007C579C"/>
    <w:rsid w:val="007C616D"/>
    <w:rsid w:val="007C6257"/>
    <w:rsid w:val="007C793F"/>
    <w:rsid w:val="007C7F83"/>
    <w:rsid w:val="007D0B6C"/>
    <w:rsid w:val="007D0E1E"/>
    <w:rsid w:val="007D5D10"/>
    <w:rsid w:val="007D5DBC"/>
    <w:rsid w:val="007D6D12"/>
    <w:rsid w:val="007E0AAA"/>
    <w:rsid w:val="007E21F7"/>
    <w:rsid w:val="007E3EBB"/>
    <w:rsid w:val="007E643B"/>
    <w:rsid w:val="007E6999"/>
    <w:rsid w:val="007E6A14"/>
    <w:rsid w:val="007F1A04"/>
    <w:rsid w:val="007F210D"/>
    <w:rsid w:val="007F2AC9"/>
    <w:rsid w:val="007F33D9"/>
    <w:rsid w:val="007F3E61"/>
    <w:rsid w:val="007F4C21"/>
    <w:rsid w:val="007F58EF"/>
    <w:rsid w:val="007F7A77"/>
    <w:rsid w:val="00801132"/>
    <w:rsid w:val="00802022"/>
    <w:rsid w:val="00802584"/>
    <w:rsid w:val="008026EF"/>
    <w:rsid w:val="0080519E"/>
    <w:rsid w:val="00805D17"/>
    <w:rsid w:val="00806099"/>
    <w:rsid w:val="008063A3"/>
    <w:rsid w:val="008067B4"/>
    <w:rsid w:val="00807289"/>
    <w:rsid w:val="00807790"/>
    <w:rsid w:val="00807BEE"/>
    <w:rsid w:val="008107D5"/>
    <w:rsid w:val="0081151F"/>
    <w:rsid w:val="00812F4C"/>
    <w:rsid w:val="00813C38"/>
    <w:rsid w:val="00814A5A"/>
    <w:rsid w:val="00815C36"/>
    <w:rsid w:val="00817D87"/>
    <w:rsid w:val="00820AF9"/>
    <w:rsid w:val="00820FFD"/>
    <w:rsid w:val="008217D9"/>
    <w:rsid w:val="00821BE7"/>
    <w:rsid w:val="00821CC5"/>
    <w:rsid w:val="008223B2"/>
    <w:rsid w:val="00823951"/>
    <w:rsid w:val="00823C99"/>
    <w:rsid w:val="00824AEE"/>
    <w:rsid w:val="00824E31"/>
    <w:rsid w:val="008265B5"/>
    <w:rsid w:val="00826CFC"/>
    <w:rsid w:val="00827121"/>
    <w:rsid w:val="00827793"/>
    <w:rsid w:val="00830055"/>
    <w:rsid w:val="008302F9"/>
    <w:rsid w:val="008312FF"/>
    <w:rsid w:val="008314B1"/>
    <w:rsid w:val="00831BD9"/>
    <w:rsid w:val="00831C2C"/>
    <w:rsid w:val="00832F8A"/>
    <w:rsid w:val="00833052"/>
    <w:rsid w:val="008359B7"/>
    <w:rsid w:val="00836F29"/>
    <w:rsid w:val="00837E8B"/>
    <w:rsid w:val="008411FD"/>
    <w:rsid w:val="00842037"/>
    <w:rsid w:val="00842057"/>
    <w:rsid w:val="008437E1"/>
    <w:rsid w:val="00843CDB"/>
    <w:rsid w:val="00844247"/>
    <w:rsid w:val="00844688"/>
    <w:rsid w:val="008447B3"/>
    <w:rsid w:val="008466E4"/>
    <w:rsid w:val="00846A93"/>
    <w:rsid w:val="00847342"/>
    <w:rsid w:val="00847F42"/>
    <w:rsid w:val="0085065C"/>
    <w:rsid w:val="00850888"/>
    <w:rsid w:val="00851006"/>
    <w:rsid w:val="008515A4"/>
    <w:rsid w:val="00851EB5"/>
    <w:rsid w:val="00851FAD"/>
    <w:rsid w:val="00852C67"/>
    <w:rsid w:val="00853371"/>
    <w:rsid w:val="00853389"/>
    <w:rsid w:val="008548F7"/>
    <w:rsid w:val="00854A42"/>
    <w:rsid w:val="008557B3"/>
    <w:rsid w:val="0085599A"/>
    <w:rsid w:val="00856746"/>
    <w:rsid w:val="00856C31"/>
    <w:rsid w:val="00856D4F"/>
    <w:rsid w:val="00857162"/>
    <w:rsid w:val="00857E7C"/>
    <w:rsid w:val="00857F78"/>
    <w:rsid w:val="00860B76"/>
    <w:rsid w:val="00860E62"/>
    <w:rsid w:val="008611A1"/>
    <w:rsid w:val="00862A8F"/>
    <w:rsid w:val="00862AE8"/>
    <w:rsid w:val="00863358"/>
    <w:rsid w:val="00863833"/>
    <w:rsid w:val="00864C96"/>
    <w:rsid w:val="00864FCF"/>
    <w:rsid w:val="00865EE3"/>
    <w:rsid w:val="008660F8"/>
    <w:rsid w:val="00866FD2"/>
    <w:rsid w:val="008675D6"/>
    <w:rsid w:val="008705A1"/>
    <w:rsid w:val="00870FBD"/>
    <w:rsid w:val="008730CC"/>
    <w:rsid w:val="0087406C"/>
    <w:rsid w:val="00874736"/>
    <w:rsid w:val="00875C70"/>
    <w:rsid w:val="008765A9"/>
    <w:rsid w:val="0087680D"/>
    <w:rsid w:val="00876F59"/>
    <w:rsid w:val="00877602"/>
    <w:rsid w:val="0087774D"/>
    <w:rsid w:val="00881122"/>
    <w:rsid w:val="008815E7"/>
    <w:rsid w:val="00881C57"/>
    <w:rsid w:val="0088218E"/>
    <w:rsid w:val="0088280F"/>
    <w:rsid w:val="00883820"/>
    <w:rsid w:val="008848D7"/>
    <w:rsid w:val="00887CAA"/>
    <w:rsid w:val="008920B3"/>
    <w:rsid w:val="0089238A"/>
    <w:rsid w:val="00892FD8"/>
    <w:rsid w:val="008939B2"/>
    <w:rsid w:val="0089479B"/>
    <w:rsid w:val="008958C8"/>
    <w:rsid w:val="00896525"/>
    <w:rsid w:val="008A19C2"/>
    <w:rsid w:val="008A279C"/>
    <w:rsid w:val="008A4A0C"/>
    <w:rsid w:val="008A5D92"/>
    <w:rsid w:val="008A6BBD"/>
    <w:rsid w:val="008A733D"/>
    <w:rsid w:val="008A7CC7"/>
    <w:rsid w:val="008B1BB2"/>
    <w:rsid w:val="008B251D"/>
    <w:rsid w:val="008B285C"/>
    <w:rsid w:val="008B37D7"/>
    <w:rsid w:val="008B396E"/>
    <w:rsid w:val="008B48BD"/>
    <w:rsid w:val="008B6600"/>
    <w:rsid w:val="008B6CBC"/>
    <w:rsid w:val="008B6E20"/>
    <w:rsid w:val="008B7560"/>
    <w:rsid w:val="008B7C54"/>
    <w:rsid w:val="008B7E4C"/>
    <w:rsid w:val="008C07D2"/>
    <w:rsid w:val="008C0CCD"/>
    <w:rsid w:val="008C195E"/>
    <w:rsid w:val="008C1C3B"/>
    <w:rsid w:val="008C2ECF"/>
    <w:rsid w:val="008C3796"/>
    <w:rsid w:val="008C3C2A"/>
    <w:rsid w:val="008C4A1E"/>
    <w:rsid w:val="008C52FE"/>
    <w:rsid w:val="008C5A08"/>
    <w:rsid w:val="008C5AD6"/>
    <w:rsid w:val="008C5D59"/>
    <w:rsid w:val="008C61CE"/>
    <w:rsid w:val="008C6C10"/>
    <w:rsid w:val="008C6D22"/>
    <w:rsid w:val="008C75E4"/>
    <w:rsid w:val="008C77BD"/>
    <w:rsid w:val="008C789E"/>
    <w:rsid w:val="008C7BB2"/>
    <w:rsid w:val="008C7CD7"/>
    <w:rsid w:val="008D0C6C"/>
    <w:rsid w:val="008D0D8C"/>
    <w:rsid w:val="008D0DE8"/>
    <w:rsid w:val="008D1EEA"/>
    <w:rsid w:val="008D3031"/>
    <w:rsid w:val="008D4238"/>
    <w:rsid w:val="008D4DCF"/>
    <w:rsid w:val="008D5026"/>
    <w:rsid w:val="008D683C"/>
    <w:rsid w:val="008D6A69"/>
    <w:rsid w:val="008E0242"/>
    <w:rsid w:val="008E0ACB"/>
    <w:rsid w:val="008E1466"/>
    <w:rsid w:val="008E1DF1"/>
    <w:rsid w:val="008E290D"/>
    <w:rsid w:val="008E3157"/>
    <w:rsid w:val="008E3372"/>
    <w:rsid w:val="008E3397"/>
    <w:rsid w:val="008E39AF"/>
    <w:rsid w:val="008E40FF"/>
    <w:rsid w:val="008E433F"/>
    <w:rsid w:val="008E496B"/>
    <w:rsid w:val="008E6BC4"/>
    <w:rsid w:val="008E6E5C"/>
    <w:rsid w:val="008E70FF"/>
    <w:rsid w:val="008E7FB7"/>
    <w:rsid w:val="008F1E99"/>
    <w:rsid w:val="008F2D95"/>
    <w:rsid w:val="008F2EF5"/>
    <w:rsid w:val="008F3348"/>
    <w:rsid w:val="008F3A41"/>
    <w:rsid w:val="008F5341"/>
    <w:rsid w:val="008F559A"/>
    <w:rsid w:val="008F5E77"/>
    <w:rsid w:val="008F6478"/>
    <w:rsid w:val="008F694E"/>
    <w:rsid w:val="0090095F"/>
    <w:rsid w:val="0090132F"/>
    <w:rsid w:val="0090155F"/>
    <w:rsid w:val="009016A6"/>
    <w:rsid w:val="009018A6"/>
    <w:rsid w:val="009021FC"/>
    <w:rsid w:val="00902292"/>
    <w:rsid w:val="00902DAB"/>
    <w:rsid w:val="00902F56"/>
    <w:rsid w:val="00902F86"/>
    <w:rsid w:val="00905F50"/>
    <w:rsid w:val="0090649E"/>
    <w:rsid w:val="00906704"/>
    <w:rsid w:val="00907159"/>
    <w:rsid w:val="00907D37"/>
    <w:rsid w:val="00907DF1"/>
    <w:rsid w:val="0091026C"/>
    <w:rsid w:val="00910366"/>
    <w:rsid w:val="0091042A"/>
    <w:rsid w:val="00910619"/>
    <w:rsid w:val="00910690"/>
    <w:rsid w:val="009109C2"/>
    <w:rsid w:val="00911154"/>
    <w:rsid w:val="00911891"/>
    <w:rsid w:val="00911A70"/>
    <w:rsid w:val="00912407"/>
    <w:rsid w:val="0091295E"/>
    <w:rsid w:val="00913085"/>
    <w:rsid w:val="00913257"/>
    <w:rsid w:val="00915001"/>
    <w:rsid w:val="00915DBA"/>
    <w:rsid w:val="00916417"/>
    <w:rsid w:val="009164D9"/>
    <w:rsid w:val="00917A4F"/>
    <w:rsid w:val="00920337"/>
    <w:rsid w:val="00920BD4"/>
    <w:rsid w:val="00920CAC"/>
    <w:rsid w:val="009211C0"/>
    <w:rsid w:val="00921804"/>
    <w:rsid w:val="00922876"/>
    <w:rsid w:val="009228A1"/>
    <w:rsid w:val="00922B95"/>
    <w:rsid w:val="0092361B"/>
    <w:rsid w:val="00923873"/>
    <w:rsid w:val="009253A2"/>
    <w:rsid w:val="009254DE"/>
    <w:rsid w:val="009271D3"/>
    <w:rsid w:val="009275EB"/>
    <w:rsid w:val="00927A11"/>
    <w:rsid w:val="0093039D"/>
    <w:rsid w:val="00930E82"/>
    <w:rsid w:val="0093137A"/>
    <w:rsid w:val="00931653"/>
    <w:rsid w:val="00931B3E"/>
    <w:rsid w:val="00931EB8"/>
    <w:rsid w:val="00932061"/>
    <w:rsid w:val="0093246C"/>
    <w:rsid w:val="00932FA6"/>
    <w:rsid w:val="00933E21"/>
    <w:rsid w:val="00933FB9"/>
    <w:rsid w:val="009351ED"/>
    <w:rsid w:val="00935851"/>
    <w:rsid w:val="00935E0D"/>
    <w:rsid w:val="009375A5"/>
    <w:rsid w:val="0093784B"/>
    <w:rsid w:val="009379C6"/>
    <w:rsid w:val="009400F4"/>
    <w:rsid w:val="00940600"/>
    <w:rsid w:val="00940D5F"/>
    <w:rsid w:val="009412D4"/>
    <w:rsid w:val="00942A6A"/>
    <w:rsid w:val="00942CA4"/>
    <w:rsid w:val="00943AD7"/>
    <w:rsid w:val="00943C79"/>
    <w:rsid w:val="00944215"/>
    <w:rsid w:val="00944A00"/>
    <w:rsid w:val="009450A8"/>
    <w:rsid w:val="00945332"/>
    <w:rsid w:val="009477CA"/>
    <w:rsid w:val="00950417"/>
    <w:rsid w:val="009505F1"/>
    <w:rsid w:val="009507D7"/>
    <w:rsid w:val="009514A6"/>
    <w:rsid w:val="00951570"/>
    <w:rsid w:val="00953A1F"/>
    <w:rsid w:val="00953A2E"/>
    <w:rsid w:val="009541AB"/>
    <w:rsid w:val="00954597"/>
    <w:rsid w:val="009549A5"/>
    <w:rsid w:val="009573FA"/>
    <w:rsid w:val="00957F94"/>
    <w:rsid w:val="009609EC"/>
    <w:rsid w:val="00960D45"/>
    <w:rsid w:val="00961336"/>
    <w:rsid w:val="00961482"/>
    <w:rsid w:val="00961728"/>
    <w:rsid w:val="009624B5"/>
    <w:rsid w:val="00963921"/>
    <w:rsid w:val="009639B6"/>
    <w:rsid w:val="00964140"/>
    <w:rsid w:val="00964569"/>
    <w:rsid w:val="00965227"/>
    <w:rsid w:val="0096678A"/>
    <w:rsid w:val="009675A5"/>
    <w:rsid w:val="00967809"/>
    <w:rsid w:val="00972816"/>
    <w:rsid w:val="00972967"/>
    <w:rsid w:val="00972F85"/>
    <w:rsid w:val="00973EC9"/>
    <w:rsid w:val="009745C2"/>
    <w:rsid w:val="009754A4"/>
    <w:rsid w:val="0097655D"/>
    <w:rsid w:val="00976AB7"/>
    <w:rsid w:val="009773BD"/>
    <w:rsid w:val="009779E5"/>
    <w:rsid w:val="009816C8"/>
    <w:rsid w:val="0098178F"/>
    <w:rsid w:val="00981817"/>
    <w:rsid w:val="00982CAE"/>
    <w:rsid w:val="009833D8"/>
    <w:rsid w:val="00983EFD"/>
    <w:rsid w:val="00986448"/>
    <w:rsid w:val="00987DE8"/>
    <w:rsid w:val="0099066D"/>
    <w:rsid w:val="00990DFB"/>
    <w:rsid w:val="00991429"/>
    <w:rsid w:val="00991904"/>
    <w:rsid w:val="00992405"/>
    <w:rsid w:val="00992488"/>
    <w:rsid w:val="00994337"/>
    <w:rsid w:val="00997018"/>
    <w:rsid w:val="009975A1"/>
    <w:rsid w:val="00997B79"/>
    <w:rsid w:val="009A11E3"/>
    <w:rsid w:val="009A2161"/>
    <w:rsid w:val="009A2F81"/>
    <w:rsid w:val="009A393E"/>
    <w:rsid w:val="009A4E8C"/>
    <w:rsid w:val="009A5286"/>
    <w:rsid w:val="009A5D49"/>
    <w:rsid w:val="009A69A1"/>
    <w:rsid w:val="009A714C"/>
    <w:rsid w:val="009A7777"/>
    <w:rsid w:val="009B0F24"/>
    <w:rsid w:val="009B10F4"/>
    <w:rsid w:val="009B1811"/>
    <w:rsid w:val="009B1D7F"/>
    <w:rsid w:val="009B2AB2"/>
    <w:rsid w:val="009B30DA"/>
    <w:rsid w:val="009B39CF"/>
    <w:rsid w:val="009B3F97"/>
    <w:rsid w:val="009B5FDC"/>
    <w:rsid w:val="009B686B"/>
    <w:rsid w:val="009B6D99"/>
    <w:rsid w:val="009B78A9"/>
    <w:rsid w:val="009C085F"/>
    <w:rsid w:val="009C12E4"/>
    <w:rsid w:val="009C1396"/>
    <w:rsid w:val="009C2A8F"/>
    <w:rsid w:val="009C3342"/>
    <w:rsid w:val="009C468E"/>
    <w:rsid w:val="009C4D0A"/>
    <w:rsid w:val="009C4D0F"/>
    <w:rsid w:val="009C7294"/>
    <w:rsid w:val="009C75BD"/>
    <w:rsid w:val="009C7B6F"/>
    <w:rsid w:val="009C7FB4"/>
    <w:rsid w:val="009D066D"/>
    <w:rsid w:val="009D07BC"/>
    <w:rsid w:val="009D15BD"/>
    <w:rsid w:val="009D2AFA"/>
    <w:rsid w:val="009D2F40"/>
    <w:rsid w:val="009D3BDC"/>
    <w:rsid w:val="009D4079"/>
    <w:rsid w:val="009D4342"/>
    <w:rsid w:val="009D44B8"/>
    <w:rsid w:val="009D565F"/>
    <w:rsid w:val="009D7800"/>
    <w:rsid w:val="009E031A"/>
    <w:rsid w:val="009E03FE"/>
    <w:rsid w:val="009E127A"/>
    <w:rsid w:val="009E3937"/>
    <w:rsid w:val="009E4BBB"/>
    <w:rsid w:val="009F0920"/>
    <w:rsid w:val="009F0D2E"/>
    <w:rsid w:val="009F2D46"/>
    <w:rsid w:val="009F33BA"/>
    <w:rsid w:val="009F3F85"/>
    <w:rsid w:val="009F5648"/>
    <w:rsid w:val="009F5C70"/>
    <w:rsid w:val="009F60B0"/>
    <w:rsid w:val="009F6F65"/>
    <w:rsid w:val="009F7067"/>
    <w:rsid w:val="00A00432"/>
    <w:rsid w:val="00A00BBC"/>
    <w:rsid w:val="00A02747"/>
    <w:rsid w:val="00A03323"/>
    <w:rsid w:val="00A035A1"/>
    <w:rsid w:val="00A038B8"/>
    <w:rsid w:val="00A04DD8"/>
    <w:rsid w:val="00A0513A"/>
    <w:rsid w:val="00A05CFB"/>
    <w:rsid w:val="00A074B7"/>
    <w:rsid w:val="00A12093"/>
    <w:rsid w:val="00A1299F"/>
    <w:rsid w:val="00A1477F"/>
    <w:rsid w:val="00A14ED6"/>
    <w:rsid w:val="00A1530E"/>
    <w:rsid w:val="00A157CF"/>
    <w:rsid w:val="00A168E6"/>
    <w:rsid w:val="00A17375"/>
    <w:rsid w:val="00A174EB"/>
    <w:rsid w:val="00A17DC4"/>
    <w:rsid w:val="00A23357"/>
    <w:rsid w:val="00A23767"/>
    <w:rsid w:val="00A23978"/>
    <w:rsid w:val="00A23FA8"/>
    <w:rsid w:val="00A24B1F"/>
    <w:rsid w:val="00A25680"/>
    <w:rsid w:val="00A25B0F"/>
    <w:rsid w:val="00A2642E"/>
    <w:rsid w:val="00A26E05"/>
    <w:rsid w:val="00A272C5"/>
    <w:rsid w:val="00A30DFB"/>
    <w:rsid w:val="00A31B6B"/>
    <w:rsid w:val="00A31FD1"/>
    <w:rsid w:val="00A325A7"/>
    <w:rsid w:val="00A32806"/>
    <w:rsid w:val="00A32A28"/>
    <w:rsid w:val="00A33C9F"/>
    <w:rsid w:val="00A36637"/>
    <w:rsid w:val="00A36915"/>
    <w:rsid w:val="00A369C6"/>
    <w:rsid w:val="00A370BD"/>
    <w:rsid w:val="00A40073"/>
    <w:rsid w:val="00A4009B"/>
    <w:rsid w:val="00A40372"/>
    <w:rsid w:val="00A4053A"/>
    <w:rsid w:val="00A40936"/>
    <w:rsid w:val="00A40972"/>
    <w:rsid w:val="00A4239F"/>
    <w:rsid w:val="00A42942"/>
    <w:rsid w:val="00A43122"/>
    <w:rsid w:val="00A43216"/>
    <w:rsid w:val="00A43332"/>
    <w:rsid w:val="00A44B34"/>
    <w:rsid w:val="00A44D0D"/>
    <w:rsid w:val="00A45050"/>
    <w:rsid w:val="00A47F54"/>
    <w:rsid w:val="00A5017E"/>
    <w:rsid w:val="00A504BD"/>
    <w:rsid w:val="00A509CC"/>
    <w:rsid w:val="00A50AB6"/>
    <w:rsid w:val="00A522CB"/>
    <w:rsid w:val="00A52729"/>
    <w:rsid w:val="00A528E1"/>
    <w:rsid w:val="00A54F30"/>
    <w:rsid w:val="00A5505E"/>
    <w:rsid w:val="00A55537"/>
    <w:rsid w:val="00A56347"/>
    <w:rsid w:val="00A5790C"/>
    <w:rsid w:val="00A60AB0"/>
    <w:rsid w:val="00A60B56"/>
    <w:rsid w:val="00A6126E"/>
    <w:rsid w:val="00A6139A"/>
    <w:rsid w:val="00A6173E"/>
    <w:rsid w:val="00A6177C"/>
    <w:rsid w:val="00A61C0F"/>
    <w:rsid w:val="00A627F1"/>
    <w:rsid w:val="00A63963"/>
    <w:rsid w:val="00A639A3"/>
    <w:rsid w:val="00A63B7D"/>
    <w:rsid w:val="00A63F7A"/>
    <w:rsid w:val="00A641DC"/>
    <w:rsid w:val="00A65064"/>
    <w:rsid w:val="00A67229"/>
    <w:rsid w:val="00A6748D"/>
    <w:rsid w:val="00A676BA"/>
    <w:rsid w:val="00A70B46"/>
    <w:rsid w:val="00A7230F"/>
    <w:rsid w:val="00A726D8"/>
    <w:rsid w:val="00A74251"/>
    <w:rsid w:val="00A74B46"/>
    <w:rsid w:val="00A75758"/>
    <w:rsid w:val="00A75B18"/>
    <w:rsid w:val="00A76410"/>
    <w:rsid w:val="00A76F86"/>
    <w:rsid w:val="00A808F6"/>
    <w:rsid w:val="00A8169A"/>
    <w:rsid w:val="00A8298D"/>
    <w:rsid w:val="00A82C0F"/>
    <w:rsid w:val="00A82FBB"/>
    <w:rsid w:val="00A847D5"/>
    <w:rsid w:val="00A84F2F"/>
    <w:rsid w:val="00A858AB"/>
    <w:rsid w:val="00A85E3C"/>
    <w:rsid w:val="00A867F7"/>
    <w:rsid w:val="00A87451"/>
    <w:rsid w:val="00A9020C"/>
    <w:rsid w:val="00A90218"/>
    <w:rsid w:val="00A90A08"/>
    <w:rsid w:val="00A91556"/>
    <w:rsid w:val="00A9162E"/>
    <w:rsid w:val="00A942C6"/>
    <w:rsid w:val="00A9531E"/>
    <w:rsid w:val="00AA044C"/>
    <w:rsid w:val="00AA0A08"/>
    <w:rsid w:val="00AA14E3"/>
    <w:rsid w:val="00AA28B8"/>
    <w:rsid w:val="00AA3489"/>
    <w:rsid w:val="00AA3634"/>
    <w:rsid w:val="00AA3683"/>
    <w:rsid w:val="00AA4555"/>
    <w:rsid w:val="00AA5270"/>
    <w:rsid w:val="00AA664F"/>
    <w:rsid w:val="00AA66ED"/>
    <w:rsid w:val="00AA6BCB"/>
    <w:rsid w:val="00AB02D3"/>
    <w:rsid w:val="00AB0FBA"/>
    <w:rsid w:val="00AB1289"/>
    <w:rsid w:val="00AB1DF2"/>
    <w:rsid w:val="00AB3E18"/>
    <w:rsid w:val="00AB45B8"/>
    <w:rsid w:val="00AC0460"/>
    <w:rsid w:val="00AC1A64"/>
    <w:rsid w:val="00AC20CA"/>
    <w:rsid w:val="00AC44D4"/>
    <w:rsid w:val="00AC53C4"/>
    <w:rsid w:val="00AC5CB7"/>
    <w:rsid w:val="00AC5E81"/>
    <w:rsid w:val="00AC7825"/>
    <w:rsid w:val="00AD0D97"/>
    <w:rsid w:val="00AD0DBB"/>
    <w:rsid w:val="00AD1604"/>
    <w:rsid w:val="00AD263D"/>
    <w:rsid w:val="00AD2A55"/>
    <w:rsid w:val="00AD2DF5"/>
    <w:rsid w:val="00AD3D46"/>
    <w:rsid w:val="00AD49EF"/>
    <w:rsid w:val="00AD568B"/>
    <w:rsid w:val="00AD5C88"/>
    <w:rsid w:val="00AD6533"/>
    <w:rsid w:val="00AD6CBE"/>
    <w:rsid w:val="00AD6FB1"/>
    <w:rsid w:val="00AD7DD5"/>
    <w:rsid w:val="00AE0A5C"/>
    <w:rsid w:val="00AE1965"/>
    <w:rsid w:val="00AE1C1C"/>
    <w:rsid w:val="00AE1F1E"/>
    <w:rsid w:val="00AE2148"/>
    <w:rsid w:val="00AE313C"/>
    <w:rsid w:val="00AE3367"/>
    <w:rsid w:val="00AE37D9"/>
    <w:rsid w:val="00AE4868"/>
    <w:rsid w:val="00AE51A9"/>
    <w:rsid w:val="00AE63B9"/>
    <w:rsid w:val="00AE6E63"/>
    <w:rsid w:val="00AE786A"/>
    <w:rsid w:val="00AF09AC"/>
    <w:rsid w:val="00AF25DC"/>
    <w:rsid w:val="00AF32A3"/>
    <w:rsid w:val="00AF36CD"/>
    <w:rsid w:val="00AF3C7B"/>
    <w:rsid w:val="00AF3CE8"/>
    <w:rsid w:val="00AF4671"/>
    <w:rsid w:val="00AF526A"/>
    <w:rsid w:val="00AF5D6A"/>
    <w:rsid w:val="00AF5DF3"/>
    <w:rsid w:val="00AF5E11"/>
    <w:rsid w:val="00AF60A8"/>
    <w:rsid w:val="00AF7541"/>
    <w:rsid w:val="00B00584"/>
    <w:rsid w:val="00B012ED"/>
    <w:rsid w:val="00B01BFE"/>
    <w:rsid w:val="00B01F90"/>
    <w:rsid w:val="00B02508"/>
    <w:rsid w:val="00B02770"/>
    <w:rsid w:val="00B0373A"/>
    <w:rsid w:val="00B03A8B"/>
    <w:rsid w:val="00B040FB"/>
    <w:rsid w:val="00B0445A"/>
    <w:rsid w:val="00B054C2"/>
    <w:rsid w:val="00B05A3D"/>
    <w:rsid w:val="00B05B28"/>
    <w:rsid w:val="00B069B7"/>
    <w:rsid w:val="00B07382"/>
    <w:rsid w:val="00B07D20"/>
    <w:rsid w:val="00B10219"/>
    <w:rsid w:val="00B106A8"/>
    <w:rsid w:val="00B10E44"/>
    <w:rsid w:val="00B12E3B"/>
    <w:rsid w:val="00B14BC8"/>
    <w:rsid w:val="00B15314"/>
    <w:rsid w:val="00B16587"/>
    <w:rsid w:val="00B17071"/>
    <w:rsid w:val="00B178BA"/>
    <w:rsid w:val="00B20347"/>
    <w:rsid w:val="00B205E0"/>
    <w:rsid w:val="00B20B08"/>
    <w:rsid w:val="00B20D6D"/>
    <w:rsid w:val="00B2366E"/>
    <w:rsid w:val="00B23AAC"/>
    <w:rsid w:val="00B25B47"/>
    <w:rsid w:val="00B26742"/>
    <w:rsid w:val="00B301DA"/>
    <w:rsid w:val="00B325DC"/>
    <w:rsid w:val="00B335CE"/>
    <w:rsid w:val="00B33E98"/>
    <w:rsid w:val="00B344CE"/>
    <w:rsid w:val="00B34A58"/>
    <w:rsid w:val="00B350C1"/>
    <w:rsid w:val="00B3616E"/>
    <w:rsid w:val="00B36966"/>
    <w:rsid w:val="00B379B6"/>
    <w:rsid w:val="00B37E33"/>
    <w:rsid w:val="00B40604"/>
    <w:rsid w:val="00B407EE"/>
    <w:rsid w:val="00B41990"/>
    <w:rsid w:val="00B41D8B"/>
    <w:rsid w:val="00B41E09"/>
    <w:rsid w:val="00B42EA2"/>
    <w:rsid w:val="00B4389C"/>
    <w:rsid w:val="00B43DE5"/>
    <w:rsid w:val="00B47BE3"/>
    <w:rsid w:val="00B5065D"/>
    <w:rsid w:val="00B50A11"/>
    <w:rsid w:val="00B50E78"/>
    <w:rsid w:val="00B52358"/>
    <w:rsid w:val="00B526FC"/>
    <w:rsid w:val="00B52C58"/>
    <w:rsid w:val="00B546AA"/>
    <w:rsid w:val="00B56931"/>
    <w:rsid w:val="00B57D5C"/>
    <w:rsid w:val="00B60032"/>
    <w:rsid w:val="00B60EB7"/>
    <w:rsid w:val="00B61F63"/>
    <w:rsid w:val="00B62941"/>
    <w:rsid w:val="00B62A5D"/>
    <w:rsid w:val="00B62FA3"/>
    <w:rsid w:val="00B63FF2"/>
    <w:rsid w:val="00B64583"/>
    <w:rsid w:val="00B647D7"/>
    <w:rsid w:val="00B653D7"/>
    <w:rsid w:val="00B65AA0"/>
    <w:rsid w:val="00B65B2B"/>
    <w:rsid w:val="00B65C8C"/>
    <w:rsid w:val="00B66793"/>
    <w:rsid w:val="00B66C66"/>
    <w:rsid w:val="00B67B63"/>
    <w:rsid w:val="00B700A6"/>
    <w:rsid w:val="00B7078F"/>
    <w:rsid w:val="00B70BAD"/>
    <w:rsid w:val="00B72CD9"/>
    <w:rsid w:val="00B748F4"/>
    <w:rsid w:val="00B74ED9"/>
    <w:rsid w:val="00B75470"/>
    <w:rsid w:val="00B7625A"/>
    <w:rsid w:val="00B76C08"/>
    <w:rsid w:val="00B77ACE"/>
    <w:rsid w:val="00B807B0"/>
    <w:rsid w:val="00B81C88"/>
    <w:rsid w:val="00B81F7B"/>
    <w:rsid w:val="00B8231A"/>
    <w:rsid w:val="00B82E6E"/>
    <w:rsid w:val="00B831AD"/>
    <w:rsid w:val="00B841FB"/>
    <w:rsid w:val="00B85247"/>
    <w:rsid w:val="00B85582"/>
    <w:rsid w:val="00B8639C"/>
    <w:rsid w:val="00B86D58"/>
    <w:rsid w:val="00B87ECB"/>
    <w:rsid w:val="00B90166"/>
    <w:rsid w:val="00B912B2"/>
    <w:rsid w:val="00B915E6"/>
    <w:rsid w:val="00B929A1"/>
    <w:rsid w:val="00B932C1"/>
    <w:rsid w:val="00B935D1"/>
    <w:rsid w:val="00B93C55"/>
    <w:rsid w:val="00B94442"/>
    <w:rsid w:val="00B95E74"/>
    <w:rsid w:val="00B9608B"/>
    <w:rsid w:val="00B961D5"/>
    <w:rsid w:val="00B96AAA"/>
    <w:rsid w:val="00BA0271"/>
    <w:rsid w:val="00BA0DA6"/>
    <w:rsid w:val="00BA10C2"/>
    <w:rsid w:val="00BA3863"/>
    <w:rsid w:val="00BA421D"/>
    <w:rsid w:val="00BA4B4A"/>
    <w:rsid w:val="00BA5A9B"/>
    <w:rsid w:val="00BA5D41"/>
    <w:rsid w:val="00BA5DE1"/>
    <w:rsid w:val="00BA60C4"/>
    <w:rsid w:val="00BA6846"/>
    <w:rsid w:val="00BA6A1B"/>
    <w:rsid w:val="00BA7352"/>
    <w:rsid w:val="00BB0E2D"/>
    <w:rsid w:val="00BB12AF"/>
    <w:rsid w:val="00BB188A"/>
    <w:rsid w:val="00BB19F1"/>
    <w:rsid w:val="00BB1B73"/>
    <w:rsid w:val="00BB218A"/>
    <w:rsid w:val="00BB23F7"/>
    <w:rsid w:val="00BB3195"/>
    <w:rsid w:val="00BB3CE3"/>
    <w:rsid w:val="00BB421E"/>
    <w:rsid w:val="00BB4BE3"/>
    <w:rsid w:val="00BB4C62"/>
    <w:rsid w:val="00BB54EC"/>
    <w:rsid w:val="00BB6A72"/>
    <w:rsid w:val="00BB6AFB"/>
    <w:rsid w:val="00BB6F15"/>
    <w:rsid w:val="00BB7374"/>
    <w:rsid w:val="00BB7C29"/>
    <w:rsid w:val="00BC005A"/>
    <w:rsid w:val="00BC106F"/>
    <w:rsid w:val="00BC1777"/>
    <w:rsid w:val="00BC1F71"/>
    <w:rsid w:val="00BC3200"/>
    <w:rsid w:val="00BC32E5"/>
    <w:rsid w:val="00BC374F"/>
    <w:rsid w:val="00BC3ACE"/>
    <w:rsid w:val="00BC3CD2"/>
    <w:rsid w:val="00BC5216"/>
    <w:rsid w:val="00BC53AD"/>
    <w:rsid w:val="00BC5BEF"/>
    <w:rsid w:val="00BD0EC9"/>
    <w:rsid w:val="00BD12EB"/>
    <w:rsid w:val="00BD178B"/>
    <w:rsid w:val="00BD1824"/>
    <w:rsid w:val="00BD3334"/>
    <w:rsid w:val="00BD590A"/>
    <w:rsid w:val="00BD6107"/>
    <w:rsid w:val="00BD6727"/>
    <w:rsid w:val="00BD6F28"/>
    <w:rsid w:val="00BD7211"/>
    <w:rsid w:val="00BD7709"/>
    <w:rsid w:val="00BE063F"/>
    <w:rsid w:val="00BE0E83"/>
    <w:rsid w:val="00BE1215"/>
    <w:rsid w:val="00BE1698"/>
    <w:rsid w:val="00BE23B7"/>
    <w:rsid w:val="00BE29C9"/>
    <w:rsid w:val="00BE30BA"/>
    <w:rsid w:val="00BE3F4D"/>
    <w:rsid w:val="00BE468F"/>
    <w:rsid w:val="00BE5CEF"/>
    <w:rsid w:val="00BE66B1"/>
    <w:rsid w:val="00BE687E"/>
    <w:rsid w:val="00BE6A9B"/>
    <w:rsid w:val="00BE6C5D"/>
    <w:rsid w:val="00BF01DC"/>
    <w:rsid w:val="00BF1242"/>
    <w:rsid w:val="00BF1CA9"/>
    <w:rsid w:val="00BF3214"/>
    <w:rsid w:val="00BF393D"/>
    <w:rsid w:val="00BF4C87"/>
    <w:rsid w:val="00BF4CDB"/>
    <w:rsid w:val="00BF59D3"/>
    <w:rsid w:val="00C00738"/>
    <w:rsid w:val="00C01191"/>
    <w:rsid w:val="00C0294A"/>
    <w:rsid w:val="00C030C3"/>
    <w:rsid w:val="00C045A8"/>
    <w:rsid w:val="00C0690F"/>
    <w:rsid w:val="00C069ED"/>
    <w:rsid w:val="00C07C98"/>
    <w:rsid w:val="00C07DEF"/>
    <w:rsid w:val="00C10A66"/>
    <w:rsid w:val="00C118C7"/>
    <w:rsid w:val="00C11B12"/>
    <w:rsid w:val="00C1210D"/>
    <w:rsid w:val="00C13966"/>
    <w:rsid w:val="00C13F3C"/>
    <w:rsid w:val="00C143CB"/>
    <w:rsid w:val="00C153C8"/>
    <w:rsid w:val="00C159BD"/>
    <w:rsid w:val="00C1641B"/>
    <w:rsid w:val="00C16477"/>
    <w:rsid w:val="00C16715"/>
    <w:rsid w:val="00C16CA0"/>
    <w:rsid w:val="00C17641"/>
    <w:rsid w:val="00C21134"/>
    <w:rsid w:val="00C2175F"/>
    <w:rsid w:val="00C21F1F"/>
    <w:rsid w:val="00C23352"/>
    <w:rsid w:val="00C239A1"/>
    <w:rsid w:val="00C23F80"/>
    <w:rsid w:val="00C2471E"/>
    <w:rsid w:val="00C24DBB"/>
    <w:rsid w:val="00C25019"/>
    <w:rsid w:val="00C26FC6"/>
    <w:rsid w:val="00C30021"/>
    <w:rsid w:val="00C30510"/>
    <w:rsid w:val="00C30A4D"/>
    <w:rsid w:val="00C31E61"/>
    <w:rsid w:val="00C31EE9"/>
    <w:rsid w:val="00C3296F"/>
    <w:rsid w:val="00C334C7"/>
    <w:rsid w:val="00C3414B"/>
    <w:rsid w:val="00C34671"/>
    <w:rsid w:val="00C3472D"/>
    <w:rsid w:val="00C3760C"/>
    <w:rsid w:val="00C41306"/>
    <w:rsid w:val="00C41EDB"/>
    <w:rsid w:val="00C4209A"/>
    <w:rsid w:val="00C4265D"/>
    <w:rsid w:val="00C42EE0"/>
    <w:rsid w:val="00C441CF"/>
    <w:rsid w:val="00C44544"/>
    <w:rsid w:val="00C46D78"/>
    <w:rsid w:val="00C47167"/>
    <w:rsid w:val="00C47932"/>
    <w:rsid w:val="00C47DC5"/>
    <w:rsid w:val="00C50640"/>
    <w:rsid w:val="00C50805"/>
    <w:rsid w:val="00C51007"/>
    <w:rsid w:val="00C51A14"/>
    <w:rsid w:val="00C5205F"/>
    <w:rsid w:val="00C53135"/>
    <w:rsid w:val="00C533FB"/>
    <w:rsid w:val="00C53ABF"/>
    <w:rsid w:val="00C53B5D"/>
    <w:rsid w:val="00C548F2"/>
    <w:rsid w:val="00C571D8"/>
    <w:rsid w:val="00C57B47"/>
    <w:rsid w:val="00C60106"/>
    <w:rsid w:val="00C6011C"/>
    <w:rsid w:val="00C61C94"/>
    <w:rsid w:val="00C62A80"/>
    <w:rsid w:val="00C631F0"/>
    <w:rsid w:val="00C632DF"/>
    <w:rsid w:val="00C6369D"/>
    <w:rsid w:val="00C639F4"/>
    <w:rsid w:val="00C63A3A"/>
    <w:rsid w:val="00C63D2D"/>
    <w:rsid w:val="00C647DE"/>
    <w:rsid w:val="00C653E3"/>
    <w:rsid w:val="00C65C5E"/>
    <w:rsid w:val="00C65EBF"/>
    <w:rsid w:val="00C65F3F"/>
    <w:rsid w:val="00C671D4"/>
    <w:rsid w:val="00C67287"/>
    <w:rsid w:val="00C70171"/>
    <w:rsid w:val="00C727E0"/>
    <w:rsid w:val="00C73D3D"/>
    <w:rsid w:val="00C74A11"/>
    <w:rsid w:val="00C74E1C"/>
    <w:rsid w:val="00C75EA5"/>
    <w:rsid w:val="00C75F49"/>
    <w:rsid w:val="00C76CC2"/>
    <w:rsid w:val="00C7762A"/>
    <w:rsid w:val="00C80422"/>
    <w:rsid w:val="00C80966"/>
    <w:rsid w:val="00C81D41"/>
    <w:rsid w:val="00C82729"/>
    <w:rsid w:val="00C82BBF"/>
    <w:rsid w:val="00C83716"/>
    <w:rsid w:val="00C837FF"/>
    <w:rsid w:val="00C83C10"/>
    <w:rsid w:val="00C841DE"/>
    <w:rsid w:val="00C84F85"/>
    <w:rsid w:val="00C85359"/>
    <w:rsid w:val="00C85810"/>
    <w:rsid w:val="00C85D5E"/>
    <w:rsid w:val="00C8611A"/>
    <w:rsid w:val="00C86615"/>
    <w:rsid w:val="00C87B67"/>
    <w:rsid w:val="00C9020A"/>
    <w:rsid w:val="00C9197D"/>
    <w:rsid w:val="00C91EF5"/>
    <w:rsid w:val="00C928B6"/>
    <w:rsid w:val="00C928F0"/>
    <w:rsid w:val="00C92FC8"/>
    <w:rsid w:val="00C934AF"/>
    <w:rsid w:val="00C9394F"/>
    <w:rsid w:val="00C93AC5"/>
    <w:rsid w:val="00C94112"/>
    <w:rsid w:val="00C96673"/>
    <w:rsid w:val="00C96716"/>
    <w:rsid w:val="00C967C2"/>
    <w:rsid w:val="00C978D9"/>
    <w:rsid w:val="00C97A20"/>
    <w:rsid w:val="00CA01D2"/>
    <w:rsid w:val="00CA0806"/>
    <w:rsid w:val="00CA18AC"/>
    <w:rsid w:val="00CA1D10"/>
    <w:rsid w:val="00CA4569"/>
    <w:rsid w:val="00CA49BC"/>
    <w:rsid w:val="00CB075E"/>
    <w:rsid w:val="00CB24FE"/>
    <w:rsid w:val="00CB2574"/>
    <w:rsid w:val="00CB2ACF"/>
    <w:rsid w:val="00CB6CA0"/>
    <w:rsid w:val="00CB7299"/>
    <w:rsid w:val="00CB799A"/>
    <w:rsid w:val="00CC1CAB"/>
    <w:rsid w:val="00CC22E9"/>
    <w:rsid w:val="00CC237B"/>
    <w:rsid w:val="00CC2623"/>
    <w:rsid w:val="00CC3135"/>
    <w:rsid w:val="00CC3DA4"/>
    <w:rsid w:val="00CC449F"/>
    <w:rsid w:val="00CC45EC"/>
    <w:rsid w:val="00CC50CE"/>
    <w:rsid w:val="00CC54F5"/>
    <w:rsid w:val="00CC572A"/>
    <w:rsid w:val="00CC67CF"/>
    <w:rsid w:val="00CC6E15"/>
    <w:rsid w:val="00CD0498"/>
    <w:rsid w:val="00CD1F47"/>
    <w:rsid w:val="00CD28C4"/>
    <w:rsid w:val="00CD3387"/>
    <w:rsid w:val="00CD3514"/>
    <w:rsid w:val="00CD4067"/>
    <w:rsid w:val="00CD42CC"/>
    <w:rsid w:val="00CD49B4"/>
    <w:rsid w:val="00CD5D17"/>
    <w:rsid w:val="00CD6388"/>
    <w:rsid w:val="00CD7D01"/>
    <w:rsid w:val="00CD7E6A"/>
    <w:rsid w:val="00CE0DE7"/>
    <w:rsid w:val="00CE2860"/>
    <w:rsid w:val="00CE31B9"/>
    <w:rsid w:val="00CE4B89"/>
    <w:rsid w:val="00CE535B"/>
    <w:rsid w:val="00CE591B"/>
    <w:rsid w:val="00CE67D6"/>
    <w:rsid w:val="00CF042B"/>
    <w:rsid w:val="00CF155A"/>
    <w:rsid w:val="00CF2247"/>
    <w:rsid w:val="00CF24E8"/>
    <w:rsid w:val="00CF2FAD"/>
    <w:rsid w:val="00CF33B9"/>
    <w:rsid w:val="00CF35F4"/>
    <w:rsid w:val="00CF5EB6"/>
    <w:rsid w:val="00CF66E3"/>
    <w:rsid w:val="00D00DD0"/>
    <w:rsid w:val="00D01859"/>
    <w:rsid w:val="00D01917"/>
    <w:rsid w:val="00D01980"/>
    <w:rsid w:val="00D024F7"/>
    <w:rsid w:val="00D0351E"/>
    <w:rsid w:val="00D036A7"/>
    <w:rsid w:val="00D03982"/>
    <w:rsid w:val="00D04A52"/>
    <w:rsid w:val="00D04CB8"/>
    <w:rsid w:val="00D0543E"/>
    <w:rsid w:val="00D057A1"/>
    <w:rsid w:val="00D05BAE"/>
    <w:rsid w:val="00D06908"/>
    <w:rsid w:val="00D06CC3"/>
    <w:rsid w:val="00D06E2E"/>
    <w:rsid w:val="00D071F2"/>
    <w:rsid w:val="00D07FB9"/>
    <w:rsid w:val="00D10749"/>
    <w:rsid w:val="00D1091D"/>
    <w:rsid w:val="00D10FD0"/>
    <w:rsid w:val="00D1185A"/>
    <w:rsid w:val="00D12861"/>
    <w:rsid w:val="00D129E8"/>
    <w:rsid w:val="00D13275"/>
    <w:rsid w:val="00D13CBE"/>
    <w:rsid w:val="00D14122"/>
    <w:rsid w:val="00D1421D"/>
    <w:rsid w:val="00D15353"/>
    <w:rsid w:val="00D159DF"/>
    <w:rsid w:val="00D16343"/>
    <w:rsid w:val="00D16C05"/>
    <w:rsid w:val="00D17367"/>
    <w:rsid w:val="00D1761A"/>
    <w:rsid w:val="00D17E8D"/>
    <w:rsid w:val="00D20AA3"/>
    <w:rsid w:val="00D21323"/>
    <w:rsid w:val="00D215DE"/>
    <w:rsid w:val="00D2226B"/>
    <w:rsid w:val="00D23670"/>
    <w:rsid w:val="00D23A4B"/>
    <w:rsid w:val="00D244FA"/>
    <w:rsid w:val="00D25F09"/>
    <w:rsid w:val="00D264FF"/>
    <w:rsid w:val="00D26607"/>
    <w:rsid w:val="00D2708C"/>
    <w:rsid w:val="00D30B07"/>
    <w:rsid w:val="00D30D9C"/>
    <w:rsid w:val="00D310CF"/>
    <w:rsid w:val="00D31F87"/>
    <w:rsid w:val="00D327D6"/>
    <w:rsid w:val="00D3428B"/>
    <w:rsid w:val="00D3520F"/>
    <w:rsid w:val="00D36AC0"/>
    <w:rsid w:val="00D37364"/>
    <w:rsid w:val="00D37646"/>
    <w:rsid w:val="00D37880"/>
    <w:rsid w:val="00D37D73"/>
    <w:rsid w:val="00D40580"/>
    <w:rsid w:val="00D4167F"/>
    <w:rsid w:val="00D41964"/>
    <w:rsid w:val="00D41B3D"/>
    <w:rsid w:val="00D422BC"/>
    <w:rsid w:val="00D4236C"/>
    <w:rsid w:val="00D42ADA"/>
    <w:rsid w:val="00D42B32"/>
    <w:rsid w:val="00D42D1F"/>
    <w:rsid w:val="00D4382A"/>
    <w:rsid w:val="00D4492B"/>
    <w:rsid w:val="00D45E61"/>
    <w:rsid w:val="00D473C3"/>
    <w:rsid w:val="00D50D3B"/>
    <w:rsid w:val="00D51681"/>
    <w:rsid w:val="00D5376F"/>
    <w:rsid w:val="00D53789"/>
    <w:rsid w:val="00D554C1"/>
    <w:rsid w:val="00D55F59"/>
    <w:rsid w:val="00D5679F"/>
    <w:rsid w:val="00D6029A"/>
    <w:rsid w:val="00D607AE"/>
    <w:rsid w:val="00D60A4E"/>
    <w:rsid w:val="00D60CFE"/>
    <w:rsid w:val="00D6124E"/>
    <w:rsid w:val="00D6155A"/>
    <w:rsid w:val="00D619C4"/>
    <w:rsid w:val="00D61D67"/>
    <w:rsid w:val="00D62E05"/>
    <w:rsid w:val="00D62F5E"/>
    <w:rsid w:val="00D63495"/>
    <w:rsid w:val="00D63CCE"/>
    <w:rsid w:val="00D63E89"/>
    <w:rsid w:val="00D6485C"/>
    <w:rsid w:val="00D64E22"/>
    <w:rsid w:val="00D659FD"/>
    <w:rsid w:val="00D66AF3"/>
    <w:rsid w:val="00D67432"/>
    <w:rsid w:val="00D677EB"/>
    <w:rsid w:val="00D7011D"/>
    <w:rsid w:val="00D701CA"/>
    <w:rsid w:val="00D706EF"/>
    <w:rsid w:val="00D7078A"/>
    <w:rsid w:val="00D71807"/>
    <w:rsid w:val="00D727FE"/>
    <w:rsid w:val="00D7380E"/>
    <w:rsid w:val="00D73F3D"/>
    <w:rsid w:val="00D74434"/>
    <w:rsid w:val="00D74511"/>
    <w:rsid w:val="00D74FDB"/>
    <w:rsid w:val="00D750CD"/>
    <w:rsid w:val="00D77B1B"/>
    <w:rsid w:val="00D77E6F"/>
    <w:rsid w:val="00D80187"/>
    <w:rsid w:val="00D8026F"/>
    <w:rsid w:val="00D80DF8"/>
    <w:rsid w:val="00D812CE"/>
    <w:rsid w:val="00D81950"/>
    <w:rsid w:val="00D8245A"/>
    <w:rsid w:val="00D824FA"/>
    <w:rsid w:val="00D82607"/>
    <w:rsid w:val="00D83251"/>
    <w:rsid w:val="00D84039"/>
    <w:rsid w:val="00D84423"/>
    <w:rsid w:val="00D85418"/>
    <w:rsid w:val="00D85CF0"/>
    <w:rsid w:val="00D8612D"/>
    <w:rsid w:val="00D8647B"/>
    <w:rsid w:val="00D86815"/>
    <w:rsid w:val="00D86881"/>
    <w:rsid w:val="00D87795"/>
    <w:rsid w:val="00D87E5A"/>
    <w:rsid w:val="00D87F6F"/>
    <w:rsid w:val="00D9208F"/>
    <w:rsid w:val="00D92662"/>
    <w:rsid w:val="00D92B97"/>
    <w:rsid w:val="00D9301F"/>
    <w:rsid w:val="00D93490"/>
    <w:rsid w:val="00D93C05"/>
    <w:rsid w:val="00D94660"/>
    <w:rsid w:val="00D9467C"/>
    <w:rsid w:val="00D9473A"/>
    <w:rsid w:val="00D972C4"/>
    <w:rsid w:val="00DA0C0F"/>
    <w:rsid w:val="00DA0E31"/>
    <w:rsid w:val="00DA1A95"/>
    <w:rsid w:val="00DA2340"/>
    <w:rsid w:val="00DA2F0F"/>
    <w:rsid w:val="00DA3233"/>
    <w:rsid w:val="00DA3599"/>
    <w:rsid w:val="00DA495D"/>
    <w:rsid w:val="00DA66C6"/>
    <w:rsid w:val="00DB0383"/>
    <w:rsid w:val="00DB0A7C"/>
    <w:rsid w:val="00DB1447"/>
    <w:rsid w:val="00DB2FFD"/>
    <w:rsid w:val="00DB308C"/>
    <w:rsid w:val="00DB31DF"/>
    <w:rsid w:val="00DB36C4"/>
    <w:rsid w:val="00DB3DA3"/>
    <w:rsid w:val="00DB48EF"/>
    <w:rsid w:val="00DB498D"/>
    <w:rsid w:val="00DB4B5D"/>
    <w:rsid w:val="00DB5905"/>
    <w:rsid w:val="00DB77BC"/>
    <w:rsid w:val="00DB7B3A"/>
    <w:rsid w:val="00DB7C94"/>
    <w:rsid w:val="00DC0303"/>
    <w:rsid w:val="00DC081D"/>
    <w:rsid w:val="00DC0E22"/>
    <w:rsid w:val="00DC2C6E"/>
    <w:rsid w:val="00DC3116"/>
    <w:rsid w:val="00DC3391"/>
    <w:rsid w:val="00DC3598"/>
    <w:rsid w:val="00DC3E2F"/>
    <w:rsid w:val="00DC4022"/>
    <w:rsid w:val="00DC4E44"/>
    <w:rsid w:val="00DC4F1F"/>
    <w:rsid w:val="00DC521C"/>
    <w:rsid w:val="00DC5350"/>
    <w:rsid w:val="00DC562E"/>
    <w:rsid w:val="00DC6C4A"/>
    <w:rsid w:val="00DD00BF"/>
    <w:rsid w:val="00DD0D1E"/>
    <w:rsid w:val="00DD0EFA"/>
    <w:rsid w:val="00DD1F74"/>
    <w:rsid w:val="00DD21C8"/>
    <w:rsid w:val="00DD2B39"/>
    <w:rsid w:val="00DD3474"/>
    <w:rsid w:val="00DD56E9"/>
    <w:rsid w:val="00DD63B6"/>
    <w:rsid w:val="00DE0766"/>
    <w:rsid w:val="00DE1643"/>
    <w:rsid w:val="00DE1C55"/>
    <w:rsid w:val="00DE40DB"/>
    <w:rsid w:val="00DE5766"/>
    <w:rsid w:val="00DE5FCB"/>
    <w:rsid w:val="00DE601F"/>
    <w:rsid w:val="00DE6E1D"/>
    <w:rsid w:val="00DE7A38"/>
    <w:rsid w:val="00DE7D97"/>
    <w:rsid w:val="00DF0B1F"/>
    <w:rsid w:val="00DF1DDB"/>
    <w:rsid w:val="00DF2B8E"/>
    <w:rsid w:val="00DF2D66"/>
    <w:rsid w:val="00DF3C36"/>
    <w:rsid w:val="00DF3FAE"/>
    <w:rsid w:val="00DF5626"/>
    <w:rsid w:val="00DF66A0"/>
    <w:rsid w:val="00DF6DF1"/>
    <w:rsid w:val="00E008F4"/>
    <w:rsid w:val="00E0091D"/>
    <w:rsid w:val="00E00D0D"/>
    <w:rsid w:val="00E00E57"/>
    <w:rsid w:val="00E027B9"/>
    <w:rsid w:val="00E032F6"/>
    <w:rsid w:val="00E03986"/>
    <w:rsid w:val="00E04143"/>
    <w:rsid w:val="00E04D61"/>
    <w:rsid w:val="00E04DD3"/>
    <w:rsid w:val="00E076CB"/>
    <w:rsid w:val="00E07C65"/>
    <w:rsid w:val="00E07EC8"/>
    <w:rsid w:val="00E10174"/>
    <w:rsid w:val="00E10216"/>
    <w:rsid w:val="00E10584"/>
    <w:rsid w:val="00E107FB"/>
    <w:rsid w:val="00E10AA2"/>
    <w:rsid w:val="00E11439"/>
    <w:rsid w:val="00E1177E"/>
    <w:rsid w:val="00E120F2"/>
    <w:rsid w:val="00E1433F"/>
    <w:rsid w:val="00E14DCC"/>
    <w:rsid w:val="00E16DD2"/>
    <w:rsid w:val="00E17120"/>
    <w:rsid w:val="00E17EC5"/>
    <w:rsid w:val="00E201E6"/>
    <w:rsid w:val="00E20206"/>
    <w:rsid w:val="00E20E74"/>
    <w:rsid w:val="00E23379"/>
    <w:rsid w:val="00E24225"/>
    <w:rsid w:val="00E2429C"/>
    <w:rsid w:val="00E246A2"/>
    <w:rsid w:val="00E249BB"/>
    <w:rsid w:val="00E27370"/>
    <w:rsid w:val="00E278A5"/>
    <w:rsid w:val="00E310FB"/>
    <w:rsid w:val="00E320AE"/>
    <w:rsid w:val="00E33C4C"/>
    <w:rsid w:val="00E33D81"/>
    <w:rsid w:val="00E33F65"/>
    <w:rsid w:val="00E344A4"/>
    <w:rsid w:val="00E34C33"/>
    <w:rsid w:val="00E3507A"/>
    <w:rsid w:val="00E350B0"/>
    <w:rsid w:val="00E35273"/>
    <w:rsid w:val="00E35C56"/>
    <w:rsid w:val="00E35F69"/>
    <w:rsid w:val="00E35FD9"/>
    <w:rsid w:val="00E36A38"/>
    <w:rsid w:val="00E36F5C"/>
    <w:rsid w:val="00E372AA"/>
    <w:rsid w:val="00E37CFD"/>
    <w:rsid w:val="00E40031"/>
    <w:rsid w:val="00E40486"/>
    <w:rsid w:val="00E40D7F"/>
    <w:rsid w:val="00E416AB"/>
    <w:rsid w:val="00E4182E"/>
    <w:rsid w:val="00E41DE5"/>
    <w:rsid w:val="00E41F3C"/>
    <w:rsid w:val="00E4272C"/>
    <w:rsid w:val="00E427B4"/>
    <w:rsid w:val="00E42897"/>
    <w:rsid w:val="00E43A42"/>
    <w:rsid w:val="00E43A7B"/>
    <w:rsid w:val="00E43DCC"/>
    <w:rsid w:val="00E44B45"/>
    <w:rsid w:val="00E45364"/>
    <w:rsid w:val="00E45BA5"/>
    <w:rsid w:val="00E45D0D"/>
    <w:rsid w:val="00E45E69"/>
    <w:rsid w:val="00E468E5"/>
    <w:rsid w:val="00E47592"/>
    <w:rsid w:val="00E476D6"/>
    <w:rsid w:val="00E47745"/>
    <w:rsid w:val="00E47DF2"/>
    <w:rsid w:val="00E5001A"/>
    <w:rsid w:val="00E5076F"/>
    <w:rsid w:val="00E5138C"/>
    <w:rsid w:val="00E517D2"/>
    <w:rsid w:val="00E519C8"/>
    <w:rsid w:val="00E52F22"/>
    <w:rsid w:val="00E5309A"/>
    <w:rsid w:val="00E537FB"/>
    <w:rsid w:val="00E53AB5"/>
    <w:rsid w:val="00E55E1F"/>
    <w:rsid w:val="00E5652A"/>
    <w:rsid w:val="00E56FE7"/>
    <w:rsid w:val="00E5764F"/>
    <w:rsid w:val="00E579DB"/>
    <w:rsid w:val="00E60882"/>
    <w:rsid w:val="00E618C5"/>
    <w:rsid w:val="00E62393"/>
    <w:rsid w:val="00E62AF3"/>
    <w:rsid w:val="00E62ECF"/>
    <w:rsid w:val="00E636B8"/>
    <w:rsid w:val="00E63D29"/>
    <w:rsid w:val="00E64745"/>
    <w:rsid w:val="00E64CC6"/>
    <w:rsid w:val="00E65AAF"/>
    <w:rsid w:val="00E662A8"/>
    <w:rsid w:val="00E7043D"/>
    <w:rsid w:val="00E70443"/>
    <w:rsid w:val="00E712C7"/>
    <w:rsid w:val="00E7289E"/>
    <w:rsid w:val="00E72A53"/>
    <w:rsid w:val="00E72C09"/>
    <w:rsid w:val="00E72CEF"/>
    <w:rsid w:val="00E73EBD"/>
    <w:rsid w:val="00E74021"/>
    <w:rsid w:val="00E74754"/>
    <w:rsid w:val="00E74E8A"/>
    <w:rsid w:val="00E74EAC"/>
    <w:rsid w:val="00E75093"/>
    <w:rsid w:val="00E760F6"/>
    <w:rsid w:val="00E77A4E"/>
    <w:rsid w:val="00E8066F"/>
    <w:rsid w:val="00E80793"/>
    <w:rsid w:val="00E80799"/>
    <w:rsid w:val="00E80ADE"/>
    <w:rsid w:val="00E819B3"/>
    <w:rsid w:val="00E825A9"/>
    <w:rsid w:val="00E8418F"/>
    <w:rsid w:val="00E85310"/>
    <w:rsid w:val="00E8538C"/>
    <w:rsid w:val="00E85DEA"/>
    <w:rsid w:val="00E862F7"/>
    <w:rsid w:val="00E87918"/>
    <w:rsid w:val="00E92A8D"/>
    <w:rsid w:val="00E92E28"/>
    <w:rsid w:val="00E93307"/>
    <w:rsid w:val="00E9340D"/>
    <w:rsid w:val="00E93AFD"/>
    <w:rsid w:val="00E943B7"/>
    <w:rsid w:val="00E94758"/>
    <w:rsid w:val="00E94E96"/>
    <w:rsid w:val="00E96B6B"/>
    <w:rsid w:val="00E974DE"/>
    <w:rsid w:val="00EA0086"/>
    <w:rsid w:val="00EA1694"/>
    <w:rsid w:val="00EA2013"/>
    <w:rsid w:val="00EA23F7"/>
    <w:rsid w:val="00EA2842"/>
    <w:rsid w:val="00EA317D"/>
    <w:rsid w:val="00EA396D"/>
    <w:rsid w:val="00EA51DC"/>
    <w:rsid w:val="00EA55AE"/>
    <w:rsid w:val="00EA56F1"/>
    <w:rsid w:val="00EA6155"/>
    <w:rsid w:val="00EA627A"/>
    <w:rsid w:val="00EA6A44"/>
    <w:rsid w:val="00EB15D7"/>
    <w:rsid w:val="00EB1C7F"/>
    <w:rsid w:val="00EB40A3"/>
    <w:rsid w:val="00EB4EE2"/>
    <w:rsid w:val="00EB540A"/>
    <w:rsid w:val="00EB5A5C"/>
    <w:rsid w:val="00EB78C4"/>
    <w:rsid w:val="00EB7DD5"/>
    <w:rsid w:val="00EC2250"/>
    <w:rsid w:val="00EC2FCA"/>
    <w:rsid w:val="00EC3044"/>
    <w:rsid w:val="00EC3720"/>
    <w:rsid w:val="00EC372C"/>
    <w:rsid w:val="00EC4A05"/>
    <w:rsid w:val="00EC4B9D"/>
    <w:rsid w:val="00EC519F"/>
    <w:rsid w:val="00EC59B0"/>
    <w:rsid w:val="00EC5FE9"/>
    <w:rsid w:val="00EC7022"/>
    <w:rsid w:val="00ED0D3A"/>
    <w:rsid w:val="00ED0E62"/>
    <w:rsid w:val="00ED1089"/>
    <w:rsid w:val="00ED17C8"/>
    <w:rsid w:val="00ED1854"/>
    <w:rsid w:val="00ED20A1"/>
    <w:rsid w:val="00ED22D1"/>
    <w:rsid w:val="00ED22E7"/>
    <w:rsid w:val="00ED2A5F"/>
    <w:rsid w:val="00ED2F3F"/>
    <w:rsid w:val="00ED63EE"/>
    <w:rsid w:val="00ED6C3F"/>
    <w:rsid w:val="00ED73E4"/>
    <w:rsid w:val="00ED75EB"/>
    <w:rsid w:val="00ED7BE1"/>
    <w:rsid w:val="00ED7CFD"/>
    <w:rsid w:val="00EE0091"/>
    <w:rsid w:val="00EE018F"/>
    <w:rsid w:val="00EE03C8"/>
    <w:rsid w:val="00EE1F02"/>
    <w:rsid w:val="00EE29ED"/>
    <w:rsid w:val="00EE2C53"/>
    <w:rsid w:val="00EE31B3"/>
    <w:rsid w:val="00EE326A"/>
    <w:rsid w:val="00EE3B99"/>
    <w:rsid w:val="00EE407C"/>
    <w:rsid w:val="00EE494A"/>
    <w:rsid w:val="00EE49B7"/>
    <w:rsid w:val="00EE62B1"/>
    <w:rsid w:val="00EE6CFB"/>
    <w:rsid w:val="00EF028A"/>
    <w:rsid w:val="00EF05F7"/>
    <w:rsid w:val="00EF0FE7"/>
    <w:rsid w:val="00EF1C35"/>
    <w:rsid w:val="00EF1CE9"/>
    <w:rsid w:val="00EF2B7C"/>
    <w:rsid w:val="00EF3D5A"/>
    <w:rsid w:val="00EF641C"/>
    <w:rsid w:val="00EF697F"/>
    <w:rsid w:val="00F004F9"/>
    <w:rsid w:val="00F016EE"/>
    <w:rsid w:val="00F01972"/>
    <w:rsid w:val="00F01BDC"/>
    <w:rsid w:val="00F0377E"/>
    <w:rsid w:val="00F03833"/>
    <w:rsid w:val="00F03A65"/>
    <w:rsid w:val="00F03E1B"/>
    <w:rsid w:val="00F03FC3"/>
    <w:rsid w:val="00F04D45"/>
    <w:rsid w:val="00F054BC"/>
    <w:rsid w:val="00F06196"/>
    <w:rsid w:val="00F065D7"/>
    <w:rsid w:val="00F06B18"/>
    <w:rsid w:val="00F071C3"/>
    <w:rsid w:val="00F071F9"/>
    <w:rsid w:val="00F07362"/>
    <w:rsid w:val="00F07740"/>
    <w:rsid w:val="00F0780F"/>
    <w:rsid w:val="00F07C42"/>
    <w:rsid w:val="00F101D2"/>
    <w:rsid w:val="00F10829"/>
    <w:rsid w:val="00F11158"/>
    <w:rsid w:val="00F1368A"/>
    <w:rsid w:val="00F13ABB"/>
    <w:rsid w:val="00F1413E"/>
    <w:rsid w:val="00F161CA"/>
    <w:rsid w:val="00F16AE3"/>
    <w:rsid w:val="00F17838"/>
    <w:rsid w:val="00F17DC3"/>
    <w:rsid w:val="00F20153"/>
    <w:rsid w:val="00F20506"/>
    <w:rsid w:val="00F210F7"/>
    <w:rsid w:val="00F2363C"/>
    <w:rsid w:val="00F24EFB"/>
    <w:rsid w:val="00F2542F"/>
    <w:rsid w:val="00F25FE3"/>
    <w:rsid w:val="00F26295"/>
    <w:rsid w:val="00F27045"/>
    <w:rsid w:val="00F2741A"/>
    <w:rsid w:val="00F27BE5"/>
    <w:rsid w:val="00F305F6"/>
    <w:rsid w:val="00F314F2"/>
    <w:rsid w:val="00F31F88"/>
    <w:rsid w:val="00F3221C"/>
    <w:rsid w:val="00F32F96"/>
    <w:rsid w:val="00F344E5"/>
    <w:rsid w:val="00F349A8"/>
    <w:rsid w:val="00F352FB"/>
    <w:rsid w:val="00F358C3"/>
    <w:rsid w:val="00F3669D"/>
    <w:rsid w:val="00F36712"/>
    <w:rsid w:val="00F37419"/>
    <w:rsid w:val="00F37DAB"/>
    <w:rsid w:val="00F37E58"/>
    <w:rsid w:val="00F426C9"/>
    <w:rsid w:val="00F42A51"/>
    <w:rsid w:val="00F42CE0"/>
    <w:rsid w:val="00F43B69"/>
    <w:rsid w:val="00F43BE2"/>
    <w:rsid w:val="00F44B3F"/>
    <w:rsid w:val="00F4572B"/>
    <w:rsid w:val="00F4581E"/>
    <w:rsid w:val="00F45D83"/>
    <w:rsid w:val="00F46934"/>
    <w:rsid w:val="00F46FD8"/>
    <w:rsid w:val="00F47548"/>
    <w:rsid w:val="00F478C5"/>
    <w:rsid w:val="00F502B4"/>
    <w:rsid w:val="00F51187"/>
    <w:rsid w:val="00F51D4A"/>
    <w:rsid w:val="00F51DCF"/>
    <w:rsid w:val="00F51FF6"/>
    <w:rsid w:val="00F530B4"/>
    <w:rsid w:val="00F537EC"/>
    <w:rsid w:val="00F54323"/>
    <w:rsid w:val="00F56097"/>
    <w:rsid w:val="00F56243"/>
    <w:rsid w:val="00F56D5C"/>
    <w:rsid w:val="00F56E29"/>
    <w:rsid w:val="00F56F55"/>
    <w:rsid w:val="00F57341"/>
    <w:rsid w:val="00F5760A"/>
    <w:rsid w:val="00F6007C"/>
    <w:rsid w:val="00F603F6"/>
    <w:rsid w:val="00F608EC"/>
    <w:rsid w:val="00F60B1C"/>
    <w:rsid w:val="00F60DE9"/>
    <w:rsid w:val="00F60E24"/>
    <w:rsid w:val="00F6181E"/>
    <w:rsid w:val="00F61872"/>
    <w:rsid w:val="00F63132"/>
    <w:rsid w:val="00F64228"/>
    <w:rsid w:val="00F64C90"/>
    <w:rsid w:val="00F65D11"/>
    <w:rsid w:val="00F66113"/>
    <w:rsid w:val="00F67837"/>
    <w:rsid w:val="00F7053A"/>
    <w:rsid w:val="00F7055D"/>
    <w:rsid w:val="00F73005"/>
    <w:rsid w:val="00F736C0"/>
    <w:rsid w:val="00F73D5D"/>
    <w:rsid w:val="00F74705"/>
    <w:rsid w:val="00F7496F"/>
    <w:rsid w:val="00F750BE"/>
    <w:rsid w:val="00F75E5F"/>
    <w:rsid w:val="00F7698D"/>
    <w:rsid w:val="00F77095"/>
    <w:rsid w:val="00F77DC4"/>
    <w:rsid w:val="00F8029A"/>
    <w:rsid w:val="00F8441B"/>
    <w:rsid w:val="00F847E3"/>
    <w:rsid w:val="00F84E71"/>
    <w:rsid w:val="00F851A8"/>
    <w:rsid w:val="00F85D98"/>
    <w:rsid w:val="00F8617C"/>
    <w:rsid w:val="00F8620B"/>
    <w:rsid w:val="00F867B3"/>
    <w:rsid w:val="00F91682"/>
    <w:rsid w:val="00F916B7"/>
    <w:rsid w:val="00F93C3B"/>
    <w:rsid w:val="00F953B0"/>
    <w:rsid w:val="00F9682B"/>
    <w:rsid w:val="00FA03B0"/>
    <w:rsid w:val="00FA2B37"/>
    <w:rsid w:val="00FA3BC5"/>
    <w:rsid w:val="00FA3D39"/>
    <w:rsid w:val="00FA4191"/>
    <w:rsid w:val="00FA4521"/>
    <w:rsid w:val="00FB027D"/>
    <w:rsid w:val="00FB1223"/>
    <w:rsid w:val="00FB127F"/>
    <w:rsid w:val="00FB1E96"/>
    <w:rsid w:val="00FB2A09"/>
    <w:rsid w:val="00FB2E97"/>
    <w:rsid w:val="00FB6CD4"/>
    <w:rsid w:val="00FB6E74"/>
    <w:rsid w:val="00FC04DD"/>
    <w:rsid w:val="00FC1897"/>
    <w:rsid w:val="00FC247F"/>
    <w:rsid w:val="00FC2528"/>
    <w:rsid w:val="00FC2CF2"/>
    <w:rsid w:val="00FC2E31"/>
    <w:rsid w:val="00FC317B"/>
    <w:rsid w:val="00FC46C0"/>
    <w:rsid w:val="00FC4A21"/>
    <w:rsid w:val="00FC6385"/>
    <w:rsid w:val="00FC65AD"/>
    <w:rsid w:val="00FC7972"/>
    <w:rsid w:val="00FD0123"/>
    <w:rsid w:val="00FD0F65"/>
    <w:rsid w:val="00FD358F"/>
    <w:rsid w:val="00FD4531"/>
    <w:rsid w:val="00FD4F90"/>
    <w:rsid w:val="00FD68DF"/>
    <w:rsid w:val="00FD778E"/>
    <w:rsid w:val="00FE0542"/>
    <w:rsid w:val="00FE22B8"/>
    <w:rsid w:val="00FE5353"/>
    <w:rsid w:val="00FE7221"/>
    <w:rsid w:val="00FE76B2"/>
    <w:rsid w:val="00FE7B10"/>
    <w:rsid w:val="00FF052A"/>
    <w:rsid w:val="00FF0E96"/>
    <w:rsid w:val="00FF1225"/>
    <w:rsid w:val="00FF1398"/>
    <w:rsid w:val="00FF1C7C"/>
    <w:rsid w:val="00FF2BC4"/>
    <w:rsid w:val="00FF5F3C"/>
    <w:rsid w:val="00FF6CDC"/>
    <w:rsid w:val="00FF7DE4"/>
    <w:rsid w:val="00FF7E22"/>
    <w:rsid w:val="4BD73F94"/>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21"/>
    </o:shapelayout>
  </w:shapeDefaults>
  <w:decimalSymbol w:val="."/>
  <w:listSeparator w:val=","/>
  <w14:docId w14:val="28AA71DD"/>
  <w15:docId w15:val="{C9D3FDF0-557B-4071-BF13-A1C024340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6" w:lineRule="auto"/>
    </w:pPr>
    <w:rPr>
      <w:rFonts w:ascii="Calibri" w:eastAsia="Calibri" w:hAnsi="Calibri" w:cs="Times New Roman"/>
      <w:sz w:val="22"/>
      <w:szCs w:val="22"/>
      <w:lang w:eastAsia="en-US"/>
    </w:rPr>
  </w:style>
  <w:style w:type="paragraph" w:styleId="Ttulo1">
    <w:name w:val="heading 1"/>
    <w:basedOn w:val="Normal"/>
    <w:next w:val="Normal"/>
    <w:link w:val="Ttulo1Car"/>
    <w:uiPriority w:val="9"/>
    <w:qFormat/>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pPr>
      <w:spacing w:before="100" w:beforeAutospacing="1" w:after="100" w:afterAutospacing="1" w:line="240" w:lineRule="auto"/>
      <w:outlineLvl w:val="3"/>
    </w:pPr>
    <w:rPr>
      <w:rFonts w:ascii="Times New Roman" w:eastAsia="Times New Roman" w:hAnsi="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qFormat/>
    <w:rPr>
      <w:sz w:val="16"/>
      <w:szCs w:val="16"/>
    </w:rPr>
  </w:style>
  <w:style w:type="character" w:styleId="Refdenotaalpie">
    <w:name w:val="footnote reference"/>
    <w:basedOn w:val="Fuentedeprrafopredeter"/>
    <w:uiPriority w:val="99"/>
    <w:unhideWhenUsed/>
    <w:qFormat/>
    <w:rPr>
      <w:vertAlign w:val="superscript"/>
    </w:rPr>
  </w:style>
  <w:style w:type="character" w:styleId="nfasis">
    <w:name w:val="Emphasis"/>
    <w:basedOn w:val="Fuentedeprrafopredeter"/>
    <w:uiPriority w:val="20"/>
    <w:qFormat/>
    <w:rPr>
      <w:i/>
      <w:iCs/>
    </w:rPr>
  </w:style>
  <w:style w:type="character" w:styleId="Hipervnculo">
    <w:name w:val="Hyperlink"/>
    <w:basedOn w:val="Fuentedeprrafopredeter"/>
    <w:uiPriority w:val="99"/>
    <w:unhideWhenUsed/>
    <w:qFormat/>
    <w:rPr>
      <w:color w:val="0563C1" w:themeColor="hyperlink"/>
      <w:u w:val="single"/>
    </w:rPr>
  </w:style>
  <w:style w:type="character" w:styleId="Hipervnculovisitado">
    <w:name w:val="FollowedHyperlink"/>
    <w:basedOn w:val="Fuentedeprrafopredeter"/>
    <w:uiPriority w:val="99"/>
    <w:semiHidden/>
    <w:unhideWhenUsed/>
    <w:qFormat/>
    <w:rPr>
      <w:color w:val="954F72" w:themeColor="followedHyperlink"/>
      <w:u w:val="single"/>
    </w:rPr>
  </w:style>
  <w:style w:type="character" w:styleId="Textoennegrita">
    <w:name w:val="Strong"/>
    <w:uiPriority w:val="22"/>
    <w:qFormat/>
    <w:rPr>
      <w:b/>
      <w:bCs/>
    </w:rPr>
  </w:style>
  <w:style w:type="paragraph" w:styleId="Textonotapie">
    <w:name w:val="footnote text"/>
    <w:basedOn w:val="Normal"/>
    <w:link w:val="TextonotapieCar"/>
    <w:uiPriority w:val="99"/>
    <w:unhideWhenUsed/>
    <w:qFormat/>
    <w:pPr>
      <w:spacing w:after="0" w:line="240" w:lineRule="auto"/>
    </w:pPr>
    <w:rPr>
      <w:sz w:val="20"/>
      <w:szCs w:val="20"/>
    </w:rPr>
  </w:style>
  <w:style w:type="paragraph" w:styleId="Asuntodelcomentario">
    <w:name w:val="annotation subject"/>
    <w:basedOn w:val="Textocomentario"/>
    <w:next w:val="Textocomentario"/>
    <w:link w:val="AsuntodelcomentarioCar"/>
    <w:uiPriority w:val="99"/>
    <w:semiHidden/>
    <w:unhideWhenUsed/>
    <w:qFormat/>
    <w:rPr>
      <w:b/>
      <w:bCs/>
    </w:rPr>
  </w:style>
  <w:style w:type="paragraph" w:styleId="Textocomentario">
    <w:name w:val="annotation text"/>
    <w:basedOn w:val="Normal"/>
    <w:link w:val="TextocomentarioCar"/>
    <w:uiPriority w:val="99"/>
    <w:semiHidden/>
    <w:unhideWhenUsed/>
    <w:pPr>
      <w:spacing w:line="240" w:lineRule="auto"/>
    </w:pPr>
    <w:rPr>
      <w:sz w:val="20"/>
      <w:szCs w:val="20"/>
    </w:rPr>
  </w:style>
  <w:style w:type="paragraph" w:styleId="Textodeglobo">
    <w:name w:val="Balloon Text"/>
    <w:basedOn w:val="Normal"/>
    <w:link w:val="TextodegloboCar"/>
    <w:uiPriority w:val="99"/>
    <w:semiHidden/>
    <w:unhideWhenUsed/>
    <w:qFormat/>
    <w:pPr>
      <w:spacing w:after="0" w:line="240" w:lineRule="auto"/>
    </w:pPr>
    <w:rPr>
      <w:rFonts w:ascii="Tahoma" w:hAnsi="Tahoma" w:cs="Tahoma"/>
      <w:sz w:val="16"/>
      <w:szCs w:val="16"/>
    </w:rPr>
  </w:style>
  <w:style w:type="paragraph" w:styleId="Encabezado">
    <w:name w:val="header"/>
    <w:basedOn w:val="Normal"/>
    <w:link w:val="EncabezadoCar"/>
    <w:uiPriority w:val="99"/>
    <w:unhideWhenUsed/>
    <w:pPr>
      <w:tabs>
        <w:tab w:val="center" w:pos="4419"/>
        <w:tab w:val="right" w:pos="8838"/>
      </w:tabs>
      <w:spacing w:after="0" w:line="240" w:lineRule="auto"/>
    </w:pPr>
    <w:rPr>
      <w:rFonts w:ascii="Times New Roman" w:hAnsi="Times New Roman"/>
      <w:sz w:val="24"/>
      <w:szCs w:val="24"/>
      <w:lang w:val="es-ES" w:eastAsia="es-ES"/>
    </w:rPr>
  </w:style>
  <w:style w:type="paragraph" w:styleId="NormalWeb">
    <w:name w:val="Normal (Web)"/>
    <w:basedOn w:val="Normal"/>
    <w:uiPriority w:val="99"/>
    <w:qFormat/>
    <w:pPr>
      <w:spacing w:before="100" w:beforeAutospacing="1" w:after="100" w:afterAutospacing="1" w:line="240" w:lineRule="auto"/>
    </w:pPr>
    <w:rPr>
      <w:rFonts w:ascii="Times New Roman" w:eastAsia="Times New Roman" w:hAnsi="Times New Roman"/>
      <w:sz w:val="24"/>
      <w:szCs w:val="24"/>
      <w:lang w:val="es-ES" w:eastAsia="es-ES"/>
    </w:rPr>
  </w:style>
  <w:style w:type="paragraph" w:styleId="Piedepgina">
    <w:name w:val="footer"/>
    <w:basedOn w:val="Normal"/>
    <w:link w:val="PiedepginaCar"/>
    <w:uiPriority w:val="99"/>
    <w:unhideWhenUsed/>
    <w:qFormat/>
    <w:pPr>
      <w:tabs>
        <w:tab w:val="center" w:pos="4419"/>
        <w:tab w:val="right" w:pos="8838"/>
      </w:tabs>
      <w:spacing w:after="0" w:line="240" w:lineRule="auto"/>
    </w:pPr>
    <w:rPr>
      <w:rFonts w:ascii="Times New Roman" w:hAnsi="Times New Roman"/>
      <w:sz w:val="24"/>
      <w:szCs w:val="24"/>
      <w:lang w:val="es-ES" w:eastAsia="es-ES"/>
    </w:rPr>
  </w:style>
  <w:style w:type="table" w:styleId="Tablaconcuadrcula">
    <w:name w:val="Table Grid"/>
    <w:basedOn w:val="Tabla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cabezadoCar">
    <w:name w:val="Encabezado Car"/>
    <w:basedOn w:val="Fuentedeprrafopredeter"/>
    <w:link w:val="Encabezado"/>
    <w:uiPriority w:val="99"/>
    <w:qFormat/>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Pr>
      <w:rFonts w:ascii="Times New Roman" w:eastAsia="Calibri" w:hAnsi="Times New Roman" w:cs="Times New Roman"/>
      <w:sz w:val="24"/>
      <w:szCs w:val="24"/>
      <w:lang w:val="es-ES" w:eastAsia="es-ES"/>
    </w:rPr>
  </w:style>
  <w:style w:type="paragraph" w:styleId="Prrafodelista">
    <w:name w:val="List Paragraph"/>
    <w:basedOn w:val="Normal"/>
    <w:link w:val="PrrafodelistaCar"/>
    <w:uiPriority w:val="34"/>
    <w:qFormat/>
    <w:pPr>
      <w:spacing w:after="0" w:line="240" w:lineRule="auto"/>
      <w:ind w:left="708"/>
    </w:pPr>
    <w:rPr>
      <w:rFonts w:ascii="Times New Roman" w:eastAsia="Times New Roman" w:hAnsi="Times New Roman"/>
      <w:sz w:val="24"/>
      <w:szCs w:val="24"/>
      <w:lang w:val="es-ES" w:eastAsia="es-ES"/>
    </w:rPr>
  </w:style>
  <w:style w:type="character" w:customStyle="1" w:styleId="PrrafodelistaCar">
    <w:name w:val="Párrafo de lista Car"/>
    <w:link w:val="Prrafodelista"/>
    <w:uiPriority w:val="34"/>
    <w:qFormat/>
    <w:locked/>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style>
  <w:style w:type="character" w:customStyle="1" w:styleId="TextonotapieCar">
    <w:name w:val="Texto nota pie Car"/>
    <w:basedOn w:val="Fuentedeprrafopredeter"/>
    <w:link w:val="Textonotapie"/>
    <w:uiPriority w:val="99"/>
    <w:qFormat/>
    <w:rPr>
      <w:sz w:val="20"/>
      <w:szCs w:val="20"/>
    </w:rPr>
  </w:style>
  <w:style w:type="paragraph" w:styleId="Sinespaciado">
    <w:name w:val="No Spacing"/>
    <w:link w:val="SinespaciadoCar"/>
    <w:uiPriority w:val="1"/>
    <w:qFormat/>
    <w:rPr>
      <w:rFonts w:ascii="Times New Roman" w:eastAsia="Times New Roman" w:hAnsi="Times New Roman" w:cs="Times New Roman"/>
      <w:sz w:val="24"/>
      <w:szCs w:val="24"/>
      <w:lang w:eastAsia="es-ES"/>
    </w:rPr>
  </w:style>
  <w:style w:type="paragraph" w:customStyle="1" w:styleId="Default">
    <w:name w:val="Default"/>
    <w:qFormat/>
    <w:pPr>
      <w:autoSpaceDE w:val="0"/>
      <w:autoSpaceDN w:val="0"/>
      <w:adjustRightInd w:val="0"/>
    </w:pPr>
    <w:rPr>
      <w:rFonts w:ascii="Arial" w:hAnsi="Arial" w:cs="Arial"/>
      <w:color w:val="000000"/>
      <w:sz w:val="24"/>
      <w:szCs w:val="24"/>
      <w:lang w:eastAsia="en-US"/>
    </w:rPr>
  </w:style>
  <w:style w:type="character" w:customStyle="1" w:styleId="TextodegloboCar">
    <w:name w:val="Texto de globo Car"/>
    <w:basedOn w:val="Fuentedeprrafopredeter"/>
    <w:link w:val="Textodeglobo"/>
    <w:uiPriority w:val="99"/>
    <w:semiHidden/>
    <w:qFormat/>
    <w:rPr>
      <w:rFonts w:ascii="Tahoma" w:hAnsi="Tahoma" w:cs="Tahoma"/>
      <w:sz w:val="16"/>
      <w:szCs w:val="16"/>
    </w:rPr>
  </w:style>
  <w:style w:type="paragraph" w:customStyle="1" w:styleId="n2">
    <w:name w:val="n2"/>
    <w:basedOn w:val="Normal"/>
    <w:qFormat/>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j">
    <w:name w:val="j"/>
    <w:basedOn w:val="Normal"/>
    <w:qFormat/>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nacep">
    <w:name w:val="n_acep"/>
    <w:basedOn w:val="Fuentedeprrafopredeter"/>
    <w:qFormat/>
  </w:style>
  <w:style w:type="character" w:customStyle="1" w:styleId="SinespaciadoCar">
    <w:name w:val="Sin espaciado Car"/>
    <w:link w:val="Sinespaciado"/>
    <w:uiPriority w:val="1"/>
    <w:qFormat/>
    <w:locked/>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rPr>
      <w:rFonts w:ascii="Times New Roman" w:eastAsia="Times New Roman" w:hAnsi="Times New Roman" w:cs="Times New Roman"/>
      <w:b/>
      <w:bCs/>
      <w:sz w:val="24"/>
      <w:szCs w:val="24"/>
      <w:lang w:eastAsia="es-MX"/>
    </w:rPr>
  </w:style>
  <w:style w:type="character" w:customStyle="1" w:styleId="Ttulo2Car">
    <w:name w:val="Título 2 Car"/>
    <w:basedOn w:val="Fuentedeprrafopredeter"/>
    <w:link w:val="Ttulo2"/>
    <w:uiPriority w:val="9"/>
    <w:qFormat/>
    <w:rPr>
      <w:rFonts w:asciiTheme="majorHAnsi" w:eastAsiaTheme="majorEastAsia" w:hAnsiTheme="majorHAnsi" w:cstheme="majorBidi"/>
      <w:color w:val="2E74B5" w:themeColor="accent1" w:themeShade="BF"/>
      <w:sz w:val="26"/>
      <w:szCs w:val="26"/>
    </w:rPr>
  </w:style>
  <w:style w:type="character" w:customStyle="1" w:styleId="notranslate">
    <w:name w:val="notranslate"/>
    <w:basedOn w:val="Fuentedeprrafopredeter"/>
  </w:style>
  <w:style w:type="character" w:customStyle="1" w:styleId="Ttulo1Car">
    <w:name w:val="Título 1 Car"/>
    <w:basedOn w:val="Fuentedeprrafopredeter"/>
    <w:link w:val="Ttulo1"/>
    <w:uiPriority w:val="9"/>
    <w:qFormat/>
    <w:rPr>
      <w:rFonts w:asciiTheme="majorHAnsi" w:eastAsiaTheme="majorEastAsia" w:hAnsiTheme="majorHAnsi" w:cstheme="majorBidi"/>
      <w:color w:val="2E74B5" w:themeColor="accent1" w:themeShade="BF"/>
      <w:sz w:val="32"/>
      <w:szCs w:val="32"/>
      <w:lang w:val="es-ES" w:eastAsia="es-ES"/>
    </w:rPr>
  </w:style>
  <w:style w:type="character" w:customStyle="1" w:styleId="TextocomentarioCar">
    <w:name w:val="Texto comentario Car"/>
    <w:basedOn w:val="Fuentedeprrafopredeter"/>
    <w:link w:val="Textocomentario"/>
    <w:uiPriority w:val="99"/>
    <w:semiHidden/>
    <w:qFormat/>
    <w:rPr>
      <w:sz w:val="20"/>
      <w:szCs w:val="20"/>
    </w:rPr>
  </w:style>
  <w:style w:type="character" w:customStyle="1" w:styleId="AsuntodelcomentarioCar">
    <w:name w:val="Asunto del comentario Car"/>
    <w:basedOn w:val="TextocomentarioCar"/>
    <w:link w:val="Asuntodelcomentario"/>
    <w:uiPriority w:val="99"/>
    <w:semiHidden/>
    <w:qFormat/>
    <w:rPr>
      <w:b/>
      <w:bCs/>
      <w:sz w:val="20"/>
      <w:szCs w:val="20"/>
    </w:rPr>
  </w:style>
  <w:style w:type="character" w:customStyle="1" w:styleId="apple-style-span">
    <w:name w:val="apple-style-span"/>
    <w:qFormat/>
  </w:style>
  <w:style w:type="paragraph" w:customStyle="1" w:styleId="paragraph">
    <w:name w:val="paragraph"/>
    <w:basedOn w:val="Normal"/>
    <w:qFormat/>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normaltextrun">
    <w:name w:val="normaltextrun"/>
    <w:basedOn w:val="Fuentedeprrafopredeter"/>
    <w:qFormat/>
  </w:style>
  <w:style w:type="character" w:customStyle="1" w:styleId="Mencinsinresolver1">
    <w:name w:val="Mención sin resolver1"/>
    <w:basedOn w:val="Fuentedeprrafopredeter"/>
    <w:uiPriority w:val="99"/>
    <w:semiHidden/>
    <w:unhideWhenUsed/>
    <w:qFormat/>
    <w:rPr>
      <w:color w:val="605E5C"/>
      <w:shd w:val="clear" w:color="auto" w:fill="E1DFDD"/>
    </w:rPr>
  </w:style>
  <w:style w:type="character" w:customStyle="1" w:styleId="Mencinsinresolver2">
    <w:name w:val="Mención sin resolver2"/>
    <w:basedOn w:val="Fuentedeprrafopredeter"/>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rensauniversitaria.com.mx/2022/05/11/involucrados-en-la-estafa-maestra-en-la-uaemex-sinsalida/" TargetMode="External"/><Relationship Id="rId18" Type="http://schemas.openxmlformats.org/officeDocument/2006/relationships/hyperlink" Target="https://www.animalpolitico.com/politica/estafa-maestra-impune-cuatro-anos-investigaciones" TargetMode="External"/><Relationship Id="rId26" Type="http://schemas.openxmlformats.org/officeDocument/2006/relationships/hyperlink" Target="javascript:abrirAcuseRR('453961');" TargetMode="External"/><Relationship Id="rId3" Type="http://schemas.openxmlformats.org/officeDocument/2006/relationships/numbering" Target="numbering.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https://www.animalpolitico.com/politica/estafa-maestra-impune-cuatro-anos-investigaciones" TargetMode="External"/><Relationship Id="rId17" Type="http://schemas.openxmlformats.org/officeDocument/2006/relationships/image" Target="media/image3.png"/><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yperlink" Target="https://www.proceso.com.mx/nacional/2021/6/30/estafa-maestra-encabeza-anomalias-denuncias-de-losultimos-tres-anos-asf-266902.html" TargetMode="External"/><Relationship Id="rId20" Type="http://schemas.openxmlformats.org/officeDocument/2006/relationships/hyperlink" Target="https://prensauniversitaria.com.mx/2022/05/11/involucrados-en-la-estafa-maestra-en-la-uaemex-sinsalida/"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proceso.com.mx/nacional/2021/6/30/estafa-maestra-encabeza-anomalias-denuncias-de-losultimos-tres-anos-asf-266902.html" TargetMode="External"/><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footer" Target="footer1.xml"/><Relationship Id="rId10" Type="http://schemas.openxmlformats.org/officeDocument/2006/relationships/hyperlink" Target="https://contralacorrupcion.mx/web/estafamaestra/" TargetMode="External"/><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contralacorrupcion.mx/web/estafamaestra/" TargetMode="External"/><Relationship Id="rId22" Type="http://schemas.openxmlformats.org/officeDocument/2006/relationships/hyperlink" Target="https://www.scribd.com/document/642698762/Nota-Aclaratoria" TargetMode="External"/><Relationship Id="rId27" Type="http://schemas.openxmlformats.org/officeDocument/2006/relationships/header" Target="header1.xml"/><Relationship Id="rId30"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83"/>
    <customShpInfo spid="_x0000_s2048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EB7E979-4E14-470A-AE8D-2816CF626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40</Pages>
  <Words>8911</Words>
  <Characters>49015</Characters>
  <Application>Microsoft Office Word</Application>
  <DocSecurity>0</DocSecurity>
  <Lines>408</Lines>
  <Paragraphs>115</Paragraphs>
  <ScaleCrop>false</ScaleCrop>
  <Company/>
  <LinksUpToDate>false</LinksUpToDate>
  <CharactersWithSpaces>57811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INFOEM492</cp:lastModifiedBy>
  <cp:revision>26</cp:revision>
  <cp:lastPrinted>2018-11-23T17:42:00Z</cp:lastPrinted>
  <dcterms:created xsi:type="dcterms:W3CDTF">2023-12-07T19:41:00Z</dcterms:created>
  <dcterms:modified xsi:type="dcterms:W3CDTF">2024-01-24T19:28:00Z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2058-12.2.0.13359</vt:lpwstr>
  </property>
  <property fmtid="{D5CDD505-2E9C-101B-9397-08002B2CF9AE}" pid="3" name="ICV">
    <vt:lpwstr>625C39502A3548C2919CD49129CABC73_12</vt:lpwstr>
  </property>
</Properties>
</file>