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23D53" w14:textId="77777777" w:rsidR="003709C1" w:rsidRDefault="003709C1" w:rsidP="004F4E53">
      <w:pPr>
        <w:spacing w:line="360" w:lineRule="auto"/>
        <w:jc w:val="both"/>
        <w:rPr>
          <w:rFonts w:ascii="Palatino Linotype" w:eastAsiaTheme="minorHAnsi" w:hAnsi="Palatino Linotype" w:cs="Tahoma"/>
          <w:bCs/>
          <w:color w:val="000000" w:themeColor="text1"/>
          <w:sz w:val="22"/>
          <w:szCs w:val="22"/>
          <w:lang w:eastAsia="en-US"/>
        </w:rPr>
      </w:pPr>
    </w:p>
    <w:p w14:paraId="0ED4147D" w14:textId="255BE3E3" w:rsidR="00F82637" w:rsidRPr="003709C1" w:rsidRDefault="00F82637" w:rsidP="004F4E53">
      <w:pPr>
        <w:spacing w:line="360" w:lineRule="auto"/>
        <w:jc w:val="both"/>
        <w:rPr>
          <w:rFonts w:ascii="Palatino Linotype" w:hAnsi="Palatino Linotype" w:cs="Tahoma"/>
          <w:bCs/>
          <w:sz w:val="22"/>
          <w:szCs w:val="22"/>
        </w:rPr>
      </w:pPr>
      <w:r w:rsidRPr="003709C1">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3709C1">
        <w:rPr>
          <w:rFonts w:ascii="Palatino Linotype" w:hAnsi="Palatino Linotype" w:cs="Tahoma"/>
          <w:bCs/>
          <w:sz w:val="22"/>
          <w:szCs w:val="22"/>
        </w:rPr>
        <w:t xml:space="preserve">Protección de Datos Personales del Estado de México y Municipios, con domicilio en Metepec, Estado de México, de fecha </w:t>
      </w:r>
      <w:r w:rsidR="00985347" w:rsidRPr="003709C1">
        <w:rPr>
          <w:rFonts w:ascii="Palatino Linotype" w:hAnsi="Palatino Linotype" w:cs="Tahoma"/>
          <w:bCs/>
          <w:sz w:val="22"/>
          <w:szCs w:val="22"/>
        </w:rPr>
        <w:t>trece</w:t>
      </w:r>
      <w:r w:rsidR="00CC1153" w:rsidRPr="003709C1">
        <w:rPr>
          <w:rFonts w:ascii="Palatino Linotype" w:hAnsi="Palatino Linotype" w:cs="Tahoma"/>
          <w:bCs/>
          <w:sz w:val="22"/>
          <w:szCs w:val="22"/>
        </w:rPr>
        <w:t xml:space="preserve"> de noviembre</w:t>
      </w:r>
      <w:r w:rsidR="00881C2B" w:rsidRPr="003709C1">
        <w:rPr>
          <w:rFonts w:ascii="Palatino Linotype" w:hAnsi="Palatino Linotype" w:cs="Tahoma"/>
          <w:bCs/>
          <w:sz w:val="22"/>
          <w:szCs w:val="22"/>
        </w:rPr>
        <w:t xml:space="preserve"> de dos mil veinticuatro</w:t>
      </w:r>
      <w:r w:rsidRPr="003709C1">
        <w:rPr>
          <w:rFonts w:ascii="Palatino Linotype" w:hAnsi="Palatino Linotype" w:cs="Tahoma"/>
          <w:bCs/>
          <w:sz w:val="22"/>
          <w:szCs w:val="22"/>
        </w:rPr>
        <w:t xml:space="preserve">. </w:t>
      </w:r>
    </w:p>
    <w:p w14:paraId="7922BAAD" w14:textId="77777777" w:rsidR="00F82637" w:rsidRPr="003709C1"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063226BE" w:rsidR="00F82637" w:rsidRPr="003709C1"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3709C1">
        <w:rPr>
          <w:rFonts w:ascii="Palatino Linotype" w:eastAsiaTheme="minorHAnsi" w:hAnsi="Palatino Linotype" w:cstheme="minorBidi"/>
          <w:b/>
          <w:bCs/>
          <w:color w:val="000000" w:themeColor="text1"/>
          <w:sz w:val="22"/>
          <w:szCs w:val="22"/>
          <w:lang w:eastAsia="en-US"/>
        </w:rPr>
        <w:t xml:space="preserve">VISTO </w:t>
      </w:r>
      <w:r w:rsidRPr="003709C1">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17E23" w:rsidRPr="00B1120B">
        <w:rPr>
          <w:rFonts w:ascii="Palatino Linotype" w:eastAsiaTheme="minorHAnsi" w:hAnsi="Palatino Linotype" w:cstheme="minorBidi"/>
          <w:b/>
          <w:bCs/>
          <w:color w:val="000000" w:themeColor="text1"/>
          <w:sz w:val="22"/>
          <w:szCs w:val="22"/>
          <w:lang w:eastAsia="en-US"/>
        </w:rPr>
        <w:t>0</w:t>
      </w:r>
      <w:r w:rsidR="00CC1153" w:rsidRPr="00B1120B">
        <w:rPr>
          <w:rFonts w:ascii="Palatino Linotype" w:eastAsiaTheme="minorHAnsi" w:hAnsi="Palatino Linotype" w:cstheme="minorBidi"/>
          <w:b/>
          <w:bCs/>
          <w:color w:val="000000" w:themeColor="text1"/>
          <w:sz w:val="22"/>
          <w:szCs w:val="22"/>
          <w:lang w:eastAsia="en-US"/>
        </w:rPr>
        <w:t>6</w:t>
      </w:r>
      <w:r w:rsidR="00985347" w:rsidRPr="00B1120B">
        <w:rPr>
          <w:rFonts w:ascii="Palatino Linotype" w:eastAsiaTheme="minorHAnsi" w:hAnsi="Palatino Linotype" w:cstheme="minorBidi"/>
          <w:b/>
          <w:bCs/>
          <w:color w:val="000000" w:themeColor="text1"/>
          <w:sz w:val="22"/>
          <w:szCs w:val="22"/>
          <w:lang w:eastAsia="en-US"/>
        </w:rPr>
        <w:t>566</w:t>
      </w:r>
      <w:r w:rsidR="00747F8C" w:rsidRPr="00B1120B">
        <w:rPr>
          <w:rFonts w:ascii="Palatino Linotype" w:eastAsiaTheme="minorHAnsi" w:hAnsi="Palatino Linotype" w:cstheme="minorBidi"/>
          <w:b/>
          <w:bCs/>
          <w:color w:val="000000" w:themeColor="text1"/>
          <w:sz w:val="22"/>
          <w:szCs w:val="22"/>
          <w:lang w:eastAsia="en-US"/>
        </w:rPr>
        <w:t>/INFOEM/IP/RR/2024</w:t>
      </w:r>
      <w:r w:rsidRPr="003709C1">
        <w:rPr>
          <w:rFonts w:ascii="Palatino Linotype" w:eastAsiaTheme="minorHAnsi" w:hAnsi="Palatino Linotype" w:cstheme="minorBidi"/>
          <w:color w:val="000000" w:themeColor="text1"/>
          <w:sz w:val="22"/>
          <w:szCs w:val="22"/>
          <w:lang w:eastAsia="en-US"/>
        </w:rPr>
        <w:t>, inter</w:t>
      </w:r>
      <w:r w:rsidR="001723FE" w:rsidRPr="003709C1">
        <w:rPr>
          <w:rFonts w:ascii="Palatino Linotype" w:eastAsiaTheme="minorHAnsi" w:hAnsi="Palatino Linotype" w:cstheme="minorBidi"/>
          <w:color w:val="000000" w:themeColor="text1"/>
          <w:sz w:val="22"/>
          <w:szCs w:val="22"/>
          <w:lang w:eastAsia="en-US"/>
        </w:rPr>
        <w:t xml:space="preserve">puesto </w:t>
      </w:r>
      <w:r w:rsidR="007F28D2" w:rsidRPr="003709C1">
        <w:rPr>
          <w:rFonts w:ascii="Palatino Linotype" w:eastAsiaTheme="minorHAnsi" w:hAnsi="Palatino Linotype" w:cstheme="minorBidi"/>
          <w:color w:val="000000" w:themeColor="text1"/>
          <w:sz w:val="22"/>
          <w:szCs w:val="22"/>
          <w:lang w:eastAsia="en-US"/>
        </w:rPr>
        <w:t>por</w:t>
      </w:r>
      <w:r w:rsidR="009C7247" w:rsidRPr="003709C1">
        <w:rPr>
          <w:rFonts w:ascii="Palatino Linotype" w:eastAsiaTheme="minorHAnsi" w:hAnsi="Palatino Linotype" w:cstheme="minorBidi"/>
          <w:color w:val="000000" w:themeColor="text1"/>
          <w:sz w:val="22"/>
          <w:szCs w:val="22"/>
          <w:lang w:eastAsia="en-US"/>
        </w:rPr>
        <w:t xml:space="preserve"> </w:t>
      </w:r>
      <w:r w:rsidR="00B83524" w:rsidRPr="00B83524">
        <w:rPr>
          <w:rFonts w:ascii="Palatino Linotype" w:eastAsia="Calibri" w:hAnsi="Palatino Linotype" w:cs="Tahoma"/>
          <w:b/>
          <w:bCs/>
          <w:sz w:val="22"/>
          <w:szCs w:val="22"/>
          <w:highlight w:val="black"/>
          <w:lang w:eastAsia="en-US"/>
        </w:rPr>
        <w:t>XXXXXXXXXXXXXX</w:t>
      </w:r>
      <w:r w:rsidR="00985347" w:rsidRPr="003709C1">
        <w:rPr>
          <w:rFonts w:ascii="Palatino Linotype" w:eastAsia="Calibri" w:hAnsi="Palatino Linotype" w:cs="Tahoma"/>
          <w:sz w:val="22"/>
          <w:szCs w:val="22"/>
          <w:lang w:eastAsia="en-US"/>
        </w:rPr>
        <w:t xml:space="preserve">, en lo sucesivo, </w:t>
      </w:r>
      <w:r w:rsidR="00281735" w:rsidRPr="003709C1">
        <w:rPr>
          <w:rFonts w:ascii="Palatino Linotype" w:eastAsiaTheme="minorHAnsi" w:hAnsi="Palatino Linotype" w:cstheme="minorBidi"/>
          <w:color w:val="000000" w:themeColor="text1"/>
          <w:sz w:val="22"/>
          <w:szCs w:val="22"/>
          <w:lang w:eastAsia="en-US"/>
        </w:rPr>
        <w:t xml:space="preserve">la persona </w:t>
      </w:r>
      <w:r w:rsidRPr="003709C1">
        <w:rPr>
          <w:rFonts w:ascii="Palatino Linotype" w:eastAsiaTheme="minorHAnsi" w:hAnsi="Palatino Linotype" w:cs="Tahoma"/>
          <w:color w:val="0D0D0D" w:themeColor="text1" w:themeTint="F2"/>
          <w:sz w:val="22"/>
          <w:szCs w:val="22"/>
          <w:lang w:eastAsia="en-US"/>
        </w:rPr>
        <w:t>Recurrente o Particular</w:t>
      </w:r>
      <w:r w:rsidRPr="003709C1">
        <w:rPr>
          <w:rFonts w:ascii="Palatino Linotype" w:eastAsiaTheme="minorHAnsi" w:hAnsi="Palatino Linotype" w:cstheme="minorBidi"/>
          <w:color w:val="000000" w:themeColor="text1"/>
          <w:sz w:val="22"/>
          <w:szCs w:val="22"/>
          <w:lang w:eastAsia="en-US"/>
        </w:rPr>
        <w:t>, en contra de la</w:t>
      </w:r>
      <w:r w:rsidR="00B1120B">
        <w:rPr>
          <w:rFonts w:ascii="Palatino Linotype" w:eastAsiaTheme="minorHAnsi" w:hAnsi="Palatino Linotype" w:cstheme="minorBidi"/>
          <w:color w:val="000000" w:themeColor="text1"/>
          <w:sz w:val="22"/>
          <w:szCs w:val="22"/>
          <w:lang w:eastAsia="en-US"/>
        </w:rPr>
        <w:t xml:space="preserve"> falta de</w:t>
      </w:r>
      <w:r w:rsidRPr="003709C1">
        <w:rPr>
          <w:rFonts w:ascii="Palatino Linotype" w:eastAsiaTheme="minorHAnsi" w:hAnsi="Palatino Linotype" w:cstheme="minorBidi"/>
          <w:color w:val="000000" w:themeColor="text1"/>
          <w:sz w:val="22"/>
          <w:szCs w:val="22"/>
          <w:lang w:eastAsia="en-US"/>
        </w:rPr>
        <w:t xml:space="preserve"> respuesta del Sujeto Obligado, </w:t>
      </w:r>
      <w:r w:rsidR="00636E0D" w:rsidRPr="00B1120B">
        <w:rPr>
          <w:rFonts w:ascii="Palatino Linotype" w:eastAsia="Calibri" w:hAnsi="Palatino Linotype" w:cs="Tahoma"/>
          <w:b/>
          <w:bCs/>
          <w:sz w:val="22"/>
          <w:szCs w:val="22"/>
          <w:lang w:eastAsia="en-US"/>
        </w:rPr>
        <w:t xml:space="preserve">Ayuntamiento de </w:t>
      </w:r>
      <w:r w:rsidR="00985347" w:rsidRPr="00B1120B">
        <w:rPr>
          <w:rFonts w:ascii="Palatino Linotype" w:eastAsia="Calibri" w:hAnsi="Palatino Linotype" w:cs="Tahoma"/>
          <w:b/>
          <w:bCs/>
          <w:sz w:val="22"/>
          <w:szCs w:val="22"/>
          <w:lang w:eastAsia="en-US"/>
        </w:rPr>
        <w:t>Jaltenco</w:t>
      </w:r>
      <w:r w:rsidRPr="00B1120B">
        <w:rPr>
          <w:rFonts w:ascii="Palatino Linotype" w:eastAsiaTheme="minorHAnsi" w:hAnsi="Palatino Linotype" w:cstheme="minorBidi"/>
          <w:b/>
          <w:bCs/>
          <w:color w:val="000000" w:themeColor="text1"/>
          <w:sz w:val="22"/>
          <w:szCs w:val="22"/>
          <w:lang w:eastAsia="en-US"/>
        </w:rPr>
        <w:t>,</w:t>
      </w:r>
      <w:r w:rsidRPr="003709C1">
        <w:rPr>
          <w:rFonts w:ascii="Palatino Linotype" w:eastAsiaTheme="minorHAnsi" w:hAnsi="Palatino Linotype" w:cstheme="minorBidi"/>
          <w:color w:val="000000" w:themeColor="text1"/>
          <w:sz w:val="22"/>
          <w:szCs w:val="22"/>
          <w:lang w:eastAsia="en-US"/>
        </w:rPr>
        <w:t xml:space="preserve"> a la solicitud de acceso a la información pública </w:t>
      </w:r>
      <w:r w:rsidR="00A17E23" w:rsidRPr="003709C1">
        <w:rPr>
          <w:rFonts w:ascii="Palatino Linotype" w:eastAsiaTheme="minorHAnsi" w:hAnsi="Palatino Linotype" w:cstheme="minorBidi"/>
          <w:color w:val="000000" w:themeColor="text1"/>
          <w:sz w:val="22"/>
          <w:szCs w:val="22"/>
          <w:lang w:eastAsia="en-US"/>
        </w:rPr>
        <w:t>000</w:t>
      </w:r>
      <w:r w:rsidR="00985347" w:rsidRPr="003709C1">
        <w:rPr>
          <w:rFonts w:ascii="Palatino Linotype" w:eastAsiaTheme="minorHAnsi" w:hAnsi="Palatino Linotype" w:cstheme="minorBidi"/>
          <w:color w:val="000000" w:themeColor="text1"/>
          <w:sz w:val="22"/>
          <w:szCs w:val="22"/>
          <w:lang w:eastAsia="en-US"/>
        </w:rPr>
        <w:t>80</w:t>
      </w:r>
      <w:r w:rsidR="00A17E23" w:rsidRPr="003709C1">
        <w:rPr>
          <w:rFonts w:ascii="Palatino Linotype" w:eastAsiaTheme="minorHAnsi" w:hAnsi="Palatino Linotype" w:cstheme="minorBidi"/>
          <w:color w:val="000000" w:themeColor="text1"/>
          <w:sz w:val="22"/>
          <w:szCs w:val="22"/>
          <w:lang w:eastAsia="en-US"/>
        </w:rPr>
        <w:t>/</w:t>
      </w:r>
      <w:r w:rsidR="00985347" w:rsidRPr="003709C1">
        <w:rPr>
          <w:rFonts w:ascii="Palatino Linotype" w:eastAsiaTheme="minorHAnsi" w:hAnsi="Palatino Linotype" w:cstheme="minorBidi"/>
          <w:color w:val="000000" w:themeColor="text1"/>
          <w:sz w:val="22"/>
          <w:szCs w:val="22"/>
          <w:lang w:eastAsia="en-US"/>
        </w:rPr>
        <w:t>JALTENCO</w:t>
      </w:r>
      <w:r w:rsidR="00A17E23" w:rsidRPr="003709C1">
        <w:rPr>
          <w:rFonts w:ascii="Palatino Linotype" w:eastAsiaTheme="minorHAnsi" w:hAnsi="Palatino Linotype" w:cstheme="minorBidi"/>
          <w:color w:val="000000" w:themeColor="text1"/>
          <w:sz w:val="22"/>
          <w:szCs w:val="22"/>
          <w:lang w:eastAsia="en-US"/>
        </w:rPr>
        <w:t>/IP/2024</w:t>
      </w:r>
      <w:r w:rsidRPr="003709C1">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3709C1">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3709C1" w:rsidRDefault="008F4B45" w:rsidP="004F4E53">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6496B8EC" w:rsidR="008F4B45" w:rsidRPr="003709C1" w:rsidRDefault="003F5E0D" w:rsidP="004F4E53">
      <w:pPr>
        <w:spacing w:line="360" w:lineRule="auto"/>
        <w:ind w:right="-93"/>
        <w:contextualSpacing/>
        <w:jc w:val="center"/>
        <w:rPr>
          <w:rFonts w:ascii="Palatino Linotype" w:eastAsia="Calibri" w:hAnsi="Palatino Linotype" w:cs="Tahoma"/>
          <w:b/>
          <w:bCs/>
          <w:sz w:val="22"/>
          <w:szCs w:val="22"/>
          <w:lang w:eastAsia="en-US"/>
        </w:rPr>
      </w:pPr>
      <w:r w:rsidRPr="003709C1">
        <w:rPr>
          <w:rFonts w:ascii="Palatino Linotype" w:eastAsia="Calibri" w:hAnsi="Palatino Linotype" w:cs="Tahoma"/>
          <w:b/>
          <w:bCs/>
          <w:sz w:val="22"/>
          <w:szCs w:val="22"/>
          <w:lang w:eastAsia="en-US"/>
        </w:rPr>
        <w:t>A N T E C E D E N T E S</w:t>
      </w:r>
    </w:p>
    <w:p w14:paraId="3D51A562" w14:textId="77777777" w:rsidR="008F4B45" w:rsidRPr="003709C1" w:rsidRDefault="008F4B45" w:rsidP="004F4E53">
      <w:pPr>
        <w:spacing w:line="360" w:lineRule="auto"/>
        <w:ind w:right="-93"/>
        <w:contextualSpacing/>
        <w:jc w:val="both"/>
        <w:rPr>
          <w:rFonts w:ascii="Palatino Linotype" w:eastAsia="Calibri" w:hAnsi="Palatino Linotype" w:cs="Tahoma"/>
          <w:bCs/>
          <w:sz w:val="22"/>
          <w:szCs w:val="22"/>
          <w:lang w:eastAsia="en-US"/>
        </w:rPr>
      </w:pPr>
    </w:p>
    <w:p w14:paraId="07539392" w14:textId="0541120D" w:rsidR="00F469B3" w:rsidRPr="003709C1" w:rsidRDefault="00F469B3" w:rsidP="004F4E53">
      <w:pPr>
        <w:tabs>
          <w:tab w:val="left" w:pos="567"/>
        </w:tabs>
        <w:spacing w:line="360" w:lineRule="auto"/>
        <w:jc w:val="both"/>
        <w:rPr>
          <w:rFonts w:ascii="Palatino Linotype" w:hAnsi="Palatino Linotype" w:cs="Tahoma"/>
          <w:b/>
          <w:sz w:val="22"/>
          <w:szCs w:val="22"/>
        </w:rPr>
      </w:pPr>
      <w:r w:rsidRPr="003709C1">
        <w:rPr>
          <w:rFonts w:ascii="Palatino Linotype" w:hAnsi="Palatino Linotype" w:cs="Tahoma"/>
          <w:b/>
          <w:sz w:val="22"/>
          <w:szCs w:val="22"/>
        </w:rPr>
        <w:t>I. Presentación de la solicitud de información</w:t>
      </w:r>
    </w:p>
    <w:p w14:paraId="2C510854" w14:textId="77777777" w:rsidR="00F469B3" w:rsidRPr="003709C1" w:rsidRDefault="00F469B3" w:rsidP="004F4E53">
      <w:pPr>
        <w:tabs>
          <w:tab w:val="left" w:pos="567"/>
        </w:tabs>
        <w:spacing w:line="360" w:lineRule="auto"/>
        <w:jc w:val="both"/>
        <w:rPr>
          <w:rFonts w:ascii="Palatino Linotype" w:hAnsi="Palatino Linotype" w:cs="Tahoma"/>
          <w:sz w:val="22"/>
          <w:szCs w:val="22"/>
        </w:rPr>
      </w:pPr>
    </w:p>
    <w:p w14:paraId="0F999651" w14:textId="76931B8D" w:rsidR="00253EAE" w:rsidRPr="003709C1"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3709C1">
        <w:rPr>
          <w:rFonts w:ascii="Palatino Linotype" w:eastAsiaTheme="minorHAnsi" w:hAnsi="Palatino Linotype" w:cs="Tahoma"/>
          <w:color w:val="000000" w:themeColor="text1"/>
          <w:sz w:val="22"/>
          <w:szCs w:val="22"/>
          <w:lang w:eastAsia="en-US"/>
        </w:rPr>
        <w:t xml:space="preserve">El </w:t>
      </w:r>
      <w:r w:rsidR="00985347" w:rsidRPr="003709C1">
        <w:rPr>
          <w:rFonts w:ascii="Palatino Linotype" w:eastAsiaTheme="minorHAnsi" w:hAnsi="Palatino Linotype" w:cs="Tahoma"/>
          <w:color w:val="000000" w:themeColor="text1"/>
          <w:sz w:val="22"/>
          <w:szCs w:val="22"/>
          <w:lang w:eastAsia="en-US"/>
        </w:rPr>
        <w:t>veinticuatro</w:t>
      </w:r>
      <w:r w:rsidR="0051401F" w:rsidRPr="003709C1">
        <w:rPr>
          <w:rFonts w:ascii="Palatino Linotype" w:eastAsiaTheme="minorHAnsi" w:hAnsi="Palatino Linotype" w:cs="Tahoma"/>
          <w:color w:val="000000" w:themeColor="text1"/>
          <w:sz w:val="22"/>
          <w:szCs w:val="22"/>
          <w:lang w:eastAsia="en-US"/>
        </w:rPr>
        <w:t xml:space="preserve"> de septiembre</w:t>
      </w:r>
      <w:r w:rsidRPr="003709C1">
        <w:rPr>
          <w:rFonts w:ascii="Palatino Linotype" w:eastAsiaTheme="minorHAnsi" w:hAnsi="Palatino Linotype" w:cs="Tahoma"/>
          <w:color w:val="000000" w:themeColor="text1"/>
          <w:sz w:val="22"/>
          <w:szCs w:val="22"/>
          <w:lang w:eastAsia="en-US"/>
        </w:rPr>
        <w:t xml:space="preserve"> de dos mil veinticuatro</w:t>
      </w:r>
      <w:r w:rsidR="00253EAE" w:rsidRPr="003709C1">
        <w:rPr>
          <w:rFonts w:ascii="Palatino Linotype" w:hAnsi="Palatino Linotype" w:cs="Tahoma"/>
          <w:sz w:val="22"/>
          <w:szCs w:val="22"/>
        </w:rPr>
        <w:t xml:space="preserve">, el Particular presentó una solicitud de acceso a la información pública, a través del Sistema de Acceso a la Información Mexiquense (SAIMEX), ante el </w:t>
      </w:r>
      <w:bookmarkStart w:id="0" w:name="_Hlk85623687"/>
      <w:r w:rsidR="00253EAE" w:rsidRPr="003709C1">
        <w:rPr>
          <w:rFonts w:ascii="Palatino Linotype" w:hAnsi="Palatino Linotype" w:cs="Tahoma"/>
          <w:bCs/>
          <w:sz w:val="22"/>
          <w:szCs w:val="22"/>
        </w:rPr>
        <w:t xml:space="preserve">Ayuntamiento de </w:t>
      </w:r>
      <w:bookmarkEnd w:id="0"/>
      <w:r w:rsidR="00985347" w:rsidRPr="003709C1">
        <w:rPr>
          <w:rFonts w:ascii="Palatino Linotype" w:eastAsia="Calibri" w:hAnsi="Palatino Linotype" w:cs="Tahoma"/>
          <w:sz w:val="22"/>
          <w:szCs w:val="22"/>
          <w:lang w:eastAsia="en-US"/>
        </w:rPr>
        <w:t>Jaltenco</w:t>
      </w:r>
      <w:r w:rsidR="00253EAE" w:rsidRPr="003709C1">
        <w:rPr>
          <w:rFonts w:ascii="Palatino Linotype" w:hAnsi="Palatino Linotype"/>
          <w:bCs/>
          <w:sz w:val="22"/>
          <w:szCs w:val="22"/>
        </w:rPr>
        <w:t>,</w:t>
      </w:r>
      <w:r w:rsidR="00253EAE" w:rsidRPr="003709C1">
        <w:rPr>
          <w:rFonts w:ascii="Palatino Linotype" w:hAnsi="Palatino Linotype" w:cs="Tahoma"/>
          <w:bCs/>
          <w:sz w:val="22"/>
          <w:szCs w:val="22"/>
        </w:rPr>
        <w:t xml:space="preserve"> en los siguientes términos:</w:t>
      </w:r>
    </w:p>
    <w:p w14:paraId="122865B0" w14:textId="77777777" w:rsidR="00253EAE" w:rsidRPr="003709C1"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0494EA6F" w:rsidR="00253EAE" w:rsidRPr="003709C1" w:rsidRDefault="00253EAE" w:rsidP="00253EAE">
      <w:pPr>
        <w:tabs>
          <w:tab w:val="left" w:pos="4667"/>
        </w:tabs>
        <w:spacing w:line="360" w:lineRule="auto"/>
        <w:ind w:left="567" w:right="567"/>
        <w:jc w:val="both"/>
        <w:rPr>
          <w:rFonts w:ascii="Palatino Linotype" w:hAnsi="Palatino Linotype" w:cs="Tahoma"/>
          <w:b/>
          <w:bCs/>
          <w:i/>
        </w:rPr>
      </w:pPr>
      <w:r w:rsidRPr="003709C1">
        <w:rPr>
          <w:rFonts w:ascii="Palatino Linotype" w:hAnsi="Palatino Linotype" w:cs="Tahoma"/>
          <w:b/>
          <w:bCs/>
          <w:i/>
        </w:rPr>
        <w:t>DESCRIPCIÓN CLARA Y PRECISA DE LA INFORMACIÓN SOLICITADA</w:t>
      </w:r>
    </w:p>
    <w:p w14:paraId="372368C1" w14:textId="5F2D69A3" w:rsidR="00253EAE" w:rsidRPr="003709C1" w:rsidRDefault="00985347" w:rsidP="00253EAE">
      <w:pPr>
        <w:tabs>
          <w:tab w:val="left" w:pos="4667"/>
        </w:tabs>
        <w:spacing w:line="360" w:lineRule="auto"/>
        <w:ind w:left="567" w:right="567"/>
        <w:jc w:val="both"/>
        <w:rPr>
          <w:rFonts w:ascii="Palatino Linotype" w:hAnsi="Palatino Linotype" w:cs="Tahoma"/>
          <w:bCs/>
          <w:i/>
        </w:rPr>
      </w:pPr>
      <w:r w:rsidRPr="003709C1">
        <w:rPr>
          <w:rFonts w:ascii="Palatino Linotype" w:hAnsi="Palatino Linotype" w:cs="Tahoma"/>
          <w:bCs/>
          <w:i/>
        </w:rPr>
        <w:t xml:space="preserve">al tesorero municipal de </w:t>
      </w:r>
      <w:proofErr w:type="spellStart"/>
      <w:r w:rsidRPr="003709C1">
        <w:rPr>
          <w:rFonts w:ascii="Palatino Linotype" w:hAnsi="Palatino Linotype" w:cs="Tahoma"/>
          <w:bCs/>
          <w:i/>
        </w:rPr>
        <w:t>jaltenco</w:t>
      </w:r>
      <w:proofErr w:type="spellEnd"/>
      <w:r w:rsidRPr="003709C1">
        <w:rPr>
          <w:rFonts w:ascii="Palatino Linotype" w:hAnsi="Palatino Linotype" w:cs="Tahoma"/>
          <w:bCs/>
          <w:i/>
        </w:rPr>
        <w:t xml:space="preserve"> informe detalladamente cuantos trabajadores hay por cada </w:t>
      </w:r>
      <w:proofErr w:type="spellStart"/>
      <w:r w:rsidRPr="003709C1">
        <w:rPr>
          <w:rFonts w:ascii="Palatino Linotype" w:hAnsi="Palatino Linotype" w:cs="Tahoma"/>
          <w:bCs/>
          <w:i/>
        </w:rPr>
        <w:t>area</w:t>
      </w:r>
      <w:proofErr w:type="spellEnd"/>
      <w:r w:rsidRPr="003709C1">
        <w:rPr>
          <w:rFonts w:ascii="Palatino Linotype" w:hAnsi="Palatino Linotype" w:cs="Tahoma"/>
          <w:bCs/>
          <w:i/>
        </w:rPr>
        <w:t xml:space="preserve"> o </w:t>
      </w:r>
      <w:proofErr w:type="spellStart"/>
      <w:r w:rsidRPr="003709C1">
        <w:rPr>
          <w:rFonts w:ascii="Palatino Linotype" w:hAnsi="Palatino Linotype" w:cs="Tahoma"/>
          <w:bCs/>
          <w:i/>
        </w:rPr>
        <w:t>direecion</w:t>
      </w:r>
      <w:proofErr w:type="spellEnd"/>
      <w:r w:rsidRPr="003709C1">
        <w:rPr>
          <w:rFonts w:ascii="Palatino Linotype" w:hAnsi="Palatino Linotype" w:cs="Tahoma"/>
          <w:bCs/>
          <w:i/>
        </w:rPr>
        <w:t xml:space="preserve"> o </w:t>
      </w:r>
      <w:proofErr w:type="spellStart"/>
      <w:r w:rsidRPr="003709C1">
        <w:rPr>
          <w:rFonts w:ascii="Palatino Linotype" w:hAnsi="Palatino Linotype" w:cs="Tahoma"/>
          <w:bCs/>
          <w:i/>
        </w:rPr>
        <w:t>coordinacion</w:t>
      </w:r>
      <w:proofErr w:type="spellEnd"/>
      <w:r w:rsidRPr="003709C1">
        <w:rPr>
          <w:rFonts w:ascii="Palatino Linotype" w:hAnsi="Palatino Linotype" w:cs="Tahoma"/>
          <w:bCs/>
          <w:i/>
        </w:rPr>
        <w:t xml:space="preserve"> tanto hombres como mujeres y de todos estos cuantos cuenta con seguro </w:t>
      </w:r>
      <w:proofErr w:type="spellStart"/>
      <w:r w:rsidRPr="003709C1">
        <w:rPr>
          <w:rFonts w:ascii="Palatino Linotype" w:hAnsi="Palatino Linotype" w:cs="Tahoma"/>
          <w:bCs/>
          <w:i/>
        </w:rPr>
        <w:t>medico</w:t>
      </w:r>
      <w:proofErr w:type="spellEnd"/>
      <w:r w:rsidRPr="003709C1">
        <w:rPr>
          <w:rFonts w:ascii="Palatino Linotype" w:hAnsi="Palatino Linotype" w:cs="Tahoma"/>
          <w:bCs/>
          <w:i/>
        </w:rPr>
        <w:t xml:space="preserve"> es decir lo </w:t>
      </w:r>
      <w:proofErr w:type="spellStart"/>
      <w:r w:rsidRPr="003709C1">
        <w:rPr>
          <w:rFonts w:ascii="Palatino Linotype" w:hAnsi="Palatino Linotype" w:cs="Tahoma"/>
          <w:bCs/>
          <w:i/>
        </w:rPr>
        <w:t>quer</w:t>
      </w:r>
      <w:proofErr w:type="spellEnd"/>
      <w:r w:rsidRPr="003709C1">
        <w:rPr>
          <w:rFonts w:ascii="Palatino Linotype" w:hAnsi="Palatino Linotype" w:cs="Tahoma"/>
          <w:bCs/>
          <w:i/>
        </w:rPr>
        <w:t xml:space="preserve"> tiene que tener </w:t>
      </w:r>
      <w:proofErr w:type="spellStart"/>
      <w:r w:rsidRPr="003709C1">
        <w:rPr>
          <w:rFonts w:ascii="Palatino Linotype" w:hAnsi="Palatino Linotype" w:cs="Tahoma"/>
          <w:bCs/>
          <w:i/>
        </w:rPr>
        <w:t>issemym</w:t>
      </w:r>
      <w:proofErr w:type="spellEnd"/>
      <w:r w:rsidRPr="003709C1">
        <w:rPr>
          <w:rFonts w:ascii="Palatino Linotype" w:hAnsi="Palatino Linotype" w:cs="Tahoma"/>
          <w:bCs/>
          <w:i/>
        </w:rPr>
        <w:t xml:space="preserve"> y que </w:t>
      </w:r>
      <w:proofErr w:type="spellStart"/>
      <w:r w:rsidRPr="003709C1">
        <w:rPr>
          <w:rFonts w:ascii="Palatino Linotype" w:hAnsi="Palatino Linotype" w:cs="Tahoma"/>
          <w:bCs/>
          <w:i/>
        </w:rPr>
        <w:t>garantias</w:t>
      </w:r>
      <w:proofErr w:type="spellEnd"/>
      <w:r w:rsidRPr="003709C1">
        <w:rPr>
          <w:rFonts w:ascii="Palatino Linotype" w:hAnsi="Palatino Linotype" w:cs="Tahoma"/>
          <w:bCs/>
          <w:i/>
        </w:rPr>
        <w:t xml:space="preserve"> tiene de seguro </w:t>
      </w:r>
      <w:proofErr w:type="spellStart"/>
      <w:r w:rsidRPr="003709C1">
        <w:rPr>
          <w:rFonts w:ascii="Palatino Linotype" w:hAnsi="Palatino Linotype" w:cs="Tahoma"/>
          <w:bCs/>
          <w:i/>
        </w:rPr>
        <w:t>der</w:t>
      </w:r>
      <w:proofErr w:type="spellEnd"/>
      <w:r w:rsidRPr="003709C1">
        <w:rPr>
          <w:rFonts w:ascii="Palatino Linotype" w:hAnsi="Palatino Linotype" w:cs="Tahoma"/>
          <w:bCs/>
          <w:i/>
        </w:rPr>
        <w:t xml:space="preserve"> vida cuando los mandan a llenar sus eventos en alborada o se los llevan a la ciudad de </w:t>
      </w:r>
      <w:proofErr w:type="spellStart"/>
      <w:r w:rsidRPr="003709C1">
        <w:rPr>
          <w:rFonts w:ascii="Palatino Linotype" w:hAnsi="Palatino Linotype" w:cs="Tahoma"/>
          <w:bCs/>
          <w:i/>
        </w:rPr>
        <w:t>mexico</w:t>
      </w:r>
      <w:proofErr w:type="spellEnd"/>
      <w:r w:rsidRPr="003709C1">
        <w:rPr>
          <w:rFonts w:ascii="Palatino Linotype" w:hAnsi="Palatino Linotype" w:cs="Tahoma"/>
          <w:bCs/>
          <w:i/>
        </w:rPr>
        <w:t xml:space="preserve"> y </w:t>
      </w:r>
      <w:proofErr w:type="spellStart"/>
      <w:r w:rsidRPr="003709C1">
        <w:rPr>
          <w:rFonts w:ascii="Palatino Linotype" w:hAnsi="Palatino Linotype" w:cs="Tahoma"/>
          <w:bCs/>
          <w:i/>
        </w:rPr>
        <w:t>cuanto</w:t>
      </w:r>
      <w:proofErr w:type="spellEnd"/>
      <w:r w:rsidRPr="003709C1">
        <w:rPr>
          <w:rFonts w:ascii="Palatino Linotype" w:hAnsi="Palatino Linotype" w:cs="Tahoma"/>
          <w:bCs/>
          <w:i/>
        </w:rPr>
        <w:t xml:space="preserve"> les dan para pasaje para poder ir y venir de alborada </w:t>
      </w:r>
      <w:proofErr w:type="spellStart"/>
      <w:r w:rsidRPr="003709C1">
        <w:rPr>
          <w:rFonts w:ascii="Palatino Linotype" w:hAnsi="Palatino Linotype" w:cs="Tahoma"/>
          <w:bCs/>
          <w:i/>
        </w:rPr>
        <w:t>aser</w:t>
      </w:r>
      <w:proofErr w:type="spellEnd"/>
      <w:r w:rsidRPr="003709C1">
        <w:rPr>
          <w:rFonts w:ascii="Palatino Linotype" w:hAnsi="Palatino Linotype" w:cs="Tahoma"/>
          <w:bCs/>
          <w:i/>
        </w:rPr>
        <w:t xml:space="preserve"> cosas que no es su trabajo barrer y levantar basura </w:t>
      </w:r>
      <w:proofErr w:type="spellStart"/>
      <w:r w:rsidRPr="003709C1">
        <w:rPr>
          <w:rFonts w:ascii="Palatino Linotype" w:hAnsi="Palatino Linotype" w:cs="Tahoma"/>
          <w:bCs/>
          <w:i/>
        </w:rPr>
        <w:t>exponiendolos</w:t>
      </w:r>
      <w:proofErr w:type="spellEnd"/>
      <w:r w:rsidRPr="003709C1">
        <w:rPr>
          <w:rFonts w:ascii="Palatino Linotype" w:hAnsi="Palatino Linotype" w:cs="Tahoma"/>
          <w:bCs/>
          <w:i/>
        </w:rPr>
        <w:t xml:space="preserve"> a todo tipo de contagios pido el informe que escribo para poder llevar a la secretaria </w:t>
      </w:r>
      <w:r w:rsidRPr="003709C1">
        <w:rPr>
          <w:rFonts w:ascii="Palatino Linotype" w:hAnsi="Palatino Linotype" w:cs="Tahoma"/>
          <w:bCs/>
          <w:i/>
        </w:rPr>
        <w:lastRenderedPageBreak/>
        <w:t xml:space="preserve">del trabajo a derechos humanos y al </w:t>
      </w:r>
      <w:proofErr w:type="spellStart"/>
      <w:r w:rsidRPr="003709C1">
        <w:rPr>
          <w:rFonts w:ascii="Palatino Linotype" w:hAnsi="Palatino Linotype" w:cs="Tahoma"/>
          <w:bCs/>
          <w:i/>
        </w:rPr>
        <w:t>issemym</w:t>
      </w:r>
      <w:proofErr w:type="spellEnd"/>
      <w:r w:rsidRPr="003709C1">
        <w:rPr>
          <w:rFonts w:ascii="Palatino Linotype" w:hAnsi="Palatino Linotype" w:cs="Tahoma"/>
          <w:bCs/>
          <w:i/>
        </w:rPr>
        <w:t xml:space="preserve"> a </w:t>
      </w:r>
      <w:proofErr w:type="spellStart"/>
      <w:r w:rsidRPr="003709C1">
        <w:rPr>
          <w:rFonts w:ascii="Palatino Linotype" w:hAnsi="Palatino Linotype" w:cs="Tahoma"/>
          <w:bCs/>
          <w:i/>
        </w:rPr>
        <w:t>zumpango</w:t>
      </w:r>
      <w:proofErr w:type="spellEnd"/>
      <w:r w:rsidRPr="003709C1">
        <w:rPr>
          <w:rFonts w:ascii="Palatino Linotype" w:hAnsi="Palatino Linotype" w:cs="Tahoma"/>
          <w:bCs/>
          <w:i/>
        </w:rPr>
        <w:t xml:space="preserve"> y si no </w:t>
      </w:r>
      <w:proofErr w:type="spellStart"/>
      <w:r w:rsidRPr="003709C1">
        <w:rPr>
          <w:rFonts w:ascii="Palatino Linotype" w:hAnsi="Palatino Linotype" w:cs="Tahoma"/>
          <w:bCs/>
          <w:i/>
        </w:rPr>
        <w:t>esta</w:t>
      </w:r>
      <w:proofErr w:type="spellEnd"/>
      <w:r w:rsidRPr="003709C1">
        <w:rPr>
          <w:rFonts w:ascii="Palatino Linotype" w:hAnsi="Palatino Linotype" w:cs="Tahoma"/>
          <w:bCs/>
          <w:i/>
        </w:rPr>
        <w:t xml:space="preserve"> usted apoyando en nada acudir a la </w:t>
      </w:r>
      <w:proofErr w:type="spellStart"/>
      <w:r w:rsidRPr="003709C1">
        <w:rPr>
          <w:rFonts w:ascii="Palatino Linotype" w:hAnsi="Palatino Linotype" w:cs="Tahoma"/>
          <w:bCs/>
          <w:i/>
        </w:rPr>
        <w:t>fiscalia</w:t>
      </w:r>
      <w:proofErr w:type="spellEnd"/>
      <w:r w:rsidRPr="003709C1">
        <w:rPr>
          <w:rFonts w:ascii="Palatino Linotype" w:hAnsi="Palatino Linotype" w:cs="Tahoma"/>
          <w:bCs/>
          <w:i/>
        </w:rPr>
        <w:t xml:space="preserve"> de los trabajadores de las presidencias</w:t>
      </w:r>
      <w:r w:rsidR="00253EAE" w:rsidRPr="003709C1">
        <w:rPr>
          <w:rFonts w:ascii="Palatino Linotype" w:hAnsi="Palatino Linotype" w:cs="Tahoma"/>
          <w:bCs/>
          <w:i/>
        </w:rPr>
        <w:t>” (Sic.)</w:t>
      </w:r>
    </w:p>
    <w:p w14:paraId="64768988" w14:textId="77777777" w:rsidR="00253EAE" w:rsidRPr="003709C1" w:rsidRDefault="00253EAE" w:rsidP="00253EAE">
      <w:pPr>
        <w:spacing w:line="360" w:lineRule="auto"/>
        <w:ind w:right="567"/>
        <w:jc w:val="both"/>
        <w:rPr>
          <w:rFonts w:ascii="Palatino Linotype" w:hAnsi="Palatino Linotype" w:cs="Tahoma"/>
          <w:b/>
          <w:bCs/>
        </w:rPr>
      </w:pPr>
    </w:p>
    <w:p w14:paraId="328702F2" w14:textId="5FF261B0" w:rsidR="00253EAE" w:rsidRPr="003709C1" w:rsidRDefault="00253EAE" w:rsidP="00253EAE">
      <w:pPr>
        <w:tabs>
          <w:tab w:val="left" w:pos="4667"/>
        </w:tabs>
        <w:spacing w:line="360" w:lineRule="auto"/>
        <w:ind w:left="567" w:right="567"/>
        <w:jc w:val="both"/>
        <w:rPr>
          <w:rFonts w:ascii="Palatino Linotype" w:hAnsi="Palatino Linotype" w:cs="Tahoma"/>
          <w:b/>
          <w:bCs/>
          <w:i/>
          <w:iCs/>
        </w:rPr>
      </w:pPr>
      <w:r w:rsidRPr="003709C1">
        <w:rPr>
          <w:rFonts w:ascii="Palatino Linotype" w:hAnsi="Palatino Linotype" w:cs="Tahoma"/>
          <w:b/>
          <w:bCs/>
          <w:i/>
          <w:iCs/>
        </w:rPr>
        <w:t>MODALIDAD DE ENTREGA</w:t>
      </w:r>
    </w:p>
    <w:p w14:paraId="0088BDE8" w14:textId="77777777" w:rsidR="00253EAE" w:rsidRPr="003709C1" w:rsidRDefault="00253EAE" w:rsidP="00253EAE">
      <w:pPr>
        <w:spacing w:line="360" w:lineRule="auto"/>
        <w:ind w:left="567" w:right="567"/>
        <w:jc w:val="both"/>
        <w:rPr>
          <w:rFonts w:ascii="Palatino Linotype" w:hAnsi="Palatino Linotype" w:cs="Arial"/>
          <w:bCs/>
          <w:i/>
          <w:iCs/>
        </w:rPr>
      </w:pPr>
      <w:r w:rsidRPr="003709C1">
        <w:rPr>
          <w:rFonts w:ascii="Palatino Linotype" w:hAnsi="Palatino Linotype" w:cs="Arial"/>
          <w:bCs/>
          <w:i/>
          <w:iCs/>
        </w:rPr>
        <w:t xml:space="preserve">A través del SAIMEX.” </w:t>
      </w:r>
    </w:p>
    <w:p w14:paraId="2CE206CA" w14:textId="77777777" w:rsidR="0007424C" w:rsidRPr="003709C1" w:rsidRDefault="0007424C" w:rsidP="004F4E53">
      <w:pPr>
        <w:spacing w:line="360" w:lineRule="auto"/>
        <w:ind w:right="567"/>
        <w:jc w:val="both"/>
        <w:rPr>
          <w:rFonts w:ascii="Palatino Linotype" w:hAnsi="Palatino Linotype" w:cs="Arial"/>
          <w:bCs/>
          <w:i/>
          <w:iCs/>
          <w:szCs w:val="22"/>
        </w:rPr>
      </w:pPr>
    </w:p>
    <w:p w14:paraId="4A453407" w14:textId="383AE6D7" w:rsidR="00F469B3" w:rsidRPr="003709C1"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r w:rsidRPr="003709C1">
        <w:rPr>
          <w:rFonts w:ascii="Palatino Linotype" w:eastAsiaTheme="minorHAnsi" w:hAnsi="Palatino Linotype" w:cstheme="minorBidi"/>
          <w:b/>
          <w:color w:val="000000" w:themeColor="text1"/>
          <w:sz w:val="22"/>
          <w:szCs w:val="22"/>
          <w:lang w:eastAsia="en-US"/>
        </w:rPr>
        <w:t>II. Respuesta del Sujeto Obligado</w:t>
      </w:r>
    </w:p>
    <w:p w14:paraId="4ED48BC3" w14:textId="77777777" w:rsidR="0053216F" w:rsidRPr="003709C1"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3709C1"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3709C1">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355FAE8D" w:rsidR="003942CB" w:rsidRPr="003709C1"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3709C1">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542F88" w:rsidRPr="003709C1">
        <w:rPr>
          <w:rFonts w:ascii="Palatino Linotype" w:eastAsia="Calibri" w:hAnsi="Palatino Linotype" w:cs="Tahoma"/>
          <w:b/>
          <w:bCs/>
          <w:sz w:val="22"/>
          <w:szCs w:val="22"/>
          <w:lang w:eastAsia="en-US"/>
        </w:rPr>
        <w:t xml:space="preserve"> Ayuntamiento de </w:t>
      </w:r>
      <w:r w:rsidR="00985347" w:rsidRPr="003709C1">
        <w:rPr>
          <w:rFonts w:ascii="Palatino Linotype" w:eastAsia="Calibri" w:hAnsi="Palatino Linotype" w:cs="Tahoma"/>
          <w:b/>
          <w:bCs/>
          <w:sz w:val="22"/>
          <w:szCs w:val="22"/>
          <w:lang w:eastAsia="en-US"/>
        </w:rPr>
        <w:t>Jaltenco</w:t>
      </w:r>
      <w:r w:rsidRPr="003709C1">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3709C1">
        <w:rPr>
          <w:rFonts w:ascii="Palatino Linotype" w:eastAsiaTheme="minorHAnsi" w:hAnsi="Palatino Linotype" w:cstheme="minorBidi"/>
          <w:b/>
          <w:color w:val="000000" w:themeColor="text1"/>
          <w:sz w:val="22"/>
          <w:szCs w:val="22"/>
          <w:lang w:eastAsia="en-US"/>
        </w:rPr>
        <w:t>configura la negativa ficta</w:t>
      </w:r>
      <w:r w:rsidRPr="003709C1">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3709C1" w:rsidRDefault="003942CB" w:rsidP="004F4E53">
      <w:pPr>
        <w:spacing w:line="360" w:lineRule="auto"/>
        <w:jc w:val="both"/>
        <w:rPr>
          <w:rFonts w:ascii="Palatino Linotype" w:hAnsi="Palatino Linotype" w:cs="Tahoma"/>
          <w:bCs/>
          <w:iCs/>
          <w:color w:val="000000" w:themeColor="text1"/>
          <w:sz w:val="22"/>
          <w:szCs w:val="22"/>
        </w:rPr>
      </w:pPr>
    </w:p>
    <w:p w14:paraId="6E7C6651" w14:textId="08C94C08" w:rsidR="00F469B3" w:rsidRPr="003709C1"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r w:rsidRPr="003709C1">
        <w:rPr>
          <w:rFonts w:ascii="Palatino Linotype" w:eastAsiaTheme="minorHAnsi" w:hAnsi="Palatino Linotype" w:cstheme="minorBidi"/>
          <w:b/>
          <w:bCs/>
          <w:color w:val="000000" w:themeColor="text1"/>
          <w:sz w:val="22"/>
          <w:szCs w:val="22"/>
          <w:lang w:eastAsia="en-US"/>
        </w:rPr>
        <w:t>III. Interposición del Recurso de Revisión</w:t>
      </w:r>
    </w:p>
    <w:p w14:paraId="356E2604" w14:textId="77777777" w:rsidR="00F469B3" w:rsidRPr="003709C1"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DEB9323" w:rsidR="00F469B3" w:rsidRPr="003709C1" w:rsidRDefault="00B4118B" w:rsidP="004F4E53">
      <w:pPr>
        <w:spacing w:line="360" w:lineRule="auto"/>
        <w:jc w:val="both"/>
        <w:rPr>
          <w:rFonts w:ascii="Palatino Linotype" w:eastAsiaTheme="minorHAnsi" w:hAnsi="Palatino Linotype" w:cs="Tahoma"/>
          <w:sz w:val="22"/>
          <w:szCs w:val="22"/>
          <w:lang w:val="es-ES" w:eastAsia="en-US"/>
        </w:rPr>
      </w:pPr>
      <w:r w:rsidRPr="003709C1">
        <w:rPr>
          <w:rFonts w:ascii="Palatino Linotype" w:eastAsiaTheme="minorHAnsi" w:hAnsi="Palatino Linotype" w:cs="Tahoma"/>
          <w:color w:val="000000" w:themeColor="text1"/>
          <w:sz w:val="22"/>
          <w:szCs w:val="22"/>
          <w:lang w:eastAsia="en-US"/>
        </w:rPr>
        <w:t>El</w:t>
      </w:r>
      <w:r w:rsidR="00F469B3" w:rsidRPr="003709C1">
        <w:rPr>
          <w:rFonts w:ascii="Palatino Linotype" w:eastAsiaTheme="minorHAnsi" w:hAnsi="Palatino Linotype" w:cs="Tahoma"/>
          <w:color w:val="000000" w:themeColor="text1"/>
          <w:sz w:val="22"/>
          <w:szCs w:val="22"/>
          <w:lang w:eastAsia="en-US"/>
        </w:rPr>
        <w:t xml:space="preserve"> </w:t>
      </w:r>
      <w:r w:rsidR="00985347" w:rsidRPr="003709C1">
        <w:rPr>
          <w:rFonts w:ascii="Palatino Linotype" w:hAnsi="Palatino Linotype" w:cs="Tahoma"/>
          <w:bCs/>
          <w:iCs/>
          <w:color w:val="000000" w:themeColor="text1"/>
          <w:sz w:val="22"/>
          <w:szCs w:val="22"/>
        </w:rPr>
        <w:t>veintidós</w:t>
      </w:r>
      <w:r w:rsidR="0051401F" w:rsidRPr="003709C1">
        <w:rPr>
          <w:rFonts w:ascii="Palatino Linotype" w:hAnsi="Palatino Linotype" w:cs="Tahoma"/>
          <w:bCs/>
          <w:iCs/>
          <w:color w:val="000000" w:themeColor="text1"/>
          <w:sz w:val="22"/>
          <w:szCs w:val="22"/>
        </w:rPr>
        <w:t xml:space="preserve"> de octubre</w:t>
      </w:r>
      <w:r w:rsidR="00CF2FD4" w:rsidRPr="003709C1">
        <w:rPr>
          <w:rFonts w:ascii="Palatino Linotype" w:hAnsi="Palatino Linotype" w:cs="Tahoma"/>
          <w:bCs/>
          <w:iCs/>
          <w:color w:val="000000" w:themeColor="text1"/>
          <w:sz w:val="22"/>
          <w:szCs w:val="22"/>
        </w:rPr>
        <w:t xml:space="preserve"> de dos mil veinticuatro</w:t>
      </w:r>
      <w:r w:rsidR="00F469B3" w:rsidRPr="003709C1">
        <w:rPr>
          <w:rFonts w:ascii="Palatino Linotype" w:eastAsiaTheme="minorHAnsi" w:hAnsi="Palatino Linotype" w:cs="Tahoma"/>
          <w:color w:val="000000" w:themeColor="text1"/>
          <w:sz w:val="22"/>
          <w:szCs w:val="22"/>
          <w:lang w:eastAsia="en-US"/>
        </w:rPr>
        <w:t xml:space="preserve">, </w:t>
      </w:r>
      <w:r w:rsidR="00F469B3" w:rsidRPr="003709C1">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3709C1">
        <w:rPr>
          <w:rFonts w:ascii="Palatino Linotype" w:eastAsiaTheme="minorHAnsi" w:hAnsi="Palatino Linotype" w:cs="Tahoma"/>
          <w:color w:val="000000" w:themeColor="text1"/>
          <w:sz w:val="22"/>
          <w:szCs w:val="22"/>
          <w:lang w:val="es-ES" w:eastAsia="en-US"/>
        </w:rPr>
        <w:t xml:space="preserve">falta de </w:t>
      </w:r>
      <w:r w:rsidR="00F469B3" w:rsidRPr="003709C1">
        <w:rPr>
          <w:rFonts w:ascii="Palatino Linotype" w:eastAsiaTheme="minorHAnsi" w:hAnsi="Palatino Linotype" w:cs="Tahoma"/>
          <w:color w:val="000000" w:themeColor="text1"/>
          <w:sz w:val="22"/>
          <w:szCs w:val="22"/>
          <w:lang w:val="es-ES" w:eastAsia="en-US"/>
        </w:rPr>
        <w:t>respuesta por el</w:t>
      </w:r>
      <w:r w:rsidR="00542F88" w:rsidRPr="003709C1">
        <w:rPr>
          <w:rFonts w:ascii="Palatino Linotype" w:eastAsia="Calibri" w:hAnsi="Palatino Linotype" w:cs="Tahoma"/>
          <w:sz w:val="22"/>
          <w:szCs w:val="22"/>
          <w:lang w:eastAsia="en-US"/>
        </w:rPr>
        <w:t xml:space="preserve"> Sujeto Obligado</w:t>
      </w:r>
      <w:r w:rsidR="00F469B3" w:rsidRPr="003709C1">
        <w:rPr>
          <w:rFonts w:ascii="Palatino Linotype" w:eastAsiaTheme="minorHAnsi" w:hAnsi="Palatino Linotype" w:cs="Tahoma"/>
          <w:color w:val="000000" w:themeColor="text1"/>
          <w:sz w:val="22"/>
          <w:szCs w:val="22"/>
          <w:lang w:val="es-ES" w:eastAsia="en-US"/>
        </w:rPr>
        <w:t>, a la solicitud de información</w:t>
      </w:r>
      <w:r w:rsidR="00EB0141" w:rsidRPr="003709C1">
        <w:rPr>
          <w:rFonts w:ascii="Palatino Linotype" w:eastAsiaTheme="minorHAnsi" w:hAnsi="Palatino Linotype" w:cs="Tahoma"/>
          <w:color w:val="000000" w:themeColor="text1"/>
          <w:sz w:val="22"/>
          <w:szCs w:val="22"/>
          <w:lang w:val="es-ES" w:eastAsia="en-US"/>
        </w:rPr>
        <w:t>,</w:t>
      </w:r>
      <w:r w:rsidR="00F469B3" w:rsidRPr="003709C1">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3709C1"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588EA99" w:rsidR="00F469B3" w:rsidRPr="003709C1" w:rsidRDefault="00F469B3"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3709C1">
        <w:rPr>
          <w:rFonts w:ascii="Palatino Linotype" w:eastAsiaTheme="minorHAnsi" w:hAnsi="Palatino Linotype" w:cstheme="minorBidi"/>
          <w:b/>
          <w:bCs/>
          <w:i/>
          <w:color w:val="000000" w:themeColor="text1"/>
          <w:lang w:eastAsia="en-US"/>
        </w:rPr>
        <w:t>ACTO IMPUGNADO</w:t>
      </w:r>
    </w:p>
    <w:p w14:paraId="2E8033F2" w14:textId="0AAD28D9" w:rsidR="00F469B3" w:rsidRPr="003709C1" w:rsidRDefault="00985347" w:rsidP="004F4E53">
      <w:pPr>
        <w:spacing w:line="360" w:lineRule="auto"/>
        <w:ind w:left="567" w:right="567"/>
        <w:jc w:val="both"/>
        <w:rPr>
          <w:rFonts w:ascii="Palatino Linotype" w:eastAsiaTheme="minorHAnsi" w:hAnsi="Palatino Linotype" w:cstheme="minorBidi"/>
          <w:i/>
          <w:color w:val="000000" w:themeColor="text1"/>
          <w:lang w:eastAsia="en-US"/>
        </w:rPr>
      </w:pPr>
      <w:r w:rsidRPr="003709C1">
        <w:rPr>
          <w:rFonts w:ascii="Palatino Linotype" w:eastAsiaTheme="minorHAnsi" w:hAnsi="Palatino Linotype" w:cstheme="minorBidi"/>
          <w:i/>
          <w:color w:val="000000" w:themeColor="text1"/>
          <w:lang w:eastAsia="en-US"/>
        </w:rPr>
        <w:lastRenderedPageBreak/>
        <w:t xml:space="preserve">la negativa de la </w:t>
      </w:r>
      <w:proofErr w:type="spellStart"/>
      <w:r w:rsidRPr="003709C1">
        <w:rPr>
          <w:rFonts w:ascii="Palatino Linotype" w:eastAsiaTheme="minorHAnsi" w:hAnsi="Palatino Linotype" w:cstheme="minorBidi"/>
          <w:i/>
          <w:color w:val="000000" w:themeColor="text1"/>
          <w:lang w:eastAsia="en-US"/>
        </w:rPr>
        <w:t>informacion</w:t>
      </w:r>
      <w:proofErr w:type="spellEnd"/>
      <w:r w:rsidRPr="003709C1">
        <w:rPr>
          <w:rFonts w:ascii="Palatino Linotype" w:eastAsiaTheme="minorHAnsi" w:hAnsi="Palatino Linotype" w:cstheme="minorBidi"/>
          <w:i/>
          <w:color w:val="000000" w:themeColor="text1"/>
          <w:lang w:eastAsia="en-US"/>
        </w:rPr>
        <w:t xml:space="preserve"> solicitada y siendo esto que es una mala </w:t>
      </w:r>
      <w:proofErr w:type="spellStart"/>
      <w:r w:rsidRPr="003709C1">
        <w:rPr>
          <w:rFonts w:ascii="Palatino Linotype" w:eastAsiaTheme="minorHAnsi" w:hAnsi="Palatino Linotype" w:cstheme="minorBidi"/>
          <w:i/>
          <w:color w:val="000000" w:themeColor="text1"/>
          <w:lang w:eastAsia="en-US"/>
        </w:rPr>
        <w:t>costubre</w:t>
      </w:r>
      <w:proofErr w:type="spellEnd"/>
      <w:r w:rsidRPr="003709C1">
        <w:rPr>
          <w:rFonts w:ascii="Palatino Linotype" w:eastAsiaTheme="minorHAnsi" w:hAnsi="Palatino Linotype" w:cstheme="minorBidi"/>
          <w:i/>
          <w:color w:val="000000" w:themeColor="text1"/>
          <w:lang w:eastAsia="en-US"/>
        </w:rPr>
        <w:t xml:space="preserve"> por parte de esta autoridad de </w:t>
      </w:r>
      <w:proofErr w:type="spellStart"/>
      <w:r w:rsidRPr="003709C1">
        <w:rPr>
          <w:rFonts w:ascii="Palatino Linotype" w:eastAsiaTheme="minorHAnsi" w:hAnsi="Palatino Linotype" w:cstheme="minorBidi"/>
          <w:i/>
          <w:color w:val="000000" w:themeColor="text1"/>
          <w:lang w:eastAsia="en-US"/>
        </w:rPr>
        <w:t>jaltenco</w:t>
      </w:r>
      <w:proofErr w:type="spellEnd"/>
      <w:r w:rsidRPr="003709C1">
        <w:rPr>
          <w:rFonts w:ascii="Palatino Linotype" w:eastAsiaTheme="minorHAnsi" w:hAnsi="Palatino Linotype" w:cstheme="minorBidi"/>
          <w:i/>
          <w:color w:val="000000" w:themeColor="text1"/>
          <w:lang w:eastAsia="en-US"/>
        </w:rPr>
        <w:t xml:space="preserve"> el proporcionar la </w:t>
      </w:r>
      <w:proofErr w:type="spellStart"/>
      <w:r w:rsidRPr="003709C1">
        <w:rPr>
          <w:rFonts w:ascii="Palatino Linotype" w:eastAsiaTheme="minorHAnsi" w:hAnsi="Palatino Linotype" w:cstheme="minorBidi"/>
          <w:i/>
          <w:color w:val="000000" w:themeColor="text1"/>
          <w:lang w:eastAsia="en-US"/>
        </w:rPr>
        <w:t>informacion</w:t>
      </w:r>
      <w:proofErr w:type="spellEnd"/>
      <w:r w:rsidRPr="003709C1">
        <w:rPr>
          <w:rFonts w:ascii="Palatino Linotype" w:eastAsiaTheme="minorHAnsi" w:hAnsi="Palatino Linotype" w:cstheme="minorBidi"/>
          <w:i/>
          <w:color w:val="000000" w:themeColor="text1"/>
          <w:lang w:eastAsia="en-US"/>
        </w:rPr>
        <w:t xml:space="preserve"> que se solicita para dar </w:t>
      </w:r>
      <w:proofErr w:type="spellStart"/>
      <w:r w:rsidRPr="003709C1">
        <w:rPr>
          <w:rFonts w:ascii="Palatino Linotype" w:eastAsiaTheme="minorHAnsi" w:hAnsi="Palatino Linotype" w:cstheme="minorBidi"/>
          <w:i/>
          <w:color w:val="000000" w:themeColor="text1"/>
          <w:lang w:eastAsia="en-US"/>
        </w:rPr>
        <w:t>seguimeinto</w:t>
      </w:r>
      <w:proofErr w:type="spellEnd"/>
      <w:r w:rsidRPr="003709C1">
        <w:rPr>
          <w:rFonts w:ascii="Palatino Linotype" w:eastAsiaTheme="minorHAnsi" w:hAnsi="Palatino Linotype" w:cstheme="minorBidi"/>
          <w:i/>
          <w:color w:val="000000" w:themeColor="text1"/>
          <w:lang w:eastAsia="en-US"/>
        </w:rPr>
        <w:t xml:space="preserve"> a quien en su momento corresponda</w:t>
      </w:r>
      <w:r w:rsidR="00F469B3" w:rsidRPr="003709C1">
        <w:rPr>
          <w:rFonts w:ascii="Palatino Linotype" w:eastAsiaTheme="minorHAnsi" w:hAnsi="Palatino Linotype" w:cstheme="minorBidi"/>
          <w:i/>
          <w:color w:val="000000" w:themeColor="text1"/>
          <w:lang w:eastAsia="en-US"/>
        </w:rPr>
        <w:t xml:space="preserve">” </w:t>
      </w:r>
      <w:r w:rsidRPr="003709C1">
        <w:rPr>
          <w:rFonts w:ascii="Palatino Linotype" w:eastAsiaTheme="minorHAnsi" w:hAnsi="Palatino Linotype" w:cstheme="minorBidi"/>
          <w:i/>
          <w:color w:val="000000" w:themeColor="text1"/>
          <w:lang w:eastAsia="en-US"/>
        </w:rPr>
        <w:t>(Sic.)</w:t>
      </w:r>
    </w:p>
    <w:p w14:paraId="586B2FA3" w14:textId="77777777" w:rsidR="00EB0141" w:rsidRPr="003709C1" w:rsidRDefault="00EB0141"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209CE67F" w:rsidR="00EB0141" w:rsidRPr="003709C1" w:rsidRDefault="00EB0141" w:rsidP="00EB0141">
      <w:pPr>
        <w:spacing w:line="360" w:lineRule="auto"/>
        <w:ind w:left="567" w:right="567"/>
        <w:rPr>
          <w:rFonts w:ascii="Palatino Linotype" w:hAnsi="Palatino Linotype" w:cs="Tahoma"/>
          <w:b/>
          <w:bCs/>
          <w:i/>
        </w:rPr>
      </w:pPr>
      <w:r w:rsidRPr="003709C1">
        <w:rPr>
          <w:rFonts w:ascii="Palatino Linotype" w:hAnsi="Palatino Linotype" w:cs="Tahoma"/>
          <w:b/>
          <w:bCs/>
          <w:i/>
        </w:rPr>
        <w:t>RAZONES O MOTIVOS DE LA INCONFORMIDAD</w:t>
      </w:r>
    </w:p>
    <w:p w14:paraId="1FCD9373" w14:textId="780A4B1A" w:rsidR="00EB0141" w:rsidRPr="003709C1" w:rsidRDefault="00985347" w:rsidP="00AF673B">
      <w:pPr>
        <w:spacing w:line="360" w:lineRule="auto"/>
        <w:ind w:left="567" w:right="567"/>
        <w:rPr>
          <w:rFonts w:ascii="Palatino Linotype" w:hAnsi="Palatino Linotype" w:cs="Tahoma"/>
          <w:bCs/>
        </w:rPr>
      </w:pPr>
      <w:r w:rsidRPr="003709C1">
        <w:rPr>
          <w:rFonts w:ascii="Palatino Linotype" w:hAnsi="Palatino Linotype"/>
          <w:i/>
          <w:color w:val="000000"/>
        </w:rPr>
        <w:t xml:space="preserve">la falta de </w:t>
      </w:r>
      <w:proofErr w:type="gramStart"/>
      <w:r w:rsidRPr="003709C1">
        <w:rPr>
          <w:rFonts w:ascii="Palatino Linotype" w:hAnsi="Palatino Linotype"/>
          <w:i/>
          <w:color w:val="000000"/>
        </w:rPr>
        <w:t>respuesta ,</w:t>
      </w:r>
      <w:proofErr w:type="gramEnd"/>
      <w:r w:rsidRPr="003709C1">
        <w:rPr>
          <w:rFonts w:ascii="Palatino Linotype" w:hAnsi="Palatino Linotype"/>
          <w:i/>
          <w:color w:val="000000"/>
        </w:rPr>
        <w:t xml:space="preserve"> seriedad , honestidad por parte de quien es el responsable de </w:t>
      </w:r>
      <w:proofErr w:type="spellStart"/>
      <w:r w:rsidRPr="003709C1">
        <w:rPr>
          <w:rFonts w:ascii="Palatino Linotype" w:hAnsi="Palatino Linotype"/>
          <w:i/>
          <w:color w:val="000000"/>
        </w:rPr>
        <w:t>transaparencia</w:t>
      </w:r>
      <w:proofErr w:type="spellEnd"/>
      <w:r w:rsidRPr="003709C1">
        <w:rPr>
          <w:rFonts w:ascii="Palatino Linotype" w:hAnsi="Palatino Linotype"/>
          <w:i/>
          <w:color w:val="000000"/>
        </w:rPr>
        <w:t xml:space="preserve"> y acceso a la </w:t>
      </w:r>
      <w:proofErr w:type="spellStart"/>
      <w:r w:rsidRPr="003709C1">
        <w:rPr>
          <w:rFonts w:ascii="Palatino Linotype" w:hAnsi="Palatino Linotype"/>
          <w:i/>
          <w:color w:val="000000"/>
        </w:rPr>
        <w:t>informacion</w:t>
      </w:r>
      <w:proofErr w:type="spellEnd"/>
      <w:r w:rsidRPr="003709C1">
        <w:rPr>
          <w:rFonts w:ascii="Palatino Linotype" w:hAnsi="Palatino Linotype"/>
          <w:i/>
          <w:color w:val="000000"/>
        </w:rPr>
        <w:t xml:space="preserve"> del municipio de </w:t>
      </w:r>
      <w:proofErr w:type="spellStart"/>
      <w:r w:rsidRPr="003709C1">
        <w:rPr>
          <w:rFonts w:ascii="Palatino Linotype" w:hAnsi="Palatino Linotype"/>
          <w:i/>
          <w:color w:val="000000"/>
        </w:rPr>
        <w:t>jaltenco</w:t>
      </w:r>
      <w:proofErr w:type="spellEnd"/>
      <w:r w:rsidR="00EB0141" w:rsidRPr="003709C1">
        <w:rPr>
          <w:rFonts w:ascii="Palatino Linotype" w:hAnsi="Palatino Linotype"/>
          <w:i/>
          <w:color w:val="000000"/>
        </w:rPr>
        <w:t>”</w:t>
      </w:r>
      <w:r w:rsidRPr="003709C1">
        <w:rPr>
          <w:rFonts w:ascii="Palatino Linotype" w:hAnsi="Palatino Linotype"/>
          <w:i/>
          <w:color w:val="000000"/>
        </w:rPr>
        <w:t xml:space="preserve"> (Sic.)</w:t>
      </w:r>
    </w:p>
    <w:p w14:paraId="01F1B018" w14:textId="77777777" w:rsidR="00F469B3" w:rsidRPr="003709C1"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40CAC23E" w:rsidR="00F469B3" w:rsidRPr="003709C1"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r w:rsidRPr="003709C1">
        <w:rPr>
          <w:rFonts w:ascii="Palatino Linotype" w:eastAsiaTheme="minorHAnsi" w:hAnsi="Palatino Linotype" w:cstheme="minorBidi"/>
          <w:b/>
          <w:bCs/>
          <w:color w:val="000000" w:themeColor="text1"/>
          <w:sz w:val="22"/>
          <w:szCs w:val="22"/>
          <w:lang w:eastAsia="en-US"/>
        </w:rPr>
        <w:t>IV. Trámite del Recurso de Revisión ante el Instituto</w:t>
      </w:r>
    </w:p>
    <w:p w14:paraId="7F62FC39" w14:textId="77777777" w:rsidR="00320CBA" w:rsidRPr="003709C1"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1FBEE7E2" w:rsidR="00F469B3" w:rsidRPr="003709C1" w:rsidRDefault="00F469B3" w:rsidP="004F4E53">
      <w:pPr>
        <w:spacing w:line="360" w:lineRule="auto"/>
        <w:jc w:val="both"/>
        <w:rPr>
          <w:rFonts w:ascii="Palatino Linotype" w:eastAsia="Batang" w:hAnsi="Palatino Linotype" w:cs="Tahoma"/>
          <w:bCs/>
          <w:color w:val="000000" w:themeColor="text1"/>
          <w:sz w:val="22"/>
          <w:szCs w:val="22"/>
        </w:rPr>
      </w:pPr>
      <w:r w:rsidRPr="003709C1">
        <w:rPr>
          <w:rFonts w:ascii="Palatino Linotype" w:eastAsiaTheme="minorHAnsi" w:hAnsi="Palatino Linotype" w:cstheme="minorBidi"/>
          <w:b/>
          <w:bCs/>
          <w:color w:val="000000" w:themeColor="text1"/>
          <w:sz w:val="22"/>
          <w:szCs w:val="22"/>
          <w:lang w:eastAsia="en-US"/>
        </w:rPr>
        <w:t xml:space="preserve">a) Turno del Recurso de Revisión. </w:t>
      </w:r>
      <w:r w:rsidRPr="003709C1">
        <w:rPr>
          <w:rFonts w:ascii="Palatino Linotype" w:eastAsiaTheme="minorHAnsi" w:hAnsi="Palatino Linotype" w:cstheme="minorBidi"/>
          <w:color w:val="000000" w:themeColor="text1"/>
          <w:sz w:val="22"/>
          <w:szCs w:val="22"/>
          <w:lang w:eastAsia="en-US"/>
        </w:rPr>
        <w:t xml:space="preserve">El </w:t>
      </w:r>
      <w:r w:rsidR="00262BA8" w:rsidRPr="003709C1">
        <w:rPr>
          <w:rFonts w:ascii="Palatino Linotype" w:hAnsi="Palatino Linotype" w:cs="Tahoma"/>
          <w:bCs/>
          <w:iCs/>
          <w:color w:val="000000" w:themeColor="text1"/>
          <w:sz w:val="22"/>
          <w:szCs w:val="22"/>
        </w:rPr>
        <w:t>veintidós</w:t>
      </w:r>
      <w:r w:rsidR="00777B31" w:rsidRPr="003709C1">
        <w:rPr>
          <w:rFonts w:ascii="Palatino Linotype" w:hAnsi="Palatino Linotype" w:cs="Tahoma"/>
          <w:bCs/>
          <w:iCs/>
          <w:color w:val="000000" w:themeColor="text1"/>
          <w:sz w:val="22"/>
          <w:szCs w:val="22"/>
        </w:rPr>
        <w:t xml:space="preserve"> de octubre</w:t>
      </w:r>
      <w:r w:rsidR="00CF2FD4" w:rsidRPr="003709C1">
        <w:rPr>
          <w:rFonts w:ascii="Palatino Linotype" w:hAnsi="Palatino Linotype" w:cs="Tahoma"/>
          <w:bCs/>
          <w:iCs/>
          <w:color w:val="000000" w:themeColor="text1"/>
          <w:sz w:val="22"/>
          <w:szCs w:val="22"/>
        </w:rPr>
        <w:t xml:space="preserve"> de dos mil veinticuatro</w:t>
      </w:r>
      <w:r w:rsidRPr="003709C1">
        <w:rPr>
          <w:rFonts w:ascii="Palatino Linotype" w:eastAsia="Batang" w:hAnsi="Palatino Linotype" w:cs="Tahoma"/>
          <w:bCs/>
          <w:color w:val="000000" w:themeColor="text1"/>
          <w:sz w:val="22"/>
          <w:szCs w:val="22"/>
        </w:rPr>
        <w:t xml:space="preserve">, el </w:t>
      </w:r>
      <w:r w:rsidRPr="003709C1">
        <w:rPr>
          <w:rFonts w:ascii="Palatino Linotype" w:hAnsi="Palatino Linotype" w:cs="Tahoma"/>
          <w:color w:val="000000" w:themeColor="text1"/>
          <w:sz w:val="22"/>
          <w:szCs w:val="22"/>
          <w:lang w:val="es-ES"/>
        </w:rPr>
        <w:t>Sistema de Acceso a la Información Mexiquense (SAIMEX),</w:t>
      </w:r>
      <w:r w:rsidRPr="003709C1">
        <w:rPr>
          <w:rFonts w:ascii="Palatino Linotype" w:eastAsia="Batang" w:hAnsi="Palatino Linotype" w:cs="Tahoma"/>
          <w:bCs/>
          <w:color w:val="000000" w:themeColor="text1"/>
          <w:sz w:val="22"/>
          <w:szCs w:val="22"/>
        </w:rPr>
        <w:t xml:space="preserve"> asignó el número de expediente </w:t>
      </w:r>
      <w:r w:rsidR="004E1DDE" w:rsidRPr="003709C1">
        <w:rPr>
          <w:rFonts w:ascii="Palatino Linotype" w:eastAsia="Batang" w:hAnsi="Palatino Linotype" w:cs="Tahoma"/>
          <w:b/>
          <w:bCs/>
          <w:color w:val="000000" w:themeColor="text1"/>
          <w:sz w:val="22"/>
          <w:szCs w:val="22"/>
        </w:rPr>
        <w:t>0</w:t>
      </w:r>
      <w:r w:rsidR="00777B31" w:rsidRPr="003709C1">
        <w:rPr>
          <w:rFonts w:ascii="Palatino Linotype" w:eastAsia="Batang" w:hAnsi="Palatino Linotype" w:cs="Tahoma"/>
          <w:b/>
          <w:bCs/>
          <w:color w:val="000000" w:themeColor="text1"/>
          <w:sz w:val="22"/>
          <w:szCs w:val="22"/>
        </w:rPr>
        <w:t>6</w:t>
      </w:r>
      <w:r w:rsidR="00262BA8" w:rsidRPr="003709C1">
        <w:rPr>
          <w:rFonts w:ascii="Palatino Linotype" w:eastAsia="Batang" w:hAnsi="Palatino Linotype" w:cs="Tahoma"/>
          <w:b/>
          <w:bCs/>
          <w:color w:val="000000" w:themeColor="text1"/>
          <w:sz w:val="22"/>
          <w:szCs w:val="22"/>
        </w:rPr>
        <w:t>566</w:t>
      </w:r>
      <w:r w:rsidR="00747F8C" w:rsidRPr="003709C1">
        <w:rPr>
          <w:rFonts w:ascii="Palatino Linotype" w:eastAsia="Batang" w:hAnsi="Palatino Linotype" w:cs="Tahoma"/>
          <w:b/>
          <w:bCs/>
          <w:color w:val="000000" w:themeColor="text1"/>
          <w:sz w:val="22"/>
          <w:szCs w:val="22"/>
        </w:rPr>
        <w:t>/INFOEM/IP/RR/2024</w:t>
      </w:r>
      <w:r w:rsidRPr="003709C1">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3709C1">
        <w:rPr>
          <w:rFonts w:ascii="Palatino Linotype" w:eastAsia="Batang" w:hAnsi="Palatino Linotype" w:cs="Tahoma"/>
          <w:bCs/>
          <w:color w:val="000000" w:themeColor="text1"/>
          <w:sz w:val="22"/>
          <w:szCs w:val="22"/>
        </w:rPr>
        <w:t>Organismo</w:t>
      </w:r>
      <w:r w:rsidRPr="003709C1">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49F3BC36" w14:textId="77777777" w:rsidR="00F469B3" w:rsidRPr="003709C1" w:rsidRDefault="00F469B3" w:rsidP="004F4E53">
      <w:pPr>
        <w:spacing w:line="360" w:lineRule="auto"/>
        <w:jc w:val="both"/>
        <w:rPr>
          <w:rFonts w:ascii="Palatino Linotype" w:eastAsia="Batang" w:hAnsi="Palatino Linotype" w:cs="Tahoma"/>
          <w:bCs/>
          <w:color w:val="000000" w:themeColor="text1"/>
          <w:sz w:val="22"/>
          <w:szCs w:val="22"/>
        </w:rPr>
      </w:pPr>
    </w:p>
    <w:p w14:paraId="26883477" w14:textId="33836FEA" w:rsidR="00F469B3" w:rsidRPr="003709C1" w:rsidRDefault="00F469B3" w:rsidP="004F4E53">
      <w:pPr>
        <w:spacing w:line="360" w:lineRule="auto"/>
        <w:jc w:val="both"/>
        <w:rPr>
          <w:rFonts w:ascii="Palatino Linotype" w:hAnsi="Palatino Linotype" w:cs="Tahoma"/>
          <w:bCs/>
          <w:iCs/>
          <w:color w:val="000000" w:themeColor="text1"/>
          <w:sz w:val="22"/>
          <w:szCs w:val="22"/>
        </w:rPr>
      </w:pPr>
      <w:r w:rsidRPr="003709C1">
        <w:rPr>
          <w:rFonts w:ascii="Palatino Linotype" w:eastAsia="Batang" w:hAnsi="Palatino Linotype" w:cs="Tahoma"/>
          <w:b/>
          <w:bCs/>
          <w:color w:val="000000" w:themeColor="text1"/>
          <w:sz w:val="22"/>
          <w:szCs w:val="22"/>
        </w:rPr>
        <w:t xml:space="preserve">b) Admisión del </w:t>
      </w:r>
      <w:r w:rsidRPr="003709C1">
        <w:rPr>
          <w:rFonts w:ascii="Palatino Linotype" w:hAnsi="Palatino Linotype" w:cs="Tahoma"/>
          <w:b/>
          <w:color w:val="000000" w:themeColor="text1"/>
          <w:sz w:val="22"/>
          <w:szCs w:val="22"/>
        </w:rPr>
        <w:t>Recurso de Revisión</w:t>
      </w:r>
      <w:r w:rsidRPr="003709C1">
        <w:rPr>
          <w:rFonts w:ascii="Palatino Linotype" w:eastAsia="Batang" w:hAnsi="Palatino Linotype" w:cs="Tahoma"/>
          <w:b/>
          <w:bCs/>
          <w:color w:val="000000" w:themeColor="text1"/>
          <w:sz w:val="22"/>
          <w:szCs w:val="22"/>
          <w:lang w:val="es-ES_tradnl"/>
        </w:rPr>
        <w:t xml:space="preserve">. </w:t>
      </w:r>
      <w:r w:rsidR="006213D7" w:rsidRPr="003709C1">
        <w:rPr>
          <w:rFonts w:ascii="Palatino Linotype" w:eastAsia="Batang" w:hAnsi="Palatino Linotype" w:cs="Tahoma"/>
          <w:bCs/>
          <w:color w:val="000000" w:themeColor="text1"/>
          <w:sz w:val="22"/>
          <w:szCs w:val="22"/>
        </w:rPr>
        <w:t xml:space="preserve">El </w:t>
      </w:r>
      <w:r w:rsidR="00262BA8" w:rsidRPr="003709C1">
        <w:rPr>
          <w:rFonts w:ascii="Palatino Linotype" w:hAnsi="Palatino Linotype" w:cs="Tahoma"/>
          <w:bCs/>
          <w:iCs/>
          <w:color w:val="000000" w:themeColor="text1"/>
          <w:sz w:val="22"/>
          <w:szCs w:val="22"/>
        </w:rPr>
        <w:t>veinticinco</w:t>
      </w:r>
      <w:r w:rsidR="00AF673B" w:rsidRPr="003709C1">
        <w:rPr>
          <w:rFonts w:ascii="Palatino Linotype" w:hAnsi="Palatino Linotype" w:cs="Tahoma"/>
          <w:bCs/>
          <w:iCs/>
          <w:color w:val="000000" w:themeColor="text1"/>
          <w:sz w:val="22"/>
          <w:szCs w:val="22"/>
        </w:rPr>
        <w:t xml:space="preserve"> de octubre</w:t>
      </w:r>
      <w:r w:rsidR="006213D7" w:rsidRPr="003709C1">
        <w:rPr>
          <w:rFonts w:ascii="Palatino Linotype" w:hAnsi="Palatino Linotype" w:cs="Tahoma"/>
          <w:bCs/>
          <w:iCs/>
          <w:color w:val="000000" w:themeColor="text1"/>
          <w:sz w:val="22"/>
          <w:szCs w:val="22"/>
        </w:rPr>
        <w:t xml:space="preserve"> de dos mil veinticuatro</w:t>
      </w:r>
      <w:r w:rsidRPr="003709C1">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3709C1">
        <w:rPr>
          <w:rFonts w:ascii="Palatino Linotype" w:eastAsia="Batang" w:hAnsi="Palatino Linotype" w:cs="Tahoma"/>
          <w:bCs/>
          <w:color w:val="000000" w:themeColor="text1"/>
          <w:sz w:val="22"/>
          <w:szCs w:val="22"/>
          <w:lang w:val="es-ES_tradnl"/>
        </w:rPr>
        <w:t>la persona</w:t>
      </w:r>
      <w:r w:rsidRPr="003709C1">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3709C1">
        <w:rPr>
          <w:rFonts w:ascii="Palatino Linotype" w:eastAsia="Batang" w:hAnsi="Palatino Linotype" w:cs="Tahoma"/>
          <w:bCs/>
          <w:color w:val="000000" w:themeColor="text1"/>
          <w:sz w:val="22"/>
          <w:szCs w:val="22"/>
          <w:lang w:val="es-ES_tradnl"/>
        </w:rPr>
        <w:t xml:space="preserve"> mismo día</w:t>
      </w:r>
      <w:r w:rsidRPr="003709C1">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3709C1"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75A09A87" w14:textId="77777777" w:rsidR="00AF673B" w:rsidRPr="003709C1" w:rsidRDefault="00F469B3" w:rsidP="00AF673B">
      <w:pPr>
        <w:spacing w:line="360" w:lineRule="auto"/>
        <w:jc w:val="both"/>
        <w:rPr>
          <w:rFonts w:ascii="Palatino Linotype" w:hAnsi="Palatino Linotype" w:cs="Tahoma"/>
          <w:bCs/>
          <w:iCs/>
          <w:sz w:val="22"/>
          <w:szCs w:val="22"/>
          <w:lang w:val="es-ES"/>
        </w:rPr>
      </w:pPr>
      <w:r w:rsidRPr="003709C1">
        <w:rPr>
          <w:rFonts w:ascii="Palatino Linotype" w:hAnsi="Palatino Linotype" w:cs="Tahoma"/>
          <w:b/>
          <w:color w:val="000000" w:themeColor="text1"/>
          <w:sz w:val="22"/>
          <w:szCs w:val="22"/>
        </w:rPr>
        <w:t>c)</w:t>
      </w:r>
      <w:r w:rsidR="00A31139" w:rsidRPr="003709C1">
        <w:rPr>
          <w:rFonts w:ascii="Palatino Linotype" w:hAnsi="Palatino Linotype" w:cs="Tahoma"/>
          <w:color w:val="000000" w:themeColor="text1"/>
          <w:sz w:val="22"/>
          <w:szCs w:val="22"/>
          <w:lang w:val="es-ES_tradnl"/>
        </w:rPr>
        <w:t xml:space="preserve"> </w:t>
      </w:r>
      <w:r w:rsidR="00A31139" w:rsidRPr="003709C1">
        <w:rPr>
          <w:rFonts w:ascii="Palatino Linotype" w:hAnsi="Palatino Linotype" w:cs="Tahoma"/>
          <w:b/>
          <w:sz w:val="22"/>
          <w:szCs w:val="22"/>
          <w:lang w:val="es-ES_tradnl"/>
        </w:rPr>
        <w:t>Informe Justificado</w:t>
      </w:r>
      <w:r w:rsidR="00AF673B" w:rsidRPr="003709C1">
        <w:rPr>
          <w:rFonts w:ascii="Palatino Linotype" w:hAnsi="Palatino Linotype" w:cs="Tahoma"/>
          <w:b/>
          <w:sz w:val="22"/>
          <w:szCs w:val="22"/>
          <w:lang w:val="es-ES_tradnl"/>
        </w:rPr>
        <w:t xml:space="preserve"> o Manifestaciones</w:t>
      </w:r>
      <w:r w:rsidR="00A31139" w:rsidRPr="003709C1">
        <w:rPr>
          <w:rFonts w:ascii="Palatino Linotype" w:hAnsi="Palatino Linotype" w:cs="Tahoma"/>
          <w:b/>
          <w:sz w:val="22"/>
          <w:szCs w:val="22"/>
          <w:lang w:val="es-ES_tradnl"/>
        </w:rPr>
        <w:t xml:space="preserve">. </w:t>
      </w:r>
      <w:r w:rsidR="00AF673B" w:rsidRPr="003709C1">
        <w:rPr>
          <w:rFonts w:ascii="Palatino Linotype" w:hAnsi="Palatino Linotype" w:cs="Tahoma"/>
          <w:iCs/>
          <w:sz w:val="22"/>
          <w:szCs w:val="22"/>
          <w:lang w:val="es-ES"/>
        </w:rPr>
        <w:t>Las partes fueron omisas en emitir manifestaciones o alegatos</w:t>
      </w:r>
      <w:r w:rsidR="00AF673B" w:rsidRPr="003709C1">
        <w:rPr>
          <w:rFonts w:ascii="Palatino Linotype" w:hAnsi="Palatino Linotype" w:cs="Tahoma"/>
          <w:sz w:val="22"/>
          <w:szCs w:val="22"/>
        </w:rPr>
        <w:t>.</w:t>
      </w:r>
    </w:p>
    <w:p w14:paraId="263C2FA6" w14:textId="77777777" w:rsidR="00F17D75" w:rsidRPr="003709C1" w:rsidRDefault="00F17D75" w:rsidP="004F4E53">
      <w:pPr>
        <w:spacing w:line="360" w:lineRule="auto"/>
        <w:contextualSpacing/>
        <w:jc w:val="both"/>
        <w:rPr>
          <w:rFonts w:ascii="Palatino Linotype" w:hAnsi="Palatino Linotype" w:cs="Tahoma"/>
          <w:b/>
          <w:sz w:val="18"/>
          <w:szCs w:val="22"/>
          <w:lang w:val="es-ES_tradnl"/>
        </w:rPr>
      </w:pPr>
    </w:p>
    <w:p w14:paraId="155868CD" w14:textId="2415EEC1" w:rsidR="008F4B45" w:rsidRPr="003709C1" w:rsidRDefault="00AF673B" w:rsidP="004F4E53">
      <w:pPr>
        <w:spacing w:line="360" w:lineRule="auto"/>
        <w:jc w:val="both"/>
        <w:rPr>
          <w:rFonts w:ascii="Palatino Linotype" w:hAnsi="Palatino Linotype"/>
          <w:b/>
          <w:sz w:val="22"/>
          <w:szCs w:val="22"/>
        </w:rPr>
      </w:pPr>
      <w:r w:rsidRPr="003709C1">
        <w:rPr>
          <w:rFonts w:ascii="Palatino Linotype" w:hAnsi="Palatino Linotype"/>
          <w:b/>
          <w:sz w:val="22"/>
          <w:szCs w:val="22"/>
        </w:rPr>
        <w:t>d</w:t>
      </w:r>
      <w:r w:rsidR="000553B4" w:rsidRPr="003709C1">
        <w:rPr>
          <w:rFonts w:ascii="Palatino Linotype" w:hAnsi="Palatino Linotype"/>
          <w:b/>
          <w:sz w:val="22"/>
          <w:szCs w:val="22"/>
        </w:rPr>
        <w:t xml:space="preserve">) </w:t>
      </w:r>
      <w:r w:rsidR="0063734D" w:rsidRPr="003709C1">
        <w:rPr>
          <w:rFonts w:ascii="Palatino Linotype" w:hAnsi="Palatino Linotype"/>
          <w:b/>
          <w:sz w:val="22"/>
          <w:szCs w:val="22"/>
        </w:rPr>
        <w:t>Cierre de instrucción.</w:t>
      </w:r>
      <w:r w:rsidR="00763D85" w:rsidRPr="003709C1">
        <w:rPr>
          <w:rFonts w:ascii="Palatino Linotype" w:hAnsi="Palatino Linotype"/>
          <w:b/>
          <w:sz w:val="22"/>
          <w:szCs w:val="22"/>
        </w:rPr>
        <w:t xml:space="preserve"> </w:t>
      </w:r>
      <w:r w:rsidR="008F4B45" w:rsidRPr="003709C1">
        <w:rPr>
          <w:rFonts w:ascii="Palatino Linotype" w:hAnsi="Palatino Linotype"/>
          <w:sz w:val="22"/>
          <w:szCs w:val="22"/>
        </w:rPr>
        <w:t xml:space="preserve">El </w:t>
      </w:r>
      <w:r w:rsidR="00262BA8" w:rsidRPr="003709C1">
        <w:rPr>
          <w:rFonts w:ascii="Palatino Linotype" w:hAnsi="Palatino Linotype"/>
          <w:sz w:val="22"/>
          <w:szCs w:val="22"/>
        </w:rPr>
        <w:t>ocho de noviembre</w:t>
      </w:r>
      <w:r w:rsidR="004F3A02" w:rsidRPr="003709C1">
        <w:rPr>
          <w:rFonts w:ascii="Palatino Linotype" w:hAnsi="Palatino Linotype"/>
          <w:sz w:val="22"/>
          <w:szCs w:val="22"/>
        </w:rPr>
        <w:t xml:space="preserve"> de dos mil veinticuatro</w:t>
      </w:r>
      <w:r w:rsidR="008F4B45" w:rsidRPr="003709C1">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3709C1"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3709C1" w:rsidRDefault="008F4B45" w:rsidP="004F4E53">
      <w:pPr>
        <w:spacing w:line="360" w:lineRule="auto"/>
        <w:contextualSpacing/>
        <w:jc w:val="both"/>
        <w:rPr>
          <w:rFonts w:ascii="Palatino Linotype" w:hAnsi="Palatino Linotype" w:cs="Tahoma"/>
          <w:color w:val="000000"/>
          <w:sz w:val="22"/>
          <w:szCs w:val="22"/>
        </w:rPr>
      </w:pPr>
      <w:proofErr w:type="gramStart"/>
      <w:r w:rsidRPr="003709C1">
        <w:rPr>
          <w:rFonts w:ascii="Palatino Linotype" w:hAnsi="Palatino Linotype" w:cs="Tahoma"/>
          <w:color w:val="000000"/>
          <w:sz w:val="22"/>
          <w:szCs w:val="22"/>
        </w:rPr>
        <w:t>En razón de</w:t>
      </w:r>
      <w:proofErr w:type="gramEnd"/>
      <w:r w:rsidRPr="003709C1">
        <w:rPr>
          <w:rFonts w:ascii="Palatino Linotype" w:hAnsi="Palatino Linotype" w:cs="Tahoma"/>
          <w:color w:val="000000"/>
          <w:sz w:val="22"/>
          <w:szCs w:val="22"/>
        </w:rPr>
        <w:t xml:space="preserve"> que fue debidamente sustanciado el expediente electrónico y no existe diligencia pendiente de desahogo, se emite la Resolución que conforme a Derecho proceda, de acuerdo con los siguientes: </w:t>
      </w:r>
    </w:p>
    <w:p w14:paraId="711B402C" w14:textId="77777777" w:rsidR="00E155C6" w:rsidRPr="003709C1"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3709C1" w:rsidRDefault="004F3A02" w:rsidP="004F4E53">
      <w:pPr>
        <w:spacing w:line="360" w:lineRule="auto"/>
        <w:jc w:val="center"/>
        <w:rPr>
          <w:rFonts w:ascii="Palatino Linotype" w:hAnsi="Palatino Linotype" w:cs="Tahoma"/>
          <w:b/>
          <w:sz w:val="22"/>
          <w:lang w:val="es-ES"/>
        </w:rPr>
      </w:pPr>
      <w:r w:rsidRPr="003709C1">
        <w:rPr>
          <w:rFonts w:ascii="Palatino Linotype" w:hAnsi="Palatino Linotype" w:cs="Tahoma"/>
          <w:b/>
          <w:sz w:val="22"/>
          <w:lang w:val="es-ES"/>
        </w:rPr>
        <w:t>C O N S I D E R A N D O S</w:t>
      </w:r>
    </w:p>
    <w:p w14:paraId="066231C1" w14:textId="77777777" w:rsidR="004F3A02" w:rsidRPr="003709C1" w:rsidRDefault="004F3A02" w:rsidP="004F4E53">
      <w:pPr>
        <w:spacing w:line="360" w:lineRule="auto"/>
        <w:jc w:val="both"/>
        <w:rPr>
          <w:rFonts w:ascii="Palatino Linotype" w:hAnsi="Palatino Linotype" w:cs="Tahoma"/>
          <w:b/>
          <w:sz w:val="22"/>
          <w:lang w:val="es-ES"/>
        </w:rPr>
      </w:pPr>
    </w:p>
    <w:p w14:paraId="001B63FA" w14:textId="77777777" w:rsidR="004F3A02" w:rsidRPr="003709C1" w:rsidRDefault="004F3A02" w:rsidP="004F4E53">
      <w:pPr>
        <w:autoSpaceDE w:val="0"/>
        <w:autoSpaceDN w:val="0"/>
        <w:adjustRightInd w:val="0"/>
        <w:spacing w:line="360" w:lineRule="auto"/>
        <w:jc w:val="both"/>
        <w:rPr>
          <w:rFonts w:ascii="Palatino Linotype" w:hAnsi="Palatino Linotype" w:cs="Tahoma"/>
          <w:b/>
          <w:sz w:val="22"/>
          <w:lang w:val="es-ES"/>
        </w:rPr>
      </w:pPr>
      <w:r w:rsidRPr="003709C1">
        <w:rPr>
          <w:rFonts w:ascii="Palatino Linotype" w:eastAsia="Calibri" w:hAnsi="Palatino Linotype" w:cs="Tahoma"/>
          <w:b/>
          <w:color w:val="000000"/>
          <w:sz w:val="22"/>
          <w:lang w:val="es-ES" w:eastAsia="es-MX"/>
        </w:rPr>
        <w:t>PRIMERO</w:t>
      </w:r>
      <w:r w:rsidRPr="003709C1">
        <w:rPr>
          <w:rFonts w:ascii="Palatino Linotype" w:eastAsia="Calibri" w:hAnsi="Palatino Linotype" w:cs="Tahoma"/>
          <w:color w:val="000000"/>
          <w:sz w:val="22"/>
          <w:lang w:val="es-ES" w:eastAsia="es-MX"/>
        </w:rPr>
        <w:t xml:space="preserve">. </w:t>
      </w:r>
      <w:r w:rsidRPr="003709C1">
        <w:rPr>
          <w:rFonts w:ascii="Palatino Linotype" w:hAnsi="Palatino Linotype" w:cs="Tahoma"/>
          <w:b/>
          <w:sz w:val="22"/>
          <w:lang w:val="es-ES"/>
        </w:rPr>
        <w:t>Competencia</w:t>
      </w:r>
    </w:p>
    <w:p w14:paraId="35D71D67" w14:textId="77777777" w:rsidR="004F3A02" w:rsidRPr="003709C1" w:rsidRDefault="004F3A02" w:rsidP="004F4E53">
      <w:pPr>
        <w:autoSpaceDE w:val="0"/>
        <w:autoSpaceDN w:val="0"/>
        <w:adjustRightInd w:val="0"/>
        <w:spacing w:line="360" w:lineRule="auto"/>
        <w:jc w:val="both"/>
        <w:rPr>
          <w:rFonts w:ascii="Palatino Linotype" w:hAnsi="Palatino Linotype" w:cs="Tahoma"/>
          <w:b/>
          <w:sz w:val="22"/>
          <w:lang w:val="es-ES"/>
        </w:rPr>
      </w:pPr>
    </w:p>
    <w:p w14:paraId="188FB903" w14:textId="77777777" w:rsidR="004F3A02" w:rsidRPr="003709C1" w:rsidRDefault="004F3A02" w:rsidP="004F4E53">
      <w:pPr>
        <w:spacing w:line="360" w:lineRule="auto"/>
        <w:jc w:val="both"/>
        <w:rPr>
          <w:rFonts w:ascii="Palatino Linotype" w:hAnsi="Palatino Linotype" w:cs="Tahoma"/>
          <w:bCs/>
          <w:sz w:val="22"/>
        </w:rPr>
      </w:pPr>
      <w:bookmarkStart w:id="1" w:name="_Hlk63334754"/>
      <w:r w:rsidRPr="003709C1">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3709C1">
        <w:rPr>
          <w:rFonts w:ascii="Palatino Linotype" w:hAnsi="Palatino Linotype"/>
          <w:bCs/>
          <w:sz w:val="22"/>
        </w:rPr>
        <w:t xml:space="preserve"> 7°, </w:t>
      </w:r>
      <w:r w:rsidRPr="003709C1">
        <w:rPr>
          <w:rFonts w:ascii="Palatino Linotype" w:hAnsi="Palatino Linotype" w:cs="Tahoma"/>
          <w:bCs/>
          <w:sz w:val="22"/>
        </w:rPr>
        <w:t xml:space="preserve">9°, fracciones I y XXIII y 11 del Reglamento Interior del Instituto de </w:t>
      </w:r>
      <w:r w:rsidRPr="003709C1">
        <w:rPr>
          <w:rFonts w:ascii="Palatino Linotype" w:hAnsi="Palatino Linotype" w:cs="Tahoma"/>
          <w:bCs/>
          <w:sz w:val="22"/>
        </w:rPr>
        <w:lastRenderedPageBreak/>
        <w:t>Transparencia, Acceso a la Información Pública y Protección de Datos Personales del Estado de México y Municipios.</w:t>
      </w:r>
      <w:bookmarkEnd w:id="1"/>
    </w:p>
    <w:p w14:paraId="552F56AF" w14:textId="77777777" w:rsidR="00DA08C5" w:rsidRPr="003709C1" w:rsidRDefault="00DA08C5" w:rsidP="004F4E53">
      <w:pPr>
        <w:spacing w:line="360" w:lineRule="auto"/>
        <w:jc w:val="both"/>
        <w:rPr>
          <w:rFonts w:ascii="Palatino Linotype" w:hAnsi="Palatino Linotype" w:cs="Tahoma"/>
          <w:bCs/>
          <w:sz w:val="24"/>
          <w:szCs w:val="22"/>
        </w:rPr>
      </w:pPr>
    </w:p>
    <w:p w14:paraId="33C93B21" w14:textId="2243BBF1" w:rsidR="00DA08C5" w:rsidRPr="003709C1"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3709C1">
        <w:rPr>
          <w:rFonts w:ascii="Palatino Linotype" w:eastAsia="Calibri" w:hAnsi="Palatino Linotype" w:cs="Tahoma"/>
          <w:b/>
          <w:color w:val="000000"/>
          <w:sz w:val="22"/>
          <w:szCs w:val="22"/>
          <w:lang w:val="es-ES" w:eastAsia="es-MX"/>
        </w:rPr>
        <w:t>SEGUNDO</w:t>
      </w:r>
      <w:r w:rsidRPr="003709C1">
        <w:rPr>
          <w:rFonts w:ascii="Palatino Linotype" w:eastAsia="Calibri" w:hAnsi="Palatino Linotype" w:cs="Tahoma"/>
          <w:color w:val="000000"/>
          <w:sz w:val="22"/>
          <w:szCs w:val="22"/>
          <w:lang w:val="es-ES" w:eastAsia="es-MX"/>
        </w:rPr>
        <w:t xml:space="preserve">. </w:t>
      </w:r>
      <w:r w:rsidRPr="003709C1">
        <w:rPr>
          <w:rFonts w:ascii="Palatino Linotype" w:hAnsi="Palatino Linotype" w:cs="Tahoma"/>
          <w:b/>
          <w:sz w:val="22"/>
          <w:szCs w:val="22"/>
          <w:lang w:val="es-ES"/>
        </w:rPr>
        <w:t xml:space="preserve">Causales de improcedencia </w:t>
      </w:r>
      <w:r w:rsidR="00F93859" w:rsidRPr="003709C1">
        <w:rPr>
          <w:rFonts w:ascii="Palatino Linotype" w:hAnsi="Palatino Linotype" w:cs="Tahoma"/>
          <w:b/>
          <w:sz w:val="22"/>
          <w:szCs w:val="22"/>
          <w:lang w:val="es-ES"/>
        </w:rPr>
        <w:t>y Sobreseimiento</w:t>
      </w:r>
    </w:p>
    <w:p w14:paraId="49EE2C5E" w14:textId="77777777" w:rsidR="00DA08C5" w:rsidRPr="003709C1"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3709C1"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3709C1">
        <w:rPr>
          <w:rFonts w:ascii="Palatino Linotype" w:hAnsi="Palatino Linotype" w:cs="Tahoma"/>
          <w:sz w:val="22"/>
          <w:szCs w:val="22"/>
          <w:lang w:val="es-ES"/>
        </w:rPr>
        <w:t xml:space="preserve">De las constancias que forma parte del Recurso de Revisión que se analiza, se advierte que previo al estudio del fondo de la </w:t>
      </w:r>
      <w:r w:rsidRPr="003709C1">
        <w:rPr>
          <w:rFonts w:ascii="Palatino Linotype" w:hAnsi="Palatino Linotype" w:cs="Tahoma"/>
          <w:i/>
          <w:sz w:val="22"/>
          <w:szCs w:val="22"/>
          <w:lang w:val="es-ES"/>
        </w:rPr>
        <w:t>litis</w:t>
      </w:r>
      <w:r w:rsidRPr="003709C1">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3709C1"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3709C1" w:rsidRDefault="00DA08C5" w:rsidP="004F4E53">
      <w:pPr>
        <w:spacing w:line="360" w:lineRule="auto"/>
        <w:contextualSpacing/>
        <w:jc w:val="both"/>
        <w:rPr>
          <w:rFonts w:ascii="Palatino Linotype" w:hAnsi="Palatino Linotype"/>
          <w:b/>
          <w:sz w:val="22"/>
          <w:szCs w:val="22"/>
          <w:lang w:val="es-ES"/>
        </w:rPr>
      </w:pPr>
      <w:r w:rsidRPr="003709C1">
        <w:rPr>
          <w:rFonts w:ascii="Palatino Linotype" w:hAnsi="Palatino Linotype"/>
          <w:b/>
          <w:sz w:val="22"/>
          <w:szCs w:val="22"/>
          <w:lang w:val="es-ES"/>
        </w:rPr>
        <w:t>Causales de improcedencia</w:t>
      </w:r>
    </w:p>
    <w:p w14:paraId="7ABB438E" w14:textId="77777777" w:rsidR="00DA08C5" w:rsidRPr="003709C1" w:rsidRDefault="00DA08C5" w:rsidP="004F4E53">
      <w:pPr>
        <w:spacing w:line="360" w:lineRule="auto"/>
        <w:contextualSpacing/>
        <w:jc w:val="both"/>
        <w:rPr>
          <w:rFonts w:ascii="Palatino Linotype" w:hAnsi="Palatino Linotype"/>
          <w:sz w:val="22"/>
          <w:szCs w:val="22"/>
        </w:rPr>
      </w:pPr>
    </w:p>
    <w:p w14:paraId="7D1BAA53" w14:textId="77777777" w:rsidR="00DA08C5" w:rsidRPr="003709C1" w:rsidRDefault="00DA08C5" w:rsidP="004F4E53">
      <w:pPr>
        <w:spacing w:line="360" w:lineRule="auto"/>
        <w:contextualSpacing/>
        <w:jc w:val="both"/>
        <w:rPr>
          <w:rFonts w:ascii="Palatino Linotype" w:hAnsi="Palatino Linotype" w:cs="Tahoma"/>
          <w:sz w:val="22"/>
          <w:szCs w:val="22"/>
        </w:rPr>
      </w:pPr>
      <w:r w:rsidRPr="003709C1">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3709C1" w:rsidRDefault="00DA08C5" w:rsidP="004F4E53">
      <w:pPr>
        <w:spacing w:line="360" w:lineRule="auto"/>
        <w:contextualSpacing/>
        <w:jc w:val="both"/>
        <w:rPr>
          <w:rFonts w:ascii="Palatino Linotype" w:hAnsi="Palatino Linotype" w:cs="Tahoma"/>
          <w:sz w:val="22"/>
          <w:szCs w:val="22"/>
        </w:rPr>
      </w:pPr>
    </w:p>
    <w:p w14:paraId="35D3EE96" w14:textId="17683495" w:rsidR="00DA08C5" w:rsidRPr="003709C1" w:rsidRDefault="00DA08C5" w:rsidP="004F4E53">
      <w:pPr>
        <w:spacing w:line="360" w:lineRule="auto"/>
        <w:contextualSpacing/>
        <w:jc w:val="both"/>
        <w:rPr>
          <w:rFonts w:ascii="Palatino Linotype" w:hAnsi="Palatino Linotype" w:cs="Tahoma"/>
          <w:sz w:val="22"/>
          <w:szCs w:val="22"/>
        </w:rPr>
      </w:pPr>
      <w:r w:rsidRPr="003709C1">
        <w:rPr>
          <w:rFonts w:ascii="Palatino Linotype" w:hAnsi="Palatino Linotype" w:cs="Tahoma"/>
          <w:sz w:val="22"/>
          <w:szCs w:val="22"/>
        </w:rPr>
        <w:t>En el presente caso, </w:t>
      </w:r>
      <w:r w:rsidRPr="003709C1">
        <w:rPr>
          <w:rFonts w:ascii="Palatino Linotype" w:hAnsi="Palatino Linotype" w:cs="Tahoma"/>
          <w:b/>
          <w:bCs/>
          <w:sz w:val="22"/>
          <w:szCs w:val="22"/>
        </w:rPr>
        <w:t>no se actualiza ninguna de las causales de improcedencia</w:t>
      </w:r>
      <w:r w:rsidRPr="003709C1">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3709C1">
        <w:rPr>
          <w:rFonts w:ascii="Palatino Linotype" w:hAnsi="Palatino Linotype" w:cs="Tahoma"/>
          <w:sz w:val="22"/>
          <w:szCs w:val="22"/>
        </w:rPr>
        <w:t>ersona</w:t>
      </w:r>
      <w:r w:rsidRPr="003709C1">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1E74AE89" w14:textId="77777777" w:rsidR="00DA08C5" w:rsidRPr="003709C1" w:rsidRDefault="00DA08C5" w:rsidP="004F4E53">
      <w:pPr>
        <w:spacing w:line="360" w:lineRule="auto"/>
        <w:contextualSpacing/>
        <w:jc w:val="both"/>
        <w:rPr>
          <w:rFonts w:ascii="Palatino Linotype" w:hAnsi="Palatino Linotype" w:cs="Tahoma"/>
          <w:sz w:val="22"/>
          <w:szCs w:val="22"/>
        </w:rPr>
      </w:pPr>
    </w:p>
    <w:p w14:paraId="7D588087" w14:textId="77777777" w:rsidR="00DA08C5" w:rsidRPr="003709C1" w:rsidRDefault="00DA08C5" w:rsidP="004F4E53">
      <w:pPr>
        <w:spacing w:line="360" w:lineRule="auto"/>
        <w:contextualSpacing/>
        <w:jc w:val="both"/>
        <w:rPr>
          <w:rFonts w:ascii="Palatino Linotype" w:hAnsi="Palatino Linotype" w:cs="Tahoma"/>
          <w:sz w:val="22"/>
          <w:szCs w:val="22"/>
          <w:lang w:val="es-ES"/>
        </w:rPr>
      </w:pPr>
      <w:r w:rsidRPr="003709C1">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3709C1">
        <w:rPr>
          <w:rFonts w:ascii="Palatino Linotype" w:hAnsi="Palatino Linotype" w:cs="Tahoma"/>
          <w:b/>
          <w:sz w:val="22"/>
          <w:szCs w:val="22"/>
          <w:lang w:val="es-ES"/>
        </w:rPr>
        <w:t>negativa ficta</w:t>
      </w:r>
      <w:r w:rsidRPr="003709C1">
        <w:rPr>
          <w:rFonts w:ascii="Palatino Linotype" w:hAnsi="Palatino Linotype" w:cs="Tahoma"/>
          <w:sz w:val="22"/>
          <w:szCs w:val="22"/>
          <w:lang w:val="es-ES"/>
        </w:rPr>
        <w:t xml:space="preserve">, que genera la posibilidad de los particulares de interponer un recurso de revisión ante tal omisión, </w:t>
      </w:r>
      <w:r w:rsidRPr="003709C1">
        <w:rPr>
          <w:rFonts w:ascii="Palatino Linotype" w:hAnsi="Palatino Linotype" w:cs="Tahoma"/>
          <w:sz w:val="22"/>
          <w:szCs w:val="22"/>
          <w:u w:val="single"/>
          <w:lang w:val="es-ES"/>
        </w:rPr>
        <w:t>en cualquier momento</w:t>
      </w:r>
      <w:r w:rsidRPr="003709C1">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747B52D" w14:textId="77777777" w:rsidR="00DA08C5" w:rsidRPr="003709C1" w:rsidRDefault="00DA08C5" w:rsidP="004F4E53">
      <w:pPr>
        <w:spacing w:line="360" w:lineRule="auto"/>
        <w:contextualSpacing/>
        <w:jc w:val="both"/>
        <w:rPr>
          <w:rFonts w:ascii="Palatino Linotype" w:hAnsi="Palatino Linotype" w:cs="Tahoma"/>
          <w:sz w:val="22"/>
          <w:szCs w:val="22"/>
          <w:lang w:val="es-ES"/>
        </w:rPr>
      </w:pPr>
    </w:p>
    <w:p w14:paraId="24FE5C30" w14:textId="77777777" w:rsidR="00DA08C5" w:rsidRPr="003709C1" w:rsidRDefault="00DA08C5" w:rsidP="004F4E53">
      <w:pPr>
        <w:spacing w:line="360" w:lineRule="auto"/>
        <w:contextualSpacing/>
        <w:jc w:val="both"/>
        <w:rPr>
          <w:rFonts w:ascii="Palatino Linotype" w:hAnsi="Palatino Linotype" w:cs="Tahoma"/>
          <w:bCs/>
          <w:sz w:val="22"/>
          <w:szCs w:val="22"/>
          <w:lang w:val="es-ES"/>
        </w:rPr>
      </w:pPr>
      <w:r w:rsidRPr="003709C1">
        <w:rPr>
          <w:rFonts w:ascii="Palatino Linotype" w:hAnsi="Palatino Linotype" w:cs="Tahoma"/>
          <w:sz w:val="22"/>
          <w:szCs w:val="22"/>
          <w:lang w:val="es-ES"/>
        </w:rPr>
        <w:t>Conforme a lo anterior, se actualiza la causal de procedencia señalada en el artículo 179, fracción VII, de la Ley de la materia</w:t>
      </w:r>
      <w:r w:rsidRPr="003709C1">
        <w:rPr>
          <w:rFonts w:ascii="Palatino Linotype" w:hAnsi="Palatino Linotype" w:cs="Tahoma"/>
          <w:bCs/>
          <w:sz w:val="22"/>
          <w:szCs w:val="22"/>
          <w:lang w:val="es-ES"/>
        </w:rPr>
        <w:t>, toda vez que el Solicitante se inconformó con la falta de respuesta a su solicitud de acceso a información pública.</w:t>
      </w:r>
    </w:p>
    <w:p w14:paraId="4AF0FBE7" w14:textId="77777777" w:rsidR="00851F51" w:rsidRDefault="00851F51" w:rsidP="004F4E53">
      <w:pPr>
        <w:spacing w:line="360" w:lineRule="auto"/>
        <w:jc w:val="both"/>
        <w:rPr>
          <w:rFonts w:ascii="Palatino Linotype" w:hAnsi="Palatino Linotype" w:cs="Tahoma"/>
          <w:b/>
          <w:bCs/>
          <w:color w:val="0D0D0D" w:themeColor="text1" w:themeTint="F2"/>
          <w:sz w:val="22"/>
          <w:szCs w:val="22"/>
        </w:rPr>
      </w:pPr>
    </w:p>
    <w:p w14:paraId="51E80A00" w14:textId="77777777" w:rsidR="00F93859" w:rsidRPr="003709C1" w:rsidRDefault="00F93859" w:rsidP="004F4E53">
      <w:pPr>
        <w:spacing w:line="360" w:lineRule="auto"/>
        <w:jc w:val="both"/>
        <w:rPr>
          <w:rFonts w:ascii="Palatino Linotype" w:hAnsi="Palatino Linotype" w:cs="Tahoma"/>
          <w:b/>
          <w:bCs/>
          <w:color w:val="0D0D0D" w:themeColor="text1" w:themeTint="F2"/>
          <w:sz w:val="22"/>
          <w:szCs w:val="22"/>
        </w:rPr>
      </w:pPr>
      <w:r w:rsidRPr="003709C1">
        <w:rPr>
          <w:rFonts w:ascii="Palatino Linotype" w:hAnsi="Palatino Linotype" w:cs="Tahoma"/>
          <w:b/>
          <w:bCs/>
          <w:color w:val="0D0D0D" w:themeColor="text1" w:themeTint="F2"/>
          <w:sz w:val="22"/>
          <w:szCs w:val="22"/>
        </w:rPr>
        <w:t>Causales de sobreseimiento</w:t>
      </w:r>
    </w:p>
    <w:p w14:paraId="4DD47685" w14:textId="77777777" w:rsidR="00F93859" w:rsidRPr="003709C1"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3709C1" w:rsidRDefault="00F93859" w:rsidP="004F4E53">
      <w:pPr>
        <w:spacing w:line="360" w:lineRule="auto"/>
        <w:jc w:val="both"/>
        <w:rPr>
          <w:rFonts w:ascii="Palatino Linotype" w:hAnsi="Palatino Linotype" w:cs="Tahoma"/>
          <w:bCs/>
          <w:color w:val="0D0D0D" w:themeColor="text1" w:themeTint="F2"/>
          <w:sz w:val="22"/>
          <w:szCs w:val="22"/>
        </w:rPr>
      </w:pPr>
      <w:r w:rsidRPr="003709C1">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3709C1"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3709C1" w:rsidRDefault="00F93859" w:rsidP="004F4E53">
      <w:pPr>
        <w:spacing w:line="360" w:lineRule="auto"/>
        <w:jc w:val="both"/>
        <w:rPr>
          <w:rFonts w:ascii="Palatino Linotype" w:hAnsi="Palatino Linotype" w:cs="Tahoma"/>
          <w:sz w:val="22"/>
          <w:szCs w:val="28"/>
        </w:rPr>
      </w:pPr>
      <w:r w:rsidRPr="003709C1">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3709C1" w:rsidRDefault="00F93859" w:rsidP="004F4E53">
      <w:pPr>
        <w:spacing w:line="360" w:lineRule="auto"/>
        <w:jc w:val="both"/>
        <w:rPr>
          <w:rFonts w:ascii="Palatino Linotype" w:hAnsi="Palatino Linotype" w:cs="Tahoma"/>
          <w:sz w:val="22"/>
          <w:szCs w:val="28"/>
        </w:rPr>
      </w:pPr>
    </w:p>
    <w:p w14:paraId="0156C47A" w14:textId="77777777" w:rsidR="00F93859" w:rsidRPr="003709C1" w:rsidRDefault="00F93859" w:rsidP="004F4E53">
      <w:pPr>
        <w:spacing w:line="360" w:lineRule="auto"/>
        <w:jc w:val="both"/>
        <w:rPr>
          <w:rFonts w:ascii="Palatino Linotype" w:hAnsi="Palatino Linotype" w:cs="Tahoma"/>
          <w:bCs/>
          <w:color w:val="0D0D0D" w:themeColor="text1" w:themeTint="F2"/>
          <w:sz w:val="22"/>
          <w:szCs w:val="22"/>
        </w:rPr>
      </w:pPr>
      <w:r w:rsidRPr="003709C1">
        <w:rPr>
          <w:rFonts w:ascii="Palatino Linotype" w:hAnsi="Palatino Linotype" w:cs="Tahoma"/>
          <w:bCs/>
          <w:color w:val="0D0D0D" w:themeColor="text1" w:themeTint="F2"/>
          <w:sz w:val="22"/>
          <w:szCs w:val="22"/>
        </w:rPr>
        <w:t xml:space="preserve">Por tales motivos, se considera procedente entrar al fondo del presente asunto. </w:t>
      </w:r>
    </w:p>
    <w:p w14:paraId="0F9B3FB7" w14:textId="77777777" w:rsidR="00F93859" w:rsidRPr="003709C1" w:rsidRDefault="00F93859" w:rsidP="004F4E53">
      <w:pPr>
        <w:spacing w:line="360" w:lineRule="auto"/>
        <w:contextualSpacing/>
        <w:jc w:val="both"/>
        <w:rPr>
          <w:rFonts w:ascii="Palatino Linotype" w:hAnsi="Palatino Linotype" w:cs="Tahoma"/>
          <w:bCs/>
          <w:sz w:val="22"/>
          <w:szCs w:val="22"/>
          <w:lang w:val="es-ES"/>
        </w:rPr>
      </w:pPr>
    </w:p>
    <w:p w14:paraId="000C8B81" w14:textId="77777777" w:rsidR="00F93859" w:rsidRPr="003709C1" w:rsidRDefault="00F93859" w:rsidP="004F4E53">
      <w:pPr>
        <w:spacing w:line="360" w:lineRule="auto"/>
        <w:jc w:val="both"/>
        <w:rPr>
          <w:rFonts w:ascii="Palatino Linotype" w:hAnsi="Palatino Linotype" w:cs="Tahoma"/>
          <w:b/>
          <w:bCs/>
          <w:iCs/>
          <w:sz w:val="22"/>
          <w:szCs w:val="22"/>
          <w:lang w:val="es-ES"/>
        </w:rPr>
      </w:pPr>
      <w:r w:rsidRPr="003709C1">
        <w:rPr>
          <w:rFonts w:ascii="Palatino Linotype" w:hAnsi="Palatino Linotype" w:cs="Tahoma"/>
          <w:b/>
          <w:bCs/>
          <w:iCs/>
          <w:sz w:val="22"/>
          <w:szCs w:val="22"/>
          <w:lang w:val="es-ES"/>
        </w:rPr>
        <w:t>TERCERO. Determinación de la Controversia</w:t>
      </w:r>
    </w:p>
    <w:p w14:paraId="7C507C79" w14:textId="77777777" w:rsidR="00F93859" w:rsidRPr="003709C1"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7EF482F7" w14:textId="7CD997E2" w:rsidR="00D46FC7" w:rsidRDefault="00F93859" w:rsidP="009A50FB">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3709C1">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D46FC7" w:rsidRPr="003709C1">
        <w:rPr>
          <w:rFonts w:ascii="Palatino Linotype" w:eastAsia="Calibri" w:hAnsi="Palatino Linotype" w:cs="Tahoma"/>
          <w:color w:val="000000"/>
          <w:sz w:val="22"/>
          <w:szCs w:val="22"/>
          <w:lang w:val="es-ES" w:eastAsia="es-MX"/>
        </w:rPr>
        <w:t xml:space="preserve">, </w:t>
      </w:r>
      <w:r w:rsidR="006E3DD4" w:rsidRPr="003709C1">
        <w:rPr>
          <w:rFonts w:ascii="Palatino Linotype" w:eastAsia="Calibri" w:hAnsi="Palatino Linotype" w:cs="Tahoma"/>
          <w:color w:val="000000"/>
          <w:sz w:val="22"/>
          <w:szCs w:val="22"/>
          <w:lang w:val="es-ES" w:eastAsia="es-MX"/>
        </w:rPr>
        <w:t xml:space="preserve">de todo el personal adscrito al Ayuntamiento de Jaltenco, </w:t>
      </w:r>
      <w:r w:rsidR="00F46DAD" w:rsidRPr="003709C1">
        <w:rPr>
          <w:rFonts w:ascii="Palatino Linotype" w:eastAsia="Calibri" w:hAnsi="Palatino Linotype" w:cs="Tahoma"/>
          <w:color w:val="000000"/>
          <w:sz w:val="22"/>
          <w:szCs w:val="22"/>
          <w:lang w:val="es-ES" w:eastAsia="es-MX"/>
        </w:rPr>
        <w:t>vigente al veinticuatro de septiembre de dos mil veinticuatro, lo siguiente:</w:t>
      </w:r>
    </w:p>
    <w:p w14:paraId="19FCBBAA" w14:textId="77777777" w:rsidR="00851F51" w:rsidRPr="003709C1" w:rsidRDefault="00851F51" w:rsidP="009A50FB">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43ADBF5C" w14:textId="78032074" w:rsidR="00F46DAD" w:rsidRPr="003709C1" w:rsidRDefault="00F46DAD" w:rsidP="00F46DAD">
      <w:pPr>
        <w:pStyle w:val="Prrafodelista"/>
        <w:numPr>
          <w:ilvl w:val="0"/>
          <w:numId w:val="40"/>
        </w:numPr>
        <w:tabs>
          <w:tab w:val="left" w:pos="4962"/>
        </w:tabs>
        <w:spacing w:line="360" w:lineRule="auto"/>
        <w:jc w:val="both"/>
        <w:rPr>
          <w:rFonts w:ascii="Palatino Linotype" w:eastAsia="Calibri" w:hAnsi="Palatino Linotype" w:cs="Tahoma"/>
          <w:color w:val="000000"/>
          <w:szCs w:val="22"/>
          <w:lang w:val="es-ES" w:eastAsia="es-MX"/>
        </w:rPr>
      </w:pPr>
      <w:r w:rsidRPr="003709C1">
        <w:rPr>
          <w:rFonts w:ascii="Palatino Linotype" w:eastAsia="Calibri" w:hAnsi="Palatino Linotype" w:cs="Tahoma"/>
          <w:color w:val="000000"/>
          <w:szCs w:val="22"/>
          <w:lang w:val="es-ES" w:eastAsia="es-MX"/>
        </w:rPr>
        <w:t>Número total de trabajadores por Área, Dirección o Coordinación</w:t>
      </w:r>
    </w:p>
    <w:p w14:paraId="0BCB3D01" w14:textId="61FE6DD6" w:rsidR="00F46DAD" w:rsidRPr="003709C1" w:rsidRDefault="00F46DAD" w:rsidP="00F46DAD">
      <w:pPr>
        <w:pStyle w:val="Prrafodelista"/>
        <w:numPr>
          <w:ilvl w:val="0"/>
          <w:numId w:val="40"/>
        </w:numPr>
        <w:tabs>
          <w:tab w:val="left" w:pos="4962"/>
        </w:tabs>
        <w:spacing w:line="360" w:lineRule="auto"/>
        <w:jc w:val="both"/>
        <w:rPr>
          <w:rFonts w:ascii="Palatino Linotype" w:eastAsia="Calibri" w:hAnsi="Palatino Linotype" w:cs="Tahoma"/>
          <w:color w:val="000000"/>
          <w:szCs w:val="22"/>
          <w:lang w:val="es-ES" w:eastAsia="es-MX"/>
        </w:rPr>
      </w:pPr>
      <w:r w:rsidRPr="003709C1">
        <w:rPr>
          <w:rFonts w:ascii="Palatino Linotype" w:eastAsia="Calibri" w:hAnsi="Palatino Linotype" w:cs="Tahoma"/>
          <w:color w:val="000000"/>
          <w:szCs w:val="22"/>
          <w:lang w:val="es-ES" w:eastAsia="es-MX"/>
        </w:rPr>
        <w:t xml:space="preserve">Número total de trabajadores que cuenten con seguro médico </w:t>
      </w:r>
    </w:p>
    <w:p w14:paraId="41B8211A" w14:textId="77777777" w:rsidR="00F46DAD" w:rsidRPr="003709C1" w:rsidRDefault="00F46DAD" w:rsidP="00F46DAD">
      <w:pPr>
        <w:pStyle w:val="Prrafodelista"/>
        <w:tabs>
          <w:tab w:val="left" w:pos="4962"/>
        </w:tabs>
        <w:spacing w:line="360" w:lineRule="auto"/>
        <w:jc w:val="both"/>
        <w:rPr>
          <w:rFonts w:ascii="Palatino Linotype" w:eastAsia="Calibri" w:hAnsi="Palatino Linotype" w:cs="Tahoma"/>
          <w:color w:val="000000"/>
          <w:szCs w:val="22"/>
          <w:lang w:val="es-ES" w:eastAsia="es-MX"/>
        </w:rPr>
      </w:pPr>
    </w:p>
    <w:p w14:paraId="56228336" w14:textId="28E9341A" w:rsidR="00F93859" w:rsidRPr="003709C1" w:rsidRDefault="00F93859" w:rsidP="00D46FC7">
      <w:pPr>
        <w:pStyle w:val="NormalWeb"/>
        <w:spacing w:after="0" w:line="360" w:lineRule="auto"/>
        <w:ind w:right="-28"/>
        <w:rPr>
          <w:rFonts w:ascii="Palatino Linotype" w:hAnsi="Palatino Linotype" w:cs="Tahoma"/>
          <w:bCs/>
          <w:iCs/>
          <w:sz w:val="22"/>
          <w:szCs w:val="22"/>
          <w:lang w:val="es-ES" w:eastAsia="es-ES"/>
        </w:rPr>
      </w:pPr>
      <w:r w:rsidRPr="003709C1">
        <w:rPr>
          <w:rFonts w:ascii="Palatino Linotype" w:hAnsi="Palatino Linotype" w:cs="Tahoma"/>
          <w:bCs/>
          <w:iCs/>
          <w:sz w:val="22"/>
          <w:szCs w:val="22"/>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3709C1">
        <w:rPr>
          <w:rFonts w:ascii="Palatino Linotype" w:hAnsi="Palatino Linotype" w:cs="Tahoma"/>
          <w:bCs/>
          <w:iCs/>
          <w:sz w:val="22"/>
          <w:szCs w:val="22"/>
          <w:shd w:val="clear" w:color="auto" w:fill="FFFFFF"/>
        </w:rPr>
        <w:t xml:space="preserve">. </w:t>
      </w:r>
      <w:r w:rsidRPr="003709C1">
        <w:rPr>
          <w:rFonts w:ascii="Palatino Linotype" w:hAnsi="Palatino Linotype" w:cs="Tahoma"/>
          <w:sz w:val="22"/>
          <w:szCs w:val="22"/>
          <w:lang w:val="es-ES"/>
        </w:rPr>
        <w:t xml:space="preserve">Así las cosas, una vez admitido y notificado el Recurso de Revisión a las partes, </w:t>
      </w:r>
      <w:r w:rsidR="00D46FC7" w:rsidRPr="003709C1">
        <w:rPr>
          <w:rFonts w:ascii="Palatino Linotype" w:hAnsi="Palatino Linotype" w:cs="Tahoma"/>
          <w:sz w:val="22"/>
          <w:szCs w:val="22"/>
          <w:lang w:val="es-ES"/>
        </w:rPr>
        <w:t>estas</w:t>
      </w:r>
      <w:r w:rsidR="00D46FC7" w:rsidRPr="003709C1">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3709C1"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3709C1" w:rsidRDefault="00F93859" w:rsidP="004F4E53">
      <w:pPr>
        <w:tabs>
          <w:tab w:val="left" w:pos="4962"/>
        </w:tabs>
        <w:spacing w:line="360" w:lineRule="auto"/>
        <w:jc w:val="both"/>
        <w:rPr>
          <w:rFonts w:ascii="Palatino Linotype" w:eastAsia="Calibri" w:hAnsi="Palatino Linotype" w:cs="Tahoma"/>
          <w:bCs/>
          <w:sz w:val="22"/>
          <w:szCs w:val="22"/>
        </w:rPr>
      </w:pPr>
      <w:r w:rsidRPr="003709C1">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3709C1">
        <w:rPr>
          <w:rFonts w:ascii="Palatino Linotype" w:eastAsia="Calibri" w:hAnsi="Palatino Linotype" w:cs="Tahoma"/>
          <w:iCs/>
          <w:sz w:val="22"/>
          <w:szCs w:val="22"/>
          <w:lang w:eastAsia="es-ES_tradnl"/>
        </w:rPr>
        <w:t xml:space="preserve">y el escrito </w:t>
      </w:r>
      <w:proofErr w:type="spellStart"/>
      <w:r w:rsidRPr="003709C1">
        <w:rPr>
          <w:rFonts w:ascii="Palatino Linotype" w:eastAsia="Calibri" w:hAnsi="Palatino Linotype" w:cs="Tahoma"/>
          <w:iCs/>
          <w:sz w:val="22"/>
          <w:szCs w:val="22"/>
          <w:lang w:eastAsia="es-ES_tradnl"/>
        </w:rPr>
        <w:t>recursal</w:t>
      </w:r>
      <w:proofErr w:type="spellEnd"/>
      <w:r w:rsidRPr="003709C1">
        <w:rPr>
          <w:rFonts w:ascii="Palatino Linotype" w:eastAsia="Calibri" w:hAnsi="Palatino Linotype" w:cs="Tahoma"/>
          <w:iCs/>
          <w:sz w:val="22"/>
          <w:szCs w:val="22"/>
          <w:lang w:eastAsia="es-ES_tradnl"/>
        </w:rPr>
        <w:t xml:space="preserve">; </w:t>
      </w:r>
      <w:r w:rsidRPr="003709C1">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6815EDBD" w14:textId="77777777" w:rsidR="00F93859" w:rsidRPr="003709C1" w:rsidRDefault="00F93859"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3709C1" w:rsidRDefault="00F93859" w:rsidP="004F4E53">
      <w:pPr>
        <w:spacing w:line="360" w:lineRule="auto"/>
        <w:jc w:val="both"/>
        <w:rPr>
          <w:rFonts w:ascii="Palatino Linotype" w:hAnsi="Palatino Linotype" w:cs="Tahoma"/>
          <w:b/>
          <w:bCs/>
          <w:iCs/>
          <w:sz w:val="22"/>
          <w:szCs w:val="22"/>
        </w:rPr>
      </w:pPr>
      <w:r w:rsidRPr="003709C1">
        <w:rPr>
          <w:rFonts w:ascii="Palatino Linotype" w:hAnsi="Palatino Linotype" w:cs="Tahoma"/>
          <w:b/>
          <w:bCs/>
          <w:iCs/>
          <w:sz w:val="22"/>
          <w:szCs w:val="22"/>
          <w:lang w:val="es-ES"/>
        </w:rPr>
        <w:t xml:space="preserve">CUARTO. </w:t>
      </w:r>
      <w:r w:rsidRPr="003709C1">
        <w:rPr>
          <w:rFonts w:ascii="Palatino Linotype" w:hAnsi="Palatino Linotype" w:cs="Tahoma"/>
          <w:b/>
          <w:bCs/>
          <w:iCs/>
          <w:sz w:val="22"/>
          <w:szCs w:val="22"/>
        </w:rPr>
        <w:t>Marco normativo aplicable en materia de transparencia y acceso a la información pública</w:t>
      </w:r>
    </w:p>
    <w:p w14:paraId="784F843E" w14:textId="77777777" w:rsidR="00E716DD" w:rsidRPr="003709C1" w:rsidRDefault="00E716DD" w:rsidP="004F4E53">
      <w:pPr>
        <w:spacing w:line="360" w:lineRule="auto"/>
        <w:jc w:val="both"/>
        <w:rPr>
          <w:rFonts w:ascii="Palatino Linotype" w:hAnsi="Palatino Linotype" w:cs="Tahoma"/>
          <w:b/>
          <w:bCs/>
          <w:iCs/>
          <w:sz w:val="22"/>
          <w:szCs w:val="22"/>
        </w:rPr>
      </w:pPr>
    </w:p>
    <w:p w14:paraId="7A833587"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lastRenderedPageBreak/>
        <w:t xml:space="preserve">El artículo 6°, Apartado A), fracción I de la Constitución Política de los Estados Unidos Mexicanos, establece que toda la información en posesión de cualquier </w:t>
      </w:r>
      <w:proofErr w:type="gramStart"/>
      <w:r w:rsidRPr="003709C1">
        <w:rPr>
          <w:rFonts w:ascii="Palatino Linotype" w:hAnsi="Palatino Linotype" w:cs="Tahoma"/>
          <w:iCs/>
          <w:sz w:val="22"/>
          <w:szCs w:val="22"/>
        </w:rPr>
        <w:t>autoridad,</w:t>
      </w:r>
      <w:proofErr w:type="gramEnd"/>
      <w:r w:rsidRPr="003709C1">
        <w:rPr>
          <w:rFonts w:ascii="Palatino Linotype" w:hAnsi="Palatino Linotype" w:cs="Tahoma"/>
          <w:iCs/>
          <w:sz w:val="22"/>
          <w:szCs w:val="22"/>
        </w:rPr>
        <w:t xml:space="preserve"> es pública y sólo podrá ser reservada temporalmente por razones de interés público.</w:t>
      </w:r>
    </w:p>
    <w:p w14:paraId="16A96864" w14:textId="77777777" w:rsidR="00E716DD" w:rsidRPr="003709C1" w:rsidRDefault="00E716DD" w:rsidP="004F4E53">
      <w:pPr>
        <w:spacing w:line="360" w:lineRule="auto"/>
        <w:jc w:val="both"/>
        <w:rPr>
          <w:rFonts w:ascii="Palatino Linotype" w:hAnsi="Palatino Linotype" w:cs="Tahoma"/>
          <w:iCs/>
          <w:sz w:val="22"/>
          <w:szCs w:val="22"/>
        </w:rPr>
      </w:pPr>
    </w:p>
    <w:p w14:paraId="7C1690FA"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8C4C00F" w14:textId="77777777" w:rsidR="00E716DD" w:rsidRPr="003709C1" w:rsidRDefault="00E716DD" w:rsidP="004F4E53">
      <w:pPr>
        <w:spacing w:line="360" w:lineRule="auto"/>
        <w:jc w:val="both"/>
        <w:rPr>
          <w:rFonts w:ascii="Palatino Linotype" w:hAnsi="Palatino Linotype" w:cs="Tahoma"/>
          <w:iCs/>
          <w:sz w:val="22"/>
          <w:szCs w:val="22"/>
        </w:rPr>
      </w:pPr>
    </w:p>
    <w:p w14:paraId="7F08AF06"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B2F867F" w14:textId="77777777" w:rsidR="00E716DD" w:rsidRPr="003709C1" w:rsidRDefault="00E716DD" w:rsidP="004F4E53">
      <w:pPr>
        <w:spacing w:line="360" w:lineRule="auto"/>
        <w:jc w:val="both"/>
        <w:rPr>
          <w:rFonts w:ascii="Palatino Linotype" w:hAnsi="Palatino Linotype" w:cs="Tahoma"/>
          <w:iCs/>
          <w:sz w:val="22"/>
          <w:szCs w:val="22"/>
        </w:rPr>
      </w:pPr>
    </w:p>
    <w:p w14:paraId="39477FCB"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Por su parte, la Ley de Transparencia y Acceso a la Información Pública del Estado de México y Municipios (Reglamentaria del artículo 5° de la Constitución Local), establece lo siguiente:</w:t>
      </w:r>
    </w:p>
    <w:p w14:paraId="06FE576E" w14:textId="77777777" w:rsidR="00E716DD" w:rsidRPr="003709C1" w:rsidRDefault="00E716DD" w:rsidP="004F4E53">
      <w:pPr>
        <w:spacing w:line="360" w:lineRule="auto"/>
        <w:jc w:val="both"/>
        <w:rPr>
          <w:rFonts w:ascii="Palatino Linotype" w:hAnsi="Palatino Linotype" w:cs="Tahoma"/>
          <w:iCs/>
          <w:sz w:val="22"/>
          <w:szCs w:val="22"/>
        </w:rPr>
      </w:pPr>
    </w:p>
    <w:p w14:paraId="666CD1C7"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El artículo 12, que, quienes generen, recopilen, administren, manejen, procesen, archiven o conserven información pública serán responsables de la misma.</w:t>
      </w:r>
    </w:p>
    <w:p w14:paraId="77B8AFAF" w14:textId="77777777" w:rsidR="00E716DD" w:rsidRPr="003709C1" w:rsidRDefault="00E716DD" w:rsidP="004F4E53">
      <w:pPr>
        <w:spacing w:line="360" w:lineRule="auto"/>
        <w:jc w:val="both"/>
        <w:rPr>
          <w:rFonts w:ascii="Palatino Linotype" w:hAnsi="Palatino Linotype" w:cs="Tahoma"/>
          <w:iCs/>
          <w:sz w:val="22"/>
          <w:szCs w:val="22"/>
        </w:rPr>
      </w:pPr>
    </w:p>
    <w:p w14:paraId="0338B81A"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3709C1" w:rsidRDefault="00E716DD" w:rsidP="004F4E53">
      <w:pPr>
        <w:spacing w:line="360" w:lineRule="auto"/>
        <w:jc w:val="both"/>
        <w:rPr>
          <w:rFonts w:ascii="Palatino Linotype" w:hAnsi="Palatino Linotype" w:cs="Tahoma"/>
          <w:iCs/>
          <w:sz w:val="22"/>
          <w:szCs w:val="22"/>
        </w:rPr>
      </w:pPr>
    </w:p>
    <w:p w14:paraId="142DF62C"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 xml:space="preserve">El artículo 19, que, se presume que la información debe existir si se refiere a las facultades, competencias y funciones que los ordenamientos jurídicos aplicables otorgan a los sujetos </w:t>
      </w:r>
      <w:r w:rsidRPr="003709C1">
        <w:rPr>
          <w:rFonts w:ascii="Palatino Linotype" w:hAnsi="Palatino Linotype" w:cs="Tahoma"/>
          <w:iCs/>
          <w:sz w:val="22"/>
          <w:szCs w:val="22"/>
        </w:rPr>
        <w:lastRenderedPageBreak/>
        <w:t>obligados y en caso de que dichas facultades no se hayan ejercido, se deberá motivar la respuesta en función de las causas que motivaron tal circunstancia.</w:t>
      </w:r>
    </w:p>
    <w:p w14:paraId="4249BC6B" w14:textId="77777777" w:rsidR="00E716DD" w:rsidRPr="003709C1"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3709C1" w:rsidRDefault="00E716DD" w:rsidP="004F4E53">
      <w:pPr>
        <w:spacing w:line="360" w:lineRule="auto"/>
        <w:jc w:val="both"/>
        <w:rPr>
          <w:rFonts w:ascii="Palatino Linotype" w:hAnsi="Palatino Linotype" w:cs="Tahoma"/>
          <w:b/>
          <w:bCs/>
          <w:iCs/>
          <w:sz w:val="22"/>
          <w:szCs w:val="22"/>
          <w:lang w:val="es-ES"/>
        </w:rPr>
      </w:pPr>
      <w:r w:rsidRPr="003709C1">
        <w:rPr>
          <w:rFonts w:ascii="Palatino Linotype" w:hAnsi="Palatino Linotype" w:cs="Tahoma"/>
          <w:b/>
          <w:bCs/>
          <w:iCs/>
          <w:sz w:val="22"/>
          <w:szCs w:val="22"/>
          <w:lang w:val="es-ES"/>
        </w:rPr>
        <w:t>QUINTO. Estudio de Fondo</w:t>
      </w:r>
    </w:p>
    <w:p w14:paraId="7C675EDB" w14:textId="77777777" w:rsidR="00E716DD" w:rsidRPr="003709C1" w:rsidRDefault="00E716DD" w:rsidP="004F4E53">
      <w:pPr>
        <w:spacing w:line="360" w:lineRule="auto"/>
        <w:jc w:val="both"/>
        <w:rPr>
          <w:rFonts w:ascii="Palatino Linotype" w:hAnsi="Palatino Linotype" w:cs="Tahoma"/>
          <w:iCs/>
          <w:sz w:val="22"/>
          <w:szCs w:val="22"/>
          <w:lang w:val="es-ES"/>
        </w:rPr>
      </w:pPr>
    </w:p>
    <w:p w14:paraId="24AEFE35" w14:textId="2139CF41"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 xml:space="preserve">Expuestas las posturas de las partes, se procede al análisis del agravio hecho valer por la persona Recurrente, concerniente a la falta de respuesta del Ayuntamiento de </w:t>
      </w:r>
      <w:r w:rsidR="00F46DAD" w:rsidRPr="003709C1">
        <w:rPr>
          <w:rFonts w:ascii="Palatino Linotype" w:hAnsi="Palatino Linotype" w:cs="Tahoma"/>
          <w:iCs/>
          <w:sz w:val="22"/>
          <w:szCs w:val="22"/>
        </w:rPr>
        <w:t>Jaltenco</w:t>
      </w:r>
      <w:r w:rsidRPr="003709C1">
        <w:rPr>
          <w:rFonts w:ascii="Palatino Linotype" w:hAnsi="Palatino Linotype" w:cs="Tahoma"/>
          <w:iCs/>
          <w:sz w:val="22"/>
          <w:szCs w:val="22"/>
        </w:rPr>
        <w:t xml:space="preserve"> a la solicitud de información.</w:t>
      </w:r>
    </w:p>
    <w:p w14:paraId="685AFA76" w14:textId="77777777" w:rsidR="00E716DD" w:rsidRPr="003709C1" w:rsidRDefault="00E716DD" w:rsidP="004F4E53">
      <w:pPr>
        <w:spacing w:line="360" w:lineRule="auto"/>
        <w:jc w:val="both"/>
        <w:rPr>
          <w:rFonts w:ascii="Palatino Linotype" w:hAnsi="Palatino Linotype" w:cs="Tahoma"/>
          <w:iCs/>
          <w:sz w:val="22"/>
          <w:szCs w:val="22"/>
        </w:rPr>
      </w:pPr>
    </w:p>
    <w:p w14:paraId="05477E73"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3709C1" w:rsidRDefault="00E716DD" w:rsidP="004F4E53">
      <w:pPr>
        <w:spacing w:line="360" w:lineRule="auto"/>
        <w:jc w:val="both"/>
        <w:rPr>
          <w:rFonts w:ascii="Palatino Linotype" w:hAnsi="Palatino Linotype" w:cs="Tahoma"/>
          <w:iCs/>
          <w:sz w:val="22"/>
          <w:szCs w:val="22"/>
        </w:rPr>
      </w:pPr>
    </w:p>
    <w:p w14:paraId="5810B3D5" w14:textId="77777777" w:rsidR="00E716DD" w:rsidRPr="003709C1" w:rsidRDefault="00E716DD" w:rsidP="004F4E53">
      <w:pPr>
        <w:numPr>
          <w:ilvl w:val="0"/>
          <w:numId w:val="26"/>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13CFD9DC" w14:textId="77777777" w:rsidR="00E716DD" w:rsidRPr="003709C1" w:rsidRDefault="00E716DD" w:rsidP="004F4E53">
      <w:pPr>
        <w:spacing w:line="360" w:lineRule="auto"/>
        <w:jc w:val="both"/>
        <w:rPr>
          <w:rFonts w:ascii="Palatino Linotype" w:hAnsi="Palatino Linotype" w:cs="Tahoma"/>
          <w:iCs/>
          <w:sz w:val="22"/>
          <w:szCs w:val="22"/>
        </w:rPr>
      </w:pPr>
    </w:p>
    <w:p w14:paraId="27E57A7B" w14:textId="77777777" w:rsidR="00E716DD" w:rsidRPr="003709C1" w:rsidRDefault="00E716DD" w:rsidP="004F4E53">
      <w:pPr>
        <w:numPr>
          <w:ilvl w:val="0"/>
          <w:numId w:val="26"/>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Transparentar la gestión pública, mediante la difusión de la información generada por los Sujetos Obligados, y</w:t>
      </w:r>
    </w:p>
    <w:p w14:paraId="299884F2" w14:textId="77777777" w:rsidR="00E716DD" w:rsidRPr="003709C1" w:rsidRDefault="00E716DD" w:rsidP="004F4E53">
      <w:pPr>
        <w:spacing w:line="360" w:lineRule="auto"/>
        <w:jc w:val="both"/>
        <w:rPr>
          <w:rFonts w:ascii="Palatino Linotype" w:hAnsi="Palatino Linotype" w:cs="Tahoma"/>
          <w:iCs/>
          <w:sz w:val="22"/>
          <w:szCs w:val="22"/>
        </w:rPr>
      </w:pPr>
    </w:p>
    <w:p w14:paraId="5B30FD99" w14:textId="77777777" w:rsidR="00E716DD" w:rsidRPr="003709C1" w:rsidRDefault="00E716DD" w:rsidP="004F4E53">
      <w:pPr>
        <w:numPr>
          <w:ilvl w:val="0"/>
          <w:numId w:val="26"/>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3709C1" w:rsidRDefault="00E716DD" w:rsidP="004F4E53">
      <w:pPr>
        <w:spacing w:line="360" w:lineRule="auto"/>
        <w:jc w:val="both"/>
        <w:rPr>
          <w:rFonts w:ascii="Palatino Linotype" w:hAnsi="Palatino Linotype" w:cs="Tahoma"/>
          <w:iCs/>
          <w:sz w:val="22"/>
          <w:szCs w:val="22"/>
        </w:rPr>
      </w:pPr>
    </w:p>
    <w:p w14:paraId="4D78B5D2"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 xml:space="preserve">Conforme a lo anterior, se deprende que los objetivos de la Ley de la </w:t>
      </w:r>
      <w:proofErr w:type="gramStart"/>
      <w:r w:rsidRPr="003709C1">
        <w:rPr>
          <w:rFonts w:ascii="Palatino Linotype" w:hAnsi="Palatino Linotype" w:cs="Tahoma"/>
          <w:iCs/>
          <w:sz w:val="22"/>
          <w:szCs w:val="22"/>
        </w:rPr>
        <w:t>materia,</w:t>
      </w:r>
      <w:proofErr w:type="gramEnd"/>
      <w:r w:rsidRPr="003709C1">
        <w:rPr>
          <w:rFonts w:ascii="Palatino Linotype" w:hAnsi="Palatino Linotype" w:cs="Tahoma"/>
          <w:iCs/>
          <w:sz w:val="22"/>
          <w:szCs w:val="22"/>
        </w:rPr>
        <w:t xml:space="preserve"> son establecer las bases que regirán las formas para garantizar el derecho de acceso a la información, </w:t>
      </w:r>
      <w:r w:rsidRPr="003709C1">
        <w:rPr>
          <w:rFonts w:ascii="Palatino Linotype" w:hAnsi="Palatino Linotype" w:cs="Tahoma"/>
          <w:iCs/>
          <w:sz w:val="22"/>
          <w:szCs w:val="22"/>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3709C1" w:rsidRDefault="00E716DD" w:rsidP="004F4E53">
      <w:pPr>
        <w:spacing w:line="360" w:lineRule="auto"/>
        <w:jc w:val="both"/>
        <w:rPr>
          <w:rFonts w:ascii="Palatino Linotype" w:hAnsi="Palatino Linotype" w:cs="Tahoma"/>
          <w:iCs/>
          <w:sz w:val="22"/>
          <w:szCs w:val="22"/>
        </w:rPr>
      </w:pPr>
    </w:p>
    <w:p w14:paraId="0B263179"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3709C1" w:rsidRDefault="00E716DD" w:rsidP="004F4E53">
      <w:pPr>
        <w:spacing w:line="360" w:lineRule="auto"/>
        <w:jc w:val="both"/>
        <w:rPr>
          <w:rFonts w:ascii="Palatino Linotype" w:hAnsi="Palatino Linotype" w:cs="Tahoma"/>
          <w:iCs/>
          <w:sz w:val="22"/>
          <w:szCs w:val="22"/>
        </w:rPr>
      </w:pPr>
    </w:p>
    <w:p w14:paraId="0A96F3D2" w14:textId="77777777"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C146BF2" w14:textId="77777777" w:rsidR="00E716DD" w:rsidRPr="003709C1" w:rsidRDefault="00E716DD" w:rsidP="004F4E53">
      <w:pPr>
        <w:spacing w:line="360" w:lineRule="auto"/>
        <w:jc w:val="both"/>
        <w:rPr>
          <w:rFonts w:ascii="Palatino Linotype" w:hAnsi="Palatino Linotype" w:cs="Tahoma"/>
          <w:iCs/>
          <w:sz w:val="22"/>
          <w:szCs w:val="22"/>
        </w:rPr>
      </w:pPr>
    </w:p>
    <w:p w14:paraId="167E06A5" w14:textId="77777777" w:rsidR="00E716DD" w:rsidRPr="003709C1" w:rsidRDefault="00E716DD" w:rsidP="004F4E53">
      <w:pPr>
        <w:numPr>
          <w:ilvl w:val="0"/>
          <w:numId w:val="27"/>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BD1B8B6" w14:textId="77777777" w:rsidR="00E716DD" w:rsidRPr="003709C1" w:rsidRDefault="00E716DD" w:rsidP="004F4E53">
      <w:pPr>
        <w:spacing w:line="360" w:lineRule="auto"/>
        <w:jc w:val="both"/>
        <w:rPr>
          <w:rFonts w:ascii="Palatino Linotype" w:hAnsi="Palatino Linotype" w:cs="Tahoma"/>
          <w:iCs/>
          <w:sz w:val="22"/>
          <w:szCs w:val="22"/>
        </w:rPr>
      </w:pPr>
    </w:p>
    <w:p w14:paraId="37A816FA" w14:textId="77777777" w:rsidR="00E716DD" w:rsidRPr="003709C1" w:rsidRDefault="00E716DD" w:rsidP="004F4E53">
      <w:pPr>
        <w:numPr>
          <w:ilvl w:val="0"/>
          <w:numId w:val="27"/>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6864E36" w14:textId="77777777" w:rsidR="00E716DD" w:rsidRPr="003709C1" w:rsidRDefault="00E716DD" w:rsidP="004F4E53">
      <w:pPr>
        <w:spacing w:line="360" w:lineRule="auto"/>
        <w:jc w:val="both"/>
        <w:rPr>
          <w:rFonts w:ascii="Palatino Linotype" w:hAnsi="Palatino Linotype" w:cs="Tahoma"/>
          <w:iCs/>
          <w:sz w:val="22"/>
          <w:szCs w:val="22"/>
        </w:rPr>
      </w:pPr>
    </w:p>
    <w:p w14:paraId="29733BD8" w14:textId="77777777" w:rsidR="00E716DD" w:rsidRPr="003709C1" w:rsidRDefault="00E716DD" w:rsidP="004F4E53">
      <w:pPr>
        <w:numPr>
          <w:ilvl w:val="0"/>
          <w:numId w:val="27"/>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4CB9939" w14:textId="77777777" w:rsidR="00E716DD" w:rsidRPr="003709C1" w:rsidRDefault="00E716DD" w:rsidP="004F4E53">
      <w:pPr>
        <w:spacing w:line="360" w:lineRule="auto"/>
        <w:jc w:val="both"/>
        <w:rPr>
          <w:rFonts w:ascii="Palatino Linotype" w:hAnsi="Palatino Linotype" w:cs="Tahoma"/>
          <w:iCs/>
          <w:sz w:val="22"/>
          <w:szCs w:val="22"/>
        </w:rPr>
      </w:pPr>
    </w:p>
    <w:p w14:paraId="51C1EBAF" w14:textId="77777777" w:rsidR="00E716DD" w:rsidRPr="003709C1" w:rsidRDefault="00E716DD" w:rsidP="004F4E53">
      <w:pPr>
        <w:numPr>
          <w:ilvl w:val="0"/>
          <w:numId w:val="27"/>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 xml:space="preserve">Las Unidades de Transparencia garantizarán que las solicitudes se turnen a todas las áreas competentes que cuenten con la información o deban tenerla </w:t>
      </w:r>
      <w:proofErr w:type="gramStart"/>
      <w:r w:rsidRPr="003709C1">
        <w:rPr>
          <w:rFonts w:ascii="Palatino Linotype" w:hAnsi="Palatino Linotype" w:cs="Tahoma"/>
          <w:iCs/>
          <w:sz w:val="22"/>
          <w:szCs w:val="22"/>
        </w:rPr>
        <w:t>de acuerdo a</w:t>
      </w:r>
      <w:proofErr w:type="gramEnd"/>
      <w:r w:rsidRPr="003709C1">
        <w:rPr>
          <w:rFonts w:ascii="Palatino Linotype" w:hAnsi="Palatino Linotype" w:cs="Tahoma"/>
          <w:iCs/>
          <w:sz w:val="22"/>
          <w:szCs w:val="22"/>
        </w:rPr>
        <w:t xml:space="preserve">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77B7976" w14:textId="77777777" w:rsidR="00E716DD" w:rsidRPr="003709C1" w:rsidRDefault="00E716DD" w:rsidP="004F4E53">
      <w:pPr>
        <w:spacing w:line="360" w:lineRule="auto"/>
        <w:jc w:val="both"/>
        <w:rPr>
          <w:rFonts w:ascii="Palatino Linotype" w:hAnsi="Palatino Linotype" w:cs="Tahoma"/>
          <w:iCs/>
          <w:sz w:val="22"/>
          <w:szCs w:val="22"/>
        </w:rPr>
      </w:pPr>
    </w:p>
    <w:p w14:paraId="76EF5205" w14:textId="77777777" w:rsidR="00E716DD" w:rsidRPr="003709C1" w:rsidRDefault="00E716DD" w:rsidP="004F4E53">
      <w:pPr>
        <w:numPr>
          <w:ilvl w:val="0"/>
          <w:numId w:val="27"/>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62A85D2" w14:textId="77777777" w:rsidR="00E716DD" w:rsidRPr="003709C1" w:rsidRDefault="00E716DD" w:rsidP="004F4E53">
      <w:pPr>
        <w:spacing w:line="360" w:lineRule="auto"/>
        <w:jc w:val="both"/>
        <w:rPr>
          <w:rFonts w:ascii="Palatino Linotype" w:hAnsi="Palatino Linotype" w:cs="Tahoma"/>
          <w:iCs/>
          <w:sz w:val="22"/>
          <w:szCs w:val="22"/>
        </w:rPr>
      </w:pPr>
    </w:p>
    <w:p w14:paraId="385CBACE" w14:textId="77777777" w:rsidR="00E716DD" w:rsidRPr="003709C1" w:rsidRDefault="00E716DD" w:rsidP="004F4E53">
      <w:pPr>
        <w:numPr>
          <w:ilvl w:val="0"/>
          <w:numId w:val="27"/>
        </w:num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3709C1" w:rsidRDefault="00E716DD" w:rsidP="004F4E53">
      <w:pPr>
        <w:spacing w:line="360" w:lineRule="auto"/>
        <w:jc w:val="both"/>
        <w:rPr>
          <w:rFonts w:ascii="Palatino Linotype" w:hAnsi="Palatino Linotype" w:cs="Tahoma"/>
          <w:iCs/>
          <w:sz w:val="22"/>
          <w:szCs w:val="22"/>
        </w:rPr>
      </w:pPr>
    </w:p>
    <w:p w14:paraId="7489B43B" w14:textId="25AA7D31"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lastRenderedPageBreak/>
        <w:t>Una vez establecido lo anterior, es de indicar que el agravio del Particular consistió en que, a la fecha de interposición del Recurso de Revisión, el Ayuntamiento de</w:t>
      </w:r>
      <w:r w:rsidR="00F46DAD" w:rsidRPr="003709C1">
        <w:rPr>
          <w:rFonts w:ascii="Palatino Linotype" w:hAnsi="Palatino Linotype" w:cs="Tahoma"/>
          <w:iCs/>
          <w:sz w:val="22"/>
          <w:szCs w:val="22"/>
        </w:rPr>
        <w:t xml:space="preserve"> Jaltenco</w:t>
      </w:r>
      <w:r w:rsidRPr="003709C1">
        <w:rPr>
          <w:rFonts w:ascii="Palatino Linotype" w:hAnsi="Palatino Linotype" w:cs="Tahoma"/>
          <w:iCs/>
          <w:sz w:val="22"/>
          <w:szCs w:val="22"/>
        </w:rPr>
        <w:t xml:space="preserve">, no había registrado respuesta al requerimiento de acceso a la información, el cual se presentó, el </w:t>
      </w:r>
      <w:r w:rsidR="00F46DAD" w:rsidRPr="003709C1">
        <w:rPr>
          <w:rFonts w:ascii="Palatino Linotype" w:hAnsi="Palatino Linotype" w:cs="Tahoma"/>
          <w:iCs/>
          <w:sz w:val="22"/>
          <w:szCs w:val="22"/>
        </w:rPr>
        <w:t>veinticuatro</w:t>
      </w:r>
      <w:r w:rsidR="0015058B" w:rsidRPr="003709C1">
        <w:rPr>
          <w:rFonts w:ascii="Palatino Linotype" w:hAnsi="Palatino Linotype" w:cs="Tahoma"/>
          <w:iCs/>
          <w:sz w:val="22"/>
          <w:szCs w:val="22"/>
        </w:rPr>
        <w:t xml:space="preserve"> de septiembre</w:t>
      </w:r>
      <w:r w:rsidR="006D2B83" w:rsidRPr="003709C1">
        <w:rPr>
          <w:rFonts w:ascii="Palatino Linotype" w:hAnsi="Palatino Linotype" w:cs="Tahoma"/>
          <w:iCs/>
          <w:sz w:val="22"/>
          <w:szCs w:val="22"/>
        </w:rPr>
        <w:t xml:space="preserve"> </w:t>
      </w:r>
      <w:r w:rsidRPr="003709C1">
        <w:rPr>
          <w:rFonts w:ascii="Palatino Linotype" w:hAnsi="Palatino Linotype" w:cs="Tahoma"/>
          <w:iCs/>
          <w:sz w:val="22"/>
          <w:szCs w:val="22"/>
        </w:rPr>
        <w:t>de dos mil veinticuatro.</w:t>
      </w:r>
    </w:p>
    <w:p w14:paraId="61D43351" w14:textId="77777777" w:rsidR="00E716DD" w:rsidRPr="003709C1" w:rsidRDefault="00E716DD" w:rsidP="004F4E53">
      <w:pPr>
        <w:spacing w:line="360" w:lineRule="auto"/>
        <w:jc w:val="both"/>
        <w:rPr>
          <w:rFonts w:ascii="Palatino Linotype" w:hAnsi="Palatino Linotype" w:cs="Tahoma"/>
          <w:iCs/>
          <w:sz w:val="22"/>
          <w:szCs w:val="22"/>
        </w:rPr>
      </w:pPr>
    </w:p>
    <w:p w14:paraId="24C19C3E" w14:textId="3546C3A5" w:rsidR="00E716DD"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 xml:space="preserve">En ese orden de ideas, el plazo con el que contaba el Sujeto Obligado para emitir contestación al requerimiento </w:t>
      </w:r>
      <w:r w:rsidR="006D2B83" w:rsidRPr="003709C1">
        <w:rPr>
          <w:rFonts w:ascii="Palatino Linotype" w:hAnsi="Palatino Linotype" w:cs="Tahoma"/>
          <w:iCs/>
          <w:sz w:val="22"/>
          <w:szCs w:val="22"/>
        </w:rPr>
        <w:t>informativo</w:t>
      </w:r>
      <w:r w:rsidRPr="003709C1">
        <w:rPr>
          <w:rFonts w:ascii="Palatino Linotype" w:hAnsi="Palatino Linotype" w:cs="Tahoma"/>
          <w:iCs/>
          <w:sz w:val="22"/>
          <w:szCs w:val="22"/>
        </w:rPr>
        <w:t xml:space="preserve"> comenzó a correr el </w:t>
      </w:r>
      <w:r w:rsidR="00F46DAD" w:rsidRPr="003709C1">
        <w:rPr>
          <w:rFonts w:ascii="Palatino Linotype" w:hAnsi="Palatino Linotype" w:cs="Tahoma"/>
          <w:iCs/>
          <w:sz w:val="22"/>
          <w:szCs w:val="22"/>
        </w:rPr>
        <w:t xml:space="preserve">veinticinco de septiembre y feneció el dieciséis de octubre </w:t>
      </w:r>
      <w:r w:rsidR="006D2B83" w:rsidRPr="003709C1">
        <w:rPr>
          <w:rFonts w:ascii="Palatino Linotype" w:hAnsi="Palatino Linotype" w:cs="Tahoma"/>
          <w:iCs/>
          <w:sz w:val="22"/>
          <w:szCs w:val="22"/>
        </w:rPr>
        <w:t>de dos mil veinticuatro</w:t>
      </w:r>
      <w:r w:rsidRPr="003709C1">
        <w:rPr>
          <w:rFonts w:ascii="Palatino Linotype" w:hAnsi="Palatino Linotype" w:cs="Tahoma"/>
          <w:iCs/>
          <w:sz w:val="22"/>
          <w:szCs w:val="22"/>
        </w:rPr>
        <w:t>; lo anterior, sin contar los días,</w:t>
      </w:r>
      <w:r w:rsidR="00F46DAD" w:rsidRPr="003709C1">
        <w:rPr>
          <w:rFonts w:ascii="Palatino Linotype" w:hAnsi="Palatino Linotype" w:cs="Tahoma"/>
          <w:iCs/>
          <w:sz w:val="22"/>
          <w:szCs w:val="22"/>
        </w:rPr>
        <w:t xml:space="preserve"> </w:t>
      </w:r>
      <w:r w:rsidR="0015058B" w:rsidRPr="003709C1">
        <w:rPr>
          <w:rFonts w:ascii="Palatino Linotype" w:hAnsi="Palatino Linotype" w:cs="Tahoma"/>
          <w:iCs/>
          <w:sz w:val="22"/>
          <w:szCs w:val="22"/>
        </w:rPr>
        <w:t>veintiocho y veintinueve de septiembre, así como, primero, cinco</w:t>
      </w:r>
      <w:r w:rsidR="00F46DAD" w:rsidRPr="003709C1">
        <w:rPr>
          <w:rFonts w:ascii="Palatino Linotype" w:hAnsi="Palatino Linotype" w:cs="Tahoma"/>
          <w:iCs/>
          <w:sz w:val="22"/>
          <w:szCs w:val="22"/>
        </w:rPr>
        <w:t>,</w:t>
      </w:r>
      <w:r w:rsidR="0015058B" w:rsidRPr="003709C1">
        <w:rPr>
          <w:rFonts w:ascii="Palatino Linotype" w:hAnsi="Palatino Linotype" w:cs="Tahoma"/>
          <w:iCs/>
          <w:sz w:val="22"/>
          <w:szCs w:val="22"/>
        </w:rPr>
        <w:t xml:space="preserve"> seis</w:t>
      </w:r>
      <w:r w:rsidR="00F46DAD" w:rsidRPr="003709C1">
        <w:rPr>
          <w:rFonts w:ascii="Palatino Linotype" w:hAnsi="Palatino Linotype" w:cs="Tahoma"/>
          <w:iCs/>
          <w:sz w:val="22"/>
          <w:szCs w:val="22"/>
        </w:rPr>
        <w:t>, doce y trece</w:t>
      </w:r>
      <w:r w:rsidR="0015058B" w:rsidRPr="003709C1">
        <w:rPr>
          <w:rFonts w:ascii="Palatino Linotype" w:hAnsi="Palatino Linotype" w:cs="Tahoma"/>
          <w:iCs/>
          <w:sz w:val="22"/>
          <w:szCs w:val="22"/>
        </w:rPr>
        <w:t xml:space="preserve"> de octubre </w:t>
      </w:r>
      <w:r w:rsidRPr="003709C1">
        <w:rPr>
          <w:rFonts w:ascii="Palatino Linotype" w:hAnsi="Palatino Linotype" w:cs="Tahoma"/>
          <w:iCs/>
          <w:sz w:val="22"/>
          <w:szCs w:val="22"/>
        </w:rPr>
        <w:t xml:space="preserve">de dicho año, al ser inhábiles, de conformidad con los artículos 3°, fracción X, y 159 de la Ley de Transparencia y Acceso a la Información Pública del Estado de México y Municipios y </w:t>
      </w:r>
      <w:bookmarkStart w:id="2" w:name="_Hlk65786947"/>
      <w:r w:rsidRPr="003709C1">
        <w:rPr>
          <w:rFonts w:ascii="Palatino Linotype" w:hAnsi="Palatino Linotype" w:cs="Tahoma"/>
          <w:iCs/>
          <w:sz w:val="22"/>
          <w:szCs w:val="22"/>
        </w:rPr>
        <w:t xml:space="preserve">el </w:t>
      </w:r>
      <w:r w:rsidRPr="003709C1">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 dos mil veinticuatro y enero dos mil veinticinco.</w:t>
      </w:r>
    </w:p>
    <w:bookmarkEnd w:id="2"/>
    <w:p w14:paraId="3293CCFE" w14:textId="77777777" w:rsidR="00E716DD" w:rsidRPr="003709C1" w:rsidRDefault="00E716DD" w:rsidP="004F4E53">
      <w:pPr>
        <w:spacing w:line="360" w:lineRule="auto"/>
        <w:jc w:val="both"/>
        <w:rPr>
          <w:rFonts w:ascii="Palatino Linotype" w:hAnsi="Palatino Linotype" w:cs="Tahoma"/>
          <w:iCs/>
          <w:sz w:val="22"/>
          <w:szCs w:val="22"/>
        </w:rPr>
      </w:pPr>
    </w:p>
    <w:p w14:paraId="6B2BF746" w14:textId="77777777" w:rsidR="00E716DD" w:rsidRPr="003709C1" w:rsidRDefault="00E716DD" w:rsidP="004F4E53">
      <w:pPr>
        <w:spacing w:line="360" w:lineRule="auto"/>
        <w:jc w:val="both"/>
        <w:rPr>
          <w:rFonts w:ascii="Palatino Linotype" w:hAnsi="Palatino Linotype" w:cs="Tahoma"/>
          <w:iCs/>
          <w:sz w:val="22"/>
          <w:szCs w:val="22"/>
          <w:lang w:val="es-ES"/>
        </w:rPr>
      </w:pPr>
      <w:r w:rsidRPr="003709C1">
        <w:rPr>
          <w:rFonts w:ascii="Palatino Linotype" w:hAnsi="Palatino Linotype" w:cs="Tahoma"/>
          <w:iCs/>
          <w:sz w:val="22"/>
          <w:szCs w:val="22"/>
        </w:rPr>
        <w:t xml:space="preserve">Así, este Instituto verificó que, en efecto, no se registró respuesta a la solicitud de información de la persona Recurrente, en el </w:t>
      </w:r>
      <w:r w:rsidRPr="003709C1">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3709C1" w:rsidRDefault="00E716DD" w:rsidP="004F4E53">
      <w:pPr>
        <w:spacing w:line="360" w:lineRule="auto"/>
        <w:jc w:val="both"/>
        <w:rPr>
          <w:rFonts w:ascii="Palatino Linotype" w:hAnsi="Palatino Linotype" w:cs="Tahoma"/>
          <w:iCs/>
          <w:sz w:val="22"/>
          <w:szCs w:val="22"/>
        </w:rPr>
      </w:pPr>
    </w:p>
    <w:p w14:paraId="5215DC4B" w14:textId="41B84509" w:rsidR="00E716DD" w:rsidRPr="003709C1" w:rsidRDefault="00A01944" w:rsidP="004F4E53">
      <w:pPr>
        <w:spacing w:line="360" w:lineRule="auto"/>
        <w:jc w:val="center"/>
        <w:rPr>
          <w:rFonts w:ascii="Palatino Linotype" w:hAnsi="Palatino Linotype" w:cs="Tahoma"/>
          <w:iCs/>
          <w:sz w:val="22"/>
          <w:szCs w:val="22"/>
          <w:lang w:val="es-ES"/>
        </w:rPr>
      </w:pPr>
      <w:r w:rsidRPr="003709C1">
        <w:rPr>
          <w:rFonts w:ascii="Palatino Linotype" w:hAnsi="Palatino Linotype" w:cs="Tahoma"/>
          <w:iCs/>
          <w:noProof/>
          <w:sz w:val="22"/>
          <w:szCs w:val="22"/>
          <w:lang w:eastAsia="es-MX"/>
        </w:rPr>
        <w:drawing>
          <wp:inline distT="0" distB="0" distL="0" distR="0" wp14:anchorId="553D4AED" wp14:editId="7C370C05">
            <wp:extent cx="3771900" cy="1156479"/>
            <wp:effectExtent l="0" t="0" r="0" b="5715"/>
            <wp:docPr id="109288126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81268" name="Imagen 1" descr="Interfaz de usuario gráfica, Texto, Aplicación&#10;&#10;Descripción generada automáticamente"/>
                    <pic:cNvPicPr/>
                  </pic:nvPicPr>
                  <pic:blipFill>
                    <a:blip r:embed="rId8"/>
                    <a:stretch>
                      <a:fillRect/>
                    </a:stretch>
                  </pic:blipFill>
                  <pic:spPr>
                    <a:xfrm>
                      <a:off x="0" y="0"/>
                      <a:ext cx="3780114" cy="1158997"/>
                    </a:xfrm>
                    <a:prstGeom prst="rect">
                      <a:avLst/>
                    </a:prstGeom>
                  </pic:spPr>
                </pic:pic>
              </a:graphicData>
            </a:graphic>
          </wp:inline>
        </w:drawing>
      </w:r>
    </w:p>
    <w:p w14:paraId="2BB0FA05" w14:textId="77777777" w:rsidR="00E716DD" w:rsidRPr="003709C1" w:rsidRDefault="00E716DD" w:rsidP="004F4E53">
      <w:pPr>
        <w:spacing w:line="360" w:lineRule="auto"/>
        <w:jc w:val="both"/>
        <w:rPr>
          <w:rFonts w:ascii="Palatino Linotype" w:hAnsi="Palatino Linotype" w:cs="Tahoma"/>
          <w:iCs/>
          <w:sz w:val="22"/>
          <w:szCs w:val="22"/>
          <w:lang w:val="es-ES"/>
        </w:rPr>
      </w:pPr>
    </w:p>
    <w:p w14:paraId="5077EB42" w14:textId="24D60BA3" w:rsidR="009B190E" w:rsidRPr="003709C1" w:rsidRDefault="00E716DD" w:rsidP="004F4E53">
      <w:pPr>
        <w:spacing w:line="360" w:lineRule="auto"/>
        <w:jc w:val="both"/>
        <w:rPr>
          <w:rFonts w:ascii="Palatino Linotype" w:hAnsi="Palatino Linotype" w:cs="Tahoma"/>
          <w:iCs/>
          <w:sz w:val="22"/>
          <w:szCs w:val="22"/>
        </w:rPr>
      </w:pPr>
      <w:r w:rsidRPr="003709C1">
        <w:rPr>
          <w:rFonts w:ascii="Palatino Linotype" w:hAnsi="Palatino Linotype" w:cs="Tahoma"/>
          <w:iCs/>
          <w:sz w:val="22"/>
          <w:szCs w:val="22"/>
        </w:rPr>
        <w:t xml:space="preserve">Conforme a lo anterior, se colige que, tal como lo precisó la persona Recurrente, el Ayuntamiento de </w:t>
      </w:r>
      <w:r w:rsidR="005E37BB" w:rsidRPr="003709C1">
        <w:rPr>
          <w:rFonts w:ascii="Palatino Linotype" w:hAnsi="Palatino Linotype" w:cs="Tahoma"/>
          <w:iCs/>
          <w:sz w:val="22"/>
          <w:szCs w:val="22"/>
        </w:rPr>
        <w:t>Jaltenco</w:t>
      </w:r>
      <w:r w:rsidRPr="003709C1">
        <w:rPr>
          <w:rFonts w:ascii="Palatino Linotype" w:hAnsi="Palatino Linotype" w:cs="Tahoma"/>
          <w:iCs/>
          <w:sz w:val="22"/>
          <w:szCs w:val="22"/>
        </w:rPr>
        <w:t xml:space="preserve">, no emitió respuesta para dar contestación a la solicitud de acceso </w:t>
      </w:r>
      <w:r w:rsidRPr="003709C1">
        <w:rPr>
          <w:rFonts w:ascii="Palatino Linotype" w:hAnsi="Palatino Linotype" w:cs="Tahoma"/>
          <w:iCs/>
          <w:sz w:val="22"/>
          <w:szCs w:val="22"/>
        </w:rPr>
        <w:lastRenderedPageBreak/>
        <w:t xml:space="preserve">a la información pública, dentro de los plazos establecidos en el artículo 163, de la Ley de Transparencia y Acceso a la Información Pública del Estado de México y Municipios, pues tenía hasta el </w:t>
      </w:r>
      <w:r w:rsidR="005E37BB" w:rsidRPr="003709C1">
        <w:rPr>
          <w:rFonts w:ascii="Palatino Linotype" w:hAnsi="Palatino Linotype" w:cs="Tahoma"/>
          <w:iCs/>
          <w:sz w:val="22"/>
          <w:szCs w:val="22"/>
        </w:rPr>
        <w:t>dieciséis</w:t>
      </w:r>
      <w:r w:rsidR="0015058B" w:rsidRPr="003709C1">
        <w:rPr>
          <w:rFonts w:ascii="Palatino Linotype" w:hAnsi="Palatino Linotype" w:cs="Tahoma"/>
          <w:iCs/>
          <w:sz w:val="22"/>
          <w:szCs w:val="22"/>
        </w:rPr>
        <w:t xml:space="preserve"> de octubre</w:t>
      </w:r>
      <w:r w:rsidR="009B190E" w:rsidRPr="003709C1">
        <w:rPr>
          <w:rFonts w:ascii="Palatino Linotype" w:hAnsi="Palatino Linotype" w:cs="Tahoma"/>
          <w:iCs/>
          <w:sz w:val="22"/>
          <w:szCs w:val="22"/>
        </w:rPr>
        <w:t xml:space="preserve"> </w:t>
      </w:r>
      <w:r w:rsidRPr="003709C1">
        <w:rPr>
          <w:rFonts w:ascii="Palatino Linotype" w:hAnsi="Palatino Linotype" w:cs="Tahoma"/>
          <w:iCs/>
          <w:sz w:val="22"/>
          <w:szCs w:val="22"/>
        </w:rPr>
        <w:t xml:space="preserve">de dos mil veinticuatro, para realizar dicha situación, por lo que es evidente que el agravio es </w:t>
      </w:r>
      <w:r w:rsidRPr="003709C1">
        <w:rPr>
          <w:rFonts w:ascii="Palatino Linotype" w:hAnsi="Palatino Linotype" w:cs="Tahoma"/>
          <w:b/>
          <w:bCs/>
          <w:iCs/>
          <w:sz w:val="22"/>
          <w:szCs w:val="22"/>
        </w:rPr>
        <w:t>FUNDADO</w:t>
      </w:r>
      <w:r w:rsidRPr="003709C1">
        <w:rPr>
          <w:rFonts w:ascii="Palatino Linotype" w:hAnsi="Palatino Linotype" w:cs="Tahoma"/>
          <w:iCs/>
          <w:sz w:val="22"/>
          <w:szCs w:val="22"/>
        </w:rPr>
        <w:t xml:space="preserve">. </w:t>
      </w:r>
    </w:p>
    <w:p w14:paraId="7C4A188F" w14:textId="77777777" w:rsidR="009B190E" w:rsidRPr="003709C1" w:rsidRDefault="009B190E" w:rsidP="004F4E53">
      <w:pPr>
        <w:spacing w:line="360" w:lineRule="auto"/>
        <w:jc w:val="both"/>
        <w:rPr>
          <w:rFonts w:ascii="Palatino Linotype" w:hAnsi="Palatino Linotype" w:cs="Tahoma"/>
          <w:iCs/>
          <w:sz w:val="22"/>
          <w:szCs w:val="22"/>
        </w:rPr>
      </w:pPr>
    </w:p>
    <w:p w14:paraId="4A7FCF3F" w14:textId="77777777" w:rsidR="009B190E" w:rsidRPr="003709C1" w:rsidRDefault="009B190E" w:rsidP="009B190E">
      <w:pPr>
        <w:tabs>
          <w:tab w:val="left" w:pos="4962"/>
        </w:tabs>
        <w:spacing w:line="360" w:lineRule="auto"/>
        <w:jc w:val="both"/>
        <w:rPr>
          <w:rFonts w:ascii="Palatino Linotype" w:eastAsia="Calibri" w:hAnsi="Palatino Linotype" w:cs="Tahoma"/>
          <w:bCs/>
          <w:sz w:val="22"/>
          <w:szCs w:val="22"/>
        </w:rPr>
      </w:pPr>
      <w:r w:rsidRPr="003709C1">
        <w:rPr>
          <w:rFonts w:ascii="Palatino Linotype" w:eastAsia="Calibri" w:hAnsi="Palatino Linotype" w:cs="Tahoma"/>
          <w:bCs/>
          <w:sz w:val="22"/>
          <w:szCs w:val="22"/>
        </w:rPr>
        <w:t xml:space="preserve">Con base en lo expuesto, es procedente </w:t>
      </w:r>
      <w:r w:rsidRPr="003709C1">
        <w:rPr>
          <w:rFonts w:ascii="Palatino Linotype" w:eastAsia="Calibri" w:hAnsi="Palatino Linotype" w:cs="Tahoma"/>
          <w:b/>
          <w:bCs/>
          <w:sz w:val="22"/>
          <w:szCs w:val="22"/>
        </w:rPr>
        <w:t>ORDENAR</w:t>
      </w:r>
      <w:r w:rsidRPr="003709C1">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67664F06" w14:textId="77777777" w:rsidR="0015058B" w:rsidRPr="003709C1" w:rsidRDefault="0015058B" w:rsidP="009B190E">
      <w:pPr>
        <w:tabs>
          <w:tab w:val="left" w:pos="4962"/>
        </w:tabs>
        <w:spacing w:line="360" w:lineRule="auto"/>
        <w:jc w:val="both"/>
        <w:rPr>
          <w:rFonts w:ascii="Palatino Linotype" w:eastAsia="Calibri" w:hAnsi="Palatino Linotype" w:cs="Tahoma"/>
          <w:bCs/>
          <w:sz w:val="22"/>
          <w:szCs w:val="22"/>
        </w:rPr>
      </w:pPr>
    </w:p>
    <w:p w14:paraId="5B976350" w14:textId="77777777" w:rsidR="0015058B" w:rsidRPr="003709C1" w:rsidRDefault="0015058B" w:rsidP="0015058B">
      <w:pPr>
        <w:spacing w:line="360" w:lineRule="auto"/>
        <w:ind w:right="-28"/>
        <w:contextualSpacing/>
        <w:jc w:val="both"/>
        <w:rPr>
          <w:rFonts w:ascii="Palatino Linotype" w:eastAsia="Calibri" w:hAnsi="Palatino Linotype" w:cs="Tahoma"/>
          <w:bCs/>
          <w:sz w:val="22"/>
          <w:szCs w:val="22"/>
        </w:rPr>
      </w:pPr>
      <w:r w:rsidRPr="003709C1">
        <w:rPr>
          <w:rFonts w:ascii="Palatino Linotype" w:hAnsi="Palatino Linotype" w:cs="Tahoma"/>
          <w:sz w:val="22"/>
          <w:szCs w:val="22"/>
        </w:rPr>
        <w:t xml:space="preserve">Al respecto, </w:t>
      </w:r>
      <w:r w:rsidRPr="003709C1">
        <w:rPr>
          <w:rFonts w:ascii="Palatino Linotype" w:eastAsia="Calibri" w:hAnsi="Palatino Linotype" w:cs="Tahoma"/>
          <w:bCs/>
          <w:sz w:val="22"/>
          <w:szCs w:val="22"/>
        </w:rPr>
        <w:t>es necesario traer a colación la Guía Técnica 9 “La Administración del Personal Municipal”, que establece que son servidores públicos, son todas aquellas personas que prestan su trabajo al servicio del municipio, conformado por las autoridades (</w:t>
      </w:r>
      <w:proofErr w:type="gramStart"/>
      <w:r w:rsidRPr="003709C1">
        <w:rPr>
          <w:rFonts w:ascii="Palatino Linotype" w:eastAsia="Calibri" w:hAnsi="Palatino Linotype" w:cs="Tahoma"/>
          <w:bCs/>
          <w:sz w:val="22"/>
          <w:szCs w:val="22"/>
        </w:rPr>
        <w:t>Presidente</w:t>
      </w:r>
      <w:proofErr w:type="gramEnd"/>
      <w:r w:rsidRPr="003709C1">
        <w:rPr>
          <w:rFonts w:ascii="Palatino Linotype" w:eastAsia="Calibri" w:hAnsi="Palatino Linotype" w:cs="Tahoma"/>
          <w:bCs/>
          <w:sz w:val="22"/>
          <w:szCs w:val="22"/>
        </w:rPr>
        <w:t xml:space="preserve"> Municipal, Síndico, Regidores, Comisarios, Delegados y Agentes Municipales), funcionarios (Secretario del Ayuntamiento, Directores, Tesoreros, Contralores y Jefes de Departamento) y empleados (puestos administrativos y técnicos).</w:t>
      </w:r>
    </w:p>
    <w:p w14:paraId="6593D289" w14:textId="77777777" w:rsidR="0015058B" w:rsidRPr="003709C1" w:rsidRDefault="0015058B" w:rsidP="0015058B">
      <w:pPr>
        <w:spacing w:line="360" w:lineRule="auto"/>
        <w:ind w:right="-28"/>
        <w:contextualSpacing/>
        <w:jc w:val="both"/>
        <w:rPr>
          <w:rFonts w:ascii="Palatino Linotype" w:eastAsia="Calibri" w:hAnsi="Palatino Linotype" w:cs="Tahoma"/>
          <w:bCs/>
          <w:sz w:val="22"/>
          <w:szCs w:val="22"/>
        </w:rPr>
      </w:pPr>
    </w:p>
    <w:p w14:paraId="432CD4D4" w14:textId="77777777" w:rsidR="00B3261D" w:rsidRPr="003709C1" w:rsidRDefault="00B3261D" w:rsidP="00B3261D">
      <w:pPr>
        <w:spacing w:line="360" w:lineRule="auto"/>
        <w:ind w:right="-28"/>
        <w:contextualSpacing/>
        <w:jc w:val="both"/>
        <w:rPr>
          <w:rFonts w:ascii="Palatino Linotype" w:eastAsia="Calibri" w:hAnsi="Palatino Linotype" w:cs="Tahoma"/>
          <w:bCs/>
          <w:color w:val="000000"/>
          <w:sz w:val="22"/>
          <w:szCs w:val="22"/>
          <w:lang w:val="es-ES"/>
        </w:rPr>
      </w:pPr>
      <w:r w:rsidRPr="003709C1">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3709C1">
        <w:rPr>
          <w:rFonts w:ascii="Palatino Linotype" w:eastAsia="Calibri" w:hAnsi="Palatino Linotype" w:cs="Tahoma"/>
          <w:b/>
          <w:bCs/>
          <w:color w:val="000000"/>
          <w:sz w:val="22"/>
          <w:szCs w:val="22"/>
          <w:lang w:val="es-ES"/>
        </w:rPr>
        <w:t>servidores públicos</w:t>
      </w:r>
      <w:r w:rsidRPr="003709C1">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21D0D821" w14:textId="77777777" w:rsidR="005E37BB" w:rsidRPr="003709C1" w:rsidRDefault="005E37BB" w:rsidP="00B3261D">
      <w:pPr>
        <w:spacing w:line="360" w:lineRule="auto"/>
        <w:ind w:right="-28"/>
        <w:contextualSpacing/>
        <w:jc w:val="both"/>
        <w:rPr>
          <w:rFonts w:ascii="Palatino Linotype" w:eastAsia="Calibri" w:hAnsi="Palatino Linotype" w:cs="Tahoma"/>
          <w:bCs/>
          <w:color w:val="000000"/>
          <w:sz w:val="22"/>
          <w:szCs w:val="22"/>
          <w:lang w:val="es-ES"/>
        </w:rPr>
      </w:pPr>
    </w:p>
    <w:p w14:paraId="72932696" w14:textId="58A8C967" w:rsidR="008D6C32" w:rsidRPr="003709C1" w:rsidRDefault="005E37BB" w:rsidP="00B3261D">
      <w:pPr>
        <w:spacing w:line="360" w:lineRule="auto"/>
        <w:ind w:right="-28"/>
        <w:contextualSpacing/>
        <w:jc w:val="both"/>
        <w:rPr>
          <w:rFonts w:ascii="Palatino Linotype" w:eastAsia="Calibri" w:hAnsi="Palatino Linotype" w:cs="Tahoma"/>
          <w:bCs/>
          <w:color w:val="000000"/>
          <w:sz w:val="22"/>
          <w:szCs w:val="22"/>
        </w:rPr>
      </w:pPr>
      <w:r w:rsidRPr="003709C1">
        <w:rPr>
          <w:rFonts w:ascii="Palatino Linotype" w:eastAsia="Calibri" w:hAnsi="Palatino Linotype" w:cs="Tahoma"/>
          <w:bCs/>
          <w:color w:val="000000"/>
          <w:sz w:val="22"/>
          <w:szCs w:val="22"/>
          <w:lang w:val="es-ES"/>
        </w:rPr>
        <w:t>Ahora bien, los artículos 38 y 39, de la Ley antes mencionada, establece</w:t>
      </w:r>
      <w:r w:rsidR="008D6C32" w:rsidRPr="003709C1">
        <w:rPr>
          <w:rFonts w:ascii="Palatino Linotype" w:eastAsia="Calibri" w:hAnsi="Palatino Linotype" w:cs="Tahoma"/>
          <w:bCs/>
          <w:color w:val="000000"/>
          <w:sz w:val="22"/>
          <w:szCs w:val="22"/>
          <w:lang w:val="es-ES"/>
        </w:rPr>
        <w:t>n</w:t>
      </w:r>
      <w:r w:rsidRPr="003709C1">
        <w:rPr>
          <w:rFonts w:ascii="Palatino Linotype" w:eastAsia="Calibri" w:hAnsi="Palatino Linotype" w:cs="Tahoma"/>
          <w:bCs/>
          <w:color w:val="000000"/>
          <w:sz w:val="22"/>
          <w:szCs w:val="22"/>
          <w:lang w:val="es-ES"/>
        </w:rPr>
        <w:t xml:space="preserve"> que, </w:t>
      </w:r>
      <w:r w:rsidRPr="003709C1">
        <w:rPr>
          <w:rFonts w:ascii="Palatino Linotype" w:eastAsia="Calibri" w:hAnsi="Palatino Linotype" w:cs="Tahoma"/>
          <w:bCs/>
          <w:color w:val="000000"/>
          <w:sz w:val="22"/>
          <w:szCs w:val="22"/>
        </w:rPr>
        <w:t>los trabajadores gozarán</w:t>
      </w:r>
      <w:r w:rsidR="008D6C32" w:rsidRPr="003709C1">
        <w:rPr>
          <w:rFonts w:ascii="Palatino Linotype" w:eastAsia="Calibri" w:hAnsi="Palatino Linotype" w:cs="Tahoma"/>
          <w:bCs/>
          <w:color w:val="000000"/>
          <w:sz w:val="22"/>
          <w:szCs w:val="22"/>
        </w:rPr>
        <w:t xml:space="preserve"> de las prestaciones médico-asistenciales y sociales que otorga el Instituto de Seguridad Social para los Servidores Públicos del Estado y Municipios, así como a la calificación de riesgos de trabajo que deba realizar dicha institución.</w:t>
      </w:r>
    </w:p>
    <w:p w14:paraId="5A0C49E5" w14:textId="77777777" w:rsidR="008D6C32" w:rsidRPr="003709C1" w:rsidRDefault="008D6C32" w:rsidP="00B3261D">
      <w:pPr>
        <w:spacing w:line="360" w:lineRule="auto"/>
        <w:ind w:right="-28"/>
        <w:contextualSpacing/>
        <w:jc w:val="both"/>
        <w:rPr>
          <w:rFonts w:ascii="Palatino Linotype" w:eastAsia="Calibri" w:hAnsi="Palatino Linotype" w:cs="Tahoma"/>
          <w:bCs/>
          <w:color w:val="000000"/>
          <w:sz w:val="22"/>
          <w:szCs w:val="22"/>
        </w:rPr>
      </w:pPr>
    </w:p>
    <w:p w14:paraId="52D8AF51" w14:textId="3988E7E2" w:rsidR="00FD27F4" w:rsidRPr="003709C1" w:rsidRDefault="00FD27F4" w:rsidP="00B3261D">
      <w:pPr>
        <w:spacing w:line="360" w:lineRule="auto"/>
        <w:ind w:right="-28"/>
        <w:contextualSpacing/>
        <w:jc w:val="both"/>
        <w:rPr>
          <w:rFonts w:ascii="Palatino Linotype" w:eastAsia="Calibri" w:hAnsi="Palatino Linotype" w:cs="Tahoma"/>
          <w:bCs/>
          <w:color w:val="000000"/>
          <w:sz w:val="22"/>
          <w:szCs w:val="22"/>
        </w:rPr>
      </w:pPr>
      <w:r w:rsidRPr="003709C1">
        <w:rPr>
          <w:rFonts w:ascii="Palatino Linotype" w:eastAsia="Calibri" w:hAnsi="Palatino Linotype" w:cs="Tahoma"/>
          <w:bCs/>
          <w:color w:val="000000"/>
          <w:sz w:val="22"/>
          <w:szCs w:val="22"/>
        </w:rPr>
        <w:t xml:space="preserve">En ese contexto, los artículos 1 y 11 de la Ley de Seguridad Social para los Servidores Públicos del Estado de México y Municipios, establece que, tiene por objeto regular el régimen de </w:t>
      </w:r>
      <w:r w:rsidRPr="003709C1">
        <w:rPr>
          <w:rFonts w:ascii="Palatino Linotype" w:eastAsia="Calibri" w:hAnsi="Palatino Linotype" w:cs="Tahoma"/>
          <w:bCs/>
          <w:color w:val="000000"/>
          <w:sz w:val="22"/>
          <w:szCs w:val="22"/>
        </w:rPr>
        <w:lastRenderedPageBreak/>
        <w:t>seguridad social en favor de los servidores públicos del estado y municipios, donde se establecen prestaciones obligatorias como lo son servicios de salud, pensiones y seguro por fallecimiento y créditos a corto, mediano y largo plazo.</w:t>
      </w:r>
    </w:p>
    <w:p w14:paraId="5B458841" w14:textId="77777777" w:rsidR="00832A52" w:rsidRPr="003709C1" w:rsidRDefault="00832A52" w:rsidP="00B3261D">
      <w:pPr>
        <w:spacing w:line="360" w:lineRule="auto"/>
        <w:ind w:right="-28"/>
        <w:contextualSpacing/>
        <w:jc w:val="both"/>
        <w:rPr>
          <w:rFonts w:ascii="Palatino Linotype" w:eastAsia="Calibri" w:hAnsi="Palatino Linotype" w:cs="Tahoma"/>
          <w:bCs/>
          <w:color w:val="000000"/>
          <w:sz w:val="22"/>
          <w:szCs w:val="22"/>
        </w:rPr>
      </w:pPr>
    </w:p>
    <w:p w14:paraId="43E23522" w14:textId="3ADE1EF1" w:rsidR="00832A52" w:rsidRPr="003709C1" w:rsidRDefault="00832A52" w:rsidP="00B3261D">
      <w:pPr>
        <w:spacing w:line="360" w:lineRule="auto"/>
        <w:ind w:right="-28"/>
        <w:contextualSpacing/>
        <w:jc w:val="both"/>
        <w:rPr>
          <w:rFonts w:ascii="Palatino Linotype" w:eastAsia="Calibri" w:hAnsi="Palatino Linotype" w:cs="Tahoma"/>
          <w:bCs/>
          <w:color w:val="000000"/>
          <w:sz w:val="22"/>
          <w:szCs w:val="22"/>
        </w:rPr>
      </w:pPr>
      <w:r w:rsidRPr="003709C1">
        <w:rPr>
          <w:rFonts w:ascii="Palatino Linotype" w:eastAsia="Calibri" w:hAnsi="Palatino Linotype" w:cs="Tahoma"/>
          <w:bCs/>
          <w:color w:val="000000"/>
          <w:sz w:val="22"/>
          <w:szCs w:val="22"/>
        </w:rPr>
        <w:t xml:space="preserve">Ahora bien, de conformidad con el artículo 35 del Bando Municipal de Jaltenco, dos mil veinticuatro, la </w:t>
      </w:r>
      <w:proofErr w:type="gramStart"/>
      <w:r w:rsidRPr="003709C1">
        <w:rPr>
          <w:rFonts w:ascii="Palatino Linotype" w:eastAsia="Calibri" w:hAnsi="Palatino Linotype" w:cs="Tahoma"/>
          <w:bCs/>
          <w:color w:val="000000"/>
          <w:sz w:val="22"/>
          <w:szCs w:val="22"/>
        </w:rPr>
        <w:t>Presidenta</w:t>
      </w:r>
      <w:proofErr w:type="gramEnd"/>
      <w:r w:rsidRPr="003709C1">
        <w:rPr>
          <w:rFonts w:ascii="Palatino Linotype" w:eastAsia="Calibri" w:hAnsi="Palatino Linotype" w:cs="Tahoma"/>
          <w:bCs/>
          <w:color w:val="000000"/>
          <w:sz w:val="22"/>
          <w:szCs w:val="22"/>
        </w:rPr>
        <w:t xml:space="preserve"> se auxiliará de las Dependencias Administrativas siguientes:</w:t>
      </w:r>
    </w:p>
    <w:p w14:paraId="55520B90" w14:textId="77777777" w:rsidR="00832A52" w:rsidRPr="003709C1" w:rsidRDefault="00832A52" w:rsidP="00B3261D">
      <w:pPr>
        <w:spacing w:line="360" w:lineRule="auto"/>
        <w:ind w:right="-28"/>
        <w:contextualSpacing/>
        <w:jc w:val="both"/>
        <w:rPr>
          <w:rFonts w:ascii="Palatino Linotype" w:eastAsia="Calibri" w:hAnsi="Palatino Linotype" w:cs="Tahoma"/>
          <w:bCs/>
          <w:color w:val="000000"/>
          <w:sz w:val="22"/>
          <w:szCs w:val="22"/>
        </w:rPr>
      </w:pPr>
    </w:p>
    <w:p w14:paraId="57D9BE2F" w14:textId="71413595"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Secretaría del Ayuntamiento</w:t>
      </w:r>
    </w:p>
    <w:p w14:paraId="50533448" w14:textId="1785C76F"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Tesorería Municipal</w:t>
      </w:r>
    </w:p>
    <w:p w14:paraId="06067765" w14:textId="7ECB5F53"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Secretaria técnica</w:t>
      </w:r>
    </w:p>
    <w:p w14:paraId="7640D34E"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de Catastro Municipal </w:t>
      </w:r>
    </w:p>
    <w:p w14:paraId="4890DE38"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de Gobierno </w:t>
      </w:r>
    </w:p>
    <w:p w14:paraId="26D4E592"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Contraloría Interna Municipal </w:t>
      </w:r>
    </w:p>
    <w:p w14:paraId="5824F4C8"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Coordinación de Justicia Cívica </w:t>
      </w:r>
    </w:p>
    <w:p w14:paraId="0CE6C38B"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de Seguridad Pública y Vialidad Municipal </w:t>
      </w:r>
    </w:p>
    <w:p w14:paraId="528FD609"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Secretaría Técnica del Consejo Municipal de Seguridad Pública </w:t>
      </w:r>
    </w:p>
    <w:p w14:paraId="23BCC975" w14:textId="77777777"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Coordinación de Protección Civil y Bomberos </w:t>
      </w:r>
    </w:p>
    <w:p w14:paraId="39C1247F"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Consejería Jurídica </w:t>
      </w:r>
      <w:r w:rsidR="00163282" w:rsidRPr="003709C1">
        <w:rPr>
          <w:rFonts w:ascii="Palatino Linotype" w:eastAsia="Calibri" w:hAnsi="Palatino Linotype" w:cs="Tahoma"/>
          <w:bCs/>
          <w:color w:val="000000"/>
          <w:szCs w:val="22"/>
        </w:rPr>
        <w:t>y</w:t>
      </w:r>
      <w:r w:rsidRPr="003709C1">
        <w:rPr>
          <w:rFonts w:ascii="Palatino Linotype" w:eastAsia="Calibri" w:hAnsi="Palatino Linotype" w:cs="Tahoma"/>
          <w:bCs/>
          <w:color w:val="000000"/>
          <w:szCs w:val="22"/>
        </w:rPr>
        <w:t xml:space="preserve"> Límites Municipales </w:t>
      </w:r>
    </w:p>
    <w:p w14:paraId="2A2D42DA"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Servicios Públicos </w:t>
      </w:r>
    </w:p>
    <w:p w14:paraId="6DE6B10B"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Desarrollo Económico </w:t>
      </w:r>
    </w:p>
    <w:p w14:paraId="66D52344"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Obras Públicas </w:t>
      </w:r>
    </w:p>
    <w:p w14:paraId="471414DD"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Medio Ambiente </w:t>
      </w:r>
    </w:p>
    <w:p w14:paraId="51AD0173"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Educación </w:t>
      </w:r>
      <w:r w:rsidR="00163282" w:rsidRPr="003709C1">
        <w:rPr>
          <w:rFonts w:ascii="Palatino Linotype" w:eastAsia="Calibri" w:hAnsi="Palatino Linotype" w:cs="Tahoma"/>
          <w:bCs/>
          <w:color w:val="000000"/>
          <w:szCs w:val="22"/>
        </w:rPr>
        <w:t>y</w:t>
      </w:r>
      <w:r w:rsidRPr="003709C1">
        <w:rPr>
          <w:rFonts w:ascii="Palatino Linotype" w:eastAsia="Calibri" w:hAnsi="Palatino Linotype" w:cs="Tahoma"/>
          <w:bCs/>
          <w:color w:val="000000"/>
          <w:szCs w:val="22"/>
        </w:rPr>
        <w:t xml:space="preserve"> Cultura </w:t>
      </w:r>
    </w:p>
    <w:p w14:paraId="79B29834"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Bienestar Social </w:t>
      </w:r>
    </w:p>
    <w:p w14:paraId="32E63C39"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Recursos Humanos </w:t>
      </w:r>
    </w:p>
    <w:p w14:paraId="624C439A"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e La Unidad De Información</w:t>
      </w:r>
      <w:r w:rsidR="00163282" w:rsidRPr="003709C1">
        <w:rPr>
          <w:rFonts w:ascii="Palatino Linotype" w:eastAsia="Calibri" w:hAnsi="Palatino Linotype" w:cs="Tahoma"/>
          <w:bCs/>
          <w:color w:val="000000"/>
          <w:szCs w:val="22"/>
        </w:rPr>
        <w:t>,</w:t>
      </w:r>
      <w:r w:rsidRPr="003709C1">
        <w:rPr>
          <w:rFonts w:ascii="Palatino Linotype" w:eastAsia="Calibri" w:hAnsi="Palatino Linotype" w:cs="Tahoma"/>
          <w:bCs/>
          <w:color w:val="000000"/>
          <w:szCs w:val="22"/>
        </w:rPr>
        <w:t xml:space="preserve"> Planeación</w:t>
      </w:r>
      <w:r w:rsidR="00163282" w:rsidRPr="003709C1">
        <w:rPr>
          <w:rFonts w:ascii="Palatino Linotype" w:eastAsia="Calibri" w:hAnsi="Palatino Linotype" w:cs="Tahoma"/>
          <w:bCs/>
          <w:color w:val="000000"/>
          <w:szCs w:val="22"/>
        </w:rPr>
        <w:t>,</w:t>
      </w:r>
      <w:r w:rsidRPr="003709C1">
        <w:rPr>
          <w:rFonts w:ascii="Palatino Linotype" w:eastAsia="Calibri" w:hAnsi="Palatino Linotype" w:cs="Tahoma"/>
          <w:bCs/>
          <w:color w:val="000000"/>
          <w:szCs w:val="22"/>
        </w:rPr>
        <w:t xml:space="preserve"> Programación </w:t>
      </w:r>
      <w:r w:rsidR="00163282" w:rsidRPr="003709C1">
        <w:rPr>
          <w:rFonts w:ascii="Palatino Linotype" w:eastAsia="Calibri" w:hAnsi="Palatino Linotype" w:cs="Tahoma"/>
          <w:bCs/>
          <w:color w:val="000000"/>
          <w:szCs w:val="22"/>
        </w:rPr>
        <w:t>y</w:t>
      </w:r>
      <w:r w:rsidRPr="003709C1">
        <w:rPr>
          <w:rFonts w:ascii="Palatino Linotype" w:eastAsia="Calibri" w:hAnsi="Palatino Linotype" w:cs="Tahoma"/>
          <w:bCs/>
          <w:color w:val="000000"/>
          <w:szCs w:val="22"/>
        </w:rPr>
        <w:t xml:space="preserve"> Evaluación </w:t>
      </w:r>
      <w:r w:rsidR="00163282" w:rsidRPr="003709C1">
        <w:rPr>
          <w:rFonts w:ascii="Palatino Linotype" w:eastAsia="Calibri" w:hAnsi="Palatino Linotype" w:cs="Tahoma"/>
          <w:bCs/>
          <w:color w:val="000000"/>
          <w:szCs w:val="22"/>
        </w:rPr>
        <w:t xml:space="preserve">(UIPPE); </w:t>
      </w:r>
      <w:r w:rsidRPr="003709C1">
        <w:rPr>
          <w:rFonts w:ascii="Palatino Linotype" w:eastAsia="Calibri" w:hAnsi="Palatino Linotype" w:cs="Tahoma"/>
          <w:bCs/>
          <w:color w:val="000000"/>
          <w:szCs w:val="22"/>
        </w:rPr>
        <w:t xml:space="preserve">Transparencia </w:t>
      </w:r>
      <w:r w:rsidR="00163282" w:rsidRPr="003709C1">
        <w:rPr>
          <w:rFonts w:ascii="Palatino Linotype" w:eastAsia="Calibri" w:hAnsi="Palatino Linotype" w:cs="Tahoma"/>
          <w:bCs/>
          <w:color w:val="000000"/>
          <w:szCs w:val="22"/>
        </w:rPr>
        <w:t>y</w:t>
      </w:r>
      <w:r w:rsidRPr="003709C1">
        <w:rPr>
          <w:rFonts w:ascii="Palatino Linotype" w:eastAsia="Calibri" w:hAnsi="Palatino Linotype" w:cs="Tahoma"/>
          <w:bCs/>
          <w:color w:val="000000"/>
          <w:szCs w:val="22"/>
        </w:rPr>
        <w:t xml:space="preserve"> Gobierno Digital </w:t>
      </w:r>
    </w:p>
    <w:p w14:paraId="3BC77BFD"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lastRenderedPageBreak/>
        <w:t xml:space="preserve">Dirección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e Desarrollo Urbano</w:t>
      </w:r>
    </w:p>
    <w:p w14:paraId="7BE2E289"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 Instituto Municipal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w:t>
      </w:r>
      <w:r w:rsidR="00163282" w:rsidRPr="003709C1">
        <w:rPr>
          <w:rFonts w:ascii="Palatino Linotype" w:eastAsia="Calibri" w:hAnsi="Palatino Linotype" w:cs="Tahoma"/>
          <w:bCs/>
          <w:color w:val="000000"/>
          <w:szCs w:val="22"/>
        </w:rPr>
        <w:t>l</w:t>
      </w:r>
      <w:r w:rsidRPr="003709C1">
        <w:rPr>
          <w:rFonts w:ascii="Palatino Linotype" w:eastAsia="Calibri" w:hAnsi="Palatino Linotype" w:cs="Tahoma"/>
          <w:bCs/>
          <w:color w:val="000000"/>
          <w:szCs w:val="22"/>
        </w:rPr>
        <w:t xml:space="preserve">a Mujer </w:t>
      </w:r>
    </w:p>
    <w:p w14:paraId="6C17EB4C" w14:textId="77777777" w:rsidR="0016328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 xml:space="preserve">Instituto Municipal </w:t>
      </w:r>
      <w:r w:rsidR="00163282" w:rsidRPr="003709C1">
        <w:rPr>
          <w:rFonts w:ascii="Palatino Linotype" w:eastAsia="Calibri" w:hAnsi="Palatino Linotype" w:cs="Tahoma"/>
          <w:bCs/>
          <w:color w:val="000000"/>
          <w:szCs w:val="22"/>
        </w:rPr>
        <w:t>d</w:t>
      </w:r>
      <w:r w:rsidRPr="003709C1">
        <w:rPr>
          <w:rFonts w:ascii="Palatino Linotype" w:eastAsia="Calibri" w:hAnsi="Palatino Linotype" w:cs="Tahoma"/>
          <w:bCs/>
          <w:color w:val="000000"/>
          <w:szCs w:val="22"/>
        </w:rPr>
        <w:t xml:space="preserve">e </w:t>
      </w:r>
      <w:r w:rsidR="00163282" w:rsidRPr="003709C1">
        <w:rPr>
          <w:rFonts w:ascii="Palatino Linotype" w:eastAsia="Calibri" w:hAnsi="Palatino Linotype" w:cs="Tahoma"/>
          <w:bCs/>
          <w:color w:val="000000"/>
          <w:szCs w:val="22"/>
        </w:rPr>
        <w:t>l</w:t>
      </w:r>
      <w:r w:rsidRPr="003709C1">
        <w:rPr>
          <w:rFonts w:ascii="Palatino Linotype" w:eastAsia="Calibri" w:hAnsi="Palatino Linotype" w:cs="Tahoma"/>
          <w:bCs/>
          <w:color w:val="000000"/>
          <w:szCs w:val="22"/>
        </w:rPr>
        <w:t xml:space="preserve">a Juventud </w:t>
      </w:r>
    </w:p>
    <w:p w14:paraId="4AE8DCEA" w14:textId="0E1238C1" w:rsidR="00832A52" w:rsidRPr="003709C1" w:rsidRDefault="00832A52" w:rsidP="00832A52">
      <w:pPr>
        <w:pStyle w:val="Prrafodelista"/>
        <w:numPr>
          <w:ilvl w:val="0"/>
          <w:numId w:val="41"/>
        </w:numPr>
        <w:spacing w:line="360" w:lineRule="auto"/>
        <w:ind w:right="-28"/>
        <w:jc w:val="both"/>
        <w:rPr>
          <w:rFonts w:ascii="Palatino Linotype" w:eastAsia="Calibri" w:hAnsi="Palatino Linotype" w:cs="Tahoma"/>
          <w:bCs/>
          <w:color w:val="000000"/>
          <w:szCs w:val="22"/>
        </w:rPr>
      </w:pPr>
      <w:r w:rsidRPr="003709C1">
        <w:rPr>
          <w:rFonts w:ascii="Palatino Linotype" w:eastAsia="Calibri" w:hAnsi="Palatino Linotype" w:cs="Tahoma"/>
          <w:bCs/>
          <w:color w:val="000000"/>
          <w:szCs w:val="22"/>
        </w:rPr>
        <w:t>Sistema Municipal Anticorrupción</w:t>
      </w:r>
    </w:p>
    <w:p w14:paraId="4BB9B908" w14:textId="77777777" w:rsidR="008D6C32" w:rsidRPr="003709C1" w:rsidRDefault="008D6C32" w:rsidP="00B3261D">
      <w:pPr>
        <w:spacing w:line="360" w:lineRule="auto"/>
        <w:ind w:right="-28"/>
        <w:contextualSpacing/>
        <w:jc w:val="both"/>
        <w:rPr>
          <w:rFonts w:ascii="Palatino Linotype" w:eastAsia="Calibri" w:hAnsi="Palatino Linotype" w:cs="Tahoma"/>
          <w:bCs/>
          <w:color w:val="000000"/>
          <w:sz w:val="22"/>
          <w:szCs w:val="22"/>
        </w:rPr>
      </w:pPr>
    </w:p>
    <w:p w14:paraId="1C7DFBCA" w14:textId="2C0AE751" w:rsidR="00683C5F" w:rsidRPr="003709C1" w:rsidRDefault="00683C5F" w:rsidP="00B3261D">
      <w:pPr>
        <w:spacing w:line="360" w:lineRule="auto"/>
        <w:ind w:right="-28"/>
        <w:contextualSpacing/>
        <w:jc w:val="both"/>
        <w:rPr>
          <w:rFonts w:ascii="Palatino Linotype" w:eastAsia="Calibri" w:hAnsi="Palatino Linotype" w:cs="Tahoma"/>
          <w:bCs/>
          <w:color w:val="000000"/>
          <w:sz w:val="22"/>
          <w:szCs w:val="22"/>
        </w:rPr>
      </w:pPr>
      <w:r w:rsidRPr="003709C1">
        <w:rPr>
          <w:rFonts w:ascii="Palatino Linotype" w:eastAsia="Calibri" w:hAnsi="Palatino Linotype" w:cs="Tahoma"/>
          <w:bCs/>
          <w:color w:val="000000"/>
          <w:sz w:val="22"/>
          <w:szCs w:val="22"/>
        </w:rPr>
        <w:t>De la misma manera, de conformidad con el Manual de Organización de la Dirección de Recursos Humanos, vigente, precisa que, la Dirección de Recursos Humanos se encargará de seleccionar, contratar, capacitar y controlar el personal del Ayuntamiento, previa autorización de la Presidenta Municipal, así como, llevar el registro del Personal que trabaje dentro del Gobierno Municipal, asegurándose de que todos los expedientes estén completos en documentes, y elaborar la nómina correspondiente, en coordinación con la Tesorería Municipal, para efectuar el pago de los salarios de los trabajadores y de los funcionarios del Gobierno Municipal, apoyándose en la lista de asistencia para realizar las adecuaciones correspondientes.</w:t>
      </w:r>
    </w:p>
    <w:p w14:paraId="21362E3F" w14:textId="77777777" w:rsidR="008D6C32" w:rsidRPr="003709C1" w:rsidRDefault="008D6C32" w:rsidP="00B3261D">
      <w:pPr>
        <w:spacing w:line="360" w:lineRule="auto"/>
        <w:ind w:right="-28"/>
        <w:contextualSpacing/>
        <w:jc w:val="both"/>
        <w:rPr>
          <w:rFonts w:ascii="Palatino Linotype" w:eastAsia="Calibri" w:hAnsi="Palatino Linotype" w:cs="Tahoma"/>
          <w:bCs/>
          <w:color w:val="000000"/>
          <w:sz w:val="22"/>
          <w:szCs w:val="22"/>
        </w:rPr>
      </w:pPr>
    </w:p>
    <w:p w14:paraId="126E05AB" w14:textId="77777777" w:rsidR="001C6B9A" w:rsidRPr="003709C1" w:rsidRDefault="001C6B9A" w:rsidP="001C6B9A">
      <w:pPr>
        <w:spacing w:line="360" w:lineRule="auto"/>
        <w:contextualSpacing/>
        <w:jc w:val="both"/>
        <w:rPr>
          <w:rFonts w:ascii="Palatino Linotype" w:hAnsi="Palatino Linotype" w:cs="Tahoma"/>
          <w:iCs/>
          <w:sz w:val="22"/>
          <w:szCs w:val="22"/>
        </w:rPr>
      </w:pPr>
      <w:r w:rsidRPr="003709C1">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3709C1">
        <w:rPr>
          <w:rFonts w:ascii="Palatino Linotype" w:hAnsi="Palatino Linotype" w:cs="Tahoma"/>
          <w:bCs/>
          <w:iCs/>
          <w:sz w:val="22"/>
          <w:szCs w:val="22"/>
        </w:rPr>
        <w:t>,</w:t>
      </w:r>
      <w:r w:rsidRPr="003709C1">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3709C1">
        <w:rPr>
          <w:rFonts w:ascii="Palatino Linotype" w:eastAsia="Calibri" w:hAnsi="Palatino Linotype" w:cs="Tahoma"/>
          <w:bCs/>
          <w:color w:val="000000"/>
          <w:sz w:val="22"/>
          <w:szCs w:val="22"/>
        </w:rPr>
        <w:t>.</w:t>
      </w:r>
    </w:p>
    <w:p w14:paraId="21DC3250" w14:textId="77777777" w:rsidR="001C6B9A" w:rsidRPr="003709C1"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3709C1" w:rsidRDefault="001C6B9A" w:rsidP="001C6B9A">
      <w:pPr>
        <w:spacing w:line="360" w:lineRule="auto"/>
        <w:jc w:val="both"/>
        <w:rPr>
          <w:rFonts w:ascii="Palatino Linotype" w:hAnsi="Palatino Linotype" w:cs="Tahoma"/>
          <w:bCs/>
          <w:iCs/>
          <w:sz w:val="22"/>
          <w:szCs w:val="22"/>
          <w:lang w:val="es-ES"/>
        </w:rPr>
      </w:pPr>
      <w:bookmarkStart w:id="3" w:name="_Hlk76480431"/>
      <w:r w:rsidRPr="003709C1">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3709C1">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w:t>
      </w:r>
      <w:r w:rsidRPr="003709C1">
        <w:rPr>
          <w:rFonts w:ascii="Palatino Linotype" w:hAnsi="Palatino Linotype" w:cs="Tahoma"/>
          <w:bCs/>
          <w:iCs/>
          <w:sz w:val="22"/>
          <w:szCs w:val="22"/>
          <w:lang w:val="es-ES"/>
        </w:rPr>
        <w:lastRenderedPageBreak/>
        <w:t xml:space="preserve">clasificadas, indicando su contenido de manera genérica y fundando y motivando su clasificación. </w:t>
      </w:r>
    </w:p>
    <w:p w14:paraId="122EEFFF" w14:textId="77777777" w:rsidR="001C6B9A" w:rsidRPr="003709C1"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3709C1" w:rsidRDefault="001C6B9A" w:rsidP="001C6B9A">
      <w:pPr>
        <w:spacing w:line="360" w:lineRule="auto"/>
        <w:jc w:val="both"/>
        <w:rPr>
          <w:rFonts w:ascii="Palatino Linotype" w:hAnsi="Palatino Linotype" w:cs="Tahoma"/>
          <w:bCs/>
          <w:iCs/>
          <w:sz w:val="22"/>
          <w:szCs w:val="22"/>
          <w:lang w:val="es-ES"/>
        </w:rPr>
      </w:pPr>
      <w:r w:rsidRPr="003709C1">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3"/>
    </w:p>
    <w:p w14:paraId="4C61B322" w14:textId="77777777" w:rsidR="001C6B9A" w:rsidRPr="003709C1" w:rsidRDefault="001C6B9A" w:rsidP="001C6B9A">
      <w:pPr>
        <w:spacing w:line="360" w:lineRule="auto"/>
        <w:jc w:val="both"/>
        <w:rPr>
          <w:rFonts w:ascii="Palatino Linotype" w:eastAsia="Calibri" w:hAnsi="Palatino Linotype" w:cs="Tahoma"/>
          <w:bCs/>
          <w:sz w:val="22"/>
          <w:szCs w:val="22"/>
        </w:rPr>
      </w:pPr>
    </w:p>
    <w:p w14:paraId="5B220687" w14:textId="6F11C01A" w:rsidR="001C6B9A" w:rsidRPr="003709C1" w:rsidRDefault="001C6B9A" w:rsidP="001C6B9A">
      <w:pPr>
        <w:spacing w:line="360" w:lineRule="auto"/>
        <w:jc w:val="both"/>
        <w:rPr>
          <w:rFonts w:ascii="Palatino Linotype" w:hAnsi="Palatino Linotype" w:cs="Tahoma"/>
          <w:b/>
          <w:sz w:val="22"/>
          <w:szCs w:val="22"/>
        </w:rPr>
      </w:pPr>
      <w:r w:rsidRPr="003709C1">
        <w:rPr>
          <w:rFonts w:ascii="Palatino Linotype" w:hAnsi="Palatino Linotype" w:cs="Tahoma"/>
          <w:b/>
          <w:sz w:val="22"/>
          <w:szCs w:val="22"/>
        </w:rPr>
        <w:t>SEXTO. Decisión</w:t>
      </w:r>
    </w:p>
    <w:p w14:paraId="43614774" w14:textId="77777777" w:rsidR="001C6B9A" w:rsidRPr="003709C1" w:rsidRDefault="001C6B9A" w:rsidP="001C6B9A">
      <w:pPr>
        <w:spacing w:line="360" w:lineRule="auto"/>
        <w:jc w:val="both"/>
        <w:rPr>
          <w:rFonts w:ascii="Palatino Linotype" w:hAnsi="Palatino Linotype" w:cs="Tahoma"/>
          <w:sz w:val="22"/>
          <w:szCs w:val="22"/>
        </w:rPr>
      </w:pPr>
    </w:p>
    <w:p w14:paraId="05FF01E3" w14:textId="76817B17" w:rsidR="001C6B9A" w:rsidRPr="003709C1" w:rsidRDefault="001C6B9A" w:rsidP="001C6B9A">
      <w:pPr>
        <w:spacing w:line="360" w:lineRule="auto"/>
        <w:jc w:val="both"/>
        <w:rPr>
          <w:rFonts w:ascii="Palatino Linotype" w:hAnsi="Palatino Linotype"/>
          <w:sz w:val="22"/>
          <w:szCs w:val="22"/>
        </w:rPr>
      </w:pPr>
      <w:r w:rsidRPr="003709C1">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3709C1">
        <w:rPr>
          <w:rFonts w:ascii="Palatino Linotype" w:hAnsi="Palatino Linotype" w:cs="Tahoma"/>
          <w:b/>
          <w:bCs/>
          <w:sz w:val="22"/>
          <w:szCs w:val="22"/>
        </w:rPr>
        <w:t>ORDENAR</w:t>
      </w:r>
      <w:r w:rsidRPr="003709C1">
        <w:rPr>
          <w:rFonts w:ascii="Palatino Linotype" w:hAnsi="Palatino Linotype" w:cs="Tahoma"/>
          <w:sz w:val="22"/>
          <w:szCs w:val="22"/>
        </w:rPr>
        <w:t xml:space="preserve"> al Sujeto Obligado,</w:t>
      </w:r>
      <w:r w:rsidRPr="003709C1">
        <w:rPr>
          <w:rFonts w:ascii="Palatino Linotype" w:eastAsia="Calibri" w:hAnsi="Palatino Linotype" w:cs="Tahoma"/>
          <w:sz w:val="22"/>
          <w:szCs w:val="22"/>
        </w:rPr>
        <w:t xml:space="preserve"> a que dé trámite y </w:t>
      </w:r>
      <w:r w:rsidRPr="003709C1">
        <w:rPr>
          <w:rFonts w:ascii="Palatino Linotype" w:hAnsi="Palatino Linotype" w:cs="Tahoma"/>
          <w:sz w:val="22"/>
          <w:szCs w:val="22"/>
        </w:rPr>
        <w:t>respuesta a la solicitud de información pública con número</w:t>
      </w:r>
      <w:r w:rsidRPr="003709C1">
        <w:rPr>
          <w:rFonts w:ascii="Palatino Linotype" w:hAnsi="Palatino Linotype" w:cs="Tahoma"/>
          <w:color w:val="0D0D0D" w:themeColor="text1" w:themeTint="F2"/>
          <w:sz w:val="22"/>
          <w:szCs w:val="22"/>
        </w:rPr>
        <w:t xml:space="preserve"> </w:t>
      </w:r>
      <w:r w:rsidR="00372534" w:rsidRPr="003709C1">
        <w:rPr>
          <w:rFonts w:ascii="Palatino Linotype" w:eastAsiaTheme="minorHAnsi" w:hAnsi="Palatino Linotype" w:cstheme="minorBidi"/>
          <w:color w:val="000000" w:themeColor="text1"/>
          <w:sz w:val="22"/>
          <w:szCs w:val="22"/>
          <w:lang w:eastAsia="en-US"/>
        </w:rPr>
        <w:t>000</w:t>
      </w:r>
      <w:r w:rsidR="001A4FA4" w:rsidRPr="003709C1">
        <w:rPr>
          <w:rFonts w:ascii="Palatino Linotype" w:eastAsiaTheme="minorHAnsi" w:hAnsi="Palatino Linotype" w:cstheme="minorBidi"/>
          <w:color w:val="000000" w:themeColor="text1"/>
          <w:sz w:val="22"/>
          <w:szCs w:val="22"/>
          <w:lang w:eastAsia="en-US"/>
        </w:rPr>
        <w:t>80</w:t>
      </w:r>
      <w:r w:rsidR="00372534" w:rsidRPr="003709C1">
        <w:rPr>
          <w:rFonts w:ascii="Palatino Linotype" w:eastAsiaTheme="minorHAnsi" w:hAnsi="Palatino Linotype" w:cstheme="minorBidi"/>
          <w:color w:val="000000" w:themeColor="text1"/>
          <w:sz w:val="22"/>
          <w:szCs w:val="22"/>
          <w:lang w:eastAsia="en-US"/>
        </w:rPr>
        <w:t>/</w:t>
      </w:r>
      <w:r w:rsidR="001A4FA4" w:rsidRPr="003709C1">
        <w:rPr>
          <w:rFonts w:ascii="Palatino Linotype" w:eastAsiaTheme="minorHAnsi" w:hAnsi="Palatino Linotype" w:cstheme="minorBidi"/>
          <w:color w:val="000000" w:themeColor="text1"/>
          <w:sz w:val="22"/>
          <w:szCs w:val="22"/>
          <w:lang w:eastAsia="en-US"/>
        </w:rPr>
        <w:t>JALTENCO</w:t>
      </w:r>
      <w:r w:rsidR="00372534" w:rsidRPr="003709C1">
        <w:rPr>
          <w:rFonts w:ascii="Palatino Linotype" w:eastAsiaTheme="minorHAnsi" w:hAnsi="Palatino Linotype" w:cstheme="minorBidi"/>
          <w:color w:val="000000" w:themeColor="text1"/>
          <w:sz w:val="22"/>
          <w:szCs w:val="22"/>
          <w:lang w:eastAsia="en-US"/>
        </w:rPr>
        <w:t>/IP/2024</w:t>
      </w:r>
      <w:r w:rsidRPr="003709C1">
        <w:rPr>
          <w:rFonts w:ascii="Palatino Linotype" w:hAnsi="Palatino Linotype" w:cs="Tahoma"/>
          <w:color w:val="0D0D0D" w:themeColor="text1" w:themeTint="F2"/>
          <w:sz w:val="22"/>
          <w:szCs w:val="22"/>
        </w:rPr>
        <w:t>.</w:t>
      </w:r>
    </w:p>
    <w:p w14:paraId="1F7F2430" w14:textId="77777777" w:rsidR="00895942" w:rsidRPr="003709C1"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3709C1" w:rsidRDefault="00895942" w:rsidP="004F4E53">
      <w:pPr>
        <w:spacing w:line="360" w:lineRule="auto"/>
        <w:jc w:val="both"/>
        <w:rPr>
          <w:rFonts w:ascii="Palatino Linotype" w:hAnsi="Palatino Linotype" w:cs="Tahoma"/>
          <w:b/>
          <w:bCs/>
          <w:iCs/>
          <w:sz w:val="22"/>
          <w:szCs w:val="22"/>
        </w:rPr>
      </w:pPr>
      <w:r w:rsidRPr="003709C1">
        <w:rPr>
          <w:rFonts w:ascii="Palatino Linotype" w:hAnsi="Palatino Linotype" w:cs="Tahoma"/>
          <w:b/>
          <w:bCs/>
          <w:iCs/>
          <w:sz w:val="22"/>
          <w:szCs w:val="22"/>
        </w:rPr>
        <w:t>SÉPTIMO. Vista a la Secretaría</w:t>
      </w:r>
      <w:r w:rsidRPr="003709C1">
        <w:rPr>
          <w:rFonts w:ascii="Palatino Linotype" w:hAnsi="Palatino Linotype" w:cs="Tahoma"/>
          <w:b/>
          <w:bCs/>
          <w:iCs/>
          <w:sz w:val="22"/>
          <w:szCs w:val="22"/>
          <w:lang w:val="x-none"/>
        </w:rPr>
        <w:t xml:space="preserve"> Técnica del </w:t>
      </w:r>
      <w:r w:rsidRPr="003709C1">
        <w:rPr>
          <w:rFonts w:ascii="Palatino Linotype" w:hAnsi="Palatino Linotype" w:cs="Tahoma"/>
          <w:b/>
          <w:bCs/>
          <w:iCs/>
          <w:sz w:val="22"/>
          <w:szCs w:val="22"/>
        </w:rPr>
        <w:t>Pleno</w:t>
      </w:r>
    </w:p>
    <w:p w14:paraId="6FB0ED01" w14:textId="77777777" w:rsidR="00895942" w:rsidRPr="003709C1" w:rsidRDefault="00895942" w:rsidP="004F4E53">
      <w:pPr>
        <w:spacing w:line="360" w:lineRule="auto"/>
        <w:jc w:val="both"/>
        <w:rPr>
          <w:rFonts w:ascii="Palatino Linotype" w:hAnsi="Palatino Linotype" w:cs="Tahoma"/>
          <w:bCs/>
          <w:sz w:val="22"/>
          <w:szCs w:val="22"/>
        </w:rPr>
      </w:pPr>
    </w:p>
    <w:p w14:paraId="71812FD4" w14:textId="786FB40A" w:rsidR="00895942" w:rsidRPr="003709C1" w:rsidRDefault="00895942" w:rsidP="004F4E53">
      <w:pPr>
        <w:spacing w:line="360" w:lineRule="auto"/>
        <w:ind w:right="-93"/>
        <w:jc w:val="both"/>
        <w:rPr>
          <w:rFonts w:ascii="Palatino Linotype" w:hAnsi="Palatino Linotype" w:cs="Tahoma"/>
          <w:sz w:val="22"/>
          <w:szCs w:val="22"/>
        </w:rPr>
      </w:pPr>
      <w:r w:rsidRPr="003709C1">
        <w:rPr>
          <w:rFonts w:ascii="Palatino Linotype" w:hAnsi="Palatino Linotype" w:cs="Tahoma"/>
          <w:sz w:val="22"/>
          <w:szCs w:val="22"/>
        </w:rPr>
        <w:t xml:space="preserve">En el caso en estudio, como ha quedado señalado que el </w:t>
      </w:r>
      <w:r w:rsidRPr="003709C1">
        <w:rPr>
          <w:rFonts w:ascii="Palatino Linotype" w:hAnsi="Palatino Linotype" w:cs="Tahoma"/>
          <w:b/>
          <w:bCs/>
          <w:sz w:val="22"/>
          <w:szCs w:val="22"/>
        </w:rPr>
        <w:t xml:space="preserve">Ayuntamiento de </w:t>
      </w:r>
      <w:r w:rsidR="001A4FA4" w:rsidRPr="003709C1">
        <w:rPr>
          <w:rFonts w:ascii="Palatino Linotype" w:hAnsi="Palatino Linotype" w:cs="Tahoma"/>
          <w:b/>
          <w:bCs/>
          <w:sz w:val="22"/>
          <w:szCs w:val="22"/>
        </w:rPr>
        <w:t>Jaltenco</w:t>
      </w:r>
      <w:r w:rsidRPr="003709C1">
        <w:rPr>
          <w:rFonts w:ascii="Palatino Linotype" w:hAnsi="Palatino Linotype" w:cs="Tahoma"/>
          <w:b/>
          <w:bCs/>
          <w:sz w:val="22"/>
          <w:szCs w:val="22"/>
        </w:rPr>
        <w:t xml:space="preserve"> </w:t>
      </w:r>
      <w:r w:rsidRPr="003709C1">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0414CA96" w14:textId="77777777" w:rsidR="00895942" w:rsidRPr="003709C1" w:rsidRDefault="00895942" w:rsidP="004F4E53">
      <w:pPr>
        <w:spacing w:line="360" w:lineRule="auto"/>
        <w:ind w:right="-93"/>
        <w:jc w:val="both"/>
        <w:rPr>
          <w:rFonts w:ascii="Palatino Linotype" w:hAnsi="Palatino Linotype" w:cs="Tahoma"/>
          <w:sz w:val="22"/>
          <w:szCs w:val="22"/>
        </w:rPr>
      </w:pPr>
    </w:p>
    <w:p w14:paraId="2CAC85A1"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r w:rsidRPr="003709C1">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3709C1">
        <w:rPr>
          <w:rFonts w:ascii="Palatino Linotype" w:eastAsia="Calibri" w:hAnsi="Palatino Linotype" w:cs="Tahoma"/>
          <w:bCs/>
          <w:sz w:val="22"/>
          <w:szCs w:val="22"/>
          <w:lang w:eastAsia="en-US"/>
        </w:rPr>
        <w:t xml:space="preserve"> </w:t>
      </w:r>
    </w:p>
    <w:p w14:paraId="718F409C"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r w:rsidRPr="003709C1">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w:t>
      </w:r>
      <w:r w:rsidRPr="003709C1">
        <w:rPr>
          <w:rFonts w:ascii="Palatino Linotype" w:eastAsia="Calibri" w:hAnsi="Palatino Linotype" w:cs="Tahoma"/>
          <w:bCs/>
          <w:sz w:val="22"/>
          <w:szCs w:val="22"/>
          <w:lang w:eastAsia="en-US"/>
        </w:rPr>
        <w:lastRenderedPageBreak/>
        <w:t xml:space="preserve">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r w:rsidRPr="003709C1">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r w:rsidRPr="003709C1">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8B324BC"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3709C1" w:rsidRDefault="00895942" w:rsidP="004F4E53">
      <w:pPr>
        <w:spacing w:line="360" w:lineRule="auto"/>
        <w:ind w:right="-93"/>
        <w:jc w:val="both"/>
        <w:rPr>
          <w:rFonts w:ascii="Palatino Linotype" w:eastAsia="Calibri" w:hAnsi="Palatino Linotype" w:cs="Tahoma"/>
          <w:bCs/>
          <w:sz w:val="22"/>
          <w:szCs w:val="22"/>
          <w:lang w:eastAsia="en-US"/>
        </w:rPr>
      </w:pPr>
      <w:r w:rsidRPr="003709C1">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3709C1">
        <w:rPr>
          <w:rFonts w:ascii="Palatino Linotype" w:eastAsia="Calibri" w:hAnsi="Palatino Linotype" w:cs="Tahoma"/>
          <w:bCs/>
          <w:sz w:val="22"/>
          <w:szCs w:val="22"/>
          <w:lang w:val="es-ES_tradnl" w:eastAsia="en-US"/>
        </w:rPr>
        <w:t>a la Secretaría Técnica de este Instituto</w:t>
      </w:r>
      <w:r w:rsidRPr="003709C1">
        <w:rPr>
          <w:rFonts w:ascii="Palatino Linotype" w:eastAsia="Calibri" w:hAnsi="Palatino Linotype" w:cs="Tahoma"/>
          <w:bCs/>
          <w:sz w:val="22"/>
          <w:szCs w:val="22"/>
          <w:lang w:eastAsia="en-US"/>
        </w:rPr>
        <w:t>, para que realice lo conducente.</w:t>
      </w:r>
    </w:p>
    <w:p w14:paraId="17EF86B7" w14:textId="77777777" w:rsidR="00895942" w:rsidRPr="003709C1"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3709C1" w:rsidRDefault="00FF7C33" w:rsidP="004F4E53">
      <w:pPr>
        <w:spacing w:line="360" w:lineRule="auto"/>
        <w:jc w:val="both"/>
        <w:rPr>
          <w:rFonts w:ascii="Palatino Linotype" w:hAnsi="Palatino Linotype" w:cs="Tahoma"/>
          <w:b/>
          <w:bCs/>
          <w:iCs/>
          <w:sz w:val="22"/>
          <w:szCs w:val="22"/>
          <w:lang w:val="es-ES"/>
        </w:rPr>
      </w:pPr>
      <w:r w:rsidRPr="003709C1">
        <w:rPr>
          <w:rFonts w:ascii="Palatino Linotype" w:hAnsi="Palatino Linotype" w:cs="Tahoma"/>
          <w:b/>
          <w:bCs/>
          <w:iCs/>
          <w:sz w:val="22"/>
          <w:szCs w:val="22"/>
          <w:lang w:val="es-ES"/>
        </w:rPr>
        <w:t>Términos de la Resolución para conocimiento del Particular</w:t>
      </w:r>
    </w:p>
    <w:p w14:paraId="1EECC84D" w14:textId="77777777" w:rsidR="00501F15" w:rsidRPr="003709C1" w:rsidRDefault="00501F15" w:rsidP="004F4E53">
      <w:pPr>
        <w:spacing w:line="360" w:lineRule="auto"/>
        <w:jc w:val="both"/>
        <w:rPr>
          <w:rFonts w:ascii="Palatino Linotype" w:hAnsi="Palatino Linotype" w:cs="Tahoma"/>
          <w:b/>
          <w:bCs/>
          <w:iCs/>
          <w:sz w:val="22"/>
          <w:szCs w:val="22"/>
          <w:lang w:val="es-ES"/>
        </w:rPr>
      </w:pPr>
    </w:p>
    <w:p w14:paraId="45DA56B2" w14:textId="1CA43C31" w:rsidR="00372534" w:rsidRPr="003709C1" w:rsidRDefault="00FF7C33" w:rsidP="004F4E53">
      <w:pPr>
        <w:spacing w:line="360" w:lineRule="auto"/>
        <w:jc w:val="both"/>
        <w:rPr>
          <w:rFonts w:cs="Tahoma"/>
          <w:bCs/>
          <w:iCs/>
          <w:lang w:val="es-ES"/>
        </w:rPr>
      </w:pPr>
      <w:r w:rsidRPr="003709C1">
        <w:rPr>
          <w:rFonts w:ascii="Palatino Linotype" w:hAnsi="Palatino Linotype" w:cs="Tahoma"/>
          <w:bCs/>
          <w:iCs/>
          <w:sz w:val="22"/>
          <w:szCs w:val="22"/>
          <w:lang w:val="es-ES"/>
        </w:rPr>
        <w:t xml:space="preserve">Se le hace del conocimiento al Particular, que, en el presente caso, se le da la razón, pues </w:t>
      </w:r>
      <w:r w:rsidRPr="003709C1">
        <w:rPr>
          <w:rFonts w:ascii="Palatino Linotype" w:hAnsi="Palatino Linotype" w:cs="Tahoma"/>
          <w:bCs/>
          <w:iCs/>
          <w:sz w:val="22"/>
          <w:szCs w:val="22"/>
        </w:rPr>
        <w:t xml:space="preserve">el Ayuntamiento de </w:t>
      </w:r>
      <w:r w:rsidR="001A4FA4" w:rsidRPr="003709C1">
        <w:rPr>
          <w:rFonts w:ascii="Palatino Linotype" w:hAnsi="Palatino Linotype" w:cs="Tahoma"/>
          <w:bCs/>
          <w:iCs/>
          <w:sz w:val="22"/>
          <w:szCs w:val="22"/>
        </w:rPr>
        <w:t>Jaltenco</w:t>
      </w:r>
      <w:r w:rsidRPr="003709C1">
        <w:rPr>
          <w:rFonts w:ascii="Palatino Linotype" w:hAnsi="Palatino Linotype" w:cs="Tahoma"/>
          <w:bCs/>
          <w:iCs/>
          <w:sz w:val="22"/>
          <w:szCs w:val="22"/>
        </w:rPr>
        <w:t xml:space="preserve"> </w:t>
      </w:r>
      <w:r w:rsidRPr="003709C1">
        <w:rPr>
          <w:rFonts w:ascii="Palatino Linotype" w:hAnsi="Palatino Linotype" w:cs="Tahoma"/>
          <w:bCs/>
          <w:iCs/>
          <w:sz w:val="22"/>
          <w:szCs w:val="22"/>
          <w:lang w:val="es-ES"/>
        </w:rPr>
        <w:t xml:space="preserve">no emitió contestación </w:t>
      </w:r>
      <w:r w:rsidR="00372534" w:rsidRPr="003709C1">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0CA6FF61" w14:textId="77777777" w:rsidR="00372534" w:rsidRPr="003709C1" w:rsidRDefault="00372534" w:rsidP="004F4E53">
      <w:pPr>
        <w:spacing w:line="360" w:lineRule="auto"/>
        <w:jc w:val="both"/>
        <w:rPr>
          <w:rFonts w:ascii="Palatino Linotype" w:hAnsi="Palatino Linotype" w:cs="Tahoma"/>
          <w:bCs/>
          <w:iCs/>
          <w:sz w:val="22"/>
          <w:szCs w:val="22"/>
          <w:lang w:val="es-ES"/>
        </w:rPr>
      </w:pPr>
    </w:p>
    <w:p w14:paraId="4B94EC3A" w14:textId="53472A70" w:rsidR="00FF7C33" w:rsidRPr="003709C1"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Cs/>
          <w:iCs/>
          <w:sz w:val="22"/>
          <w:szCs w:val="22"/>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4211EF9" w14:textId="77777777" w:rsidR="00372534" w:rsidRPr="003709C1" w:rsidRDefault="00372534" w:rsidP="004F4E53">
      <w:pPr>
        <w:spacing w:line="360" w:lineRule="auto"/>
        <w:jc w:val="both"/>
        <w:rPr>
          <w:rFonts w:ascii="Palatino Linotype" w:hAnsi="Palatino Linotype" w:cs="Tahoma"/>
          <w:bCs/>
          <w:iCs/>
          <w:sz w:val="22"/>
          <w:szCs w:val="22"/>
        </w:rPr>
      </w:pPr>
    </w:p>
    <w:p w14:paraId="01D653C3" w14:textId="4A5F7F64" w:rsidR="00FF7C33" w:rsidRPr="003709C1"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Cs/>
          <w:iCs/>
          <w:sz w:val="22"/>
          <w:szCs w:val="22"/>
        </w:rPr>
        <w:t xml:space="preserve">Finalmente, la labor del </w:t>
      </w:r>
      <w:proofErr w:type="gramStart"/>
      <w:r w:rsidRPr="003709C1">
        <w:rPr>
          <w:rFonts w:ascii="Palatino Linotype" w:hAnsi="Palatino Linotype" w:cs="Tahoma"/>
          <w:bCs/>
          <w:iCs/>
          <w:sz w:val="22"/>
          <w:szCs w:val="22"/>
        </w:rPr>
        <w:t>Instituto,</w:t>
      </w:r>
      <w:proofErr w:type="gramEnd"/>
      <w:r w:rsidRPr="003709C1">
        <w:rPr>
          <w:rFonts w:ascii="Palatino Linotype" w:hAnsi="Palatino Linotype" w:cs="Tahoma"/>
          <w:bCs/>
          <w:iCs/>
          <w:sz w:val="22"/>
          <w:szCs w:val="22"/>
        </w:rPr>
        <w:t xml:space="preserve"> es apoyar a la población a acceder a la información pública y</w:t>
      </w:r>
      <w:r w:rsidR="007A04CE" w:rsidRPr="003709C1">
        <w:rPr>
          <w:rFonts w:ascii="Palatino Linotype" w:hAnsi="Palatino Linotype" w:cs="Tahoma"/>
          <w:bCs/>
          <w:iCs/>
          <w:sz w:val="22"/>
          <w:szCs w:val="22"/>
        </w:rPr>
        <w:t xml:space="preserve"> </w:t>
      </w:r>
      <w:r w:rsidRPr="003709C1">
        <w:rPr>
          <w:rFonts w:ascii="Palatino Linotype" w:hAnsi="Palatino Linotype" w:cs="Tahoma"/>
          <w:bCs/>
          <w:iCs/>
          <w:sz w:val="22"/>
          <w:szCs w:val="22"/>
        </w:rPr>
        <w:t>garantizar la protección de sus datos personales.</w:t>
      </w:r>
    </w:p>
    <w:p w14:paraId="16580CCD" w14:textId="77777777" w:rsidR="00FF7C33" w:rsidRPr="003709C1" w:rsidRDefault="00FF7C33" w:rsidP="004F4E53">
      <w:pPr>
        <w:spacing w:line="360" w:lineRule="auto"/>
        <w:jc w:val="both"/>
        <w:rPr>
          <w:rFonts w:ascii="Palatino Linotype" w:hAnsi="Palatino Linotype" w:cs="Tahoma"/>
          <w:bCs/>
          <w:iCs/>
          <w:sz w:val="22"/>
          <w:szCs w:val="22"/>
        </w:rPr>
      </w:pPr>
    </w:p>
    <w:p w14:paraId="4AEFC75A" w14:textId="77777777" w:rsidR="00FF7C33" w:rsidRPr="003709C1"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Cs/>
          <w:iCs/>
          <w:sz w:val="22"/>
          <w:szCs w:val="22"/>
        </w:rPr>
        <w:t>Por lo expuesto y fundado, este Pleno:</w:t>
      </w:r>
    </w:p>
    <w:p w14:paraId="6BBF9EFC" w14:textId="77777777" w:rsidR="00FF7C33" w:rsidRPr="003709C1" w:rsidRDefault="00FF7C33" w:rsidP="004F4E53">
      <w:pPr>
        <w:spacing w:line="360" w:lineRule="auto"/>
        <w:jc w:val="both"/>
        <w:rPr>
          <w:rFonts w:ascii="Palatino Linotype" w:hAnsi="Palatino Linotype" w:cs="Tahoma"/>
          <w:bCs/>
          <w:iCs/>
          <w:sz w:val="22"/>
          <w:szCs w:val="22"/>
        </w:rPr>
      </w:pPr>
    </w:p>
    <w:p w14:paraId="31431AD7" w14:textId="77777777" w:rsidR="00FF7C33" w:rsidRPr="003709C1" w:rsidRDefault="00FF7C33" w:rsidP="004F4E53">
      <w:pPr>
        <w:spacing w:line="360" w:lineRule="auto"/>
        <w:jc w:val="center"/>
        <w:rPr>
          <w:rFonts w:ascii="Palatino Linotype" w:hAnsi="Palatino Linotype" w:cs="Tahoma"/>
          <w:b/>
          <w:bCs/>
          <w:iCs/>
          <w:sz w:val="22"/>
          <w:szCs w:val="22"/>
        </w:rPr>
      </w:pPr>
      <w:r w:rsidRPr="003709C1">
        <w:rPr>
          <w:rFonts w:ascii="Palatino Linotype" w:hAnsi="Palatino Linotype" w:cs="Tahoma"/>
          <w:b/>
          <w:bCs/>
          <w:iCs/>
          <w:sz w:val="22"/>
          <w:szCs w:val="22"/>
        </w:rPr>
        <w:t>R E S U E L V E</w:t>
      </w:r>
    </w:p>
    <w:p w14:paraId="76697628" w14:textId="77777777" w:rsidR="00FF7C33" w:rsidRPr="003709C1" w:rsidRDefault="00FF7C33" w:rsidP="004F4E53">
      <w:pPr>
        <w:spacing w:line="360" w:lineRule="auto"/>
        <w:jc w:val="both"/>
        <w:rPr>
          <w:rFonts w:ascii="Palatino Linotype" w:hAnsi="Palatino Linotype" w:cs="Tahoma"/>
          <w:b/>
          <w:bCs/>
          <w:iCs/>
          <w:sz w:val="22"/>
          <w:szCs w:val="22"/>
        </w:rPr>
      </w:pPr>
    </w:p>
    <w:p w14:paraId="46E6C462" w14:textId="0BD85067" w:rsidR="00FF7C33" w:rsidRPr="003709C1"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
          <w:bCs/>
          <w:iCs/>
          <w:sz w:val="22"/>
          <w:szCs w:val="22"/>
        </w:rPr>
        <w:t xml:space="preserve">PRIMERO. </w:t>
      </w:r>
      <w:r w:rsidRPr="003709C1">
        <w:rPr>
          <w:rFonts w:ascii="Palatino Linotype" w:hAnsi="Palatino Linotype" w:cs="Tahoma"/>
          <w:bCs/>
          <w:iCs/>
          <w:sz w:val="22"/>
          <w:szCs w:val="22"/>
        </w:rPr>
        <w:t xml:space="preserve">Resultan </w:t>
      </w:r>
      <w:r w:rsidRPr="003709C1">
        <w:rPr>
          <w:rFonts w:ascii="Palatino Linotype" w:hAnsi="Palatino Linotype" w:cs="Tahoma"/>
          <w:b/>
          <w:bCs/>
          <w:iCs/>
          <w:sz w:val="22"/>
          <w:szCs w:val="22"/>
        </w:rPr>
        <w:t>FUNDADAS</w:t>
      </w:r>
      <w:r w:rsidRPr="003709C1">
        <w:rPr>
          <w:rFonts w:ascii="Palatino Linotype" w:hAnsi="Palatino Linotype" w:cs="Tahoma"/>
          <w:bCs/>
          <w:iCs/>
          <w:sz w:val="22"/>
          <w:szCs w:val="22"/>
        </w:rPr>
        <w:t xml:space="preserve"> las razones o motivos de inconformidad hechos valer por el Particular en el Recurso de Revisión 0</w:t>
      </w:r>
      <w:r w:rsidR="00BA3DF4" w:rsidRPr="003709C1">
        <w:rPr>
          <w:rFonts w:ascii="Palatino Linotype" w:hAnsi="Palatino Linotype" w:cs="Tahoma"/>
          <w:bCs/>
          <w:iCs/>
          <w:sz w:val="22"/>
          <w:szCs w:val="22"/>
        </w:rPr>
        <w:t>6</w:t>
      </w:r>
      <w:r w:rsidR="001A4FA4" w:rsidRPr="003709C1">
        <w:rPr>
          <w:rFonts w:ascii="Palatino Linotype" w:hAnsi="Palatino Linotype" w:cs="Tahoma"/>
          <w:bCs/>
          <w:iCs/>
          <w:sz w:val="22"/>
          <w:szCs w:val="22"/>
        </w:rPr>
        <w:t>566</w:t>
      </w:r>
      <w:r w:rsidRPr="003709C1">
        <w:rPr>
          <w:rFonts w:ascii="Palatino Linotype" w:hAnsi="Palatino Linotype" w:cs="Tahoma"/>
          <w:bCs/>
          <w:iCs/>
          <w:sz w:val="22"/>
          <w:szCs w:val="22"/>
        </w:rPr>
        <w:t>/INFOEM/IP/RR/2024,</w:t>
      </w:r>
      <w:r w:rsidRPr="003709C1">
        <w:rPr>
          <w:rFonts w:ascii="Palatino Linotype" w:hAnsi="Palatino Linotype" w:cs="Tahoma"/>
          <w:b/>
          <w:bCs/>
          <w:iCs/>
          <w:sz w:val="22"/>
          <w:szCs w:val="22"/>
        </w:rPr>
        <w:t xml:space="preserve"> </w:t>
      </w:r>
      <w:r w:rsidRPr="003709C1">
        <w:rPr>
          <w:rFonts w:ascii="Palatino Linotype" w:hAnsi="Palatino Linotype" w:cs="Tahoma"/>
          <w:bCs/>
          <w:iCs/>
          <w:sz w:val="22"/>
          <w:szCs w:val="22"/>
        </w:rPr>
        <w:t>en términos de los considerandos QUINTO y SEXTO de la presente Resolución.</w:t>
      </w:r>
    </w:p>
    <w:p w14:paraId="3BCC0530" w14:textId="77777777" w:rsidR="00FB7667" w:rsidRPr="003709C1" w:rsidRDefault="00FB7667" w:rsidP="004F4E53">
      <w:pPr>
        <w:spacing w:line="360" w:lineRule="auto"/>
        <w:jc w:val="both"/>
        <w:rPr>
          <w:rFonts w:ascii="Palatino Linotype" w:hAnsi="Palatino Linotype" w:cs="Tahoma"/>
          <w:bCs/>
          <w:iCs/>
          <w:sz w:val="22"/>
          <w:szCs w:val="22"/>
        </w:rPr>
      </w:pPr>
    </w:p>
    <w:p w14:paraId="0D9157E9" w14:textId="25077714" w:rsidR="00FB7667" w:rsidRPr="003709C1" w:rsidRDefault="00FB7667" w:rsidP="00FB7667">
      <w:pPr>
        <w:spacing w:line="360" w:lineRule="auto"/>
        <w:jc w:val="both"/>
        <w:rPr>
          <w:rFonts w:cs="Tahoma"/>
          <w:b/>
          <w:bCs/>
          <w:iCs/>
          <w:lang w:val="es-ES"/>
        </w:rPr>
      </w:pPr>
      <w:r w:rsidRPr="003709C1">
        <w:rPr>
          <w:rFonts w:ascii="Palatino Linotype" w:hAnsi="Palatino Linotype" w:cs="Tahoma"/>
          <w:b/>
          <w:bCs/>
          <w:iCs/>
          <w:sz w:val="22"/>
          <w:szCs w:val="22"/>
          <w:lang w:val="es-ES"/>
        </w:rPr>
        <w:t xml:space="preserve">SEGUNDO. </w:t>
      </w:r>
      <w:r w:rsidRPr="003709C1">
        <w:rPr>
          <w:rFonts w:ascii="Palatino Linotype" w:hAnsi="Palatino Linotype" w:cs="Tahoma"/>
          <w:bCs/>
          <w:iCs/>
          <w:sz w:val="22"/>
          <w:szCs w:val="22"/>
          <w:lang w:val="es-ES"/>
        </w:rPr>
        <w:t>Se</w:t>
      </w:r>
      <w:r w:rsidRPr="003709C1">
        <w:rPr>
          <w:rFonts w:ascii="Palatino Linotype" w:hAnsi="Palatino Linotype" w:cs="Tahoma"/>
          <w:b/>
          <w:bCs/>
          <w:iCs/>
          <w:sz w:val="22"/>
          <w:szCs w:val="22"/>
          <w:lang w:val="es-ES"/>
        </w:rPr>
        <w:t xml:space="preserve"> ORDENA </w:t>
      </w:r>
      <w:r w:rsidRPr="003709C1">
        <w:rPr>
          <w:rFonts w:ascii="Palatino Linotype" w:hAnsi="Palatino Linotype" w:cs="Tahoma"/>
          <w:bCs/>
          <w:iCs/>
          <w:sz w:val="22"/>
          <w:szCs w:val="22"/>
          <w:lang w:val="es-ES"/>
        </w:rPr>
        <w:t>al Sujeto Obligado, a efecto de que dé atención a la solicitud de acceso a la información</w:t>
      </w:r>
      <w:r w:rsidRPr="003709C1">
        <w:rPr>
          <w:rFonts w:ascii="Palatino Linotype" w:hAnsi="Palatino Linotype" w:cs="Tahoma"/>
          <w:color w:val="0D0D0D" w:themeColor="text1" w:themeTint="F2"/>
          <w:sz w:val="22"/>
          <w:szCs w:val="22"/>
        </w:rPr>
        <w:t xml:space="preserve"> </w:t>
      </w:r>
      <w:r w:rsidR="001A4FA4" w:rsidRPr="003709C1">
        <w:rPr>
          <w:rFonts w:ascii="Palatino Linotype" w:eastAsiaTheme="minorHAnsi" w:hAnsi="Palatino Linotype" w:cstheme="minorBidi"/>
          <w:color w:val="000000" w:themeColor="text1"/>
          <w:sz w:val="22"/>
          <w:szCs w:val="22"/>
          <w:lang w:eastAsia="en-US"/>
        </w:rPr>
        <w:t xml:space="preserve">00080/JALTENCO/IP/2024 </w:t>
      </w:r>
      <w:r w:rsidRPr="003709C1">
        <w:rPr>
          <w:rFonts w:ascii="Palatino Linotype" w:hAnsi="Palatino Linotype" w:cs="Tahoma"/>
          <w:bCs/>
          <w:iCs/>
          <w:sz w:val="22"/>
          <w:szCs w:val="22"/>
          <w:lang w:val="es-ES"/>
        </w:rPr>
        <w:t>y, a través del Sistema de Acceso a la Información Mexiquense (SAIMEX), dé la respuesta que conforme a derecho corresponda</w:t>
      </w:r>
      <w:r w:rsidRPr="003709C1">
        <w:rPr>
          <w:rFonts w:cs="Tahoma"/>
          <w:b/>
          <w:bCs/>
          <w:iCs/>
          <w:lang w:val="es-ES"/>
        </w:rPr>
        <w:t>.</w:t>
      </w:r>
    </w:p>
    <w:p w14:paraId="35C6254A" w14:textId="77777777" w:rsidR="00FB7667" w:rsidRPr="003709C1" w:rsidRDefault="00FB7667" w:rsidP="004F4E53">
      <w:pPr>
        <w:spacing w:line="360" w:lineRule="auto"/>
        <w:jc w:val="both"/>
        <w:rPr>
          <w:rFonts w:ascii="Palatino Linotype" w:hAnsi="Palatino Linotype" w:cs="Tahoma"/>
          <w:bCs/>
          <w:iCs/>
          <w:sz w:val="22"/>
          <w:szCs w:val="22"/>
        </w:rPr>
      </w:pPr>
    </w:p>
    <w:p w14:paraId="2F31FE73" w14:textId="77777777" w:rsidR="00FF7C33" w:rsidRPr="003709C1" w:rsidRDefault="00FF7C33" w:rsidP="004F4E53">
      <w:pPr>
        <w:spacing w:line="360" w:lineRule="auto"/>
        <w:jc w:val="both"/>
        <w:rPr>
          <w:rFonts w:ascii="Palatino Linotype" w:hAnsi="Palatino Linotype" w:cs="Tahoma"/>
          <w:bCs/>
          <w:iCs/>
          <w:sz w:val="22"/>
          <w:szCs w:val="22"/>
          <w:lang w:val="es-ES_tradnl"/>
        </w:rPr>
      </w:pPr>
      <w:r w:rsidRPr="003709C1">
        <w:rPr>
          <w:rFonts w:ascii="Palatino Linotype" w:hAnsi="Palatino Linotype" w:cs="Tahoma"/>
          <w:b/>
          <w:bCs/>
          <w:iCs/>
          <w:sz w:val="22"/>
          <w:szCs w:val="22"/>
          <w:lang w:val="es-ES"/>
        </w:rPr>
        <w:t>TERCERO</w:t>
      </w:r>
      <w:r w:rsidRPr="003709C1">
        <w:rPr>
          <w:rFonts w:ascii="Palatino Linotype" w:hAnsi="Palatino Linotype" w:cs="Tahoma"/>
          <w:b/>
          <w:bCs/>
          <w:iCs/>
          <w:sz w:val="22"/>
          <w:szCs w:val="22"/>
        </w:rPr>
        <w:t xml:space="preserve">. </w:t>
      </w:r>
      <w:r w:rsidRPr="003709C1">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3709C1" w:rsidRDefault="00FF7C33" w:rsidP="004F4E53">
      <w:pPr>
        <w:spacing w:line="360" w:lineRule="auto"/>
        <w:jc w:val="both"/>
        <w:rPr>
          <w:rFonts w:ascii="Palatino Linotype" w:hAnsi="Palatino Linotype" w:cs="Tahoma"/>
          <w:bCs/>
          <w:iCs/>
          <w:sz w:val="22"/>
          <w:szCs w:val="22"/>
        </w:rPr>
      </w:pPr>
    </w:p>
    <w:p w14:paraId="63F3D9B5" w14:textId="77777777" w:rsidR="00FF7C33" w:rsidRPr="003709C1"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
          <w:bCs/>
          <w:iCs/>
          <w:sz w:val="22"/>
          <w:szCs w:val="22"/>
        </w:rPr>
        <w:lastRenderedPageBreak/>
        <w:t>CUARTO.</w:t>
      </w:r>
      <w:r w:rsidRPr="003709C1">
        <w:rPr>
          <w:rFonts w:ascii="Palatino Linotype" w:hAnsi="Palatino Linotype" w:cs="Tahoma"/>
          <w:bCs/>
          <w:iCs/>
          <w:sz w:val="22"/>
          <w:szCs w:val="22"/>
        </w:rPr>
        <w:t xml:space="preserve"> </w:t>
      </w:r>
      <w:r w:rsidRPr="003709C1">
        <w:rPr>
          <w:rFonts w:ascii="Palatino Linotype" w:hAnsi="Palatino Linotype" w:cs="Tahoma"/>
          <w:b/>
          <w:bCs/>
          <w:iCs/>
          <w:sz w:val="22"/>
          <w:szCs w:val="22"/>
        </w:rPr>
        <w:t xml:space="preserve">NOTIFÍQUESE POR SAIMEX </w:t>
      </w:r>
      <w:r w:rsidRPr="003709C1">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3709C1" w:rsidRDefault="00FF7C33" w:rsidP="004F4E53">
      <w:pPr>
        <w:spacing w:line="360" w:lineRule="auto"/>
        <w:jc w:val="both"/>
        <w:rPr>
          <w:rFonts w:ascii="Palatino Linotype" w:hAnsi="Palatino Linotype" w:cs="Tahoma"/>
          <w:bCs/>
          <w:iCs/>
          <w:sz w:val="22"/>
          <w:szCs w:val="22"/>
        </w:rPr>
      </w:pPr>
    </w:p>
    <w:p w14:paraId="540F4370" w14:textId="0BC61EE8" w:rsidR="00FF7C33" w:rsidRPr="003709C1"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
          <w:bCs/>
          <w:iCs/>
          <w:sz w:val="22"/>
          <w:szCs w:val="22"/>
        </w:rPr>
        <w:t>QUINTO. NOTIFÍQUESE</w:t>
      </w:r>
      <w:r w:rsidRPr="003709C1">
        <w:rPr>
          <w:rFonts w:ascii="Palatino Linotype" w:hAnsi="Palatino Linotype" w:cs="Tahoma"/>
          <w:bCs/>
          <w:iCs/>
          <w:sz w:val="22"/>
          <w:szCs w:val="22"/>
        </w:rPr>
        <w:t xml:space="preserve"> </w:t>
      </w:r>
      <w:r w:rsidRPr="003709C1">
        <w:rPr>
          <w:rFonts w:ascii="Palatino Linotype" w:hAnsi="Palatino Linotype" w:cs="Tahoma"/>
          <w:b/>
          <w:bCs/>
          <w:iCs/>
          <w:sz w:val="22"/>
          <w:szCs w:val="22"/>
        </w:rPr>
        <w:t xml:space="preserve">POR SAIMEX, </w:t>
      </w:r>
      <w:r w:rsidRPr="003709C1">
        <w:rPr>
          <w:rFonts w:ascii="Palatino Linotype" w:hAnsi="Palatino Linotype" w:cs="Tahoma"/>
          <w:bCs/>
          <w:iCs/>
          <w:sz w:val="22"/>
          <w:szCs w:val="22"/>
        </w:rPr>
        <w:t>a</w:t>
      </w:r>
      <w:r w:rsidR="009E3A34" w:rsidRPr="003709C1">
        <w:rPr>
          <w:rFonts w:ascii="Palatino Linotype" w:hAnsi="Palatino Linotype" w:cs="Tahoma"/>
          <w:bCs/>
          <w:iCs/>
          <w:sz w:val="22"/>
          <w:szCs w:val="22"/>
        </w:rPr>
        <w:t xml:space="preserve"> la persona</w:t>
      </w:r>
      <w:r w:rsidRPr="003709C1">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3709C1" w:rsidRDefault="00501F15" w:rsidP="004F4E53">
      <w:pPr>
        <w:spacing w:line="360" w:lineRule="auto"/>
        <w:jc w:val="both"/>
        <w:rPr>
          <w:rFonts w:ascii="Palatino Linotype" w:hAnsi="Palatino Linotype" w:cs="Tahoma"/>
          <w:bCs/>
          <w:iCs/>
          <w:sz w:val="22"/>
          <w:szCs w:val="22"/>
        </w:rPr>
      </w:pPr>
    </w:p>
    <w:p w14:paraId="4C0D39E9" w14:textId="77777777" w:rsidR="00501F15" w:rsidRPr="003709C1" w:rsidRDefault="00501F15" w:rsidP="00501F15">
      <w:pPr>
        <w:spacing w:line="360" w:lineRule="auto"/>
        <w:jc w:val="both"/>
        <w:rPr>
          <w:rFonts w:ascii="Palatino Linotype" w:eastAsia="Calibri" w:hAnsi="Palatino Linotype" w:cs="Tahoma"/>
          <w:bCs/>
          <w:sz w:val="22"/>
          <w:szCs w:val="22"/>
          <w:lang w:eastAsia="en-US"/>
        </w:rPr>
      </w:pPr>
      <w:r w:rsidRPr="003709C1">
        <w:rPr>
          <w:rFonts w:ascii="Palatino Linotype" w:eastAsiaTheme="minorHAnsi" w:hAnsi="Palatino Linotype" w:cstheme="minorBidi"/>
          <w:b/>
          <w:bCs/>
          <w:sz w:val="22"/>
          <w:szCs w:val="22"/>
          <w:lang w:eastAsia="en-US"/>
        </w:rPr>
        <w:t>SEXTO.</w:t>
      </w:r>
      <w:r w:rsidRPr="003709C1">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3709C1" w:rsidRDefault="00FF7C33" w:rsidP="004F4E53">
      <w:pPr>
        <w:spacing w:line="360" w:lineRule="auto"/>
        <w:jc w:val="both"/>
        <w:rPr>
          <w:rFonts w:ascii="Palatino Linotype" w:hAnsi="Palatino Linotype" w:cs="Tahoma"/>
          <w:b/>
          <w:bCs/>
          <w:iCs/>
          <w:sz w:val="22"/>
          <w:szCs w:val="22"/>
        </w:rPr>
      </w:pPr>
    </w:p>
    <w:p w14:paraId="4051A84A" w14:textId="53010328" w:rsidR="00FF7C33" w:rsidRPr="00FF7C33" w:rsidRDefault="00FF7C33" w:rsidP="004F4E53">
      <w:pPr>
        <w:spacing w:line="360" w:lineRule="auto"/>
        <w:jc w:val="both"/>
        <w:rPr>
          <w:rFonts w:ascii="Palatino Linotype" w:hAnsi="Palatino Linotype" w:cs="Tahoma"/>
          <w:bCs/>
          <w:iCs/>
          <w:sz w:val="22"/>
          <w:szCs w:val="22"/>
        </w:rPr>
      </w:pPr>
      <w:r w:rsidRPr="003709C1">
        <w:rPr>
          <w:rFonts w:ascii="Palatino Linotype" w:hAnsi="Palatino Linotype" w:cs="Tahoma"/>
          <w:bCs/>
          <w:iCs/>
          <w:sz w:val="22"/>
          <w:szCs w:val="22"/>
        </w:rPr>
        <w:t>ASÍ LO RESUELVE, POR </w:t>
      </w:r>
      <w:r w:rsidRPr="003709C1">
        <w:rPr>
          <w:rFonts w:ascii="Palatino Linotype" w:hAnsi="Palatino Linotype" w:cs="Tahoma"/>
          <w:b/>
          <w:bCs/>
          <w:iCs/>
          <w:sz w:val="22"/>
          <w:szCs w:val="22"/>
        </w:rPr>
        <w:t>UNANIMIDAD</w:t>
      </w:r>
      <w:r w:rsidRPr="003709C1">
        <w:rPr>
          <w:rFonts w:ascii="Palatino Linotype" w:hAnsi="Palatino Linotype" w:cs="Tahoma"/>
          <w:bCs/>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BD61E2" w:rsidRPr="003709C1">
        <w:rPr>
          <w:rFonts w:ascii="Palatino Linotype" w:hAnsi="Palatino Linotype" w:cs="Tahoma"/>
          <w:bCs/>
          <w:iCs/>
          <w:sz w:val="22"/>
          <w:szCs w:val="22"/>
        </w:rPr>
        <w:t>NOVENA</w:t>
      </w:r>
      <w:r w:rsidR="009E3A34" w:rsidRPr="003709C1">
        <w:rPr>
          <w:rFonts w:ascii="Palatino Linotype" w:hAnsi="Palatino Linotype" w:cs="Tahoma"/>
          <w:bCs/>
          <w:iCs/>
          <w:sz w:val="22"/>
          <w:szCs w:val="22"/>
        </w:rPr>
        <w:t xml:space="preserve"> </w:t>
      </w:r>
      <w:r w:rsidRPr="003709C1">
        <w:rPr>
          <w:rFonts w:ascii="Palatino Linotype" w:hAnsi="Palatino Linotype" w:cs="Tahoma"/>
          <w:bCs/>
          <w:iCs/>
          <w:sz w:val="22"/>
          <w:szCs w:val="22"/>
        </w:rPr>
        <w:t xml:space="preserve">SESIÓN ORDINARIA, </w:t>
      </w:r>
      <w:r w:rsidRPr="003709C1">
        <w:rPr>
          <w:rFonts w:ascii="Palatino Linotype" w:hAnsi="Palatino Linotype" w:cs="Tahoma"/>
          <w:bCs/>
          <w:iCs/>
          <w:sz w:val="22"/>
          <w:szCs w:val="22"/>
        </w:rPr>
        <w:lastRenderedPageBreak/>
        <w:t>CELEBRADA EL</w:t>
      </w:r>
      <w:r w:rsidR="00FB7667" w:rsidRPr="003709C1">
        <w:rPr>
          <w:rFonts w:ascii="Palatino Linotype" w:hAnsi="Palatino Linotype" w:cs="Tahoma"/>
          <w:bCs/>
          <w:iCs/>
          <w:sz w:val="22"/>
          <w:szCs w:val="22"/>
        </w:rPr>
        <w:t xml:space="preserve"> </w:t>
      </w:r>
      <w:r w:rsidR="00BD61E2" w:rsidRPr="003709C1">
        <w:rPr>
          <w:rFonts w:ascii="Palatino Linotype" w:hAnsi="Palatino Linotype" w:cs="Tahoma"/>
          <w:bCs/>
          <w:iCs/>
          <w:sz w:val="22"/>
          <w:szCs w:val="22"/>
        </w:rPr>
        <w:t>TRECE</w:t>
      </w:r>
      <w:r w:rsidR="00BA3DF4" w:rsidRPr="003709C1">
        <w:rPr>
          <w:rFonts w:ascii="Palatino Linotype" w:hAnsi="Palatino Linotype" w:cs="Tahoma"/>
          <w:bCs/>
          <w:iCs/>
          <w:sz w:val="22"/>
          <w:szCs w:val="22"/>
        </w:rPr>
        <w:t xml:space="preserve"> DE NOVIEMBRE </w:t>
      </w:r>
      <w:r w:rsidRPr="003709C1">
        <w:rPr>
          <w:rFonts w:ascii="Palatino Linotype" w:hAnsi="Palatino Linotype" w:cs="Tahoma"/>
          <w:bCs/>
          <w:iCs/>
          <w:sz w:val="22"/>
          <w:szCs w:val="22"/>
        </w:rPr>
        <w:t>DE DOS MIL VEINTICUATRO,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0FB82E12" w14:textId="77777777" w:rsidR="00851F51"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27CC1CB1" w14:textId="77777777" w:rsidR="00851F51"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5C7575F6" w14:textId="77777777" w:rsidR="00851F51"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213B3908" w14:textId="77777777" w:rsidR="00851F51"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7807B980" w14:textId="77777777" w:rsidR="00851F51"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5B645C48" w14:textId="77777777" w:rsidR="00851F51"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p w14:paraId="34352EDE" w14:textId="77777777" w:rsidR="00851F51" w:rsidRPr="004F3A02" w:rsidRDefault="00851F51"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851F51"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026DE" w14:textId="77777777" w:rsidR="00BA5E30" w:rsidRDefault="00BA5E30" w:rsidP="00B31222">
      <w:r>
        <w:separator/>
      </w:r>
    </w:p>
  </w:endnote>
  <w:endnote w:type="continuationSeparator" w:id="0">
    <w:p w14:paraId="474A57C1" w14:textId="77777777" w:rsidR="00BA5E30" w:rsidRDefault="00BA5E30"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1F51">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1F51">
              <w:rPr>
                <w:b/>
                <w:bCs/>
                <w:noProof/>
              </w:rPr>
              <w:t>21</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1F5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1F51">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A27A5" w14:textId="77777777" w:rsidR="00BA5E30" w:rsidRDefault="00BA5E30" w:rsidP="00B31222">
      <w:r>
        <w:separator/>
      </w:r>
    </w:p>
  </w:footnote>
  <w:footnote w:type="continuationSeparator" w:id="0">
    <w:p w14:paraId="20B1AE13" w14:textId="77777777" w:rsidR="00BA5E30" w:rsidRDefault="00BA5E30"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p w14:paraId="7767903D" w14:textId="77777777" w:rsidR="00895942" w:rsidRDefault="00895942"/>
        <w:tbl>
          <w:tblPr>
            <w:tblStyle w:val="Tablaconcuadrcula"/>
            <w:tblW w:w="7087" w:type="dxa"/>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535"/>
          </w:tblGrid>
          <w:tr w:rsidR="00E67009" w14:paraId="401FF1E4" w14:textId="77777777" w:rsidTr="00636E0D">
            <w:trPr>
              <w:trHeight w:val="144"/>
            </w:trPr>
            <w:tc>
              <w:tcPr>
                <w:tcW w:w="2552" w:type="dxa"/>
              </w:tcPr>
              <w:p w14:paraId="2FAA5A5D"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535" w:type="dxa"/>
              </w:tcPr>
              <w:p w14:paraId="35595BB5" w14:textId="35A25250" w:rsidR="00E67009" w:rsidRPr="008B3548" w:rsidRDefault="00CC1153" w:rsidP="00885230">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06</w:t>
                </w:r>
                <w:r w:rsidR="00985347">
                  <w:rPr>
                    <w:rFonts w:ascii="Palatino Linotype" w:eastAsia="Calibri" w:hAnsi="Palatino Linotype" w:cs="Tahoma"/>
                    <w:sz w:val="22"/>
                    <w:szCs w:val="22"/>
                    <w:lang w:val="es-MX" w:eastAsia="en-US"/>
                  </w:rPr>
                  <w:t>566</w:t>
                </w:r>
                <w:r w:rsidR="00E67009" w:rsidRPr="00747F8C">
                  <w:rPr>
                    <w:rFonts w:ascii="Palatino Linotype" w:eastAsia="Calibri" w:hAnsi="Palatino Linotype" w:cs="Tahoma"/>
                    <w:sz w:val="22"/>
                    <w:szCs w:val="22"/>
                    <w:lang w:val="es-MX" w:eastAsia="en-US"/>
                  </w:rPr>
                  <w:t>/INFOEM/IP/RR/2024</w:t>
                </w:r>
              </w:p>
            </w:tc>
          </w:tr>
          <w:tr w:rsidR="00E67009" w14:paraId="6B793921" w14:textId="77777777" w:rsidTr="00636E0D">
            <w:trPr>
              <w:trHeight w:val="144"/>
            </w:trPr>
            <w:tc>
              <w:tcPr>
                <w:tcW w:w="2552" w:type="dxa"/>
              </w:tcPr>
              <w:p w14:paraId="248F8814"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35" w:type="dxa"/>
              </w:tcPr>
              <w:p w14:paraId="31642F59" w14:textId="377F44D4" w:rsidR="00E67009" w:rsidRPr="00A404EA" w:rsidRDefault="00636E0D"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 xml:space="preserve">Ayuntamiento de </w:t>
                </w:r>
                <w:r w:rsidR="00985347">
                  <w:rPr>
                    <w:rFonts w:ascii="Palatino Linotype" w:eastAsia="Calibri" w:hAnsi="Palatino Linotype" w:cs="Tahoma"/>
                    <w:sz w:val="22"/>
                    <w:szCs w:val="22"/>
                    <w:lang w:val="es-MX" w:eastAsia="en-US"/>
                  </w:rPr>
                  <w:t>Jaltenco</w:t>
                </w:r>
                <w:r>
                  <w:rPr>
                    <w:rFonts w:ascii="Palatino Linotype" w:eastAsia="Calibri" w:hAnsi="Palatino Linotype" w:cs="Tahoma"/>
                    <w:sz w:val="22"/>
                    <w:szCs w:val="22"/>
                    <w:lang w:val="es-MX" w:eastAsia="en-US"/>
                  </w:rPr>
                  <w:t xml:space="preserve"> </w:t>
                </w:r>
              </w:p>
            </w:tc>
          </w:tr>
          <w:tr w:rsidR="00E67009" w14:paraId="5F57F04A" w14:textId="77777777" w:rsidTr="00636E0D">
            <w:trPr>
              <w:trHeight w:val="138"/>
            </w:trPr>
            <w:tc>
              <w:tcPr>
                <w:tcW w:w="2552" w:type="dxa"/>
              </w:tcPr>
              <w:p w14:paraId="249191FD"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35" w:type="dxa"/>
              </w:tcPr>
              <w:p w14:paraId="4BE48A03" w14:textId="77777777" w:rsidR="00E67009" w:rsidRDefault="00E67009"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E67009" w:rsidRPr="00026EBB" w:rsidRDefault="00E67009" w:rsidP="00885230">
                <w:pPr>
                  <w:tabs>
                    <w:tab w:val="right" w:pos="8838"/>
                  </w:tabs>
                  <w:ind w:left="-108"/>
                  <w:jc w:val="both"/>
                  <w:rPr>
                    <w:rFonts w:ascii="Palatino Linotype" w:eastAsia="Calibri" w:hAnsi="Palatino Linotype" w:cs="Tahoma"/>
                    <w:b/>
                    <w:sz w:val="22"/>
                    <w:szCs w:val="22"/>
                    <w:lang w:val="es-MX" w:eastAsia="en-US"/>
                  </w:rPr>
                </w:pP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B83524"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RCA DE AGUA - HOJA RESOLUCIÓN" style="position:absolute;margin-left:-88.4pt;margin-top:-131.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4F17" w14:textId="0A90E6D4" w:rsidR="00475973" w:rsidRDefault="00B83524">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1026" type="#_x0000_t75" alt="MARCA DE AGUA - HOJA RESOLUCIÓN" style="position:absolute;margin-left:-79.4pt;margin-top:-130.2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2405"/>
      <w:gridCol w:w="4540"/>
    </w:tblGrid>
    <w:tr w:rsidR="00475973" w:rsidRPr="00264223" w14:paraId="47FE01F0" w14:textId="77777777" w:rsidTr="00253EAE">
      <w:trPr>
        <w:trHeight w:val="466"/>
      </w:trPr>
      <w:tc>
        <w:tcPr>
          <w:tcW w:w="3828"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540" w:type="dxa"/>
          <w:vAlign w:val="bottom"/>
        </w:tcPr>
        <w:p w14:paraId="5D029AEB" w14:textId="59DE3718" w:rsidR="00475973" w:rsidRPr="00A404EA" w:rsidRDefault="00A17E23"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CC1153">
            <w:rPr>
              <w:rFonts w:ascii="Palatino Linotype" w:eastAsia="Calibri" w:hAnsi="Palatino Linotype" w:cs="Tahoma"/>
              <w:sz w:val="22"/>
              <w:szCs w:val="22"/>
              <w:lang w:val="es-MX" w:eastAsia="en-US"/>
            </w:rPr>
            <w:t>6</w:t>
          </w:r>
          <w:r w:rsidR="00985347">
            <w:rPr>
              <w:rFonts w:ascii="Palatino Linotype" w:eastAsia="Calibri" w:hAnsi="Palatino Linotype" w:cs="Tahoma"/>
              <w:sz w:val="22"/>
              <w:szCs w:val="22"/>
              <w:lang w:val="es-MX" w:eastAsia="en-US"/>
            </w:rPr>
            <w:t>566</w:t>
          </w:r>
          <w:r w:rsidR="00475973" w:rsidRPr="00747F8C">
            <w:rPr>
              <w:rFonts w:ascii="Palatino Linotype" w:eastAsia="Calibri" w:hAnsi="Palatino Linotype" w:cs="Tahoma"/>
              <w:sz w:val="22"/>
              <w:szCs w:val="22"/>
              <w:lang w:val="es-MX" w:eastAsia="en-US"/>
            </w:rPr>
            <w:t>/INFOEM/IP/RR/2024</w:t>
          </w:r>
        </w:p>
      </w:tc>
    </w:tr>
    <w:tr w:rsidR="00475973" w:rsidRPr="00264223" w14:paraId="3B115A83" w14:textId="77777777" w:rsidTr="00253EAE">
      <w:trPr>
        <w:trHeight w:val="119"/>
      </w:trPr>
      <w:tc>
        <w:tcPr>
          <w:tcW w:w="3828"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540" w:type="dxa"/>
        </w:tcPr>
        <w:p w14:paraId="26162836" w14:textId="7A658C36" w:rsidR="00475973" w:rsidRPr="0055002A" w:rsidRDefault="00B83524" w:rsidP="00F82637">
          <w:pPr>
            <w:tabs>
              <w:tab w:val="right" w:pos="8838"/>
            </w:tabs>
            <w:spacing w:line="276" w:lineRule="auto"/>
            <w:ind w:right="171"/>
            <w:jc w:val="both"/>
            <w:rPr>
              <w:rFonts w:ascii="Palatino Linotype" w:eastAsia="Calibri" w:hAnsi="Palatino Linotype" w:cs="Tahoma"/>
              <w:sz w:val="22"/>
              <w:szCs w:val="22"/>
              <w:lang w:eastAsia="en-US"/>
            </w:rPr>
          </w:pPr>
          <w:r w:rsidRPr="00B83524">
            <w:rPr>
              <w:rFonts w:ascii="Palatino Linotype" w:eastAsia="Calibri" w:hAnsi="Palatino Linotype" w:cs="Tahoma"/>
              <w:sz w:val="22"/>
              <w:szCs w:val="22"/>
              <w:highlight w:val="black"/>
              <w:lang w:eastAsia="en-US"/>
            </w:rPr>
            <w:t>XXXXXXXXXXXX</w:t>
          </w:r>
          <w:r w:rsidR="00985347">
            <w:rPr>
              <w:rFonts w:ascii="Palatino Linotype" w:eastAsia="Calibri" w:hAnsi="Palatino Linotype" w:cs="Tahoma"/>
              <w:sz w:val="22"/>
              <w:szCs w:val="22"/>
              <w:lang w:eastAsia="en-US"/>
            </w:rPr>
            <w:t xml:space="preserve"> </w:t>
          </w:r>
        </w:p>
      </w:tc>
    </w:tr>
    <w:tr w:rsidR="00475973" w:rsidRPr="00264223" w14:paraId="111B16D3" w14:textId="77777777" w:rsidTr="00253EAE">
      <w:trPr>
        <w:trHeight w:val="234"/>
      </w:trPr>
      <w:tc>
        <w:tcPr>
          <w:tcW w:w="3828"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40" w:type="dxa"/>
        </w:tcPr>
        <w:p w14:paraId="69B99F24" w14:textId="31277F3A" w:rsidR="00475973" w:rsidRPr="004A0C66" w:rsidRDefault="00636E0D"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w:t>
          </w:r>
          <w:r w:rsidR="00253EAE">
            <w:rPr>
              <w:rFonts w:ascii="Palatino Linotype" w:eastAsia="Calibri" w:hAnsi="Palatino Linotype" w:cs="Tahoma"/>
              <w:sz w:val="22"/>
              <w:szCs w:val="22"/>
              <w:lang w:val="es-MX" w:eastAsia="en-US"/>
            </w:rPr>
            <w:t xml:space="preserve"> </w:t>
          </w:r>
          <w:r w:rsidR="00985347">
            <w:rPr>
              <w:rFonts w:ascii="Palatino Linotype" w:eastAsia="Calibri" w:hAnsi="Palatino Linotype" w:cs="Tahoma"/>
              <w:sz w:val="22"/>
              <w:szCs w:val="22"/>
              <w:lang w:val="es-MX" w:eastAsia="en-US"/>
            </w:rPr>
            <w:t>Jaltenco</w:t>
          </w:r>
        </w:p>
      </w:tc>
    </w:tr>
    <w:tr w:rsidR="00475973" w:rsidRPr="00264223" w14:paraId="69512480" w14:textId="77777777" w:rsidTr="00253EAE">
      <w:trPr>
        <w:trHeight w:val="234"/>
      </w:trPr>
      <w:tc>
        <w:tcPr>
          <w:tcW w:w="3828"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40"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841606">
    <w:abstractNumId w:val="0"/>
  </w:num>
  <w:num w:numId="2" w16cid:durableId="73936271">
    <w:abstractNumId w:val="14"/>
  </w:num>
  <w:num w:numId="3" w16cid:durableId="385833216">
    <w:abstractNumId w:val="36"/>
  </w:num>
  <w:num w:numId="4" w16cid:durableId="1886942442">
    <w:abstractNumId w:val="12"/>
  </w:num>
  <w:num w:numId="5" w16cid:durableId="1440368251">
    <w:abstractNumId w:val="30"/>
  </w:num>
  <w:num w:numId="6" w16cid:durableId="1934168649">
    <w:abstractNumId w:val="32"/>
  </w:num>
  <w:num w:numId="7" w16cid:durableId="1042247384">
    <w:abstractNumId w:val="32"/>
  </w:num>
  <w:num w:numId="8" w16cid:durableId="1091391117">
    <w:abstractNumId w:val="29"/>
  </w:num>
  <w:num w:numId="9" w16cid:durableId="662590018">
    <w:abstractNumId w:val="16"/>
  </w:num>
  <w:num w:numId="10" w16cid:durableId="1504011129">
    <w:abstractNumId w:val="26"/>
  </w:num>
  <w:num w:numId="11" w16cid:durableId="1841306500">
    <w:abstractNumId w:val="18"/>
  </w:num>
  <w:num w:numId="12" w16cid:durableId="1296376107">
    <w:abstractNumId w:val="8"/>
  </w:num>
  <w:num w:numId="13" w16cid:durableId="778721047">
    <w:abstractNumId w:val="13"/>
  </w:num>
  <w:num w:numId="14" w16cid:durableId="1408764190">
    <w:abstractNumId w:val="37"/>
  </w:num>
  <w:num w:numId="15" w16cid:durableId="913316729">
    <w:abstractNumId w:val="4"/>
  </w:num>
  <w:num w:numId="16" w16cid:durableId="1669745943">
    <w:abstractNumId w:val="31"/>
  </w:num>
  <w:num w:numId="17" w16cid:durableId="1293753535">
    <w:abstractNumId w:val="28"/>
  </w:num>
  <w:num w:numId="18" w16cid:durableId="1734505570">
    <w:abstractNumId w:val="35"/>
  </w:num>
  <w:num w:numId="19" w16cid:durableId="434640540">
    <w:abstractNumId w:val="19"/>
  </w:num>
  <w:num w:numId="20" w16cid:durableId="1451051327">
    <w:abstractNumId w:val="33"/>
  </w:num>
  <w:num w:numId="21" w16cid:durableId="1201162018">
    <w:abstractNumId w:val="6"/>
  </w:num>
  <w:num w:numId="22" w16cid:durableId="1411273521">
    <w:abstractNumId w:val="20"/>
  </w:num>
  <w:num w:numId="23" w16cid:durableId="581917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638842">
    <w:abstractNumId w:val="22"/>
  </w:num>
  <w:num w:numId="25" w16cid:durableId="735979847">
    <w:abstractNumId w:val="25"/>
  </w:num>
  <w:num w:numId="26" w16cid:durableId="1958829560">
    <w:abstractNumId w:val="14"/>
  </w:num>
  <w:num w:numId="27" w16cid:durableId="1012345016">
    <w:abstractNumId w:val="36"/>
  </w:num>
  <w:num w:numId="28" w16cid:durableId="1208880992">
    <w:abstractNumId w:val="10"/>
  </w:num>
  <w:num w:numId="29" w16cid:durableId="1668436016">
    <w:abstractNumId w:val="24"/>
  </w:num>
  <w:num w:numId="30" w16cid:durableId="784426442">
    <w:abstractNumId w:val="2"/>
  </w:num>
  <w:num w:numId="31" w16cid:durableId="913246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5775181">
    <w:abstractNumId w:val="1"/>
  </w:num>
  <w:num w:numId="33" w16cid:durableId="1522352680">
    <w:abstractNumId w:val="17"/>
  </w:num>
  <w:num w:numId="34" w16cid:durableId="490753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8073876">
    <w:abstractNumId w:val="11"/>
  </w:num>
  <w:num w:numId="36" w16cid:durableId="1960211477">
    <w:abstractNumId w:val="15"/>
  </w:num>
  <w:num w:numId="37" w16cid:durableId="561405649">
    <w:abstractNumId w:val="9"/>
  </w:num>
  <w:num w:numId="38" w16cid:durableId="1291941447">
    <w:abstractNumId w:val="23"/>
  </w:num>
  <w:num w:numId="39" w16cid:durableId="1493106746">
    <w:abstractNumId w:val="5"/>
  </w:num>
  <w:num w:numId="40" w16cid:durableId="1900508855">
    <w:abstractNumId w:val="7"/>
  </w:num>
  <w:num w:numId="41" w16cid:durableId="21333551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6EC9"/>
    <w:rsid w:val="001373A9"/>
    <w:rsid w:val="001405F5"/>
    <w:rsid w:val="00141050"/>
    <w:rsid w:val="0014155A"/>
    <w:rsid w:val="00141846"/>
    <w:rsid w:val="0014215C"/>
    <w:rsid w:val="001426E4"/>
    <w:rsid w:val="0014307A"/>
    <w:rsid w:val="0014403C"/>
    <w:rsid w:val="00144D0B"/>
    <w:rsid w:val="00146080"/>
    <w:rsid w:val="00147566"/>
    <w:rsid w:val="0015058B"/>
    <w:rsid w:val="001507FD"/>
    <w:rsid w:val="00150A0A"/>
    <w:rsid w:val="00151053"/>
    <w:rsid w:val="00151442"/>
    <w:rsid w:val="00151FBB"/>
    <w:rsid w:val="0015211F"/>
    <w:rsid w:val="00155F96"/>
    <w:rsid w:val="00156408"/>
    <w:rsid w:val="00156A6B"/>
    <w:rsid w:val="00161DF9"/>
    <w:rsid w:val="00161ED0"/>
    <w:rsid w:val="00162CCE"/>
    <w:rsid w:val="00163282"/>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4FA4"/>
    <w:rsid w:val="001A5B3D"/>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4223"/>
    <w:rsid w:val="00264B22"/>
    <w:rsid w:val="002657E2"/>
    <w:rsid w:val="0026609C"/>
    <w:rsid w:val="002705D2"/>
    <w:rsid w:val="002724C3"/>
    <w:rsid w:val="002727CC"/>
    <w:rsid w:val="002734CD"/>
    <w:rsid w:val="00273679"/>
    <w:rsid w:val="00273940"/>
    <w:rsid w:val="00273BA6"/>
    <w:rsid w:val="0028009F"/>
    <w:rsid w:val="00280E27"/>
    <w:rsid w:val="00281735"/>
    <w:rsid w:val="00281A35"/>
    <w:rsid w:val="0028241D"/>
    <w:rsid w:val="00283E90"/>
    <w:rsid w:val="00284144"/>
    <w:rsid w:val="00284486"/>
    <w:rsid w:val="00285644"/>
    <w:rsid w:val="0028581E"/>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3001B5"/>
    <w:rsid w:val="00300A0B"/>
    <w:rsid w:val="00301F46"/>
    <w:rsid w:val="0030387B"/>
    <w:rsid w:val="00303CAD"/>
    <w:rsid w:val="00304689"/>
    <w:rsid w:val="003046FD"/>
    <w:rsid w:val="003053CA"/>
    <w:rsid w:val="00306418"/>
    <w:rsid w:val="003068F2"/>
    <w:rsid w:val="0030726B"/>
    <w:rsid w:val="003100F3"/>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09C1"/>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06C"/>
    <w:rsid w:val="003D3757"/>
    <w:rsid w:val="003D37E4"/>
    <w:rsid w:val="003D3A9C"/>
    <w:rsid w:val="003E1278"/>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4F57"/>
    <w:rsid w:val="00426448"/>
    <w:rsid w:val="00427207"/>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70C3"/>
    <w:rsid w:val="005124DC"/>
    <w:rsid w:val="00512F7F"/>
    <w:rsid w:val="0051401F"/>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7338D"/>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67E2C"/>
    <w:rsid w:val="00671885"/>
    <w:rsid w:val="00673DD4"/>
    <w:rsid w:val="00674AEB"/>
    <w:rsid w:val="006753B0"/>
    <w:rsid w:val="0067635F"/>
    <w:rsid w:val="00676F42"/>
    <w:rsid w:val="00681656"/>
    <w:rsid w:val="00682008"/>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747"/>
    <w:rsid w:val="006C4132"/>
    <w:rsid w:val="006C6F31"/>
    <w:rsid w:val="006C7760"/>
    <w:rsid w:val="006C7EE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4B85"/>
    <w:rsid w:val="00785461"/>
    <w:rsid w:val="00786FF3"/>
    <w:rsid w:val="007875AA"/>
    <w:rsid w:val="007876BC"/>
    <w:rsid w:val="007876CF"/>
    <w:rsid w:val="00787778"/>
    <w:rsid w:val="00793090"/>
    <w:rsid w:val="00795065"/>
    <w:rsid w:val="00796BBC"/>
    <w:rsid w:val="00796F2A"/>
    <w:rsid w:val="0079735A"/>
    <w:rsid w:val="007A0176"/>
    <w:rsid w:val="007A04CE"/>
    <w:rsid w:val="007A2F67"/>
    <w:rsid w:val="007A38C9"/>
    <w:rsid w:val="007A3918"/>
    <w:rsid w:val="007A5707"/>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92C"/>
    <w:rsid w:val="00800FD0"/>
    <w:rsid w:val="00801A43"/>
    <w:rsid w:val="00801BCE"/>
    <w:rsid w:val="00802515"/>
    <w:rsid w:val="0081283F"/>
    <w:rsid w:val="0081480A"/>
    <w:rsid w:val="008202EB"/>
    <w:rsid w:val="0082180A"/>
    <w:rsid w:val="00822BC6"/>
    <w:rsid w:val="008240D3"/>
    <w:rsid w:val="00826491"/>
    <w:rsid w:val="00827F88"/>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1F51"/>
    <w:rsid w:val="00852121"/>
    <w:rsid w:val="0085328D"/>
    <w:rsid w:val="008533DD"/>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9173B"/>
    <w:rsid w:val="00891E76"/>
    <w:rsid w:val="0089220F"/>
    <w:rsid w:val="008935AA"/>
    <w:rsid w:val="00895942"/>
    <w:rsid w:val="008963F0"/>
    <w:rsid w:val="00896C53"/>
    <w:rsid w:val="008A03A5"/>
    <w:rsid w:val="008A0886"/>
    <w:rsid w:val="008A0DF3"/>
    <w:rsid w:val="008A4138"/>
    <w:rsid w:val="008A55C9"/>
    <w:rsid w:val="008A5D96"/>
    <w:rsid w:val="008A631B"/>
    <w:rsid w:val="008A662F"/>
    <w:rsid w:val="008A791B"/>
    <w:rsid w:val="008B1B3B"/>
    <w:rsid w:val="008B3548"/>
    <w:rsid w:val="008B57F8"/>
    <w:rsid w:val="008B5948"/>
    <w:rsid w:val="008B5C43"/>
    <w:rsid w:val="008B5C93"/>
    <w:rsid w:val="008B6848"/>
    <w:rsid w:val="008C2FA1"/>
    <w:rsid w:val="008C483E"/>
    <w:rsid w:val="008C7925"/>
    <w:rsid w:val="008C7D74"/>
    <w:rsid w:val="008D1510"/>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6574"/>
    <w:rsid w:val="00943BCE"/>
    <w:rsid w:val="009519A6"/>
    <w:rsid w:val="009542DA"/>
    <w:rsid w:val="00957104"/>
    <w:rsid w:val="00957CA8"/>
    <w:rsid w:val="00960346"/>
    <w:rsid w:val="009617D3"/>
    <w:rsid w:val="00963DC8"/>
    <w:rsid w:val="0096463B"/>
    <w:rsid w:val="00967869"/>
    <w:rsid w:val="00970475"/>
    <w:rsid w:val="00971F54"/>
    <w:rsid w:val="009725C5"/>
    <w:rsid w:val="00973F40"/>
    <w:rsid w:val="00973FDF"/>
    <w:rsid w:val="009771CD"/>
    <w:rsid w:val="009806E2"/>
    <w:rsid w:val="00983031"/>
    <w:rsid w:val="00983AA1"/>
    <w:rsid w:val="009849EF"/>
    <w:rsid w:val="00984BE6"/>
    <w:rsid w:val="00985347"/>
    <w:rsid w:val="00986DB7"/>
    <w:rsid w:val="00990362"/>
    <w:rsid w:val="009929F6"/>
    <w:rsid w:val="0099315B"/>
    <w:rsid w:val="00993262"/>
    <w:rsid w:val="009934CF"/>
    <w:rsid w:val="00993B80"/>
    <w:rsid w:val="00994D5D"/>
    <w:rsid w:val="00995364"/>
    <w:rsid w:val="00995AD7"/>
    <w:rsid w:val="009972BB"/>
    <w:rsid w:val="009A0D75"/>
    <w:rsid w:val="009A25DD"/>
    <w:rsid w:val="009A32D7"/>
    <w:rsid w:val="009A347A"/>
    <w:rsid w:val="009A50FB"/>
    <w:rsid w:val="009A5876"/>
    <w:rsid w:val="009A620E"/>
    <w:rsid w:val="009A6637"/>
    <w:rsid w:val="009B190E"/>
    <w:rsid w:val="009B548D"/>
    <w:rsid w:val="009B634E"/>
    <w:rsid w:val="009B6578"/>
    <w:rsid w:val="009B6A6F"/>
    <w:rsid w:val="009B6F52"/>
    <w:rsid w:val="009C155B"/>
    <w:rsid w:val="009C1AFE"/>
    <w:rsid w:val="009C3FA3"/>
    <w:rsid w:val="009C4081"/>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7124"/>
    <w:rsid w:val="00A2783A"/>
    <w:rsid w:val="00A27D2B"/>
    <w:rsid w:val="00A301A7"/>
    <w:rsid w:val="00A3043F"/>
    <w:rsid w:val="00A30C34"/>
    <w:rsid w:val="00A30FD3"/>
    <w:rsid w:val="00A31139"/>
    <w:rsid w:val="00A3557F"/>
    <w:rsid w:val="00A35E2F"/>
    <w:rsid w:val="00A36C75"/>
    <w:rsid w:val="00A37891"/>
    <w:rsid w:val="00A404EA"/>
    <w:rsid w:val="00A40A51"/>
    <w:rsid w:val="00A40CAA"/>
    <w:rsid w:val="00A42292"/>
    <w:rsid w:val="00A43CDA"/>
    <w:rsid w:val="00A44B26"/>
    <w:rsid w:val="00A47916"/>
    <w:rsid w:val="00A50746"/>
    <w:rsid w:val="00A509EC"/>
    <w:rsid w:val="00A52B9B"/>
    <w:rsid w:val="00A536DA"/>
    <w:rsid w:val="00A53D89"/>
    <w:rsid w:val="00A571CD"/>
    <w:rsid w:val="00A57C3D"/>
    <w:rsid w:val="00A615DC"/>
    <w:rsid w:val="00A61839"/>
    <w:rsid w:val="00A61E0F"/>
    <w:rsid w:val="00A61F25"/>
    <w:rsid w:val="00A63630"/>
    <w:rsid w:val="00A6494A"/>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90F9B"/>
    <w:rsid w:val="00A92694"/>
    <w:rsid w:val="00A93072"/>
    <w:rsid w:val="00A95108"/>
    <w:rsid w:val="00A9629C"/>
    <w:rsid w:val="00A97737"/>
    <w:rsid w:val="00AA228C"/>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36A2"/>
    <w:rsid w:val="00AF6432"/>
    <w:rsid w:val="00AF673B"/>
    <w:rsid w:val="00AF6B9D"/>
    <w:rsid w:val="00AF75BE"/>
    <w:rsid w:val="00AF79BD"/>
    <w:rsid w:val="00B07F12"/>
    <w:rsid w:val="00B1120B"/>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341"/>
    <w:rsid w:val="00B83524"/>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E30"/>
    <w:rsid w:val="00BB1891"/>
    <w:rsid w:val="00BB27E3"/>
    <w:rsid w:val="00BB375D"/>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C00"/>
    <w:rsid w:val="00C210FD"/>
    <w:rsid w:val="00C21EB2"/>
    <w:rsid w:val="00C22901"/>
    <w:rsid w:val="00C22F6B"/>
    <w:rsid w:val="00C2521B"/>
    <w:rsid w:val="00C25238"/>
    <w:rsid w:val="00C305C8"/>
    <w:rsid w:val="00C305F2"/>
    <w:rsid w:val="00C307AF"/>
    <w:rsid w:val="00C3345C"/>
    <w:rsid w:val="00C33C9A"/>
    <w:rsid w:val="00C3487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67D8"/>
    <w:rsid w:val="00DF72D9"/>
    <w:rsid w:val="00DF7EC8"/>
    <w:rsid w:val="00E028ED"/>
    <w:rsid w:val="00E02A57"/>
    <w:rsid w:val="00E02B6F"/>
    <w:rsid w:val="00E04660"/>
    <w:rsid w:val="00E04BA2"/>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7DDF"/>
    <w:rsid w:val="00E27E01"/>
    <w:rsid w:val="00E30A90"/>
    <w:rsid w:val="00E32DBA"/>
    <w:rsid w:val="00E350F4"/>
    <w:rsid w:val="00E40A82"/>
    <w:rsid w:val="00E41142"/>
    <w:rsid w:val="00E4249F"/>
    <w:rsid w:val="00E43469"/>
    <w:rsid w:val="00E445DA"/>
    <w:rsid w:val="00E45379"/>
    <w:rsid w:val="00E45C35"/>
    <w:rsid w:val="00E47BCB"/>
    <w:rsid w:val="00E50B22"/>
    <w:rsid w:val="00E50C4F"/>
    <w:rsid w:val="00E51E18"/>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2967"/>
    <w:rsid w:val="00E72A19"/>
    <w:rsid w:val="00E74768"/>
    <w:rsid w:val="00E759B2"/>
    <w:rsid w:val="00E770B3"/>
    <w:rsid w:val="00E804F0"/>
    <w:rsid w:val="00E8155D"/>
    <w:rsid w:val="00E829A2"/>
    <w:rsid w:val="00E86361"/>
    <w:rsid w:val="00E90C37"/>
    <w:rsid w:val="00E90EB9"/>
    <w:rsid w:val="00E91F1D"/>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3B88"/>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4A64"/>
    <w:rsid w:val="00EF4D79"/>
    <w:rsid w:val="00EF7891"/>
    <w:rsid w:val="00F00407"/>
    <w:rsid w:val="00F006EA"/>
    <w:rsid w:val="00F02171"/>
    <w:rsid w:val="00F033EF"/>
    <w:rsid w:val="00F061A6"/>
    <w:rsid w:val="00F06BDA"/>
    <w:rsid w:val="00F107AF"/>
    <w:rsid w:val="00F11AB3"/>
    <w:rsid w:val="00F12DD0"/>
    <w:rsid w:val="00F15D77"/>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5243"/>
    <w:rsid w:val="00F35F1D"/>
    <w:rsid w:val="00F4018F"/>
    <w:rsid w:val="00F43E6E"/>
    <w:rsid w:val="00F44363"/>
    <w:rsid w:val="00F44423"/>
    <w:rsid w:val="00F454DD"/>
    <w:rsid w:val="00F469B3"/>
    <w:rsid w:val="00F46DAD"/>
    <w:rsid w:val="00F51236"/>
    <w:rsid w:val="00F5374C"/>
    <w:rsid w:val="00F541B8"/>
    <w:rsid w:val="00F56CC2"/>
    <w:rsid w:val="00F574B4"/>
    <w:rsid w:val="00F574B7"/>
    <w:rsid w:val="00F60BC0"/>
    <w:rsid w:val="00F61B7F"/>
    <w:rsid w:val="00F62370"/>
    <w:rsid w:val="00F628D3"/>
    <w:rsid w:val="00F6497E"/>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72CC"/>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FE7E-402F-40AA-80B0-FA9E9907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4719</Words>
  <Characters>25958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Israel Martinez Serrano</cp:lastModifiedBy>
  <cp:revision>4</cp:revision>
  <cp:lastPrinted>2024-11-15T05:26:00Z</cp:lastPrinted>
  <dcterms:created xsi:type="dcterms:W3CDTF">2024-11-15T05:26:00Z</dcterms:created>
  <dcterms:modified xsi:type="dcterms:W3CDTF">2024-11-28T21:36:00Z</dcterms:modified>
</cp:coreProperties>
</file>