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6BD6" w14:textId="47FE93EB" w:rsidR="00EA0165" w:rsidRPr="005530C7" w:rsidRDefault="00EA0165" w:rsidP="007D751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530C7">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5530C7">
        <w:rPr>
          <w:rFonts w:ascii="Palatino Linotype" w:eastAsiaTheme="minorEastAsia" w:hAnsi="Palatino Linotype" w:cstheme="minorBidi"/>
          <w:color w:val="000000" w:themeColor="text1"/>
          <w:lang w:val="es-ES_tradnl"/>
        </w:rPr>
        <w:t xml:space="preserve">n Metepec, Estado </w:t>
      </w:r>
      <w:r w:rsidR="00DE5D2B" w:rsidRPr="005530C7">
        <w:rPr>
          <w:rFonts w:ascii="Palatino Linotype" w:eastAsiaTheme="minorEastAsia" w:hAnsi="Palatino Linotype" w:cstheme="minorBidi"/>
          <w:color w:val="000000" w:themeColor="text1"/>
          <w:lang w:val="es-ES_tradnl"/>
        </w:rPr>
        <w:t xml:space="preserve">de México; de </w:t>
      </w:r>
      <w:r w:rsidR="00A85136">
        <w:rPr>
          <w:rFonts w:ascii="Palatino Linotype" w:eastAsiaTheme="minorEastAsia" w:hAnsi="Palatino Linotype" w:cstheme="minorBidi"/>
          <w:color w:val="000000" w:themeColor="text1"/>
          <w:lang w:val="es-ES_tradnl"/>
        </w:rPr>
        <w:t xml:space="preserve">diecisiete </w:t>
      </w:r>
      <w:r w:rsidR="00F00223">
        <w:rPr>
          <w:rFonts w:ascii="Palatino Linotype" w:eastAsiaTheme="minorEastAsia" w:hAnsi="Palatino Linotype" w:cstheme="minorBidi"/>
          <w:color w:val="000000" w:themeColor="text1"/>
          <w:lang w:val="es-ES_tradnl"/>
        </w:rPr>
        <w:t xml:space="preserve">(17) </w:t>
      </w:r>
      <w:r w:rsidR="00A85136">
        <w:rPr>
          <w:rFonts w:ascii="Palatino Linotype" w:eastAsiaTheme="minorEastAsia" w:hAnsi="Palatino Linotype" w:cstheme="minorBidi"/>
          <w:color w:val="000000" w:themeColor="text1"/>
          <w:lang w:val="es-ES_tradnl"/>
        </w:rPr>
        <w:t>de enero de dos mil veinticuatro</w:t>
      </w:r>
      <w:r w:rsidRPr="005530C7">
        <w:rPr>
          <w:rFonts w:ascii="Palatino Linotype" w:eastAsiaTheme="minorEastAsia" w:hAnsi="Palatino Linotype" w:cstheme="minorBidi"/>
          <w:color w:val="000000" w:themeColor="text1"/>
          <w:lang w:val="es-ES_tradnl"/>
        </w:rPr>
        <w:t xml:space="preserve">. </w:t>
      </w:r>
    </w:p>
    <w:p w14:paraId="6A5D18FF" w14:textId="305A15E0" w:rsidR="00DE5D2B" w:rsidRPr="005530C7" w:rsidRDefault="00DE5D2B" w:rsidP="007D7513">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5530C7">
        <w:rPr>
          <w:rFonts w:ascii="Palatino Linotype" w:eastAsiaTheme="minorEastAsia" w:hAnsi="Palatino Linotype" w:cstheme="minorBidi"/>
          <w:b/>
          <w:color w:val="000000" w:themeColor="text1"/>
          <w:lang w:val="es-ES_tradnl"/>
        </w:rPr>
        <w:t>VISTO</w:t>
      </w:r>
      <w:r w:rsidR="003060A1" w:rsidRPr="005530C7">
        <w:rPr>
          <w:rFonts w:ascii="Palatino Linotype" w:eastAsiaTheme="minorEastAsia" w:hAnsi="Palatino Linotype" w:cstheme="minorBidi"/>
          <w:color w:val="000000" w:themeColor="text1"/>
          <w:lang w:val="es-ES_tradnl"/>
        </w:rPr>
        <w:t xml:space="preserve"> </w:t>
      </w:r>
      <w:r w:rsidR="00DF76A4">
        <w:rPr>
          <w:rFonts w:ascii="Palatino Linotype" w:eastAsiaTheme="minorEastAsia" w:hAnsi="Palatino Linotype" w:cstheme="minorBidi"/>
          <w:color w:val="000000" w:themeColor="text1"/>
          <w:lang w:val="es-ES_tradnl"/>
        </w:rPr>
        <w:t>el</w:t>
      </w:r>
      <w:r w:rsidRPr="005530C7">
        <w:rPr>
          <w:rFonts w:ascii="Palatino Linotype" w:eastAsiaTheme="minorEastAsia" w:hAnsi="Palatino Linotype" w:cstheme="minorBidi"/>
          <w:color w:val="000000" w:themeColor="text1"/>
          <w:lang w:val="es-ES_tradnl"/>
        </w:rPr>
        <w:t xml:space="preserve"> expediente electrónico</w:t>
      </w:r>
      <w:r w:rsidR="00DF76A4">
        <w:rPr>
          <w:rFonts w:ascii="Palatino Linotype" w:eastAsiaTheme="minorEastAsia" w:hAnsi="Palatino Linotype" w:cstheme="minorBidi"/>
          <w:color w:val="000000" w:themeColor="text1"/>
          <w:lang w:val="es-ES_tradnl"/>
        </w:rPr>
        <w:t xml:space="preserve"> </w:t>
      </w:r>
      <w:r w:rsidR="003060A1" w:rsidRPr="005530C7">
        <w:rPr>
          <w:rFonts w:ascii="Palatino Linotype" w:eastAsiaTheme="minorEastAsia" w:hAnsi="Palatino Linotype" w:cstheme="minorBidi"/>
          <w:color w:val="000000" w:themeColor="text1"/>
          <w:lang w:val="es-ES_tradnl"/>
        </w:rPr>
        <w:t>formad</w:t>
      </w:r>
      <w:r w:rsidR="00DF76A4">
        <w:rPr>
          <w:rFonts w:ascii="Palatino Linotype" w:eastAsiaTheme="minorEastAsia" w:hAnsi="Palatino Linotype" w:cstheme="minorBidi"/>
          <w:color w:val="000000" w:themeColor="text1"/>
          <w:lang w:val="es-ES_tradnl"/>
        </w:rPr>
        <w:t>o</w:t>
      </w:r>
      <w:r w:rsidR="003060A1" w:rsidRPr="005530C7">
        <w:rPr>
          <w:rFonts w:ascii="Palatino Linotype" w:eastAsiaTheme="minorEastAsia" w:hAnsi="Palatino Linotype" w:cstheme="minorBidi"/>
          <w:color w:val="000000" w:themeColor="text1"/>
          <w:lang w:val="es-ES_tradnl"/>
        </w:rPr>
        <w:t xml:space="preserve"> </w:t>
      </w:r>
      <w:r w:rsidRPr="005530C7">
        <w:rPr>
          <w:rFonts w:ascii="Palatino Linotype" w:eastAsiaTheme="minorEastAsia" w:hAnsi="Palatino Linotype" w:cstheme="minorBidi"/>
          <w:color w:val="000000" w:themeColor="text1"/>
          <w:lang w:val="es-ES_tradnl"/>
        </w:rPr>
        <w:t>con motivo de</w:t>
      </w:r>
      <w:r w:rsidR="00DF76A4">
        <w:rPr>
          <w:rFonts w:ascii="Palatino Linotype" w:eastAsiaTheme="minorEastAsia" w:hAnsi="Palatino Linotype" w:cstheme="minorBidi"/>
          <w:color w:val="000000" w:themeColor="text1"/>
          <w:lang w:val="es-ES_tradnl"/>
        </w:rPr>
        <w:t>l</w:t>
      </w:r>
      <w:r w:rsidR="003060A1" w:rsidRPr="005530C7">
        <w:rPr>
          <w:rFonts w:ascii="Palatino Linotype" w:eastAsiaTheme="minorEastAsia" w:hAnsi="Palatino Linotype" w:cstheme="minorBidi"/>
          <w:color w:val="000000" w:themeColor="text1"/>
          <w:lang w:val="es-ES_tradnl"/>
        </w:rPr>
        <w:t xml:space="preserve"> recurso</w:t>
      </w:r>
      <w:r w:rsidR="00DF76A4">
        <w:rPr>
          <w:rFonts w:ascii="Palatino Linotype" w:eastAsiaTheme="minorEastAsia" w:hAnsi="Palatino Linotype" w:cstheme="minorBidi"/>
          <w:color w:val="000000" w:themeColor="text1"/>
          <w:lang w:val="es-ES_tradnl"/>
        </w:rPr>
        <w:t xml:space="preserve"> </w:t>
      </w:r>
      <w:r w:rsidRPr="005530C7">
        <w:rPr>
          <w:rFonts w:ascii="Palatino Linotype" w:eastAsiaTheme="minorEastAsia" w:hAnsi="Palatino Linotype" w:cstheme="minorBidi"/>
          <w:color w:val="000000" w:themeColor="text1"/>
          <w:lang w:val="es-ES_tradnl"/>
        </w:rPr>
        <w:t xml:space="preserve">de revisión </w:t>
      </w:r>
      <w:r w:rsidR="00A85136">
        <w:rPr>
          <w:rFonts w:ascii="Palatino Linotype" w:eastAsiaTheme="minorEastAsia" w:hAnsi="Palatino Linotype" w:cstheme="minorBidi"/>
          <w:b/>
          <w:bCs/>
          <w:color w:val="000000" w:themeColor="text1"/>
          <w:lang w:val="es-MX"/>
        </w:rPr>
        <w:t>06278</w:t>
      </w:r>
      <w:r w:rsidRPr="005530C7">
        <w:rPr>
          <w:rFonts w:ascii="Palatino Linotype" w:eastAsiaTheme="minorEastAsia" w:hAnsi="Palatino Linotype" w:cstheme="minorBidi"/>
          <w:b/>
          <w:bCs/>
          <w:color w:val="000000" w:themeColor="text1"/>
          <w:lang w:val="es-MX"/>
        </w:rPr>
        <w:t>/INFOEM/IP/RR/2022</w:t>
      </w:r>
      <w:r w:rsidR="00DF76A4">
        <w:rPr>
          <w:rFonts w:ascii="Palatino Linotype" w:eastAsiaTheme="minorEastAsia" w:hAnsi="Palatino Linotype" w:cstheme="minorBidi"/>
          <w:b/>
          <w:bCs/>
          <w:color w:val="000000" w:themeColor="text1"/>
          <w:lang w:val="es-MX"/>
        </w:rPr>
        <w:t xml:space="preserve"> </w:t>
      </w:r>
      <w:r w:rsidRPr="005530C7">
        <w:rPr>
          <w:rFonts w:ascii="Palatino Linotype" w:eastAsiaTheme="minorEastAsia" w:hAnsi="Palatino Linotype" w:cstheme="minorBidi"/>
          <w:color w:val="000000" w:themeColor="text1"/>
          <w:lang w:val="es-ES_tradnl"/>
        </w:rPr>
        <w:t>promovido</w:t>
      </w:r>
      <w:r w:rsidR="00DF76A4">
        <w:rPr>
          <w:rFonts w:ascii="Palatino Linotype" w:eastAsiaTheme="minorEastAsia" w:hAnsi="Palatino Linotype" w:cstheme="minorBidi"/>
          <w:color w:val="000000" w:themeColor="text1"/>
          <w:lang w:val="es-ES_tradnl"/>
        </w:rPr>
        <w:t xml:space="preserve"> por </w:t>
      </w:r>
      <w:r w:rsidR="00CE21A0">
        <w:rPr>
          <w:rFonts w:ascii="Palatino Linotype" w:eastAsiaTheme="minorEastAsia" w:hAnsi="Palatino Linotype" w:cstheme="minorBidi"/>
          <w:b/>
          <w:bCs/>
          <w:color w:val="000000" w:themeColor="text1"/>
          <w:lang w:val="es-ES_tradnl"/>
        </w:rPr>
        <w:t xml:space="preserve">XXX </w:t>
      </w:r>
      <w:proofErr w:type="spellStart"/>
      <w:r w:rsidR="00CE21A0">
        <w:rPr>
          <w:rFonts w:ascii="Palatino Linotype" w:eastAsiaTheme="minorEastAsia" w:hAnsi="Palatino Linotype" w:cstheme="minorBidi"/>
          <w:b/>
          <w:bCs/>
          <w:color w:val="000000" w:themeColor="text1"/>
          <w:lang w:val="es-ES_tradnl"/>
        </w:rPr>
        <w:t>XXX</w:t>
      </w:r>
      <w:proofErr w:type="spellEnd"/>
      <w:r w:rsidR="00CE21A0">
        <w:rPr>
          <w:rFonts w:ascii="Palatino Linotype" w:eastAsiaTheme="minorEastAsia" w:hAnsi="Palatino Linotype" w:cstheme="minorBidi"/>
          <w:b/>
          <w:bCs/>
          <w:color w:val="000000" w:themeColor="text1"/>
          <w:lang w:val="es-ES_tradnl"/>
        </w:rPr>
        <w:t xml:space="preserve"> </w:t>
      </w:r>
      <w:proofErr w:type="spellStart"/>
      <w:r w:rsidR="00CE21A0">
        <w:rPr>
          <w:rFonts w:ascii="Palatino Linotype" w:eastAsiaTheme="minorEastAsia" w:hAnsi="Palatino Linotype" w:cstheme="minorBidi"/>
          <w:b/>
          <w:bCs/>
          <w:color w:val="000000" w:themeColor="text1"/>
          <w:lang w:val="es-ES_tradnl"/>
        </w:rPr>
        <w:t>XXX</w:t>
      </w:r>
      <w:proofErr w:type="spellEnd"/>
      <w:r w:rsidRPr="005530C7">
        <w:rPr>
          <w:rFonts w:ascii="Palatino Linotype" w:eastAsiaTheme="minorEastAsia" w:hAnsi="Palatino Linotype" w:cstheme="minorBidi"/>
          <w:b/>
          <w:color w:val="000000" w:themeColor="text1"/>
          <w:lang w:val="es-ES_tradnl"/>
        </w:rPr>
        <w:t xml:space="preserve">, </w:t>
      </w:r>
      <w:r w:rsidRPr="005530C7">
        <w:rPr>
          <w:rFonts w:ascii="Palatino Linotype" w:eastAsiaTheme="minorEastAsia" w:hAnsi="Palatino Linotype" w:cstheme="minorBidi"/>
          <w:color w:val="000000" w:themeColor="text1"/>
          <w:lang w:val="es-ES_tradnl"/>
        </w:rPr>
        <w:t xml:space="preserve">quien en lo sucesivo será identificado en su calidad de </w:t>
      </w:r>
      <w:r w:rsidRPr="005530C7">
        <w:rPr>
          <w:rFonts w:ascii="Palatino Linotype" w:eastAsiaTheme="minorEastAsia" w:hAnsi="Palatino Linotype" w:cstheme="minorBidi"/>
          <w:b/>
          <w:color w:val="000000" w:themeColor="text1"/>
          <w:lang w:val="es-ES_tradnl"/>
        </w:rPr>
        <w:t>RECURRENTE</w:t>
      </w:r>
      <w:r w:rsidRPr="005530C7">
        <w:rPr>
          <w:rFonts w:ascii="Palatino Linotype" w:eastAsiaTheme="minorEastAsia" w:hAnsi="Palatino Linotype" w:cstheme="minorBidi"/>
          <w:color w:val="000000" w:themeColor="text1"/>
          <w:lang w:val="es-ES_tradnl"/>
        </w:rPr>
        <w:t>, en contra de la</w:t>
      </w:r>
      <w:r w:rsidR="005D5A01" w:rsidRPr="005530C7">
        <w:rPr>
          <w:rFonts w:ascii="Palatino Linotype" w:eastAsiaTheme="minorEastAsia" w:hAnsi="Palatino Linotype" w:cstheme="minorBidi"/>
          <w:color w:val="000000" w:themeColor="text1"/>
          <w:lang w:val="es-ES_tradnl"/>
        </w:rPr>
        <w:t>s</w:t>
      </w:r>
      <w:r w:rsidRPr="005530C7">
        <w:rPr>
          <w:rFonts w:ascii="Palatino Linotype" w:eastAsiaTheme="minorEastAsia" w:hAnsi="Palatino Linotype" w:cstheme="minorBidi"/>
          <w:color w:val="000000" w:themeColor="text1"/>
          <w:lang w:val="es-ES_tradnl"/>
        </w:rPr>
        <w:t xml:space="preserve"> respuesta</w:t>
      </w:r>
      <w:r w:rsidR="005D5A01" w:rsidRPr="005530C7">
        <w:rPr>
          <w:rFonts w:ascii="Palatino Linotype" w:eastAsiaTheme="minorEastAsia" w:hAnsi="Palatino Linotype" w:cstheme="minorBidi"/>
          <w:color w:val="000000" w:themeColor="text1"/>
          <w:lang w:val="es-ES_tradnl"/>
        </w:rPr>
        <w:t>s</w:t>
      </w:r>
      <w:r w:rsidR="00A85136">
        <w:rPr>
          <w:rFonts w:ascii="Palatino Linotype" w:eastAsiaTheme="minorEastAsia" w:hAnsi="Palatino Linotype" w:cstheme="minorBidi"/>
          <w:color w:val="000000" w:themeColor="text1"/>
          <w:lang w:val="es-ES_tradnl"/>
        </w:rPr>
        <w:t xml:space="preserve"> de la </w:t>
      </w:r>
      <w:r w:rsidR="00A85136" w:rsidRPr="00A85136">
        <w:rPr>
          <w:rFonts w:ascii="Palatino Linotype" w:eastAsiaTheme="minorEastAsia" w:hAnsi="Palatino Linotype" w:cstheme="minorBidi"/>
          <w:b/>
          <w:color w:val="000000" w:themeColor="text1"/>
          <w:lang w:val="es-ES_tradnl"/>
        </w:rPr>
        <w:t>Secretaría de Desarrollo Urbano</w:t>
      </w:r>
      <w:r w:rsidR="00DD67D8">
        <w:rPr>
          <w:rFonts w:ascii="Palatino Linotype" w:eastAsiaTheme="minorEastAsia" w:hAnsi="Palatino Linotype" w:cstheme="minorBidi"/>
          <w:b/>
          <w:color w:val="000000" w:themeColor="text1"/>
          <w:lang w:val="es-ES_tradnl"/>
        </w:rPr>
        <w:t xml:space="preserve"> y Obra</w:t>
      </w:r>
      <w:r w:rsidR="00A85136" w:rsidRPr="00A85136">
        <w:rPr>
          <w:rFonts w:ascii="Palatino Linotype" w:eastAsiaTheme="minorEastAsia" w:hAnsi="Palatino Linotype" w:cstheme="minorBidi"/>
          <w:b/>
          <w:color w:val="000000" w:themeColor="text1"/>
          <w:lang w:val="es-ES_tradnl"/>
        </w:rPr>
        <w:t xml:space="preserve"> </w:t>
      </w:r>
      <w:r w:rsidRPr="005530C7">
        <w:rPr>
          <w:rFonts w:ascii="Palatino Linotype" w:eastAsiaTheme="minorEastAsia" w:hAnsi="Palatino Linotype" w:cstheme="minorBidi"/>
          <w:color w:val="000000" w:themeColor="text1"/>
          <w:lang w:val="es-ES_tradnl"/>
        </w:rPr>
        <w:t>en lo</w:t>
      </w:r>
      <w:r w:rsidRPr="005530C7">
        <w:rPr>
          <w:rFonts w:ascii="Palatino Linotype" w:eastAsiaTheme="minorEastAsia" w:hAnsi="Palatino Linotype" w:cstheme="minorBidi"/>
          <w:b/>
          <w:color w:val="000000" w:themeColor="text1"/>
          <w:lang w:val="es-ES_tradnl"/>
        </w:rPr>
        <w:t xml:space="preserve"> </w:t>
      </w:r>
      <w:r w:rsidRPr="005530C7">
        <w:rPr>
          <w:rFonts w:ascii="Palatino Linotype" w:eastAsiaTheme="minorEastAsia" w:hAnsi="Palatino Linotype" w:cstheme="minorBidi"/>
          <w:color w:val="000000" w:themeColor="text1"/>
          <w:lang w:val="es-ES_tradnl"/>
        </w:rPr>
        <w:t>sucesivo el</w:t>
      </w:r>
      <w:r w:rsidRPr="005530C7">
        <w:rPr>
          <w:rFonts w:ascii="Palatino Linotype" w:eastAsiaTheme="minorEastAsia" w:hAnsi="Palatino Linotype" w:cstheme="minorBidi"/>
          <w:b/>
          <w:color w:val="000000" w:themeColor="text1"/>
          <w:lang w:val="es-ES_tradnl"/>
        </w:rPr>
        <w:t xml:space="preserve"> SUJETO OBLIGADO, </w:t>
      </w:r>
      <w:r w:rsidRPr="005530C7">
        <w:rPr>
          <w:rFonts w:ascii="Palatino Linotype" w:eastAsiaTheme="minorEastAsia" w:hAnsi="Palatino Linotype" w:cstheme="minorBidi"/>
          <w:color w:val="000000" w:themeColor="text1"/>
          <w:lang w:val="es-ES_tradnl"/>
        </w:rPr>
        <w:t>se procede a dictar la presente resolución, con base en los siguientes:</w:t>
      </w:r>
    </w:p>
    <w:p w14:paraId="64D30E95" w14:textId="2F57A823" w:rsidR="00F216D7" w:rsidRPr="005530C7" w:rsidRDefault="00EA0165" w:rsidP="007D7513">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10984899"/>
      <w:r w:rsidRPr="005530C7">
        <w:rPr>
          <w:rFonts w:ascii="Palatino Linotype" w:hAnsi="Palatino Linotype"/>
          <w:b/>
          <w:color w:val="000000" w:themeColor="text1"/>
          <w:sz w:val="24"/>
          <w:szCs w:val="24"/>
          <w:lang w:val="es-MX" w:eastAsia="en-US"/>
        </w:rPr>
        <w:t>ANTECEDENTES</w:t>
      </w:r>
      <w:bookmarkEnd w:id="0"/>
      <w:bookmarkEnd w:id="1"/>
      <w:bookmarkEnd w:id="2"/>
      <w:bookmarkEnd w:id="3"/>
    </w:p>
    <w:p w14:paraId="456A94C1" w14:textId="2B87B324" w:rsidR="00326CA9" w:rsidRDefault="00EA0165" w:rsidP="00DF76A4">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5530C7">
        <w:rPr>
          <w:rFonts w:ascii="Palatino Linotype" w:eastAsia="Calibri" w:hAnsi="Palatino Linotype" w:cs="Arial"/>
          <w:color w:val="000000" w:themeColor="text1"/>
        </w:rPr>
        <w:t>El</w:t>
      </w:r>
      <w:r w:rsidR="00DE5D2B" w:rsidRPr="005530C7">
        <w:rPr>
          <w:rFonts w:ascii="Palatino Linotype" w:eastAsia="Calibri" w:hAnsi="Palatino Linotype" w:cs="Arial"/>
          <w:color w:val="000000" w:themeColor="text1"/>
        </w:rPr>
        <w:t xml:space="preserve"> </w:t>
      </w:r>
      <w:r w:rsidR="00A85136">
        <w:rPr>
          <w:rFonts w:ascii="Palatino Linotype" w:eastAsia="Calibri" w:hAnsi="Palatino Linotype" w:cs="Arial"/>
          <w:color w:val="000000" w:themeColor="text1"/>
        </w:rPr>
        <w:t xml:space="preserve">treinta de marzo </w:t>
      </w:r>
      <w:r w:rsidRPr="005530C7">
        <w:rPr>
          <w:rFonts w:ascii="Palatino Linotype" w:eastAsia="Calibri" w:hAnsi="Palatino Linotype" w:cs="Arial"/>
          <w:color w:val="000000" w:themeColor="text1"/>
        </w:rPr>
        <w:t xml:space="preserve">de dos mil </w:t>
      </w:r>
      <w:r w:rsidR="003915BA" w:rsidRPr="005530C7">
        <w:rPr>
          <w:rFonts w:ascii="Palatino Linotype" w:eastAsia="Calibri" w:hAnsi="Palatino Linotype" w:cs="Arial"/>
          <w:color w:val="000000" w:themeColor="text1"/>
        </w:rPr>
        <w:t>veinti</w:t>
      </w:r>
      <w:r w:rsidR="00DF76A4">
        <w:rPr>
          <w:rFonts w:ascii="Palatino Linotype" w:eastAsia="Calibri" w:hAnsi="Palatino Linotype" w:cs="Arial"/>
          <w:color w:val="000000" w:themeColor="text1"/>
        </w:rPr>
        <w:t>dós</w:t>
      </w:r>
      <w:r w:rsidRPr="005530C7">
        <w:rPr>
          <w:rFonts w:ascii="Palatino Linotype" w:eastAsia="Calibri" w:hAnsi="Palatino Linotype" w:cs="Arial"/>
          <w:color w:val="000000" w:themeColor="text1"/>
        </w:rPr>
        <w:t xml:space="preserve">, </w:t>
      </w:r>
      <w:r w:rsidRPr="005530C7">
        <w:rPr>
          <w:rFonts w:ascii="Palatino Linotype" w:eastAsiaTheme="minorEastAsia" w:hAnsi="Palatino Linotype" w:cstheme="minorBidi"/>
          <w:color w:val="000000" w:themeColor="text1"/>
          <w:lang w:val="es-ES_tradnl"/>
        </w:rPr>
        <w:t xml:space="preserve">el </w:t>
      </w:r>
      <w:r w:rsidR="00A85136" w:rsidRPr="00A85136">
        <w:rPr>
          <w:rFonts w:ascii="Palatino Linotype" w:eastAsiaTheme="minorEastAsia" w:hAnsi="Palatino Linotype" w:cstheme="minorBidi"/>
          <w:b/>
          <w:color w:val="000000" w:themeColor="text1"/>
          <w:lang w:val="es-ES_tradnl"/>
        </w:rPr>
        <w:t>RECURRENTE</w:t>
      </w:r>
      <w:r w:rsidRPr="005530C7">
        <w:rPr>
          <w:rFonts w:ascii="Palatino Linotype" w:eastAsiaTheme="minorEastAsia" w:hAnsi="Palatino Linotype" w:cstheme="minorBidi"/>
          <w:color w:val="000000" w:themeColor="text1"/>
          <w:lang w:val="es-ES_tradnl"/>
        </w:rPr>
        <w:t xml:space="preserve"> presentó</w:t>
      </w:r>
      <w:r w:rsidRPr="005530C7">
        <w:rPr>
          <w:rFonts w:ascii="Palatino Linotype" w:eastAsiaTheme="minorEastAsia" w:hAnsi="Palatino Linotype" w:cstheme="minorBidi"/>
          <w:b/>
          <w:color w:val="000000" w:themeColor="text1"/>
          <w:lang w:val="es-ES_tradnl"/>
        </w:rPr>
        <w:t xml:space="preserve"> </w:t>
      </w:r>
      <w:r w:rsidR="00936BED" w:rsidRPr="005530C7">
        <w:rPr>
          <w:rFonts w:ascii="Palatino Linotype" w:eastAsiaTheme="minorEastAsia" w:hAnsi="Palatino Linotype" w:cstheme="minorBidi"/>
          <w:bCs/>
          <w:color w:val="000000" w:themeColor="text1"/>
          <w:lang w:val="es-ES_tradnl"/>
        </w:rPr>
        <w:t>a través de</w:t>
      </w:r>
      <w:r w:rsidR="00923BD9" w:rsidRPr="005530C7">
        <w:rPr>
          <w:rFonts w:ascii="Palatino Linotype" w:eastAsiaTheme="minorEastAsia" w:hAnsi="Palatino Linotype" w:cstheme="minorBidi"/>
          <w:bCs/>
          <w:color w:val="000000" w:themeColor="text1"/>
          <w:lang w:val="es-ES_tradnl"/>
        </w:rPr>
        <w:t>l</w:t>
      </w:r>
      <w:r w:rsidR="00923BD9" w:rsidRPr="005530C7">
        <w:rPr>
          <w:rFonts w:ascii="Palatino Linotype" w:eastAsia="Calibri" w:hAnsi="Palatino Linotype" w:cs="Arial"/>
          <w:color w:val="000000" w:themeColor="text1"/>
        </w:rPr>
        <w:t xml:space="preserve"> </w:t>
      </w:r>
      <w:r w:rsidR="00923BD9" w:rsidRPr="005530C7">
        <w:rPr>
          <w:rFonts w:ascii="Palatino Linotype" w:eastAsiaTheme="minorEastAsia" w:hAnsi="Palatino Linotype" w:cstheme="minorBidi"/>
          <w:bCs/>
          <w:color w:val="000000" w:themeColor="text1"/>
        </w:rPr>
        <w:t xml:space="preserve">Sistema de Acceso a la Información Mexiquense </w:t>
      </w:r>
      <w:r w:rsidR="00923BD9" w:rsidRPr="005530C7">
        <w:rPr>
          <w:rFonts w:ascii="Palatino Linotype" w:eastAsiaTheme="minorEastAsia" w:hAnsi="Palatino Linotype" w:cstheme="minorBidi"/>
          <w:b/>
          <w:bCs/>
          <w:color w:val="000000" w:themeColor="text1"/>
        </w:rPr>
        <w:t>(SAIMEX)</w:t>
      </w:r>
      <w:r w:rsidRPr="005530C7">
        <w:rPr>
          <w:rFonts w:ascii="Palatino Linotype" w:eastAsia="Calibri" w:hAnsi="Palatino Linotype" w:cs="Arial"/>
          <w:b/>
          <w:color w:val="000000" w:themeColor="text1"/>
        </w:rPr>
        <w:t xml:space="preserve">, </w:t>
      </w:r>
      <w:r w:rsidRPr="005530C7">
        <w:rPr>
          <w:rFonts w:ascii="Palatino Linotype" w:eastAsia="Calibri" w:hAnsi="Palatino Linotype" w:cs="Arial"/>
          <w:color w:val="000000" w:themeColor="text1"/>
        </w:rPr>
        <w:t>la solicitud de información pública registrada con el número</w:t>
      </w:r>
      <w:r w:rsidR="00716B3E" w:rsidRPr="005530C7">
        <w:rPr>
          <w:rFonts w:ascii="Palatino Linotype" w:eastAsia="Calibri" w:hAnsi="Palatino Linotype" w:cs="Arial"/>
          <w:color w:val="000000" w:themeColor="text1"/>
        </w:rPr>
        <w:t xml:space="preserve"> </w:t>
      </w:r>
      <w:r w:rsidR="00A85136">
        <w:rPr>
          <w:rFonts w:ascii="Palatino Linotype" w:eastAsia="Calibri" w:hAnsi="Palatino Linotype" w:cs="Arial"/>
          <w:b/>
          <w:color w:val="000000" w:themeColor="text1"/>
        </w:rPr>
        <w:t>00119</w:t>
      </w:r>
      <w:r w:rsidR="00EB3BC7" w:rsidRPr="005530C7">
        <w:rPr>
          <w:rFonts w:ascii="Palatino Linotype" w:eastAsia="Calibri" w:hAnsi="Palatino Linotype" w:cs="Arial"/>
          <w:b/>
          <w:color w:val="000000" w:themeColor="text1"/>
        </w:rPr>
        <w:t>/</w:t>
      </w:r>
      <w:r w:rsidR="00A85136">
        <w:rPr>
          <w:rFonts w:ascii="Palatino Linotype" w:eastAsia="Calibri" w:hAnsi="Palatino Linotype" w:cs="Arial"/>
          <w:b/>
          <w:color w:val="000000" w:themeColor="text1"/>
        </w:rPr>
        <w:t>SEUDO</w:t>
      </w:r>
      <w:r w:rsidR="00EB3BC7" w:rsidRPr="005530C7">
        <w:rPr>
          <w:rFonts w:ascii="Palatino Linotype" w:eastAsia="Calibri" w:hAnsi="Palatino Linotype" w:cs="Arial"/>
          <w:b/>
          <w:color w:val="000000" w:themeColor="text1"/>
        </w:rPr>
        <w:t>/IP/2022</w:t>
      </w:r>
      <w:r w:rsidR="00EB3BC7" w:rsidRPr="005530C7">
        <w:rPr>
          <w:rFonts w:ascii="Palatino Linotype" w:eastAsia="Calibri" w:hAnsi="Palatino Linotype" w:cs="Arial"/>
          <w:color w:val="000000" w:themeColor="text1"/>
        </w:rPr>
        <w:t xml:space="preserve"> </w:t>
      </w:r>
      <w:r w:rsidRPr="005530C7">
        <w:rPr>
          <w:rFonts w:ascii="Palatino Linotype" w:eastAsia="Calibri" w:hAnsi="Palatino Linotype" w:cs="Arial"/>
          <w:color w:val="000000" w:themeColor="text1"/>
        </w:rPr>
        <w:t>mediante la cual requirió:</w:t>
      </w:r>
    </w:p>
    <w:p w14:paraId="47E6AE90" w14:textId="77777777" w:rsidR="00DF76A4" w:rsidRPr="00DF76A4" w:rsidRDefault="00DF76A4" w:rsidP="00DF76A4">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p w14:paraId="1046CCE1" w14:textId="73049EA2" w:rsidR="00A415DB" w:rsidRPr="00A85136" w:rsidRDefault="00EB3BC7" w:rsidP="00A85136">
      <w:pPr>
        <w:tabs>
          <w:tab w:val="left" w:pos="426"/>
        </w:tabs>
        <w:spacing w:before="240" w:after="240"/>
        <w:ind w:left="567" w:right="616"/>
        <w:contextualSpacing/>
        <w:jc w:val="both"/>
        <w:rPr>
          <w:rFonts w:ascii="Palatino Linotype" w:eastAsia="Calibri" w:hAnsi="Palatino Linotype" w:cs="Arial"/>
          <w:i/>
          <w:color w:val="000000" w:themeColor="text1"/>
          <w:sz w:val="22"/>
          <w:szCs w:val="22"/>
        </w:rPr>
      </w:pPr>
      <w:r w:rsidRPr="00A85136">
        <w:rPr>
          <w:rFonts w:ascii="Palatino Linotype" w:eastAsia="Calibri" w:hAnsi="Palatino Linotype" w:cs="Arial"/>
          <w:i/>
          <w:color w:val="000000" w:themeColor="text1"/>
          <w:sz w:val="22"/>
          <w:szCs w:val="22"/>
        </w:rPr>
        <w:t>“</w:t>
      </w:r>
      <w:r w:rsidR="00A85136" w:rsidRPr="00A85136">
        <w:rPr>
          <w:rFonts w:ascii="Palatino Linotype" w:hAnsi="Palatino Linotype"/>
          <w:i/>
          <w:color w:val="000000"/>
          <w:sz w:val="22"/>
          <w:szCs w:val="22"/>
        </w:rPr>
        <w:t>Solicito se me informen el número total de recursos administrativo de inconformidad interpuestos en contra de las respuestas emitidas por ese Sujeto Obligado por la improcedencia o negativa de autorización y/o emisión del dictamen de viabilidad o autorización de condominio en el año de 2021; así como el número del expediente que conformó el recurso administrativo de inconformidad. Para facilitar la búsqueda de la información que corresponda a solicitudes formuladas de predios ubicados en la Delegación de San Mateo Oxtotitlán, en el Municipio de Toluca.</w:t>
      </w:r>
      <w:r w:rsidRPr="00A85136">
        <w:rPr>
          <w:rFonts w:ascii="Palatino Linotype" w:eastAsia="Calibri" w:hAnsi="Palatino Linotype" w:cs="Arial"/>
          <w:i/>
          <w:color w:val="000000" w:themeColor="text1"/>
          <w:sz w:val="22"/>
          <w:szCs w:val="22"/>
        </w:rPr>
        <w:t>” (Sic)</w:t>
      </w:r>
    </w:p>
    <w:p w14:paraId="347DA484" w14:textId="77777777" w:rsidR="00DF76A4" w:rsidRPr="00DF76A4" w:rsidRDefault="00DF76A4" w:rsidP="00DF76A4">
      <w:pPr>
        <w:tabs>
          <w:tab w:val="left" w:pos="426"/>
        </w:tabs>
        <w:spacing w:before="240" w:after="240" w:line="360" w:lineRule="auto"/>
        <w:ind w:right="918"/>
        <w:contextualSpacing/>
        <w:jc w:val="both"/>
        <w:rPr>
          <w:rFonts w:ascii="Palatino Linotype" w:eastAsia="Calibri" w:hAnsi="Palatino Linotype" w:cs="Arial"/>
          <w:color w:val="000000" w:themeColor="text1"/>
        </w:rPr>
      </w:pPr>
    </w:p>
    <w:p w14:paraId="4B88193A" w14:textId="34EA1FCA" w:rsidR="00B91B42" w:rsidRPr="005530C7" w:rsidRDefault="00923BD9" w:rsidP="00B91B42">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5530C7">
        <w:rPr>
          <w:rFonts w:ascii="Palatino Linotype" w:hAnsi="Palatino Linotype" w:cs="Arial"/>
        </w:rPr>
        <w:lastRenderedPageBreak/>
        <w:t>Se hace constar que se señaló como modalidad de entrega de la información</w:t>
      </w:r>
      <w:r w:rsidRPr="005530C7">
        <w:rPr>
          <w:rFonts w:ascii="Palatino Linotype" w:hAnsi="Palatino Linotype" w:cs="Arial"/>
          <w:b/>
        </w:rPr>
        <w:t>:</w:t>
      </w:r>
      <w:r w:rsidRPr="005530C7">
        <w:rPr>
          <w:rFonts w:ascii="Palatino Linotype" w:hAnsi="Palatino Linotype" w:cs="Arial"/>
        </w:rPr>
        <w:t xml:space="preserve"> </w:t>
      </w:r>
      <w:r w:rsidRPr="005530C7">
        <w:rPr>
          <w:rFonts w:ascii="Palatino Linotype" w:hAnsi="Palatino Linotype" w:cs="Arial"/>
          <w:b/>
        </w:rPr>
        <w:t>A través del SAIMEX.</w:t>
      </w:r>
    </w:p>
    <w:p w14:paraId="14D24C32" w14:textId="77777777" w:rsidR="00DE5D2B" w:rsidRPr="005530C7" w:rsidRDefault="00DE5D2B" w:rsidP="00DE5D2B">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16204CF0" w14:textId="03D5E9A8" w:rsidR="006E51B1" w:rsidRPr="00A85136" w:rsidRDefault="00DE5D2B" w:rsidP="00DF76A4">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5530C7">
        <w:rPr>
          <w:rFonts w:ascii="Palatino Linotype" w:hAnsi="Palatino Linotype" w:cs="Arial"/>
          <w:lang w:val="es-ES_tradnl"/>
        </w:rPr>
        <w:t xml:space="preserve">El </w:t>
      </w:r>
      <w:r w:rsidR="00A85136">
        <w:rPr>
          <w:rFonts w:ascii="Palatino Linotype" w:hAnsi="Palatino Linotype" w:cs="Arial"/>
          <w:lang w:val="es-ES_tradnl"/>
        </w:rPr>
        <w:t>cinco de abril</w:t>
      </w:r>
      <w:r w:rsidR="00DF76A4">
        <w:rPr>
          <w:rFonts w:ascii="Palatino Linotype" w:hAnsi="Palatino Linotype" w:cs="Arial"/>
          <w:lang w:val="es-ES_tradnl"/>
        </w:rPr>
        <w:t xml:space="preserve"> de dos mil veintidós, el </w:t>
      </w:r>
      <w:r w:rsidR="00DF76A4" w:rsidRPr="00DF76A4">
        <w:rPr>
          <w:rFonts w:ascii="Palatino Linotype" w:hAnsi="Palatino Linotype" w:cs="Arial"/>
          <w:b/>
          <w:bCs/>
          <w:lang w:val="es-ES_tradnl"/>
        </w:rPr>
        <w:t>SUJETO OBLIGADO</w:t>
      </w:r>
      <w:r w:rsidR="00DF76A4">
        <w:rPr>
          <w:rFonts w:ascii="Palatino Linotype" w:hAnsi="Palatino Linotype" w:cs="Arial"/>
          <w:lang w:val="es-ES_tradnl"/>
        </w:rPr>
        <w:t xml:space="preserve"> realizó un requerimiento de información al Servidor Público Habilitado:</w:t>
      </w:r>
    </w:p>
    <w:p w14:paraId="5959F29D" w14:textId="77777777" w:rsidR="00DF76A4" w:rsidRPr="005530C7" w:rsidRDefault="00DF76A4" w:rsidP="00DF76A4">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49613F5D" w14:textId="5BAE08E8" w:rsidR="00DF76A4" w:rsidRPr="00A85136" w:rsidRDefault="00DF76A4" w:rsidP="00A85136">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lang w:val="es-MX"/>
        </w:rPr>
      </w:pPr>
      <w:r>
        <w:rPr>
          <w:rFonts w:ascii="Palatino Linotype" w:hAnsi="Palatino Linotype" w:cs="Arial"/>
          <w:color w:val="000000" w:themeColor="text1"/>
        </w:rPr>
        <w:t xml:space="preserve">El </w:t>
      </w:r>
      <w:r w:rsidR="00A85136">
        <w:rPr>
          <w:rFonts w:ascii="Palatino Linotype" w:hAnsi="Palatino Linotype" w:cs="Arial"/>
          <w:color w:val="000000" w:themeColor="text1"/>
        </w:rPr>
        <w:t>diecinueve de abril</w:t>
      </w:r>
      <w:r>
        <w:rPr>
          <w:rFonts w:ascii="Palatino Linotype" w:hAnsi="Palatino Linotype" w:cs="Arial"/>
          <w:color w:val="000000" w:themeColor="text1"/>
        </w:rPr>
        <w:t xml:space="preserve"> de dos mil veintidós, </w:t>
      </w:r>
      <w:r w:rsidR="006E51B1" w:rsidRPr="00A85136">
        <w:rPr>
          <w:rFonts w:ascii="Palatino Linotype" w:hAnsi="Palatino Linotype" w:cs="Arial"/>
          <w:lang w:val="es-MX"/>
        </w:rPr>
        <w:t xml:space="preserve">el </w:t>
      </w:r>
      <w:r w:rsidR="006E51B1" w:rsidRPr="00A85136">
        <w:rPr>
          <w:rFonts w:ascii="Palatino Linotype" w:hAnsi="Palatino Linotype" w:cs="Arial"/>
          <w:b/>
          <w:lang w:val="es-MX"/>
        </w:rPr>
        <w:t xml:space="preserve">SUJETO OBLIGADO </w:t>
      </w:r>
      <w:r w:rsidR="00B91B42" w:rsidRPr="00A85136">
        <w:rPr>
          <w:rFonts w:ascii="Palatino Linotype" w:hAnsi="Palatino Linotype" w:cs="Arial"/>
          <w:lang w:val="es-MX"/>
        </w:rPr>
        <w:t>dio respuest</w:t>
      </w:r>
      <w:r w:rsidR="00716B3E" w:rsidRPr="00A85136">
        <w:rPr>
          <w:rFonts w:ascii="Palatino Linotype" w:hAnsi="Palatino Linotype" w:cs="Arial"/>
          <w:lang w:val="es-MX"/>
        </w:rPr>
        <w:t>a a la</w:t>
      </w:r>
      <w:r w:rsidR="00EB3BC7" w:rsidRPr="00A85136">
        <w:rPr>
          <w:rFonts w:ascii="Palatino Linotype" w:hAnsi="Palatino Linotype" w:cs="Arial"/>
          <w:lang w:val="es-MX"/>
        </w:rPr>
        <w:t>s</w:t>
      </w:r>
      <w:r w:rsidR="00716B3E" w:rsidRPr="00A85136">
        <w:rPr>
          <w:rFonts w:ascii="Palatino Linotype" w:hAnsi="Palatino Linotype" w:cs="Arial"/>
          <w:lang w:val="es-MX"/>
        </w:rPr>
        <w:t xml:space="preserve"> solicitud</w:t>
      </w:r>
      <w:r w:rsidRPr="00A85136">
        <w:rPr>
          <w:rFonts w:ascii="Palatino Linotype" w:hAnsi="Palatino Linotype" w:cs="Arial"/>
          <w:lang w:val="es-MX"/>
        </w:rPr>
        <w:t xml:space="preserve"> </w:t>
      </w:r>
      <w:r w:rsidR="00716B3E" w:rsidRPr="00A85136">
        <w:rPr>
          <w:rFonts w:ascii="Palatino Linotype" w:hAnsi="Palatino Linotype" w:cs="Arial"/>
          <w:lang w:val="es-MX"/>
        </w:rPr>
        <w:t xml:space="preserve">de información en los siguientes términos: </w:t>
      </w:r>
    </w:p>
    <w:p w14:paraId="3E295BEA" w14:textId="0F269B4A" w:rsidR="00DF76A4" w:rsidRDefault="00DF76A4" w:rsidP="00DF76A4">
      <w:pPr>
        <w:pStyle w:val="Prrafodelista"/>
        <w:tabs>
          <w:tab w:val="left" w:pos="284"/>
          <w:tab w:val="left" w:pos="567"/>
        </w:tabs>
        <w:spacing w:before="100" w:beforeAutospacing="1" w:after="100" w:afterAutospacing="1" w:line="360" w:lineRule="auto"/>
        <w:ind w:left="0"/>
        <w:contextualSpacing/>
        <w:jc w:val="both"/>
        <w:rPr>
          <w:rFonts w:ascii="Palatino Linotype" w:hAnsi="Palatino Linotype" w:cs="Arial"/>
          <w:color w:val="000000" w:themeColor="text1"/>
        </w:rPr>
      </w:pPr>
    </w:p>
    <w:p w14:paraId="57202EC9" w14:textId="70A0CDFA" w:rsidR="00DF76A4" w:rsidRPr="00A85136" w:rsidRDefault="00DF76A4" w:rsidP="00DF76A4">
      <w:pPr>
        <w:pStyle w:val="Prrafodelista"/>
        <w:tabs>
          <w:tab w:val="left" w:pos="284"/>
          <w:tab w:val="left" w:pos="567"/>
        </w:tabs>
        <w:spacing w:before="100" w:beforeAutospacing="1" w:after="100" w:afterAutospacing="1"/>
        <w:ind w:left="567" w:right="616"/>
        <w:contextualSpacing/>
        <w:jc w:val="both"/>
        <w:rPr>
          <w:rFonts w:ascii="Palatino Linotype" w:hAnsi="Palatino Linotype" w:cs="Arial"/>
          <w:i/>
          <w:iCs/>
          <w:color w:val="000000" w:themeColor="text1"/>
          <w:sz w:val="22"/>
          <w:szCs w:val="22"/>
        </w:rPr>
      </w:pPr>
      <w:r w:rsidRPr="00A85136">
        <w:rPr>
          <w:rFonts w:ascii="Palatino Linotype" w:hAnsi="Palatino Linotype" w:cs="Arial"/>
          <w:i/>
          <w:iCs/>
          <w:color w:val="000000" w:themeColor="text1"/>
          <w:sz w:val="22"/>
          <w:szCs w:val="22"/>
        </w:rPr>
        <w:t>“…</w:t>
      </w:r>
      <w:r w:rsidR="00A85136" w:rsidRPr="00A85136">
        <w:rPr>
          <w:rFonts w:ascii="Palatino Linotype" w:hAnsi="Palatino Linotype"/>
          <w:i/>
          <w:color w:val="000000"/>
          <w:sz w:val="22"/>
          <w:szCs w:val="22"/>
        </w:rPr>
        <w:t>Sobre el particular, sírvase encontrar en archivo adjunto copia del oficio número SEDUO-CI-0442/2022, de fecha 19 de abril de 2022. mediante el cual se detalla lo referente a su solicitud</w:t>
      </w:r>
      <w:r w:rsidRPr="00A85136">
        <w:rPr>
          <w:rFonts w:ascii="Palatino Linotype" w:hAnsi="Palatino Linotype"/>
          <w:i/>
          <w:iCs/>
          <w:color w:val="000000"/>
          <w:sz w:val="22"/>
          <w:szCs w:val="22"/>
        </w:rPr>
        <w:t>…” (Sic)</w:t>
      </w:r>
    </w:p>
    <w:p w14:paraId="7F8CBED8" w14:textId="5896FB11" w:rsidR="00716B3E" w:rsidRPr="00DF76A4" w:rsidRDefault="00716B3E" w:rsidP="00716B3E">
      <w:pPr>
        <w:pStyle w:val="Prrafodelista"/>
        <w:tabs>
          <w:tab w:val="left" w:pos="0"/>
          <w:tab w:val="left" w:pos="426"/>
        </w:tabs>
        <w:spacing w:line="360" w:lineRule="auto"/>
        <w:ind w:left="0"/>
        <w:contextualSpacing/>
        <w:jc w:val="both"/>
        <w:rPr>
          <w:rFonts w:ascii="Palatino Linotype" w:hAnsi="Palatino Linotype" w:cs="Arial"/>
          <w:color w:val="000000" w:themeColor="text1"/>
          <w:sz w:val="22"/>
          <w:szCs w:val="22"/>
        </w:rPr>
      </w:pPr>
    </w:p>
    <w:p w14:paraId="3AA46B5E" w14:textId="70864D6E" w:rsidR="00DF76A4" w:rsidRDefault="00A85136" w:rsidP="00DF76A4">
      <w:pPr>
        <w:tabs>
          <w:tab w:val="left" w:pos="0"/>
          <w:tab w:val="left" w:pos="426"/>
        </w:tabs>
        <w:spacing w:line="360" w:lineRule="auto"/>
        <w:contextualSpacing/>
        <w:jc w:val="both"/>
        <w:rPr>
          <w:rFonts w:ascii="Palatino Linotype" w:hAnsi="Palatino Linotype" w:cs="Arial"/>
          <w:b/>
          <w:bCs/>
          <w:color w:val="000000" w:themeColor="text1"/>
          <w:sz w:val="22"/>
          <w:szCs w:val="22"/>
        </w:rPr>
      </w:pPr>
      <w:r>
        <w:rPr>
          <w:rFonts w:ascii="Palatino Linotype" w:hAnsi="Palatino Linotype" w:cs="Arial"/>
          <w:b/>
          <w:bCs/>
          <w:color w:val="000000" w:themeColor="text1"/>
          <w:sz w:val="22"/>
          <w:szCs w:val="22"/>
        </w:rPr>
        <w:t>Documento adjunto:</w:t>
      </w:r>
    </w:p>
    <w:p w14:paraId="6B55741D" w14:textId="77777777" w:rsidR="00A85136" w:rsidRPr="00C66FEF" w:rsidRDefault="00A85136" w:rsidP="00DF76A4">
      <w:pPr>
        <w:tabs>
          <w:tab w:val="left" w:pos="0"/>
          <w:tab w:val="left" w:pos="426"/>
        </w:tabs>
        <w:spacing w:line="360" w:lineRule="auto"/>
        <w:contextualSpacing/>
        <w:jc w:val="both"/>
        <w:rPr>
          <w:rFonts w:ascii="Palatino Linotype" w:hAnsi="Palatino Linotype" w:cs="Arial"/>
          <w:b/>
          <w:bCs/>
          <w:color w:val="000000" w:themeColor="text1"/>
          <w:szCs w:val="22"/>
        </w:rPr>
      </w:pPr>
    </w:p>
    <w:p w14:paraId="48545FD1" w14:textId="687642B3" w:rsidR="00A85136" w:rsidRPr="00A85136" w:rsidRDefault="004439D7" w:rsidP="00C66FEF">
      <w:pPr>
        <w:tabs>
          <w:tab w:val="left" w:pos="426"/>
        </w:tabs>
        <w:ind w:left="567"/>
        <w:contextualSpacing/>
        <w:jc w:val="both"/>
        <w:rPr>
          <w:rFonts w:ascii="Palatino Linotype" w:hAnsi="Palatino Linotype" w:cs="Arial"/>
          <w:b/>
          <w:bCs/>
          <w:sz w:val="22"/>
          <w:szCs w:val="22"/>
        </w:rPr>
      </w:pPr>
      <w:hyperlink r:id="rId8" w:tgtFrame="_blank" w:history="1">
        <w:r w:rsidR="00A85136" w:rsidRPr="00A85136">
          <w:rPr>
            <w:rStyle w:val="Hipervnculo"/>
            <w:rFonts w:ascii="Palatino Linotype" w:hAnsi="Palatino Linotype" w:cs="Arial"/>
            <w:b/>
            <w:bCs/>
            <w:color w:val="auto"/>
            <w:sz w:val="22"/>
            <w:szCs w:val="22"/>
            <w:u w:val="none"/>
          </w:rPr>
          <w:t>UT SEDUO 119-22.pdf</w:t>
        </w:r>
      </w:hyperlink>
      <w:r w:rsidR="00A85136">
        <w:rPr>
          <w:rFonts w:ascii="Palatino Linotype" w:hAnsi="Palatino Linotype"/>
          <w:b/>
          <w:sz w:val="22"/>
          <w:szCs w:val="22"/>
        </w:rPr>
        <w:t xml:space="preserve">: </w:t>
      </w:r>
      <w:r w:rsidR="00A85136" w:rsidRPr="00A85136">
        <w:rPr>
          <w:rFonts w:ascii="Palatino Linotype" w:hAnsi="Palatino Linotype"/>
          <w:sz w:val="22"/>
          <w:szCs w:val="22"/>
        </w:rPr>
        <w:t xml:space="preserve">Copia digitalizada del oficio </w:t>
      </w:r>
      <w:r w:rsidR="00A85136" w:rsidRPr="00C66FEF">
        <w:rPr>
          <w:rFonts w:ascii="Palatino Linotype" w:hAnsi="Palatino Linotype"/>
          <w:sz w:val="22"/>
          <w:szCs w:val="22"/>
        </w:rPr>
        <w:t>número SEUDO-CI-0442/2022, suscrito por la Titular de la Unidad de Transparencia, por medio del cual,</w:t>
      </w:r>
      <w:r w:rsidR="00A85136">
        <w:rPr>
          <w:rFonts w:ascii="Palatino Linotype" w:hAnsi="Palatino Linotype"/>
          <w:b/>
          <w:sz w:val="22"/>
          <w:szCs w:val="22"/>
        </w:rPr>
        <w:t xml:space="preserve"> informó que la Directora de Operación y Control Urbano, manifestó que después de una búsqueda exhaustiva en la Dirección a su cargo, únicamente de identificó el recurso administrativo de inconformidad en contra del oficio 224001010</w:t>
      </w:r>
      <w:r w:rsidR="00C66FEF">
        <w:rPr>
          <w:rFonts w:ascii="Palatino Linotype" w:hAnsi="Palatino Linotype"/>
          <w:b/>
          <w:sz w:val="22"/>
          <w:szCs w:val="22"/>
        </w:rPr>
        <w:t>40000T/0326/2021, de fecha 27 de mayo de 2021.</w:t>
      </w:r>
    </w:p>
    <w:p w14:paraId="73BA0725" w14:textId="77777777" w:rsidR="00DF76A4" w:rsidRPr="00C66FEF" w:rsidRDefault="00DF76A4" w:rsidP="00C66FEF">
      <w:pPr>
        <w:tabs>
          <w:tab w:val="left" w:pos="0"/>
          <w:tab w:val="left" w:pos="426"/>
        </w:tabs>
        <w:spacing w:line="360" w:lineRule="auto"/>
        <w:ind w:right="616"/>
        <w:contextualSpacing/>
        <w:jc w:val="both"/>
        <w:rPr>
          <w:rFonts w:ascii="Palatino Linotype" w:eastAsiaTheme="minorEastAsia" w:hAnsi="Palatino Linotype" w:cstheme="minorBidi"/>
          <w:b/>
          <w:bCs/>
          <w:color w:val="000000" w:themeColor="text1"/>
          <w:szCs w:val="22"/>
          <w:lang w:val="es-ES_tradnl"/>
        </w:rPr>
      </w:pPr>
    </w:p>
    <w:p w14:paraId="4BB5C5BA" w14:textId="4CEA1E12" w:rsidR="00EA0165" w:rsidRPr="005530C7" w:rsidRDefault="00CC2646" w:rsidP="006E51B1">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530C7">
        <w:rPr>
          <w:rFonts w:ascii="Palatino Linotype" w:hAnsi="Palatino Linotype" w:cs="Arial"/>
          <w:color w:val="000000" w:themeColor="text1"/>
        </w:rPr>
        <w:t xml:space="preserve">Derivado </w:t>
      </w:r>
      <w:r w:rsidR="00EA0165" w:rsidRPr="005530C7">
        <w:rPr>
          <w:rFonts w:ascii="Palatino Linotype" w:hAnsi="Palatino Linotype" w:cs="Arial"/>
          <w:color w:val="000000" w:themeColor="text1"/>
        </w:rPr>
        <w:t>de la</w:t>
      </w:r>
      <w:r w:rsidR="00DF76A4">
        <w:rPr>
          <w:rFonts w:ascii="Palatino Linotype" w:hAnsi="Palatino Linotype" w:cs="Arial"/>
          <w:color w:val="000000" w:themeColor="text1"/>
        </w:rPr>
        <w:t xml:space="preserve"> </w:t>
      </w:r>
      <w:r w:rsidR="00B91B42" w:rsidRPr="005530C7">
        <w:rPr>
          <w:rFonts w:ascii="Palatino Linotype" w:hAnsi="Palatino Linotype" w:cs="Arial"/>
          <w:color w:val="000000" w:themeColor="text1"/>
        </w:rPr>
        <w:t>respuesta</w:t>
      </w:r>
      <w:r w:rsidR="00DF76A4">
        <w:rPr>
          <w:rFonts w:ascii="Palatino Linotype" w:hAnsi="Palatino Linotype" w:cs="Arial"/>
          <w:color w:val="000000" w:themeColor="text1"/>
        </w:rPr>
        <w:t xml:space="preserve"> </w:t>
      </w:r>
      <w:r w:rsidRPr="005530C7">
        <w:rPr>
          <w:rFonts w:ascii="Palatino Linotype" w:hAnsi="Palatino Linotype" w:cs="Arial"/>
          <w:color w:val="000000" w:themeColor="text1"/>
        </w:rPr>
        <w:t>emitida</w:t>
      </w:r>
      <w:r w:rsidR="00EA0165" w:rsidRPr="005530C7">
        <w:rPr>
          <w:rFonts w:ascii="Palatino Linotype" w:hAnsi="Palatino Linotype" w:cs="Arial"/>
          <w:color w:val="000000" w:themeColor="text1"/>
        </w:rPr>
        <w:t xml:space="preserve"> por </w:t>
      </w:r>
      <w:r w:rsidR="00B91B42" w:rsidRPr="005530C7">
        <w:rPr>
          <w:rFonts w:ascii="Palatino Linotype" w:hAnsi="Palatino Linotype" w:cs="Arial"/>
          <w:color w:val="000000" w:themeColor="text1"/>
        </w:rPr>
        <w:t>parte d</w:t>
      </w:r>
      <w:r w:rsidR="00EA0165" w:rsidRPr="005530C7">
        <w:rPr>
          <w:rFonts w:ascii="Palatino Linotype" w:hAnsi="Palatino Linotype" w:cs="Arial"/>
          <w:color w:val="000000" w:themeColor="text1"/>
        </w:rPr>
        <w:t xml:space="preserve">el </w:t>
      </w:r>
      <w:r w:rsidR="00EA0165" w:rsidRPr="005530C7">
        <w:rPr>
          <w:rFonts w:ascii="Palatino Linotype" w:hAnsi="Palatino Linotype" w:cs="Arial"/>
          <w:b/>
          <w:color w:val="000000" w:themeColor="text1"/>
        </w:rPr>
        <w:t>SUJETO OBLIGADO</w:t>
      </w:r>
      <w:r w:rsidR="00EA0165" w:rsidRPr="005530C7">
        <w:rPr>
          <w:rFonts w:ascii="Palatino Linotype" w:hAnsi="Palatino Linotype" w:cs="Arial"/>
          <w:color w:val="000000" w:themeColor="text1"/>
        </w:rPr>
        <w:t>, e</w:t>
      </w:r>
      <w:r w:rsidRPr="005530C7">
        <w:rPr>
          <w:rFonts w:ascii="Palatino Linotype" w:hAnsi="Palatino Linotype" w:cs="Arial"/>
          <w:color w:val="000000" w:themeColor="text1"/>
        </w:rPr>
        <w:t xml:space="preserve">l </w:t>
      </w:r>
      <w:r w:rsidR="00C66FEF">
        <w:rPr>
          <w:rFonts w:ascii="Palatino Linotype" w:hAnsi="Palatino Linotype" w:cs="Arial"/>
          <w:color w:val="000000" w:themeColor="text1"/>
        </w:rPr>
        <w:t>veintiuno de abril</w:t>
      </w:r>
      <w:r w:rsidR="006E51B1" w:rsidRPr="005530C7">
        <w:rPr>
          <w:rFonts w:ascii="Palatino Linotype" w:hAnsi="Palatino Linotype" w:cs="Arial"/>
          <w:color w:val="000000" w:themeColor="text1"/>
        </w:rPr>
        <w:t xml:space="preserve"> </w:t>
      </w:r>
      <w:r w:rsidR="00917444" w:rsidRPr="005530C7">
        <w:rPr>
          <w:rFonts w:ascii="Palatino Linotype" w:hAnsi="Palatino Linotype" w:cs="Arial"/>
          <w:color w:val="000000" w:themeColor="text1"/>
        </w:rPr>
        <w:t>d</w:t>
      </w:r>
      <w:r w:rsidR="00233D1C" w:rsidRPr="005530C7">
        <w:rPr>
          <w:rFonts w:ascii="Palatino Linotype" w:hAnsi="Palatino Linotype" w:cs="Arial"/>
          <w:color w:val="000000" w:themeColor="text1"/>
        </w:rPr>
        <w:t xml:space="preserve">e dos mil </w:t>
      </w:r>
      <w:r w:rsidR="008225FA" w:rsidRPr="005530C7">
        <w:rPr>
          <w:rFonts w:ascii="Palatino Linotype" w:hAnsi="Palatino Linotype" w:cs="Arial"/>
          <w:color w:val="000000" w:themeColor="text1"/>
        </w:rPr>
        <w:t>veintidós</w:t>
      </w:r>
      <w:r w:rsidR="00C66FEF">
        <w:rPr>
          <w:rFonts w:ascii="Palatino Linotype" w:hAnsi="Palatino Linotype" w:cs="Arial"/>
          <w:color w:val="000000" w:themeColor="text1"/>
        </w:rPr>
        <w:t xml:space="preserve">, el </w:t>
      </w:r>
      <w:r w:rsidR="00C66FEF" w:rsidRPr="00C66FEF">
        <w:rPr>
          <w:rFonts w:ascii="Palatino Linotype" w:hAnsi="Palatino Linotype" w:cs="Arial"/>
          <w:b/>
          <w:color w:val="000000" w:themeColor="text1"/>
        </w:rPr>
        <w:t>RECURRENT</w:t>
      </w:r>
      <w:r w:rsidR="00C66FEF">
        <w:rPr>
          <w:rFonts w:ascii="Palatino Linotype" w:hAnsi="Palatino Linotype" w:cs="Arial"/>
          <w:color w:val="000000" w:themeColor="text1"/>
        </w:rPr>
        <w:t>E</w:t>
      </w:r>
      <w:r w:rsidR="00EA0165" w:rsidRPr="005530C7">
        <w:rPr>
          <w:rFonts w:ascii="Palatino Linotype" w:hAnsi="Palatino Linotype" w:cs="Arial"/>
          <w:color w:val="000000" w:themeColor="text1"/>
        </w:rPr>
        <w:t xml:space="preserve"> </w:t>
      </w:r>
      <w:r w:rsidR="008B2BC2" w:rsidRPr="005530C7">
        <w:rPr>
          <w:rFonts w:ascii="Palatino Linotype" w:hAnsi="Palatino Linotype" w:cs="Arial"/>
          <w:color w:val="000000" w:themeColor="text1"/>
        </w:rPr>
        <w:t xml:space="preserve">interpuso </w:t>
      </w:r>
      <w:r w:rsidR="00DF76A4">
        <w:rPr>
          <w:rFonts w:ascii="Palatino Linotype" w:hAnsi="Palatino Linotype" w:cs="Arial"/>
          <w:color w:val="000000" w:themeColor="text1"/>
        </w:rPr>
        <w:t>el</w:t>
      </w:r>
      <w:r w:rsidR="00861CF9" w:rsidRPr="005530C7">
        <w:rPr>
          <w:rFonts w:ascii="Palatino Linotype" w:hAnsi="Palatino Linotype" w:cs="Arial"/>
          <w:color w:val="000000" w:themeColor="text1"/>
        </w:rPr>
        <w:t xml:space="preserve"> recurso de revisión</w:t>
      </w:r>
      <w:r w:rsidR="00C41140" w:rsidRPr="005530C7">
        <w:rPr>
          <w:rFonts w:ascii="Palatino Linotype" w:eastAsiaTheme="minorEastAsia" w:hAnsi="Palatino Linotype" w:cstheme="minorBidi"/>
          <w:color w:val="000000" w:themeColor="text1"/>
          <w:lang w:val="es-ES_tradnl"/>
        </w:rPr>
        <w:t xml:space="preserve"> </w:t>
      </w:r>
      <w:hyperlink r:id="rId9" w:tgtFrame="_blank" w:history="1">
        <w:r w:rsidR="00C66FEF">
          <w:rPr>
            <w:rStyle w:val="Hipervnculo"/>
            <w:rFonts w:ascii="Palatino Linotype" w:eastAsiaTheme="minorEastAsia" w:hAnsi="Palatino Linotype" w:cstheme="minorBidi"/>
            <w:b/>
            <w:bCs/>
            <w:color w:val="0D0D0D" w:themeColor="text1" w:themeTint="F2"/>
            <w:u w:val="none"/>
          </w:rPr>
          <w:t>06278</w:t>
        </w:r>
        <w:r w:rsidR="008B2BC2" w:rsidRPr="005530C7">
          <w:rPr>
            <w:rStyle w:val="Hipervnculo"/>
            <w:rFonts w:ascii="Palatino Linotype" w:eastAsiaTheme="minorEastAsia" w:hAnsi="Palatino Linotype" w:cstheme="minorBidi"/>
            <w:b/>
            <w:bCs/>
            <w:color w:val="0D0D0D" w:themeColor="text1" w:themeTint="F2"/>
            <w:u w:val="none"/>
          </w:rPr>
          <w:t>/INFOEM/IP/RR/2022</w:t>
        </w:r>
      </w:hyperlink>
      <w:r w:rsidR="00DF76A4">
        <w:rPr>
          <w:rFonts w:ascii="Palatino Linotype" w:eastAsia="Calibri" w:hAnsi="Palatino Linotype" w:cs="Arial"/>
          <w:b/>
          <w:color w:val="000000" w:themeColor="text1"/>
        </w:rPr>
        <w:t>,</w:t>
      </w:r>
      <w:r w:rsidR="008B2BC2" w:rsidRPr="005530C7">
        <w:rPr>
          <w:rFonts w:ascii="Palatino Linotype" w:hAnsi="Palatino Linotype" w:cs="Arial"/>
          <w:color w:val="000000" w:themeColor="text1"/>
        </w:rPr>
        <w:t xml:space="preserve"> impugnaci</w:t>
      </w:r>
      <w:r w:rsidR="00DF76A4">
        <w:rPr>
          <w:rFonts w:ascii="Palatino Linotype" w:hAnsi="Palatino Linotype" w:cs="Arial"/>
          <w:color w:val="000000" w:themeColor="text1"/>
        </w:rPr>
        <w:t xml:space="preserve">ón </w:t>
      </w:r>
      <w:r w:rsidR="00EA0165" w:rsidRPr="005530C7">
        <w:rPr>
          <w:rFonts w:ascii="Palatino Linotype" w:hAnsi="Palatino Linotype" w:cs="Arial"/>
          <w:color w:val="000000" w:themeColor="text1"/>
        </w:rPr>
        <w:t>en la</w:t>
      </w:r>
      <w:r w:rsidR="00DF76A4">
        <w:rPr>
          <w:rFonts w:ascii="Palatino Linotype" w:hAnsi="Palatino Linotype" w:cs="Arial"/>
          <w:color w:val="000000" w:themeColor="text1"/>
        </w:rPr>
        <w:t xml:space="preserve"> </w:t>
      </w:r>
      <w:r w:rsidR="00EA0165" w:rsidRPr="005530C7">
        <w:rPr>
          <w:rFonts w:ascii="Palatino Linotype" w:hAnsi="Palatino Linotype" w:cs="Arial"/>
          <w:color w:val="000000" w:themeColor="text1"/>
        </w:rPr>
        <w:t>que refirió lo siguiente:</w:t>
      </w:r>
    </w:p>
    <w:p w14:paraId="176F4252" w14:textId="77777777" w:rsidR="00EA0165" w:rsidRPr="005530C7" w:rsidRDefault="00EA0165" w:rsidP="007D7513">
      <w:pPr>
        <w:tabs>
          <w:tab w:val="left" w:pos="426"/>
        </w:tabs>
        <w:spacing w:line="360" w:lineRule="auto"/>
        <w:ind w:left="284"/>
        <w:contextualSpacing/>
        <w:jc w:val="both"/>
        <w:rPr>
          <w:rFonts w:ascii="Palatino Linotype" w:hAnsi="Palatino Linotype" w:cs="Arial"/>
          <w:color w:val="000000" w:themeColor="text1"/>
          <w:lang w:val="es-ES_tradnl"/>
        </w:rPr>
      </w:pPr>
    </w:p>
    <w:p w14:paraId="224FFDC9" w14:textId="6F6CA9AB" w:rsidR="00EA0165" w:rsidRPr="00DF76A4" w:rsidRDefault="00EA0165" w:rsidP="00DF76A4">
      <w:pPr>
        <w:ind w:left="567" w:right="616"/>
        <w:contextualSpacing/>
        <w:jc w:val="both"/>
        <w:rPr>
          <w:rFonts w:ascii="Palatino Linotype" w:hAnsi="Palatino Linotype" w:cs="Arial"/>
          <w:color w:val="000000" w:themeColor="text1"/>
          <w:sz w:val="22"/>
          <w:szCs w:val="22"/>
        </w:rPr>
      </w:pPr>
      <w:r w:rsidRPr="00DF76A4">
        <w:rPr>
          <w:rFonts w:ascii="Palatino Linotype" w:hAnsi="Palatino Linotype" w:cs="Arial"/>
          <w:b/>
          <w:color w:val="000000" w:themeColor="text1"/>
          <w:sz w:val="22"/>
          <w:szCs w:val="22"/>
        </w:rPr>
        <w:t>Acto impugnado:</w:t>
      </w:r>
      <w:r w:rsidRPr="00DF76A4">
        <w:rPr>
          <w:rFonts w:ascii="Palatino Linotype" w:hAnsi="Palatino Linotype" w:cs="Arial"/>
          <w:color w:val="000000" w:themeColor="text1"/>
          <w:sz w:val="22"/>
          <w:szCs w:val="22"/>
        </w:rPr>
        <w:t xml:space="preserve"> </w:t>
      </w:r>
      <w:r w:rsidRPr="00DF76A4">
        <w:rPr>
          <w:rFonts w:ascii="Palatino Linotype" w:hAnsi="Palatino Linotype" w:cs="Arial"/>
          <w:i/>
          <w:color w:val="000000" w:themeColor="text1"/>
          <w:sz w:val="22"/>
          <w:szCs w:val="22"/>
        </w:rPr>
        <w:t>“</w:t>
      </w:r>
      <w:r w:rsidR="00DF76A4" w:rsidRPr="00DF76A4">
        <w:rPr>
          <w:rFonts w:ascii="Palatino Linotype" w:hAnsi="Palatino Linotype" w:cs="Arial"/>
          <w:i/>
          <w:color w:val="000000" w:themeColor="text1"/>
          <w:sz w:val="22"/>
          <w:szCs w:val="22"/>
        </w:rPr>
        <w:t>L</w:t>
      </w:r>
      <w:r w:rsidR="00DF76A4" w:rsidRPr="00DF76A4">
        <w:rPr>
          <w:rFonts w:ascii="Palatino Linotype" w:hAnsi="Palatino Linotype"/>
          <w:i/>
          <w:color w:val="000000"/>
          <w:sz w:val="22"/>
          <w:szCs w:val="22"/>
        </w:rPr>
        <w:t xml:space="preserve">a respuesta </w:t>
      </w:r>
      <w:r w:rsidR="00C66FEF">
        <w:rPr>
          <w:rFonts w:ascii="Palatino Linotype" w:hAnsi="Palatino Linotype"/>
          <w:i/>
          <w:color w:val="000000"/>
          <w:sz w:val="22"/>
          <w:szCs w:val="22"/>
        </w:rPr>
        <w:t>de la Secretaría</w:t>
      </w:r>
      <w:r w:rsidR="00AB7DB9" w:rsidRPr="00DF76A4">
        <w:rPr>
          <w:rFonts w:ascii="Palatino Linotype" w:hAnsi="Palatino Linotype" w:cs="Arial"/>
          <w:i/>
          <w:color w:val="000000" w:themeColor="text1"/>
          <w:sz w:val="22"/>
          <w:szCs w:val="22"/>
        </w:rPr>
        <w:t>”</w:t>
      </w:r>
      <w:r w:rsidRPr="00DF76A4">
        <w:rPr>
          <w:rFonts w:ascii="Palatino Linotype" w:hAnsi="Palatino Linotype" w:cs="Arial"/>
          <w:i/>
          <w:color w:val="000000" w:themeColor="text1"/>
          <w:sz w:val="22"/>
          <w:szCs w:val="22"/>
        </w:rPr>
        <w:t>(Sic).</w:t>
      </w:r>
    </w:p>
    <w:p w14:paraId="71C7D21F" w14:textId="77777777" w:rsidR="00EA0165" w:rsidRPr="00DF76A4" w:rsidRDefault="00EA0165" w:rsidP="00DF76A4">
      <w:pPr>
        <w:tabs>
          <w:tab w:val="left" w:pos="0"/>
        </w:tabs>
        <w:ind w:left="567" w:right="616"/>
        <w:contextualSpacing/>
        <w:jc w:val="both"/>
        <w:rPr>
          <w:rFonts w:ascii="Palatino Linotype" w:hAnsi="Palatino Linotype" w:cs="Arial"/>
          <w:color w:val="000000" w:themeColor="text1"/>
          <w:sz w:val="22"/>
          <w:szCs w:val="22"/>
        </w:rPr>
      </w:pPr>
    </w:p>
    <w:p w14:paraId="16E57192" w14:textId="11EB948E" w:rsidR="00EA0165" w:rsidRPr="00C66FEF" w:rsidRDefault="00EA0165" w:rsidP="00DF76A4">
      <w:pPr>
        <w:tabs>
          <w:tab w:val="left" w:pos="0"/>
        </w:tabs>
        <w:ind w:left="567" w:right="616"/>
        <w:contextualSpacing/>
        <w:jc w:val="both"/>
        <w:rPr>
          <w:rFonts w:ascii="Palatino Linotype" w:hAnsi="Palatino Linotype" w:cs="Arial"/>
          <w:i/>
          <w:color w:val="000000" w:themeColor="text1"/>
          <w:sz w:val="22"/>
          <w:szCs w:val="22"/>
        </w:rPr>
      </w:pPr>
      <w:r w:rsidRPr="00DF76A4">
        <w:rPr>
          <w:rFonts w:ascii="Palatino Linotype" w:hAnsi="Palatino Linotype" w:cs="Arial"/>
          <w:b/>
          <w:color w:val="000000" w:themeColor="text1"/>
          <w:sz w:val="22"/>
          <w:szCs w:val="22"/>
        </w:rPr>
        <w:t>Razones o motivos de inconformidad:</w:t>
      </w:r>
      <w:r w:rsidRPr="00DF76A4">
        <w:rPr>
          <w:rFonts w:ascii="Palatino Linotype" w:hAnsi="Palatino Linotype" w:cs="Arial"/>
          <w:color w:val="000000" w:themeColor="text1"/>
          <w:sz w:val="22"/>
          <w:szCs w:val="22"/>
        </w:rPr>
        <w:t xml:space="preserve"> </w:t>
      </w:r>
      <w:r w:rsidRPr="00C66FEF">
        <w:rPr>
          <w:rFonts w:ascii="Palatino Linotype" w:hAnsi="Palatino Linotype" w:cs="Arial"/>
          <w:i/>
          <w:color w:val="000000" w:themeColor="text1"/>
          <w:sz w:val="22"/>
          <w:szCs w:val="22"/>
        </w:rPr>
        <w:t>“</w:t>
      </w:r>
      <w:r w:rsidR="00DF76A4" w:rsidRPr="00C66FEF">
        <w:rPr>
          <w:rFonts w:ascii="Palatino Linotype" w:hAnsi="Palatino Linotype"/>
          <w:i/>
          <w:color w:val="000000"/>
          <w:sz w:val="22"/>
          <w:szCs w:val="22"/>
        </w:rPr>
        <w:t xml:space="preserve">No </w:t>
      </w:r>
      <w:r w:rsidR="00C66FEF" w:rsidRPr="00C66FEF">
        <w:rPr>
          <w:rFonts w:ascii="Palatino Linotype" w:hAnsi="Palatino Linotype"/>
          <w:i/>
          <w:color w:val="000000"/>
          <w:sz w:val="22"/>
          <w:szCs w:val="22"/>
        </w:rPr>
        <w:t>se atiende en su totalidad la solicitud ya que no se me indicó el número del recurso de inconformidad interpuesto en contra de la respuesta emitida al oficio al que hace alusión en la respuesta, dicha omisión mínima la puede solventar la Secretaría al momento en que rinda su informe justificado. Gracias</w:t>
      </w:r>
      <w:r w:rsidRPr="00C66FEF">
        <w:rPr>
          <w:rFonts w:ascii="Palatino Linotype" w:hAnsi="Palatino Linotype" w:cs="Arial"/>
          <w:i/>
          <w:color w:val="000000" w:themeColor="text1"/>
          <w:sz w:val="22"/>
          <w:szCs w:val="22"/>
        </w:rPr>
        <w:t>” (Sic).</w:t>
      </w:r>
    </w:p>
    <w:p w14:paraId="552C6645" w14:textId="77777777" w:rsidR="001B234C" w:rsidRPr="005530C7" w:rsidRDefault="001B234C" w:rsidP="007D7513">
      <w:pPr>
        <w:tabs>
          <w:tab w:val="left" w:pos="0"/>
        </w:tabs>
        <w:spacing w:line="360" w:lineRule="auto"/>
        <w:ind w:right="616"/>
        <w:contextualSpacing/>
        <w:jc w:val="both"/>
        <w:rPr>
          <w:rFonts w:ascii="Palatino Linotype" w:hAnsi="Palatino Linotype" w:cs="Arial"/>
          <w:color w:val="000000" w:themeColor="text1"/>
        </w:rPr>
      </w:pPr>
    </w:p>
    <w:p w14:paraId="068BFEDD" w14:textId="0795F0C8" w:rsidR="008B2BC2" w:rsidRPr="005530C7" w:rsidRDefault="00EA0165" w:rsidP="008B2BC2">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530C7">
        <w:rPr>
          <w:rFonts w:ascii="Palatino Linotype" w:hAnsi="Palatino Linotype" w:cs="Arial"/>
          <w:color w:val="000000" w:themeColor="text1"/>
        </w:rPr>
        <w:t xml:space="preserve">Se registró el recurso de revisión bajo el número de expediente </w:t>
      </w:r>
      <w:r w:rsidRPr="005530C7">
        <w:rPr>
          <w:rFonts w:ascii="Palatino Linotype" w:eastAsiaTheme="minorEastAsia" w:hAnsi="Palatino Linotype" w:cs="Arial"/>
          <w:bCs/>
          <w:color w:val="000000" w:themeColor="text1"/>
          <w:lang w:val="es-ES_tradnl"/>
        </w:rPr>
        <w:t xml:space="preserve">al rubro indicado, asimismo, con fundamento en lo dispuesto por el </w:t>
      </w:r>
      <w:r w:rsidRPr="005530C7">
        <w:rPr>
          <w:rFonts w:ascii="Palatino Linotype" w:eastAsia="Calibri" w:hAnsi="Palatino Linotype" w:cs="Arial"/>
          <w:color w:val="000000" w:themeColor="text1"/>
        </w:rPr>
        <w:t xml:space="preserve">artículo 185 fracción I de la </w:t>
      </w:r>
      <w:r w:rsidRPr="005530C7">
        <w:rPr>
          <w:rFonts w:ascii="Palatino Linotype" w:eastAsia="Calibri" w:hAnsi="Palatino Linotype" w:cs="Arial"/>
          <w:b/>
          <w:color w:val="000000" w:themeColor="text1"/>
        </w:rPr>
        <w:t xml:space="preserve">Ley de Transparencia y Acceso a la Información Pública del Estado de México y Municipios </w:t>
      </w:r>
      <w:r w:rsidR="005E6282" w:rsidRPr="005530C7">
        <w:rPr>
          <w:rFonts w:ascii="Palatino Linotype" w:hAnsi="Palatino Linotype" w:cs="Arial"/>
          <w:color w:val="000000" w:themeColor="text1"/>
        </w:rPr>
        <w:t>se turnó a</w:t>
      </w:r>
      <w:r w:rsidR="00351568" w:rsidRPr="005530C7">
        <w:rPr>
          <w:rFonts w:ascii="Palatino Linotype" w:hAnsi="Palatino Linotype" w:cs="Arial"/>
          <w:color w:val="000000" w:themeColor="text1"/>
        </w:rPr>
        <w:t xml:space="preserve"> la </w:t>
      </w:r>
      <w:r w:rsidR="00E3149E" w:rsidRPr="005530C7">
        <w:rPr>
          <w:rFonts w:ascii="Palatino Linotype" w:hAnsi="Palatino Linotype" w:cs="Arial"/>
          <w:b/>
          <w:color w:val="000000" w:themeColor="text1"/>
        </w:rPr>
        <w:t>C</w:t>
      </w:r>
      <w:r w:rsidR="00351568" w:rsidRPr="005530C7">
        <w:rPr>
          <w:rFonts w:ascii="Palatino Linotype" w:hAnsi="Palatino Linotype" w:cs="Arial"/>
          <w:b/>
          <w:color w:val="000000" w:themeColor="text1"/>
        </w:rPr>
        <w:t>omisionada María del Rosario Mejía Ayala</w:t>
      </w:r>
      <w:r w:rsidRPr="005530C7">
        <w:rPr>
          <w:rFonts w:ascii="Palatino Linotype" w:hAnsi="Palatino Linotype" w:cs="Arial"/>
          <w:b/>
          <w:color w:val="000000" w:themeColor="text1"/>
        </w:rPr>
        <w:t xml:space="preserve">, </w:t>
      </w:r>
      <w:r w:rsidRPr="005530C7">
        <w:rPr>
          <w:rFonts w:ascii="Palatino Linotype" w:hAnsi="Palatino Linotype" w:cs="Arial"/>
          <w:color w:val="000000" w:themeColor="text1"/>
        </w:rPr>
        <w:t xml:space="preserve">con el objeto de </w:t>
      </w:r>
      <w:r w:rsidRPr="005530C7">
        <w:rPr>
          <w:rFonts w:ascii="Palatino Linotype" w:hAnsi="Palatino Linotype" w:cs="Arial"/>
          <w:color w:val="000000" w:themeColor="text1"/>
          <w:lang w:val="es-MX"/>
        </w:rPr>
        <w:t>su análisis.</w:t>
      </w:r>
    </w:p>
    <w:p w14:paraId="7C537207" w14:textId="1CBCA0D0" w:rsidR="008B2BC2" w:rsidRPr="005530C7" w:rsidRDefault="008B2BC2" w:rsidP="008B2BC2">
      <w:pPr>
        <w:tabs>
          <w:tab w:val="left" w:pos="426"/>
        </w:tabs>
        <w:spacing w:line="360" w:lineRule="auto"/>
        <w:contextualSpacing/>
        <w:jc w:val="both"/>
        <w:rPr>
          <w:rFonts w:ascii="Palatino Linotype" w:eastAsia="Calibri" w:hAnsi="Palatino Linotype" w:cs="Arial"/>
          <w:color w:val="000000" w:themeColor="text1"/>
        </w:rPr>
      </w:pPr>
    </w:p>
    <w:p w14:paraId="732960C0" w14:textId="10AC4E1E" w:rsidR="00DF76A4" w:rsidRDefault="008B2BC2" w:rsidP="00E90030">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530C7">
        <w:rPr>
          <w:rFonts w:ascii="Palatino Linotype" w:hAnsi="Palatino Linotype" w:cs="Arial"/>
          <w:color w:val="000000" w:themeColor="text1"/>
        </w:rPr>
        <w:t>L</w:t>
      </w:r>
      <w:r w:rsidR="00A93EA3">
        <w:rPr>
          <w:rFonts w:ascii="Palatino Linotype" w:hAnsi="Palatino Linotype" w:cs="Arial"/>
          <w:color w:val="000000" w:themeColor="text1"/>
        </w:rPr>
        <w:t xml:space="preserve">a </w:t>
      </w:r>
      <w:r w:rsidRPr="005530C7">
        <w:rPr>
          <w:rFonts w:ascii="Palatino Linotype" w:hAnsi="Palatino Linotype" w:cs="Arial"/>
          <w:b/>
          <w:color w:val="000000" w:themeColor="text1"/>
        </w:rPr>
        <w:t>Comisionad</w:t>
      </w:r>
      <w:r w:rsidR="00A93EA3">
        <w:rPr>
          <w:rFonts w:ascii="Palatino Linotype" w:hAnsi="Palatino Linotype" w:cs="Arial"/>
          <w:b/>
          <w:color w:val="000000" w:themeColor="text1"/>
        </w:rPr>
        <w:t>a</w:t>
      </w:r>
      <w:r w:rsidR="00EA0165" w:rsidRPr="005530C7">
        <w:rPr>
          <w:rFonts w:ascii="Palatino Linotype" w:eastAsia="Calibri" w:hAnsi="Palatino Linotype" w:cs="Arial"/>
          <w:color w:val="000000" w:themeColor="text1"/>
        </w:rPr>
        <w:t>, con fundamento en lo dispuesto por el artículo 185 fracción II de la ley de la materia, a t</w:t>
      </w:r>
      <w:r w:rsidR="007A237F" w:rsidRPr="005530C7">
        <w:rPr>
          <w:rFonts w:ascii="Palatino Linotype" w:eastAsia="Calibri" w:hAnsi="Palatino Linotype" w:cs="Arial"/>
          <w:color w:val="000000" w:themeColor="text1"/>
        </w:rPr>
        <w:t xml:space="preserve">ravés del </w:t>
      </w:r>
      <w:r w:rsidR="00CD7C2E" w:rsidRPr="005530C7">
        <w:rPr>
          <w:rFonts w:ascii="Palatino Linotype" w:eastAsia="Calibri" w:hAnsi="Palatino Linotype" w:cs="Arial"/>
          <w:color w:val="000000" w:themeColor="text1"/>
        </w:rPr>
        <w:t xml:space="preserve">acuerdo de admisión de </w:t>
      </w:r>
      <w:r w:rsidR="00C66FEF">
        <w:rPr>
          <w:rFonts w:ascii="Palatino Linotype" w:eastAsia="Calibri" w:hAnsi="Palatino Linotype" w:cs="Arial"/>
          <w:color w:val="000000" w:themeColor="text1"/>
        </w:rPr>
        <w:t>veintiocho de abril</w:t>
      </w:r>
      <w:r w:rsidR="00E24361" w:rsidRPr="005530C7">
        <w:rPr>
          <w:rFonts w:ascii="Palatino Linotype" w:eastAsia="Calibri" w:hAnsi="Palatino Linotype" w:cs="Arial"/>
          <w:color w:val="000000" w:themeColor="text1"/>
        </w:rPr>
        <w:t xml:space="preserve"> </w:t>
      </w:r>
      <w:r w:rsidR="008225FA" w:rsidRPr="005530C7">
        <w:rPr>
          <w:rFonts w:ascii="Palatino Linotype" w:eastAsia="Calibri" w:hAnsi="Palatino Linotype" w:cs="Arial"/>
          <w:color w:val="000000" w:themeColor="text1"/>
        </w:rPr>
        <w:t>de dos mil veintidós</w:t>
      </w:r>
      <w:r w:rsidR="00EA0165" w:rsidRPr="005530C7">
        <w:rPr>
          <w:rFonts w:ascii="Palatino Linotype" w:eastAsia="Calibri" w:hAnsi="Palatino Linotype" w:cs="Arial"/>
          <w:color w:val="000000" w:themeColor="text1"/>
        </w:rPr>
        <w:t xml:space="preserve">, puso a disposición de las partes el expediente electrónico </w:t>
      </w:r>
      <w:r w:rsidR="00EA0165" w:rsidRPr="005530C7">
        <w:rPr>
          <w:rFonts w:ascii="Palatino Linotype" w:eastAsia="Calibri" w:hAnsi="Palatino Linotype" w:cs="Arial"/>
          <w:color w:val="000000" w:themeColor="text1"/>
          <w:lang w:val="es-ES_tradnl"/>
        </w:rPr>
        <w:t xml:space="preserve">vía </w:t>
      </w:r>
      <w:r w:rsidR="00EA0165" w:rsidRPr="005530C7">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5530C7">
        <w:rPr>
          <w:rFonts w:ascii="Palatino Linotype" w:eastAsia="Calibri" w:hAnsi="Palatino Linotype" w:cs="Arial"/>
          <w:b/>
          <w:color w:val="000000" w:themeColor="text1"/>
        </w:rPr>
        <w:t>SUJETO OBLIGADO</w:t>
      </w:r>
      <w:r w:rsidR="00EA0165" w:rsidRPr="005530C7">
        <w:rPr>
          <w:rFonts w:ascii="Palatino Linotype" w:eastAsia="Calibri" w:hAnsi="Palatino Linotype" w:cs="Arial"/>
          <w:color w:val="000000" w:themeColor="text1"/>
        </w:rPr>
        <w:t xml:space="preserve"> presentara el</w:t>
      </w:r>
      <w:r w:rsidR="00266490" w:rsidRPr="005530C7">
        <w:rPr>
          <w:rFonts w:ascii="Palatino Linotype" w:eastAsia="Calibri" w:hAnsi="Palatino Linotype" w:cs="Arial"/>
          <w:color w:val="000000" w:themeColor="text1"/>
        </w:rPr>
        <w:t xml:space="preserve"> </w:t>
      </w:r>
      <w:r w:rsidR="00CD7C2E" w:rsidRPr="005530C7">
        <w:rPr>
          <w:rFonts w:ascii="Palatino Linotype" w:eastAsia="Calibri" w:hAnsi="Palatino Linotype" w:cs="Arial"/>
          <w:color w:val="000000" w:themeColor="text1"/>
        </w:rPr>
        <w:t>informe justificado procedente</w:t>
      </w:r>
      <w:r w:rsidR="00DF76A4">
        <w:rPr>
          <w:rFonts w:ascii="Palatino Linotype" w:eastAsia="Calibri" w:hAnsi="Palatino Linotype" w:cs="Arial"/>
          <w:color w:val="000000" w:themeColor="text1"/>
        </w:rPr>
        <w:t>.</w:t>
      </w:r>
    </w:p>
    <w:p w14:paraId="15719FF6" w14:textId="77777777" w:rsidR="00DF76A4" w:rsidRPr="00DF76A4" w:rsidRDefault="00DF76A4" w:rsidP="00DF76A4">
      <w:pPr>
        <w:pStyle w:val="Prrafodelista"/>
        <w:rPr>
          <w:rFonts w:ascii="Palatino Linotype" w:eastAsia="Calibri" w:hAnsi="Palatino Linotype" w:cs="Arial"/>
          <w:color w:val="000000" w:themeColor="text1"/>
        </w:rPr>
      </w:pPr>
    </w:p>
    <w:p w14:paraId="6B36C6F4" w14:textId="77777777" w:rsidR="00C66FEF" w:rsidRDefault="00DF76A4" w:rsidP="00A93EA3">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El </w:t>
      </w:r>
      <w:r w:rsidR="00C66FEF">
        <w:rPr>
          <w:rFonts w:ascii="Palatino Linotype" w:eastAsia="Calibri" w:hAnsi="Palatino Linotype" w:cs="Arial"/>
          <w:color w:val="000000" w:themeColor="text1"/>
        </w:rPr>
        <w:t>cuatro de mayo</w:t>
      </w:r>
      <w:r>
        <w:rPr>
          <w:rFonts w:ascii="Palatino Linotype" w:eastAsia="Calibri" w:hAnsi="Palatino Linotype" w:cs="Arial"/>
          <w:color w:val="000000" w:themeColor="text1"/>
        </w:rPr>
        <w:t xml:space="preserve"> de dos mil veintidós, el </w:t>
      </w:r>
      <w:r w:rsidRPr="00DF76A4">
        <w:rPr>
          <w:rFonts w:ascii="Palatino Linotype" w:eastAsia="Calibri" w:hAnsi="Palatino Linotype" w:cs="Arial"/>
          <w:b/>
          <w:bCs/>
          <w:color w:val="000000" w:themeColor="text1"/>
        </w:rPr>
        <w:t xml:space="preserve">SUJETO OBLIGADO </w:t>
      </w:r>
      <w:r>
        <w:rPr>
          <w:rFonts w:ascii="Palatino Linotype" w:eastAsia="Calibri" w:hAnsi="Palatino Linotype" w:cs="Arial"/>
          <w:color w:val="000000" w:themeColor="text1"/>
        </w:rPr>
        <w:t>rindió el informe justificado correspondiente, a través de</w:t>
      </w:r>
      <w:r w:rsidR="00C66FEF">
        <w:rPr>
          <w:rFonts w:ascii="Palatino Linotype" w:eastAsia="Calibri" w:hAnsi="Palatino Linotype" w:cs="Arial"/>
          <w:color w:val="000000" w:themeColor="text1"/>
        </w:rPr>
        <w:t xml:space="preserve"> </w:t>
      </w:r>
      <w:r>
        <w:rPr>
          <w:rFonts w:ascii="Palatino Linotype" w:eastAsia="Calibri" w:hAnsi="Palatino Linotype" w:cs="Arial"/>
          <w:color w:val="000000" w:themeColor="text1"/>
        </w:rPr>
        <w:t>l</w:t>
      </w:r>
      <w:r w:rsidR="00C66FEF">
        <w:rPr>
          <w:rFonts w:ascii="Palatino Linotype" w:eastAsia="Calibri" w:hAnsi="Palatino Linotype" w:cs="Arial"/>
          <w:color w:val="000000" w:themeColor="text1"/>
        </w:rPr>
        <w:t>os siguientes</w:t>
      </w:r>
      <w:r>
        <w:rPr>
          <w:rFonts w:ascii="Palatino Linotype" w:eastAsia="Calibri" w:hAnsi="Palatino Linotype" w:cs="Arial"/>
          <w:color w:val="000000" w:themeColor="text1"/>
        </w:rPr>
        <w:t xml:space="preserve"> archivo</w:t>
      </w:r>
      <w:r w:rsidR="00C66FEF">
        <w:rPr>
          <w:rFonts w:ascii="Palatino Linotype" w:eastAsia="Calibri" w:hAnsi="Palatino Linotype" w:cs="Arial"/>
          <w:color w:val="000000" w:themeColor="text1"/>
        </w:rPr>
        <w:t>s</w:t>
      </w:r>
      <w:r>
        <w:rPr>
          <w:rFonts w:ascii="Palatino Linotype" w:eastAsia="Calibri" w:hAnsi="Palatino Linotype" w:cs="Arial"/>
          <w:color w:val="000000" w:themeColor="text1"/>
        </w:rPr>
        <w:t xml:space="preserve"> electrónico</w:t>
      </w:r>
      <w:r w:rsidR="00C66FEF">
        <w:rPr>
          <w:rFonts w:ascii="Palatino Linotype" w:eastAsia="Calibri" w:hAnsi="Palatino Linotype" w:cs="Arial"/>
          <w:color w:val="000000" w:themeColor="text1"/>
        </w:rPr>
        <w:t>s:</w:t>
      </w:r>
    </w:p>
    <w:p w14:paraId="558867DE" w14:textId="77777777" w:rsidR="00C66FEF" w:rsidRDefault="00C66FEF" w:rsidP="00C66FEF">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6FE56FF0" w14:textId="20BD9900" w:rsidR="00C66FEF" w:rsidRPr="00051231" w:rsidRDefault="00C66FEF" w:rsidP="00C66FEF">
      <w:pPr>
        <w:pStyle w:val="Prrafodelista"/>
        <w:tabs>
          <w:tab w:val="left" w:pos="426"/>
        </w:tabs>
        <w:ind w:left="567"/>
        <w:contextualSpacing/>
        <w:jc w:val="both"/>
        <w:rPr>
          <w:rFonts w:ascii="Palatino Linotype" w:eastAsia="Calibri" w:hAnsi="Palatino Linotype" w:cs="Arial"/>
          <w:b/>
          <w:color w:val="000000" w:themeColor="text1"/>
          <w:sz w:val="22"/>
        </w:rPr>
      </w:pPr>
      <w:r w:rsidRPr="00C66FEF">
        <w:rPr>
          <w:rFonts w:ascii="Palatino Linotype" w:eastAsia="Calibri" w:hAnsi="Palatino Linotype" w:cs="Arial"/>
          <w:b/>
          <w:color w:val="000000" w:themeColor="text1"/>
          <w:sz w:val="22"/>
        </w:rPr>
        <w:lastRenderedPageBreak/>
        <w:t>ANEXO II OF. 2191 DGOYCU.pdf:</w:t>
      </w:r>
      <w:r>
        <w:rPr>
          <w:rFonts w:ascii="Palatino Linotype" w:eastAsia="Calibri" w:hAnsi="Palatino Linotype" w:cs="Arial"/>
          <w:b/>
          <w:color w:val="000000" w:themeColor="text1"/>
          <w:sz w:val="22"/>
        </w:rPr>
        <w:t xml:space="preserve"> </w:t>
      </w:r>
      <w:r w:rsidRPr="002950FA">
        <w:rPr>
          <w:rFonts w:ascii="Palatino Linotype" w:eastAsia="Calibri" w:hAnsi="Palatino Linotype" w:cs="Arial"/>
          <w:color w:val="000000" w:themeColor="text1"/>
          <w:sz w:val="22"/>
        </w:rPr>
        <w:t>Copia digitalizada del oficio número 22400105</w:t>
      </w:r>
      <w:r w:rsidR="002950FA" w:rsidRPr="002950FA">
        <w:rPr>
          <w:rFonts w:ascii="Palatino Linotype" w:eastAsia="Calibri" w:hAnsi="Palatino Linotype" w:cs="Arial"/>
          <w:color w:val="000000" w:themeColor="text1"/>
          <w:sz w:val="22"/>
        </w:rPr>
        <w:t xml:space="preserve">000000L/002191/2022, suscrito por la Directora General de Operación y Control Urbano, por medio del cual, informó </w:t>
      </w:r>
      <w:r w:rsidR="002950FA">
        <w:rPr>
          <w:rFonts w:ascii="Palatino Linotype" w:eastAsia="Calibri" w:hAnsi="Palatino Linotype" w:cs="Arial"/>
          <w:color w:val="000000" w:themeColor="text1"/>
          <w:sz w:val="22"/>
        </w:rPr>
        <w:t xml:space="preserve">que la respuesta proporcionada por el </w:t>
      </w:r>
      <w:r w:rsidR="002950FA" w:rsidRPr="00117AC8">
        <w:rPr>
          <w:rFonts w:ascii="Palatino Linotype" w:eastAsia="Calibri" w:hAnsi="Palatino Linotype" w:cs="Arial"/>
          <w:b/>
          <w:color w:val="000000" w:themeColor="text1"/>
          <w:sz w:val="22"/>
        </w:rPr>
        <w:t>SUJETO OBLIGADO</w:t>
      </w:r>
      <w:r w:rsidR="002950FA">
        <w:rPr>
          <w:rFonts w:ascii="Palatino Linotype" w:eastAsia="Calibri" w:hAnsi="Palatino Linotype" w:cs="Arial"/>
          <w:color w:val="000000" w:themeColor="text1"/>
          <w:sz w:val="22"/>
        </w:rPr>
        <w:t xml:space="preserve"> fue bajo principio de máxima publicidad, con la finalidad de garantizar el derecho de acceso a la información pública, en razón de que </w:t>
      </w:r>
      <w:r w:rsidR="002950FA" w:rsidRPr="00117AC8">
        <w:rPr>
          <w:rFonts w:ascii="Palatino Linotype" w:eastAsia="Calibri" w:hAnsi="Palatino Linotype" w:cs="Arial"/>
          <w:b/>
          <w:color w:val="000000" w:themeColor="text1"/>
          <w:sz w:val="22"/>
        </w:rPr>
        <w:t xml:space="preserve">derivado de una nueva búsqueda exhaustiva y razonable </w:t>
      </w:r>
      <w:r w:rsidR="002950FA">
        <w:rPr>
          <w:rFonts w:ascii="Palatino Linotype" w:eastAsia="Calibri" w:hAnsi="Palatino Linotype" w:cs="Arial"/>
          <w:color w:val="000000" w:themeColor="text1"/>
          <w:sz w:val="22"/>
        </w:rPr>
        <w:t>en las unidades administrativas de la Dirección a su cargo y atendiendo a la literalidad de la solicitud 00119/SEDUO/IP/2022</w:t>
      </w:r>
      <w:r w:rsidR="002950FA" w:rsidRPr="00117AC8">
        <w:rPr>
          <w:rFonts w:ascii="Palatino Linotype" w:eastAsia="Calibri" w:hAnsi="Palatino Linotype" w:cs="Arial"/>
          <w:b/>
          <w:color w:val="000000" w:themeColor="text1"/>
          <w:sz w:val="22"/>
        </w:rPr>
        <w:t xml:space="preserve">, no se localizaron recursos administrativos de inconformidad en contra de respuestas emitidas, respecto a la improcedencia o negativa de autorización y/o emisión del dictamen de vialidad o autorización de condominio en el año 2021, en relación a solicitudes formuladas de predios ubicados en la Delegación de San Mateo Oxtotitlán, en el Municipio de Toluca, </w:t>
      </w:r>
      <w:r w:rsidR="00051231">
        <w:rPr>
          <w:rFonts w:ascii="Palatino Linotype" w:eastAsia="Calibri" w:hAnsi="Palatino Linotype" w:cs="Arial"/>
          <w:b/>
          <w:color w:val="000000" w:themeColor="text1"/>
          <w:sz w:val="22"/>
        </w:rPr>
        <w:t xml:space="preserve">motivo por el cual, </w:t>
      </w:r>
      <w:r w:rsidR="002950FA" w:rsidRPr="00117AC8">
        <w:rPr>
          <w:rFonts w:ascii="Palatino Linotype" w:eastAsia="Calibri" w:hAnsi="Palatino Linotype" w:cs="Arial"/>
          <w:b/>
          <w:color w:val="000000" w:themeColor="text1"/>
          <w:sz w:val="22"/>
        </w:rPr>
        <w:t>no es posible proporcionar el número de expediente que conformó el recurso administrativo</w:t>
      </w:r>
      <w:r w:rsidR="00117AC8" w:rsidRPr="00117AC8">
        <w:rPr>
          <w:rFonts w:ascii="Palatino Linotype" w:eastAsia="Calibri" w:hAnsi="Palatino Linotype" w:cs="Arial"/>
          <w:b/>
          <w:color w:val="000000" w:themeColor="text1"/>
          <w:sz w:val="22"/>
        </w:rPr>
        <w:t xml:space="preserve"> de inconformidad.</w:t>
      </w:r>
      <w:r w:rsidR="00117AC8">
        <w:rPr>
          <w:rFonts w:ascii="Palatino Linotype" w:eastAsia="Calibri" w:hAnsi="Palatino Linotype" w:cs="Arial"/>
          <w:color w:val="000000" w:themeColor="text1"/>
          <w:sz w:val="22"/>
        </w:rPr>
        <w:t xml:space="preserve"> No obstante a lo anterior, </w:t>
      </w:r>
      <w:r w:rsidR="00051231">
        <w:rPr>
          <w:rFonts w:ascii="Palatino Linotype" w:eastAsia="Calibri" w:hAnsi="Palatino Linotype" w:cs="Arial"/>
          <w:color w:val="000000" w:themeColor="text1"/>
          <w:sz w:val="22"/>
        </w:rPr>
        <w:t xml:space="preserve">refirió que bajo </w:t>
      </w:r>
      <w:r w:rsidR="00117AC8">
        <w:rPr>
          <w:rFonts w:ascii="Palatino Linotype" w:eastAsia="Calibri" w:hAnsi="Palatino Linotype" w:cs="Arial"/>
          <w:color w:val="000000" w:themeColor="text1"/>
          <w:sz w:val="22"/>
        </w:rPr>
        <w:t xml:space="preserve">principio de máxima publicidad, </w:t>
      </w:r>
      <w:r w:rsidR="00117AC8" w:rsidRPr="00117AC8">
        <w:rPr>
          <w:rFonts w:ascii="Palatino Linotype" w:eastAsia="Calibri" w:hAnsi="Palatino Linotype" w:cs="Arial"/>
          <w:b/>
          <w:color w:val="000000" w:themeColor="text1"/>
          <w:sz w:val="22"/>
        </w:rPr>
        <w:t>en respuesta informó que de identificó el recurso administrativo de inconformidad en contra del oficio 22400101040000T/0326/2021</w:t>
      </w:r>
      <w:r w:rsidR="00051231">
        <w:rPr>
          <w:rFonts w:ascii="Palatino Linotype" w:eastAsia="Calibri" w:hAnsi="Palatino Linotype" w:cs="Arial"/>
          <w:color w:val="000000" w:themeColor="text1"/>
          <w:sz w:val="22"/>
        </w:rPr>
        <w:t xml:space="preserve">, de fecha 27 de mayo de 2021, </w:t>
      </w:r>
      <w:r w:rsidR="00051231" w:rsidRPr="00051231">
        <w:rPr>
          <w:rFonts w:ascii="Palatino Linotype" w:eastAsia="Calibri" w:hAnsi="Palatino Linotype" w:cs="Arial"/>
          <w:b/>
          <w:color w:val="000000" w:themeColor="text1"/>
          <w:sz w:val="22"/>
        </w:rPr>
        <w:t>mismo que</w:t>
      </w:r>
      <w:r w:rsidR="00117AC8" w:rsidRPr="00051231">
        <w:rPr>
          <w:rFonts w:ascii="Palatino Linotype" w:eastAsia="Calibri" w:hAnsi="Palatino Linotype" w:cs="Arial"/>
          <w:b/>
          <w:color w:val="000000" w:themeColor="text1"/>
          <w:sz w:val="22"/>
        </w:rPr>
        <w:t xml:space="preserve"> deriva de un escrito de petición, en donde en ningún momento, la Dirección General de Operación y Control Urbano determinó la procedencia, improcedencia o negativa;</w:t>
      </w:r>
      <w:r w:rsidR="00117AC8">
        <w:rPr>
          <w:rFonts w:ascii="Palatino Linotype" w:eastAsia="Calibri" w:hAnsi="Palatino Linotype" w:cs="Arial"/>
          <w:color w:val="000000" w:themeColor="text1"/>
          <w:sz w:val="22"/>
        </w:rPr>
        <w:t xml:space="preserve"> </w:t>
      </w:r>
      <w:r w:rsidR="00051231">
        <w:rPr>
          <w:rFonts w:ascii="Palatino Linotype" w:eastAsia="Calibri" w:hAnsi="Palatino Linotype" w:cs="Arial"/>
          <w:color w:val="000000" w:themeColor="text1"/>
          <w:sz w:val="22"/>
        </w:rPr>
        <w:t xml:space="preserve">en este sentido, </w:t>
      </w:r>
      <w:r w:rsidR="00117AC8" w:rsidRPr="00051231">
        <w:rPr>
          <w:rFonts w:ascii="Palatino Linotype" w:eastAsia="Calibri" w:hAnsi="Palatino Linotype" w:cs="Arial"/>
          <w:b/>
          <w:color w:val="000000" w:themeColor="text1"/>
          <w:sz w:val="22"/>
        </w:rPr>
        <w:t>el recurso administrativo de inconformidad en cuestión, no deviene de un trámite común, solo se trató d</w:t>
      </w:r>
      <w:r w:rsidR="00051231" w:rsidRPr="00051231">
        <w:rPr>
          <w:rFonts w:ascii="Palatino Linotype" w:eastAsia="Calibri" w:hAnsi="Palatino Linotype" w:cs="Arial"/>
          <w:b/>
          <w:color w:val="000000" w:themeColor="text1"/>
          <w:sz w:val="22"/>
        </w:rPr>
        <w:t>e un derecho de petición, al</w:t>
      </w:r>
      <w:r w:rsidR="00117AC8" w:rsidRPr="00051231">
        <w:rPr>
          <w:rFonts w:ascii="Palatino Linotype" w:eastAsia="Calibri" w:hAnsi="Palatino Linotype" w:cs="Arial"/>
          <w:b/>
          <w:color w:val="000000" w:themeColor="text1"/>
          <w:sz w:val="22"/>
        </w:rPr>
        <w:t xml:space="preserve"> cual le recayó una respuesta; motivo por el cual no fue procedente abrir un expediente de dicho medio de defensa.</w:t>
      </w:r>
    </w:p>
    <w:p w14:paraId="190BC1BD" w14:textId="77777777" w:rsidR="002950FA" w:rsidRPr="00051231" w:rsidRDefault="002950FA" w:rsidP="00051231">
      <w:pPr>
        <w:tabs>
          <w:tab w:val="left" w:pos="426"/>
        </w:tabs>
        <w:contextualSpacing/>
        <w:jc w:val="both"/>
        <w:rPr>
          <w:rFonts w:ascii="Palatino Linotype" w:eastAsia="Calibri" w:hAnsi="Palatino Linotype" w:cs="Arial"/>
          <w:b/>
          <w:color w:val="000000" w:themeColor="text1"/>
          <w:sz w:val="22"/>
        </w:rPr>
      </w:pPr>
    </w:p>
    <w:p w14:paraId="46C789F2" w14:textId="2EC78564" w:rsidR="00051231" w:rsidRDefault="00C66FEF" w:rsidP="00C66FEF">
      <w:pPr>
        <w:pStyle w:val="Prrafodelista"/>
        <w:tabs>
          <w:tab w:val="left" w:pos="426"/>
        </w:tabs>
        <w:ind w:left="567"/>
        <w:contextualSpacing/>
        <w:jc w:val="both"/>
        <w:rPr>
          <w:rFonts w:ascii="Palatino Linotype" w:eastAsia="Calibri" w:hAnsi="Palatino Linotype" w:cs="Arial"/>
          <w:b/>
          <w:color w:val="000000" w:themeColor="text1"/>
          <w:sz w:val="22"/>
        </w:rPr>
      </w:pPr>
      <w:r w:rsidRPr="00C66FEF">
        <w:rPr>
          <w:rFonts w:ascii="Palatino Linotype" w:eastAsia="Calibri" w:hAnsi="Palatino Linotype" w:cs="Arial"/>
          <w:b/>
          <w:color w:val="000000" w:themeColor="text1"/>
          <w:sz w:val="22"/>
        </w:rPr>
        <w:t>ANEXO III OF. 442.pdf:</w:t>
      </w:r>
      <w:r w:rsidR="00051231">
        <w:rPr>
          <w:rFonts w:ascii="Palatino Linotype" w:eastAsia="Calibri" w:hAnsi="Palatino Linotype" w:cs="Arial"/>
          <w:b/>
          <w:color w:val="000000" w:themeColor="text1"/>
          <w:sz w:val="22"/>
        </w:rPr>
        <w:t xml:space="preserve"> </w:t>
      </w:r>
      <w:r w:rsidR="00051231" w:rsidRPr="00051231">
        <w:rPr>
          <w:rFonts w:ascii="Palatino Linotype" w:eastAsia="Calibri" w:hAnsi="Palatino Linotype" w:cs="Arial"/>
          <w:color w:val="000000" w:themeColor="text1"/>
          <w:sz w:val="22"/>
        </w:rPr>
        <w:t>Copia digitalizada del oficio número SEDUO-CI-0442/2022, suscrito por la Titular de la Unidad de Transparencia</w:t>
      </w:r>
      <w:r w:rsidR="00051231">
        <w:rPr>
          <w:rFonts w:ascii="Palatino Linotype" w:eastAsia="Calibri" w:hAnsi="Palatino Linotype" w:cs="Arial"/>
          <w:color w:val="000000" w:themeColor="text1"/>
          <w:sz w:val="22"/>
        </w:rPr>
        <w:t xml:space="preserve">, </w:t>
      </w:r>
      <w:r w:rsidR="00051231" w:rsidRPr="00C66FEF">
        <w:rPr>
          <w:rFonts w:ascii="Palatino Linotype" w:hAnsi="Palatino Linotype"/>
          <w:sz w:val="22"/>
          <w:szCs w:val="22"/>
        </w:rPr>
        <w:t>por medio del cual,</w:t>
      </w:r>
      <w:r w:rsidR="00051231">
        <w:rPr>
          <w:rFonts w:ascii="Palatino Linotype" w:hAnsi="Palatino Linotype"/>
          <w:b/>
          <w:sz w:val="22"/>
          <w:szCs w:val="22"/>
        </w:rPr>
        <w:t xml:space="preserve"> informó que la Directora de Operación y Control Urbano, manifestó que después de una búsqueda exhaustiva en la Dirección a su cargo, únicamente de identificó el recurso administrativo de inconformidad en contra del oficio 22400101040000T/0326/2021, de fecha 27 de mayo de 2021. (Oficio remitido en respuesta).</w:t>
      </w:r>
    </w:p>
    <w:p w14:paraId="7160B334" w14:textId="7003DAA9" w:rsidR="00C66FEF" w:rsidRPr="00C66FEF" w:rsidRDefault="00051231" w:rsidP="00C66FEF">
      <w:pPr>
        <w:pStyle w:val="Prrafodelista"/>
        <w:tabs>
          <w:tab w:val="left" w:pos="426"/>
        </w:tabs>
        <w:ind w:left="567"/>
        <w:contextualSpacing/>
        <w:jc w:val="both"/>
        <w:rPr>
          <w:rFonts w:ascii="Palatino Linotype" w:eastAsia="Calibri" w:hAnsi="Palatino Linotype" w:cs="Arial"/>
          <w:b/>
          <w:color w:val="000000" w:themeColor="text1"/>
          <w:sz w:val="22"/>
        </w:rPr>
      </w:pPr>
      <w:r>
        <w:rPr>
          <w:rFonts w:ascii="Palatino Linotype" w:eastAsia="Calibri" w:hAnsi="Palatino Linotype" w:cs="Arial"/>
          <w:b/>
          <w:color w:val="000000" w:themeColor="text1"/>
          <w:sz w:val="22"/>
        </w:rPr>
        <w:t xml:space="preserve"> </w:t>
      </w:r>
    </w:p>
    <w:p w14:paraId="74C1D9E3" w14:textId="3F5DC5C8" w:rsidR="00CC0AF7" w:rsidRPr="00CC0AF7" w:rsidRDefault="00C66FEF" w:rsidP="00CC0AF7">
      <w:pPr>
        <w:pStyle w:val="Prrafodelista"/>
        <w:tabs>
          <w:tab w:val="left" w:pos="426"/>
        </w:tabs>
        <w:ind w:left="567"/>
        <w:contextualSpacing/>
        <w:jc w:val="both"/>
        <w:rPr>
          <w:rFonts w:ascii="Palatino Linotype" w:hAnsi="Palatino Linotype"/>
          <w:b/>
          <w:sz w:val="22"/>
          <w:szCs w:val="22"/>
        </w:rPr>
      </w:pPr>
      <w:r w:rsidRPr="00C66FEF">
        <w:rPr>
          <w:rFonts w:ascii="Palatino Linotype" w:eastAsia="Calibri" w:hAnsi="Palatino Linotype" w:cs="Arial"/>
          <w:b/>
          <w:color w:val="000000" w:themeColor="text1"/>
          <w:sz w:val="22"/>
        </w:rPr>
        <w:t>Anexo I OF. 1882 DGOYCU.pdf:</w:t>
      </w:r>
      <w:r w:rsidR="00051231">
        <w:rPr>
          <w:rFonts w:ascii="Palatino Linotype" w:eastAsia="Calibri" w:hAnsi="Palatino Linotype" w:cs="Arial"/>
          <w:b/>
          <w:color w:val="000000" w:themeColor="text1"/>
          <w:sz w:val="22"/>
        </w:rPr>
        <w:t xml:space="preserve"> </w:t>
      </w:r>
      <w:r w:rsidR="00051231" w:rsidRPr="00CC0AF7">
        <w:rPr>
          <w:rFonts w:ascii="Palatino Linotype" w:eastAsia="Calibri" w:hAnsi="Palatino Linotype" w:cs="Arial"/>
          <w:color w:val="000000" w:themeColor="text1"/>
          <w:sz w:val="22"/>
        </w:rPr>
        <w:t xml:space="preserve">Copia digitalizada del oficio número 22400105000000L/001882/2022, suscrito por la Directora General de Operación y Control Urbano, por medio del cual, </w:t>
      </w:r>
      <w:r w:rsidR="00CC0AF7">
        <w:rPr>
          <w:rFonts w:ascii="Palatino Linotype" w:eastAsia="Calibri" w:hAnsi="Palatino Linotype" w:cs="Arial"/>
          <w:color w:val="000000" w:themeColor="text1"/>
          <w:sz w:val="22"/>
        </w:rPr>
        <w:t xml:space="preserve">informó </w:t>
      </w:r>
      <w:r w:rsidR="00CC0AF7">
        <w:rPr>
          <w:rFonts w:ascii="Palatino Linotype" w:hAnsi="Palatino Linotype"/>
          <w:b/>
          <w:sz w:val="22"/>
          <w:szCs w:val="22"/>
        </w:rPr>
        <w:t xml:space="preserve">que después de una búsqueda exhaustiva en la Dirección a su cargo, únicamente de identificó el siguiente recurso administrativo de inconformidad: </w:t>
      </w:r>
      <w:r w:rsidR="00CC0AF7" w:rsidRPr="00CC0AF7">
        <w:rPr>
          <w:rFonts w:ascii="Palatino Linotype" w:eastAsia="Calibri" w:hAnsi="Palatino Linotype" w:cs="Arial"/>
          <w:b/>
          <w:color w:val="000000" w:themeColor="text1"/>
          <w:sz w:val="22"/>
        </w:rPr>
        <w:t xml:space="preserve">1.- Recurso administrativo de inconformidad en contra del oficio </w:t>
      </w:r>
      <w:r w:rsidR="00CC0AF7" w:rsidRPr="00CC0AF7">
        <w:rPr>
          <w:rFonts w:ascii="Palatino Linotype" w:hAnsi="Palatino Linotype"/>
          <w:b/>
          <w:sz w:val="22"/>
          <w:szCs w:val="22"/>
        </w:rPr>
        <w:t>22400101040000T/0326/2021, de fecha 27 de mayo de 2021.</w:t>
      </w:r>
    </w:p>
    <w:p w14:paraId="4BD0C117" w14:textId="77777777" w:rsidR="00CC0AF7" w:rsidRDefault="00CC0AF7" w:rsidP="00C66FEF">
      <w:pPr>
        <w:pStyle w:val="Prrafodelista"/>
        <w:tabs>
          <w:tab w:val="left" w:pos="426"/>
        </w:tabs>
        <w:ind w:left="567"/>
        <w:contextualSpacing/>
        <w:jc w:val="both"/>
        <w:rPr>
          <w:rFonts w:ascii="Palatino Linotype" w:eastAsia="Calibri" w:hAnsi="Palatino Linotype" w:cs="Arial"/>
          <w:b/>
          <w:color w:val="000000" w:themeColor="text1"/>
          <w:sz w:val="22"/>
        </w:rPr>
      </w:pPr>
    </w:p>
    <w:p w14:paraId="19DBF94E" w14:textId="77777777" w:rsidR="00051231" w:rsidRPr="00051231" w:rsidRDefault="00051231" w:rsidP="00051231">
      <w:pPr>
        <w:tabs>
          <w:tab w:val="left" w:pos="426"/>
        </w:tabs>
        <w:contextualSpacing/>
        <w:jc w:val="both"/>
        <w:rPr>
          <w:rFonts w:ascii="Palatino Linotype" w:eastAsia="Calibri" w:hAnsi="Palatino Linotype" w:cs="Arial"/>
          <w:b/>
          <w:color w:val="000000" w:themeColor="text1"/>
          <w:sz w:val="22"/>
        </w:rPr>
      </w:pPr>
    </w:p>
    <w:p w14:paraId="566E260B" w14:textId="1C8611DF" w:rsidR="00C66FEF" w:rsidRPr="00C66FEF" w:rsidRDefault="00C66FEF" w:rsidP="00C66FEF">
      <w:pPr>
        <w:pStyle w:val="Prrafodelista"/>
        <w:tabs>
          <w:tab w:val="left" w:pos="426"/>
        </w:tabs>
        <w:ind w:left="567"/>
        <w:contextualSpacing/>
        <w:jc w:val="both"/>
        <w:rPr>
          <w:rFonts w:ascii="Palatino Linotype" w:eastAsia="Calibri" w:hAnsi="Palatino Linotype" w:cs="Arial"/>
          <w:b/>
          <w:color w:val="000000" w:themeColor="text1"/>
          <w:sz w:val="22"/>
        </w:rPr>
      </w:pPr>
      <w:r w:rsidRPr="00C66FEF">
        <w:rPr>
          <w:rFonts w:ascii="Palatino Linotype" w:eastAsia="Calibri" w:hAnsi="Palatino Linotype" w:cs="Arial"/>
          <w:b/>
          <w:color w:val="000000" w:themeColor="text1"/>
          <w:sz w:val="22"/>
        </w:rPr>
        <w:lastRenderedPageBreak/>
        <w:t>Of. 553 I.J. sol. 119.pdf:</w:t>
      </w:r>
      <w:r w:rsidR="00CC0AF7">
        <w:rPr>
          <w:rFonts w:ascii="Palatino Linotype" w:eastAsia="Calibri" w:hAnsi="Palatino Linotype" w:cs="Arial"/>
          <w:b/>
          <w:color w:val="000000" w:themeColor="text1"/>
          <w:sz w:val="22"/>
        </w:rPr>
        <w:t xml:space="preserve"> </w:t>
      </w:r>
      <w:r w:rsidR="00CC0AF7" w:rsidRPr="00CC0AF7">
        <w:rPr>
          <w:rFonts w:ascii="Palatino Linotype" w:eastAsia="Calibri" w:hAnsi="Palatino Linotype" w:cs="Arial"/>
          <w:color w:val="000000" w:themeColor="text1"/>
          <w:sz w:val="22"/>
        </w:rPr>
        <w:t xml:space="preserve">Copia digitalizada del oficio número SEUDO-CI-0553/2022, suscrito por la Titular de la Unidad de Transparencia, por medio del cual, </w:t>
      </w:r>
      <w:r w:rsidR="00CC0AF7">
        <w:rPr>
          <w:rFonts w:ascii="Palatino Linotype" w:eastAsia="Calibri" w:hAnsi="Palatino Linotype" w:cs="Arial"/>
          <w:color w:val="000000" w:themeColor="text1"/>
          <w:sz w:val="22"/>
        </w:rPr>
        <w:t xml:space="preserve">rindió el informe justificado correspondiente e informó el pronunciamiento del Servidor Público Habilitado, de conformidad con lo expuesto en el archivo electrónico denominado </w:t>
      </w:r>
      <w:r w:rsidR="00CC0AF7">
        <w:rPr>
          <w:rFonts w:ascii="Palatino Linotype" w:eastAsia="Calibri" w:hAnsi="Palatino Linotype" w:cs="Arial"/>
          <w:b/>
          <w:color w:val="000000" w:themeColor="text1"/>
          <w:sz w:val="22"/>
        </w:rPr>
        <w:t>ANEXO II OF. 2191 DGOYCU.pdf</w:t>
      </w:r>
      <w:r w:rsidR="00CC0AF7" w:rsidRPr="002A4DA7">
        <w:rPr>
          <w:rFonts w:ascii="Palatino Linotype" w:eastAsia="Calibri" w:hAnsi="Palatino Linotype" w:cs="Arial"/>
          <w:color w:val="000000" w:themeColor="text1"/>
          <w:sz w:val="22"/>
        </w:rPr>
        <w:t>, consistente en la</w:t>
      </w:r>
      <w:r w:rsidR="00CC0AF7">
        <w:rPr>
          <w:rFonts w:ascii="Palatino Linotype" w:eastAsia="Calibri" w:hAnsi="Palatino Linotype" w:cs="Arial"/>
          <w:b/>
          <w:color w:val="000000" w:themeColor="text1"/>
          <w:sz w:val="22"/>
        </w:rPr>
        <w:t xml:space="preserve"> c</w:t>
      </w:r>
      <w:r w:rsidR="00CC0AF7" w:rsidRPr="002950FA">
        <w:rPr>
          <w:rFonts w:ascii="Palatino Linotype" w:eastAsia="Calibri" w:hAnsi="Palatino Linotype" w:cs="Arial"/>
          <w:color w:val="000000" w:themeColor="text1"/>
          <w:sz w:val="22"/>
        </w:rPr>
        <w:t>opia digitalizada del oficio número 22400105000000L/002191/2022</w:t>
      </w:r>
      <w:r w:rsidR="002A4DA7">
        <w:rPr>
          <w:rFonts w:ascii="Palatino Linotype" w:eastAsia="Calibri" w:hAnsi="Palatino Linotype" w:cs="Arial"/>
          <w:color w:val="000000" w:themeColor="text1"/>
          <w:sz w:val="22"/>
        </w:rPr>
        <w:t>, antes descr</w:t>
      </w:r>
      <w:r w:rsidR="00182F03">
        <w:rPr>
          <w:rFonts w:ascii="Palatino Linotype" w:eastAsia="Calibri" w:hAnsi="Palatino Linotype" w:cs="Arial"/>
          <w:color w:val="000000" w:themeColor="text1"/>
          <w:sz w:val="22"/>
        </w:rPr>
        <w:t>ito. Y, e</w:t>
      </w:r>
      <w:r w:rsidR="002A4DA7">
        <w:rPr>
          <w:rFonts w:ascii="Palatino Linotype" w:eastAsia="Calibri" w:hAnsi="Palatino Linotype" w:cs="Arial"/>
          <w:color w:val="000000" w:themeColor="text1"/>
          <w:sz w:val="22"/>
        </w:rPr>
        <w:t xml:space="preserve">n consecuencia, </w:t>
      </w:r>
      <w:r w:rsidR="002A4DA7" w:rsidRPr="00182F03">
        <w:rPr>
          <w:rFonts w:ascii="Palatino Linotype" w:eastAsia="Calibri" w:hAnsi="Palatino Linotype" w:cs="Arial"/>
          <w:b/>
          <w:color w:val="000000" w:themeColor="text1"/>
          <w:sz w:val="22"/>
        </w:rPr>
        <w:t xml:space="preserve">refirió que en el asunto en particular, no es posible proporcionar el número de expediente que conformó el recurso administrativo de inconformidad, en razón de que atendiendo a la literalidad de la solicitud 00119/SEDUO/IP/2022, no se localizaron recursos administrativos de inconformidad en contra de respuestas emitidas por la Dirección de </w:t>
      </w:r>
      <w:r w:rsidR="00182F03" w:rsidRPr="00182F03">
        <w:rPr>
          <w:rFonts w:ascii="Palatino Linotype" w:eastAsia="Calibri" w:hAnsi="Palatino Linotype" w:cs="Arial"/>
          <w:b/>
          <w:color w:val="000000" w:themeColor="text1"/>
          <w:sz w:val="22"/>
        </w:rPr>
        <w:t>Operación y Control Urbano</w:t>
      </w:r>
      <w:r w:rsidR="002A4DA7" w:rsidRPr="00182F03">
        <w:rPr>
          <w:rFonts w:ascii="Palatino Linotype" w:eastAsia="Calibri" w:hAnsi="Palatino Linotype" w:cs="Arial"/>
          <w:b/>
          <w:color w:val="000000" w:themeColor="text1"/>
          <w:sz w:val="22"/>
        </w:rPr>
        <w:t>, respecto a la improcedencia</w:t>
      </w:r>
      <w:r w:rsidR="00182F03" w:rsidRPr="00182F03">
        <w:rPr>
          <w:rFonts w:ascii="Palatino Linotype" w:eastAsia="Calibri" w:hAnsi="Palatino Linotype" w:cs="Arial"/>
          <w:b/>
          <w:color w:val="000000" w:themeColor="text1"/>
          <w:sz w:val="22"/>
        </w:rPr>
        <w:t xml:space="preserve"> o negativa de autorización y/o emisión del dictamen de vialidad o autorización de condominio en el año 2021, en relación a solicitudes formuladas de predios ubicados en la Delegación de San Mateo Oxtotitlán, en el Municipio de Toluca.</w:t>
      </w:r>
    </w:p>
    <w:p w14:paraId="3EC08CCE" w14:textId="77777777" w:rsidR="00DF76A4" w:rsidRPr="00A93EA3" w:rsidRDefault="00DF76A4" w:rsidP="00A93EA3">
      <w:pPr>
        <w:rPr>
          <w:rFonts w:ascii="Palatino Linotype" w:eastAsia="Calibri" w:hAnsi="Palatino Linotype" w:cs="Arial"/>
          <w:color w:val="000000" w:themeColor="text1"/>
        </w:rPr>
      </w:pPr>
      <w:bookmarkStart w:id="4" w:name="_Toc461555889"/>
      <w:bookmarkStart w:id="5" w:name="_Toc466371858"/>
      <w:bookmarkStart w:id="6" w:name="_Toc68804758"/>
    </w:p>
    <w:p w14:paraId="4996DDC3" w14:textId="60B331BF" w:rsidR="00DF76A4" w:rsidRP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eastAsia="Calibri" w:hAnsi="Palatino Linotype" w:cs="Arial"/>
          <w:color w:val="000000" w:themeColor="text1"/>
        </w:rPr>
        <w:t>Por su parte</w:t>
      </w:r>
      <w:r>
        <w:rPr>
          <w:rFonts w:ascii="Palatino Linotype" w:eastAsia="Calibri" w:hAnsi="Palatino Linotype" w:cs="Arial"/>
          <w:color w:val="000000" w:themeColor="text1"/>
        </w:rPr>
        <w:t>,</w:t>
      </w:r>
      <w:r w:rsidRPr="00DF76A4">
        <w:rPr>
          <w:rFonts w:ascii="Palatino Linotype" w:eastAsia="Calibri" w:hAnsi="Palatino Linotype" w:cs="Arial"/>
          <w:color w:val="000000" w:themeColor="text1"/>
        </w:rPr>
        <w:t xml:space="preserve"> el </w:t>
      </w:r>
      <w:r w:rsidR="00C66FEF" w:rsidRPr="00C66FEF">
        <w:rPr>
          <w:rFonts w:ascii="Palatino Linotype" w:eastAsia="Calibri" w:hAnsi="Palatino Linotype" w:cs="Arial"/>
          <w:b/>
          <w:color w:val="000000" w:themeColor="text1"/>
        </w:rPr>
        <w:t>RECURRENTE</w:t>
      </w:r>
      <w:r w:rsidRPr="00DF76A4">
        <w:rPr>
          <w:rFonts w:ascii="Palatino Linotype" w:eastAsia="Calibri" w:hAnsi="Palatino Linotype" w:cs="Arial"/>
          <w:color w:val="000000" w:themeColor="text1"/>
        </w:rPr>
        <w:t xml:space="preserve"> no realizó manifestaciones, ni ofreció pruebas o alegatos que a su derecho convinieran.</w:t>
      </w:r>
      <w:r w:rsidR="00735CEA" w:rsidRPr="00DF76A4">
        <w:rPr>
          <w:rFonts w:ascii="Palatino Linotype" w:eastAsia="Calibri" w:hAnsi="Palatino Linotype" w:cs="Arial"/>
          <w:color w:val="000000" w:themeColor="text1"/>
        </w:rPr>
        <w:t xml:space="preserve"> </w:t>
      </w:r>
    </w:p>
    <w:p w14:paraId="3BC66904" w14:textId="77777777" w:rsidR="00DF76A4" w:rsidRPr="00DF76A4" w:rsidRDefault="00DF76A4" w:rsidP="00DF76A4">
      <w:pPr>
        <w:rPr>
          <w:rFonts w:ascii="Palatino Linotype" w:eastAsiaTheme="minorEastAsia" w:hAnsi="Palatino Linotype" w:cstheme="minorBidi"/>
          <w:color w:val="000000" w:themeColor="text1"/>
          <w:lang w:val="es-ES_tradnl"/>
        </w:rPr>
      </w:pPr>
    </w:p>
    <w:p w14:paraId="70A5312D" w14:textId="15ABBF21"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eastAsiaTheme="minorEastAsia" w:hAnsi="Palatino Linotype" w:cstheme="minorBidi"/>
          <w:color w:val="000000" w:themeColor="text1"/>
          <w:lang w:val="es-ES_tradnl"/>
        </w:rPr>
        <w:t xml:space="preserve">El </w:t>
      </w:r>
      <w:r w:rsidR="00C66FEF">
        <w:rPr>
          <w:rFonts w:ascii="Palatino Linotype" w:eastAsia="Calibri" w:hAnsi="Palatino Linotype" w:cs="Arial"/>
          <w:color w:val="000000" w:themeColor="text1"/>
        </w:rPr>
        <w:t>diecinueve de agosto</w:t>
      </w:r>
      <w:r w:rsidRPr="00DF76A4">
        <w:rPr>
          <w:rFonts w:ascii="Palatino Linotype" w:eastAsia="Calibri" w:hAnsi="Palatino Linotype" w:cs="Arial"/>
          <w:color w:val="000000" w:themeColor="text1"/>
        </w:rPr>
        <w:t xml:space="preserve"> de dos mil veintidós se</w:t>
      </w:r>
      <w:r w:rsidRPr="00DF76A4">
        <w:rPr>
          <w:rFonts w:ascii="Palatino Linotype" w:hAnsi="Palatino Linotype" w:cs="Arial"/>
          <w:color w:val="000000" w:themeColor="text1"/>
        </w:rPr>
        <w:t xml:space="preserve"> notificó el acuerdo mediante el cual se aprobó la ampliación de plazo para emitir resolución. </w:t>
      </w:r>
    </w:p>
    <w:p w14:paraId="0C5C778C" w14:textId="77777777" w:rsidR="00DF76A4" w:rsidRPr="00DF76A4" w:rsidRDefault="00DF76A4" w:rsidP="00DF76A4">
      <w:pPr>
        <w:rPr>
          <w:rFonts w:ascii="Palatino Linotype" w:hAnsi="Palatino Linotype"/>
        </w:rPr>
      </w:pPr>
    </w:p>
    <w:p w14:paraId="5DF72F91" w14:textId="3250042E" w:rsidR="00DF76A4" w:rsidRPr="00C66FEF"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78D01FC3" w14:textId="77777777" w:rsidR="00C66FEF" w:rsidRPr="00A93EA3" w:rsidRDefault="00C66FEF" w:rsidP="00C66FEF">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1F86D2E8" w14:textId="77777777"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255CE59" w14:textId="77777777" w:rsidR="00DF76A4" w:rsidRPr="00DF76A4" w:rsidRDefault="00DF76A4" w:rsidP="00DF76A4">
      <w:pPr>
        <w:rPr>
          <w:rFonts w:ascii="Palatino Linotype" w:hAnsi="Palatino Linotype"/>
        </w:rPr>
      </w:pPr>
    </w:p>
    <w:p w14:paraId="5B2C01BF" w14:textId="77777777"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24BECB4" w14:textId="77777777" w:rsidR="00DF76A4" w:rsidRPr="00C66FEF" w:rsidRDefault="00DF76A4" w:rsidP="00C66FEF">
      <w:pPr>
        <w:rPr>
          <w:rFonts w:ascii="Palatino Linotype" w:hAnsi="Palatino Linotype"/>
        </w:rPr>
      </w:pPr>
    </w:p>
    <w:p w14:paraId="36A71491" w14:textId="77777777"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CCBD77" w14:textId="77777777" w:rsidR="00DF76A4" w:rsidRPr="00DF76A4" w:rsidRDefault="00DF76A4" w:rsidP="00DF76A4">
      <w:pPr>
        <w:rPr>
          <w:rFonts w:ascii="Palatino Linotype" w:hAnsi="Palatino Linotype"/>
        </w:rPr>
      </w:pPr>
    </w:p>
    <w:p w14:paraId="252F4941" w14:textId="0634BA2A" w:rsidR="00DF76A4" w:rsidRP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FD6A1D2" w14:textId="5F5ADF1B" w:rsidR="00DF76A4" w:rsidRDefault="00DF76A4" w:rsidP="00DF76A4">
      <w:pPr>
        <w:tabs>
          <w:tab w:val="left" w:pos="426"/>
        </w:tabs>
        <w:spacing w:line="360" w:lineRule="auto"/>
        <w:contextualSpacing/>
        <w:jc w:val="both"/>
        <w:rPr>
          <w:rFonts w:ascii="Palatino Linotype" w:eastAsia="Calibri" w:hAnsi="Palatino Linotype" w:cs="Arial"/>
          <w:color w:val="000000" w:themeColor="text1"/>
        </w:rPr>
      </w:pPr>
    </w:p>
    <w:p w14:paraId="5A3E1CFB" w14:textId="77777777" w:rsidR="00DF76A4" w:rsidRPr="00D371F7" w:rsidRDefault="00DF76A4" w:rsidP="00C66FEF">
      <w:pPr>
        <w:pStyle w:val="Prrafodelista"/>
        <w:numPr>
          <w:ilvl w:val="0"/>
          <w:numId w:val="16"/>
        </w:numPr>
        <w:ind w:left="709" w:right="565" w:hanging="142"/>
        <w:contextualSpacing/>
        <w:jc w:val="both"/>
        <w:rPr>
          <w:rFonts w:ascii="Palatino Linotype" w:hAnsi="Palatino Linotype"/>
          <w:sz w:val="22"/>
          <w:szCs w:val="22"/>
        </w:rPr>
      </w:pPr>
      <w:r w:rsidRPr="00D371F7">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1BEAA7BF" w14:textId="77777777" w:rsidR="00DF76A4" w:rsidRPr="00D371F7" w:rsidRDefault="00DF76A4" w:rsidP="00C66FEF">
      <w:pPr>
        <w:pStyle w:val="Prrafodelista"/>
        <w:ind w:left="709" w:right="565" w:hanging="142"/>
        <w:jc w:val="both"/>
        <w:rPr>
          <w:rFonts w:ascii="Palatino Linotype" w:hAnsi="Palatino Linotype"/>
          <w:sz w:val="22"/>
          <w:szCs w:val="22"/>
        </w:rPr>
      </w:pPr>
    </w:p>
    <w:p w14:paraId="143206B5" w14:textId="77777777" w:rsidR="00DF76A4" w:rsidRPr="00D371F7" w:rsidRDefault="00DF76A4" w:rsidP="00C66FEF">
      <w:pPr>
        <w:pStyle w:val="Prrafodelista"/>
        <w:numPr>
          <w:ilvl w:val="0"/>
          <w:numId w:val="16"/>
        </w:numPr>
        <w:ind w:left="709" w:right="565" w:hanging="142"/>
        <w:contextualSpacing/>
        <w:jc w:val="both"/>
        <w:rPr>
          <w:rFonts w:ascii="Palatino Linotype" w:hAnsi="Palatino Linotype"/>
          <w:sz w:val="22"/>
          <w:szCs w:val="22"/>
        </w:rPr>
      </w:pPr>
      <w:r w:rsidRPr="00D371F7">
        <w:rPr>
          <w:rFonts w:ascii="Palatino Linotype" w:hAnsi="Palatino Linotype"/>
          <w:sz w:val="22"/>
          <w:szCs w:val="22"/>
        </w:rPr>
        <w:t>Actividad Procesal del interesado. Acciones u omisiones del interesado.</w:t>
      </w:r>
    </w:p>
    <w:p w14:paraId="5E3809B2" w14:textId="77777777" w:rsidR="00DF76A4" w:rsidRPr="00D371F7" w:rsidRDefault="00DF76A4" w:rsidP="00C66FEF">
      <w:pPr>
        <w:ind w:left="709" w:right="565" w:hanging="142"/>
        <w:jc w:val="both"/>
        <w:rPr>
          <w:rFonts w:ascii="Palatino Linotype" w:hAnsi="Palatino Linotype"/>
          <w:sz w:val="22"/>
          <w:szCs w:val="22"/>
        </w:rPr>
      </w:pPr>
    </w:p>
    <w:p w14:paraId="26D8D77E" w14:textId="77777777" w:rsidR="00DF76A4" w:rsidRPr="00D371F7" w:rsidRDefault="00DF76A4" w:rsidP="00C66FEF">
      <w:pPr>
        <w:pStyle w:val="Prrafodelista"/>
        <w:numPr>
          <w:ilvl w:val="0"/>
          <w:numId w:val="16"/>
        </w:numPr>
        <w:ind w:left="709" w:right="565" w:hanging="142"/>
        <w:contextualSpacing/>
        <w:jc w:val="both"/>
        <w:rPr>
          <w:rFonts w:ascii="Palatino Linotype" w:hAnsi="Palatino Linotype"/>
          <w:sz w:val="22"/>
          <w:szCs w:val="22"/>
        </w:rPr>
      </w:pPr>
      <w:r w:rsidRPr="00D371F7">
        <w:rPr>
          <w:rFonts w:ascii="Palatino Linotype" w:hAnsi="Palatino Linotype"/>
          <w:sz w:val="22"/>
          <w:szCs w:val="22"/>
        </w:rPr>
        <w:t>Conducta de la Autoridad: Las Acciones u omisiones realizadas en el procedimiento. Así como si la autoridad actuó con la debida diligencia.</w:t>
      </w:r>
    </w:p>
    <w:p w14:paraId="67CFD0D7" w14:textId="77777777" w:rsidR="00DF76A4" w:rsidRPr="00D371F7" w:rsidRDefault="00DF76A4" w:rsidP="00C66FEF">
      <w:pPr>
        <w:pStyle w:val="Prrafodelista"/>
        <w:ind w:left="709" w:right="565" w:hanging="142"/>
        <w:rPr>
          <w:rFonts w:ascii="Palatino Linotype" w:hAnsi="Palatino Linotype"/>
          <w:sz w:val="22"/>
          <w:szCs w:val="22"/>
        </w:rPr>
      </w:pPr>
    </w:p>
    <w:p w14:paraId="4FED3604" w14:textId="14883F6B" w:rsidR="00DF76A4" w:rsidRPr="00A93EA3" w:rsidRDefault="00DF76A4" w:rsidP="00C66FEF">
      <w:pPr>
        <w:pStyle w:val="Prrafodelista"/>
        <w:numPr>
          <w:ilvl w:val="0"/>
          <w:numId w:val="16"/>
        </w:numPr>
        <w:ind w:right="565"/>
        <w:jc w:val="both"/>
        <w:rPr>
          <w:rFonts w:ascii="Palatino Linotype" w:hAnsi="Palatino Linotype"/>
          <w:sz w:val="22"/>
          <w:szCs w:val="22"/>
        </w:rPr>
      </w:pPr>
      <w:r w:rsidRPr="00A93EA3">
        <w:rPr>
          <w:rFonts w:ascii="Palatino Linotype" w:hAnsi="Palatino Linotype"/>
          <w:sz w:val="22"/>
          <w:szCs w:val="22"/>
        </w:rPr>
        <w:t>La afectación generada en la situación jurídica de la persona involucrada en el proceso: Violación a sus derechos humanos.</w:t>
      </w:r>
    </w:p>
    <w:p w14:paraId="1D051396" w14:textId="77777777" w:rsidR="00A93EA3" w:rsidRPr="00A93EA3" w:rsidRDefault="00A93EA3" w:rsidP="00A93EA3">
      <w:pPr>
        <w:pStyle w:val="Prrafodelista"/>
        <w:rPr>
          <w:rFonts w:ascii="Palatino Linotype" w:hAnsi="Palatino Linotype"/>
          <w:sz w:val="22"/>
          <w:szCs w:val="22"/>
        </w:rPr>
      </w:pPr>
    </w:p>
    <w:p w14:paraId="58FA4725" w14:textId="77777777" w:rsidR="00A93EA3" w:rsidRPr="00A93EA3" w:rsidRDefault="00A93EA3" w:rsidP="00A93EA3">
      <w:pPr>
        <w:ind w:right="565"/>
        <w:jc w:val="both"/>
        <w:rPr>
          <w:rFonts w:ascii="Palatino Linotype" w:hAnsi="Palatino Linotype"/>
          <w:sz w:val="22"/>
          <w:szCs w:val="22"/>
        </w:rPr>
      </w:pPr>
    </w:p>
    <w:p w14:paraId="044D831F" w14:textId="77777777"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C54410" w14:textId="77777777" w:rsidR="00DF76A4" w:rsidRDefault="00DF76A4" w:rsidP="00DF76A4">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23379ECD" w14:textId="77777777"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 xml:space="preserve">Argumento que encuentra sustento en la jurisprudencia P./J. 32/92 emitida por el Pleno de la Suprema Corte de Justicia de la Nación de rubro </w:t>
      </w:r>
      <w:r w:rsidRPr="00DF76A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F76A4">
        <w:rPr>
          <w:rFonts w:ascii="Palatino Linotype" w:hAnsi="Palatino Linotype"/>
        </w:rPr>
        <w:t>, visible en la Gaceta del Seminario Judicial de la Federación con el registro digital 205635.</w:t>
      </w:r>
    </w:p>
    <w:p w14:paraId="14EE0960" w14:textId="77777777" w:rsidR="00DF76A4" w:rsidRPr="00DF76A4" w:rsidRDefault="00DF76A4" w:rsidP="00DF76A4">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2F71B0A7" w14:textId="6665B842" w:rsidR="00DF76A4" w:rsidRPr="003B1626"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DF76A4">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B3F518" w14:textId="77777777" w:rsidR="003B1626" w:rsidRPr="00DF76A4" w:rsidRDefault="003B1626" w:rsidP="003B1626">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68595ADD" w14:textId="77777777"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EF6BCB1" w14:textId="77777777" w:rsidR="00DF76A4" w:rsidRDefault="00DF76A4" w:rsidP="00DF76A4">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3EAEA0B2" w14:textId="77777777"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C57B1BE" w14:textId="249E8C96" w:rsidR="00DF76A4" w:rsidRDefault="00DF76A4" w:rsidP="00DF76A4">
      <w:pPr>
        <w:rPr>
          <w:rFonts w:ascii="Palatino Linotype" w:hAnsi="Palatino Linotype"/>
        </w:rPr>
      </w:pPr>
    </w:p>
    <w:p w14:paraId="5FB688E9" w14:textId="77777777" w:rsidR="00DF76A4" w:rsidRPr="00D371F7" w:rsidRDefault="00DF76A4" w:rsidP="00C66FEF">
      <w:pPr>
        <w:ind w:left="567" w:right="616"/>
        <w:jc w:val="both"/>
        <w:rPr>
          <w:rFonts w:ascii="Palatino Linotype" w:hAnsi="Palatino Linotype"/>
          <w:sz w:val="22"/>
          <w:szCs w:val="22"/>
        </w:rPr>
      </w:pPr>
      <w:r w:rsidRPr="00D371F7">
        <w:rPr>
          <w:rFonts w:ascii="Palatino Linotype" w:hAnsi="Palatino Linotype"/>
          <w:i/>
          <w:sz w:val="22"/>
          <w:szCs w:val="22"/>
        </w:rPr>
        <w:t>“PLAZO RAZONABLE PARA RESOLVER. DIMENSIÓN Y EFECTOS DE ESTE CONCEPTO CUANDO SE ADUCE EXCESIVA CARGA DE TRABAJO.”</w:t>
      </w:r>
      <w:r w:rsidRPr="00D371F7">
        <w:rPr>
          <w:rFonts w:ascii="Palatino Linotype" w:hAnsi="Palatino Linotype"/>
          <w:sz w:val="22"/>
          <w:szCs w:val="22"/>
        </w:rPr>
        <w:t xml:space="preserve"> consultable en el Seminario Judicial de la Federación y su gaceta, con el registro digital 2002351.</w:t>
      </w:r>
    </w:p>
    <w:p w14:paraId="78AF30AD" w14:textId="77777777" w:rsidR="00DF76A4" w:rsidRPr="00D371F7" w:rsidRDefault="00DF76A4" w:rsidP="00C66FEF">
      <w:pPr>
        <w:ind w:left="567" w:right="616"/>
        <w:jc w:val="both"/>
        <w:rPr>
          <w:rFonts w:ascii="Palatino Linotype" w:hAnsi="Palatino Linotype"/>
          <w:b/>
          <w:sz w:val="22"/>
          <w:szCs w:val="22"/>
        </w:rPr>
      </w:pPr>
    </w:p>
    <w:p w14:paraId="71842BD5" w14:textId="27213043" w:rsidR="00DF76A4" w:rsidRPr="00DF76A4" w:rsidRDefault="00DF76A4" w:rsidP="00C66FEF">
      <w:pPr>
        <w:ind w:left="567" w:right="616"/>
        <w:jc w:val="both"/>
        <w:rPr>
          <w:rFonts w:ascii="Palatino Linotype" w:hAnsi="Palatino Linotype"/>
          <w:sz w:val="22"/>
          <w:szCs w:val="22"/>
        </w:rPr>
      </w:pPr>
      <w:r w:rsidRPr="00D371F7">
        <w:rPr>
          <w:rFonts w:ascii="Palatino Linotype" w:hAnsi="Palatino Linotype"/>
          <w:i/>
          <w:sz w:val="22"/>
          <w:szCs w:val="22"/>
        </w:rPr>
        <w:t>“PLAZO RAZONABLE PARA RESOLVER. CONCEPTO Y ELEMENTOS QUE LO INTEGRAN A LA LUZ DEL DERECHO INTERNACIONAL DE LOS DERECHOS HUMANOS.”</w:t>
      </w:r>
      <w:r w:rsidRPr="00D371F7">
        <w:rPr>
          <w:rFonts w:ascii="Palatino Linotype" w:hAnsi="Palatino Linotype"/>
          <w:sz w:val="22"/>
          <w:szCs w:val="22"/>
        </w:rPr>
        <w:t>, visible en el Seminario Judicial de la Federación y su gaceta, con el registro digital 2002350.</w:t>
      </w:r>
    </w:p>
    <w:p w14:paraId="6E376F52" w14:textId="77777777" w:rsidR="00DF76A4" w:rsidRPr="00DF76A4" w:rsidRDefault="00DF76A4" w:rsidP="00DF76A4">
      <w:pPr>
        <w:rPr>
          <w:rFonts w:ascii="Palatino Linotype" w:hAnsi="Palatino Linotype"/>
        </w:rPr>
      </w:pPr>
    </w:p>
    <w:p w14:paraId="4060EE4D" w14:textId="77777777"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3E4EA076" w14:textId="77777777" w:rsidR="00DF76A4" w:rsidRDefault="00DF76A4" w:rsidP="00DF76A4">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2B7452F2" w14:textId="417171C2" w:rsidR="00DF76A4" w:rsidRDefault="00DF76A4" w:rsidP="00DF76A4">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 xml:space="preserve">La </w:t>
      </w:r>
      <w:r w:rsidRPr="00DF76A4">
        <w:rPr>
          <w:rFonts w:ascii="Palatino Linotype" w:eastAsia="MS Mincho" w:hAnsi="Palatino Linotype"/>
        </w:rPr>
        <w:t>Comisionada Ponente decretó el cierre de instrucción</w:t>
      </w:r>
      <w:r w:rsidRPr="00DF76A4">
        <w:rPr>
          <w:rFonts w:ascii="Palatino Linotype" w:eastAsia="MS Mincho" w:hAnsi="Palatino Linotype" w:cs="Arial"/>
        </w:rPr>
        <w:t xml:space="preserve"> </w:t>
      </w:r>
      <w:r w:rsidRPr="00DF76A4">
        <w:rPr>
          <w:rFonts w:ascii="Palatino Linotype" w:eastAsia="MS Mincho" w:hAnsi="Palatino Linotype"/>
        </w:rPr>
        <w:t xml:space="preserve">mediante acuerdo </w:t>
      </w:r>
      <w:r>
        <w:rPr>
          <w:rFonts w:ascii="Palatino Linotype" w:eastAsia="MS Mincho" w:hAnsi="Palatino Linotype"/>
        </w:rPr>
        <w:t xml:space="preserve">del </w:t>
      </w:r>
      <w:r w:rsidR="00C66FEF">
        <w:rPr>
          <w:rFonts w:ascii="Palatino Linotype" w:eastAsia="MS Mincho" w:hAnsi="Palatino Linotype"/>
        </w:rPr>
        <w:t>diecisiete de enero de dos mil veinticuatro.</w:t>
      </w:r>
    </w:p>
    <w:p w14:paraId="289ED27A" w14:textId="77777777" w:rsidR="00DF76A4" w:rsidRPr="00DF76A4" w:rsidRDefault="00DF76A4" w:rsidP="00DF76A4">
      <w:pPr>
        <w:rPr>
          <w:rFonts w:ascii="Palatino Linotype" w:hAnsi="Palatino Linotype"/>
        </w:rPr>
      </w:pPr>
    </w:p>
    <w:p w14:paraId="1A06EC63" w14:textId="0B08BAC7" w:rsidR="0028674A" w:rsidRPr="00C66FEF" w:rsidRDefault="00DF76A4" w:rsidP="000A2EDB">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DF76A4">
        <w:rPr>
          <w:rFonts w:ascii="Palatino Linotype" w:hAnsi="Palatino Linotype"/>
        </w:rPr>
        <w:t>Debido a que fueron debidamente sustanciados los expedientes electrónicos y no existe diligencia pendiente de desahogo, se emite la Resolución que conforme a Derecho proceda; y</w:t>
      </w:r>
      <w:r>
        <w:rPr>
          <w:rFonts w:ascii="Palatino Linotype" w:hAnsi="Palatino Linotype"/>
        </w:rPr>
        <w:t>-------------------------------------------------------------------------------------</w:t>
      </w:r>
    </w:p>
    <w:p w14:paraId="0D7AA06B" w14:textId="1F7714EB" w:rsidR="00EA0165" w:rsidRDefault="00EA0165" w:rsidP="008225FA">
      <w:pPr>
        <w:pStyle w:val="Ttulo1"/>
        <w:spacing w:line="360" w:lineRule="auto"/>
        <w:jc w:val="center"/>
        <w:rPr>
          <w:rFonts w:ascii="Palatino Linotype" w:hAnsi="Palatino Linotype"/>
          <w:b/>
          <w:color w:val="000000" w:themeColor="text1"/>
          <w:sz w:val="24"/>
          <w:szCs w:val="24"/>
          <w:lang w:val="es-MX" w:eastAsia="en-US"/>
        </w:rPr>
      </w:pPr>
      <w:bookmarkStart w:id="7" w:name="_Toc110984900"/>
      <w:r w:rsidRPr="005530C7">
        <w:rPr>
          <w:rFonts w:ascii="Palatino Linotype" w:hAnsi="Palatino Linotype"/>
          <w:b/>
          <w:color w:val="000000" w:themeColor="text1"/>
          <w:sz w:val="24"/>
          <w:szCs w:val="24"/>
          <w:lang w:val="es-MX" w:eastAsia="en-US"/>
        </w:rPr>
        <w:t>CONSIDERANDO</w:t>
      </w:r>
      <w:bookmarkEnd w:id="4"/>
      <w:bookmarkEnd w:id="5"/>
      <w:bookmarkEnd w:id="6"/>
      <w:bookmarkEnd w:id="7"/>
    </w:p>
    <w:p w14:paraId="366A4C72" w14:textId="77777777" w:rsidR="00423EE1" w:rsidRPr="00423EE1" w:rsidRDefault="00423EE1" w:rsidP="00423EE1">
      <w:pPr>
        <w:rPr>
          <w:lang w:val="es-MX" w:eastAsia="en-US"/>
        </w:rPr>
      </w:pPr>
    </w:p>
    <w:p w14:paraId="3468D0CF" w14:textId="475BACAF" w:rsidR="00EA0165" w:rsidRPr="005530C7" w:rsidRDefault="00EA0165" w:rsidP="007D7513">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10984901"/>
      <w:r w:rsidRPr="005530C7">
        <w:rPr>
          <w:rFonts w:ascii="Palatino Linotype" w:hAnsi="Palatino Linotype"/>
          <w:b/>
          <w:color w:val="000000" w:themeColor="text1"/>
          <w:sz w:val="24"/>
          <w:szCs w:val="24"/>
          <w:lang w:val="es-MX" w:eastAsia="en-US"/>
        </w:rPr>
        <w:t>PRIMERO. De la competencia</w:t>
      </w:r>
      <w:bookmarkEnd w:id="8"/>
      <w:bookmarkEnd w:id="9"/>
      <w:bookmarkEnd w:id="10"/>
      <w:r w:rsidR="00537427" w:rsidRPr="005530C7">
        <w:rPr>
          <w:rFonts w:ascii="Palatino Linotype" w:hAnsi="Palatino Linotype"/>
          <w:b/>
          <w:color w:val="000000" w:themeColor="text1"/>
          <w:sz w:val="24"/>
          <w:szCs w:val="24"/>
          <w:lang w:val="es-MX" w:eastAsia="en-US"/>
        </w:rPr>
        <w:t>.</w:t>
      </w:r>
      <w:bookmarkEnd w:id="11"/>
    </w:p>
    <w:p w14:paraId="341F67EC" w14:textId="77777777" w:rsidR="00EA0165" w:rsidRPr="005530C7" w:rsidRDefault="00EA0165" w:rsidP="007D7513">
      <w:pPr>
        <w:spacing w:line="360" w:lineRule="auto"/>
        <w:rPr>
          <w:rFonts w:ascii="Palatino Linotype" w:eastAsiaTheme="minorEastAsia" w:hAnsi="Palatino Linotype" w:cstheme="minorBidi"/>
          <w:color w:val="000000" w:themeColor="text1"/>
          <w:lang w:val="es-MX" w:eastAsia="en-US"/>
        </w:rPr>
      </w:pPr>
    </w:p>
    <w:p w14:paraId="15D1D21E" w14:textId="77B9E0A0" w:rsidR="00EA0165" w:rsidRPr="00423EE1" w:rsidRDefault="00EA0165" w:rsidP="00953DE8">
      <w:pPr>
        <w:pStyle w:val="Prrafodelista"/>
        <w:numPr>
          <w:ilvl w:val="0"/>
          <w:numId w:val="3"/>
        </w:numPr>
        <w:tabs>
          <w:tab w:val="left" w:pos="0"/>
        </w:tabs>
        <w:spacing w:after="160" w:line="360" w:lineRule="auto"/>
        <w:ind w:left="0" w:firstLine="0"/>
        <w:contextualSpacing/>
        <w:jc w:val="both"/>
        <w:rPr>
          <w:rFonts w:ascii="Palatino Linotype" w:eastAsia="MS Mincho" w:hAnsi="Palatino Linotype"/>
          <w:lang w:val="es-ES_tradnl"/>
        </w:rPr>
      </w:pPr>
      <w:r w:rsidRPr="005530C7">
        <w:rPr>
          <w:rFonts w:ascii="Palatino Linotype" w:eastAsia="Calibri" w:hAnsi="Palatino Linotype"/>
        </w:rPr>
        <w:t xml:space="preserve">Este </w:t>
      </w:r>
      <w:r w:rsidRPr="00DF76A4">
        <w:rPr>
          <w:rFonts w:ascii="Palatino Linotype" w:eastAsia="Calibri" w:hAnsi="Palatino Linotype"/>
        </w:rPr>
        <w:t xml:space="preserve">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w:t>
      </w:r>
      <w:r w:rsidRPr="00DF76A4">
        <w:rPr>
          <w:rFonts w:ascii="Palatino Linotype" w:eastAsia="Calibri" w:hAnsi="Palatino Linotype" w:cs="Arial"/>
          <w:color w:val="222222"/>
          <w:shd w:val="clear" w:color="auto" w:fill="FFFFFF"/>
          <w:lang w:eastAsia="en-US"/>
        </w:rPr>
        <w:t>5, párrafo</w:t>
      </w:r>
      <w:r w:rsidR="00543BF9" w:rsidRPr="00DF76A4">
        <w:rPr>
          <w:rFonts w:ascii="Palatino Linotype" w:eastAsia="Calibri" w:hAnsi="Palatino Linotype"/>
          <w:lang w:val="es-MX" w:eastAsia="en-US"/>
        </w:rPr>
        <w:t xml:space="preserve"> trigésimo, trigésimo primero y trigésimo segundo, fracciones I, II, III, IV y V</w:t>
      </w:r>
      <w:r w:rsidR="00543BF9" w:rsidRPr="00DF76A4">
        <w:rPr>
          <w:rFonts w:ascii="Palatino Linotype" w:eastAsia="MS Mincho" w:hAnsi="Palatino Linotype"/>
          <w:lang w:val="es-ES_tradnl"/>
        </w:rPr>
        <w:t xml:space="preserve"> </w:t>
      </w:r>
      <w:r w:rsidRPr="00DF76A4">
        <w:rPr>
          <w:rFonts w:ascii="Palatino Linotype" w:eastAsia="Calibri" w:hAnsi="Palatino Linotype"/>
        </w:rPr>
        <w:t xml:space="preserve">de la Constitución Política del Estado Libre y Soberano de México; artículos 1, 2 fracción II, 13, 29, 36 fracciones I y II, 176, 178, 179, 181 párrafo tercero y 185 </w:t>
      </w:r>
      <w:r w:rsidRPr="00DF76A4">
        <w:rPr>
          <w:rFonts w:ascii="Palatino Linotype" w:eastAsia="Calibri" w:hAnsi="Palatino Linotype" w:cs="Arial"/>
        </w:rPr>
        <w:t>de la Ley de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9A1E3F" w:rsidRPr="00DF76A4">
        <w:rPr>
          <w:rFonts w:ascii="Palatino Linotype" w:eastAsia="Calibri" w:hAnsi="Palatino Linotype" w:cs="Arial"/>
        </w:rPr>
        <w:t>.</w:t>
      </w:r>
    </w:p>
    <w:p w14:paraId="30EB5396" w14:textId="4EF265E7" w:rsidR="00423EE1" w:rsidRDefault="00423EE1" w:rsidP="00423EE1">
      <w:pPr>
        <w:pStyle w:val="Prrafodelista"/>
        <w:tabs>
          <w:tab w:val="left" w:pos="0"/>
        </w:tabs>
        <w:spacing w:after="160" w:line="360" w:lineRule="auto"/>
        <w:ind w:left="0"/>
        <w:contextualSpacing/>
        <w:jc w:val="both"/>
        <w:rPr>
          <w:rFonts w:ascii="Palatino Linotype" w:eastAsia="Calibri" w:hAnsi="Palatino Linotype"/>
        </w:rPr>
      </w:pPr>
    </w:p>
    <w:p w14:paraId="443C228A" w14:textId="77777777" w:rsidR="00423EE1" w:rsidRPr="005530C7" w:rsidRDefault="00423EE1" w:rsidP="00423EE1">
      <w:pPr>
        <w:pStyle w:val="Prrafodelista"/>
        <w:tabs>
          <w:tab w:val="left" w:pos="0"/>
        </w:tabs>
        <w:spacing w:after="160" w:line="360" w:lineRule="auto"/>
        <w:ind w:left="0"/>
        <w:contextualSpacing/>
        <w:jc w:val="both"/>
        <w:rPr>
          <w:rFonts w:ascii="Palatino Linotype" w:eastAsia="MS Mincho" w:hAnsi="Palatino Linotype"/>
          <w:lang w:val="es-ES_tradnl"/>
        </w:rPr>
      </w:pPr>
    </w:p>
    <w:p w14:paraId="15A5EA26" w14:textId="1017DFC9" w:rsidR="00A93EA3" w:rsidRDefault="00EA0165" w:rsidP="00423EE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10984902"/>
      <w:r w:rsidRPr="005530C7">
        <w:rPr>
          <w:rFonts w:ascii="Palatino Linotype" w:hAnsi="Palatino Linotype"/>
          <w:b/>
          <w:color w:val="000000" w:themeColor="text1"/>
          <w:sz w:val="24"/>
          <w:szCs w:val="24"/>
          <w:lang w:val="es-MX" w:eastAsia="en-US"/>
        </w:rPr>
        <w:lastRenderedPageBreak/>
        <w:t>SEGUNDO. De la oportunidad y procedencia.</w:t>
      </w:r>
      <w:bookmarkEnd w:id="12"/>
      <w:bookmarkEnd w:id="13"/>
      <w:bookmarkEnd w:id="14"/>
      <w:bookmarkEnd w:id="15"/>
    </w:p>
    <w:p w14:paraId="7EF0D21F" w14:textId="77777777" w:rsidR="00423EE1" w:rsidRPr="00423EE1" w:rsidRDefault="00423EE1" w:rsidP="00423EE1">
      <w:pPr>
        <w:rPr>
          <w:rFonts w:eastAsia="Calibri"/>
          <w:lang w:val="es-MX" w:eastAsia="en-US"/>
        </w:rPr>
      </w:pPr>
    </w:p>
    <w:p w14:paraId="1CE2F4CC" w14:textId="0CF61232" w:rsidR="00E24361" w:rsidRPr="005530C7" w:rsidRDefault="00E24361" w:rsidP="00E24361">
      <w:pPr>
        <w:pStyle w:val="Prrafodelista"/>
        <w:numPr>
          <w:ilvl w:val="0"/>
          <w:numId w:val="3"/>
        </w:numPr>
        <w:spacing w:after="160" w:line="360" w:lineRule="auto"/>
        <w:ind w:left="0" w:right="49" w:firstLine="0"/>
        <w:contextualSpacing/>
        <w:jc w:val="both"/>
        <w:rPr>
          <w:rFonts w:ascii="Palatino Linotype" w:hAnsi="Palatino Linotype"/>
          <w:lang w:val="es-ES_tradnl"/>
        </w:rPr>
      </w:pPr>
      <w:r w:rsidRPr="005530C7">
        <w:rPr>
          <w:rFonts w:ascii="Palatino Linotype" w:eastAsia="Calibri" w:hAnsi="Palatino Linotype" w:cs="Arial"/>
          <w:lang w:val="es-ES_tradnl"/>
        </w:rPr>
        <w:t xml:space="preserve">El medio de impugnación fue presentado a través del </w:t>
      </w:r>
      <w:r w:rsidRPr="005530C7">
        <w:rPr>
          <w:rFonts w:ascii="Palatino Linotype" w:eastAsia="Calibri" w:hAnsi="Palatino Linotype" w:cs="Arial"/>
          <w:b/>
          <w:lang w:val="es-ES_tradnl"/>
        </w:rPr>
        <w:t>SAIMEX,</w:t>
      </w:r>
      <w:r w:rsidRPr="005530C7">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5530C7">
        <w:rPr>
          <w:rFonts w:ascii="Palatino Linotype" w:eastAsia="Calibri" w:hAnsi="Palatino Linotype" w:cs="Arial"/>
          <w:b/>
          <w:lang w:val="es-ES_tradnl"/>
        </w:rPr>
        <w:t>SUJETO OBLIGADO</w:t>
      </w:r>
      <w:r w:rsidRPr="005530C7">
        <w:rPr>
          <w:rFonts w:ascii="Palatino Linotype" w:eastAsia="Calibri" w:hAnsi="Palatino Linotype" w:cs="Arial"/>
          <w:lang w:val="es-ES_tradnl"/>
        </w:rPr>
        <w:t xml:space="preserve"> entregó respuesta el </w:t>
      </w:r>
      <w:r w:rsidR="00182F03">
        <w:rPr>
          <w:rFonts w:ascii="Palatino Linotype" w:eastAsia="Calibri" w:hAnsi="Palatino Linotype" w:cs="Arial"/>
          <w:lang w:val="es-ES_tradnl"/>
        </w:rPr>
        <w:t>diecinueve de abril</w:t>
      </w:r>
      <w:r w:rsidRPr="005530C7">
        <w:rPr>
          <w:rFonts w:ascii="Palatino Linotype" w:eastAsia="Calibri" w:hAnsi="Palatino Linotype" w:cs="Arial"/>
          <w:lang w:val="es-ES_tradnl"/>
        </w:rPr>
        <w:t xml:space="preserve"> de dos mil veintidós</w:t>
      </w:r>
      <w:r w:rsidRPr="005530C7">
        <w:rPr>
          <w:rFonts w:ascii="Palatino Linotype" w:eastAsia="Calibri" w:hAnsi="Palatino Linotype" w:cs="Arial"/>
          <w:lang w:val="es-MX" w:eastAsia="en-US"/>
        </w:rPr>
        <w:t>, el plazo</w:t>
      </w:r>
      <w:r w:rsidR="005D5A01" w:rsidRPr="005530C7">
        <w:rPr>
          <w:rFonts w:ascii="Palatino Linotype" w:eastAsia="Calibri" w:hAnsi="Palatino Linotype" w:cs="Arial"/>
          <w:lang w:val="es-MX" w:eastAsia="en-US"/>
        </w:rPr>
        <w:t xml:space="preserve"> para interponer los</w:t>
      </w:r>
      <w:r w:rsidRPr="005530C7">
        <w:rPr>
          <w:rFonts w:ascii="Palatino Linotype" w:eastAsia="Calibri" w:hAnsi="Palatino Linotype" w:cs="Arial"/>
          <w:lang w:val="es-MX" w:eastAsia="en-US"/>
        </w:rPr>
        <w:t xml:space="preserve"> recurso</w:t>
      </w:r>
      <w:r w:rsidR="005D5A01" w:rsidRPr="005530C7">
        <w:rPr>
          <w:rFonts w:ascii="Palatino Linotype" w:eastAsia="Calibri" w:hAnsi="Palatino Linotype" w:cs="Arial"/>
          <w:lang w:val="es-MX" w:eastAsia="en-US"/>
        </w:rPr>
        <w:t>s</w:t>
      </w:r>
      <w:r w:rsidRPr="005530C7">
        <w:rPr>
          <w:rFonts w:ascii="Palatino Linotype" w:eastAsia="Calibri" w:hAnsi="Palatino Linotype" w:cs="Arial"/>
          <w:lang w:val="es-MX" w:eastAsia="en-US"/>
        </w:rPr>
        <w:t xml:space="preserve"> de revisión </w:t>
      </w:r>
      <w:r w:rsidR="00CD7C2E" w:rsidRPr="005530C7">
        <w:rPr>
          <w:rFonts w:ascii="Palatino Linotype" w:eastAsia="Calibri" w:hAnsi="Palatino Linotype" w:cs="Arial"/>
          <w:lang w:val="es-MX" w:eastAsia="en-US"/>
        </w:rPr>
        <w:t xml:space="preserve">trascurrió del </w:t>
      </w:r>
      <w:r w:rsidR="00182F03">
        <w:rPr>
          <w:rFonts w:ascii="Palatino Linotype" w:eastAsia="Calibri" w:hAnsi="Palatino Linotype" w:cs="Arial"/>
          <w:lang w:val="es-MX" w:eastAsia="en-US"/>
        </w:rPr>
        <w:t>veinte de abril al once de mayo</w:t>
      </w:r>
      <w:r w:rsidRPr="005530C7">
        <w:rPr>
          <w:rFonts w:ascii="Palatino Linotype" w:eastAsia="Calibri" w:hAnsi="Palatino Linotype" w:cs="Arial"/>
          <w:lang w:val="es-MX" w:eastAsia="en-US"/>
        </w:rPr>
        <w:t xml:space="preserve"> de dos mil veintidós, por lo que si el </w:t>
      </w:r>
      <w:r w:rsidR="00DF76A4">
        <w:rPr>
          <w:rFonts w:ascii="Palatino Linotype" w:eastAsia="Calibri" w:hAnsi="Palatino Linotype" w:cs="Arial"/>
          <w:lang w:val="es-MX" w:eastAsia="en-US"/>
        </w:rPr>
        <w:t>P</w:t>
      </w:r>
      <w:r w:rsidRPr="005530C7">
        <w:rPr>
          <w:rFonts w:ascii="Palatino Linotype" w:eastAsia="Calibri" w:hAnsi="Palatino Linotype" w:cs="Arial"/>
          <w:lang w:val="es-MX" w:eastAsia="en-US"/>
        </w:rPr>
        <w:t>articular interpuso recurso</w:t>
      </w:r>
      <w:r w:rsidR="005D5A01" w:rsidRPr="005530C7">
        <w:rPr>
          <w:rFonts w:ascii="Palatino Linotype" w:eastAsia="Calibri" w:hAnsi="Palatino Linotype" w:cs="Arial"/>
          <w:lang w:val="es-MX" w:eastAsia="en-US"/>
        </w:rPr>
        <w:t>s</w:t>
      </w:r>
      <w:r w:rsidRPr="005530C7">
        <w:rPr>
          <w:rFonts w:ascii="Palatino Linotype" w:eastAsia="Calibri" w:hAnsi="Palatino Linotype" w:cs="Arial"/>
          <w:lang w:val="es-MX" w:eastAsia="en-US"/>
        </w:rPr>
        <w:t xml:space="preserve"> de </w:t>
      </w:r>
      <w:r w:rsidR="00CD7C2E" w:rsidRPr="005530C7">
        <w:rPr>
          <w:rFonts w:ascii="Palatino Linotype" w:eastAsia="Calibri" w:hAnsi="Palatino Linotype" w:cs="Arial"/>
          <w:lang w:val="es-MX" w:eastAsia="en-US"/>
        </w:rPr>
        <w:t xml:space="preserve">revisión el </w:t>
      </w:r>
      <w:r w:rsidR="00182F03">
        <w:rPr>
          <w:rFonts w:ascii="Palatino Linotype" w:eastAsia="Calibri" w:hAnsi="Palatino Linotype" w:cs="Arial"/>
          <w:lang w:val="es-MX" w:eastAsia="en-US"/>
        </w:rPr>
        <w:t>veintiuno de abril</w:t>
      </w:r>
      <w:r w:rsidRPr="005530C7">
        <w:rPr>
          <w:rFonts w:ascii="Palatino Linotype" w:eastAsia="Calibri" w:hAnsi="Palatino Linotype" w:cs="Arial"/>
          <w:lang w:val="es-MX" w:eastAsia="en-US"/>
        </w:rPr>
        <w:t xml:space="preserve"> de dos mil veintidós, </w:t>
      </w:r>
      <w:r w:rsidRPr="005530C7">
        <w:rPr>
          <w:rFonts w:ascii="Palatino Linotype" w:hAnsi="Palatino Linotype"/>
          <w:lang w:val="es-ES_tradnl"/>
        </w:rPr>
        <w:t xml:space="preserve">se encuentra dentro del periodo establecido por la Ley. </w:t>
      </w:r>
    </w:p>
    <w:p w14:paraId="084A9A60" w14:textId="77777777" w:rsidR="00E24361" w:rsidRPr="005530C7" w:rsidRDefault="00E24361" w:rsidP="00E24361">
      <w:pPr>
        <w:spacing w:line="360" w:lineRule="auto"/>
        <w:jc w:val="both"/>
        <w:rPr>
          <w:rFonts w:ascii="Palatino Linotype" w:hAnsi="Palatino Linotype"/>
          <w:lang w:val="es-MX" w:eastAsia="en-US"/>
        </w:rPr>
      </w:pPr>
    </w:p>
    <w:p w14:paraId="31110967" w14:textId="630757F3" w:rsidR="00E24361" w:rsidRPr="00DF76A4" w:rsidRDefault="00E24361" w:rsidP="00E24361">
      <w:pPr>
        <w:numPr>
          <w:ilvl w:val="0"/>
          <w:numId w:val="3"/>
        </w:numPr>
        <w:spacing w:after="160" w:line="360" w:lineRule="auto"/>
        <w:ind w:left="0" w:right="49" w:firstLine="0"/>
        <w:contextualSpacing/>
        <w:jc w:val="both"/>
        <w:rPr>
          <w:rFonts w:ascii="Palatino Linotype" w:hAnsi="Palatino Linotype"/>
          <w:lang w:val="es-ES_tradnl"/>
        </w:rPr>
      </w:pPr>
      <w:r w:rsidRPr="005530C7">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w:t>
      </w:r>
      <w:r w:rsidR="005D5A01" w:rsidRPr="005530C7">
        <w:rPr>
          <w:rFonts w:ascii="Palatino Linotype" w:eastAsia="Calibri" w:hAnsi="Palatino Linotype" w:cs="Arial"/>
          <w:lang w:val="es-ES_tradnl"/>
        </w:rPr>
        <w:t>unicipios, conozca y resuelva los</w:t>
      </w:r>
      <w:r w:rsidRPr="005530C7">
        <w:rPr>
          <w:rFonts w:ascii="Palatino Linotype" w:eastAsia="Calibri" w:hAnsi="Palatino Linotype" w:cs="Arial"/>
          <w:lang w:val="es-ES_tradnl"/>
        </w:rPr>
        <w:t xml:space="preserve"> presente</w:t>
      </w:r>
      <w:r w:rsidR="005D5A01" w:rsidRPr="005530C7">
        <w:rPr>
          <w:rFonts w:ascii="Palatino Linotype" w:eastAsia="Calibri" w:hAnsi="Palatino Linotype" w:cs="Arial"/>
          <w:lang w:val="es-ES_tradnl"/>
        </w:rPr>
        <w:t>s</w:t>
      </w:r>
      <w:r w:rsidRPr="005530C7">
        <w:rPr>
          <w:rFonts w:ascii="Palatino Linotype" w:eastAsia="Calibri" w:hAnsi="Palatino Linotype" w:cs="Arial"/>
          <w:lang w:val="es-ES_tradnl"/>
        </w:rPr>
        <w:t xml:space="preserve"> </w:t>
      </w:r>
      <w:r w:rsidRPr="00DF76A4">
        <w:rPr>
          <w:rFonts w:ascii="Palatino Linotype" w:eastAsia="Calibri" w:hAnsi="Palatino Linotype" w:cs="Arial"/>
          <w:lang w:val="es-ES_tradnl"/>
        </w:rPr>
        <w:t>recurso</w:t>
      </w:r>
      <w:r w:rsidR="005D5A01" w:rsidRPr="00DF76A4">
        <w:rPr>
          <w:rFonts w:ascii="Palatino Linotype" w:eastAsia="Calibri" w:hAnsi="Palatino Linotype" w:cs="Arial"/>
          <w:lang w:val="es-ES_tradnl"/>
        </w:rPr>
        <w:t>s</w:t>
      </w:r>
      <w:r w:rsidRPr="00DF76A4">
        <w:rPr>
          <w:rFonts w:ascii="Palatino Linotype" w:eastAsia="Calibri" w:hAnsi="Palatino Linotype" w:cs="Arial"/>
          <w:lang w:val="es-ES_tradnl"/>
        </w:rPr>
        <w:t>.</w:t>
      </w:r>
    </w:p>
    <w:p w14:paraId="3A8D150D" w14:textId="77777777" w:rsidR="00C36DF2" w:rsidRPr="00DF76A4" w:rsidRDefault="00C36DF2" w:rsidP="00C36DF2">
      <w:pPr>
        <w:tabs>
          <w:tab w:val="left" w:pos="426"/>
        </w:tabs>
        <w:spacing w:after="160" w:line="360" w:lineRule="auto"/>
        <w:ind w:right="49"/>
        <w:contextualSpacing/>
        <w:jc w:val="both"/>
        <w:rPr>
          <w:rFonts w:ascii="Palatino Linotype" w:hAnsi="Palatino Linotype" w:cs="Arial"/>
          <w:b/>
          <w:lang w:val="es-ES_tradnl"/>
        </w:rPr>
      </w:pPr>
    </w:p>
    <w:p w14:paraId="3E5F6627" w14:textId="20035E67" w:rsidR="00D217A4" w:rsidRDefault="00992BC7" w:rsidP="00DF76A4">
      <w:pPr>
        <w:pStyle w:val="Ttulo1"/>
        <w:spacing w:line="360" w:lineRule="auto"/>
        <w:rPr>
          <w:rFonts w:ascii="Palatino Linotype" w:hAnsi="Palatino Linotype"/>
          <w:b/>
          <w:color w:val="auto"/>
          <w:sz w:val="24"/>
          <w:szCs w:val="24"/>
        </w:rPr>
      </w:pPr>
      <w:bookmarkStart w:id="16" w:name="_Toc110984906"/>
      <w:r w:rsidRPr="00DF76A4">
        <w:rPr>
          <w:rFonts w:ascii="Palatino Linotype" w:eastAsia="MS Mincho" w:hAnsi="Palatino Linotype"/>
          <w:b/>
          <w:color w:val="000000" w:themeColor="text1"/>
          <w:sz w:val="24"/>
          <w:szCs w:val="24"/>
          <w:lang w:val="es-ES_tradnl"/>
        </w:rPr>
        <w:t>TERCERO</w:t>
      </w:r>
      <w:r w:rsidRPr="00DF76A4">
        <w:rPr>
          <w:rFonts w:ascii="Palatino Linotype" w:hAnsi="Palatino Linotype" w:cs="Times New Roman"/>
          <w:b/>
          <w:color w:val="000000" w:themeColor="text1"/>
          <w:sz w:val="24"/>
          <w:szCs w:val="24"/>
        </w:rPr>
        <w:t>.</w:t>
      </w:r>
      <w:bookmarkStart w:id="17" w:name="_Toc67587990"/>
      <w:bookmarkStart w:id="18" w:name="_Toc68804766"/>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r w:rsidR="0065578F" w:rsidRPr="00DF76A4">
        <w:rPr>
          <w:rFonts w:ascii="Palatino Linotype" w:hAnsi="Palatino Linotype" w:cs="Times New Roman"/>
          <w:b/>
          <w:color w:val="000000" w:themeColor="text1"/>
          <w:sz w:val="24"/>
          <w:szCs w:val="24"/>
        </w:rPr>
        <w:t xml:space="preserve">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423EE1" w:rsidRPr="00DA5802">
        <w:rPr>
          <w:rFonts w:ascii="Palatino Linotype" w:hAnsi="Palatino Linotype"/>
          <w:b/>
          <w:color w:val="auto"/>
          <w:sz w:val="24"/>
          <w:szCs w:val="24"/>
        </w:rPr>
        <w:t>De las causales de sobreseimiento.</w:t>
      </w:r>
    </w:p>
    <w:p w14:paraId="3C4949DE" w14:textId="77777777" w:rsidR="00423EE1" w:rsidRPr="00423EE1" w:rsidRDefault="00423EE1" w:rsidP="00423EE1"/>
    <w:p w14:paraId="6ED73340" w14:textId="7CF77FD0" w:rsidR="00423EE1" w:rsidRPr="00423EE1" w:rsidRDefault="00423EE1" w:rsidP="00CD7C2E">
      <w:pPr>
        <w:pStyle w:val="Prrafodelista"/>
        <w:numPr>
          <w:ilvl w:val="0"/>
          <w:numId w:val="3"/>
        </w:numPr>
        <w:spacing w:before="240" w:after="240" w:line="360" w:lineRule="auto"/>
        <w:ind w:left="0" w:firstLine="0"/>
        <w:contextualSpacing/>
        <w:jc w:val="both"/>
        <w:rPr>
          <w:rFonts w:ascii="Palatino Linotype" w:hAnsi="Palatino Linotype"/>
          <w:i/>
          <w:lang w:val="es-ES_tradnl"/>
        </w:rPr>
      </w:pPr>
      <w:r w:rsidRPr="00423EE1">
        <w:rPr>
          <w:rFonts w:ascii="Palatino Linotype" w:hAnsi="Palatino Linotype"/>
          <w:iCs/>
          <w:lang w:val="es-ES_tradnl"/>
        </w:rPr>
        <w:t xml:space="preserve">El </w:t>
      </w:r>
      <w:r w:rsidRPr="00423EE1">
        <w:rPr>
          <w:rFonts w:ascii="Palatino Linotype" w:eastAsia="Calibri" w:hAnsi="Palatino Linotype" w:cs="Arial"/>
          <w:iCs/>
          <w:color w:val="000000" w:themeColor="text1"/>
        </w:rPr>
        <w:t>recurso</w:t>
      </w:r>
      <w:r>
        <w:rPr>
          <w:rFonts w:ascii="Palatino Linotype" w:eastAsia="Calibri" w:hAnsi="Palatino Linotype" w:cs="Arial"/>
          <w:color w:val="000000" w:themeColor="text1"/>
        </w:rPr>
        <w:t xml:space="preserve"> de revisión </w:t>
      </w:r>
      <w:r w:rsidRPr="00640032">
        <w:rPr>
          <w:rFonts w:ascii="Palatino Linotype" w:hAnsi="Palatino Linotype" w:cs="Arial"/>
        </w:rPr>
        <w:t xml:space="preserve">tiene como finalidad reparar cualquier posible afectación al derecho de acceso a la información pública en términos del Título Octavo de la Ley de </w:t>
      </w:r>
      <w:r w:rsidRPr="00640032">
        <w:rPr>
          <w:rFonts w:ascii="Palatino Linotype" w:eastAsia="Calibri" w:hAnsi="Palatino Linotype" w:cs="Arial"/>
        </w:rPr>
        <w:t>Transparencia, Acceso a la Información Pública del Estado de México y</w:t>
      </w:r>
      <w:r>
        <w:rPr>
          <w:rFonts w:ascii="Palatino Linotype" w:eastAsia="Calibri" w:hAnsi="Palatino Linotype" w:cs="Arial"/>
        </w:rPr>
        <w:t xml:space="preserve"> </w:t>
      </w:r>
      <w:r w:rsidRPr="00640032">
        <w:rPr>
          <w:rFonts w:ascii="Palatino Linotype" w:eastAsia="Calibri" w:hAnsi="Palatino Linotype" w:cs="Arial"/>
        </w:rPr>
        <w:t>Municipios</w:t>
      </w:r>
      <w:r w:rsidRPr="00640032">
        <w:rPr>
          <w:rFonts w:ascii="Palatino Linotype" w:hAnsi="Palatino Linotype" w:cs="Arial"/>
        </w:rPr>
        <w:t xml:space="preserve">, y determinar la confirmación; revocación o modificación; </w:t>
      </w:r>
      <w:r w:rsidRPr="00640032">
        <w:rPr>
          <w:rFonts w:ascii="Palatino Linotype" w:hAnsi="Palatino Linotype" w:cs="Arial"/>
        </w:rPr>
        <w:lastRenderedPageBreak/>
        <w:t xml:space="preserve">desechamiento o </w:t>
      </w:r>
      <w:r w:rsidRPr="00640032">
        <w:rPr>
          <w:rFonts w:ascii="Palatino Linotype" w:hAnsi="Palatino Linotype" w:cs="Arial"/>
          <w:b/>
          <w:u w:val="single"/>
        </w:rPr>
        <w:t>sobreseimiento</w:t>
      </w:r>
      <w:r w:rsidRPr="00640032">
        <w:rPr>
          <w:rFonts w:ascii="Palatino Linotype" w:hAnsi="Palatino Linotype" w:cs="Arial"/>
        </w:rPr>
        <w:t xml:space="preserve">; y en su caso ordenar la entrega de la información con respecto a la respuesta emitida por el </w:t>
      </w:r>
      <w:r w:rsidRPr="00640032">
        <w:rPr>
          <w:rFonts w:ascii="Palatino Linotype" w:hAnsi="Palatino Linotype" w:cs="Arial"/>
          <w:b/>
        </w:rPr>
        <w:t>SUJETO</w:t>
      </w:r>
      <w:r w:rsidRPr="00640032">
        <w:rPr>
          <w:rFonts w:ascii="Palatino Linotype" w:hAnsi="Palatino Linotype" w:cs="Arial"/>
        </w:rPr>
        <w:t xml:space="preserve"> </w:t>
      </w:r>
      <w:r w:rsidRPr="00640032">
        <w:rPr>
          <w:rFonts w:ascii="Palatino Linotype" w:hAnsi="Palatino Linotype" w:cs="Arial"/>
          <w:b/>
        </w:rPr>
        <w:t>OBLIGADO</w:t>
      </w:r>
      <w:r w:rsidRPr="00640032">
        <w:rPr>
          <w:rFonts w:ascii="Palatino Linotype" w:hAnsi="Palatino Linotype" w:cs="Arial"/>
        </w:rPr>
        <w:t>.</w:t>
      </w:r>
    </w:p>
    <w:p w14:paraId="3DEF46AC" w14:textId="77777777" w:rsidR="00423EE1" w:rsidRPr="00423EE1" w:rsidRDefault="00423EE1" w:rsidP="00423EE1">
      <w:pPr>
        <w:pStyle w:val="Prrafodelista"/>
        <w:spacing w:before="240" w:after="240" w:line="360" w:lineRule="auto"/>
        <w:ind w:left="0"/>
        <w:contextualSpacing/>
        <w:jc w:val="both"/>
        <w:rPr>
          <w:rFonts w:ascii="Palatino Linotype" w:hAnsi="Palatino Linotype"/>
          <w:i/>
          <w:lang w:val="es-ES_tradnl"/>
        </w:rPr>
      </w:pPr>
    </w:p>
    <w:p w14:paraId="3DBD8388" w14:textId="44CE8BD6" w:rsidR="00423EE1" w:rsidRPr="00423EE1" w:rsidRDefault="00423EE1" w:rsidP="00CD7C2E">
      <w:pPr>
        <w:pStyle w:val="Prrafodelista"/>
        <w:numPr>
          <w:ilvl w:val="0"/>
          <w:numId w:val="3"/>
        </w:numPr>
        <w:spacing w:before="240" w:after="240" w:line="360" w:lineRule="auto"/>
        <w:ind w:left="0" w:firstLine="0"/>
        <w:contextualSpacing/>
        <w:jc w:val="both"/>
        <w:rPr>
          <w:rFonts w:ascii="Palatino Linotype" w:hAnsi="Palatino Linotype"/>
          <w:i/>
          <w:lang w:val="es-ES_tradnl"/>
        </w:rPr>
      </w:pPr>
      <w:r w:rsidRPr="00423EE1">
        <w:rPr>
          <w:rFonts w:ascii="Palatino Linotype" w:hAnsi="Palatino Linotype"/>
          <w:iCs/>
          <w:lang w:val="es-ES_tradnl"/>
        </w:rPr>
        <w:t xml:space="preserve">De </w:t>
      </w:r>
      <w:r w:rsidRPr="00423EE1">
        <w:rPr>
          <w:rFonts w:ascii="Palatino Linotype" w:eastAsia="Calibri" w:hAnsi="Palatino Linotype"/>
          <w:iCs/>
          <w:lang w:val="es-MX"/>
        </w:rPr>
        <w:t>acuerdo</w:t>
      </w:r>
      <w:r>
        <w:rPr>
          <w:rFonts w:ascii="Palatino Linotype" w:eastAsia="Calibri" w:hAnsi="Palatino Linotype"/>
          <w:lang w:val="es-MX"/>
        </w:rPr>
        <w:t xml:space="preserve"> al precepto legal contenido</w:t>
      </w:r>
      <w:r w:rsidRPr="00640032">
        <w:rPr>
          <w:rFonts w:ascii="Palatino Linotype" w:eastAsia="Calibri" w:hAnsi="Palatino Linotype"/>
        </w:rPr>
        <w:t xml:space="preserve"> en la fracción III del artículo 192 de la </w:t>
      </w:r>
      <w:r w:rsidRPr="00640032">
        <w:rPr>
          <w:rFonts w:ascii="Palatino Linotype" w:eastAsia="Calibri" w:hAnsi="Palatino Linotype"/>
          <w:b/>
        </w:rPr>
        <w:t>Ley de Transparencia y Acceso a la Información Pública del Estado de México y Municipios</w:t>
      </w:r>
      <w:r>
        <w:rPr>
          <w:rFonts w:ascii="Palatino Linotype" w:eastAsia="Calibri" w:hAnsi="Palatino Linotype"/>
        </w:rPr>
        <w:t>, e</w:t>
      </w:r>
      <w:r w:rsidRPr="005F2A75">
        <w:rPr>
          <w:rFonts w:ascii="Palatino Linotype" w:eastAsia="Calibri" w:hAnsi="Palatino Linotype"/>
        </w:rPr>
        <w:t xml:space="preserve">l recurso será sobreseído, en todo o en parte, cuando una vez admitido, </w:t>
      </w:r>
      <w:r>
        <w:rPr>
          <w:rFonts w:ascii="Palatino Linotype" w:eastAsia="Calibri" w:hAnsi="Palatino Linotype"/>
        </w:rPr>
        <w:t>e</w:t>
      </w:r>
      <w:r w:rsidRPr="005F2A75">
        <w:rPr>
          <w:rFonts w:ascii="Palatino Linotype" w:eastAsia="Calibri" w:hAnsi="Palatino Linotype"/>
        </w:rPr>
        <w:t>l sujeto obligado responsable del acto lo modifique o revoque de tal manera que el recurso de revisión quede sin materia;</w:t>
      </w:r>
      <w:r w:rsidRPr="00640032">
        <w:rPr>
          <w:rFonts w:ascii="Palatino Linotype" w:eastAsia="Calibri" w:hAnsi="Palatino Linotype"/>
        </w:rPr>
        <w:t xml:space="preserve"> de ahí que la </w:t>
      </w:r>
      <w:r>
        <w:rPr>
          <w:rFonts w:ascii="Palatino Linotype" w:eastAsia="Calibri" w:hAnsi="Palatino Linotype"/>
        </w:rPr>
        <w:t>actualización de alguno de éste</w:t>
      </w:r>
      <w:r w:rsidRPr="00640032">
        <w:rPr>
          <w:rFonts w:ascii="Palatino Linotype" w:eastAsia="Calibri" w:hAnsi="Palatino Linotype"/>
        </w:rPr>
        <w:t xml:space="preserve"> trae como consecuencia que el medio de impugnación se concluya sin que se analice el objeto de estudio planteado, es decir se sobresea.</w:t>
      </w:r>
    </w:p>
    <w:p w14:paraId="42D760B1" w14:textId="77777777" w:rsidR="00423EE1" w:rsidRPr="00423EE1" w:rsidRDefault="00423EE1" w:rsidP="00423EE1">
      <w:pPr>
        <w:pStyle w:val="Prrafodelista"/>
        <w:spacing w:before="240" w:after="240" w:line="360" w:lineRule="auto"/>
        <w:ind w:left="0"/>
        <w:contextualSpacing/>
        <w:jc w:val="both"/>
        <w:rPr>
          <w:rFonts w:ascii="Palatino Linotype" w:hAnsi="Palatino Linotype"/>
          <w:iCs/>
          <w:lang w:val="es-ES_tradnl"/>
        </w:rPr>
      </w:pPr>
    </w:p>
    <w:p w14:paraId="040BFC78" w14:textId="3D69BC43" w:rsidR="00423EE1" w:rsidRPr="00423EE1" w:rsidRDefault="00423EE1" w:rsidP="00CD7C2E">
      <w:pPr>
        <w:pStyle w:val="Prrafodelista"/>
        <w:numPr>
          <w:ilvl w:val="0"/>
          <w:numId w:val="3"/>
        </w:numPr>
        <w:spacing w:before="240" w:after="240" w:line="360" w:lineRule="auto"/>
        <w:ind w:left="0" w:firstLine="0"/>
        <w:contextualSpacing/>
        <w:jc w:val="both"/>
        <w:rPr>
          <w:rFonts w:ascii="Palatino Linotype" w:hAnsi="Palatino Linotype"/>
          <w:iCs/>
          <w:lang w:val="es-ES_tradnl"/>
        </w:rPr>
      </w:pPr>
      <w:r w:rsidRPr="00423EE1">
        <w:rPr>
          <w:rFonts w:ascii="Palatino Linotype" w:hAnsi="Palatino Linotype"/>
          <w:iCs/>
          <w:lang w:val="es-ES_tradnl"/>
        </w:rPr>
        <w:t xml:space="preserve">Para </w:t>
      </w:r>
      <w:r w:rsidRPr="00423EE1">
        <w:rPr>
          <w:rFonts w:ascii="Palatino Linotype" w:eastAsia="Calibri" w:hAnsi="Palatino Linotype"/>
          <w:iCs/>
        </w:rPr>
        <w:t xml:space="preserve">los efectos de esta resolución, es oportuno precisar los alcances jurídicos de la fracción III de la disposición legal transcrita. Así, procede el sobreseimiento del recurso de revisión cuando el </w:t>
      </w:r>
      <w:r w:rsidRPr="00423EE1">
        <w:rPr>
          <w:rFonts w:ascii="Palatino Linotype" w:eastAsia="Calibri" w:hAnsi="Palatino Linotype"/>
          <w:b/>
          <w:iCs/>
        </w:rPr>
        <w:t>SUJETO OBLIGADO</w:t>
      </w:r>
      <w:r w:rsidRPr="00423EE1">
        <w:rPr>
          <w:rFonts w:ascii="Palatino Linotype" w:eastAsia="Calibri" w:hAnsi="Palatino Linotype"/>
          <w:iCs/>
        </w:rPr>
        <w:t>:</w:t>
      </w:r>
    </w:p>
    <w:p w14:paraId="1C68259E" w14:textId="68CE9AD7" w:rsidR="00423EE1" w:rsidRPr="00423EE1" w:rsidRDefault="00423EE1" w:rsidP="00423EE1">
      <w:pPr>
        <w:spacing w:before="240" w:after="240"/>
        <w:ind w:right="758"/>
        <w:contextualSpacing/>
        <w:jc w:val="both"/>
        <w:rPr>
          <w:rFonts w:ascii="Palatino Linotype" w:hAnsi="Palatino Linotype"/>
          <w:i/>
          <w:lang w:val="es-ES_tradnl"/>
        </w:rPr>
      </w:pPr>
    </w:p>
    <w:p w14:paraId="07E5AC5D" w14:textId="77777777" w:rsidR="00423EE1" w:rsidRPr="00680991" w:rsidRDefault="00423EE1" w:rsidP="00423EE1">
      <w:pPr>
        <w:numPr>
          <w:ilvl w:val="0"/>
          <w:numId w:val="32"/>
        </w:numPr>
        <w:spacing w:line="360" w:lineRule="auto"/>
        <w:ind w:left="567" w:right="758" w:firstLine="0"/>
        <w:contextualSpacing/>
        <w:jc w:val="both"/>
        <w:rPr>
          <w:rFonts w:ascii="Palatino Linotype" w:hAnsi="Palatino Linotype" w:cs="Arial"/>
        </w:rPr>
      </w:pPr>
      <w:r w:rsidRPr="00680991">
        <w:rPr>
          <w:rFonts w:ascii="Palatino Linotype" w:hAnsi="Palatino Linotype" w:cs="Arial"/>
          <w:b/>
        </w:rPr>
        <w:t>Modifique el acto impugnado:</w:t>
      </w:r>
      <w:r w:rsidRPr="00680991">
        <w:rPr>
          <w:rFonts w:ascii="Palatino Linotype" w:hAnsi="Palatino Linotype" w:cs="Arial"/>
        </w:rPr>
        <w:t xml:space="preserve"> Se actualiza cuando el </w:t>
      </w:r>
      <w:r w:rsidRPr="00680991">
        <w:rPr>
          <w:rFonts w:ascii="Palatino Linotype" w:hAnsi="Palatino Linotype" w:cs="Arial"/>
          <w:b/>
        </w:rPr>
        <w:t>SUJETO OBLIGADO</w:t>
      </w:r>
      <w:r w:rsidRPr="0068099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11121F57" w14:textId="77777777" w:rsidR="00423EE1" w:rsidRDefault="00423EE1" w:rsidP="00423EE1">
      <w:pPr>
        <w:spacing w:line="360" w:lineRule="auto"/>
        <w:ind w:left="567" w:right="758"/>
        <w:contextualSpacing/>
        <w:jc w:val="both"/>
        <w:rPr>
          <w:rFonts w:ascii="Palatino Linotype" w:hAnsi="Palatino Linotype" w:cs="Arial"/>
        </w:rPr>
      </w:pPr>
    </w:p>
    <w:p w14:paraId="1B28D0F9" w14:textId="741E103D" w:rsidR="00423EE1" w:rsidRPr="00182F03" w:rsidRDefault="00423EE1" w:rsidP="00182F03">
      <w:pPr>
        <w:numPr>
          <w:ilvl w:val="0"/>
          <w:numId w:val="32"/>
        </w:numPr>
        <w:spacing w:line="360" w:lineRule="auto"/>
        <w:ind w:left="567" w:right="758" w:firstLine="0"/>
        <w:contextualSpacing/>
        <w:jc w:val="both"/>
        <w:rPr>
          <w:rFonts w:ascii="Palatino Linotype" w:hAnsi="Palatino Linotype" w:cs="Arial"/>
        </w:rPr>
      </w:pPr>
      <w:r w:rsidRPr="00640032">
        <w:rPr>
          <w:rFonts w:ascii="Palatino Linotype" w:hAnsi="Palatino Linotype" w:cs="Arial"/>
          <w:b/>
        </w:rPr>
        <w:t>Revoque el acto impugnado:</w:t>
      </w:r>
      <w:r w:rsidRPr="00640032">
        <w:rPr>
          <w:rFonts w:ascii="Palatino Linotype" w:hAnsi="Palatino Linotype" w:cs="Arial"/>
        </w:rPr>
        <w:t xml:space="preserve"> En este supuesto, el </w:t>
      </w:r>
      <w:r w:rsidRPr="00640032">
        <w:rPr>
          <w:rFonts w:ascii="Palatino Linotype" w:hAnsi="Palatino Linotype" w:cs="Arial"/>
          <w:b/>
        </w:rPr>
        <w:t>SUJETO OBLIGADO</w:t>
      </w:r>
      <w:r w:rsidRPr="00640032">
        <w:rPr>
          <w:rFonts w:ascii="Palatino Linotype" w:hAnsi="Palatino Linotype" w:cs="Arial"/>
        </w:rPr>
        <w:t xml:space="preserve"> deja sin efectos la primera respuesta y en su lugar emite otra que satisfaga lo solicitado por </w:t>
      </w:r>
      <w:r>
        <w:rPr>
          <w:rFonts w:ascii="Palatino Linotype" w:hAnsi="Palatino Linotype" w:cs="Arial"/>
        </w:rPr>
        <w:t>el P</w:t>
      </w:r>
      <w:r w:rsidRPr="00640032">
        <w:rPr>
          <w:rFonts w:ascii="Palatino Linotype" w:hAnsi="Palatino Linotype" w:cs="Arial"/>
        </w:rPr>
        <w:t>articular en un primer momento.</w:t>
      </w:r>
    </w:p>
    <w:p w14:paraId="5D781F61" w14:textId="353BF89E" w:rsidR="00423EE1" w:rsidRPr="00423EE1" w:rsidRDefault="00423EE1" w:rsidP="00423EE1">
      <w:pPr>
        <w:pStyle w:val="Prrafodelista"/>
        <w:numPr>
          <w:ilvl w:val="0"/>
          <w:numId w:val="3"/>
        </w:numPr>
        <w:spacing w:before="240" w:after="240" w:line="360" w:lineRule="auto"/>
        <w:ind w:left="0" w:firstLine="0"/>
        <w:contextualSpacing/>
        <w:jc w:val="both"/>
        <w:rPr>
          <w:rFonts w:ascii="Palatino Linotype" w:hAnsi="Palatino Linotype"/>
          <w:iCs/>
          <w:lang w:val="es-ES_tradnl"/>
        </w:rPr>
      </w:pPr>
      <w:r>
        <w:rPr>
          <w:rFonts w:ascii="Palatino Linotype" w:hAnsi="Palatino Linotype"/>
          <w:iCs/>
          <w:lang w:val="es-ES_tradnl"/>
        </w:rPr>
        <w:lastRenderedPageBreak/>
        <w:t xml:space="preserve">Las </w:t>
      </w:r>
      <w:r w:rsidRPr="008C2189">
        <w:rPr>
          <w:rFonts w:ascii="Palatino Linotype" w:eastAsia="Calibri" w:hAnsi="Palatino Linotype"/>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58BD9B31" w14:textId="77777777" w:rsidR="00423EE1" w:rsidRPr="00423EE1" w:rsidRDefault="00423EE1" w:rsidP="00423EE1">
      <w:pPr>
        <w:pStyle w:val="Prrafodelista"/>
        <w:spacing w:before="240" w:after="240" w:line="360" w:lineRule="auto"/>
        <w:ind w:left="0"/>
        <w:contextualSpacing/>
        <w:jc w:val="both"/>
        <w:rPr>
          <w:rFonts w:ascii="Palatino Linotype" w:hAnsi="Palatino Linotype"/>
          <w:iCs/>
          <w:lang w:val="es-ES_tradnl"/>
        </w:rPr>
      </w:pPr>
    </w:p>
    <w:p w14:paraId="294B72A8" w14:textId="534D5312" w:rsidR="00423EE1" w:rsidRDefault="00EA0165" w:rsidP="00423EE1">
      <w:pPr>
        <w:pStyle w:val="Prrafodelista"/>
        <w:numPr>
          <w:ilvl w:val="0"/>
          <w:numId w:val="3"/>
        </w:numPr>
        <w:spacing w:before="240" w:after="240" w:line="360" w:lineRule="auto"/>
        <w:ind w:left="0" w:firstLine="0"/>
        <w:contextualSpacing/>
        <w:jc w:val="both"/>
        <w:rPr>
          <w:rFonts w:ascii="Palatino Linotype" w:hAnsi="Palatino Linotype"/>
          <w:i/>
          <w:lang w:val="es-ES_tradnl"/>
        </w:rPr>
      </w:pPr>
      <w:r w:rsidRPr="00DF76A4">
        <w:rPr>
          <w:rFonts w:ascii="Palatino Linotype" w:eastAsia="MS Mincho" w:hAnsi="Palatino Linotype"/>
          <w:lang w:val="es-ES_tradnl"/>
        </w:rPr>
        <w:t xml:space="preserve">De las constancias en el expediente al rubro indicado, se desprende que el </w:t>
      </w:r>
      <w:r w:rsidR="00DF76A4" w:rsidRPr="00DF76A4">
        <w:rPr>
          <w:rFonts w:ascii="Palatino Linotype" w:eastAsia="MS Mincho" w:hAnsi="Palatino Linotype"/>
          <w:lang w:val="es-ES_tradnl"/>
        </w:rPr>
        <w:t>P</w:t>
      </w:r>
      <w:bookmarkStart w:id="36" w:name="_Toc84264165"/>
      <w:bookmarkStart w:id="37" w:name="_Toc459174366"/>
      <w:bookmarkStart w:id="38" w:name="_Toc459659884"/>
      <w:bookmarkStart w:id="39" w:name="_Toc461687280"/>
      <w:bookmarkStart w:id="40" w:name="_Toc462771051"/>
      <w:bookmarkStart w:id="41" w:name="_Toc464139201"/>
      <w:r w:rsidR="00182F03">
        <w:rPr>
          <w:rFonts w:ascii="Palatino Linotype" w:eastAsia="MS Mincho" w:hAnsi="Palatino Linotype"/>
          <w:lang w:val="es-ES_tradnl"/>
        </w:rPr>
        <w:t xml:space="preserve">articular solicitó: </w:t>
      </w:r>
      <w:r w:rsidR="00182F03" w:rsidRPr="00182F03">
        <w:rPr>
          <w:rFonts w:ascii="Palatino Linotype" w:eastAsia="MS Mincho" w:hAnsi="Palatino Linotype"/>
          <w:b/>
          <w:lang w:val="es-ES_tradnl"/>
        </w:rPr>
        <w:t>“…</w:t>
      </w:r>
      <w:r w:rsidR="00182F03" w:rsidRPr="00182F03">
        <w:rPr>
          <w:rFonts w:ascii="Palatino Linotype" w:hAnsi="Palatino Linotype"/>
          <w:b/>
          <w:i/>
        </w:rPr>
        <w:t xml:space="preserve">informen el </w:t>
      </w:r>
      <w:r w:rsidR="00182F03" w:rsidRPr="00182F03">
        <w:rPr>
          <w:rFonts w:ascii="Palatino Linotype" w:hAnsi="Palatino Linotype"/>
          <w:b/>
          <w:i/>
          <w:u w:val="single"/>
        </w:rPr>
        <w:t xml:space="preserve">número total de recursos administrativo de inconformidad interpuestos </w:t>
      </w:r>
      <w:r w:rsidR="00182F03" w:rsidRPr="00182F03">
        <w:rPr>
          <w:rFonts w:ascii="Palatino Linotype" w:hAnsi="Palatino Linotype"/>
          <w:b/>
          <w:i/>
        </w:rPr>
        <w:t xml:space="preserve">en contra de las respuestas emitidas por ese Sujeto Obligado </w:t>
      </w:r>
      <w:r w:rsidR="00182F03" w:rsidRPr="00182F03">
        <w:rPr>
          <w:rFonts w:ascii="Palatino Linotype" w:hAnsi="Palatino Linotype"/>
          <w:b/>
          <w:i/>
          <w:u w:val="single"/>
        </w:rPr>
        <w:t>por la improcedencia o negativa de autorización y/o emisión del dictamen de viabilidad o autorización de condominio en el año de 2021</w:t>
      </w:r>
      <w:r w:rsidR="00182F03" w:rsidRPr="00182F03">
        <w:rPr>
          <w:rFonts w:ascii="Palatino Linotype" w:hAnsi="Palatino Linotype"/>
          <w:b/>
          <w:i/>
        </w:rPr>
        <w:t xml:space="preserve">; así como </w:t>
      </w:r>
      <w:r w:rsidR="00182F03" w:rsidRPr="00182F03">
        <w:rPr>
          <w:rFonts w:ascii="Palatino Linotype" w:hAnsi="Palatino Linotype"/>
          <w:b/>
          <w:i/>
          <w:u w:val="single"/>
        </w:rPr>
        <w:t>el número del expediente que conformó el recurso administrativo de inconformidad</w:t>
      </w:r>
      <w:r w:rsidR="00182F03" w:rsidRPr="00182F03">
        <w:rPr>
          <w:rFonts w:ascii="Palatino Linotype" w:hAnsi="Palatino Linotype"/>
          <w:b/>
          <w:i/>
        </w:rPr>
        <w:t xml:space="preserve">. Para facilitar la búsqueda de la información que corresponda a solicitudes formuladas de </w:t>
      </w:r>
      <w:r w:rsidR="00182F03" w:rsidRPr="00182F03">
        <w:rPr>
          <w:rFonts w:ascii="Palatino Linotype" w:hAnsi="Palatino Linotype"/>
          <w:b/>
          <w:i/>
          <w:u w:val="single"/>
        </w:rPr>
        <w:t>predios ubicados en la Delegación de San Mateo Oxtotitlán,</w:t>
      </w:r>
      <w:r w:rsidR="00182F03" w:rsidRPr="00182F03">
        <w:rPr>
          <w:rFonts w:ascii="Palatino Linotype" w:hAnsi="Palatino Linotype"/>
          <w:b/>
          <w:i/>
        </w:rPr>
        <w:t xml:space="preserve"> en el Municipio de Toluca.</w:t>
      </w:r>
      <w:r w:rsidR="00182F03" w:rsidRPr="00182F03">
        <w:rPr>
          <w:rFonts w:ascii="Palatino Linotype" w:eastAsia="Calibri" w:hAnsi="Palatino Linotype"/>
          <w:b/>
          <w:i/>
        </w:rPr>
        <w:t>” (Sic)</w:t>
      </w:r>
    </w:p>
    <w:p w14:paraId="45FEDE16" w14:textId="77777777" w:rsidR="00423EE1" w:rsidRPr="00182F03" w:rsidRDefault="00423EE1" w:rsidP="00423EE1">
      <w:pPr>
        <w:pStyle w:val="Prrafodelista"/>
        <w:spacing w:before="240" w:after="240" w:line="360" w:lineRule="auto"/>
        <w:ind w:left="0"/>
        <w:contextualSpacing/>
        <w:jc w:val="both"/>
        <w:rPr>
          <w:rFonts w:ascii="Palatino Linotype" w:hAnsi="Palatino Linotype"/>
          <w:i/>
          <w:lang w:val="es-ES_tradnl"/>
        </w:rPr>
      </w:pPr>
    </w:p>
    <w:p w14:paraId="5CD005DC" w14:textId="77777777" w:rsidR="00182F03" w:rsidRDefault="00DF76A4" w:rsidP="00182F03">
      <w:pPr>
        <w:pStyle w:val="Prrafodelista"/>
        <w:numPr>
          <w:ilvl w:val="0"/>
          <w:numId w:val="3"/>
        </w:numPr>
        <w:spacing w:before="240" w:after="240" w:line="360" w:lineRule="auto"/>
        <w:ind w:left="0" w:firstLine="0"/>
        <w:contextualSpacing/>
        <w:jc w:val="both"/>
        <w:rPr>
          <w:rFonts w:ascii="Palatino Linotype" w:hAnsi="Palatino Linotype"/>
          <w:iCs/>
          <w:lang w:val="es-ES_tradnl"/>
        </w:rPr>
      </w:pPr>
      <w:r w:rsidRPr="00182F03">
        <w:rPr>
          <w:rFonts w:ascii="Palatino Linotype" w:eastAsia="MS Mincho" w:hAnsi="Palatino Linotype" w:cs="Arial"/>
          <w:lang w:val="es-MX"/>
        </w:rPr>
        <w:t xml:space="preserve">En </w:t>
      </w:r>
      <w:r w:rsidRPr="00182F03">
        <w:rPr>
          <w:rFonts w:ascii="Palatino Linotype" w:hAnsi="Palatino Linotype"/>
          <w:iCs/>
          <w:lang w:val="es-ES_tradnl"/>
        </w:rPr>
        <w:t xml:space="preserve">respuesta, el </w:t>
      </w:r>
      <w:r w:rsidRPr="00182F03">
        <w:rPr>
          <w:rFonts w:ascii="Palatino Linotype" w:hAnsi="Palatino Linotype"/>
          <w:b/>
          <w:bCs/>
          <w:iCs/>
          <w:lang w:val="es-ES_tradnl"/>
        </w:rPr>
        <w:t>SUJETO OBLIGADO</w:t>
      </w:r>
      <w:r w:rsidRPr="00182F03">
        <w:rPr>
          <w:rFonts w:ascii="Palatino Linotype" w:hAnsi="Palatino Linotype"/>
          <w:iCs/>
          <w:lang w:val="es-ES_tradnl"/>
        </w:rPr>
        <w:t xml:space="preserve"> por medio de</w:t>
      </w:r>
      <w:r w:rsidR="00182F03" w:rsidRPr="00182F03">
        <w:rPr>
          <w:rFonts w:ascii="Palatino Linotype" w:hAnsi="Palatino Linotype"/>
          <w:iCs/>
          <w:lang w:val="es-ES_tradnl"/>
        </w:rPr>
        <w:t xml:space="preserve"> la Directora de </w:t>
      </w:r>
      <w:r w:rsidR="00182F03" w:rsidRPr="00182F03">
        <w:rPr>
          <w:rFonts w:ascii="Palatino Linotype" w:hAnsi="Palatino Linotype"/>
        </w:rPr>
        <w:t xml:space="preserve">Operación y Control Urbano, </w:t>
      </w:r>
      <w:r w:rsidR="00182F03" w:rsidRPr="00182F03">
        <w:rPr>
          <w:rFonts w:ascii="Palatino Linotype" w:eastAsia="Calibri" w:hAnsi="Palatino Linotype"/>
        </w:rPr>
        <w:t xml:space="preserve">informó </w:t>
      </w:r>
      <w:r w:rsidR="00182F03" w:rsidRPr="00182F03">
        <w:rPr>
          <w:rFonts w:ascii="Palatino Linotype" w:hAnsi="Palatino Linotype"/>
          <w:b/>
        </w:rPr>
        <w:t xml:space="preserve">que después de una búsqueda exhaustiva en la Dirección a su cargo, únicamente de identificó el siguiente recurso administrativo de inconformidad: </w:t>
      </w:r>
      <w:r w:rsidR="00182F03" w:rsidRPr="00182F03">
        <w:rPr>
          <w:rFonts w:ascii="Palatino Linotype" w:eastAsia="Calibri" w:hAnsi="Palatino Linotype"/>
          <w:b/>
        </w:rPr>
        <w:t xml:space="preserve">Recurso administrativo de inconformidad en contra del oficio </w:t>
      </w:r>
      <w:r w:rsidR="00182F03" w:rsidRPr="00182F03">
        <w:rPr>
          <w:rFonts w:ascii="Palatino Linotype" w:hAnsi="Palatino Linotype"/>
          <w:b/>
        </w:rPr>
        <w:t>22400101040000T/0326/2021, de fecha 27 de mayo de 2021.</w:t>
      </w:r>
    </w:p>
    <w:p w14:paraId="777AB1C2" w14:textId="77777777" w:rsidR="00182F03" w:rsidRPr="00182F03" w:rsidRDefault="00182F03" w:rsidP="00182F03">
      <w:pPr>
        <w:pStyle w:val="Prrafodelista"/>
        <w:rPr>
          <w:rFonts w:ascii="Palatino Linotype" w:eastAsia="MS Mincho" w:hAnsi="Palatino Linotype" w:cs="Arial"/>
          <w:lang w:val="es-MX"/>
        </w:rPr>
      </w:pPr>
    </w:p>
    <w:p w14:paraId="7B59A367" w14:textId="5D86AE02" w:rsidR="00182F03" w:rsidRPr="00184454" w:rsidRDefault="00DF76A4" w:rsidP="00A70AD3">
      <w:pPr>
        <w:pStyle w:val="Prrafodelista"/>
        <w:numPr>
          <w:ilvl w:val="0"/>
          <w:numId w:val="3"/>
        </w:numPr>
        <w:spacing w:before="240" w:after="240" w:line="360" w:lineRule="auto"/>
        <w:ind w:left="0" w:firstLine="0"/>
        <w:contextualSpacing/>
        <w:jc w:val="both"/>
        <w:rPr>
          <w:rFonts w:ascii="Palatino Linotype" w:hAnsi="Palatino Linotype"/>
          <w:iCs/>
          <w:lang w:val="es-ES_tradnl"/>
        </w:rPr>
      </w:pPr>
      <w:r w:rsidRPr="00184454">
        <w:rPr>
          <w:rFonts w:ascii="Palatino Linotype" w:eastAsia="MS Mincho" w:hAnsi="Palatino Linotype" w:cs="Arial"/>
          <w:lang w:val="es-MX"/>
        </w:rPr>
        <w:lastRenderedPageBreak/>
        <w:t xml:space="preserve">Inconforme con la respuesta, el Particular interpuso el recurso de revisión, </w:t>
      </w:r>
      <w:r w:rsidR="00F051BB" w:rsidRPr="00184454">
        <w:rPr>
          <w:rFonts w:ascii="Palatino Linotype" w:eastAsia="MS Mincho" w:hAnsi="Palatino Linotype" w:cs="Arial"/>
          <w:lang w:val="es-MX"/>
        </w:rPr>
        <w:t xml:space="preserve">donde </w:t>
      </w:r>
      <w:r w:rsidRPr="00184454">
        <w:rPr>
          <w:rFonts w:ascii="Palatino Linotype" w:eastAsia="MS Mincho" w:hAnsi="Palatino Linotype" w:cs="Arial"/>
          <w:lang w:val="es-MX"/>
        </w:rPr>
        <w:t>se inconformó por la en</w:t>
      </w:r>
      <w:r w:rsidR="00184454" w:rsidRPr="00184454">
        <w:rPr>
          <w:rFonts w:ascii="Palatino Linotype" w:eastAsia="MS Mincho" w:hAnsi="Palatino Linotype" w:cs="Arial"/>
          <w:lang w:val="es-MX"/>
        </w:rPr>
        <w:t xml:space="preserve">trega de información incompleta, </w:t>
      </w:r>
      <w:r w:rsidR="00184454" w:rsidRPr="00184454">
        <w:rPr>
          <w:rFonts w:ascii="Palatino Linotype" w:hAnsi="Palatino Linotype"/>
        </w:rPr>
        <w:t xml:space="preserve">ya que no se indicó el número del recurso de inconformidad interpuesto en contra de la respuesta emitida al oficio al que </w:t>
      </w:r>
      <w:r w:rsidR="00184454">
        <w:rPr>
          <w:rFonts w:ascii="Palatino Linotype" w:hAnsi="Palatino Linotype"/>
        </w:rPr>
        <w:t>se</w:t>
      </w:r>
      <w:r w:rsidR="00184454" w:rsidRPr="00184454">
        <w:rPr>
          <w:rFonts w:ascii="Palatino Linotype" w:hAnsi="Palatino Linotype"/>
        </w:rPr>
        <w:t xml:space="preserve"> hizo alusión en la respuesta</w:t>
      </w:r>
    </w:p>
    <w:p w14:paraId="41670AEB" w14:textId="77777777" w:rsidR="00182F03" w:rsidRPr="00182F03" w:rsidRDefault="00182F03" w:rsidP="00A70AD3">
      <w:pPr>
        <w:pStyle w:val="Prrafodelista"/>
        <w:spacing w:before="240" w:after="240" w:line="360" w:lineRule="auto"/>
        <w:ind w:left="0"/>
        <w:contextualSpacing/>
        <w:jc w:val="both"/>
        <w:rPr>
          <w:rFonts w:ascii="Palatino Linotype" w:hAnsi="Palatino Linotype"/>
          <w:iCs/>
          <w:lang w:val="es-ES_tradnl"/>
        </w:rPr>
      </w:pPr>
    </w:p>
    <w:p w14:paraId="24782AC3" w14:textId="537387C3" w:rsidR="004A2E2B" w:rsidRPr="00A70AD3" w:rsidRDefault="00CF61C7" w:rsidP="00A70AD3">
      <w:pPr>
        <w:pStyle w:val="Prrafodelista"/>
        <w:numPr>
          <w:ilvl w:val="0"/>
          <w:numId w:val="3"/>
        </w:numPr>
        <w:spacing w:before="240" w:after="240" w:line="360" w:lineRule="auto"/>
        <w:ind w:left="0" w:firstLine="0"/>
        <w:contextualSpacing/>
        <w:jc w:val="both"/>
        <w:rPr>
          <w:rFonts w:ascii="Palatino Linotype" w:hAnsi="Palatino Linotype"/>
          <w:iCs/>
          <w:lang w:val="es-ES_tradnl"/>
        </w:rPr>
      </w:pPr>
      <w:r w:rsidRPr="00184454">
        <w:rPr>
          <w:rFonts w:ascii="Palatino Linotype" w:eastAsia="MS Mincho" w:hAnsi="Palatino Linotype" w:cs="Arial"/>
          <w:lang w:val="es-MX"/>
        </w:rPr>
        <w:t xml:space="preserve">En este sentido, el </w:t>
      </w:r>
      <w:r w:rsidRPr="00184454">
        <w:rPr>
          <w:rFonts w:ascii="Palatino Linotype" w:eastAsia="MS Mincho" w:hAnsi="Palatino Linotype" w:cs="Arial"/>
          <w:b/>
          <w:bCs/>
          <w:lang w:val="es-MX"/>
        </w:rPr>
        <w:t>SUJETO OBLIGADO</w:t>
      </w:r>
      <w:r w:rsidRPr="00184454">
        <w:rPr>
          <w:rFonts w:ascii="Palatino Linotype" w:eastAsia="MS Mincho" w:hAnsi="Palatino Linotype" w:cs="Arial"/>
          <w:lang w:val="es-MX"/>
        </w:rPr>
        <w:t xml:space="preserve"> a través de un acto jurídico posterior como lo es el informe justificado, remitió el documento denominado </w:t>
      </w:r>
      <w:r w:rsidR="00184454" w:rsidRPr="00184454">
        <w:rPr>
          <w:rFonts w:ascii="Palatino Linotype" w:hAnsi="Palatino Linotype"/>
          <w:b/>
        </w:rPr>
        <w:t xml:space="preserve">ANEXO II OF. 2191 DGOYCU.pdf, </w:t>
      </w:r>
      <w:r w:rsidR="00184454" w:rsidRPr="00184454">
        <w:rPr>
          <w:rFonts w:ascii="Palatino Linotype" w:hAnsi="Palatino Linotype"/>
        </w:rPr>
        <w:t xml:space="preserve">consistente en la copia digitalizada del oficio número 22400105000000L/002191/2022, suscrito por la Directora General de Operación y Control Urbano, por medio del cual, </w:t>
      </w:r>
      <w:r w:rsidR="00184454" w:rsidRPr="00184454">
        <w:rPr>
          <w:rFonts w:ascii="Palatino Linotype" w:hAnsi="Palatino Linotype"/>
          <w:b/>
        </w:rPr>
        <w:t>informó que derivado de una nueva búsqueda exhaustiva y razonable en las unidades administrativas de la Dirección a su cargo y atendiendo a la literalidad de la solicitud 00119/SEDUO/IP/2022, no se localizaron recursos administrativos de inconformidad en contra de respuestas emitidas, respecto a la improcedencia o negativa de autorización y/o emisión del dictamen de vialidad o autorización de condominio en el año 2021, en relación a solicitudes formuladas de predios ubicados en la Delegación de San Mateo Oxtotitlán, en el Municipio de Toluca, motivo por el cual, no es posible proporcionar el número de expediente que conformó el recurso administrativo de inconformidad.</w:t>
      </w:r>
      <w:r w:rsidR="00184454" w:rsidRPr="00184454">
        <w:rPr>
          <w:rFonts w:ascii="Palatino Linotype" w:hAnsi="Palatino Linotype"/>
        </w:rPr>
        <w:t xml:space="preserve"> No obstante a lo anterior, refirió que, bajo principio de máxima publicidad, </w:t>
      </w:r>
      <w:r w:rsidR="00184454" w:rsidRPr="00184454">
        <w:rPr>
          <w:rFonts w:ascii="Palatino Linotype" w:hAnsi="Palatino Linotype"/>
          <w:b/>
        </w:rPr>
        <w:t>en la respuesta inicial informó que se identificó el recurso administrativo de inconformidad en contra del oficio 22400101040000T/0326/2021</w:t>
      </w:r>
      <w:r w:rsidR="00184454" w:rsidRPr="00184454">
        <w:rPr>
          <w:rFonts w:ascii="Palatino Linotype" w:hAnsi="Palatino Linotype"/>
        </w:rPr>
        <w:t xml:space="preserve">, de fecha 27 de mayo de 2021, </w:t>
      </w:r>
      <w:r w:rsidR="00184454" w:rsidRPr="00184454">
        <w:rPr>
          <w:rFonts w:ascii="Palatino Linotype" w:hAnsi="Palatino Linotype"/>
          <w:b/>
        </w:rPr>
        <w:t>mismo que deriva de un escrito de petición, en donde en ningún momento, la Dirección General de Operación y Control Urbano determinó la procedencia, improcedencia o negativa;</w:t>
      </w:r>
      <w:r w:rsidR="00184454" w:rsidRPr="00184454">
        <w:rPr>
          <w:rFonts w:ascii="Palatino Linotype" w:hAnsi="Palatino Linotype"/>
        </w:rPr>
        <w:t xml:space="preserve"> en este sentido, </w:t>
      </w:r>
      <w:r w:rsidR="00184454" w:rsidRPr="00184454">
        <w:rPr>
          <w:rFonts w:ascii="Palatino Linotype" w:hAnsi="Palatino Linotype"/>
          <w:b/>
        </w:rPr>
        <w:t xml:space="preserve">el recurso </w:t>
      </w:r>
      <w:r w:rsidR="00184454" w:rsidRPr="00184454">
        <w:rPr>
          <w:rFonts w:ascii="Palatino Linotype" w:hAnsi="Palatino Linotype"/>
          <w:b/>
        </w:rPr>
        <w:lastRenderedPageBreak/>
        <w:t>administrativo de inconformidad en cuestión, no deviene de un trámite común, solo se trató de un derecho de petición, al cual le recayó una respuesta; motivo por el cual no fue procedente abrir un expediente de dicho medio de defensa.</w:t>
      </w:r>
      <w:bookmarkEnd w:id="36"/>
    </w:p>
    <w:p w14:paraId="122C2972" w14:textId="77777777" w:rsidR="00A70AD3" w:rsidRPr="00A70AD3" w:rsidRDefault="00A70AD3" w:rsidP="00A70AD3">
      <w:pPr>
        <w:pStyle w:val="Prrafodelista"/>
        <w:spacing w:before="240" w:after="240" w:line="360" w:lineRule="auto"/>
        <w:ind w:left="0"/>
        <w:contextualSpacing/>
        <w:jc w:val="both"/>
        <w:rPr>
          <w:rFonts w:ascii="Palatino Linotype" w:hAnsi="Palatino Linotype"/>
          <w:iCs/>
          <w:lang w:val="es-ES_tradnl"/>
        </w:rPr>
      </w:pPr>
    </w:p>
    <w:p w14:paraId="2155C225" w14:textId="77777777" w:rsidR="002E050B" w:rsidRDefault="002E050B" w:rsidP="002E050B">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Conforme a lo anterior, resulta conveniente reiterar que la respuesta fue emitida por la </w:t>
      </w:r>
      <w:r w:rsidRPr="002950FA">
        <w:rPr>
          <w:rFonts w:ascii="Palatino Linotype" w:eastAsia="Calibri" w:hAnsi="Palatino Linotype" w:cs="Arial"/>
          <w:color w:val="000000" w:themeColor="text1"/>
          <w:sz w:val="22"/>
        </w:rPr>
        <w:t>Directora General de Operación y Control Urbano</w:t>
      </w:r>
      <w:r>
        <w:rPr>
          <w:rFonts w:ascii="Palatino Linotype" w:eastAsia="Calibri" w:hAnsi="Palatino Linotype" w:cs="Arial"/>
          <w:color w:val="000000" w:themeColor="text1"/>
          <w:sz w:val="22"/>
        </w:rPr>
        <w:t>, en este sentido y de conformidad con el artículo 10 del Reglamento Interior de la Secretaría de Desarrollo Urbano y Metropolitano, la Dirección General de Operación Urbana cuenta con las siguientes atribuciones:</w:t>
      </w:r>
    </w:p>
    <w:p w14:paraId="604EE425" w14:textId="77777777" w:rsidR="002E050B" w:rsidRDefault="002E050B" w:rsidP="002E050B">
      <w:pPr>
        <w:rPr>
          <w:rFonts w:ascii="Palatino Linotype" w:hAnsi="Palatino Linotype" w:cs="Arial"/>
          <w:color w:val="000000" w:themeColor="text1"/>
          <w:lang w:val="es-ES_tradnl"/>
        </w:rPr>
      </w:pPr>
    </w:p>
    <w:p w14:paraId="7C2ECE23" w14:textId="0BD82F85" w:rsidR="002E050B" w:rsidRPr="00EA6FB7" w:rsidRDefault="00EA6FB7" w:rsidP="00EA6FB7">
      <w:pPr>
        <w:ind w:left="567" w:right="616"/>
        <w:jc w:val="both"/>
        <w:rPr>
          <w:rFonts w:ascii="Palatino Linotype" w:hAnsi="Palatino Linotype"/>
          <w:i/>
          <w:sz w:val="22"/>
        </w:rPr>
      </w:pPr>
      <w:r>
        <w:rPr>
          <w:rFonts w:ascii="Palatino Linotype" w:hAnsi="Palatino Linotype"/>
          <w:i/>
          <w:sz w:val="22"/>
        </w:rPr>
        <w:t>“</w:t>
      </w:r>
      <w:r w:rsidR="002E050B" w:rsidRPr="00EA6FB7">
        <w:rPr>
          <w:rFonts w:ascii="Palatino Linotype" w:hAnsi="Palatino Linotype"/>
          <w:i/>
          <w:sz w:val="22"/>
        </w:rPr>
        <w:t xml:space="preserve">I. Autorizar conjuntos urbanos habitacionales de hasta mil viviendas, industriales, de abasto, comercio y servicios, científicos, tecnológicos, para unidades económicas de alto impacto y mixtos de hasta diez hectáreas de terreno, así como, su modificación, subrogación, cambio de modalidad, revocación o extinción por renuncia. </w:t>
      </w:r>
    </w:p>
    <w:p w14:paraId="6880DA2E"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II. Elaborar los acuerdos de autorización de conjuntos urbanos, subrogación del titular, cambio de tipo, revocación, extinción por renuncia o cualquier otro que corresponda expedir al Secretario. </w:t>
      </w:r>
    </w:p>
    <w:p w14:paraId="36D81DC7"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III. Autorizar el inicio de ejecución de obras, la enajenación de lotes y la promoción del desarrollo, fideicomitir, gravar o afectar lotes, prórroga para ejecución de obras, proyectos arquitectónicos de las obras de equipamiento urbano, relotificaciones, la sustitución, liberación o cancelación de garantías, condominios, localización de áreas de donación fuera del desarrollo, sustitución de obras de equipamiento urbano y su ubicación fuera respecto de los fraccionamientos, conjuntos urbanos autorizados. </w:t>
      </w:r>
    </w:p>
    <w:p w14:paraId="101B008D"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IV. Aprobar el proyecto de lotificación de conjuntos urbanos. </w:t>
      </w:r>
    </w:p>
    <w:p w14:paraId="11C335B1"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V. Emitir evaluaciones técnicas de impacto urbano. </w:t>
      </w:r>
    </w:p>
    <w:p w14:paraId="676B28C6"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VI. Emitir constancias de viabilidad para conjuntos urbanos, subdivisiones y condominios habitacionales de diez o más viviendas, así como, en otros tipos con un coeficiente de utilización de tres mil metros cuadrados o más situados en áreas urbanas o urbanizables para la aprobación del plano de localización, deslinde y fraccionamiento de las zonas de urbanización ejidal o comunal y su área de crecimiento y para proyectos de diez o más viviendas en un predio o lote. </w:t>
      </w:r>
    </w:p>
    <w:p w14:paraId="543B6BC4"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VII. Expedir dictámenes técnicos en los procedimientos de expropiación de inmuebles. VIII. Emitir constancias para la obtención de los beneficios fiscales que prevé el Código </w:t>
      </w:r>
      <w:r w:rsidRPr="00EA6FB7">
        <w:rPr>
          <w:rFonts w:ascii="Palatino Linotype" w:hAnsi="Palatino Linotype"/>
          <w:i/>
          <w:sz w:val="22"/>
        </w:rPr>
        <w:lastRenderedPageBreak/>
        <w:t>Financiero del Estado de México y Municipios, en adquisición de predios destinados a la ejecución de conjuntos urbanos habitacionales de tipo social progresivo, de interés social y popular.</w:t>
      </w:r>
    </w:p>
    <w:p w14:paraId="71330E2B" w14:textId="7FA3AE7F"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IX. Autorizar la apertura, prolongación, ampliación o modificación de las vías públicas que constituyan la infraestructura vial local. </w:t>
      </w:r>
    </w:p>
    <w:p w14:paraId="44DA9A7E" w14:textId="4EB36BCD"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X. Emitir cédulas informativas de zonificación para la autorización de conjuntos urbanos en predios que se ubiquen en el territorio de municipios a los que aún no se les hayan transferido formalmente dichas funciones.</w:t>
      </w:r>
    </w:p>
    <w:p w14:paraId="666B44FD"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XI. Ejercer directamente, cuando la atención de los asuntos así lo requieran, las atribuciones asignadas a las direcciones regionales y residencias locales. </w:t>
      </w:r>
    </w:p>
    <w:p w14:paraId="60402CA8"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XII. Atender las denuncias ciudadanas de hechos o actos que constituyan infracciones a las disposiciones jurídicas que regulan el ordenamiento territorial de los asentamientos humanos y el desarrollo urbano de los centros de población. </w:t>
      </w:r>
    </w:p>
    <w:p w14:paraId="67530D8E"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XIII. Vigilar, en su ámbito de competencia, el cumplimiento de las disposiciones legales que regulan el ordenamiento territorial de los asentamientos humanos y el desarrollo urbano de los centros de población. </w:t>
      </w:r>
    </w:p>
    <w:p w14:paraId="2FFA2270"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XIV. Verificar el cumplimiento de las obligaciones que establecen los acuerdos de autorización de fraccionamientos y conjuntos urbanos, así como las señaladas en las demás autorizaciones que se otorguen durante la ejecución de los desarrollos autorizados y, en su caso, imponer las medidas de seguridad y/o las sanciones que prevén las disposiciones legales en la materia. </w:t>
      </w:r>
    </w:p>
    <w:p w14:paraId="0C3F3D72"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XV. Emitir mandamientos de visitas de verificación, tramitar y resolver procedimientos administrativos, emitir y notificar citatorios, otorgar y resolver garantías de audiencia, determinar infracciones a las leyes de desarrollo urbano e imponer medidas de seguridad y/o sanciones, formular denuncias penales, así como tramitar y resolver los recursos de inconformidad que los particulares interpongan en contra de sus actos. </w:t>
      </w:r>
    </w:p>
    <w:p w14:paraId="343AA8A7"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XVI. Coordinarse con las autoridades federales, estatales y municipales para la ejecución de las medidas de seguridad y/o sanciones que imponga conforme a las leyes de la materia y, en su caso, solicitar el auxilio de la fuerza pública. </w:t>
      </w:r>
    </w:p>
    <w:p w14:paraId="782AF393"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XVII. Planear, programar, supervisar, controlar y evaluar el funcionamiento de las direcciones regionales y residencias locales, de acuerdo con las disposiciones legales que regulan su actuación. </w:t>
      </w:r>
    </w:p>
    <w:p w14:paraId="3D83A88E" w14:textId="22CF45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XVIII. Determinar la ubicación de las áreas de donación estatal que se localicen fuera de los conjuntos urbanos, subdivisiones y condominios. </w:t>
      </w:r>
    </w:p>
    <w:p w14:paraId="60A1B751"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XIX. Establecer medidas y acciones en coordinación con la Secretaría General de Gobierno y demás autoridades federales, estatales y municipales competentes para prevenir asentamientos humanos irregulares. </w:t>
      </w:r>
    </w:p>
    <w:p w14:paraId="634C0DC7"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lastRenderedPageBreak/>
        <w:t xml:space="preserve">XX. Verificar que las acciones de suelo y vivienda cumplan con las disposiciones en materia de ordenamiento territorial de los asentamientos humanos y del desarrollo urbano de los centros de población. </w:t>
      </w:r>
    </w:p>
    <w:p w14:paraId="04A8B1D6" w14:textId="77B9856C"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XXI. Establecer y vigilar el cumplimiento de programas de adquisición de reservas territoriales para el equipamiento urbano del Estado, con la participación que corresponda a otras autoridades. </w:t>
      </w:r>
    </w:p>
    <w:p w14:paraId="23408349" w14:textId="77777777"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XXII. Coordinar la recepción, entrega y transmisión de propiedad de las áreas de donación estatal que se localicen fuera de los conjuntos urbanos, subdivisiones y lotificaciones para condominio con las unidades administrativas encargadas de su incorporación al patrimonio inmobiliario del Estado. </w:t>
      </w:r>
    </w:p>
    <w:p w14:paraId="10FD4AF4" w14:textId="7CF95584"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XXIII. Autorizar el cumplimiento de la obligación de ceder áreas de donación, mediante la aportación de numerario al Fideicomiso de Reserva Territorial para el Desarrollo de Equipamiento Urbano Regional.</w:t>
      </w:r>
    </w:p>
    <w:p w14:paraId="456A2C48" w14:textId="77777777" w:rsid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XXIV. Autorizar el cumplimiento de la obligación de ejecutar obras de equipamiento urbano regional, mediante aportación de obras o en numerario en la proporción que resulte para el equipamiento urbano regional. La aportación en numerario se integrará al Fideicomiso de Reserva Territorial para el Desarrollo de Equipamiento Urbano Regional. </w:t>
      </w:r>
    </w:p>
    <w:p w14:paraId="0452AC88" w14:textId="1531A099" w:rsidR="002E050B" w:rsidRPr="00EA6FB7" w:rsidRDefault="002E050B" w:rsidP="00EA6FB7">
      <w:pPr>
        <w:ind w:left="567" w:right="616"/>
        <w:jc w:val="both"/>
        <w:rPr>
          <w:rFonts w:ascii="Palatino Linotype" w:hAnsi="Palatino Linotype"/>
          <w:i/>
          <w:sz w:val="22"/>
        </w:rPr>
      </w:pPr>
      <w:r w:rsidRPr="00EA6FB7">
        <w:rPr>
          <w:rFonts w:ascii="Palatino Linotype" w:hAnsi="Palatino Linotype"/>
          <w:i/>
          <w:sz w:val="22"/>
        </w:rPr>
        <w:t xml:space="preserve">XXV. Participar y dar seguimiento en el ámbito de su competencia al Fideicomiso de Reserva Territorial para el Desarrollo de Equipamiento Urbano Regional. </w:t>
      </w:r>
    </w:p>
    <w:p w14:paraId="0424191A" w14:textId="0D2B1BB4" w:rsidR="002E050B" w:rsidRPr="00EA6FB7" w:rsidRDefault="002E050B" w:rsidP="00EA6FB7">
      <w:pPr>
        <w:ind w:left="567" w:right="616"/>
        <w:jc w:val="both"/>
        <w:rPr>
          <w:rFonts w:ascii="Palatino Linotype" w:hAnsi="Palatino Linotype" w:cs="Arial"/>
          <w:i/>
          <w:color w:val="000000" w:themeColor="text1"/>
          <w:sz w:val="22"/>
          <w:lang w:val="es-ES_tradnl"/>
        </w:rPr>
      </w:pPr>
      <w:r w:rsidRPr="00EA6FB7">
        <w:rPr>
          <w:rFonts w:ascii="Palatino Linotype" w:hAnsi="Palatino Linotype"/>
          <w:i/>
          <w:sz w:val="22"/>
        </w:rPr>
        <w:t>XXVI. Las demás que le confiere otras disposiciones jurídicas legales y aquellas que le encomiende el Secretario.”</w:t>
      </w:r>
    </w:p>
    <w:p w14:paraId="021EB01A" w14:textId="77777777" w:rsidR="002E050B" w:rsidRPr="002E050B" w:rsidRDefault="002E050B" w:rsidP="002E050B">
      <w:pPr>
        <w:rPr>
          <w:rFonts w:ascii="Palatino Linotype" w:hAnsi="Palatino Linotype" w:cs="Arial"/>
          <w:color w:val="000000" w:themeColor="text1"/>
          <w:lang w:val="es-ES_tradnl"/>
        </w:rPr>
      </w:pPr>
    </w:p>
    <w:p w14:paraId="23074A3C" w14:textId="09D93B86" w:rsidR="002E050B" w:rsidRDefault="002E050B" w:rsidP="002E050B">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sidRPr="002E050B">
        <w:rPr>
          <w:rFonts w:ascii="Palatino Linotype" w:hAnsi="Palatino Linotype" w:cs="Arial"/>
          <w:color w:val="000000" w:themeColor="text1"/>
          <w:lang w:val="es-ES_tradnl"/>
        </w:rPr>
        <w:t>Por su par</w:t>
      </w:r>
      <w:r>
        <w:rPr>
          <w:rFonts w:ascii="Palatino Linotype" w:hAnsi="Palatino Linotype" w:cs="Arial"/>
          <w:color w:val="000000" w:themeColor="text1"/>
          <w:lang w:val="es-ES_tradnl"/>
        </w:rPr>
        <w:t>te, de conformidad con el artículo 11 del mismo ordenamiento legal, la Dirección General de Control Urbano, cuenta con las siguientes atribuciones:</w:t>
      </w:r>
    </w:p>
    <w:p w14:paraId="6DCD3F18" w14:textId="77777777" w:rsidR="002E050B" w:rsidRDefault="002E050B" w:rsidP="002E050B">
      <w:pPr>
        <w:spacing w:after="160" w:line="360" w:lineRule="auto"/>
        <w:ind w:right="-93"/>
        <w:contextualSpacing/>
        <w:jc w:val="both"/>
        <w:rPr>
          <w:rFonts w:ascii="Palatino Linotype" w:hAnsi="Palatino Linotype" w:cs="Arial"/>
          <w:color w:val="000000" w:themeColor="text1"/>
          <w:lang w:val="es-ES_tradnl"/>
        </w:rPr>
      </w:pPr>
    </w:p>
    <w:p w14:paraId="264305CB" w14:textId="4FACB304" w:rsidR="002E050B" w:rsidRDefault="002E050B" w:rsidP="002E050B">
      <w:pPr>
        <w:spacing w:after="160"/>
        <w:ind w:left="567" w:right="616"/>
        <w:contextualSpacing/>
        <w:jc w:val="both"/>
        <w:rPr>
          <w:rFonts w:ascii="Palatino Linotype" w:hAnsi="Palatino Linotype"/>
          <w:i/>
          <w:sz w:val="22"/>
        </w:rPr>
      </w:pPr>
      <w:r>
        <w:rPr>
          <w:rFonts w:ascii="Palatino Linotype" w:hAnsi="Palatino Linotype"/>
          <w:i/>
          <w:sz w:val="22"/>
        </w:rPr>
        <w:t>“</w:t>
      </w:r>
      <w:r w:rsidRPr="002E050B">
        <w:rPr>
          <w:rFonts w:ascii="Palatino Linotype" w:hAnsi="Palatino Linotype"/>
          <w:i/>
          <w:sz w:val="22"/>
        </w:rPr>
        <w:t xml:space="preserve">I. Supervisar, conjuntamente con las autoridades estatales y municipales competentes, la ejecución de las obras de infraestructura, urbanización y equipamiento urbano, derivadas de las autorizaciones de fraccionamientos, conjuntos urbanos, subdivisiones y condominios. </w:t>
      </w:r>
    </w:p>
    <w:p w14:paraId="227297D1" w14:textId="77777777" w:rsidR="002E050B" w:rsidRDefault="002E050B" w:rsidP="002E050B">
      <w:pPr>
        <w:spacing w:after="160"/>
        <w:ind w:left="567" w:right="616"/>
        <w:contextualSpacing/>
        <w:jc w:val="both"/>
        <w:rPr>
          <w:rFonts w:ascii="Palatino Linotype" w:hAnsi="Palatino Linotype"/>
          <w:i/>
          <w:sz w:val="22"/>
        </w:rPr>
      </w:pPr>
      <w:r w:rsidRPr="002E050B">
        <w:rPr>
          <w:rFonts w:ascii="Palatino Linotype" w:hAnsi="Palatino Linotype"/>
          <w:i/>
          <w:sz w:val="22"/>
        </w:rPr>
        <w:t xml:space="preserve">II. Coordinar con los municipios y las autoridades estatales que correspondan la entrega y recepción de las obras de infraestructura, urbanización y equipamiento urbano que establezcan los acuerdos de autorización de los fraccionamientos, conjuntos urbanos y subdivisiones de predios autorizados. </w:t>
      </w:r>
    </w:p>
    <w:p w14:paraId="568724D3" w14:textId="77777777" w:rsidR="002E050B" w:rsidRDefault="002E050B" w:rsidP="002E050B">
      <w:pPr>
        <w:spacing w:after="160"/>
        <w:ind w:left="567" w:right="616"/>
        <w:contextualSpacing/>
        <w:jc w:val="both"/>
        <w:rPr>
          <w:rFonts w:ascii="Palatino Linotype" w:hAnsi="Palatino Linotype"/>
          <w:i/>
          <w:sz w:val="22"/>
        </w:rPr>
      </w:pPr>
      <w:r w:rsidRPr="002E050B">
        <w:rPr>
          <w:rFonts w:ascii="Palatino Linotype" w:hAnsi="Palatino Linotype"/>
          <w:i/>
          <w:sz w:val="22"/>
        </w:rPr>
        <w:t xml:space="preserve">III. Coordinar con los municipios la entrega, recepción y transmisión de la propiedad de las áreas de donación municipal que establezcan los acuerdos de autorización de fraccionamientos, conjuntos urbanos, subdivisiones y condominios. </w:t>
      </w:r>
    </w:p>
    <w:p w14:paraId="255F141A" w14:textId="77777777" w:rsidR="002E050B" w:rsidRDefault="002E050B" w:rsidP="002E050B">
      <w:pPr>
        <w:spacing w:after="160"/>
        <w:ind w:left="567" w:right="616"/>
        <w:contextualSpacing/>
        <w:jc w:val="both"/>
        <w:rPr>
          <w:rFonts w:ascii="Palatino Linotype" w:hAnsi="Palatino Linotype"/>
          <w:i/>
          <w:sz w:val="22"/>
        </w:rPr>
      </w:pPr>
      <w:r w:rsidRPr="002E050B">
        <w:rPr>
          <w:rFonts w:ascii="Palatino Linotype" w:hAnsi="Palatino Linotype"/>
          <w:i/>
          <w:sz w:val="22"/>
        </w:rPr>
        <w:lastRenderedPageBreak/>
        <w:t xml:space="preserve">IV. Solicitar y entregar la información y documentación que se requiera a la autoridad correspondiente de la Secretaría de Finanzas, para que se lleve a cabo la reclamación o el requerimiento de pago de las pólizas de fianzas que garanticen, a favor del Gobierno del Estado de México, la construcción de las obras de urbanización, equipamiento urbano y, en su caso, de infraestructura primaria, derivado del incumplimiento de las obligaciones establecidas en los acuerdos de autorización de fraccionamientos, conjuntos urbanos, condominios y subdivisiones de predios. </w:t>
      </w:r>
    </w:p>
    <w:p w14:paraId="611D22C3" w14:textId="77777777" w:rsidR="002E050B" w:rsidRDefault="002E050B" w:rsidP="002E050B">
      <w:pPr>
        <w:spacing w:after="160"/>
        <w:ind w:left="567" w:right="616"/>
        <w:contextualSpacing/>
        <w:jc w:val="both"/>
        <w:rPr>
          <w:rFonts w:ascii="Palatino Linotype" w:hAnsi="Palatino Linotype"/>
          <w:i/>
          <w:sz w:val="22"/>
        </w:rPr>
      </w:pPr>
      <w:r w:rsidRPr="002E050B">
        <w:rPr>
          <w:rFonts w:ascii="Palatino Linotype" w:hAnsi="Palatino Linotype"/>
          <w:i/>
          <w:sz w:val="22"/>
        </w:rPr>
        <w:t xml:space="preserve">V. Coordinar con las dependencias u organismos auxiliares estatales, la entrega y recepción de las obras de equipamiento urbano regional. </w:t>
      </w:r>
    </w:p>
    <w:p w14:paraId="57B92505" w14:textId="77777777" w:rsidR="002E050B" w:rsidRDefault="002E050B" w:rsidP="002E050B">
      <w:pPr>
        <w:spacing w:after="160"/>
        <w:ind w:left="567" w:right="616"/>
        <w:contextualSpacing/>
        <w:jc w:val="both"/>
        <w:rPr>
          <w:rFonts w:ascii="Palatino Linotype" w:hAnsi="Palatino Linotype"/>
          <w:i/>
          <w:sz w:val="22"/>
        </w:rPr>
      </w:pPr>
      <w:r w:rsidRPr="002E050B">
        <w:rPr>
          <w:rFonts w:ascii="Palatino Linotype" w:hAnsi="Palatino Linotype"/>
          <w:i/>
          <w:sz w:val="22"/>
        </w:rPr>
        <w:t xml:space="preserve">VI. Coordinarse con las dependencias federales, estatales y municipales para el ejercicio de sus funciones y, en su caso, solicitar el auxilio de la fuerza pública. </w:t>
      </w:r>
    </w:p>
    <w:p w14:paraId="21EE4483" w14:textId="77777777" w:rsidR="002E050B" w:rsidRDefault="002E050B" w:rsidP="002E050B">
      <w:pPr>
        <w:spacing w:after="160"/>
        <w:ind w:left="567" w:right="616"/>
        <w:contextualSpacing/>
        <w:jc w:val="both"/>
        <w:rPr>
          <w:rFonts w:ascii="Palatino Linotype" w:hAnsi="Palatino Linotype"/>
          <w:i/>
          <w:sz w:val="22"/>
        </w:rPr>
      </w:pPr>
      <w:r w:rsidRPr="002E050B">
        <w:rPr>
          <w:rFonts w:ascii="Palatino Linotype" w:hAnsi="Palatino Linotype"/>
          <w:i/>
          <w:sz w:val="22"/>
        </w:rPr>
        <w:t xml:space="preserve">VII. Determinar el incumplimiento de las obligaciones previstas en los acuerdos de autorización de fraccionamientos, conjuntos urbanos, subdivisiones y condominios, en materia de áreas de donación y ejecución de las obras de infraestructura, urbanización y equipamiento urbano e informar lo conducente a la Dirección General de Operación Urbana. </w:t>
      </w:r>
    </w:p>
    <w:p w14:paraId="0DFAFD16" w14:textId="77777777" w:rsidR="002E050B" w:rsidRDefault="002E050B" w:rsidP="002E050B">
      <w:pPr>
        <w:spacing w:after="160"/>
        <w:ind w:left="567" w:right="616"/>
        <w:contextualSpacing/>
        <w:jc w:val="both"/>
        <w:rPr>
          <w:rFonts w:ascii="Palatino Linotype" w:hAnsi="Palatino Linotype"/>
          <w:i/>
          <w:sz w:val="22"/>
        </w:rPr>
      </w:pPr>
      <w:r w:rsidRPr="002E050B">
        <w:rPr>
          <w:rFonts w:ascii="Palatino Linotype" w:hAnsi="Palatino Linotype"/>
          <w:i/>
          <w:sz w:val="22"/>
        </w:rPr>
        <w:t xml:space="preserve">VIII. Solicitar los proyectos arquitectónicos de las obras de equipamiento urbano, establecidas en los acuerdos de autorización de fraccionamientos, conjuntos urbanos, subdivisiones y condominios. </w:t>
      </w:r>
    </w:p>
    <w:p w14:paraId="5D342C23" w14:textId="358E3453" w:rsidR="002E050B" w:rsidRPr="002E050B" w:rsidRDefault="002E050B" w:rsidP="002E050B">
      <w:pPr>
        <w:spacing w:after="160"/>
        <w:ind w:left="567" w:right="616"/>
        <w:contextualSpacing/>
        <w:jc w:val="both"/>
        <w:rPr>
          <w:rFonts w:ascii="Palatino Linotype" w:hAnsi="Palatino Linotype"/>
          <w:i/>
          <w:sz w:val="22"/>
        </w:rPr>
      </w:pPr>
      <w:r w:rsidRPr="002E050B">
        <w:rPr>
          <w:rFonts w:ascii="Palatino Linotype" w:hAnsi="Palatino Linotype"/>
          <w:i/>
          <w:sz w:val="22"/>
        </w:rPr>
        <w:t>IX. Realizar la apertura y autorizar el cierre de la bitácora de supervisión de las obras de urbanización, equipamiento urbano e infraestructura primaria, establecidas en los acuerdos de autorización de fraccionamientos, conjuntos urbanos, subdivisiones y condominios.</w:t>
      </w:r>
    </w:p>
    <w:p w14:paraId="06FCCAC1" w14:textId="2B7A266D" w:rsidR="002E050B" w:rsidRPr="002E050B" w:rsidRDefault="002E050B" w:rsidP="002E050B">
      <w:pPr>
        <w:spacing w:after="160"/>
        <w:ind w:left="567" w:right="616"/>
        <w:contextualSpacing/>
        <w:jc w:val="both"/>
        <w:rPr>
          <w:rFonts w:ascii="Palatino Linotype" w:hAnsi="Palatino Linotype"/>
          <w:i/>
          <w:sz w:val="22"/>
        </w:rPr>
      </w:pPr>
      <w:r w:rsidRPr="002E050B">
        <w:rPr>
          <w:rFonts w:ascii="Palatino Linotype" w:hAnsi="Palatino Linotype"/>
          <w:i/>
          <w:sz w:val="22"/>
        </w:rPr>
        <w:t xml:space="preserve">X. Coordinar la recepción, entrega y transmisión de propiedad de las áreas de donación estatal que se ubiquen dentro de los conjuntos urbanos, subdivisiones y condominios, con la unidad administrativa encargada de su incorporación al patrimonio inmobiliario del Estado. </w:t>
      </w:r>
    </w:p>
    <w:p w14:paraId="63CFB659" w14:textId="0B8C0F90" w:rsidR="002E050B" w:rsidRPr="002E050B" w:rsidRDefault="002E050B" w:rsidP="002E050B">
      <w:pPr>
        <w:spacing w:after="160"/>
        <w:ind w:left="567" w:right="616"/>
        <w:contextualSpacing/>
        <w:jc w:val="both"/>
        <w:rPr>
          <w:rFonts w:ascii="Palatino Linotype" w:hAnsi="Palatino Linotype" w:cs="Arial"/>
          <w:i/>
          <w:color w:val="000000" w:themeColor="text1"/>
          <w:sz w:val="22"/>
          <w:lang w:val="es-ES_tradnl"/>
        </w:rPr>
      </w:pPr>
      <w:r w:rsidRPr="002E050B">
        <w:rPr>
          <w:rFonts w:ascii="Palatino Linotype" w:hAnsi="Palatino Linotype"/>
          <w:i/>
          <w:sz w:val="22"/>
        </w:rPr>
        <w:t>XI. Las demás que le confieren otros ordenamientos legales y aquellas que le encomiende el Secretario.”</w:t>
      </w:r>
    </w:p>
    <w:p w14:paraId="27DFF86A" w14:textId="77777777" w:rsidR="002E050B" w:rsidRPr="002E050B" w:rsidRDefault="002E050B" w:rsidP="002E050B">
      <w:pPr>
        <w:rPr>
          <w:rFonts w:ascii="Palatino Linotype" w:eastAsia="MS Mincho" w:hAnsi="Palatino Linotype" w:cs="Tahoma"/>
          <w:color w:val="000000" w:themeColor="text1"/>
          <w:lang w:val="es-ES_tradnl"/>
        </w:rPr>
      </w:pPr>
    </w:p>
    <w:p w14:paraId="280017C6" w14:textId="136A30A5" w:rsidR="00BE032C" w:rsidRPr="00A70AD3" w:rsidRDefault="004A2E2B" w:rsidP="00A70AD3">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sidRPr="00DF76A4">
        <w:rPr>
          <w:rFonts w:ascii="Palatino Linotype" w:eastAsia="MS Mincho" w:hAnsi="Palatino Linotype" w:cs="Tahoma"/>
          <w:color w:val="000000" w:themeColor="text1"/>
          <w:lang w:val="es-ES_tradnl"/>
        </w:rPr>
        <w:t>De</w:t>
      </w:r>
      <w:r w:rsidRPr="00DF76A4">
        <w:rPr>
          <w:rFonts w:ascii="Palatino Linotype" w:hAnsi="Palatino Linotype" w:cs="Arial"/>
          <w:color w:val="000000" w:themeColor="text1"/>
          <w:lang w:val="es-ES_tradnl"/>
        </w:rPr>
        <w:t xml:space="preserve"> lo anterior, se presume que</w:t>
      </w:r>
      <w:r w:rsidR="008270B2">
        <w:rPr>
          <w:rFonts w:ascii="Palatino Linotype" w:hAnsi="Palatino Linotype" w:cs="Arial"/>
          <w:color w:val="000000" w:themeColor="text1"/>
          <w:lang w:val="es-ES_tradnl"/>
        </w:rPr>
        <w:t>,</w:t>
      </w:r>
      <w:r w:rsidRPr="00DF76A4">
        <w:rPr>
          <w:rFonts w:ascii="Palatino Linotype" w:hAnsi="Palatino Linotype" w:cs="Arial"/>
          <w:color w:val="000000" w:themeColor="text1"/>
          <w:lang w:val="es-ES_tradnl"/>
        </w:rPr>
        <w:t xml:space="preserve"> </w:t>
      </w:r>
      <w:r w:rsidR="00BE032C" w:rsidRPr="002C0D1C">
        <w:rPr>
          <w:rFonts w:ascii="Palatino Linotype" w:hAnsi="Palatino Linotype"/>
        </w:rPr>
        <w:t xml:space="preserve">al haber existido un pronunciamiento por parte del </w:t>
      </w:r>
      <w:r w:rsidR="00BE032C" w:rsidRPr="002C0D1C">
        <w:rPr>
          <w:rFonts w:ascii="Palatino Linotype" w:hAnsi="Palatino Linotype"/>
          <w:b/>
          <w:bCs/>
        </w:rPr>
        <w:t>SUJETO OBLIGADO</w:t>
      </w:r>
      <w:r w:rsidR="00BE032C" w:rsidRPr="002C0D1C">
        <w:rPr>
          <w:rFonts w:ascii="Palatino Linotype" w:hAnsi="Palatino Linotype"/>
        </w:rPr>
        <w:t xml:space="preserve">, </w:t>
      </w:r>
      <w:r w:rsidR="00BE032C" w:rsidRPr="00184454">
        <w:rPr>
          <w:rFonts w:ascii="Palatino Linotype" w:hAnsi="Palatino Linotype"/>
        </w:rPr>
        <w:t xml:space="preserve">aún más del Servidor Público Habilitado competente, a quien le fue requerida la información por la Titular de la Unidad de Transparencia; y señalar que en sus archivos </w:t>
      </w:r>
      <w:r w:rsidR="00184454" w:rsidRPr="00184454">
        <w:rPr>
          <w:rFonts w:ascii="Palatino Linotype" w:hAnsi="Palatino Linotype"/>
          <w:b/>
        </w:rPr>
        <w:t xml:space="preserve">no se localizaron recursos administrativos de inconformidad en contra de respuestas emitidas por la Dirección de Operación y </w:t>
      </w:r>
      <w:r w:rsidR="00184454" w:rsidRPr="00184454">
        <w:rPr>
          <w:rFonts w:ascii="Palatino Linotype" w:hAnsi="Palatino Linotype"/>
          <w:b/>
        </w:rPr>
        <w:lastRenderedPageBreak/>
        <w:t xml:space="preserve">Control Urbano, respecto a la improcedencia o negativa de autorización y/o emisión del dictamen de vialidad o autorización de condominio en el año 2021, en relación a solicitudes formuladas de predios ubicados en la Delegación de San Mateo Oxtotitlán, en el Municipio de Toluca, </w:t>
      </w:r>
      <w:r w:rsidR="00BE032C" w:rsidRPr="00184454">
        <w:rPr>
          <w:rFonts w:ascii="Palatino Linotype" w:hAnsi="Palatino Linotype"/>
          <w:b/>
          <w:bCs/>
        </w:rPr>
        <w:t>se trata de un hecho negativo;</w:t>
      </w:r>
      <w:r w:rsidR="00BE032C" w:rsidRPr="00184454">
        <w:rPr>
          <w:rFonts w:ascii="Palatino Linotype" w:hAnsi="Palatino Linotype"/>
        </w:rPr>
        <w:t xml:space="preserve"> en este</w:t>
      </w:r>
      <w:r w:rsidR="00BE032C" w:rsidRPr="002C0D1C">
        <w:rPr>
          <w:rFonts w:ascii="Palatino Linotype" w:hAnsi="Palatino Linotype"/>
        </w:rPr>
        <w:t xml:space="preserve"> sentido, se obvia que no puede fácticamente obrar en los archivos del </w:t>
      </w:r>
      <w:r w:rsidR="00BE032C" w:rsidRPr="002C0D1C">
        <w:rPr>
          <w:rFonts w:ascii="Palatino Linotype" w:hAnsi="Palatino Linotype"/>
          <w:b/>
          <w:bCs/>
        </w:rPr>
        <w:t>SUJETO OBLIGADO</w:t>
      </w:r>
      <w:r w:rsidR="00BE032C" w:rsidRPr="002C0D1C">
        <w:rPr>
          <w:rFonts w:ascii="Palatino Linotype" w:hAnsi="Palatino Linotype"/>
        </w:rPr>
        <w:t>, ya que no puede probarse por ser lógica y materialmente imposible, en razón de que, al no haber generado dicha información, no la posee, no la administra, ni cuenta con la misma.</w:t>
      </w:r>
    </w:p>
    <w:p w14:paraId="56FA3F67" w14:textId="77777777" w:rsidR="00A70AD3" w:rsidRPr="00184454" w:rsidRDefault="00A70AD3" w:rsidP="00A70AD3">
      <w:pPr>
        <w:spacing w:after="160" w:line="360" w:lineRule="auto"/>
        <w:ind w:right="-93"/>
        <w:contextualSpacing/>
        <w:jc w:val="both"/>
        <w:rPr>
          <w:rFonts w:ascii="Palatino Linotype" w:hAnsi="Palatino Linotype" w:cs="Arial"/>
          <w:color w:val="000000" w:themeColor="text1"/>
          <w:lang w:val="es-ES_tradnl"/>
        </w:rPr>
      </w:pPr>
    </w:p>
    <w:p w14:paraId="66882F5D" w14:textId="00C0B375" w:rsidR="00BE032C" w:rsidRPr="00BE032C" w:rsidRDefault="00BE032C"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Asimismo, </w:t>
      </w:r>
      <w:r w:rsidRPr="002C0D1C">
        <w:rPr>
          <w:rFonts w:ascii="Palatino Linotype" w:hAnsi="Palatino Linotype"/>
        </w:rPr>
        <w:t>no se trata de un caso por el cual la negación del hecho implique la afirmación de este, simplemente se está ante una notoria y evidente inexistencia fáctica de la información solicitada.</w:t>
      </w:r>
    </w:p>
    <w:p w14:paraId="7BB13D95" w14:textId="77777777" w:rsidR="00BE032C" w:rsidRDefault="00BE032C" w:rsidP="00BE032C">
      <w:pPr>
        <w:spacing w:after="160" w:line="360" w:lineRule="auto"/>
        <w:ind w:right="-93"/>
        <w:contextualSpacing/>
        <w:jc w:val="both"/>
        <w:rPr>
          <w:rFonts w:ascii="Palatino Linotype" w:hAnsi="Palatino Linotype" w:cs="Arial"/>
          <w:color w:val="000000" w:themeColor="text1"/>
          <w:lang w:val="es-ES_tradnl"/>
        </w:rPr>
      </w:pPr>
    </w:p>
    <w:p w14:paraId="0DD68F73" w14:textId="1A835116" w:rsidR="00BE032C" w:rsidRPr="00BE032C" w:rsidRDefault="00BE032C"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Por </w:t>
      </w:r>
      <w:r w:rsidRPr="002C0D1C">
        <w:rPr>
          <w:rFonts w:ascii="Palatino Linotype" w:hAnsi="Palatino Linotype"/>
        </w:rPr>
        <w:t xml:space="preserve">ello, de conformidad con lo establecido en el artículo 12 de la Ley de Transparencia y Acceso a la Información Pública del Estado de México y Municipios </w:t>
      </w:r>
      <w:r>
        <w:rPr>
          <w:rFonts w:ascii="Palatino Linotype" w:hAnsi="Palatino Linotype"/>
        </w:rPr>
        <w:t>el</w:t>
      </w:r>
      <w:r w:rsidRPr="002C0D1C">
        <w:rPr>
          <w:rFonts w:ascii="Palatino Linotype" w:hAnsi="Palatino Linotype"/>
        </w:rPr>
        <w:t xml:space="preserve"> </w:t>
      </w:r>
      <w:r w:rsidRPr="002C0D1C">
        <w:rPr>
          <w:rFonts w:ascii="Palatino Linotype" w:hAnsi="Palatino Linotype"/>
          <w:b/>
          <w:bCs/>
        </w:rPr>
        <w:t>SUJETO OBLIGADO</w:t>
      </w:r>
      <w:r w:rsidRPr="002C0D1C">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3ACA7EC0" w14:textId="6D886AB3" w:rsidR="00BE032C" w:rsidRDefault="00BE032C" w:rsidP="00BE032C">
      <w:pPr>
        <w:spacing w:after="160" w:line="360" w:lineRule="auto"/>
        <w:ind w:right="-93"/>
        <w:contextualSpacing/>
        <w:jc w:val="both"/>
        <w:rPr>
          <w:rFonts w:ascii="Palatino Linotype" w:hAnsi="Palatino Linotype" w:cs="Arial"/>
          <w:color w:val="000000" w:themeColor="text1"/>
          <w:lang w:val="es-ES_tradnl"/>
        </w:rPr>
      </w:pPr>
    </w:p>
    <w:p w14:paraId="25724546" w14:textId="7A781D13" w:rsidR="00BE032C" w:rsidRPr="00BE032C" w:rsidRDefault="00BE032C" w:rsidP="00BE032C">
      <w:pPr>
        <w:ind w:left="567" w:right="565"/>
        <w:jc w:val="both"/>
        <w:rPr>
          <w:rFonts w:ascii="Palatino Linotype" w:eastAsia="Calibri" w:hAnsi="Palatino Linotype" w:cs="Arial"/>
          <w:color w:val="000000" w:themeColor="text1"/>
        </w:rPr>
      </w:pPr>
      <w:r w:rsidRPr="002C0D1C">
        <w:rPr>
          <w:rFonts w:ascii="Palatino Linotype" w:hAnsi="Palatino Linotype"/>
          <w:b/>
          <w:bCs/>
        </w:rPr>
        <w:lastRenderedPageBreak/>
        <w:t>HECHOS NEGATIVOS, NO SON SUSCEPTIBLES DE DEMOSTRACIÓN.</w:t>
      </w:r>
      <w:r w:rsidRPr="002C0D1C">
        <w:rPr>
          <w:rFonts w:ascii="Palatino Linotype" w:hAnsi="Palatino Linotype"/>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22FAAC3B" w14:textId="77777777" w:rsidR="00BE032C" w:rsidRDefault="00BE032C" w:rsidP="00BE032C">
      <w:pPr>
        <w:spacing w:after="160" w:line="360" w:lineRule="auto"/>
        <w:ind w:right="-93"/>
        <w:contextualSpacing/>
        <w:jc w:val="both"/>
        <w:rPr>
          <w:rFonts w:ascii="Palatino Linotype" w:hAnsi="Palatino Linotype" w:cs="Arial"/>
          <w:color w:val="000000" w:themeColor="text1"/>
          <w:lang w:val="es-ES_tradnl"/>
        </w:rPr>
      </w:pPr>
    </w:p>
    <w:p w14:paraId="01DF9CD0" w14:textId="1EF91B94" w:rsidR="00BE032C" w:rsidRPr="00BE032C" w:rsidRDefault="00BE032C"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De </w:t>
      </w:r>
      <w:r w:rsidRPr="002C0D1C">
        <w:rPr>
          <w:rFonts w:ascii="Palatino Linotype" w:hAnsi="Palatino Linotype"/>
        </w:rPr>
        <w:t>igual forma, es aplicable el criterio 7/2017, emitido en la Segunda Época por el Instituto Nacional de Transparencia, Acceso a la Información y Protección de Datos Personales (INAI), el cual señala lo siguiente:</w:t>
      </w:r>
    </w:p>
    <w:p w14:paraId="55A3C8AB" w14:textId="42583EEA" w:rsidR="00BE032C" w:rsidRDefault="00BE032C" w:rsidP="00BE032C">
      <w:pPr>
        <w:spacing w:after="160" w:line="360" w:lineRule="auto"/>
        <w:ind w:right="-93"/>
        <w:contextualSpacing/>
        <w:jc w:val="both"/>
        <w:rPr>
          <w:rFonts w:ascii="Palatino Linotype" w:hAnsi="Palatino Linotype" w:cs="Arial"/>
          <w:color w:val="000000" w:themeColor="text1"/>
          <w:lang w:val="es-ES_tradnl"/>
        </w:rPr>
      </w:pPr>
    </w:p>
    <w:p w14:paraId="4E72659B" w14:textId="670A9CAD" w:rsidR="00BE032C" w:rsidRPr="00BE032C" w:rsidRDefault="00BE032C" w:rsidP="00BE032C">
      <w:pPr>
        <w:pStyle w:val="Prrafodelista"/>
        <w:ind w:left="567" w:right="616"/>
        <w:jc w:val="both"/>
        <w:rPr>
          <w:rFonts w:ascii="Palatino Linotype" w:eastAsia="Calibri" w:hAnsi="Palatino Linotype" w:cs="Arial"/>
          <w:color w:val="000000" w:themeColor="text1"/>
          <w:sz w:val="22"/>
          <w:szCs w:val="22"/>
        </w:rPr>
      </w:pPr>
      <w:r w:rsidRPr="002C0D1C">
        <w:rPr>
          <w:rFonts w:ascii="Palatino Linotype" w:hAnsi="Palatino Linotype"/>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3CA450A7" w14:textId="77777777" w:rsidR="00BE032C" w:rsidRDefault="00BE032C" w:rsidP="00BE032C">
      <w:pPr>
        <w:spacing w:after="160" w:line="360" w:lineRule="auto"/>
        <w:ind w:right="-93"/>
        <w:contextualSpacing/>
        <w:jc w:val="both"/>
        <w:rPr>
          <w:rFonts w:ascii="Palatino Linotype" w:hAnsi="Palatino Linotype" w:cs="Arial"/>
          <w:color w:val="000000" w:themeColor="text1"/>
          <w:lang w:val="es-ES_tradnl"/>
        </w:rPr>
      </w:pPr>
    </w:p>
    <w:p w14:paraId="6DD352F3" w14:textId="63B78789" w:rsidR="00BE032C" w:rsidRPr="00BE032C" w:rsidRDefault="00BE032C"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Expuesto </w:t>
      </w:r>
      <w:r>
        <w:rPr>
          <w:rFonts w:ascii="Palatino Linotype" w:eastAsia="Calibri" w:hAnsi="Palatino Linotype" w:cs="Arial"/>
          <w:color w:val="000000" w:themeColor="text1"/>
        </w:rPr>
        <w:t xml:space="preserve">todo lo </w:t>
      </w:r>
      <w:r w:rsidRPr="002C0D1C">
        <w:rPr>
          <w:rFonts w:ascii="Palatino Linotype" w:eastAsia="Calibri" w:hAnsi="Palatino Linotype" w:cs="Arial"/>
          <w:color w:val="000000" w:themeColor="text1"/>
        </w:rPr>
        <w:t>anterior, se tiene que por medio de un acto jurídico posterior como lo es el informe justificado,</w:t>
      </w:r>
      <w:r w:rsidRPr="002C0D1C">
        <w:rPr>
          <w:rFonts w:ascii="Palatino Linotype" w:eastAsia="Calibri" w:hAnsi="Palatino Linotype" w:cs="Arial"/>
          <w:bCs/>
          <w:color w:val="000000" w:themeColor="text1"/>
        </w:rPr>
        <w:t xml:space="preserve"> el</w:t>
      </w:r>
      <w:r w:rsidRPr="002D1FF7">
        <w:rPr>
          <w:rFonts w:ascii="Palatino Linotype" w:eastAsia="Calibri" w:hAnsi="Palatino Linotype" w:cs="Arial"/>
          <w:b/>
          <w:color w:val="000000" w:themeColor="text1"/>
        </w:rPr>
        <w:t xml:space="preserve"> </w:t>
      </w:r>
      <w:r w:rsidRPr="002D1FF7">
        <w:rPr>
          <w:rFonts w:ascii="Palatino Linotype" w:eastAsia="Calibri" w:hAnsi="Palatino Linotype" w:cs="Arial"/>
          <w:b/>
          <w:bCs/>
          <w:color w:val="000000" w:themeColor="text1"/>
        </w:rPr>
        <w:t>SUJETO OBLIGADO</w:t>
      </w:r>
      <w:r w:rsidRPr="002C0D1C">
        <w:rPr>
          <w:rFonts w:ascii="Palatino Linotype" w:eastAsia="Calibri" w:hAnsi="Palatino Linotype" w:cs="Arial"/>
          <w:bCs/>
          <w:color w:val="000000" w:themeColor="text1"/>
        </w:rPr>
        <w:t xml:space="preserve"> justificó su respuesta inicial y aportó información novedosa.</w:t>
      </w:r>
    </w:p>
    <w:p w14:paraId="12D77381" w14:textId="77777777" w:rsidR="00BE032C" w:rsidRDefault="00BE032C" w:rsidP="00BE032C">
      <w:pPr>
        <w:spacing w:after="160" w:line="360" w:lineRule="auto"/>
        <w:ind w:right="-93"/>
        <w:contextualSpacing/>
        <w:jc w:val="both"/>
        <w:rPr>
          <w:rFonts w:ascii="Palatino Linotype" w:hAnsi="Palatino Linotype" w:cs="Arial"/>
          <w:color w:val="000000" w:themeColor="text1"/>
          <w:lang w:val="es-ES_tradnl"/>
        </w:rPr>
      </w:pPr>
    </w:p>
    <w:p w14:paraId="3E44246E" w14:textId="49466520" w:rsidR="00BE032C"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lastRenderedPageBreak/>
        <w:t xml:space="preserve">En </w:t>
      </w:r>
      <w:r>
        <w:rPr>
          <w:rFonts w:ascii="Palatino Linotype" w:eastAsia="Calibri" w:hAnsi="Palatino Linotype" w:cs="Arial"/>
          <w:color w:val="000000" w:themeColor="text1"/>
        </w:rPr>
        <w:t xml:space="preserve">este sentido, </w:t>
      </w:r>
      <w:r w:rsidRPr="00017B9F">
        <w:rPr>
          <w:rFonts w:ascii="Palatino Linotype" w:hAnsi="Palatino Linotype" w:cs="Arial"/>
          <w:bCs/>
          <w:szCs w:val="22"/>
        </w:rPr>
        <w:t xml:space="preserve">es dable sostener que, al haber existido un pronunciamiento por parte del </w:t>
      </w:r>
      <w:r w:rsidRPr="00017B9F">
        <w:rPr>
          <w:rFonts w:ascii="Palatino Linotype" w:hAnsi="Palatino Linotype" w:cs="Arial"/>
          <w:b/>
          <w:bCs/>
          <w:szCs w:val="22"/>
        </w:rPr>
        <w:t>SUJETO OBLIGADO</w:t>
      </w:r>
      <w:r w:rsidRPr="00017B9F">
        <w:rPr>
          <w:rFonts w:ascii="Palatino Linotype" w:hAnsi="Palatino Linotype" w:cs="Arial"/>
          <w:bCs/>
          <w:szCs w:val="22"/>
        </w:rPr>
        <w:t>, este Instituto no está facultado para manifestarse sobre la veracidad de este, pues no existe precepto legal alguno en la Ley de la materia que</w:t>
      </w:r>
      <w:r w:rsidRPr="00B453C4">
        <w:rPr>
          <w:rFonts w:ascii="Palatino Linotype" w:hAnsi="Palatino Linotype" w:cs="Arial"/>
          <w:bCs/>
          <w:szCs w:val="22"/>
        </w:rPr>
        <w:t xml:space="preserve"> lo faculte para que, vía recurso de revisión, pueda pronunciarse al respecto</w:t>
      </w:r>
      <w:r>
        <w:rPr>
          <w:rFonts w:ascii="Palatino Linotype" w:hAnsi="Palatino Linotype" w:cs="Arial"/>
          <w:bCs/>
          <w:szCs w:val="22"/>
        </w:rPr>
        <w:t>.</w:t>
      </w:r>
    </w:p>
    <w:p w14:paraId="2CA2593D"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5E7FC3E4" w14:textId="470304AE" w:rsidR="00BE032C"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Sirve </w:t>
      </w:r>
      <w:r>
        <w:rPr>
          <w:rFonts w:ascii="Palatino Linotype" w:hAnsi="Palatino Linotype" w:cs="Arial"/>
          <w:bCs/>
          <w:szCs w:val="22"/>
        </w:rPr>
        <w:t xml:space="preserve">de apoyo a lo anterior, </w:t>
      </w:r>
      <w:r w:rsidRPr="00B453C4">
        <w:rPr>
          <w:rFonts w:ascii="Palatino Linotype" w:hAnsi="Palatino Linotype" w:cs="Arial"/>
          <w:bCs/>
          <w:szCs w:val="22"/>
        </w:rPr>
        <w:t>por analogía el criterio 31-10 emitido por el entonces Instituto Federal de Acceso a la Información ahora Instituto Nacional de Transparencia, Acceso a la Información y Protección de Datos Personales (INAI) que a la letra dice:</w:t>
      </w:r>
    </w:p>
    <w:p w14:paraId="59D75848" w14:textId="79D45723"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621FC622" w14:textId="52A9881D" w:rsidR="003C62AF" w:rsidRPr="003C62AF" w:rsidRDefault="003C62AF" w:rsidP="003C62AF">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5973D21F"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7BCBB63E" w14:textId="7F566156" w:rsidR="00BE032C"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Así, </w:t>
      </w:r>
      <w:r w:rsidRPr="00640032">
        <w:rPr>
          <w:rFonts w:ascii="Palatino Linotype" w:eastAsia="Calibri" w:hAnsi="Palatino Linotype"/>
        </w:rPr>
        <w:t xml:space="preserve">este Pleno advierte que el </w:t>
      </w:r>
      <w:r w:rsidRPr="00640032">
        <w:rPr>
          <w:rFonts w:ascii="Palatino Linotype" w:eastAsia="Calibri" w:hAnsi="Palatino Linotype"/>
          <w:b/>
        </w:rPr>
        <w:t>SUJETO OBLIGADO</w:t>
      </w:r>
      <w:r w:rsidRPr="00640032">
        <w:rPr>
          <w:rFonts w:ascii="Palatino Linotype" w:eastAsia="Calibri" w:hAnsi="Palatino Linotype"/>
        </w:rPr>
        <w:t xml:space="preserve"> </w:t>
      </w:r>
      <w:r w:rsidRPr="00640032">
        <w:rPr>
          <w:rFonts w:ascii="Palatino Linotype" w:eastAsia="Calibri" w:hAnsi="Palatino Linotype"/>
          <w:b/>
        </w:rPr>
        <w:t>modific</w:t>
      </w:r>
      <w:r>
        <w:rPr>
          <w:rFonts w:ascii="Palatino Linotype" w:eastAsia="Calibri" w:hAnsi="Palatino Linotype"/>
          <w:b/>
        </w:rPr>
        <w:t xml:space="preserve">ó </w:t>
      </w:r>
      <w:r w:rsidRPr="00640032">
        <w:rPr>
          <w:rFonts w:ascii="Palatino Linotype" w:eastAsia="Calibri" w:hAnsi="Palatino Linotype"/>
        </w:rPr>
        <w:t>el acto que le dio origen al recurso de revisión, lo que trae como consecuencia que el mismo quede sin materia, actualizándose de este modo, la hipótesis jurídica contenida en la fracción III del artículo</w:t>
      </w:r>
      <w:r>
        <w:rPr>
          <w:rFonts w:ascii="Palatino Linotype" w:eastAsia="Calibri" w:hAnsi="Palatino Linotype"/>
        </w:rPr>
        <w:t xml:space="preserve"> 192 de la Ley de Transparencia Local</w:t>
      </w:r>
      <w:r w:rsidRPr="00640032">
        <w:rPr>
          <w:rFonts w:ascii="Palatino Linotype" w:eastAsia="Calibri" w:hAnsi="Palatino Linotype"/>
        </w:rPr>
        <w:t>.</w:t>
      </w:r>
    </w:p>
    <w:p w14:paraId="2FE121A5"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218530CD" w14:textId="5208BC0B" w:rsidR="00BE032C"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De </w:t>
      </w:r>
      <w:r>
        <w:rPr>
          <w:rFonts w:ascii="Palatino Linotype" w:eastAsia="Calibri" w:hAnsi="Palatino Linotype" w:cs="Arial"/>
          <w:color w:val="000000" w:themeColor="text1"/>
        </w:rPr>
        <w:t xml:space="preserve">bien, </w:t>
      </w:r>
      <w:r w:rsidRPr="00640032">
        <w:rPr>
          <w:rFonts w:ascii="Palatino Linotype" w:eastAsia="Calibri" w:hAnsi="Palatino Linotype"/>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640032">
        <w:rPr>
          <w:rFonts w:ascii="Palatino Linotype" w:eastAsia="Calibri" w:hAnsi="Palatino Linotype"/>
          <w:b/>
        </w:rPr>
        <w:t>SUJETOS OBLIGADOS</w:t>
      </w:r>
      <w:r w:rsidRPr="00640032">
        <w:rPr>
          <w:rFonts w:ascii="Palatino Linotype" w:eastAsia="Calibri" w:hAnsi="Palatino Linotype"/>
        </w:rPr>
        <w:t xml:space="preserve"> o la negativa de entrega de la misma, derivada de la solicitud de información pública.</w:t>
      </w:r>
    </w:p>
    <w:p w14:paraId="3422D893"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2FCD2FB1" w14:textId="10E4B0C9" w:rsidR="003C62AF"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De </w:t>
      </w:r>
      <w:r w:rsidRPr="00640032">
        <w:rPr>
          <w:rFonts w:ascii="Palatino Linotype" w:eastAsia="Calibri" w:hAnsi="Palatino Linotype"/>
        </w:rPr>
        <w:t xml:space="preserve">este modo, cuando el </w:t>
      </w:r>
      <w:r w:rsidRPr="00640032">
        <w:rPr>
          <w:rFonts w:ascii="Palatino Linotype" w:eastAsia="Calibri" w:hAnsi="Palatino Linotype"/>
          <w:b/>
        </w:rPr>
        <w:t xml:space="preserve">SUJETO OBLIGADO, </w:t>
      </w:r>
      <w:r w:rsidRPr="00640032">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640032">
        <w:rPr>
          <w:rFonts w:ascii="Palatino Linotype" w:eastAsia="Calibri" w:hAnsi="Palatino Linotype"/>
          <w:i/>
        </w:rPr>
        <w:t>litis</w:t>
      </w:r>
      <w:r w:rsidRPr="00640032">
        <w:rPr>
          <w:rFonts w:ascii="Palatino Linotype" w:eastAsia="Calibri" w:hAnsi="Palatino Linotype"/>
        </w:rPr>
        <w:t xml:space="preserve"> planteada, debido a que la afectación en su esfera de derechos fue restituida por la propia autoridad que emitió el acto motivo de impugnación</w:t>
      </w:r>
      <w:r>
        <w:rPr>
          <w:rFonts w:ascii="Palatino Linotype" w:eastAsia="Calibri" w:hAnsi="Palatino Linotype"/>
        </w:rPr>
        <w:t>.</w:t>
      </w:r>
    </w:p>
    <w:p w14:paraId="305ECC50"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64F7230D" w14:textId="4C9AA286" w:rsidR="003C62AF"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Sirve </w:t>
      </w:r>
      <w:r w:rsidRPr="00640032">
        <w:rPr>
          <w:rFonts w:ascii="Palatino Linotype" w:eastAsia="Calibri" w:hAnsi="Palatino Linotype"/>
        </w:rPr>
        <w:t>de sustento a lo anterior la siguiente jurisprudencia por contradicción, cuyo rubro, texto y datos de identificación son los siguientes:</w:t>
      </w:r>
    </w:p>
    <w:p w14:paraId="07FE0D05" w14:textId="0AD79939" w:rsidR="003C62AF" w:rsidRDefault="003C62AF" w:rsidP="003C62AF">
      <w:pPr>
        <w:rPr>
          <w:rFonts w:ascii="Palatino Linotype" w:hAnsi="Palatino Linotype" w:cs="Arial"/>
          <w:color w:val="000000" w:themeColor="text1"/>
          <w:lang w:val="es-ES_tradnl"/>
        </w:rPr>
      </w:pPr>
    </w:p>
    <w:p w14:paraId="0C1DC939" w14:textId="01A82EAB" w:rsidR="003C62AF" w:rsidRPr="003C62AF" w:rsidRDefault="003C62AF" w:rsidP="003C62AF">
      <w:pPr>
        <w:pStyle w:val="Prrafodelista"/>
        <w:ind w:left="567" w:right="565"/>
        <w:jc w:val="both"/>
        <w:rPr>
          <w:rFonts w:ascii="Palatino Linotype" w:eastAsia="Calibri" w:hAnsi="Palatino Linotype" w:cs="Arial"/>
          <w:color w:val="000000" w:themeColor="text1"/>
        </w:rPr>
      </w:pPr>
      <w:r w:rsidRPr="00640032">
        <w:rPr>
          <w:rFonts w:ascii="Palatino Linotype" w:eastAsia="Calibri" w:hAnsi="Palatino Linotype"/>
          <w:b/>
          <w:i/>
          <w:sz w:val="22"/>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640032">
        <w:rPr>
          <w:rFonts w:ascii="Palatino Linotype" w:eastAsia="Calibri" w:hAnsi="Palatino Linotype"/>
          <w:i/>
          <w:sz w:val="22"/>
        </w:rPr>
        <w:t xml:space="preserve"> De la interpretación de los artículos 73, fracción XVI y 80 de la Ley de </w:t>
      </w:r>
      <w:r w:rsidRPr="00640032">
        <w:rPr>
          <w:rFonts w:ascii="Palatino Linotype" w:eastAsia="Calibri" w:hAnsi="Palatino Linotype"/>
          <w:i/>
          <w:sz w:val="22"/>
        </w:rPr>
        <w:lastRenderedPageBreak/>
        <w:t>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w:t>
      </w:r>
      <w:r>
        <w:rPr>
          <w:rFonts w:ascii="Palatino Linotype" w:eastAsia="Calibri" w:hAnsi="Palatino Linotype"/>
          <w:i/>
          <w:sz w:val="22"/>
        </w:rPr>
        <w:t xml:space="preserve"> </w:t>
      </w:r>
      <w:r w:rsidRPr="00640032">
        <w:rPr>
          <w:rFonts w:ascii="Palatino Linotype" w:eastAsia="Calibri" w:hAnsi="Palatino Linotype"/>
          <w:i/>
          <w:sz w:val="22"/>
        </w:rPr>
        <w:t>demanda inicial, promover otro juicio de amparo o el medio ordinario de defensa que proceda, toda vez que se trata de un nuevo acto.</w:t>
      </w:r>
    </w:p>
    <w:p w14:paraId="0EA50C52" w14:textId="77777777" w:rsidR="003C62AF" w:rsidRPr="003C62AF" w:rsidRDefault="003C62AF" w:rsidP="003C62AF">
      <w:pPr>
        <w:rPr>
          <w:rFonts w:ascii="Palatino Linotype" w:hAnsi="Palatino Linotype" w:cs="Arial"/>
          <w:color w:val="000000" w:themeColor="text1"/>
          <w:lang w:val="es-ES_tradnl"/>
        </w:rPr>
      </w:pPr>
    </w:p>
    <w:p w14:paraId="692CDE29" w14:textId="33B7E026" w:rsidR="003C62AF" w:rsidRPr="00184454" w:rsidRDefault="003C62AF" w:rsidP="003C62AF">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La </w:t>
      </w:r>
      <w:r w:rsidRPr="00640032">
        <w:rPr>
          <w:rFonts w:ascii="Palatino Linotype" w:eastAsia="Calibri" w:hAnsi="Palatino Linotype"/>
        </w:rPr>
        <w:t>anterior jurisprudencia resulta aplicable al presente asunto, en dos aspectos:</w:t>
      </w:r>
    </w:p>
    <w:p w14:paraId="1DF0D893" w14:textId="77777777" w:rsidR="003C62AF" w:rsidRPr="00640032" w:rsidRDefault="003C62AF" w:rsidP="003C62AF">
      <w:pPr>
        <w:numPr>
          <w:ilvl w:val="0"/>
          <w:numId w:val="33"/>
        </w:numPr>
        <w:ind w:left="567" w:right="616" w:firstLine="0"/>
        <w:contextualSpacing/>
        <w:jc w:val="both"/>
        <w:rPr>
          <w:rFonts w:ascii="Palatino Linotype" w:eastAsia="Calibri" w:hAnsi="Palatino Linotype"/>
        </w:rPr>
      </w:pPr>
      <w:r w:rsidRPr="00640032">
        <w:rPr>
          <w:rFonts w:ascii="Palatino Linotype" w:eastAsia="Calibri" w:hAnsi="Palatino Linotype"/>
          <w:b/>
        </w:rPr>
        <w:t>La cesación de los efectos perniciosos del acto de autoridad:</w:t>
      </w:r>
      <w:r w:rsidRPr="00640032">
        <w:rPr>
          <w:rFonts w:ascii="Palatino Linotype" w:eastAsia="Calibri" w:hAnsi="Palatino Linotype"/>
        </w:rPr>
        <w:t xml:space="preserve"> Al respecto, la Ley de Transparencia contempla la figura jurídica del sobreseimiento cuando el </w:t>
      </w:r>
      <w:r w:rsidRPr="00640032">
        <w:rPr>
          <w:rFonts w:ascii="Palatino Linotype" w:eastAsia="Calibri" w:hAnsi="Palatino Linotype"/>
          <w:b/>
        </w:rPr>
        <w:t>SUJETO OBLIGADO</w:t>
      </w:r>
      <w:r w:rsidRPr="00640032">
        <w:rPr>
          <w:rFonts w:ascii="Palatino Linotype" w:eastAsia="Calibri" w:hAnsi="Palatino Linotype"/>
        </w:rPr>
        <w:t xml:space="preserve"> de </w:t>
      </w:r>
      <w:r w:rsidRPr="00640032">
        <w:rPr>
          <w:rFonts w:ascii="Palatino Linotype" w:eastAsia="Calibri" w:hAnsi="Palatino Linotype"/>
          <w:i/>
        </w:rPr>
        <w:t>motu proprio</w:t>
      </w:r>
      <w:r w:rsidRPr="00640032">
        <w:rPr>
          <w:rFonts w:ascii="Palatino Linotype" w:eastAsia="Calibri" w:hAnsi="Palatino Linotype"/>
        </w:rPr>
        <w:t xml:space="preserve"> modifica o revoca de tal manera el acto motivo de la impugnación que lo deja sin materia; es decir, cesan los efectos de éste y el derecho de acceso a la información pública se encuentra satisfecho.</w:t>
      </w:r>
    </w:p>
    <w:p w14:paraId="3BB141B7" w14:textId="77777777" w:rsidR="003C62AF" w:rsidRPr="00640032" w:rsidRDefault="003C62AF" w:rsidP="003C62AF">
      <w:pPr>
        <w:ind w:left="567" w:right="616"/>
        <w:contextualSpacing/>
        <w:rPr>
          <w:rFonts w:ascii="Palatino Linotype" w:eastAsia="Calibri" w:hAnsi="Palatino Linotype"/>
        </w:rPr>
      </w:pPr>
    </w:p>
    <w:p w14:paraId="722EA6A3" w14:textId="463462CC" w:rsidR="003C62AF" w:rsidRPr="003C62AF" w:rsidRDefault="003C62AF" w:rsidP="003C62AF">
      <w:pPr>
        <w:numPr>
          <w:ilvl w:val="0"/>
          <w:numId w:val="33"/>
        </w:numPr>
        <w:ind w:left="567" w:right="616" w:firstLine="0"/>
        <w:contextualSpacing/>
        <w:jc w:val="both"/>
        <w:rPr>
          <w:rFonts w:ascii="Palatino Linotype" w:eastAsia="Calibri" w:hAnsi="Palatino Linotype"/>
        </w:rPr>
      </w:pPr>
      <w:r w:rsidRPr="00640032">
        <w:rPr>
          <w:rFonts w:ascii="Palatino Linotype" w:eastAsia="Calibri" w:hAnsi="Palatino Linotype"/>
          <w:b/>
        </w:rPr>
        <w:t>El momento procesal para modificar el acto impugnado:</w:t>
      </w:r>
      <w:r w:rsidRPr="00640032">
        <w:rPr>
          <w:rFonts w:ascii="Palatino Linotype" w:eastAsia="Calibri" w:hAnsi="Palatino Linotype"/>
        </w:rPr>
        <w:t xml:space="preserve"> Para que se actualice el sobreseimiento de un recurso de revisión, el </w:t>
      </w:r>
      <w:r w:rsidRPr="00640032">
        <w:rPr>
          <w:rFonts w:ascii="Palatino Linotype" w:eastAsia="Calibri" w:hAnsi="Palatino Linotype"/>
          <w:b/>
        </w:rPr>
        <w:t>SUJETO OBLIGADO</w:t>
      </w:r>
      <w:r w:rsidRPr="00640032">
        <w:rPr>
          <w:rFonts w:ascii="Palatino Linotype" w:eastAsia="Calibri" w:hAnsi="Palatino Linotype"/>
        </w:rPr>
        <w:t xml:space="preserve"> puede entregar o completar la información al momento de rendir su informe de justificación o </w:t>
      </w:r>
      <w:r w:rsidRPr="00640032">
        <w:rPr>
          <w:rFonts w:ascii="Palatino Linotype" w:eastAsia="Calibri" w:hAnsi="Palatino Linotype"/>
          <w:b/>
          <w:u w:val="single"/>
        </w:rPr>
        <w:t>posteriormente</w:t>
      </w:r>
      <w:r w:rsidRPr="00640032">
        <w:rPr>
          <w:rFonts w:ascii="Palatino Linotype" w:eastAsia="Calibri" w:hAnsi="Palatino Linotype"/>
        </w:rPr>
        <w:t xml:space="preserve"> a éste, siempre y cuando el Pleno del Instituto no haya dictado resolución definitiva.</w:t>
      </w:r>
    </w:p>
    <w:p w14:paraId="774B4707"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7BF0A2DB" w14:textId="2636FC06" w:rsidR="003C62AF"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Eduardo </w:t>
      </w:r>
      <w:r>
        <w:rPr>
          <w:rFonts w:ascii="Palatino Linotype" w:eastAsia="Calibri" w:hAnsi="Palatino Linotype" w:cs="Arial"/>
          <w:color w:val="000000" w:themeColor="text1"/>
        </w:rPr>
        <w:t xml:space="preserve">Pallares, </w:t>
      </w:r>
      <w:r w:rsidRPr="00640032">
        <w:rPr>
          <w:rFonts w:ascii="Palatino Linotype" w:eastAsia="Calibri" w:hAnsi="Palatino Linotype"/>
        </w:rPr>
        <w:t xml:space="preserve">en su artículo </w:t>
      </w:r>
      <w:r w:rsidRPr="00640032">
        <w:rPr>
          <w:rFonts w:ascii="Palatino Linotype" w:eastAsia="Calibri" w:hAnsi="Palatino Linotype"/>
          <w:i/>
        </w:rPr>
        <w:t>“La caducidad y el sobreseimiento en el amparo”</w:t>
      </w:r>
      <w:r w:rsidRPr="00640032">
        <w:rPr>
          <w:rFonts w:ascii="Palatino Linotype" w:eastAsia="Calibri" w:hAnsi="Palatino Linotype"/>
        </w:rPr>
        <w:t xml:space="preserve">, cita la definición de Aguilera Paz, aduciendo que se </w:t>
      </w:r>
      <w:r w:rsidRPr="00640032">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640032">
        <w:rPr>
          <w:rFonts w:ascii="Palatino Linotype" w:eastAsia="Calibri" w:hAnsi="Palatino Linotype"/>
        </w:rPr>
        <w:t xml:space="preserve">. Asimismo, señala que existe el sobreseimiento provisional y el </w:t>
      </w:r>
      <w:r w:rsidRPr="00640032">
        <w:rPr>
          <w:rFonts w:ascii="Palatino Linotype" w:eastAsia="Calibri" w:hAnsi="Palatino Linotype"/>
        </w:rPr>
        <w:lastRenderedPageBreak/>
        <w:t>definitivo</w:t>
      </w:r>
      <w:r w:rsidRPr="00640032">
        <w:rPr>
          <w:rFonts w:ascii="Palatino Linotype" w:eastAsia="Calibri" w:hAnsi="Palatino Linotype"/>
          <w:i/>
        </w:rPr>
        <w:t>: “...el definitivo es una verdadera sentencia que pone fin al juicio, y que una vez dictada, produce cosa juzgada, mientras que el provisorio tiene por efectos suspender la prosecución de la causa...”</w:t>
      </w:r>
    </w:p>
    <w:p w14:paraId="266F45BA"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3D788D90" w14:textId="41095DAA" w:rsidR="003C62AF"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Así, </w:t>
      </w:r>
      <w:r w:rsidRPr="00640032">
        <w:rPr>
          <w:rFonts w:ascii="Palatino Linotype" w:eastAsia="Calibri" w:hAnsi="Palatino Linotype"/>
        </w:rPr>
        <w:t xml:space="preserve">para la doctrina el sobreseimiento provoca que un procedimiento se suspenda o se resuelva en definitiva </w:t>
      </w:r>
      <w:r w:rsidRPr="00640032">
        <w:rPr>
          <w:rFonts w:ascii="Palatino Linotype" w:eastAsia="Calibri" w:hAnsi="Palatino Linotype"/>
          <w:b/>
          <w:u w:val="single"/>
        </w:rPr>
        <w:t xml:space="preserve">sin que se entre al estudio de los agravios o motivos de inconformidad. </w:t>
      </w:r>
      <w:r w:rsidRPr="00640032">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14:paraId="1F5B2837" w14:textId="10027B22"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4B16248B" w14:textId="77777777" w:rsidR="003C62AF" w:rsidRPr="00640032" w:rsidRDefault="003C62AF" w:rsidP="003C62AF">
      <w:pPr>
        <w:ind w:left="567" w:right="565"/>
        <w:contextualSpacing/>
        <w:jc w:val="both"/>
        <w:rPr>
          <w:rFonts w:ascii="Palatino Linotype" w:eastAsia="Calibri" w:hAnsi="Palatino Linotype"/>
          <w:i/>
          <w:sz w:val="22"/>
          <w:lang w:val="es-AR"/>
        </w:rPr>
      </w:pPr>
      <w:r w:rsidRPr="00640032">
        <w:rPr>
          <w:rFonts w:ascii="Palatino Linotype" w:eastAsia="Calibri" w:hAnsi="Palatino Linotype"/>
          <w:b/>
          <w:i/>
          <w:sz w:val="22"/>
          <w:lang w:val="es-AR"/>
        </w:rPr>
        <w:t>SOBRESEIMIENTO EN EL JUICIO DE AMPARO DIRECTO. IMPIDE EL ESTUDIO DE LAS VIOLACIONES PROCESALES PLANTEADAS EN LOS CONCEPTOS DE VIOLACIÓN. El sobreseimiento</w:t>
      </w:r>
      <w:r w:rsidRPr="00640032">
        <w:rPr>
          <w:rFonts w:ascii="Palatino Linotype" w:eastAsia="Calibri" w:hAnsi="Palatino Linotype"/>
          <w:i/>
          <w:sz w:val="22"/>
          <w:lang w:val="es-AR"/>
        </w:rPr>
        <w:t xml:space="preserve"> en el juicio de amparo directo </w:t>
      </w:r>
      <w:r w:rsidRPr="00640032">
        <w:rPr>
          <w:rFonts w:ascii="Palatino Linotype" w:eastAsia="Calibri" w:hAnsi="Palatino Linotype"/>
          <w:b/>
          <w:i/>
          <w:sz w:val="22"/>
          <w:lang w:val="es-AR"/>
        </w:rPr>
        <w:t>provoca la terminación de la controversia planteada</w:t>
      </w:r>
      <w:r w:rsidRPr="00640032">
        <w:rPr>
          <w:rFonts w:ascii="Palatino Linotype" w:eastAsia="Calibri" w:hAnsi="Palatino Linotype"/>
          <w:i/>
          <w:sz w:val="22"/>
          <w:lang w:val="es-AR"/>
        </w:rPr>
        <w:t xml:space="preserve"> por el quejoso en la demanda de amparo</w:t>
      </w:r>
      <w:r w:rsidRPr="00640032">
        <w:rPr>
          <w:rFonts w:ascii="Palatino Linotype" w:eastAsia="Calibri" w:hAnsi="Palatino Linotype"/>
          <w:b/>
          <w:i/>
          <w:sz w:val="22"/>
          <w:lang w:val="es-AR"/>
        </w:rPr>
        <w:t>, sin hacer un pronunciamiento de fondo sobre la legalidad o ilegalidad de la sentencia reclamada</w:t>
      </w:r>
      <w:r w:rsidRPr="00640032">
        <w:rPr>
          <w:rFonts w:ascii="Palatino Linotype" w:eastAsia="Calibri" w:hAnsi="Palatino Linotype"/>
          <w:i/>
          <w:sz w:val="22"/>
          <w:lang w:val="es-AR"/>
        </w:rPr>
        <w:t xml:space="preserve">. </w:t>
      </w:r>
      <w:r w:rsidRPr="00640032">
        <w:rPr>
          <w:rFonts w:ascii="Palatino Linotype" w:eastAsia="Calibri" w:hAnsi="Palatino Linotype"/>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640032">
        <w:rPr>
          <w:rFonts w:ascii="Palatino Linotype" w:eastAsia="Calibri" w:hAnsi="Palatino Linotype"/>
          <w:i/>
          <w:sz w:val="22"/>
          <w:lang w:val="es-AR"/>
        </w:rPr>
        <w:t>.</w:t>
      </w:r>
    </w:p>
    <w:p w14:paraId="2B84BCA4" w14:textId="77777777" w:rsidR="003C62AF" w:rsidRPr="00640032" w:rsidRDefault="003C62AF" w:rsidP="003C62AF">
      <w:pPr>
        <w:ind w:left="567" w:right="565"/>
        <w:contextualSpacing/>
        <w:jc w:val="both"/>
        <w:rPr>
          <w:rFonts w:ascii="Palatino Linotype" w:eastAsia="Calibri" w:hAnsi="Palatino Linotype"/>
          <w:i/>
          <w:sz w:val="22"/>
          <w:lang w:val="es-AR"/>
        </w:rPr>
      </w:pPr>
      <w:r w:rsidRPr="00640032">
        <w:rPr>
          <w:rFonts w:ascii="Palatino Linotype" w:eastAsia="Calibri" w:hAnsi="Palatino Linotype"/>
          <w:i/>
          <w:sz w:val="22"/>
          <w:lang w:val="es-AR"/>
        </w:rPr>
        <w:t>SÉPTIMO TRIBUNAL COLEGIADO EN MATERIA CIVIL DEL PRIMER CIRCUITO.</w:t>
      </w:r>
    </w:p>
    <w:p w14:paraId="4A3A700A" w14:textId="6AEC5431" w:rsidR="003C62AF" w:rsidRPr="003C62AF" w:rsidRDefault="003C62AF" w:rsidP="003C62AF">
      <w:pPr>
        <w:ind w:left="567" w:right="565"/>
        <w:contextualSpacing/>
        <w:jc w:val="both"/>
        <w:rPr>
          <w:rFonts w:ascii="Palatino Linotype" w:eastAsia="Calibri" w:hAnsi="Palatino Linotype"/>
          <w:b/>
          <w:i/>
          <w:sz w:val="22"/>
          <w:lang w:val="es-AR"/>
        </w:rPr>
      </w:pPr>
      <w:r w:rsidRPr="00640032">
        <w:rPr>
          <w:rFonts w:ascii="Palatino Linotype" w:eastAsia="Calibri" w:hAnsi="Palatino Linotype"/>
          <w:i/>
          <w:sz w:val="22"/>
          <w:lang w:val="es-AR"/>
        </w:rPr>
        <w:t xml:space="preserve">Amparo directo 699/2008. Mariana Leticia González Steele. 13 de noviembre de 2008. Unanimidad de votos. Ponente: Sara Judith Montalvo Trejo. Secretario: Arnulfo </w:t>
      </w:r>
      <w:r w:rsidRPr="002C26FE">
        <w:rPr>
          <w:rFonts w:ascii="Palatino Linotype" w:eastAsia="Calibri" w:hAnsi="Palatino Linotype"/>
          <w:i/>
          <w:sz w:val="22"/>
          <w:lang w:val="es-AR"/>
        </w:rPr>
        <w:t>Mateos García.</w:t>
      </w:r>
    </w:p>
    <w:p w14:paraId="0AFDF113"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09A2951A" w14:textId="4A7C105F" w:rsidR="003C62AF"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Consecuentemente, </w:t>
      </w:r>
      <w:r w:rsidRPr="00BC7295">
        <w:rPr>
          <w:rFonts w:ascii="Palatino Linotype" w:eastAsia="Calibri" w:hAnsi="Palatino Linotype"/>
        </w:rPr>
        <w:t xml:space="preserve">por lo que hace a los motivos de inconformidad, los mismos devienen inatendibles por actualizarse la figura del sobreseimiento, misma </w:t>
      </w:r>
      <w:r w:rsidRPr="00BC7295">
        <w:rPr>
          <w:rFonts w:ascii="Palatino Linotype" w:eastAsia="Calibri" w:hAnsi="Palatino Linotype"/>
        </w:rPr>
        <w:lastRenderedPageBreak/>
        <w:t>que impide el estudio de los agravios planteados, máxime que se ha dado cumplimiento al derecho de acceso a la información.</w:t>
      </w:r>
    </w:p>
    <w:p w14:paraId="148CDDE3"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2B9A56F5" w14:textId="5896204B" w:rsidR="003C62AF"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Bajo </w:t>
      </w:r>
      <w:r w:rsidRPr="00640032">
        <w:rPr>
          <w:rFonts w:ascii="Palatino Linotype" w:eastAsia="Calibri" w:hAnsi="Palatino Linotype"/>
          <w:lang w:val="es-CO"/>
        </w:rPr>
        <w:t xml:space="preserve">ese tenor y en términos del artículo 186 fracción I este Pleno determina el </w:t>
      </w:r>
      <w:r w:rsidRPr="00640032">
        <w:rPr>
          <w:rFonts w:ascii="Palatino Linotype" w:eastAsia="Calibri" w:hAnsi="Palatino Linotype"/>
          <w:b/>
          <w:lang w:val="es-CO"/>
        </w:rPr>
        <w:t xml:space="preserve">SOBRESEIMIENTO </w:t>
      </w:r>
      <w:r w:rsidRPr="00640032">
        <w:rPr>
          <w:rFonts w:ascii="Palatino Linotype" w:eastAsia="Calibri" w:hAnsi="Palatino Linotype"/>
          <w:lang w:val="es-CO"/>
        </w:rPr>
        <w:t>del presente recurso de revisión, toda vez que la afectación al derecho de acceso a la información pública establecido constitucionalmente a favor de</w:t>
      </w:r>
      <w:r>
        <w:rPr>
          <w:rFonts w:ascii="Palatino Linotype" w:eastAsia="Calibri" w:hAnsi="Palatino Linotype"/>
          <w:lang w:val="es-CO"/>
        </w:rPr>
        <w:t>l P</w:t>
      </w:r>
      <w:r w:rsidRPr="00640032">
        <w:rPr>
          <w:rFonts w:ascii="Palatino Linotype" w:eastAsia="Calibri" w:hAnsi="Palatino Linotype"/>
          <w:lang w:val="es-CO"/>
        </w:rPr>
        <w:t>articular ha sido resarcida.</w:t>
      </w:r>
    </w:p>
    <w:p w14:paraId="1261B969"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2E2BD24C" w14:textId="76D343C2" w:rsidR="003C62AF" w:rsidRPr="003C62AF" w:rsidRDefault="003C62AF" w:rsidP="00AD4C27">
      <w:pPr>
        <w:numPr>
          <w:ilvl w:val="0"/>
          <w:numId w:val="3"/>
        </w:numPr>
        <w:spacing w:after="160" w:line="360" w:lineRule="auto"/>
        <w:ind w:left="0" w:right="-93" w:firstLine="0"/>
        <w:contextualSpacing/>
        <w:jc w:val="both"/>
        <w:rPr>
          <w:rFonts w:ascii="Palatino Linotype" w:hAnsi="Palatino Linotype" w:cs="Arial"/>
          <w:color w:val="000000" w:themeColor="text1"/>
          <w:lang w:val="es-ES_tradnl"/>
        </w:rPr>
      </w:pPr>
      <w:r>
        <w:rPr>
          <w:rFonts w:ascii="Palatino Linotype" w:hAnsi="Palatino Linotype" w:cs="Arial"/>
          <w:color w:val="000000" w:themeColor="text1"/>
          <w:lang w:val="es-ES_tradnl"/>
        </w:rPr>
        <w:t xml:space="preserve">Por </w:t>
      </w:r>
      <w:r>
        <w:rPr>
          <w:rFonts w:ascii="Palatino Linotype" w:eastAsia="Calibri" w:hAnsi="Palatino Linotype" w:cs="Arial"/>
          <w:color w:val="000000" w:themeColor="text1"/>
        </w:rPr>
        <w:t xml:space="preserve">lo anteriormente expuesto y fundado, este </w:t>
      </w:r>
      <w:r w:rsidRPr="002F265F">
        <w:rPr>
          <w:rFonts w:ascii="Palatino Linotype" w:eastAsia="Calibri" w:hAnsi="Palatino Linotype" w:cs="Arial"/>
          <w:b/>
          <w:color w:val="000000" w:themeColor="text1"/>
        </w:rPr>
        <w:t>ÓRGANO GARANTE</w:t>
      </w:r>
      <w:r>
        <w:rPr>
          <w:rFonts w:ascii="Palatino Linotype" w:eastAsia="Calibri" w:hAnsi="Palatino Linotype" w:cs="Arial"/>
          <w:color w:val="000000" w:themeColor="text1"/>
        </w:rPr>
        <w:t xml:space="preserve"> emite los siguientes:</w:t>
      </w:r>
    </w:p>
    <w:p w14:paraId="21DB53CD" w14:textId="77777777" w:rsidR="003C62AF" w:rsidRDefault="003C62AF" w:rsidP="003C62AF">
      <w:pPr>
        <w:spacing w:after="160" w:line="360" w:lineRule="auto"/>
        <w:ind w:right="-93"/>
        <w:contextualSpacing/>
        <w:jc w:val="both"/>
        <w:rPr>
          <w:rFonts w:ascii="Palatino Linotype" w:hAnsi="Palatino Linotype" w:cs="Arial"/>
          <w:color w:val="000000" w:themeColor="text1"/>
          <w:lang w:val="es-ES_tradnl"/>
        </w:rPr>
      </w:pPr>
    </w:p>
    <w:p w14:paraId="444A79C8" w14:textId="77777777" w:rsidR="004A2E2B" w:rsidRPr="00DF76A4" w:rsidRDefault="004A2E2B" w:rsidP="004A2E2B">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42" w:name="_Toc105687470"/>
      <w:bookmarkStart w:id="43" w:name="_Toc110470215"/>
      <w:bookmarkEnd w:id="37"/>
      <w:bookmarkEnd w:id="38"/>
      <w:bookmarkEnd w:id="39"/>
      <w:bookmarkEnd w:id="40"/>
      <w:bookmarkEnd w:id="41"/>
      <w:r w:rsidRPr="00DF76A4">
        <w:rPr>
          <w:rFonts w:ascii="Palatino Linotype" w:eastAsiaTheme="majorEastAsia" w:hAnsi="Palatino Linotype" w:cstheme="majorBidi"/>
          <w:b/>
          <w:color w:val="000000" w:themeColor="text1"/>
          <w:lang w:val="es-ES_tradnl"/>
        </w:rPr>
        <w:t>R E S O L U T I V O S</w:t>
      </w:r>
      <w:bookmarkEnd w:id="42"/>
      <w:bookmarkEnd w:id="43"/>
    </w:p>
    <w:p w14:paraId="6B54A847" w14:textId="77777777" w:rsidR="00C06F36" w:rsidRPr="00DF76A4" w:rsidRDefault="00C06F36" w:rsidP="00C06F36">
      <w:pPr>
        <w:tabs>
          <w:tab w:val="left" w:pos="426"/>
        </w:tabs>
        <w:spacing w:line="360" w:lineRule="auto"/>
        <w:ind w:right="51"/>
        <w:contextualSpacing/>
        <w:jc w:val="both"/>
        <w:rPr>
          <w:rFonts w:ascii="Palatino Linotype" w:eastAsia="MS Mincho" w:hAnsi="Palatino Linotype"/>
          <w:b/>
          <w:color w:val="000000" w:themeColor="text1"/>
          <w:lang w:val="es-ES_tradnl"/>
        </w:rPr>
      </w:pPr>
    </w:p>
    <w:p w14:paraId="57AB2AD5" w14:textId="57378948" w:rsidR="003C62AF" w:rsidRDefault="00C06F36" w:rsidP="00C06F36">
      <w:pPr>
        <w:spacing w:line="360" w:lineRule="auto"/>
        <w:jc w:val="both"/>
        <w:rPr>
          <w:rFonts w:ascii="Palatino Linotype" w:hAnsi="Palatino Linotype" w:cs="Arial"/>
          <w:b/>
          <w:color w:val="000000" w:themeColor="text1"/>
          <w:lang w:val="es-ES_tradnl"/>
        </w:rPr>
      </w:pPr>
      <w:r w:rsidRPr="00DF76A4">
        <w:rPr>
          <w:rFonts w:ascii="Palatino Linotype" w:hAnsi="Palatino Linotype" w:cs="Arial"/>
          <w:b/>
          <w:color w:val="000000" w:themeColor="text1"/>
          <w:lang w:val="es-ES_tradnl"/>
        </w:rPr>
        <w:t xml:space="preserve">PRIMERO. </w:t>
      </w:r>
      <w:r w:rsidR="003C62AF" w:rsidRPr="00640032">
        <w:rPr>
          <w:rFonts w:ascii="Palatino Linotype" w:hAnsi="Palatino Linotype"/>
          <w:szCs w:val="20"/>
        </w:rPr>
        <w:t xml:space="preserve">Se </w:t>
      </w:r>
      <w:r w:rsidR="003C62AF" w:rsidRPr="00640032">
        <w:rPr>
          <w:rFonts w:ascii="Palatino Linotype" w:hAnsi="Palatino Linotype"/>
          <w:b/>
          <w:szCs w:val="20"/>
        </w:rPr>
        <w:t>SOBRESEE</w:t>
      </w:r>
      <w:r w:rsidR="003C62AF" w:rsidRPr="00640032">
        <w:rPr>
          <w:rFonts w:ascii="Palatino Linotype" w:hAnsi="Palatino Linotype"/>
          <w:szCs w:val="20"/>
        </w:rPr>
        <w:t xml:space="preserve"> el recurso de revisión número </w:t>
      </w:r>
      <w:r w:rsidR="00A70AD3">
        <w:rPr>
          <w:rFonts w:ascii="Palatino Linotype" w:hAnsi="Palatino Linotype"/>
          <w:b/>
          <w:szCs w:val="20"/>
        </w:rPr>
        <w:t>06278</w:t>
      </w:r>
      <w:r w:rsidR="003C62AF">
        <w:rPr>
          <w:rFonts w:ascii="Palatino Linotype" w:hAnsi="Palatino Linotype"/>
          <w:b/>
          <w:szCs w:val="20"/>
        </w:rPr>
        <w:t xml:space="preserve">/INFOEM/IP/RR/2022 </w:t>
      </w:r>
      <w:r w:rsidR="003C62AF" w:rsidRPr="009A4A08">
        <w:rPr>
          <w:rFonts w:ascii="Palatino Linotype" w:hAnsi="Palatino Linotype"/>
          <w:bCs/>
          <w:szCs w:val="20"/>
        </w:rPr>
        <w:t xml:space="preserve">conforme al artículo 192 fracción </w:t>
      </w:r>
      <w:r w:rsidR="003C62AF">
        <w:rPr>
          <w:rFonts w:ascii="Palatino Linotype" w:hAnsi="Palatino Linotype"/>
          <w:bCs/>
          <w:szCs w:val="20"/>
        </w:rPr>
        <w:t>III</w:t>
      </w:r>
      <w:r w:rsidR="003C62AF" w:rsidRPr="009A4A08">
        <w:rPr>
          <w:rFonts w:ascii="Palatino Linotype" w:hAnsi="Palatino Linotype"/>
          <w:bCs/>
          <w:szCs w:val="20"/>
        </w:rPr>
        <w:t xml:space="preserve"> de la Ley de</w:t>
      </w:r>
      <w:r w:rsidR="003C62AF">
        <w:rPr>
          <w:rFonts w:ascii="Palatino Linotype" w:hAnsi="Palatino Linotype"/>
          <w:bCs/>
          <w:szCs w:val="20"/>
        </w:rPr>
        <w:t xml:space="preserve"> </w:t>
      </w:r>
      <w:r w:rsidR="003C62AF" w:rsidRPr="009A4A08">
        <w:rPr>
          <w:rFonts w:ascii="Palatino Linotype" w:hAnsi="Palatino Linotype"/>
          <w:bCs/>
          <w:szCs w:val="20"/>
        </w:rPr>
        <w:t>Transparencia y Acceso a la Información Pública del Estado de México y</w:t>
      </w:r>
      <w:r w:rsidR="003C62AF">
        <w:rPr>
          <w:rFonts w:ascii="Palatino Linotype" w:hAnsi="Palatino Linotype"/>
          <w:bCs/>
          <w:szCs w:val="20"/>
        </w:rPr>
        <w:t xml:space="preserve"> </w:t>
      </w:r>
      <w:r w:rsidR="003C62AF" w:rsidRPr="009A4A08">
        <w:rPr>
          <w:rFonts w:ascii="Palatino Linotype" w:hAnsi="Palatino Linotype"/>
          <w:bCs/>
          <w:szCs w:val="20"/>
        </w:rPr>
        <w:t>Municipios,</w:t>
      </w:r>
      <w:r w:rsidR="003C62AF" w:rsidRPr="00640032">
        <w:rPr>
          <w:rFonts w:ascii="Palatino Linotype" w:hAnsi="Palatino Linotype"/>
          <w:szCs w:val="20"/>
        </w:rPr>
        <w:t xml:space="preserve"> porque </w:t>
      </w:r>
      <w:r w:rsidR="003C62AF">
        <w:rPr>
          <w:rFonts w:ascii="Palatino Linotype" w:hAnsi="Palatino Linotype"/>
          <w:szCs w:val="20"/>
        </w:rPr>
        <w:t xml:space="preserve">al </w:t>
      </w:r>
      <w:r w:rsidR="003C62AF" w:rsidRPr="00354DA4">
        <w:rPr>
          <w:rFonts w:ascii="Palatino Linotype" w:hAnsi="Palatino Linotype"/>
          <w:b/>
          <w:bCs/>
          <w:szCs w:val="20"/>
        </w:rPr>
        <w:t>modificar la respuesta a través del informe justificado y atender lo solicitado</w:t>
      </w:r>
      <w:r w:rsidR="003C62AF">
        <w:rPr>
          <w:rFonts w:ascii="Palatino Linotype" w:hAnsi="Palatino Linotype"/>
          <w:szCs w:val="20"/>
        </w:rPr>
        <w:t xml:space="preserve">, </w:t>
      </w:r>
      <w:r w:rsidR="003C62AF" w:rsidRPr="002C26FE">
        <w:rPr>
          <w:rFonts w:ascii="Palatino Linotype" w:hAnsi="Palatino Linotype"/>
          <w:szCs w:val="20"/>
        </w:rPr>
        <w:t xml:space="preserve">el recurso de </w:t>
      </w:r>
      <w:r w:rsidR="003C62AF" w:rsidRPr="00640032">
        <w:rPr>
          <w:rFonts w:ascii="Palatino Linotype" w:hAnsi="Palatino Linotype"/>
          <w:szCs w:val="20"/>
        </w:rPr>
        <w:t xml:space="preserve">revisión quedó sin materia en términos del Considerando </w:t>
      </w:r>
      <w:r w:rsidR="003C62AF">
        <w:rPr>
          <w:rFonts w:ascii="Palatino Linotype" w:hAnsi="Palatino Linotype"/>
          <w:b/>
          <w:szCs w:val="20"/>
        </w:rPr>
        <w:t>TERCERO</w:t>
      </w:r>
      <w:r w:rsidR="003C62AF" w:rsidRPr="00640032">
        <w:rPr>
          <w:rFonts w:ascii="Palatino Linotype" w:hAnsi="Palatino Linotype"/>
          <w:szCs w:val="20"/>
        </w:rPr>
        <w:t xml:space="preserve"> de la presente resolución.</w:t>
      </w:r>
    </w:p>
    <w:p w14:paraId="6925D476" w14:textId="6C2564C7" w:rsidR="00C06F36" w:rsidRPr="00DF76A4" w:rsidRDefault="00C06F36" w:rsidP="00C06F36">
      <w:pPr>
        <w:spacing w:line="360" w:lineRule="auto"/>
        <w:jc w:val="both"/>
        <w:rPr>
          <w:rFonts w:ascii="Palatino Linotype" w:eastAsia="Calibri" w:hAnsi="Palatino Linotype" w:cs="Arial"/>
          <w:b/>
          <w:bCs/>
          <w:color w:val="000000" w:themeColor="text1"/>
        </w:rPr>
      </w:pPr>
    </w:p>
    <w:p w14:paraId="17C7FC7D" w14:textId="600FC42D" w:rsidR="003C62AF" w:rsidRDefault="004A2E2B" w:rsidP="004A2E2B">
      <w:pPr>
        <w:spacing w:before="240" w:after="240" w:line="360" w:lineRule="auto"/>
        <w:ind w:right="48"/>
        <w:jc w:val="both"/>
        <w:rPr>
          <w:rFonts w:ascii="Palatino Linotype" w:eastAsia="DengXian Light" w:hAnsi="Palatino Linotype"/>
          <w:color w:val="000000" w:themeColor="text1"/>
          <w:lang w:val="es-MX"/>
        </w:rPr>
      </w:pPr>
      <w:r w:rsidRPr="00DF76A4">
        <w:rPr>
          <w:rFonts w:ascii="Palatino Linotype" w:hAnsi="Palatino Linotype"/>
          <w:b/>
          <w:color w:val="000000" w:themeColor="text1"/>
          <w:lang w:val="es-MX"/>
        </w:rPr>
        <w:t>SEGUNDO.</w:t>
      </w:r>
      <w:r w:rsidRPr="00DF76A4">
        <w:rPr>
          <w:rFonts w:ascii="Palatino Linotype" w:eastAsia="DengXian Light" w:hAnsi="Palatino Linotype"/>
          <w:color w:val="000000" w:themeColor="text1"/>
          <w:lang w:val="es-MX"/>
        </w:rPr>
        <w:t xml:space="preserve"> </w:t>
      </w:r>
      <w:r w:rsidR="003C62AF" w:rsidRPr="00640032">
        <w:rPr>
          <w:rFonts w:ascii="Palatino Linotype" w:eastAsia="Calibri" w:hAnsi="Palatino Linotype" w:cs="Arial"/>
          <w:b/>
          <w:bCs/>
        </w:rPr>
        <w:t xml:space="preserve">REMÍTASE </w:t>
      </w:r>
      <w:r w:rsidR="003C62AF" w:rsidRPr="00640032">
        <w:rPr>
          <w:rFonts w:ascii="Palatino Linotype" w:eastAsia="Calibri" w:hAnsi="Palatino Linotype" w:cs="Arial"/>
          <w:bCs/>
        </w:rPr>
        <w:t xml:space="preserve">a través del Sistema de Acceso a la Información Mexiquense </w:t>
      </w:r>
      <w:r w:rsidR="003C62AF" w:rsidRPr="00640032">
        <w:rPr>
          <w:rFonts w:ascii="Palatino Linotype" w:eastAsia="Calibri" w:hAnsi="Palatino Linotype" w:cs="Arial"/>
          <w:b/>
          <w:bCs/>
        </w:rPr>
        <w:t xml:space="preserve">(SAIMEX) </w:t>
      </w:r>
      <w:r w:rsidR="003C62AF" w:rsidRPr="00640032">
        <w:rPr>
          <w:rFonts w:ascii="Palatino Linotype" w:eastAsia="Calibri" w:hAnsi="Palatino Linotype" w:cs="Arial"/>
          <w:bCs/>
        </w:rPr>
        <w:t>la presente resolución al Titular de la Unidad de Transparencia del</w:t>
      </w:r>
      <w:r w:rsidR="003C62AF" w:rsidRPr="00640032">
        <w:rPr>
          <w:rFonts w:ascii="Palatino Linotype" w:eastAsia="Calibri" w:hAnsi="Palatino Linotype" w:cs="Arial"/>
          <w:b/>
          <w:bCs/>
        </w:rPr>
        <w:t xml:space="preserve"> SUJETO OBLIGADO.</w:t>
      </w:r>
    </w:p>
    <w:p w14:paraId="2AF90094" w14:textId="77777777" w:rsidR="004A2E2B" w:rsidRPr="00DF76A4" w:rsidRDefault="004A2E2B" w:rsidP="004A2E2B">
      <w:pPr>
        <w:spacing w:before="240" w:after="240" w:line="360" w:lineRule="auto"/>
        <w:ind w:right="822"/>
        <w:contextualSpacing/>
        <w:jc w:val="both"/>
        <w:rPr>
          <w:rFonts w:ascii="Palatino Linotype" w:eastAsia="MS Mincho" w:hAnsi="Palatino Linotype" w:cs="Arial"/>
          <w:b/>
          <w:bCs/>
          <w:color w:val="000000" w:themeColor="text1"/>
          <w:lang w:eastAsia="es-MX"/>
        </w:rPr>
      </w:pPr>
    </w:p>
    <w:p w14:paraId="70FDDB27" w14:textId="0CF805FD" w:rsidR="00C06F36" w:rsidRPr="00DF76A4" w:rsidRDefault="004A2E2B" w:rsidP="00C06F36">
      <w:pPr>
        <w:shd w:val="clear" w:color="auto" w:fill="FFFFFF"/>
        <w:spacing w:before="240" w:line="360" w:lineRule="auto"/>
        <w:ind w:right="49"/>
        <w:jc w:val="both"/>
        <w:rPr>
          <w:rFonts w:ascii="Palatino Linotype" w:hAnsi="Palatino Linotype" w:cs="Arial"/>
          <w:b/>
          <w:bCs/>
          <w:color w:val="000000" w:themeColor="text1"/>
          <w:lang w:val="es-ES_tradnl" w:eastAsia="es-MX"/>
        </w:rPr>
      </w:pPr>
      <w:r w:rsidRPr="00DF76A4">
        <w:rPr>
          <w:rFonts w:ascii="Palatino Linotype" w:hAnsi="Palatino Linotype" w:cs="Arial"/>
          <w:b/>
          <w:bCs/>
          <w:color w:val="000000" w:themeColor="text1"/>
          <w:lang w:val="es-ES_tradnl" w:eastAsia="es-MX"/>
        </w:rPr>
        <w:t xml:space="preserve">TERCERO. </w:t>
      </w:r>
      <w:r w:rsidR="003C62AF" w:rsidRPr="00640032">
        <w:rPr>
          <w:rFonts w:ascii="Palatino Linotype" w:hAnsi="Palatino Linotype"/>
          <w:b/>
          <w:bCs/>
        </w:rPr>
        <w:t xml:space="preserve">Notifíquese </w:t>
      </w:r>
      <w:r w:rsidR="003C62AF">
        <w:rPr>
          <w:rFonts w:ascii="Palatino Linotype" w:hAnsi="Palatino Linotype"/>
          <w:bCs/>
        </w:rPr>
        <w:t>al</w:t>
      </w:r>
      <w:r w:rsidR="003C62AF" w:rsidRPr="00640032">
        <w:rPr>
          <w:rFonts w:ascii="Palatino Linotype" w:hAnsi="Palatino Linotype"/>
          <w:bCs/>
        </w:rPr>
        <w:t xml:space="preserve"> </w:t>
      </w:r>
      <w:r w:rsidR="003C62AF">
        <w:rPr>
          <w:rFonts w:ascii="Palatino Linotype" w:hAnsi="Palatino Linotype"/>
          <w:b/>
          <w:bCs/>
        </w:rPr>
        <w:t>RECURRENTE</w:t>
      </w:r>
      <w:r w:rsidR="003C62AF" w:rsidRPr="00640032">
        <w:rPr>
          <w:rFonts w:ascii="Palatino Linotype" w:hAnsi="Palatino Linotype"/>
        </w:rPr>
        <w:t xml:space="preserve"> </w:t>
      </w:r>
      <w:r w:rsidR="003C62AF" w:rsidRPr="00640032">
        <w:rPr>
          <w:rFonts w:ascii="Palatino Linotype" w:hAnsi="Palatino Linotype"/>
          <w:lang w:eastAsia="es-MX"/>
        </w:rPr>
        <w:t>la presente resolución</w:t>
      </w:r>
      <w:r w:rsidR="003C62AF">
        <w:rPr>
          <w:rFonts w:ascii="Palatino Linotype" w:hAnsi="Palatino Linotype"/>
          <w:lang w:eastAsia="es-MX"/>
        </w:rPr>
        <w:t xml:space="preserve"> </w:t>
      </w:r>
      <w:r w:rsidR="003C62AF" w:rsidRPr="00640032">
        <w:rPr>
          <w:rFonts w:ascii="Palatino Linotype" w:eastAsia="Calibri" w:hAnsi="Palatino Linotype" w:cs="Arial"/>
          <w:bCs/>
        </w:rPr>
        <w:t xml:space="preserve">a través del Sistema de Acceso a la Información Mexiquense </w:t>
      </w:r>
      <w:r w:rsidR="003C62AF" w:rsidRPr="00640032">
        <w:rPr>
          <w:rFonts w:ascii="Palatino Linotype" w:eastAsia="Calibri" w:hAnsi="Palatino Linotype" w:cs="Arial"/>
          <w:b/>
          <w:bCs/>
        </w:rPr>
        <w:t>(SAIMEX)</w:t>
      </w:r>
      <w:r w:rsidR="003C62AF">
        <w:rPr>
          <w:rFonts w:ascii="Palatino Linotype" w:eastAsia="Calibri" w:hAnsi="Palatino Linotype" w:cs="Arial"/>
          <w:b/>
          <w:bCs/>
        </w:rPr>
        <w:t>.</w:t>
      </w:r>
    </w:p>
    <w:p w14:paraId="386952A8" w14:textId="67872CAA" w:rsidR="004A2E2B" w:rsidRPr="00DF76A4" w:rsidRDefault="004A2E2B" w:rsidP="00C06F36">
      <w:pPr>
        <w:shd w:val="clear" w:color="auto" w:fill="FFFFFF"/>
        <w:spacing w:before="240" w:line="360" w:lineRule="auto"/>
        <w:ind w:right="49"/>
        <w:jc w:val="both"/>
        <w:rPr>
          <w:rFonts w:ascii="Palatino Linotype" w:hAnsi="Palatino Linotype" w:cs="Arial"/>
          <w:b/>
          <w:bCs/>
          <w:color w:val="000000" w:themeColor="text1"/>
          <w:lang w:val="es-ES_tradnl" w:eastAsia="es-MX"/>
        </w:rPr>
      </w:pPr>
    </w:p>
    <w:p w14:paraId="3B94DBF6" w14:textId="3608C126" w:rsidR="004A2E2B" w:rsidRPr="00DF76A4" w:rsidRDefault="004A2E2B" w:rsidP="004A2E2B">
      <w:pPr>
        <w:shd w:val="clear" w:color="auto" w:fill="FFFFFF"/>
        <w:spacing w:line="360" w:lineRule="auto"/>
        <w:jc w:val="both"/>
        <w:rPr>
          <w:rFonts w:ascii="Palatino Linotype" w:eastAsia="MS Mincho" w:hAnsi="Palatino Linotype"/>
          <w:color w:val="000000" w:themeColor="text1"/>
          <w:shd w:val="clear" w:color="auto" w:fill="FFFFFF"/>
          <w:lang w:val="es-ES_tradnl"/>
        </w:rPr>
      </w:pPr>
      <w:r w:rsidRPr="00DF76A4">
        <w:rPr>
          <w:rFonts w:ascii="Palatino Linotype" w:eastAsia="Calibri" w:hAnsi="Palatino Linotype" w:cs="Arial"/>
          <w:b/>
          <w:bCs/>
          <w:color w:val="000000" w:themeColor="text1"/>
          <w:lang w:val="es-MX" w:eastAsia="en-US"/>
        </w:rPr>
        <w:t>CUARTO.</w:t>
      </w:r>
      <w:r w:rsidRPr="00DF76A4">
        <w:rPr>
          <w:rFonts w:ascii="Palatino Linotype" w:eastAsia="Calibri" w:hAnsi="Palatino Linotype" w:cs="Arial"/>
          <w:bCs/>
          <w:color w:val="000000" w:themeColor="text1"/>
          <w:lang w:val="es-MX" w:eastAsia="en-US"/>
        </w:rPr>
        <w:t xml:space="preserve"> </w:t>
      </w:r>
      <w:r w:rsidR="003C62AF" w:rsidRPr="00640032">
        <w:rPr>
          <w:rFonts w:ascii="Palatino Linotype" w:eastAsia="MS Mincho" w:hAnsi="Palatino Linotype"/>
        </w:rPr>
        <w:t>Se hace del conocimiento de</w:t>
      </w:r>
      <w:r w:rsidR="003C62AF">
        <w:rPr>
          <w:rFonts w:ascii="Palatino Linotype" w:eastAsia="MS Mincho" w:hAnsi="Palatino Linotype"/>
        </w:rPr>
        <w:t>l</w:t>
      </w:r>
      <w:r w:rsidR="003C62AF" w:rsidRPr="00640032">
        <w:rPr>
          <w:rFonts w:ascii="Palatino Linotype" w:eastAsia="MS Mincho" w:hAnsi="Palatino Linotype"/>
        </w:rPr>
        <w:t xml:space="preserve"> </w:t>
      </w:r>
      <w:r w:rsidR="003C62AF">
        <w:rPr>
          <w:rFonts w:ascii="Palatino Linotype" w:hAnsi="Palatino Linotype"/>
          <w:b/>
          <w:bCs/>
        </w:rPr>
        <w:t>RECURRENTE</w:t>
      </w:r>
      <w:r w:rsidR="003C62AF">
        <w:rPr>
          <w:rFonts w:ascii="Palatino Linotype" w:hAnsi="Palatino Linotype"/>
        </w:rPr>
        <w:t xml:space="preserve"> </w:t>
      </w:r>
      <w:r w:rsidR="003C62AF" w:rsidRPr="00640032">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3C62AF" w:rsidRPr="00640032">
        <w:rPr>
          <w:rFonts w:ascii="Palatino Linotype" w:eastAsia="MS Mincho" w:hAnsi="Palatino Linotype"/>
          <w:bCs/>
        </w:rPr>
        <w:t>vía juicio de amparo</w:t>
      </w:r>
      <w:r w:rsidR="003C62AF" w:rsidRPr="00640032">
        <w:rPr>
          <w:rFonts w:ascii="Palatino Linotype" w:eastAsia="MS Mincho" w:hAnsi="Palatino Linotype"/>
        </w:rPr>
        <w:t> en los términos de las leyes aplicables.</w:t>
      </w:r>
    </w:p>
    <w:p w14:paraId="58C7398B" w14:textId="77777777" w:rsidR="004A2E2B" w:rsidRPr="00DF76A4" w:rsidRDefault="004A2E2B" w:rsidP="004A2E2B">
      <w:pPr>
        <w:spacing w:line="360" w:lineRule="auto"/>
        <w:rPr>
          <w:rFonts w:ascii="Palatino Linotype" w:eastAsia="MS Mincho" w:hAnsi="Palatino Linotype"/>
          <w:color w:val="000000" w:themeColor="text1"/>
        </w:rPr>
      </w:pPr>
    </w:p>
    <w:p w14:paraId="04F99740" w14:textId="319E91D5" w:rsidR="00A9541D" w:rsidRDefault="00A9541D" w:rsidP="003C62AF">
      <w:pPr>
        <w:spacing w:before="240" w:after="240" w:line="360" w:lineRule="auto"/>
        <w:jc w:val="both"/>
        <w:rPr>
          <w:rFonts w:ascii="Palatino Linotype" w:hAnsi="Palatino Linotype"/>
        </w:rPr>
      </w:pPr>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LUIS GUSTAVO PARRA NORIEGA Y GUADALUPE RAMÍREZ PEÑA</w:t>
      </w:r>
      <w:r w:rsidR="000A34D8">
        <w:rPr>
          <w:rFonts w:ascii="Palatino Linotype" w:hAnsi="Palatino Linotype"/>
        </w:rPr>
        <w:t>;</w:t>
      </w:r>
      <w:r w:rsidRPr="00A0054B">
        <w:rPr>
          <w:rFonts w:ascii="Palatino Linotype" w:hAnsi="Palatino Linotype"/>
        </w:rPr>
        <w:t xml:space="preserve"> EN LA</w:t>
      </w:r>
      <w:r w:rsidR="00DF76A4">
        <w:rPr>
          <w:rFonts w:ascii="Palatino Linotype" w:hAnsi="Palatino Linotype"/>
        </w:rPr>
        <w:t xml:space="preserve"> </w:t>
      </w:r>
      <w:r w:rsidR="0006118D">
        <w:rPr>
          <w:rFonts w:ascii="Palatino Linotype" w:hAnsi="Palatino Linotype"/>
        </w:rPr>
        <w:t>PRIMERA</w:t>
      </w:r>
      <w:r>
        <w:rPr>
          <w:rFonts w:ascii="Palatino Linotype" w:hAnsi="Palatino Linotype"/>
        </w:rPr>
        <w:t xml:space="preserve"> </w:t>
      </w:r>
      <w:r w:rsidRPr="00A0054B">
        <w:rPr>
          <w:rFonts w:ascii="Palatino Linotype" w:hAnsi="Palatino Linotype"/>
        </w:rPr>
        <w:t xml:space="preserve">SESIÓN ORDINARIA CELEBRADA EL </w:t>
      </w:r>
      <w:r w:rsidR="00A70AD3">
        <w:rPr>
          <w:rFonts w:ascii="Palatino Linotype" w:hAnsi="Palatino Linotype"/>
        </w:rPr>
        <w:t xml:space="preserve">DIECISISETE </w:t>
      </w:r>
      <w:r w:rsidR="00F00223">
        <w:rPr>
          <w:rFonts w:ascii="Palatino Linotype" w:hAnsi="Palatino Linotype"/>
        </w:rPr>
        <w:t xml:space="preserve">(17) </w:t>
      </w:r>
      <w:r w:rsidR="00A70AD3">
        <w:rPr>
          <w:rFonts w:ascii="Palatino Linotype" w:hAnsi="Palatino Linotype"/>
        </w:rPr>
        <w:t>DE ENERO</w:t>
      </w:r>
      <w:r w:rsidRPr="00A0054B">
        <w:rPr>
          <w:rFonts w:ascii="Palatino Linotype" w:hAnsi="Palatino Linotype"/>
        </w:rPr>
        <w:t xml:space="preserve"> DE DOS MIL VEINTI</w:t>
      </w:r>
      <w:r w:rsidR="00A70AD3">
        <w:rPr>
          <w:rFonts w:ascii="Palatino Linotype" w:hAnsi="Palatino Linotype"/>
        </w:rPr>
        <w:t>CUATRO</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2B4D5A9E" w14:textId="652D86D2" w:rsidR="000A34D8" w:rsidRDefault="000A34D8" w:rsidP="003C62AF">
      <w:pPr>
        <w:spacing w:before="240" w:after="240" w:line="360" w:lineRule="auto"/>
        <w:jc w:val="both"/>
        <w:rPr>
          <w:rFonts w:ascii="Palatino Linotype" w:hAnsi="Palatino Linotype"/>
        </w:rPr>
      </w:pPr>
    </w:p>
    <w:p w14:paraId="1E9A152F" w14:textId="77777777" w:rsidR="000A34D8" w:rsidRDefault="000A34D8">
      <w:pPr>
        <w:rPr>
          <w:rFonts w:ascii="Palatino Linotype" w:hAnsi="Palatino Linotype"/>
        </w:rPr>
      </w:pPr>
      <w:r>
        <w:rPr>
          <w:rFonts w:ascii="Palatino Linotype" w:hAnsi="Palatino Linotype"/>
        </w:rPr>
        <w:br w:type="page"/>
      </w:r>
    </w:p>
    <w:p w14:paraId="221A4749" w14:textId="77777777" w:rsidR="000A34D8" w:rsidRDefault="000A34D8" w:rsidP="003C62AF">
      <w:pPr>
        <w:spacing w:before="240" w:after="240" w:line="360" w:lineRule="auto"/>
        <w:jc w:val="both"/>
        <w:rPr>
          <w:rFonts w:ascii="Palatino Linotype" w:hAnsi="Palatino Linotype"/>
        </w:rPr>
      </w:pPr>
    </w:p>
    <w:p w14:paraId="40381974" w14:textId="77777777" w:rsidR="00CA723C" w:rsidRPr="005530C7" w:rsidRDefault="00CA723C" w:rsidP="00A87832">
      <w:pPr>
        <w:spacing w:after="160" w:line="360" w:lineRule="auto"/>
        <w:jc w:val="both"/>
        <w:rPr>
          <w:rFonts w:ascii="Palatino Linotype" w:hAnsi="Palatino Linotype" w:cs="Arial"/>
          <w:lang w:val="es-ES_tradnl"/>
        </w:rPr>
      </w:pPr>
    </w:p>
    <w:sectPr w:rsidR="00CA723C" w:rsidRPr="005530C7"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C0F6B" w14:textId="77777777" w:rsidR="004439D7" w:rsidRDefault="004439D7" w:rsidP="00C80F8C">
      <w:r>
        <w:separator/>
      </w:r>
    </w:p>
  </w:endnote>
  <w:endnote w:type="continuationSeparator" w:id="0">
    <w:p w14:paraId="79330965" w14:textId="77777777" w:rsidR="004439D7" w:rsidRDefault="004439D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D0B5" w14:textId="2A27EF55" w:rsidR="002A4DA7" w:rsidRPr="00817AAB" w:rsidRDefault="002A4DA7"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0A34D8">
      <w:rPr>
        <w:rFonts w:ascii="Palatino Linotype" w:hAnsi="Palatino Linotype" w:cs="Arial"/>
        <w:b/>
        <w:bCs/>
        <w:noProof/>
      </w:rPr>
      <w:t>25</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0A34D8">
      <w:rPr>
        <w:rFonts w:ascii="Palatino Linotype" w:hAnsi="Palatino Linotype" w:cs="Arial"/>
        <w:b/>
        <w:bCs/>
        <w:noProof/>
      </w:rPr>
      <w:t>26</w:t>
    </w:r>
    <w:r w:rsidRPr="00817AAB">
      <w:rPr>
        <w:rFonts w:ascii="Palatino Linotype" w:hAnsi="Palatino Linotype" w:cs="Arial"/>
        <w:b/>
        <w:bCs/>
      </w:rPr>
      <w:fldChar w:fldCharType="end"/>
    </w:r>
  </w:p>
  <w:p w14:paraId="1192A578" w14:textId="77777777" w:rsidR="002A4DA7" w:rsidRDefault="002A4DA7" w:rsidP="00935A0D">
    <w:pPr>
      <w:pStyle w:val="Piedepgina"/>
      <w:rPr>
        <w:rFonts w:ascii="Times New Roman" w:hAnsi="Times New Roman" w:cs="Times New Roman"/>
      </w:rPr>
    </w:pPr>
  </w:p>
  <w:p w14:paraId="14A770F8" w14:textId="77777777" w:rsidR="002A4DA7" w:rsidRDefault="002A4DA7"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0BFC" w14:textId="158E5F07" w:rsidR="002A4DA7" w:rsidRDefault="002A4DA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A34D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A34D8">
      <w:rPr>
        <w:rFonts w:ascii="Arial" w:hAnsi="Arial" w:cs="Arial"/>
        <w:b/>
        <w:bCs/>
        <w:noProof/>
        <w:sz w:val="20"/>
        <w:szCs w:val="20"/>
      </w:rPr>
      <w:t>26</w:t>
    </w:r>
    <w:r>
      <w:rPr>
        <w:rFonts w:ascii="Arial" w:hAnsi="Arial" w:cs="Arial"/>
        <w:b/>
        <w:bCs/>
        <w:sz w:val="20"/>
        <w:szCs w:val="20"/>
      </w:rPr>
      <w:fldChar w:fldCharType="end"/>
    </w:r>
  </w:p>
  <w:p w14:paraId="5D98ABD5" w14:textId="77777777" w:rsidR="002A4DA7" w:rsidRDefault="002A4D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136D" w14:textId="77777777" w:rsidR="004439D7" w:rsidRDefault="004439D7" w:rsidP="00C80F8C">
      <w:r>
        <w:separator/>
      </w:r>
    </w:p>
  </w:footnote>
  <w:footnote w:type="continuationSeparator" w:id="0">
    <w:p w14:paraId="4860403F" w14:textId="77777777" w:rsidR="004439D7" w:rsidRDefault="004439D7"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447" w:type="dxa"/>
      <w:tblInd w:w="2964" w:type="dxa"/>
      <w:tblLayout w:type="fixed"/>
      <w:tblLook w:val="04A0" w:firstRow="1" w:lastRow="0" w:firstColumn="1" w:lastColumn="0" w:noHBand="0" w:noVBand="1"/>
    </w:tblPr>
    <w:tblGrid>
      <w:gridCol w:w="2701"/>
      <w:gridCol w:w="3746"/>
    </w:tblGrid>
    <w:tr w:rsidR="002A4DA7" w14:paraId="6B4E3B81" w14:textId="77777777" w:rsidTr="00B4299A">
      <w:tc>
        <w:tcPr>
          <w:tcW w:w="2701" w:type="dxa"/>
          <w:vAlign w:val="center"/>
          <w:hideMark/>
        </w:tcPr>
        <w:p w14:paraId="0ABBC6C0" w14:textId="1226DAAF" w:rsidR="002A4DA7" w:rsidRPr="00B4299A" w:rsidRDefault="002A4DA7"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FA184FC" w:rsidR="002A4DA7" w:rsidRPr="00B4299A" w:rsidRDefault="002A4DA7" w:rsidP="004D3F79">
          <w:pPr>
            <w:rPr>
              <w:rFonts w:ascii="Palatino Linotype" w:hAnsi="Palatino Linotype"/>
              <w:b/>
              <w:szCs w:val="22"/>
              <w:lang w:val="es-ES_tradnl"/>
            </w:rPr>
          </w:pPr>
          <w:r>
            <w:rPr>
              <w:rFonts w:ascii="Palatino Linotype" w:hAnsi="Palatino Linotype"/>
              <w:b/>
              <w:szCs w:val="22"/>
              <w:lang w:val="es-ES_tradnl"/>
            </w:rPr>
            <w:t>06278</w:t>
          </w:r>
          <w:r w:rsidRPr="00DE5D2B">
            <w:rPr>
              <w:rFonts w:ascii="Palatino Linotype" w:hAnsi="Palatino Linotype"/>
              <w:b/>
              <w:szCs w:val="22"/>
              <w:lang w:val="es-ES_tradnl"/>
            </w:rPr>
            <w:t>/INFOEM/IP/RR/2022</w:t>
          </w:r>
          <w:r>
            <w:rPr>
              <w:rFonts w:ascii="Palatino Linotype" w:hAnsi="Palatino Linotype"/>
              <w:b/>
              <w:szCs w:val="22"/>
              <w:lang w:val="es-ES_tradnl"/>
            </w:rPr>
            <w:t xml:space="preserve"> </w:t>
          </w:r>
        </w:p>
      </w:tc>
    </w:tr>
    <w:tr w:rsidR="002A4DA7" w14:paraId="31CB780F" w14:textId="77777777" w:rsidTr="00B4299A">
      <w:trPr>
        <w:trHeight w:val="228"/>
      </w:trPr>
      <w:tc>
        <w:tcPr>
          <w:tcW w:w="2701" w:type="dxa"/>
          <w:vAlign w:val="center"/>
          <w:hideMark/>
        </w:tcPr>
        <w:p w14:paraId="4F49CB4A" w14:textId="6966D32E" w:rsidR="002A4DA7" w:rsidRPr="00B4299A" w:rsidRDefault="002A4DA7"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3D1978CF" w:rsidR="002A4DA7" w:rsidRPr="00B4299A" w:rsidRDefault="002A4DA7" w:rsidP="00DE5D2B">
          <w:pPr>
            <w:jc w:val="both"/>
            <w:rPr>
              <w:rFonts w:ascii="Palatino Linotype" w:hAnsi="Palatino Linotype"/>
              <w:b/>
              <w:szCs w:val="22"/>
              <w:lang w:val="es-ES_tradnl"/>
            </w:rPr>
          </w:pPr>
          <w:r>
            <w:rPr>
              <w:rFonts w:ascii="Palatino Linotype" w:eastAsia="Calibri" w:hAnsi="Palatino Linotype"/>
              <w:b/>
              <w:szCs w:val="22"/>
              <w:lang w:val="es-MX" w:eastAsia="en-US"/>
            </w:rPr>
            <w:t>Secretaría de Desarrollo Urbano y Obra</w:t>
          </w:r>
        </w:p>
      </w:tc>
    </w:tr>
    <w:tr w:rsidR="002A4DA7" w14:paraId="69050F56" w14:textId="77777777" w:rsidTr="00B4299A">
      <w:tc>
        <w:tcPr>
          <w:tcW w:w="2701" w:type="dxa"/>
          <w:vAlign w:val="center"/>
          <w:hideMark/>
        </w:tcPr>
        <w:p w14:paraId="65C9B735" w14:textId="75C78F81" w:rsidR="002A4DA7" w:rsidRPr="00B4299A" w:rsidRDefault="002A4DA7"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2A4DA7" w:rsidRPr="00B4299A" w:rsidRDefault="002A4DA7"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2A4DA7" w:rsidRDefault="002A4DA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A15E1AE">
          <wp:simplePos x="0" y="0"/>
          <wp:positionH relativeFrom="page">
            <wp:posOffset>76200</wp:posOffset>
          </wp:positionH>
          <wp:positionV relativeFrom="paragraph">
            <wp:posOffset>-1113155</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2A4DA7" w:rsidRDefault="002A4DA7" w:rsidP="006F30F8">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970C" w14:textId="786D2B05" w:rsidR="002A4DA7" w:rsidRDefault="002A4DA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2A4DA7" w14:paraId="477E149B" w14:textId="77777777" w:rsidTr="00CB57FD">
      <w:trPr>
        <w:trHeight w:val="277"/>
      </w:trPr>
      <w:tc>
        <w:tcPr>
          <w:tcW w:w="2693" w:type="dxa"/>
          <w:vAlign w:val="center"/>
          <w:hideMark/>
        </w:tcPr>
        <w:p w14:paraId="5C0586E4" w14:textId="77777777" w:rsidR="002A4DA7" w:rsidRPr="009B3353" w:rsidRDefault="002A4DA7"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5F333EDB" w:rsidR="002A4DA7" w:rsidRPr="009B3353" w:rsidRDefault="002A4DA7" w:rsidP="00FD4228">
          <w:pPr>
            <w:rPr>
              <w:rFonts w:ascii="Palatino Linotype" w:hAnsi="Palatino Linotype"/>
              <w:b/>
              <w:szCs w:val="22"/>
              <w:lang w:val="es-ES_tradnl"/>
            </w:rPr>
          </w:pPr>
          <w:r>
            <w:rPr>
              <w:rFonts w:ascii="Palatino Linotype" w:hAnsi="Palatino Linotype"/>
              <w:b/>
              <w:szCs w:val="22"/>
              <w:lang w:val="es-ES_tradnl"/>
            </w:rPr>
            <w:t>06278</w:t>
          </w:r>
          <w:r w:rsidRPr="00DE5D2B">
            <w:rPr>
              <w:rFonts w:ascii="Palatino Linotype" w:hAnsi="Palatino Linotype"/>
              <w:b/>
              <w:szCs w:val="22"/>
              <w:lang w:val="es-ES_tradnl"/>
            </w:rPr>
            <w:t>/INFOEM/IP/RR/2022</w:t>
          </w:r>
          <w:r>
            <w:rPr>
              <w:rFonts w:ascii="Palatino Linotype" w:hAnsi="Palatino Linotype"/>
              <w:b/>
              <w:szCs w:val="22"/>
              <w:lang w:val="es-ES_tradnl"/>
            </w:rPr>
            <w:t xml:space="preserve"> </w:t>
          </w:r>
        </w:p>
      </w:tc>
    </w:tr>
    <w:tr w:rsidR="002A4DA7" w14:paraId="5B5BE21C" w14:textId="77777777" w:rsidTr="00CB57FD">
      <w:tc>
        <w:tcPr>
          <w:tcW w:w="2693" w:type="dxa"/>
          <w:vAlign w:val="center"/>
          <w:hideMark/>
        </w:tcPr>
        <w:p w14:paraId="4AE96902" w14:textId="4E063913" w:rsidR="002A4DA7" w:rsidRPr="009B3353" w:rsidRDefault="002A4DA7"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7716DAAD" w:rsidR="002A4DA7" w:rsidRPr="009B3353" w:rsidRDefault="00CE21A0" w:rsidP="002B7BCC">
          <w:pPr>
            <w:rPr>
              <w:rFonts w:ascii="Palatino Linotype" w:hAnsi="Palatino Linotype"/>
              <w:b/>
              <w:szCs w:val="22"/>
              <w:lang w:val="es-ES_tradnl"/>
            </w:rPr>
          </w:pPr>
          <w:r>
            <w:rPr>
              <w:rFonts w:ascii="Palatino Linotype" w:hAnsi="Palatino Linotype"/>
              <w:b/>
              <w:szCs w:val="22"/>
              <w:lang w:val="es-ES_tradnl"/>
            </w:rPr>
            <w:t xml:space="preserve">XXX </w:t>
          </w:r>
          <w:proofErr w:type="spellStart"/>
          <w:r>
            <w:rPr>
              <w:rFonts w:ascii="Palatino Linotype" w:hAnsi="Palatino Linotype"/>
              <w:b/>
              <w:szCs w:val="22"/>
              <w:lang w:val="es-ES_tradnl"/>
            </w:rPr>
            <w:t>XXX</w:t>
          </w:r>
          <w:proofErr w:type="spellEnd"/>
          <w:r>
            <w:rPr>
              <w:rFonts w:ascii="Palatino Linotype" w:hAnsi="Palatino Linotype"/>
              <w:b/>
              <w:szCs w:val="22"/>
              <w:lang w:val="es-ES_tradnl"/>
            </w:rPr>
            <w:t xml:space="preserve"> </w:t>
          </w:r>
          <w:proofErr w:type="spellStart"/>
          <w:r>
            <w:rPr>
              <w:rFonts w:ascii="Palatino Linotype" w:hAnsi="Palatino Linotype"/>
              <w:b/>
              <w:szCs w:val="22"/>
              <w:lang w:val="es-ES_tradnl"/>
            </w:rPr>
            <w:t>XXX</w:t>
          </w:r>
          <w:proofErr w:type="spellEnd"/>
        </w:p>
      </w:tc>
    </w:tr>
    <w:tr w:rsidR="002A4DA7" w14:paraId="22601A11" w14:textId="77777777" w:rsidTr="00CB57FD">
      <w:trPr>
        <w:trHeight w:val="228"/>
      </w:trPr>
      <w:tc>
        <w:tcPr>
          <w:tcW w:w="2693" w:type="dxa"/>
          <w:vAlign w:val="center"/>
          <w:hideMark/>
        </w:tcPr>
        <w:p w14:paraId="6EFE221D" w14:textId="49C5F800" w:rsidR="002A4DA7" w:rsidRPr="009B3353" w:rsidRDefault="002A4DA7"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CF6A8BA" w:rsidR="002A4DA7" w:rsidRPr="009B3353" w:rsidRDefault="002A4DA7" w:rsidP="00DE5D2B">
          <w:pPr>
            <w:jc w:val="both"/>
            <w:rPr>
              <w:rFonts w:ascii="Palatino Linotype" w:eastAsia="Calibri" w:hAnsi="Palatino Linotype"/>
              <w:b/>
              <w:szCs w:val="22"/>
              <w:lang w:val="es-MX" w:eastAsia="en-US"/>
            </w:rPr>
          </w:pPr>
          <w:r>
            <w:rPr>
              <w:rFonts w:ascii="Palatino Linotype" w:eastAsia="Calibri" w:hAnsi="Palatino Linotype"/>
              <w:b/>
              <w:szCs w:val="22"/>
              <w:lang w:val="es-MX" w:eastAsia="en-US"/>
            </w:rPr>
            <w:t>Secretaría de Desarrollo Urbano y Obra</w:t>
          </w:r>
        </w:p>
      </w:tc>
    </w:tr>
    <w:tr w:rsidR="002A4DA7" w14:paraId="2D6C630E" w14:textId="77777777" w:rsidTr="00CB57FD">
      <w:tc>
        <w:tcPr>
          <w:tcW w:w="2693" w:type="dxa"/>
          <w:vAlign w:val="center"/>
          <w:hideMark/>
        </w:tcPr>
        <w:p w14:paraId="5BD4C6DB" w14:textId="7CF21504" w:rsidR="002A4DA7" w:rsidRPr="009B3353" w:rsidRDefault="002A4DA7"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2A4DA7" w:rsidRPr="009B3353" w:rsidRDefault="002A4DA7"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2A4DA7" w:rsidRDefault="002A4DA7"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5416B"/>
    <w:multiLevelType w:val="hybridMultilevel"/>
    <w:tmpl w:val="C2F47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80513B"/>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5"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364FF8"/>
    <w:multiLevelType w:val="hybridMultilevel"/>
    <w:tmpl w:val="9012A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E93FA8"/>
    <w:multiLevelType w:val="hybridMultilevel"/>
    <w:tmpl w:val="3E42D6AA"/>
    <w:lvl w:ilvl="0" w:tplc="0409000F">
      <w:start w:val="10"/>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27D1D"/>
    <w:multiLevelType w:val="hybridMultilevel"/>
    <w:tmpl w:val="50682128"/>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525163"/>
    <w:multiLevelType w:val="hybridMultilevel"/>
    <w:tmpl w:val="B6AEA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317490"/>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D8C2BF2"/>
    <w:multiLevelType w:val="hybridMultilevel"/>
    <w:tmpl w:val="30766DF0"/>
    <w:lvl w:ilvl="0" w:tplc="C1C4F3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F5B78"/>
    <w:multiLevelType w:val="hybridMultilevel"/>
    <w:tmpl w:val="6316B524"/>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9A3C11"/>
    <w:multiLevelType w:val="hybridMultilevel"/>
    <w:tmpl w:val="191E1BC6"/>
    <w:lvl w:ilvl="0" w:tplc="F2A2EEAA">
      <w:start w:val="13"/>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3A4D95"/>
    <w:multiLevelType w:val="hybridMultilevel"/>
    <w:tmpl w:val="8BCC75B0"/>
    <w:lvl w:ilvl="0" w:tplc="FC7851FC">
      <w:start w:val="1"/>
      <w:numFmt w:val="lowerLetter"/>
      <w:lvlText w:val="%1)"/>
      <w:lvlJc w:val="left"/>
      <w:pPr>
        <w:ind w:left="810" w:hanging="360"/>
      </w:pPr>
      <w:rPr>
        <w:rFonts w:cs="Arial"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7DA70BC"/>
    <w:multiLevelType w:val="hybridMultilevel"/>
    <w:tmpl w:val="D370F3DE"/>
    <w:lvl w:ilvl="0" w:tplc="92BE0B36">
      <w:start w:val="1"/>
      <w:numFmt w:val="decimal"/>
      <w:lvlText w:val="%1."/>
      <w:lvlJc w:val="left"/>
      <w:pPr>
        <w:ind w:left="644" w:hanging="360"/>
      </w:pPr>
      <w:rPr>
        <w:rFonts w:ascii="Palatino Linotype" w:hAnsi="Palatino Linotype" w:hint="default"/>
        <w:b/>
        <w:i w:val="0"/>
        <w:color w:val="auto"/>
        <w:sz w:val="24"/>
      </w:rPr>
    </w:lvl>
    <w:lvl w:ilvl="1" w:tplc="1A78CB92">
      <w:start w:val="1"/>
      <w:numFmt w:val="upperRoman"/>
      <w:lvlText w:val="%2."/>
      <w:lvlJc w:val="left"/>
      <w:pPr>
        <w:ind w:left="1800" w:hanging="720"/>
      </w:pPr>
      <w:rPr>
        <w:rFonts w:ascii="Palatino Linotype" w:eastAsiaTheme="minorEastAsia" w:hAnsi="Palatino Linotype" w:cstheme="minorBidi"/>
        <w:b/>
        <w:color w:val="000000" w:themeColor="text1"/>
        <w:sz w:val="24"/>
        <w:szCs w:val="24"/>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117E52"/>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5448BF"/>
    <w:multiLevelType w:val="hybridMultilevel"/>
    <w:tmpl w:val="FD9A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3204EE"/>
    <w:multiLevelType w:val="hybridMultilevel"/>
    <w:tmpl w:val="E476079C"/>
    <w:lvl w:ilvl="0" w:tplc="AAE0F64C">
      <w:start w:val="1"/>
      <w:numFmt w:val="decimal"/>
      <w:lvlText w:val="%1."/>
      <w:lvlJc w:val="left"/>
      <w:pPr>
        <w:ind w:left="261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31"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3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200174653">
    <w:abstractNumId w:val="6"/>
  </w:num>
  <w:num w:numId="2" w16cid:durableId="1343318076">
    <w:abstractNumId w:val="26"/>
  </w:num>
  <w:num w:numId="3" w16cid:durableId="34669865">
    <w:abstractNumId w:val="10"/>
  </w:num>
  <w:num w:numId="4" w16cid:durableId="557520581">
    <w:abstractNumId w:val="7"/>
  </w:num>
  <w:num w:numId="5" w16cid:durableId="681712590">
    <w:abstractNumId w:val="8"/>
  </w:num>
  <w:num w:numId="6" w16cid:durableId="1926768655">
    <w:abstractNumId w:val="3"/>
  </w:num>
  <w:num w:numId="7" w16cid:durableId="1960722972">
    <w:abstractNumId w:val="27"/>
  </w:num>
  <w:num w:numId="8" w16cid:durableId="535315514">
    <w:abstractNumId w:val="25"/>
  </w:num>
  <w:num w:numId="9" w16cid:durableId="122962703">
    <w:abstractNumId w:val="22"/>
  </w:num>
  <w:num w:numId="10" w16cid:durableId="442304760">
    <w:abstractNumId w:val="29"/>
  </w:num>
  <w:num w:numId="11" w16cid:durableId="640770077">
    <w:abstractNumId w:val="19"/>
  </w:num>
  <w:num w:numId="12" w16cid:durableId="1622540699">
    <w:abstractNumId w:val="4"/>
  </w:num>
  <w:num w:numId="13" w16cid:durableId="331181557">
    <w:abstractNumId w:val="30"/>
  </w:num>
  <w:num w:numId="14" w16cid:durableId="1265335601">
    <w:abstractNumId w:val="16"/>
  </w:num>
  <w:num w:numId="15" w16cid:durableId="105079469">
    <w:abstractNumId w:val="12"/>
  </w:num>
  <w:num w:numId="16" w16cid:durableId="2059163954">
    <w:abstractNumId w:val="32"/>
  </w:num>
  <w:num w:numId="17" w16cid:durableId="1794590694">
    <w:abstractNumId w:val="23"/>
  </w:num>
  <w:num w:numId="18" w16cid:durableId="1499148810">
    <w:abstractNumId w:val="14"/>
  </w:num>
  <w:num w:numId="19" w16cid:durableId="1980064946">
    <w:abstractNumId w:val="21"/>
  </w:num>
  <w:num w:numId="20" w16cid:durableId="983240909">
    <w:abstractNumId w:val="0"/>
  </w:num>
  <w:num w:numId="21" w16cid:durableId="1215462125">
    <w:abstractNumId w:val="24"/>
  </w:num>
  <w:num w:numId="22" w16cid:durableId="809513398">
    <w:abstractNumId w:val="17"/>
  </w:num>
  <w:num w:numId="23" w16cid:durableId="963464340">
    <w:abstractNumId w:val="20"/>
  </w:num>
  <w:num w:numId="24" w16cid:durableId="381170732">
    <w:abstractNumId w:val="2"/>
  </w:num>
  <w:num w:numId="25" w16cid:durableId="1702166800">
    <w:abstractNumId w:val="15"/>
  </w:num>
  <w:num w:numId="26" w16cid:durableId="2086874480">
    <w:abstractNumId w:val="13"/>
  </w:num>
  <w:num w:numId="27" w16cid:durableId="1548639590">
    <w:abstractNumId w:val="9"/>
  </w:num>
  <w:num w:numId="28" w16cid:durableId="19817311">
    <w:abstractNumId w:val="18"/>
  </w:num>
  <w:num w:numId="29" w16cid:durableId="1435326563">
    <w:abstractNumId w:val="5"/>
  </w:num>
  <w:num w:numId="30" w16cid:durableId="1099370487">
    <w:abstractNumId w:val="1"/>
  </w:num>
  <w:num w:numId="31" w16cid:durableId="439493721">
    <w:abstractNumId w:val="28"/>
  </w:num>
  <w:num w:numId="32" w16cid:durableId="565185984">
    <w:abstractNumId w:val="31"/>
  </w:num>
  <w:num w:numId="33" w16cid:durableId="45648774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5F19"/>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2C80"/>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471E"/>
    <w:rsid w:val="00045165"/>
    <w:rsid w:val="00045FD8"/>
    <w:rsid w:val="00047F41"/>
    <w:rsid w:val="00051231"/>
    <w:rsid w:val="00051773"/>
    <w:rsid w:val="0005205E"/>
    <w:rsid w:val="000535B0"/>
    <w:rsid w:val="00053D74"/>
    <w:rsid w:val="00054EFE"/>
    <w:rsid w:val="00054F89"/>
    <w:rsid w:val="00055938"/>
    <w:rsid w:val="00055F7A"/>
    <w:rsid w:val="00057073"/>
    <w:rsid w:val="00060CD1"/>
    <w:rsid w:val="0006118D"/>
    <w:rsid w:val="0006184D"/>
    <w:rsid w:val="000646E3"/>
    <w:rsid w:val="00066610"/>
    <w:rsid w:val="000667E0"/>
    <w:rsid w:val="00070A81"/>
    <w:rsid w:val="00071462"/>
    <w:rsid w:val="00071A99"/>
    <w:rsid w:val="00072BEF"/>
    <w:rsid w:val="00072C34"/>
    <w:rsid w:val="00072D06"/>
    <w:rsid w:val="00074010"/>
    <w:rsid w:val="00074F21"/>
    <w:rsid w:val="000752EF"/>
    <w:rsid w:val="00075D7A"/>
    <w:rsid w:val="00076CAF"/>
    <w:rsid w:val="0007730D"/>
    <w:rsid w:val="00077347"/>
    <w:rsid w:val="00077788"/>
    <w:rsid w:val="00077C21"/>
    <w:rsid w:val="00080FA4"/>
    <w:rsid w:val="0008195D"/>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A72"/>
    <w:rsid w:val="000A0D0B"/>
    <w:rsid w:val="000A0D59"/>
    <w:rsid w:val="000A1C9A"/>
    <w:rsid w:val="000A1E1F"/>
    <w:rsid w:val="000A261A"/>
    <w:rsid w:val="000A2EDB"/>
    <w:rsid w:val="000A34D8"/>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7BE"/>
    <w:rsid w:val="000B7B5A"/>
    <w:rsid w:val="000C09EA"/>
    <w:rsid w:val="000C1184"/>
    <w:rsid w:val="000C11BE"/>
    <w:rsid w:val="000C16AF"/>
    <w:rsid w:val="000C1B34"/>
    <w:rsid w:val="000C1CF8"/>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F1BBF"/>
    <w:rsid w:val="000F219C"/>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17AC8"/>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5D98"/>
    <w:rsid w:val="00136083"/>
    <w:rsid w:val="001362C2"/>
    <w:rsid w:val="00137C1F"/>
    <w:rsid w:val="00141F78"/>
    <w:rsid w:val="00143012"/>
    <w:rsid w:val="00143967"/>
    <w:rsid w:val="001445AB"/>
    <w:rsid w:val="0014506E"/>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60E43"/>
    <w:rsid w:val="00161160"/>
    <w:rsid w:val="00161B66"/>
    <w:rsid w:val="00161FC4"/>
    <w:rsid w:val="00162CA1"/>
    <w:rsid w:val="00163B98"/>
    <w:rsid w:val="001643F3"/>
    <w:rsid w:val="00164952"/>
    <w:rsid w:val="00164BD1"/>
    <w:rsid w:val="00165138"/>
    <w:rsid w:val="00166139"/>
    <w:rsid w:val="0016617B"/>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E15"/>
    <w:rsid w:val="0017530C"/>
    <w:rsid w:val="0017555E"/>
    <w:rsid w:val="00175974"/>
    <w:rsid w:val="00175A2B"/>
    <w:rsid w:val="00176F55"/>
    <w:rsid w:val="00177A27"/>
    <w:rsid w:val="00177B7E"/>
    <w:rsid w:val="00181594"/>
    <w:rsid w:val="00181791"/>
    <w:rsid w:val="00182E55"/>
    <w:rsid w:val="00182F03"/>
    <w:rsid w:val="00183275"/>
    <w:rsid w:val="00184454"/>
    <w:rsid w:val="00184BC3"/>
    <w:rsid w:val="00184FBA"/>
    <w:rsid w:val="0018512D"/>
    <w:rsid w:val="001852E0"/>
    <w:rsid w:val="0018689B"/>
    <w:rsid w:val="00186B63"/>
    <w:rsid w:val="00186C88"/>
    <w:rsid w:val="001871B2"/>
    <w:rsid w:val="00190A74"/>
    <w:rsid w:val="001911CC"/>
    <w:rsid w:val="00191ACE"/>
    <w:rsid w:val="00192861"/>
    <w:rsid w:val="00193909"/>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234C"/>
    <w:rsid w:val="001B2379"/>
    <w:rsid w:val="001B3256"/>
    <w:rsid w:val="001B3C02"/>
    <w:rsid w:val="001B5099"/>
    <w:rsid w:val="001B6BDC"/>
    <w:rsid w:val="001B6E23"/>
    <w:rsid w:val="001C085B"/>
    <w:rsid w:val="001C0C3F"/>
    <w:rsid w:val="001C19C4"/>
    <w:rsid w:val="001C1CAE"/>
    <w:rsid w:val="001C1DC2"/>
    <w:rsid w:val="001C2C24"/>
    <w:rsid w:val="001C304B"/>
    <w:rsid w:val="001C51A0"/>
    <w:rsid w:val="001C54E5"/>
    <w:rsid w:val="001C592C"/>
    <w:rsid w:val="001C5CD3"/>
    <w:rsid w:val="001C6A3F"/>
    <w:rsid w:val="001D0631"/>
    <w:rsid w:val="001D064E"/>
    <w:rsid w:val="001D19AB"/>
    <w:rsid w:val="001D2EB5"/>
    <w:rsid w:val="001D477A"/>
    <w:rsid w:val="001D54C7"/>
    <w:rsid w:val="001D6064"/>
    <w:rsid w:val="001D60A4"/>
    <w:rsid w:val="001D63C6"/>
    <w:rsid w:val="001D6A83"/>
    <w:rsid w:val="001D798E"/>
    <w:rsid w:val="001E0ACB"/>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35B4"/>
    <w:rsid w:val="001F41FB"/>
    <w:rsid w:val="001F465A"/>
    <w:rsid w:val="001F4E10"/>
    <w:rsid w:val="001F501F"/>
    <w:rsid w:val="001F6D50"/>
    <w:rsid w:val="0020054B"/>
    <w:rsid w:val="00201E21"/>
    <w:rsid w:val="00203E4E"/>
    <w:rsid w:val="00204C2A"/>
    <w:rsid w:val="00205361"/>
    <w:rsid w:val="00205ADF"/>
    <w:rsid w:val="0020602B"/>
    <w:rsid w:val="002066DF"/>
    <w:rsid w:val="002070E6"/>
    <w:rsid w:val="00212FE4"/>
    <w:rsid w:val="00213228"/>
    <w:rsid w:val="0021442C"/>
    <w:rsid w:val="002155B0"/>
    <w:rsid w:val="002158CB"/>
    <w:rsid w:val="00215922"/>
    <w:rsid w:val="00220958"/>
    <w:rsid w:val="002214BF"/>
    <w:rsid w:val="00221545"/>
    <w:rsid w:val="00221D2C"/>
    <w:rsid w:val="0022285B"/>
    <w:rsid w:val="00222F65"/>
    <w:rsid w:val="00223869"/>
    <w:rsid w:val="00223D0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FB4"/>
    <w:rsid w:val="00236540"/>
    <w:rsid w:val="00236E44"/>
    <w:rsid w:val="00237482"/>
    <w:rsid w:val="002423FE"/>
    <w:rsid w:val="00242C4A"/>
    <w:rsid w:val="0024380A"/>
    <w:rsid w:val="0024404E"/>
    <w:rsid w:val="002440EB"/>
    <w:rsid w:val="002441D0"/>
    <w:rsid w:val="00244265"/>
    <w:rsid w:val="00244EEF"/>
    <w:rsid w:val="00244F85"/>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71B"/>
    <w:rsid w:val="002629E7"/>
    <w:rsid w:val="00265366"/>
    <w:rsid w:val="002657BB"/>
    <w:rsid w:val="00266490"/>
    <w:rsid w:val="0026683E"/>
    <w:rsid w:val="00266A60"/>
    <w:rsid w:val="002677C1"/>
    <w:rsid w:val="00267A6D"/>
    <w:rsid w:val="00270883"/>
    <w:rsid w:val="00271446"/>
    <w:rsid w:val="00271FC2"/>
    <w:rsid w:val="00272C04"/>
    <w:rsid w:val="00273204"/>
    <w:rsid w:val="00275423"/>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5993"/>
    <w:rsid w:val="0028632C"/>
    <w:rsid w:val="002864D4"/>
    <w:rsid w:val="0028674A"/>
    <w:rsid w:val="00286C23"/>
    <w:rsid w:val="00286DC8"/>
    <w:rsid w:val="00290C42"/>
    <w:rsid w:val="00291435"/>
    <w:rsid w:val="00291A1A"/>
    <w:rsid w:val="00292786"/>
    <w:rsid w:val="002937C6"/>
    <w:rsid w:val="00293DE5"/>
    <w:rsid w:val="00293E07"/>
    <w:rsid w:val="00295078"/>
    <w:rsid w:val="002950FA"/>
    <w:rsid w:val="00295960"/>
    <w:rsid w:val="00295C72"/>
    <w:rsid w:val="00295D44"/>
    <w:rsid w:val="00295DE7"/>
    <w:rsid w:val="0029609C"/>
    <w:rsid w:val="0029670A"/>
    <w:rsid w:val="00297081"/>
    <w:rsid w:val="0029745A"/>
    <w:rsid w:val="00297AB0"/>
    <w:rsid w:val="002A0448"/>
    <w:rsid w:val="002A28FE"/>
    <w:rsid w:val="002A3A7A"/>
    <w:rsid w:val="002A43B0"/>
    <w:rsid w:val="002A4DA7"/>
    <w:rsid w:val="002A5BC1"/>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824"/>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050B"/>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C33"/>
    <w:rsid w:val="00302FBC"/>
    <w:rsid w:val="00303364"/>
    <w:rsid w:val="00303BC7"/>
    <w:rsid w:val="00303BDC"/>
    <w:rsid w:val="00304058"/>
    <w:rsid w:val="0030529D"/>
    <w:rsid w:val="00305480"/>
    <w:rsid w:val="003060A1"/>
    <w:rsid w:val="00306589"/>
    <w:rsid w:val="00306B09"/>
    <w:rsid w:val="00306D3D"/>
    <w:rsid w:val="0030711C"/>
    <w:rsid w:val="00307186"/>
    <w:rsid w:val="00307275"/>
    <w:rsid w:val="0031046F"/>
    <w:rsid w:val="0031090D"/>
    <w:rsid w:val="003129F4"/>
    <w:rsid w:val="0031395E"/>
    <w:rsid w:val="00313AFB"/>
    <w:rsid w:val="00314023"/>
    <w:rsid w:val="00314587"/>
    <w:rsid w:val="003156AE"/>
    <w:rsid w:val="00315780"/>
    <w:rsid w:val="00315891"/>
    <w:rsid w:val="00316240"/>
    <w:rsid w:val="0031687C"/>
    <w:rsid w:val="003172C3"/>
    <w:rsid w:val="00320B63"/>
    <w:rsid w:val="003211CF"/>
    <w:rsid w:val="0032180D"/>
    <w:rsid w:val="00321D72"/>
    <w:rsid w:val="00321DF2"/>
    <w:rsid w:val="003227E4"/>
    <w:rsid w:val="00322AE2"/>
    <w:rsid w:val="003231A8"/>
    <w:rsid w:val="00323623"/>
    <w:rsid w:val="00323995"/>
    <w:rsid w:val="00323CFF"/>
    <w:rsid w:val="00325874"/>
    <w:rsid w:val="00326AE6"/>
    <w:rsid w:val="00326CA9"/>
    <w:rsid w:val="00326DF2"/>
    <w:rsid w:val="00327357"/>
    <w:rsid w:val="0033030C"/>
    <w:rsid w:val="003324DF"/>
    <w:rsid w:val="00333422"/>
    <w:rsid w:val="003339C3"/>
    <w:rsid w:val="00333C7C"/>
    <w:rsid w:val="003349F4"/>
    <w:rsid w:val="00335047"/>
    <w:rsid w:val="0033544E"/>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1B60"/>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1626"/>
    <w:rsid w:val="003B5CA9"/>
    <w:rsid w:val="003B62A2"/>
    <w:rsid w:val="003B6A7C"/>
    <w:rsid w:val="003B72E9"/>
    <w:rsid w:val="003B7A17"/>
    <w:rsid w:val="003C281B"/>
    <w:rsid w:val="003C375A"/>
    <w:rsid w:val="003C4A72"/>
    <w:rsid w:val="003C4A79"/>
    <w:rsid w:val="003C4C4B"/>
    <w:rsid w:val="003C5222"/>
    <w:rsid w:val="003C5460"/>
    <w:rsid w:val="003C55F5"/>
    <w:rsid w:val="003C58B8"/>
    <w:rsid w:val="003C5A54"/>
    <w:rsid w:val="003C5B34"/>
    <w:rsid w:val="003C5BCA"/>
    <w:rsid w:val="003C62AF"/>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E0A67"/>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4809"/>
    <w:rsid w:val="003F52C2"/>
    <w:rsid w:val="003F58C3"/>
    <w:rsid w:val="003F5CBA"/>
    <w:rsid w:val="003F61FF"/>
    <w:rsid w:val="003F6A1E"/>
    <w:rsid w:val="003F733C"/>
    <w:rsid w:val="003F7346"/>
    <w:rsid w:val="0040233B"/>
    <w:rsid w:val="00402A30"/>
    <w:rsid w:val="004030E3"/>
    <w:rsid w:val="00403FAA"/>
    <w:rsid w:val="00404666"/>
    <w:rsid w:val="004053FB"/>
    <w:rsid w:val="004058AB"/>
    <w:rsid w:val="0040596D"/>
    <w:rsid w:val="00405A99"/>
    <w:rsid w:val="00410650"/>
    <w:rsid w:val="004106C1"/>
    <w:rsid w:val="004116AB"/>
    <w:rsid w:val="004126F7"/>
    <w:rsid w:val="00413FC2"/>
    <w:rsid w:val="004140B9"/>
    <w:rsid w:val="00414AE6"/>
    <w:rsid w:val="00414EE8"/>
    <w:rsid w:val="00416CFB"/>
    <w:rsid w:val="00416E00"/>
    <w:rsid w:val="00417006"/>
    <w:rsid w:val="00417703"/>
    <w:rsid w:val="0042006D"/>
    <w:rsid w:val="0042021B"/>
    <w:rsid w:val="00422A60"/>
    <w:rsid w:val="00422DF8"/>
    <w:rsid w:val="00422FA0"/>
    <w:rsid w:val="0042327C"/>
    <w:rsid w:val="004235DA"/>
    <w:rsid w:val="00423786"/>
    <w:rsid w:val="00423D1D"/>
    <w:rsid w:val="00423EE1"/>
    <w:rsid w:val="00423FC1"/>
    <w:rsid w:val="00424241"/>
    <w:rsid w:val="00425620"/>
    <w:rsid w:val="00425AD4"/>
    <w:rsid w:val="00425EF9"/>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9D7"/>
    <w:rsid w:val="00443FE0"/>
    <w:rsid w:val="004440AC"/>
    <w:rsid w:val="004443A2"/>
    <w:rsid w:val="00444919"/>
    <w:rsid w:val="00445454"/>
    <w:rsid w:val="0044547C"/>
    <w:rsid w:val="00446BB3"/>
    <w:rsid w:val="00446C36"/>
    <w:rsid w:val="004471D2"/>
    <w:rsid w:val="00450182"/>
    <w:rsid w:val="00450869"/>
    <w:rsid w:val="00450C33"/>
    <w:rsid w:val="00450F57"/>
    <w:rsid w:val="00451E4C"/>
    <w:rsid w:val="00451F5B"/>
    <w:rsid w:val="00452122"/>
    <w:rsid w:val="00452AF2"/>
    <w:rsid w:val="00453028"/>
    <w:rsid w:val="00453918"/>
    <w:rsid w:val="004548F3"/>
    <w:rsid w:val="004553D4"/>
    <w:rsid w:val="00455768"/>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63B5"/>
    <w:rsid w:val="00476A24"/>
    <w:rsid w:val="0047775E"/>
    <w:rsid w:val="00481ABD"/>
    <w:rsid w:val="00482683"/>
    <w:rsid w:val="00482731"/>
    <w:rsid w:val="0048286C"/>
    <w:rsid w:val="004832F1"/>
    <w:rsid w:val="00483A0F"/>
    <w:rsid w:val="00484625"/>
    <w:rsid w:val="0048589D"/>
    <w:rsid w:val="004862B4"/>
    <w:rsid w:val="00487218"/>
    <w:rsid w:val="004879E2"/>
    <w:rsid w:val="00487F15"/>
    <w:rsid w:val="0049105B"/>
    <w:rsid w:val="004912A0"/>
    <w:rsid w:val="0049206E"/>
    <w:rsid w:val="004928DE"/>
    <w:rsid w:val="00493E2F"/>
    <w:rsid w:val="0049489B"/>
    <w:rsid w:val="00494CB5"/>
    <w:rsid w:val="004954D8"/>
    <w:rsid w:val="0049576C"/>
    <w:rsid w:val="00495836"/>
    <w:rsid w:val="004967E8"/>
    <w:rsid w:val="004A0812"/>
    <w:rsid w:val="004A0EA8"/>
    <w:rsid w:val="004A14D9"/>
    <w:rsid w:val="004A21F6"/>
    <w:rsid w:val="004A2680"/>
    <w:rsid w:val="004A2E2B"/>
    <w:rsid w:val="004A4608"/>
    <w:rsid w:val="004A4B61"/>
    <w:rsid w:val="004A5E2D"/>
    <w:rsid w:val="004A6E0B"/>
    <w:rsid w:val="004A6EFE"/>
    <w:rsid w:val="004A70A0"/>
    <w:rsid w:val="004A7551"/>
    <w:rsid w:val="004A755A"/>
    <w:rsid w:val="004A79C5"/>
    <w:rsid w:val="004B1858"/>
    <w:rsid w:val="004B1A4B"/>
    <w:rsid w:val="004B2540"/>
    <w:rsid w:val="004B3D11"/>
    <w:rsid w:val="004B455B"/>
    <w:rsid w:val="004B4987"/>
    <w:rsid w:val="004B4A83"/>
    <w:rsid w:val="004B4DC3"/>
    <w:rsid w:val="004B58C3"/>
    <w:rsid w:val="004B675F"/>
    <w:rsid w:val="004B72C5"/>
    <w:rsid w:val="004B790C"/>
    <w:rsid w:val="004B7A1B"/>
    <w:rsid w:val="004C08BF"/>
    <w:rsid w:val="004C223B"/>
    <w:rsid w:val="004C2635"/>
    <w:rsid w:val="004C3804"/>
    <w:rsid w:val="004C3F96"/>
    <w:rsid w:val="004C41D8"/>
    <w:rsid w:val="004C45A2"/>
    <w:rsid w:val="004C56DE"/>
    <w:rsid w:val="004C60E6"/>
    <w:rsid w:val="004C6611"/>
    <w:rsid w:val="004C6C8B"/>
    <w:rsid w:val="004C6CFE"/>
    <w:rsid w:val="004C7629"/>
    <w:rsid w:val="004C7701"/>
    <w:rsid w:val="004C7D5B"/>
    <w:rsid w:val="004D088F"/>
    <w:rsid w:val="004D0A26"/>
    <w:rsid w:val="004D0EE4"/>
    <w:rsid w:val="004D30E1"/>
    <w:rsid w:val="004D35FC"/>
    <w:rsid w:val="004D3F79"/>
    <w:rsid w:val="004D482C"/>
    <w:rsid w:val="004D4B67"/>
    <w:rsid w:val="004D5AC0"/>
    <w:rsid w:val="004D5FEF"/>
    <w:rsid w:val="004D680A"/>
    <w:rsid w:val="004D764F"/>
    <w:rsid w:val="004D7D33"/>
    <w:rsid w:val="004E1EBF"/>
    <w:rsid w:val="004E27AD"/>
    <w:rsid w:val="004E2D51"/>
    <w:rsid w:val="004E37B6"/>
    <w:rsid w:val="004E3AFD"/>
    <w:rsid w:val="004E44D0"/>
    <w:rsid w:val="004E4987"/>
    <w:rsid w:val="004E52D1"/>
    <w:rsid w:val="004E585B"/>
    <w:rsid w:val="004E7A97"/>
    <w:rsid w:val="004F0A75"/>
    <w:rsid w:val="004F0CC9"/>
    <w:rsid w:val="004F12AF"/>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449"/>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59B7"/>
    <w:rsid w:val="00537427"/>
    <w:rsid w:val="005379E3"/>
    <w:rsid w:val="00541397"/>
    <w:rsid w:val="005413A9"/>
    <w:rsid w:val="00541C7E"/>
    <w:rsid w:val="00542386"/>
    <w:rsid w:val="00542D8A"/>
    <w:rsid w:val="00543427"/>
    <w:rsid w:val="00543BF9"/>
    <w:rsid w:val="00544117"/>
    <w:rsid w:val="00544E0A"/>
    <w:rsid w:val="00550CA5"/>
    <w:rsid w:val="00551BA4"/>
    <w:rsid w:val="00552CA7"/>
    <w:rsid w:val="00552D59"/>
    <w:rsid w:val="005530C7"/>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A50"/>
    <w:rsid w:val="00577287"/>
    <w:rsid w:val="00577553"/>
    <w:rsid w:val="005777E0"/>
    <w:rsid w:val="00581562"/>
    <w:rsid w:val="00581575"/>
    <w:rsid w:val="0058269D"/>
    <w:rsid w:val="005827C2"/>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1F3"/>
    <w:rsid w:val="005A7C3F"/>
    <w:rsid w:val="005B00B6"/>
    <w:rsid w:val="005B087C"/>
    <w:rsid w:val="005B0F60"/>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D19E4"/>
    <w:rsid w:val="005D1DF5"/>
    <w:rsid w:val="005D434A"/>
    <w:rsid w:val="005D45A0"/>
    <w:rsid w:val="005D5A01"/>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4C5A"/>
    <w:rsid w:val="00605233"/>
    <w:rsid w:val="006056EF"/>
    <w:rsid w:val="00605A1F"/>
    <w:rsid w:val="00607550"/>
    <w:rsid w:val="00607726"/>
    <w:rsid w:val="006077EB"/>
    <w:rsid w:val="006079C9"/>
    <w:rsid w:val="006100A1"/>
    <w:rsid w:val="006104BE"/>
    <w:rsid w:val="0061110A"/>
    <w:rsid w:val="006112E3"/>
    <w:rsid w:val="00611F9E"/>
    <w:rsid w:val="00613D29"/>
    <w:rsid w:val="006147BF"/>
    <w:rsid w:val="0061488D"/>
    <w:rsid w:val="0061663A"/>
    <w:rsid w:val="00617FEB"/>
    <w:rsid w:val="0062111F"/>
    <w:rsid w:val="00621380"/>
    <w:rsid w:val="00621BE7"/>
    <w:rsid w:val="00621D3A"/>
    <w:rsid w:val="00622C25"/>
    <w:rsid w:val="00623DDC"/>
    <w:rsid w:val="00623EA3"/>
    <w:rsid w:val="00623F42"/>
    <w:rsid w:val="00624169"/>
    <w:rsid w:val="00624BDB"/>
    <w:rsid w:val="00625AFD"/>
    <w:rsid w:val="00625E1B"/>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BB7"/>
    <w:rsid w:val="00643D6C"/>
    <w:rsid w:val="006443ED"/>
    <w:rsid w:val="006445D2"/>
    <w:rsid w:val="00645887"/>
    <w:rsid w:val="0064661F"/>
    <w:rsid w:val="00647094"/>
    <w:rsid w:val="006505D9"/>
    <w:rsid w:val="00650880"/>
    <w:rsid w:val="00650D78"/>
    <w:rsid w:val="00653030"/>
    <w:rsid w:val="00653B10"/>
    <w:rsid w:val="0065578F"/>
    <w:rsid w:val="00655A5C"/>
    <w:rsid w:val="00655B83"/>
    <w:rsid w:val="00655F33"/>
    <w:rsid w:val="00656AB0"/>
    <w:rsid w:val="00656C59"/>
    <w:rsid w:val="006578C2"/>
    <w:rsid w:val="00661AC2"/>
    <w:rsid w:val="00661B36"/>
    <w:rsid w:val="00663207"/>
    <w:rsid w:val="00663F26"/>
    <w:rsid w:val="00666655"/>
    <w:rsid w:val="00666C54"/>
    <w:rsid w:val="00667C8B"/>
    <w:rsid w:val="00667D3E"/>
    <w:rsid w:val="00672C9C"/>
    <w:rsid w:val="006742F8"/>
    <w:rsid w:val="006747B5"/>
    <w:rsid w:val="00675974"/>
    <w:rsid w:val="00676566"/>
    <w:rsid w:val="00676971"/>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237"/>
    <w:rsid w:val="00690415"/>
    <w:rsid w:val="00691811"/>
    <w:rsid w:val="0069195B"/>
    <w:rsid w:val="0069305F"/>
    <w:rsid w:val="006935AE"/>
    <w:rsid w:val="006937F3"/>
    <w:rsid w:val="00694CB5"/>
    <w:rsid w:val="006954F2"/>
    <w:rsid w:val="006957B8"/>
    <w:rsid w:val="00697E9E"/>
    <w:rsid w:val="006A03CD"/>
    <w:rsid w:val="006A06FE"/>
    <w:rsid w:val="006A3BCF"/>
    <w:rsid w:val="006A42D4"/>
    <w:rsid w:val="006A48CE"/>
    <w:rsid w:val="006A4E98"/>
    <w:rsid w:val="006A505E"/>
    <w:rsid w:val="006A737B"/>
    <w:rsid w:val="006A74E5"/>
    <w:rsid w:val="006A77F3"/>
    <w:rsid w:val="006A7829"/>
    <w:rsid w:val="006A7D53"/>
    <w:rsid w:val="006B1BF1"/>
    <w:rsid w:val="006B2A9B"/>
    <w:rsid w:val="006B2BA6"/>
    <w:rsid w:val="006B3762"/>
    <w:rsid w:val="006B3C97"/>
    <w:rsid w:val="006B3E26"/>
    <w:rsid w:val="006B432D"/>
    <w:rsid w:val="006B4844"/>
    <w:rsid w:val="006B497B"/>
    <w:rsid w:val="006B4A50"/>
    <w:rsid w:val="006B4B65"/>
    <w:rsid w:val="006B537E"/>
    <w:rsid w:val="006B7AA1"/>
    <w:rsid w:val="006C1330"/>
    <w:rsid w:val="006C1711"/>
    <w:rsid w:val="006C24A5"/>
    <w:rsid w:val="006C24CD"/>
    <w:rsid w:val="006C3292"/>
    <w:rsid w:val="006C3801"/>
    <w:rsid w:val="006C5172"/>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13E8"/>
    <w:rsid w:val="006E1421"/>
    <w:rsid w:val="006E2585"/>
    <w:rsid w:val="006E2EDE"/>
    <w:rsid w:val="006E307D"/>
    <w:rsid w:val="006E34B6"/>
    <w:rsid w:val="006E3ED4"/>
    <w:rsid w:val="006E51B1"/>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B3E"/>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CEA"/>
    <w:rsid w:val="00735DCB"/>
    <w:rsid w:val="00736C06"/>
    <w:rsid w:val="007401BB"/>
    <w:rsid w:val="00740BCB"/>
    <w:rsid w:val="00740E5C"/>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E29"/>
    <w:rsid w:val="0077107A"/>
    <w:rsid w:val="007710A6"/>
    <w:rsid w:val="007714A8"/>
    <w:rsid w:val="00771B98"/>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75D"/>
    <w:rsid w:val="00787DB5"/>
    <w:rsid w:val="0079039F"/>
    <w:rsid w:val="0079298A"/>
    <w:rsid w:val="00793368"/>
    <w:rsid w:val="0079361A"/>
    <w:rsid w:val="00793A7B"/>
    <w:rsid w:val="00794261"/>
    <w:rsid w:val="00794305"/>
    <w:rsid w:val="00794323"/>
    <w:rsid w:val="00795180"/>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1F95"/>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71E1"/>
    <w:rsid w:val="007D7334"/>
    <w:rsid w:val="007D7513"/>
    <w:rsid w:val="007D7BC8"/>
    <w:rsid w:val="007E07A7"/>
    <w:rsid w:val="007E16B7"/>
    <w:rsid w:val="007E24F8"/>
    <w:rsid w:val="007E2D8C"/>
    <w:rsid w:val="007E3963"/>
    <w:rsid w:val="007E5467"/>
    <w:rsid w:val="007E5CB2"/>
    <w:rsid w:val="007E64E0"/>
    <w:rsid w:val="007E6704"/>
    <w:rsid w:val="007E6A21"/>
    <w:rsid w:val="007E75D0"/>
    <w:rsid w:val="007F0999"/>
    <w:rsid w:val="007F18A3"/>
    <w:rsid w:val="007F18DF"/>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52B"/>
    <w:rsid w:val="0080157D"/>
    <w:rsid w:val="00801983"/>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17DB4"/>
    <w:rsid w:val="008207CA"/>
    <w:rsid w:val="008223A5"/>
    <w:rsid w:val="008225FA"/>
    <w:rsid w:val="008228A2"/>
    <w:rsid w:val="008235DE"/>
    <w:rsid w:val="008246C9"/>
    <w:rsid w:val="00824873"/>
    <w:rsid w:val="008254D3"/>
    <w:rsid w:val="00825CA4"/>
    <w:rsid w:val="00826018"/>
    <w:rsid w:val="0082641D"/>
    <w:rsid w:val="008266BC"/>
    <w:rsid w:val="008270B2"/>
    <w:rsid w:val="00830000"/>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3C76"/>
    <w:rsid w:val="00874685"/>
    <w:rsid w:val="00874DC9"/>
    <w:rsid w:val="0087561C"/>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2BC2"/>
    <w:rsid w:val="008B36C5"/>
    <w:rsid w:val="008B542E"/>
    <w:rsid w:val="008B590E"/>
    <w:rsid w:val="008B5BE2"/>
    <w:rsid w:val="008B5C38"/>
    <w:rsid w:val="008B6E93"/>
    <w:rsid w:val="008B7691"/>
    <w:rsid w:val="008C04B3"/>
    <w:rsid w:val="008C0694"/>
    <w:rsid w:val="008C06D5"/>
    <w:rsid w:val="008C1208"/>
    <w:rsid w:val="008C3158"/>
    <w:rsid w:val="008C3963"/>
    <w:rsid w:val="008C4415"/>
    <w:rsid w:val="008C48D5"/>
    <w:rsid w:val="008C4CFE"/>
    <w:rsid w:val="008D033C"/>
    <w:rsid w:val="008D0725"/>
    <w:rsid w:val="008D0B33"/>
    <w:rsid w:val="008D0B48"/>
    <w:rsid w:val="008D0D25"/>
    <w:rsid w:val="008D1526"/>
    <w:rsid w:val="008D2273"/>
    <w:rsid w:val="008D38EE"/>
    <w:rsid w:val="008D4B2A"/>
    <w:rsid w:val="008D70C5"/>
    <w:rsid w:val="008D70ED"/>
    <w:rsid w:val="008D75E7"/>
    <w:rsid w:val="008D7BFC"/>
    <w:rsid w:val="008E0791"/>
    <w:rsid w:val="008E094D"/>
    <w:rsid w:val="008E0D06"/>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444"/>
    <w:rsid w:val="00917B8D"/>
    <w:rsid w:val="00917EB1"/>
    <w:rsid w:val="00920FA5"/>
    <w:rsid w:val="00921109"/>
    <w:rsid w:val="00921436"/>
    <w:rsid w:val="009224C5"/>
    <w:rsid w:val="009233BF"/>
    <w:rsid w:val="00923433"/>
    <w:rsid w:val="00923961"/>
    <w:rsid w:val="009239BB"/>
    <w:rsid w:val="00923BD9"/>
    <w:rsid w:val="0092433B"/>
    <w:rsid w:val="00925CD5"/>
    <w:rsid w:val="00926B57"/>
    <w:rsid w:val="009305F2"/>
    <w:rsid w:val="00930F79"/>
    <w:rsid w:val="0093143C"/>
    <w:rsid w:val="00931559"/>
    <w:rsid w:val="00931A26"/>
    <w:rsid w:val="00931EE5"/>
    <w:rsid w:val="00931EF0"/>
    <w:rsid w:val="00931F85"/>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16A"/>
    <w:rsid w:val="0094486F"/>
    <w:rsid w:val="00944A83"/>
    <w:rsid w:val="00944CA2"/>
    <w:rsid w:val="009458C7"/>
    <w:rsid w:val="0094714C"/>
    <w:rsid w:val="009472B3"/>
    <w:rsid w:val="00947905"/>
    <w:rsid w:val="00947F35"/>
    <w:rsid w:val="009500DD"/>
    <w:rsid w:val="00950A22"/>
    <w:rsid w:val="00951598"/>
    <w:rsid w:val="00952919"/>
    <w:rsid w:val="00953DE8"/>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060F"/>
    <w:rsid w:val="00971134"/>
    <w:rsid w:val="00971434"/>
    <w:rsid w:val="009737A5"/>
    <w:rsid w:val="00974437"/>
    <w:rsid w:val="00974C3A"/>
    <w:rsid w:val="009752BA"/>
    <w:rsid w:val="00975A2A"/>
    <w:rsid w:val="00975D23"/>
    <w:rsid w:val="00975EB9"/>
    <w:rsid w:val="009763B8"/>
    <w:rsid w:val="00976A12"/>
    <w:rsid w:val="00977454"/>
    <w:rsid w:val="009775C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3B2"/>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F4C"/>
    <w:rsid w:val="009B6C33"/>
    <w:rsid w:val="009B6C5A"/>
    <w:rsid w:val="009B6EF8"/>
    <w:rsid w:val="009B7B7A"/>
    <w:rsid w:val="009C08D5"/>
    <w:rsid w:val="009C16A5"/>
    <w:rsid w:val="009C2C5F"/>
    <w:rsid w:val="009C3731"/>
    <w:rsid w:val="009C4DB2"/>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3"/>
    <w:rsid w:val="009E2235"/>
    <w:rsid w:val="009E240F"/>
    <w:rsid w:val="009E25E5"/>
    <w:rsid w:val="009E2747"/>
    <w:rsid w:val="009E2EEE"/>
    <w:rsid w:val="009E30D5"/>
    <w:rsid w:val="009E32EE"/>
    <w:rsid w:val="009E4D74"/>
    <w:rsid w:val="009E5076"/>
    <w:rsid w:val="009E55C6"/>
    <w:rsid w:val="009E68BB"/>
    <w:rsid w:val="009E7036"/>
    <w:rsid w:val="009E7593"/>
    <w:rsid w:val="009F07F4"/>
    <w:rsid w:val="009F11E8"/>
    <w:rsid w:val="009F19E6"/>
    <w:rsid w:val="009F1F2E"/>
    <w:rsid w:val="009F1F62"/>
    <w:rsid w:val="009F3947"/>
    <w:rsid w:val="009F4D23"/>
    <w:rsid w:val="009F5C19"/>
    <w:rsid w:val="009F68BF"/>
    <w:rsid w:val="009F69BA"/>
    <w:rsid w:val="009F6E82"/>
    <w:rsid w:val="009F704F"/>
    <w:rsid w:val="00A00110"/>
    <w:rsid w:val="00A00BC6"/>
    <w:rsid w:val="00A00F82"/>
    <w:rsid w:val="00A014EE"/>
    <w:rsid w:val="00A01821"/>
    <w:rsid w:val="00A0225D"/>
    <w:rsid w:val="00A037CB"/>
    <w:rsid w:val="00A03D0E"/>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2"/>
    <w:rsid w:val="00A36ED5"/>
    <w:rsid w:val="00A376FD"/>
    <w:rsid w:val="00A41054"/>
    <w:rsid w:val="00A415DB"/>
    <w:rsid w:val="00A4197A"/>
    <w:rsid w:val="00A41E44"/>
    <w:rsid w:val="00A42D27"/>
    <w:rsid w:val="00A43472"/>
    <w:rsid w:val="00A43B64"/>
    <w:rsid w:val="00A45F9E"/>
    <w:rsid w:val="00A4679F"/>
    <w:rsid w:val="00A47246"/>
    <w:rsid w:val="00A47AE2"/>
    <w:rsid w:val="00A47C9E"/>
    <w:rsid w:val="00A50C74"/>
    <w:rsid w:val="00A51357"/>
    <w:rsid w:val="00A51D2C"/>
    <w:rsid w:val="00A52589"/>
    <w:rsid w:val="00A52C18"/>
    <w:rsid w:val="00A536A0"/>
    <w:rsid w:val="00A53CB1"/>
    <w:rsid w:val="00A5404F"/>
    <w:rsid w:val="00A55D42"/>
    <w:rsid w:val="00A55E21"/>
    <w:rsid w:val="00A57AFC"/>
    <w:rsid w:val="00A6004F"/>
    <w:rsid w:val="00A6220A"/>
    <w:rsid w:val="00A62E6F"/>
    <w:rsid w:val="00A64A07"/>
    <w:rsid w:val="00A650DC"/>
    <w:rsid w:val="00A654F7"/>
    <w:rsid w:val="00A66299"/>
    <w:rsid w:val="00A67754"/>
    <w:rsid w:val="00A67ED9"/>
    <w:rsid w:val="00A70AD3"/>
    <w:rsid w:val="00A717E4"/>
    <w:rsid w:val="00A72EE6"/>
    <w:rsid w:val="00A744CF"/>
    <w:rsid w:val="00A757D4"/>
    <w:rsid w:val="00A7641B"/>
    <w:rsid w:val="00A767EF"/>
    <w:rsid w:val="00A76FB1"/>
    <w:rsid w:val="00A77111"/>
    <w:rsid w:val="00A81037"/>
    <w:rsid w:val="00A81140"/>
    <w:rsid w:val="00A81C19"/>
    <w:rsid w:val="00A82448"/>
    <w:rsid w:val="00A85136"/>
    <w:rsid w:val="00A8620C"/>
    <w:rsid w:val="00A8711C"/>
    <w:rsid w:val="00A87832"/>
    <w:rsid w:val="00A900E2"/>
    <w:rsid w:val="00A90703"/>
    <w:rsid w:val="00A917E6"/>
    <w:rsid w:val="00A91A65"/>
    <w:rsid w:val="00A92027"/>
    <w:rsid w:val="00A930E9"/>
    <w:rsid w:val="00A933EF"/>
    <w:rsid w:val="00A93B3D"/>
    <w:rsid w:val="00A93EA3"/>
    <w:rsid w:val="00A94713"/>
    <w:rsid w:val="00A949F0"/>
    <w:rsid w:val="00A9541D"/>
    <w:rsid w:val="00A95947"/>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B1362"/>
    <w:rsid w:val="00AB260F"/>
    <w:rsid w:val="00AB34DB"/>
    <w:rsid w:val="00AB3F5E"/>
    <w:rsid w:val="00AB4396"/>
    <w:rsid w:val="00AB6036"/>
    <w:rsid w:val="00AB61CC"/>
    <w:rsid w:val="00AB66F0"/>
    <w:rsid w:val="00AB7491"/>
    <w:rsid w:val="00AB7DB9"/>
    <w:rsid w:val="00AC161D"/>
    <w:rsid w:val="00AC17F2"/>
    <w:rsid w:val="00AC20D8"/>
    <w:rsid w:val="00AC2D4B"/>
    <w:rsid w:val="00AC3EA4"/>
    <w:rsid w:val="00AC3EC5"/>
    <w:rsid w:val="00AC46E5"/>
    <w:rsid w:val="00AC5B93"/>
    <w:rsid w:val="00AC6E31"/>
    <w:rsid w:val="00AC6FA3"/>
    <w:rsid w:val="00AC74AC"/>
    <w:rsid w:val="00AC7ABC"/>
    <w:rsid w:val="00AD1C3D"/>
    <w:rsid w:val="00AD1D3D"/>
    <w:rsid w:val="00AD2277"/>
    <w:rsid w:val="00AD4C27"/>
    <w:rsid w:val="00AD5C04"/>
    <w:rsid w:val="00AE013D"/>
    <w:rsid w:val="00AE125E"/>
    <w:rsid w:val="00AE1D9E"/>
    <w:rsid w:val="00AE27DE"/>
    <w:rsid w:val="00AE34E5"/>
    <w:rsid w:val="00AE4286"/>
    <w:rsid w:val="00AE45EA"/>
    <w:rsid w:val="00AE4831"/>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28CF"/>
    <w:rsid w:val="00B03459"/>
    <w:rsid w:val="00B03CE2"/>
    <w:rsid w:val="00B04842"/>
    <w:rsid w:val="00B05E33"/>
    <w:rsid w:val="00B06BA1"/>
    <w:rsid w:val="00B10802"/>
    <w:rsid w:val="00B11A30"/>
    <w:rsid w:val="00B11E6A"/>
    <w:rsid w:val="00B125CC"/>
    <w:rsid w:val="00B12A58"/>
    <w:rsid w:val="00B13EF8"/>
    <w:rsid w:val="00B13F95"/>
    <w:rsid w:val="00B14987"/>
    <w:rsid w:val="00B1522A"/>
    <w:rsid w:val="00B153AD"/>
    <w:rsid w:val="00B158C6"/>
    <w:rsid w:val="00B15C4F"/>
    <w:rsid w:val="00B169F5"/>
    <w:rsid w:val="00B16FF2"/>
    <w:rsid w:val="00B172A1"/>
    <w:rsid w:val="00B17704"/>
    <w:rsid w:val="00B17A5B"/>
    <w:rsid w:val="00B21982"/>
    <w:rsid w:val="00B21F2B"/>
    <w:rsid w:val="00B2362A"/>
    <w:rsid w:val="00B25866"/>
    <w:rsid w:val="00B25A6F"/>
    <w:rsid w:val="00B25BC6"/>
    <w:rsid w:val="00B270F3"/>
    <w:rsid w:val="00B30948"/>
    <w:rsid w:val="00B316E2"/>
    <w:rsid w:val="00B322FC"/>
    <w:rsid w:val="00B33A9A"/>
    <w:rsid w:val="00B33C2F"/>
    <w:rsid w:val="00B33FE3"/>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4573"/>
    <w:rsid w:val="00B75466"/>
    <w:rsid w:val="00B76233"/>
    <w:rsid w:val="00B76358"/>
    <w:rsid w:val="00B778AA"/>
    <w:rsid w:val="00B81C55"/>
    <w:rsid w:val="00B81F66"/>
    <w:rsid w:val="00B82000"/>
    <w:rsid w:val="00B82E36"/>
    <w:rsid w:val="00B84265"/>
    <w:rsid w:val="00B8497B"/>
    <w:rsid w:val="00B850B4"/>
    <w:rsid w:val="00B85D36"/>
    <w:rsid w:val="00B86A4A"/>
    <w:rsid w:val="00B86DC2"/>
    <w:rsid w:val="00B86E05"/>
    <w:rsid w:val="00B90397"/>
    <w:rsid w:val="00B90CBE"/>
    <w:rsid w:val="00B91560"/>
    <w:rsid w:val="00B91A02"/>
    <w:rsid w:val="00B91B4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32C"/>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083"/>
    <w:rsid w:val="00BF42CF"/>
    <w:rsid w:val="00BF469C"/>
    <w:rsid w:val="00BF558C"/>
    <w:rsid w:val="00BF685A"/>
    <w:rsid w:val="00BF6B39"/>
    <w:rsid w:val="00C0076A"/>
    <w:rsid w:val="00C0130F"/>
    <w:rsid w:val="00C0132E"/>
    <w:rsid w:val="00C0590E"/>
    <w:rsid w:val="00C05950"/>
    <w:rsid w:val="00C06929"/>
    <w:rsid w:val="00C06EF4"/>
    <w:rsid w:val="00C06F36"/>
    <w:rsid w:val="00C07899"/>
    <w:rsid w:val="00C07FA9"/>
    <w:rsid w:val="00C10AEE"/>
    <w:rsid w:val="00C10DD6"/>
    <w:rsid w:val="00C10DEC"/>
    <w:rsid w:val="00C1122F"/>
    <w:rsid w:val="00C11F89"/>
    <w:rsid w:val="00C120C6"/>
    <w:rsid w:val="00C12C0F"/>
    <w:rsid w:val="00C134E5"/>
    <w:rsid w:val="00C13832"/>
    <w:rsid w:val="00C1424D"/>
    <w:rsid w:val="00C143AE"/>
    <w:rsid w:val="00C15931"/>
    <w:rsid w:val="00C16490"/>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479E"/>
    <w:rsid w:val="00C34A6D"/>
    <w:rsid w:val="00C3500A"/>
    <w:rsid w:val="00C36DF2"/>
    <w:rsid w:val="00C400E5"/>
    <w:rsid w:val="00C405DD"/>
    <w:rsid w:val="00C41140"/>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6FEF"/>
    <w:rsid w:val="00C673D1"/>
    <w:rsid w:val="00C71059"/>
    <w:rsid w:val="00C716E5"/>
    <w:rsid w:val="00C7186E"/>
    <w:rsid w:val="00C71A66"/>
    <w:rsid w:val="00C71FD4"/>
    <w:rsid w:val="00C731DC"/>
    <w:rsid w:val="00C7372B"/>
    <w:rsid w:val="00C73907"/>
    <w:rsid w:val="00C748A4"/>
    <w:rsid w:val="00C74C5A"/>
    <w:rsid w:val="00C76800"/>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23C"/>
    <w:rsid w:val="00CA7476"/>
    <w:rsid w:val="00CA7C1E"/>
    <w:rsid w:val="00CA7FE3"/>
    <w:rsid w:val="00CB0565"/>
    <w:rsid w:val="00CB1D5A"/>
    <w:rsid w:val="00CB2A57"/>
    <w:rsid w:val="00CB2B65"/>
    <w:rsid w:val="00CB57FD"/>
    <w:rsid w:val="00CB63FB"/>
    <w:rsid w:val="00CB6D69"/>
    <w:rsid w:val="00CB6E8B"/>
    <w:rsid w:val="00CB703A"/>
    <w:rsid w:val="00CB7E67"/>
    <w:rsid w:val="00CC0AF7"/>
    <w:rsid w:val="00CC0C5D"/>
    <w:rsid w:val="00CC0EE1"/>
    <w:rsid w:val="00CC18AB"/>
    <w:rsid w:val="00CC22DD"/>
    <w:rsid w:val="00CC2646"/>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707C"/>
    <w:rsid w:val="00CD737C"/>
    <w:rsid w:val="00CD7BC3"/>
    <w:rsid w:val="00CD7C2E"/>
    <w:rsid w:val="00CD7C46"/>
    <w:rsid w:val="00CD7DA9"/>
    <w:rsid w:val="00CD7E25"/>
    <w:rsid w:val="00CE05D4"/>
    <w:rsid w:val="00CE0EE6"/>
    <w:rsid w:val="00CE1503"/>
    <w:rsid w:val="00CE1592"/>
    <w:rsid w:val="00CE21A0"/>
    <w:rsid w:val="00CE234D"/>
    <w:rsid w:val="00CE40D0"/>
    <w:rsid w:val="00CE4301"/>
    <w:rsid w:val="00CE468E"/>
    <w:rsid w:val="00CE46FC"/>
    <w:rsid w:val="00CE481E"/>
    <w:rsid w:val="00CE4AA8"/>
    <w:rsid w:val="00CE515F"/>
    <w:rsid w:val="00CE657B"/>
    <w:rsid w:val="00CF214D"/>
    <w:rsid w:val="00CF3292"/>
    <w:rsid w:val="00CF3A3D"/>
    <w:rsid w:val="00CF58CF"/>
    <w:rsid w:val="00CF5EC5"/>
    <w:rsid w:val="00CF61C7"/>
    <w:rsid w:val="00CF67F8"/>
    <w:rsid w:val="00CF6971"/>
    <w:rsid w:val="00CF6B0F"/>
    <w:rsid w:val="00CF78DB"/>
    <w:rsid w:val="00CF7D1F"/>
    <w:rsid w:val="00D01525"/>
    <w:rsid w:val="00D01CEF"/>
    <w:rsid w:val="00D01EDC"/>
    <w:rsid w:val="00D0248E"/>
    <w:rsid w:val="00D027E3"/>
    <w:rsid w:val="00D035FA"/>
    <w:rsid w:val="00D03E56"/>
    <w:rsid w:val="00D049A0"/>
    <w:rsid w:val="00D07F0D"/>
    <w:rsid w:val="00D11533"/>
    <w:rsid w:val="00D115DE"/>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378"/>
    <w:rsid w:val="00D53645"/>
    <w:rsid w:val="00D53E41"/>
    <w:rsid w:val="00D547F7"/>
    <w:rsid w:val="00D553E6"/>
    <w:rsid w:val="00D562E7"/>
    <w:rsid w:val="00D567B8"/>
    <w:rsid w:val="00D5723A"/>
    <w:rsid w:val="00D61B15"/>
    <w:rsid w:val="00D620B3"/>
    <w:rsid w:val="00D63904"/>
    <w:rsid w:val="00D64514"/>
    <w:rsid w:val="00D649B8"/>
    <w:rsid w:val="00D64A87"/>
    <w:rsid w:val="00D65DA3"/>
    <w:rsid w:val="00D666F3"/>
    <w:rsid w:val="00D66740"/>
    <w:rsid w:val="00D66BAE"/>
    <w:rsid w:val="00D66BD4"/>
    <w:rsid w:val="00D66FEB"/>
    <w:rsid w:val="00D7015C"/>
    <w:rsid w:val="00D70B6F"/>
    <w:rsid w:val="00D71102"/>
    <w:rsid w:val="00D71585"/>
    <w:rsid w:val="00D72B26"/>
    <w:rsid w:val="00D7492A"/>
    <w:rsid w:val="00D75214"/>
    <w:rsid w:val="00D756D5"/>
    <w:rsid w:val="00D75922"/>
    <w:rsid w:val="00D77B71"/>
    <w:rsid w:val="00D804E1"/>
    <w:rsid w:val="00D83994"/>
    <w:rsid w:val="00D83CE5"/>
    <w:rsid w:val="00D8465C"/>
    <w:rsid w:val="00D85008"/>
    <w:rsid w:val="00D85298"/>
    <w:rsid w:val="00D87A49"/>
    <w:rsid w:val="00D90475"/>
    <w:rsid w:val="00D90BBF"/>
    <w:rsid w:val="00D9148A"/>
    <w:rsid w:val="00D91C33"/>
    <w:rsid w:val="00D91FB9"/>
    <w:rsid w:val="00D922F3"/>
    <w:rsid w:val="00D92D94"/>
    <w:rsid w:val="00D943C5"/>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450"/>
    <w:rsid w:val="00DA299A"/>
    <w:rsid w:val="00DA31C0"/>
    <w:rsid w:val="00DA3DBD"/>
    <w:rsid w:val="00DA4C11"/>
    <w:rsid w:val="00DA5781"/>
    <w:rsid w:val="00DA63C9"/>
    <w:rsid w:val="00DA6B83"/>
    <w:rsid w:val="00DA6E68"/>
    <w:rsid w:val="00DB143B"/>
    <w:rsid w:val="00DB19E6"/>
    <w:rsid w:val="00DB25BC"/>
    <w:rsid w:val="00DB2606"/>
    <w:rsid w:val="00DB26C3"/>
    <w:rsid w:val="00DB5812"/>
    <w:rsid w:val="00DB5868"/>
    <w:rsid w:val="00DB63A2"/>
    <w:rsid w:val="00DB7162"/>
    <w:rsid w:val="00DB7452"/>
    <w:rsid w:val="00DB7C2A"/>
    <w:rsid w:val="00DC0197"/>
    <w:rsid w:val="00DC057B"/>
    <w:rsid w:val="00DC0595"/>
    <w:rsid w:val="00DC10E2"/>
    <w:rsid w:val="00DC215D"/>
    <w:rsid w:val="00DC241A"/>
    <w:rsid w:val="00DC2975"/>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7D8"/>
    <w:rsid w:val="00DD6C50"/>
    <w:rsid w:val="00DD747F"/>
    <w:rsid w:val="00DE015D"/>
    <w:rsid w:val="00DE03DC"/>
    <w:rsid w:val="00DE0BC1"/>
    <w:rsid w:val="00DE1D18"/>
    <w:rsid w:val="00DE23D2"/>
    <w:rsid w:val="00DE37CF"/>
    <w:rsid w:val="00DE3D5F"/>
    <w:rsid w:val="00DE3FBD"/>
    <w:rsid w:val="00DE43AE"/>
    <w:rsid w:val="00DE4508"/>
    <w:rsid w:val="00DE5725"/>
    <w:rsid w:val="00DE5D2B"/>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6D29"/>
    <w:rsid w:val="00DF76A4"/>
    <w:rsid w:val="00E00BFD"/>
    <w:rsid w:val="00E01862"/>
    <w:rsid w:val="00E0197E"/>
    <w:rsid w:val="00E020A1"/>
    <w:rsid w:val="00E023C9"/>
    <w:rsid w:val="00E02A38"/>
    <w:rsid w:val="00E02B90"/>
    <w:rsid w:val="00E02C5A"/>
    <w:rsid w:val="00E03758"/>
    <w:rsid w:val="00E04B3C"/>
    <w:rsid w:val="00E055D6"/>
    <w:rsid w:val="00E05C70"/>
    <w:rsid w:val="00E05C8E"/>
    <w:rsid w:val="00E05DED"/>
    <w:rsid w:val="00E06941"/>
    <w:rsid w:val="00E06C29"/>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4361"/>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50233"/>
    <w:rsid w:val="00E523EB"/>
    <w:rsid w:val="00E52878"/>
    <w:rsid w:val="00E5288E"/>
    <w:rsid w:val="00E52A5F"/>
    <w:rsid w:val="00E53A19"/>
    <w:rsid w:val="00E5452C"/>
    <w:rsid w:val="00E54E16"/>
    <w:rsid w:val="00E54F16"/>
    <w:rsid w:val="00E5532F"/>
    <w:rsid w:val="00E55E95"/>
    <w:rsid w:val="00E56BC5"/>
    <w:rsid w:val="00E56D08"/>
    <w:rsid w:val="00E56D19"/>
    <w:rsid w:val="00E56E0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030"/>
    <w:rsid w:val="00E905A0"/>
    <w:rsid w:val="00E906D5"/>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6FB7"/>
    <w:rsid w:val="00EA713A"/>
    <w:rsid w:val="00EB1551"/>
    <w:rsid w:val="00EB1938"/>
    <w:rsid w:val="00EB1965"/>
    <w:rsid w:val="00EB1A69"/>
    <w:rsid w:val="00EB23EF"/>
    <w:rsid w:val="00EB29D3"/>
    <w:rsid w:val="00EB32A5"/>
    <w:rsid w:val="00EB39EF"/>
    <w:rsid w:val="00EB3BC7"/>
    <w:rsid w:val="00EB3E96"/>
    <w:rsid w:val="00EB4AF6"/>
    <w:rsid w:val="00EB4B80"/>
    <w:rsid w:val="00EB57EC"/>
    <w:rsid w:val="00EB5BD5"/>
    <w:rsid w:val="00EB648C"/>
    <w:rsid w:val="00EC0103"/>
    <w:rsid w:val="00EC088B"/>
    <w:rsid w:val="00EC35B4"/>
    <w:rsid w:val="00EC3643"/>
    <w:rsid w:val="00EC3B42"/>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0F0"/>
    <w:rsid w:val="00EE2C63"/>
    <w:rsid w:val="00EE3DDA"/>
    <w:rsid w:val="00EE4D23"/>
    <w:rsid w:val="00EE5B01"/>
    <w:rsid w:val="00EE5DF3"/>
    <w:rsid w:val="00EE6B49"/>
    <w:rsid w:val="00EF00D9"/>
    <w:rsid w:val="00EF079E"/>
    <w:rsid w:val="00EF07E6"/>
    <w:rsid w:val="00EF0E89"/>
    <w:rsid w:val="00EF35FA"/>
    <w:rsid w:val="00EF3FA7"/>
    <w:rsid w:val="00EF4435"/>
    <w:rsid w:val="00EF507D"/>
    <w:rsid w:val="00EF6CD1"/>
    <w:rsid w:val="00EF6D71"/>
    <w:rsid w:val="00F00223"/>
    <w:rsid w:val="00F00AB6"/>
    <w:rsid w:val="00F00CD5"/>
    <w:rsid w:val="00F00D29"/>
    <w:rsid w:val="00F00FF2"/>
    <w:rsid w:val="00F01081"/>
    <w:rsid w:val="00F01C7E"/>
    <w:rsid w:val="00F02049"/>
    <w:rsid w:val="00F0338A"/>
    <w:rsid w:val="00F0358A"/>
    <w:rsid w:val="00F0373D"/>
    <w:rsid w:val="00F03747"/>
    <w:rsid w:val="00F03AFC"/>
    <w:rsid w:val="00F041CF"/>
    <w:rsid w:val="00F04F66"/>
    <w:rsid w:val="00F051BB"/>
    <w:rsid w:val="00F05283"/>
    <w:rsid w:val="00F05DBF"/>
    <w:rsid w:val="00F05E09"/>
    <w:rsid w:val="00F06568"/>
    <w:rsid w:val="00F069F1"/>
    <w:rsid w:val="00F07D38"/>
    <w:rsid w:val="00F11950"/>
    <w:rsid w:val="00F11AAF"/>
    <w:rsid w:val="00F12A0E"/>
    <w:rsid w:val="00F134AC"/>
    <w:rsid w:val="00F13EA4"/>
    <w:rsid w:val="00F16720"/>
    <w:rsid w:val="00F167DA"/>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DC3"/>
    <w:rsid w:val="00F300EF"/>
    <w:rsid w:val="00F301C6"/>
    <w:rsid w:val="00F30A35"/>
    <w:rsid w:val="00F30F7B"/>
    <w:rsid w:val="00F322EA"/>
    <w:rsid w:val="00F32BCB"/>
    <w:rsid w:val="00F3329C"/>
    <w:rsid w:val="00F35F1D"/>
    <w:rsid w:val="00F36631"/>
    <w:rsid w:val="00F3676C"/>
    <w:rsid w:val="00F37C44"/>
    <w:rsid w:val="00F37F40"/>
    <w:rsid w:val="00F403FD"/>
    <w:rsid w:val="00F41380"/>
    <w:rsid w:val="00F414B3"/>
    <w:rsid w:val="00F419EE"/>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EB7"/>
    <w:rsid w:val="00F92058"/>
    <w:rsid w:val="00F923A7"/>
    <w:rsid w:val="00F93A92"/>
    <w:rsid w:val="00F944D7"/>
    <w:rsid w:val="00F97F78"/>
    <w:rsid w:val="00FA17C7"/>
    <w:rsid w:val="00FA2526"/>
    <w:rsid w:val="00FA43A4"/>
    <w:rsid w:val="00FA499D"/>
    <w:rsid w:val="00FA5129"/>
    <w:rsid w:val="00FA62D8"/>
    <w:rsid w:val="00FA6732"/>
    <w:rsid w:val="00FA7275"/>
    <w:rsid w:val="00FA7B5A"/>
    <w:rsid w:val="00FA7FCA"/>
    <w:rsid w:val="00FA7FF8"/>
    <w:rsid w:val="00FB1D01"/>
    <w:rsid w:val="00FB1D39"/>
    <w:rsid w:val="00FB3A38"/>
    <w:rsid w:val="00FB48D6"/>
    <w:rsid w:val="00FB52E0"/>
    <w:rsid w:val="00FB53E4"/>
    <w:rsid w:val="00FB59B6"/>
    <w:rsid w:val="00FB75C0"/>
    <w:rsid w:val="00FC02EA"/>
    <w:rsid w:val="00FC12AD"/>
    <w:rsid w:val="00FC17E0"/>
    <w:rsid w:val="00FC21B4"/>
    <w:rsid w:val="00FC3122"/>
    <w:rsid w:val="00FC3695"/>
    <w:rsid w:val="00FC43ED"/>
    <w:rsid w:val="00FC479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383A"/>
    <w:rsid w:val="00FD4228"/>
    <w:rsid w:val="00FD45A6"/>
    <w:rsid w:val="00FD6480"/>
    <w:rsid w:val="00FD66EF"/>
    <w:rsid w:val="00FD6ADE"/>
    <w:rsid w:val="00FD6EAB"/>
    <w:rsid w:val="00FD7CD2"/>
    <w:rsid w:val="00FE021A"/>
    <w:rsid w:val="00FE1A69"/>
    <w:rsid w:val="00FE1B57"/>
    <w:rsid w:val="00FE1F79"/>
    <w:rsid w:val="00FE2DB0"/>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5:docId w15:val="{9007D51F-F64A-41C7-82B6-2B428561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BC7"/>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decuadrcula6concolores111">
    <w:name w:val="Tabla de cuadrícula 6 con colores111"/>
    <w:basedOn w:val="Tablanormal"/>
    <w:next w:val="Tablaconcuadrcula6concolores"/>
    <w:uiPriority w:val="51"/>
    <w:rsid w:val="004A2E2B"/>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6concolores">
    <w:name w:val="Grid Table 6 Colorful"/>
    <w:basedOn w:val="Tablanormal"/>
    <w:uiPriority w:val="51"/>
    <w:rsid w:val="004A2E2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DF76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26224455">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8059638">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4700526">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36251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87775336">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73759021">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505994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2308163">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42990544">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239020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15414903">
      <w:bodyDiv w:val="1"/>
      <w:marLeft w:val="0"/>
      <w:marRight w:val="0"/>
      <w:marTop w:val="0"/>
      <w:marBottom w:val="0"/>
      <w:divBdr>
        <w:top w:val="none" w:sz="0" w:space="0" w:color="auto"/>
        <w:left w:val="none" w:sz="0" w:space="0" w:color="auto"/>
        <w:bottom w:val="none" w:sz="0" w:space="0" w:color="auto"/>
        <w:right w:val="none" w:sz="0" w:space="0" w:color="auto"/>
      </w:divBdr>
      <w:divsChild>
        <w:div w:id="841118966">
          <w:marLeft w:val="0"/>
          <w:marRight w:val="0"/>
          <w:marTop w:val="0"/>
          <w:marBottom w:val="0"/>
          <w:divBdr>
            <w:top w:val="none" w:sz="0" w:space="0" w:color="auto"/>
            <w:left w:val="none" w:sz="0" w:space="0" w:color="auto"/>
            <w:bottom w:val="none" w:sz="0" w:space="0" w:color="auto"/>
            <w:right w:val="none" w:sz="0" w:space="0" w:color="auto"/>
          </w:divBdr>
        </w:div>
      </w:divsChild>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545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revision/acuse/488983/0/0.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2691-DD17-4F6A-9D0D-7F5362A83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6678</Words>
  <Characters>36734</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8</cp:revision>
  <cp:lastPrinted>2024-01-18T01:40:00Z</cp:lastPrinted>
  <dcterms:created xsi:type="dcterms:W3CDTF">2024-01-11T20:54:00Z</dcterms:created>
  <dcterms:modified xsi:type="dcterms:W3CDTF">2024-02-16T16:06:00Z</dcterms:modified>
</cp:coreProperties>
</file>