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11" w:rsidRPr="00DF23DA" w:rsidRDefault="00741E11" w:rsidP="00741E11">
      <w:pPr>
        <w:shd w:val="clear" w:color="auto" w:fill="FFFFFF"/>
        <w:spacing w:after="0" w:line="360" w:lineRule="auto"/>
        <w:jc w:val="both"/>
        <w:rPr>
          <w:rFonts w:ascii="Palatino Linotype" w:eastAsia="Times New Roman" w:hAnsi="Palatino Linotype" w:cs="Arial"/>
          <w:color w:val="000000"/>
          <w:sz w:val="24"/>
          <w:szCs w:val="24"/>
          <w:lang w:eastAsia="es-MX"/>
        </w:rPr>
      </w:pPr>
      <w:r w:rsidRPr="00DF23DA">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575E8">
        <w:rPr>
          <w:rFonts w:ascii="Palatino Linotype" w:eastAsia="Times New Roman" w:hAnsi="Palatino Linotype" w:cs="Arial"/>
          <w:color w:val="000000"/>
          <w:sz w:val="24"/>
          <w:szCs w:val="24"/>
          <w:lang w:eastAsia="es-MX"/>
        </w:rPr>
        <w:t>cuatro de septiembre</w:t>
      </w:r>
      <w:r>
        <w:rPr>
          <w:rFonts w:ascii="Palatino Linotype" w:eastAsia="Times New Roman" w:hAnsi="Palatino Linotype" w:cs="Arial"/>
          <w:color w:val="000000"/>
          <w:sz w:val="24"/>
          <w:szCs w:val="24"/>
          <w:lang w:eastAsia="es-MX"/>
        </w:rPr>
        <w:t xml:space="preserve"> de dos mil veinticuatro</w:t>
      </w:r>
      <w:r w:rsidRPr="00DF23DA">
        <w:rPr>
          <w:rFonts w:ascii="Palatino Linotype" w:eastAsia="Times New Roman" w:hAnsi="Palatino Linotype" w:cs="Arial"/>
          <w:color w:val="000000"/>
          <w:sz w:val="24"/>
          <w:szCs w:val="24"/>
          <w:lang w:eastAsia="es-MX"/>
        </w:rPr>
        <w:t>.</w:t>
      </w:r>
    </w:p>
    <w:p w:rsidR="00741E11" w:rsidRPr="00DF23DA" w:rsidRDefault="00741E11" w:rsidP="00741E11">
      <w:pPr>
        <w:shd w:val="clear" w:color="auto" w:fill="FFFFFF"/>
        <w:spacing w:after="0" w:line="360" w:lineRule="auto"/>
        <w:jc w:val="both"/>
        <w:rPr>
          <w:rFonts w:ascii="Palatino Linotype" w:eastAsia="Times New Roman" w:hAnsi="Palatino Linotype" w:cs="Arial"/>
          <w:color w:val="000000"/>
          <w:sz w:val="24"/>
          <w:szCs w:val="24"/>
          <w:lang w:eastAsia="es-MX"/>
        </w:rPr>
      </w:pPr>
    </w:p>
    <w:p w:rsidR="00741E11" w:rsidRPr="00DF23DA" w:rsidRDefault="00741E11" w:rsidP="00741E11">
      <w:pPr>
        <w:tabs>
          <w:tab w:val="left" w:pos="1701"/>
        </w:tabs>
        <w:spacing w:after="0" w:line="360" w:lineRule="auto"/>
        <w:jc w:val="both"/>
        <w:rPr>
          <w:rFonts w:ascii="Palatino Linotype" w:hAnsi="Palatino Linotype" w:cs="Arial"/>
          <w:b/>
          <w:sz w:val="24"/>
          <w:szCs w:val="24"/>
        </w:rPr>
      </w:pPr>
      <w:r w:rsidRPr="00DF23DA">
        <w:rPr>
          <w:rFonts w:ascii="Palatino Linotype" w:hAnsi="Palatino Linotype" w:cs="Arial"/>
          <w:b/>
          <w:sz w:val="24"/>
          <w:szCs w:val="24"/>
        </w:rPr>
        <w:t>VISTO</w:t>
      </w:r>
      <w:r w:rsidRPr="00DF23DA">
        <w:rPr>
          <w:rFonts w:ascii="Palatino Linotype" w:hAnsi="Palatino Linotype" w:cs="Arial"/>
          <w:sz w:val="24"/>
          <w:szCs w:val="24"/>
        </w:rPr>
        <w:t xml:space="preserve"> el expediente electrónico formado con motivo del recurso de revisión con número </w:t>
      </w:r>
      <w:r w:rsidR="005E3318">
        <w:rPr>
          <w:rFonts w:ascii="Palatino Linotype" w:hAnsi="Palatino Linotype" w:cs="Arial"/>
          <w:b/>
          <w:sz w:val="24"/>
          <w:szCs w:val="24"/>
        </w:rPr>
        <w:t>0</w:t>
      </w:r>
      <w:r w:rsidR="007575E8">
        <w:rPr>
          <w:rFonts w:ascii="Palatino Linotype" w:hAnsi="Palatino Linotype" w:cs="Arial"/>
          <w:b/>
          <w:bCs/>
          <w:sz w:val="24"/>
          <w:szCs w:val="24"/>
          <w:lang w:eastAsia="es-MX"/>
        </w:rPr>
        <w:t>4010</w:t>
      </w:r>
      <w:r>
        <w:rPr>
          <w:rFonts w:ascii="Palatino Linotype" w:hAnsi="Palatino Linotype" w:cs="Arial"/>
          <w:b/>
          <w:bCs/>
          <w:sz w:val="24"/>
          <w:szCs w:val="24"/>
          <w:lang w:eastAsia="es-MX"/>
        </w:rPr>
        <w:t>/INFOEM/IP/RR/2024</w:t>
      </w:r>
      <w:r w:rsidRPr="00DF23DA">
        <w:rPr>
          <w:rFonts w:ascii="Palatino Linotype" w:hAnsi="Palatino Linotype" w:cs="Arial"/>
          <w:sz w:val="24"/>
          <w:szCs w:val="24"/>
        </w:rPr>
        <w:t>, promovido por</w:t>
      </w:r>
      <w:r>
        <w:rPr>
          <w:rFonts w:ascii="Palatino Linotype" w:hAnsi="Palatino Linotype" w:cs="Arial"/>
          <w:b/>
          <w:sz w:val="24"/>
          <w:szCs w:val="24"/>
        </w:rPr>
        <w:t xml:space="preserve"> </w:t>
      </w:r>
      <w:r w:rsidR="009C31AA">
        <w:rPr>
          <w:rFonts w:ascii="Palatino Linotype" w:hAnsi="Palatino Linotype" w:cs="Arial"/>
          <w:b/>
        </w:rPr>
        <w:t>XXXXXXXXXXXX</w:t>
      </w:r>
      <w:r w:rsidRPr="00DF23DA">
        <w:rPr>
          <w:rFonts w:ascii="Palatino Linotype" w:hAnsi="Palatino Linotype" w:cs="Arial"/>
          <w:sz w:val="24"/>
          <w:szCs w:val="24"/>
        </w:rPr>
        <w:t xml:space="preserve">, en lo sucesivo </w:t>
      </w:r>
      <w:r>
        <w:rPr>
          <w:rFonts w:ascii="Palatino Linotype" w:hAnsi="Palatino Linotype" w:cs="Arial"/>
          <w:b/>
          <w:sz w:val="24"/>
          <w:szCs w:val="24"/>
        </w:rPr>
        <w:t>la parte</w:t>
      </w:r>
      <w:r w:rsidRPr="00DF23DA">
        <w:rPr>
          <w:rFonts w:ascii="Palatino Linotype" w:hAnsi="Palatino Linotype" w:cs="Arial"/>
          <w:b/>
          <w:sz w:val="24"/>
          <w:szCs w:val="24"/>
        </w:rPr>
        <w:t xml:space="preserve"> Recurrente</w:t>
      </w:r>
      <w:r w:rsidRPr="00DF23DA">
        <w:rPr>
          <w:rFonts w:ascii="Palatino Linotype" w:hAnsi="Palatino Linotype" w:cs="Arial"/>
          <w:sz w:val="24"/>
          <w:szCs w:val="24"/>
        </w:rPr>
        <w:t xml:space="preserve">, en contra de la falta de respuesta del </w:t>
      </w:r>
      <w:r w:rsidR="007575E8">
        <w:rPr>
          <w:rFonts w:ascii="Palatino Linotype" w:hAnsi="Palatino Linotype" w:cs="Arial"/>
          <w:b/>
          <w:sz w:val="24"/>
          <w:szCs w:val="24"/>
        </w:rPr>
        <w:t>Sistema de Transporte Masivo y Teleférico del Estado de México</w:t>
      </w:r>
      <w:r w:rsidRPr="00DF23DA">
        <w:rPr>
          <w:rFonts w:ascii="Palatino Linotype" w:hAnsi="Palatino Linotype" w:cs="Arial"/>
          <w:b/>
          <w:sz w:val="24"/>
          <w:szCs w:val="24"/>
        </w:rPr>
        <w:t xml:space="preserve">, </w:t>
      </w:r>
      <w:r w:rsidRPr="00DF23DA">
        <w:rPr>
          <w:rFonts w:ascii="Palatino Linotype" w:hAnsi="Palatino Linotype" w:cs="Arial"/>
          <w:sz w:val="24"/>
          <w:szCs w:val="24"/>
        </w:rPr>
        <w:t>en lo subsecuente</w:t>
      </w:r>
      <w:r w:rsidRPr="00DF23DA">
        <w:rPr>
          <w:rFonts w:ascii="Palatino Linotype" w:hAnsi="Palatino Linotype" w:cs="Arial"/>
          <w:b/>
          <w:sz w:val="24"/>
          <w:szCs w:val="24"/>
        </w:rPr>
        <w:t xml:space="preserve"> el Sujeto Obligado, </w:t>
      </w:r>
      <w:r w:rsidRPr="00DF23DA">
        <w:rPr>
          <w:rFonts w:ascii="Palatino Linotype" w:hAnsi="Palatino Linotype" w:cs="Arial"/>
          <w:sz w:val="24"/>
          <w:szCs w:val="24"/>
        </w:rPr>
        <w:t>se procede a dictar la presente resolución.</w:t>
      </w:r>
    </w:p>
    <w:p w:rsidR="00741E11" w:rsidRPr="00DF23DA" w:rsidRDefault="00741E11" w:rsidP="00741E11">
      <w:pPr>
        <w:tabs>
          <w:tab w:val="left" w:pos="6960"/>
        </w:tabs>
        <w:spacing w:after="0" w:line="360" w:lineRule="auto"/>
        <w:jc w:val="both"/>
        <w:rPr>
          <w:rFonts w:ascii="Palatino Linotype" w:hAnsi="Palatino Linotype" w:cs="Arial"/>
          <w:sz w:val="24"/>
          <w:szCs w:val="24"/>
        </w:rPr>
      </w:pPr>
    </w:p>
    <w:p w:rsidR="00741E11" w:rsidRPr="00DF23DA" w:rsidRDefault="00741E11" w:rsidP="00741E11">
      <w:pPr>
        <w:spacing w:after="0" w:line="360" w:lineRule="auto"/>
        <w:jc w:val="center"/>
        <w:rPr>
          <w:rFonts w:ascii="Palatino Linotype" w:hAnsi="Palatino Linotype" w:cs="Arial"/>
          <w:b/>
          <w:sz w:val="28"/>
          <w:szCs w:val="24"/>
        </w:rPr>
      </w:pPr>
      <w:r w:rsidRPr="00DF23DA">
        <w:rPr>
          <w:rFonts w:ascii="Palatino Linotype" w:hAnsi="Palatino Linotype" w:cs="Arial"/>
          <w:b/>
          <w:sz w:val="28"/>
          <w:szCs w:val="24"/>
        </w:rPr>
        <w:t>A N T E C E D E N T E S</w:t>
      </w:r>
    </w:p>
    <w:p w:rsidR="00741E11" w:rsidRPr="00DF23DA" w:rsidRDefault="00741E11" w:rsidP="00741E11">
      <w:pPr>
        <w:spacing w:after="0" w:line="360" w:lineRule="auto"/>
        <w:rPr>
          <w:rFonts w:ascii="Palatino Linotype" w:hAnsi="Palatino Linotype" w:cs="Arial"/>
          <w:b/>
          <w:sz w:val="24"/>
          <w:szCs w:val="24"/>
        </w:rPr>
      </w:pPr>
    </w:p>
    <w:p w:rsidR="00741E11" w:rsidRDefault="00741E11" w:rsidP="00741E11">
      <w:pPr>
        <w:spacing w:after="0" w:line="360" w:lineRule="auto"/>
        <w:jc w:val="both"/>
        <w:rPr>
          <w:rFonts w:ascii="Palatino Linotype" w:hAnsi="Palatino Linotype"/>
          <w:b/>
          <w:sz w:val="28"/>
          <w:szCs w:val="28"/>
        </w:rPr>
      </w:pPr>
      <w:r w:rsidRPr="00DF23DA">
        <w:rPr>
          <w:rFonts w:ascii="Palatino Linotype" w:hAnsi="Palatino Linotype" w:cs="Arial"/>
          <w:b/>
          <w:sz w:val="28"/>
          <w:szCs w:val="28"/>
        </w:rPr>
        <w:t xml:space="preserve">PRIMERO. </w:t>
      </w:r>
      <w:r w:rsidRPr="00523CF0">
        <w:rPr>
          <w:rFonts w:ascii="Palatino Linotype" w:hAnsi="Palatino Linotype"/>
          <w:b/>
          <w:sz w:val="28"/>
          <w:szCs w:val="28"/>
        </w:rPr>
        <w:t>De la Solicitud de Información.</w:t>
      </w:r>
    </w:p>
    <w:p w:rsidR="00741E11" w:rsidRPr="00CB5878" w:rsidRDefault="00741E11" w:rsidP="00741E11">
      <w:pPr>
        <w:spacing w:line="360" w:lineRule="auto"/>
        <w:jc w:val="both"/>
        <w:rPr>
          <w:rFonts w:ascii="Palatino Linotype" w:hAnsi="Palatino Linotype" w:cs="Arial"/>
          <w:sz w:val="24"/>
        </w:rPr>
      </w:pPr>
      <w:r w:rsidRPr="00CB5878">
        <w:rPr>
          <w:rFonts w:ascii="Palatino Linotype" w:hAnsi="Palatino Linotype" w:cs="Arial"/>
          <w:sz w:val="24"/>
        </w:rPr>
        <w:t xml:space="preserve">Con fecha </w:t>
      </w:r>
      <w:r w:rsidR="007575E8">
        <w:rPr>
          <w:rFonts w:ascii="Palatino Linotype" w:hAnsi="Palatino Linotype" w:cs="Arial"/>
          <w:b/>
          <w:sz w:val="24"/>
        </w:rPr>
        <w:t>diez de junio</w:t>
      </w:r>
      <w:r>
        <w:rPr>
          <w:rFonts w:ascii="Palatino Linotype" w:hAnsi="Palatino Linotype" w:cs="Arial"/>
          <w:b/>
          <w:sz w:val="24"/>
        </w:rPr>
        <w:t xml:space="preserve"> de dos mil veinticuatro</w:t>
      </w:r>
      <w:r w:rsidRPr="00CB5878">
        <w:rPr>
          <w:rFonts w:ascii="Palatino Linotype" w:hAnsi="Palatino Linotype" w:cs="Arial"/>
          <w:sz w:val="24"/>
        </w:rPr>
        <w:t xml:space="preserve">, </w:t>
      </w:r>
      <w:r>
        <w:rPr>
          <w:rFonts w:ascii="Palatino Linotype" w:hAnsi="Palatino Linotype" w:cs="Arial"/>
          <w:b/>
          <w:sz w:val="24"/>
        </w:rPr>
        <w:t>la parte</w:t>
      </w:r>
      <w:r w:rsidRPr="00CB5878">
        <w:rPr>
          <w:rFonts w:ascii="Palatino Linotype" w:hAnsi="Palatino Linotype" w:cs="Arial"/>
          <w:b/>
          <w:sz w:val="24"/>
        </w:rPr>
        <w:t xml:space="preserve"> Recurrente</w:t>
      </w:r>
      <w:r w:rsidRPr="00CB5878">
        <w:rPr>
          <w:rFonts w:ascii="Palatino Linotype" w:hAnsi="Palatino Linotype" w:cs="Arial"/>
          <w:sz w:val="24"/>
        </w:rPr>
        <w:t xml:space="preserve"> presentó a través del Sistema de Acceso a la Información Mexiquense, en lo posterior el </w:t>
      </w:r>
      <w:r w:rsidRPr="00CB5878">
        <w:rPr>
          <w:rFonts w:ascii="Palatino Linotype" w:hAnsi="Palatino Linotype" w:cs="Arial"/>
          <w:b/>
          <w:sz w:val="24"/>
        </w:rPr>
        <w:t>SAIMEX</w:t>
      </w:r>
      <w:r w:rsidRPr="00CB5878">
        <w:rPr>
          <w:rFonts w:ascii="Palatino Linotype" w:hAnsi="Palatino Linotype" w:cs="Arial"/>
          <w:sz w:val="24"/>
        </w:rPr>
        <w:t xml:space="preserve">, ante </w:t>
      </w:r>
      <w:r w:rsidRPr="00CB5878">
        <w:rPr>
          <w:rFonts w:ascii="Palatino Linotype" w:hAnsi="Palatino Linotype" w:cs="Arial"/>
          <w:b/>
          <w:sz w:val="24"/>
        </w:rPr>
        <w:t>el Sujeto Obligado</w:t>
      </w:r>
      <w:r w:rsidRPr="00CB5878">
        <w:rPr>
          <w:rFonts w:ascii="Palatino Linotype" w:hAnsi="Palatino Linotype" w:cs="Arial"/>
          <w:sz w:val="24"/>
        </w:rPr>
        <w:t>, solicitud de acceso a la información pública, regist</w:t>
      </w:r>
      <w:bookmarkStart w:id="0" w:name="_GoBack"/>
      <w:bookmarkEnd w:id="0"/>
      <w:r w:rsidRPr="00CB5878">
        <w:rPr>
          <w:rFonts w:ascii="Palatino Linotype" w:hAnsi="Palatino Linotype" w:cs="Arial"/>
          <w:sz w:val="24"/>
        </w:rPr>
        <w:t>rada bajo el número de expediente</w:t>
      </w:r>
      <w:r>
        <w:rPr>
          <w:rFonts w:ascii="Palatino Linotype" w:hAnsi="Palatino Linotype" w:cs="Arial"/>
          <w:b/>
          <w:sz w:val="24"/>
        </w:rPr>
        <w:t xml:space="preserve"> </w:t>
      </w:r>
      <w:r w:rsidR="007575E8">
        <w:rPr>
          <w:rFonts w:ascii="Palatino Linotype" w:hAnsi="Palatino Linotype" w:cs="Arial"/>
          <w:b/>
          <w:sz w:val="24"/>
        </w:rPr>
        <w:t>00081/STMEM/IP/2024</w:t>
      </w:r>
      <w:r w:rsidRPr="00CB5878">
        <w:rPr>
          <w:rFonts w:ascii="Palatino Linotype" w:hAnsi="Palatino Linotype" w:cs="Arial"/>
          <w:sz w:val="24"/>
        </w:rPr>
        <w:t>,</w:t>
      </w:r>
      <w:r w:rsidRPr="00CB5878">
        <w:rPr>
          <w:rFonts w:ascii="Palatino Linotype" w:hAnsi="Palatino Linotype" w:cs="Arial"/>
          <w:b/>
          <w:sz w:val="24"/>
        </w:rPr>
        <w:t xml:space="preserve"> </w:t>
      </w:r>
      <w:r w:rsidRPr="00CB5878">
        <w:rPr>
          <w:rFonts w:ascii="Palatino Linotype" w:hAnsi="Palatino Linotype" w:cs="Arial"/>
          <w:sz w:val="24"/>
        </w:rPr>
        <w:t>mediante la cual solicitó información en el tenor siguiente:</w:t>
      </w:r>
    </w:p>
    <w:p w:rsidR="00741E11" w:rsidRPr="008708A5" w:rsidRDefault="00741E11" w:rsidP="00741E11">
      <w:pPr>
        <w:tabs>
          <w:tab w:val="left" w:pos="5647"/>
        </w:tabs>
        <w:ind w:left="567" w:right="567"/>
        <w:jc w:val="both"/>
        <w:rPr>
          <w:rFonts w:ascii="Palatino Linotype" w:hAnsi="Palatino Linotype"/>
          <w:i/>
          <w:lang w:val="es-ES_tradnl" w:eastAsia="es-ES"/>
        </w:rPr>
      </w:pPr>
      <w:r w:rsidRPr="008708A5">
        <w:rPr>
          <w:rFonts w:ascii="Palatino Linotype" w:hAnsi="Palatino Linotype"/>
          <w:i/>
          <w:lang w:val="es-ES_tradnl" w:eastAsia="es-ES"/>
        </w:rPr>
        <w:t>“</w:t>
      </w:r>
      <w:r w:rsidR="007575E8" w:rsidRPr="007575E8">
        <w:rPr>
          <w:rFonts w:ascii="Palatino Linotype" w:hAnsi="Palatino Linotype"/>
          <w:i/>
          <w:lang w:eastAsia="es-ES"/>
        </w:rPr>
        <w:t xml:space="preserve">quiero las facturas y todos los comprobantes que amparen el pago de las empresas que tienen actualmente la supervisión de las </w:t>
      </w:r>
      <w:proofErr w:type="spellStart"/>
      <w:r w:rsidR="007575E8" w:rsidRPr="007575E8">
        <w:rPr>
          <w:rFonts w:ascii="Palatino Linotype" w:hAnsi="Palatino Linotype"/>
          <w:i/>
          <w:lang w:eastAsia="es-ES"/>
        </w:rPr>
        <w:t>lineas</w:t>
      </w:r>
      <w:proofErr w:type="spellEnd"/>
      <w:r w:rsidR="007575E8" w:rsidRPr="007575E8">
        <w:rPr>
          <w:rFonts w:ascii="Palatino Linotype" w:hAnsi="Palatino Linotype"/>
          <w:i/>
          <w:lang w:eastAsia="es-ES"/>
        </w:rPr>
        <w:t xml:space="preserve"> del </w:t>
      </w:r>
      <w:proofErr w:type="spellStart"/>
      <w:r w:rsidR="007575E8" w:rsidRPr="007575E8">
        <w:rPr>
          <w:rFonts w:ascii="Palatino Linotype" w:hAnsi="Palatino Linotype"/>
          <w:i/>
          <w:lang w:eastAsia="es-ES"/>
        </w:rPr>
        <w:t>mexibus</w:t>
      </w:r>
      <w:proofErr w:type="spellEnd"/>
      <w:proofErr w:type="gramStart"/>
      <w:r w:rsidR="007575E8" w:rsidRPr="007575E8">
        <w:rPr>
          <w:rFonts w:ascii="Palatino Linotype" w:hAnsi="Palatino Linotype"/>
          <w:i/>
          <w:lang w:eastAsia="es-ES"/>
        </w:rPr>
        <w:t>!!</w:t>
      </w:r>
      <w:proofErr w:type="gramEnd"/>
      <w:r w:rsidR="007575E8" w:rsidRPr="007575E8">
        <w:rPr>
          <w:rFonts w:ascii="Palatino Linotype" w:hAnsi="Palatino Linotype"/>
          <w:i/>
          <w:lang w:eastAsia="es-ES"/>
        </w:rPr>
        <w:t xml:space="preserve"> </w:t>
      </w:r>
      <w:proofErr w:type="gramStart"/>
      <w:r w:rsidR="007575E8" w:rsidRPr="007575E8">
        <w:rPr>
          <w:rFonts w:ascii="Palatino Linotype" w:hAnsi="Palatino Linotype"/>
          <w:i/>
          <w:lang w:eastAsia="es-ES"/>
        </w:rPr>
        <w:t>los</w:t>
      </w:r>
      <w:proofErr w:type="gramEnd"/>
      <w:r w:rsidR="007575E8" w:rsidRPr="007575E8">
        <w:rPr>
          <w:rFonts w:ascii="Palatino Linotype" w:hAnsi="Palatino Linotype"/>
          <w:i/>
          <w:lang w:eastAsia="es-ES"/>
        </w:rPr>
        <w:t xml:space="preserve"> procesos de contratación debidamente protocolizados ante la mesa directiva o consejo directivo que avala dicha contratación requiero las facturas pagadas o transferencias hechas de los meses de enero a mayo 2024; cuando es el proceso de entrega de la directora ya que se tiene planeado para fines de mes!! </w:t>
      </w:r>
      <w:proofErr w:type="gramStart"/>
      <w:r w:rsidR="007575E8" w:rsidRPr="007575E8">
        <w:rPr>
          <w:rFonts w:ascii="Palatino Linotype" w:hAnsi="Palatino Linotype"/>
          <w:i/>
          <w:lang w:eastAsia="es-ES"/>
        </w:rPr>
        <w:t>ya</w:t>
      </w:r>
      <w:proofErr w:type="gramEnd"/>
      <w:r w:rsidR="007575E8" w:rsidRPr="007575E8">
        <w:rPr>
          <w:rFonts w:ascii="Palatino Linotype" w:hAnsi="Palatino Linotype"/>
          <w:i/>
          <w:lang w:eastAsia="es-ES"/>
        </w:rPr>
        <w:t xml:space="preserve"> tiene programada la entrega? ya le notificaron su proceso de entrega? </w:t>
      </w:r>
      <w:r w:rsidR="007575E8" w:rsidRPr="007575E8">
        <w:rPr>
          <w:rFonts w:ascii="Palatino Linotype" w:hAnsi="Palatino Linotype"/>
          <w:i/>
          <w:lang w:eastAsia="es-ES"/>
        </w:rPr>
        <w:lastRenderedPageBreak/>
        <w:t xml:space="preserve">quiero los bonos </w:t>
      </w:r>
      <w:proofErr w:type="spellStart"/>
      <w:r w:rsidR="007575E8" w:rsidRPr="007575E8">
        <w:rPr>
          <w:rFonts w:ascii="Palatino Linotype" w:hAnsi="Palatino Linotype"/>
          <w:i/>
          <w:lang w:eastAsia="es-ES"/>
        </w:rPr>
        <w:t>asi</w:t>
      </w:r>
      <w:proofErr w:type="spellEnd"/>
      <w:r w:rsidR="007575E8" w:rsidRPr="007575E8">
        <w:rPr>
          <w:rFonts w:ascii="Palatino Linotype" w:hAnsi="Palatino Linotype"/>
          <w:i/>
          <w:lang w:eastAsia="es-ES"/>
        </w:rPr>
        <w:t xml:space="preserve"> como los gastos hechos por el mes mayo y que se relacionan con el fondo fijo. </w:t>
      </w:r>
      <w:proofErr w:type="gramStart"/>
      <w:r w:rsidR="007575E8" w:rsidRPr="007575E8">
        <w:rPr>
          <w:rFonts w:ascii="Palatino Linotype" w:hAnsi="Palatino Linotype"/>
          <w:i/>
          <w:lang w:eastAsia="es-ES"/>
        </w:rPr>
        <w:t>finalmente</w:t>
      </w:r>
      <w:proofErr w:type="gramEnd"/>
      <w:r w:rsidR="007575E8" w:rsidRPr="007575E8">
        <w:rPr>
          <w:rFonts w:ascii="Palatino Linotype" w:hAnsi="Palatino Linotype"/>
          <w:i/>
          <w:lang w:eastAsia="es-ES"/>
        </w:rPr>
        <w:t xml:space="preserve"> los comprobantes de </w:t>
      </w:r>
      <w:proofErr w:type="spellStart"/>
      <w:r w:rsidR="007575E8" w:rsidRPr="007575E8">
        <w:rPr>
          <w:rFonts w:ascii="Palatino Linotype" w:hAnsi="Palatino Linotype"/>
          <w:i/>
          <w:lang w:eastAsia="es-ES"/>
        </w:rPr>
        <w:t>nomina</w:t>
      </w:r>
      <w:proofErr w:type="spellEnd"/>
      <w:r w:rsidR="007575E8" w:rsidRPr="007575E8">
        <w:rPr>
          <w:rFonts w:ascii="Palatino Linotype" w:hAnsi="Palatino Linotype"/>
          <w:i/>
          <w:lang w:eastAsia="es-ES"/>
        </w:rPr>
        <w:t xml:space="preserve"> de todo el personal mando medio y operativos. 2024 de marzo</w:t>
      </w:r>
      <w:r w:rsidRPr="008708A5">
        <w:rPr>
          <w:rFonts w:ascii="Palatino Linotype" w:hAnsi="Palatino Linotype"/>
          <w:i/>
          <w:lang w:eastAsia="es-ES"/>
        </w:rPr>
        <w:t>” (Sic)</w:t>
      </w:r>
    </w:p>
    <w:p w:rsidR="00741E11" w:rsidRPr="00DF23DA" w:rsidRDefault="00741E11" w:rsidP="00741E11">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rsidR="00741E11" w:rsidRPr="00DF23DA" w:rsidRDefault="00741E11" w:rsidP="00741E11">
      <w:pPr>
        <w:spacing w:after="0" w:line="360" w:lineRule="auto"/>
        <w:jc w:val="both"/>
        <w:rPr>
          <w:rFonts w:ascii="Palatino Linotype" w:eastAsia="Times New Roman" w:hAnsi="Palatino Linotype" w:cs="Times New Roman"/>
          <w:sz w:val="24"/>
          <w:szCs w:val="24"/>
          <w:lang w:val="es-ES_tradnl" w:eastAsia="es-ES"/>
        </w:rPr>
      </w:pPr>
      <w:r w:rsidRPr="00DF23DA">
        <w:rPr>
          <w:rFonts w:ascii="Palatino Linotype" w:eastAsia="Times New Roman" w:hAnsi="Palatino Linotype" w:cs="Times New Roman"/>
          <w:sz w:val="24"/>
          <w:szCs w:val="24"/>
          <w:lang w:val="es-ES_tradnl" w:eastAsia="es-ES"/>
        </w:rPr>
        <w:t xml:space="preserve">Modalidad de entrega: </w:t>
      </w:r>
      <w:r w:rsidRPr="00DF23DA">
        <w:rPr>
          <w:rFonts w:ascii="Palatino Linotype" w:eastAsia="Times New Roman" w:hAnsi="Palatino Linotype" w:cs="Times New Roman"/>
          <w:b/>
          <w:i/>
          <w:sz w:val="24"/>
          <w:szCs w:val="24"/>
          <w:lang w:val="es-ES_tradnl" w:eastAsia="es-ES"/>
        </w:rPr>
        <w:t>A través del SAIMEX</w:t>
      </w:r>
      <w:r>
        <w:rPr>
          <w:rFonts w:ascii="Palatino Linotype" w:eastAsia="Times New Roman" w:hAnsi="Palatino Linotype" w:cs="Times New Roman"/>
          <w:b/>
          <w:i/>
          <w:sz w:val="24"/>
          <w:szCs w:val="24"/>
          <w:lang w:val="es-ES_tradnl" w:eastAsia="es-ES"/>
        </w:rPr>
        <w:t>.</w:t>
      </w:r>
    </w:p>
    <w:p w:rsidR="007575E8" w:rsidRDefault="007575E8" w:rsidP="00741E11">
      <w:pPr>
        <w:spacing w:before="240" w:line="360" w:lineRule="auto"/>
        <w:jc w:val="both"/>
        <w:rPr>
          <w:rFonts w:ascii="Palatino Linotype" w:hAnsi="Palatino Linotype" w:cs="Arial"/>
          <w:b/>
          <w:sz w:val="28"/>
        </w:rPr>
      </w:pPr>
    </w:p>
    <w:p w:rsidR="00741E11" w:rsidRPr="00523CF0" w:rsidRDefault="00741E11" w:rsidP="00741E11">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Pr="00523CF0">
        <w:rPr>
          <w:rFonts w:ascii="Palatino Linotype" w:hAnsi="Palatino Linotype" w:cs="Arial"/>
          <w:b/>
          <w:sz w:val="28"/>
          <w:szCs w:val="20"/>
        </w:rPr>
        <w:t xml:space="preserve">De la </w:t>
      </w:r>
      <w:r>
        <w:rPr>
          <w:rFonts w:ascii="Palatino Linotype" w:hAnsi="Palatino Linotype" w:cs="Arial"/>
          <w:b/>
          <w:sz w:val="28"/>
          <w:szCs w:val="20"/>
        </w:rPr>
        <w:t xml:space="preserve">falta de </w:t>
      </w:r>
      <w:r w:rsidRPr="00523CF0">
        <w:rPr>
          <w:rFonts w:ascii="Palatino Linotype" w:hAnsi="Palatino Linotype" w:cs="Arial"/>
          <w:b/>
          <w:sz w:val="28"/>
          <w:szCs w:val="20"/>
        </w:rPr>
        <w:t>respuesta del Sujeto Obligado.</w:t>
      </w:r>
    </w:p>
    <w:p w:rsidR="00741E11" w:rsidRDefault="00741E11" w:rsidP="00741E11">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w:t>
      </w:r>
      <w:r>
        <w:rPr>
          <w:rFonts w:ascii="Palatino Linotype" w:hAnsi="Palatino Linotype" w:cs="Arial"/>
          <w:b/>
          <w:sz w:val="24"/>
          <w:szCs w:val="24"/>
        </w:rPr>
        <w:t xml:space="preserve">El Sujeto Obligado </w:t>
      </w:r>
      <w:r w:rsidRPr="00A4042F">
        <w:rPr>
          <w:rFonts w:ascii="Palatino Linotype" w:hAnsi="Palatino Linotype" w:cs="Arial"/>
          <w:sz w:val="24"/>
          <w:szCs w:val="24"/>
        </w:rPr>
        <w:t>fue omiso</w:t>
      </w:r>
      <w:r>
        <w:rPr>
          <w:rFonts w:ascii="Palatino Linotype" w:hAnsi="Palatino Linotype" w:cs="Arial"/>
          <w:sz w:val="24"/>
          <w:szCs w:val="24"/>
        </w:rPr>
        <w:t xml:space="preserve"> en dar respuesta a la solicitud de información presentada por </w:t>
      </w:r>
      <w:r>
        <w:rPr>
          <w:rFonts w:ascii="Palatino Linotype" w:hAnsi="Palatino Linotype" w:cs="Arial"/>
          <w:b/>
          <w:sz w:val="24"/>
          <w:szCs w:val="24"/>
        </w:rPr>
        <w:t xml:space="preserve">el Recurrente, </w:t>
      </w:r>
      <w:r>
        <w:rPr>
          <w:rFonts w:ascii="Palatino Linotype" w:hAnsi="Palatino Linotype" w:cs="Arial"/>
          <w:sz w:val="24"/>
          <w:szCs w:val="24"/>
        </w:rPr>
        <w:t xml:space="preserve">derivado de lo anterior, se constituye la figura de la </w:t>
      </w:r>
      <w:r>
        <w:rPr>
          <w:rFonts w:ascii="Palatino Linotype" w:hAnsi="Palatino Linotype" w:cs="Arial"/>
          <w:b/>
          <w:sz w:val="24"/>
          <w:szCs w:val="24"/>
        </w:rPr>
        <w:t xml:space="preserve">NEGATIVA FICTA, </w:t>
      </w:r>
      <w:r>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rsidR="00741E11" w:rsidRDefault="00741E11" w:rsidP="00741E11">
      <w:pPr>
        <w:spacing w:before="240" w:line="360" w:lineRule="auto"/>
        <w:jc w:val="both"/>
        <w:rPr>
          <w:rFonts w:ascii="Palatino Linotype" w:eastAsia="Times New Roman" w:hAnsi="Palatino Linotype" w:cs="Arial"/>
          <w:b/>
          <w:sz w:val="28"/>
          <w:lang w:eastAsia="es-ES"/>
        </w:rPr>
      </w:pPr>
    </w:p>
    <w:p w:rsidR="00741E11" w:rsidRPr="00523CF0" w:rsidRDefault="00741E11" w:rsidP="00741E11">
      <w:pPr>
        <w:spacing w:before="240" w:line="360" w:lineRule="auto"/>
        <w:jc w:val="both"/>
        <w:rPr>
          <w:rFonts w:ascii="Palatino Linotype" w:hAnsi="Palatino Linotype" w:cs="Arial"/>
          <w:b/>
          <w:sz w:val="28"/>
        </w:rPr>
      </w:pPr>
      <w:r>
        <w:rPr>
          <w:rFonts w:ascii="Palatino Linotype" w:eastAsia="Times New Roman" w:hAnsi="Palatino Linotype" w:cs="Arial"/>
          <w:b/>
          <w:sz w:val="28"/>
          <w:lang w:eastAsia="es-ES"/>
        </w:rPr>
        <w:t>TERCERO</w:t>
      </w:r>
      <w:r>
        <w:rPr>
          <w:rFonts w:ascii="Palatino Linotype" w:hAnsi="Palatino Linotype" w:cs="Arial"/>
          <w:sz w:val="24"/>
          <w:szCs w:val="24"/>
        </w:rPr>
        <w:t xml:space="preserve">. </w:t>
      </w:r>
      <w:r w:rsidRPr="00523CF0">
        <w:rPr>
          <w:rFonts w:ascii="Palatino Linotype" w:hAnsi="Palatino Linotype"/>
          <w:b/>
          <w:sz w:val="28"/>
        </w:rPr>
        <w:t>Del recurso de revisión.</w:t>
      </w:r>
    </w:p>
    <w:p w:rsidR="00741E11" w:rsidRPr="00BA0487" w:rsidRDefault="00741E11" w:rsidP="00741E11">
      <w:pPr>
        <w:spacing w:after="0" w:line="360" w:lineRule="auto"/>
        <w:jc w:val="both"/>
        <w:rPr>
          <w:rFonts w:ascii="Palatino Linotype" w:hAnsi="Palatino Linotype" w:cs="Arial"/>
          <w:b/>
          <w:sz w:val="24"/>
          <w:szCs w:val="24"/>
        </w:rPr>
      </w:pPr>
      <w:r w:rsidRPr="00DF23DA">
        <w:rPr>
          <w:rFonts w:ascii="Palatino Linotype" w:hAnsi="Palatino Linotype" w:cs="Arial"/>
          <w:sz w:val="24"/>
          <w:szCs w:val="24"/>
        </w:rPr>
        <w:t xml:space="preserve">Inconforme ante la falta de respuesta por parte del </w:t>
      </w:r>
      <w:r w:rsidRPr="00DF23DA">
        <w:rPr>
          <w:rFonts w:ascii="Palatino Linotype" w:hAnsi="Palatino Linotype" w:cs="Arial"/>
          <w:b/>
          <w:sz w:val="24"/>
          <w:szCs w:val="24"/>
        </w:rPr>
        <w:t>Sujeto Obligado</w:t>
      </w:r>
      <w:r>
        <w:rPr>
          <w:rFonts w:ascii="Palatino Linotype" w:hAnsi="Palatino Linotype" w:cs="Arial"/>
          <w:sz w:val="24"/>
          <w:szCs w:val="24"/>
        </w:rPr>
        <w:t xml:space="preserve">, el </w:t>
      </w:r>
      <w:r w:rsidRPr="00DF23DA">
        <w:rPr>
          <w:rFonts w:ascii="Palatino Linotype" w:hAnsi="Palatino Linotype" w:cs="Arial"/>
          <w:sz w:val="24"/>
          <w:szCs w:val="24"/>
        </w:rPr>
        <w:t xml:space="preserve">ahora </w:t>
      </w:r>
      <w:r w:rsidRPr="00DF23DA">
        <w:rPr>
          <w:rFonts w:ascii="Palatino Linotype" w:hAnsi="Palatino Linotype" w:cs="Arial"/>
          <w:b/>
          <w:sz w:val="24"/>
          <w:szCs w:val="24"/>
        </w:rPr>
        <w:t>Recurrente</w:t>
      </w:r>
      <w:r w:rsidRPr="00DF23DA">
        <w:rPr>
          <w:rFonts w:ascii="Palatino Linotype" w:hAnsi="Palatino Linotype" w:cs="Arial"/>
          <w:sz w:val="24"/>
          <w:szCs w:val="24"/>
        </w:rPr>
        <w:t xml:space="preserve"> en fecha </w:t>
      </w:r>
      <w:r w:rsidR="007575E8">
        <w:rPr>
          <w:rFonts w:ascii="Palatino Linotype" w:hAnsi="Palatino Linotype" w:cs="Arial"/>
          <w:sz w:val="24"/>
        </w:rPr>
        <w:t>dos de julio</w:t>
      </w:r>
      <w:r w:rsidRPr="003C5C84">
        <w:rPr>
          <w:rFonts w:ascii="Palatino Linotype" w:hAnsi="Palatino Linotype" w:cs="Arial"/>
          <w:sz w:val="24"/>
        </w:rPr>
        <w:t xml:space="preserve"> de </w:t>
      </w:r>
      <w:r>
        <w:rPr>
          <w:rFonts w:ascii="Palatino Linotype" w:hAnsi="Palatino Linotype" w:cs="Arial"/>
          <w:sz w:val="24"/>
        </w:rPr>
        <w:t>dos mil veinticuatro</w:t>
      </w:r>
      <w:r w:rsidRPr="00DF23DA">
        <w:rPr>
          <w:rFonts w:ascii="Palatino Linotype" w:hAnsi="Palatino Linotype" w:cs="Arial"/>
          <w:sz w:val="24"/>
          <w:szCs w:val="24"/>
        </w:rPr>
        <w:t xml:space="preserve">, interpuso recurso de revisión, </w:t>
      </w:r>
      <w:r>
        <w:rPr>
          <w:rFonts w:ascii="Palatino Linotype" w:hAnsi="Palatino Linotype" w:cs="Arial"/>
          <w:sz w:val="24"/>
          <w:szCs w:val="24"/>
        </w:rPr>
        <w:t>el cual</w:t>
      </w:r>
      <w:r w:rsidRPr="00DF23DA">
        <w:rPr>
          <w:rFonts w:ascii="Palatino Linotype" w:hAnsi="Palatino Linotype" w:cs="Arial"/>
          <w:sz w:val="24"/>
          <w:szCs w:val="24"/>
        </w:rPr>
        <w:t xml:space="preserve"> fue registrado</w:t>
      </w:r>
      <w:r w:rsidRPr="00DF23DA">
        <w:rPr>
          <w:rFonts w:ascii="Palatino Linotype" w:hAnsi="Palatino Linotype" w:cs="Arial"/>
          <w:b/>
          <w:sz w:val="24"/>
          <w:szCs w:val="24"/>
        </w:rPr>
        <w:t xml:space="preserve"> </w:t>
      </w:r>
      <w:r w:rsidRPr="00DF23DA">
        <w:rPr>
          <w:rFonts w:ascii="Palatino Linotype" w:hAnsi="Palatino Linotype" w:cs="Arial"/>
          <w:sz w:val="24"/>
          <w:szCs w:val="24"/>
        </w:rPr>
        <w:t xml:space="preserve">en el sistema electrónico con número de expediente </w:t>
      </w:r>
      <w:r w:rsidR="005E3318">
        <w:rPr>
          <w:rFonts w:ascii="Palatino Linotype" w:hAnsi="Palatino Linotype" w:cs="Arial"/>
          <w:b/>
          <w:sz w:val="24"/>
          <w:szCs w:val="24"/>
        </w:rPr>
        <w:t>0</w:t>
      </w:r>
      <w:r w:rsidR="007575E8">
        <w:rPr>
          <w:rFonts w:ascii="Palatino Linotype" w:hAnsi="Palatino Linotype" w:cs="Arial"/>
          <w:b/>
          <w:bCs/>
          <w:sz w:val="24"/>
          <w:szCs w:val="24"/>
          <w:lang w:eastAsia="es-MX"/>
        </w:rPr>
        <w:t>4010</w:t>
      </w:r>
      <w:r>
        <w:rPr>
          <w:rFonts w:ascii="Palatino Linotype" w:hAnsi="Palatino Linotype" w:cs="Arial"/>
          <w:b/>
          <w:bCs/>
          <w:sz w:val="24"/>
          <w:szCs w:val="24"/>
          <w:lang w:eastAsia="es-MX"/>
        </w:rPr>
        <w:t>/INFOEM/IP/RR/2024</w:t>
      </w:r>
      <w:r w:rsidRPr="00DF23DA">
        <w:rPr>
          <w:rFonts w:ascii="Palatino Linotype" w:hAnsi="Palatino Linotype" w:cs="Arial"/>
          <w:sz w:val="24"/>
          <w:szCs w:val="24"/>
        </w:rPr>
        <w:t>, aduciendo como acto impugnado y razones o motivos de inconformidad, los siguientes:</w:t>
      </w:r>
    </w:p>
    <w:p w:rsidR="00741E11" w:rsidRPr="00DF23DA" w:rsidRDefault="00741E11" w:rsidP="00741E11">
      <w:pPr>
        <w:spacing w:after="0" w:line="360" w:lineRule="auto"/>
        <w:jc w:val="both"/>
        <w:rPr>
          <w:rFonts w:ascii="Palatino Linotype" w:hAnsi="Palatino Linotype" w:cs="Arial"/>
          <w:b/>
          <w:sz w:val="24"/>
          <w:szCs w:val="24"/>
        </w:rPr>
      </w:pPr>
    </w:p>
    <w:p w:rsidR="00741E11" w:rsidRPr="00DF23DA" w:rsidRDefault="00741E11" w:rsidP="00741E11">
      <w:pPr>
        <w:pStyle w:val="Prrafodelista"/>
        <w:spacing w:line="360" w:lineRule="auto"/>
        <w:ind w:left="0"/>
        <w:jc w:val="both"/>
        <w:rPr>
          <w:rFonts w:ascii="Palatino Linotype" w:hAnsi="Palatino Linotype" w:cs="Arial"/>
          <w:b/>
        </w:rPr>
      </w:pPr>
      <w:r w:rsidRPr="00DF23DA">
        <w:rPr>
          <w:rFonts w:ascii="Palatino Linotype" w:hAnsi="Palatino Linotype" w:cs="Arial"/>
          <w:b/>
        </w:rPr>
        <w:t>Acto Impugnado:</w:t>
      </w:r>
    </w:p>
    <w:p w:rsidR="00741E11" w:rsidRPr="00DF23DA" w:rsidRDefault="00741E11" w:rsidP="00741E11">
      <w:pPr>
        <w:ind w:left="567" w:right="567"/>
        <w:jc w:val="both"/>
        <w:rPr>
          <w:rFonts w:ascii="Palatino Linotype" w:hAnsi="Palatino Linotype"/>
          <w:i/>
          <w:color w:val="000000"/>
        </w:rPr>
      </w:pPr>
      <w:r w:rsidRPr="00DF23DA">
        <w:rPr>
          <w:rFonts w:ascii="Palatino Linotype" w:hAnsi="Palatino Linotype" w:cs="Arial"/>
          <w:i/>
        </w:rPr>
        <w:t>“</w:t>
      </w:r>
      <w:proofErr w:type="spellStart"/>
      <w:r w:rsidR="007575E8" w:rsidRPr="007575E8">
        <w:rPr>
          <w:rFonts w:ascii="Palatino Linotype" w:hAnsi="Palatino Linotype"/>
          <w:i/>
          <w:color w:val="000000"/>
        </w:rPr>
        <w:t>repsuesta</w:t>
      </w:r>
      <w:proofErr w:type="spellEnd"/>
      <w:r w:rsidRPr="00DF23DA">
        <w:rPr>
          <w:rFonts w:ascii="Palatino Linotype" w:hAnsi="Palatino Linotype"/>
          <w:i/>
          <w:color w:val="000000"/>
        </w:rPr>
        <w:t>” (Sic)</w:t>
      </w:r>
    </w:p>
    <w:p w:rsidR="00741E11" w:rsidRPr="00DF23DA" w:rsidRDefault="00741E11" w:rsidP="00741E11">
      <w:pPr>
        <w:spacing w:after="0" w:line="360" w:lineRule="auto"/>
        <w:jc w:val="both"/>
        <w:rPr>
          <w:rFonts w:ascii="Palatino Linotype" w:hAnsi="Palatino Linotype" w:cs="Arial"/>
          <w:sz w:val="24"/>
          <w:szCs w:val="24"/>
        </w:rPr>
      </w:pPr>
    </w:p>
    <w:p w:rsidR="00741E11" w:rsidRPr="00DF23DA" w:rsidRDefault="00741E11" w:rsidP="00741E11">
      <w:pPr>
        <w:spacing w:after="0" w:line="360" w:lineRule="auto"/>
        <w:jc w:val="both"/>
        <w:rPr>
          <w:rFonts w:ascii="Palatino Linotype" w:hAnsi="Palatino Linotype" w:cs="Arial"/>
          <w:sz w:val="24"/>
          <w:szCs w:val="24"/>
        </w:rPr>
      </w:pPr>
      <w:r w:rsidRPr="00DF23DA">
        <w:rPr>
          <w:rFonts w:ascii="Palatino Linotype" w:hAnsi="Palatino Linotype" w:cs="Arial"/>
          <w:b/>
          <w:sz w:val="24"/>
        </w:rPr>
        <w:t>Razones o motivos de inconformidad:</w:t>
      </w:r>
    </w:p>
    <w:p w:rsidR="00741E11" w:rsidRPr="00DF23DA" w:rsidRDefault="00741E11" w:rsidP="00741E11">
      <w:pPr>
        <w:ind w:left="567" w:right="567"/>
        <w:jc w:val="both"/>
        <w:rPr>
          <w:rFonts w:ascii="Palatino Linotype" w:hAnsi="Palatino Linotype"/>
          <w:i/>
          <w:color w:val="000000"/>
        </w:rPr>
      </w:pPr>
      <w:r w:rsidRPr="00DF23DA">
        <w:rPr>
          <w:rFonts w:ascii="Palatino Linotype" w:hAnsi="Palatino Linotype" w:cs="Arial"/>
          <w:i/>
        </w:rPr>
        <w:t>“</w:t>
      </w:r>
      <w:r w:rsidR="007575E8" w:rsidRPr="007575E8">
        <w:rPr>
          <w:rFonts w:ascii="Palatino Linotype" w:hAnsi="Palatino Linotype"/>
          <w:i/>
          <w:color w:val="000000"/>
        </w:rPr>
        <w:t xml:space="preserve">nula respuesta. </w:t>
      </w:r>
      <w:proofErr w:type="gramStart"/>
      <w:r w:rsidR="007575E8" w:rsidRPr="007575E8">
        <w:rPr>
          <w:rFonts w:ascii="Palatino Linotype" w:hAnsi="Palatino Linotype"/>
          <w:i/>
          <w:color w:val="000000"/>
        </w:rPr>
        <w:t>dando</w:t>
      </w:r>
      <w:proofErr w:type="gramEnd"/>
      <w:r w:rsidR="007575E8" w:rsidRPr="007575E8">
        <w:rPr>
          <w:rFonts w:ascii="Palatino Linotype" w:hAnsi="Palatino Linotype"/>
          <w:i/>
          <w:color w:val="000000"/>
        </w:rPr>
        <w:t xml:space="preserve"> como ejemplo que es un chiste para la titular de ese sistema y su titular de transparencia que presentamos los ciudadanos que dicho sea d </w:t>
      </w:r>
      <w:proofErr w:type="spellStart"/>
      <w:r w:rsidR="007575E8" w:rsidRPr="007575E8">
        <w:rPr>
          <w:rFonts w:ascii="Palatino Linotype" w:hAnsi="Palatino Linotype"/>
          <w:i/>
          <w:color w:val="000000"/>
        </w:rPr>
        <w:t>epaso</w:t>
      </w:r>
      <w:proofErr w:type="spellEnd"/>
      <w:r w:rsidR="007575E8" w:rsidRPr="007575E8">
        <w:rPr>
          <w:rFonts w:ascii="Palatino Linotype" w:hAnsi="Palatino Linotype"/>
          <w:i/>
          <w:color w:val="000000"/>
        </w:rPr>
        <w:t xml:space="preserve"> le </w:t>
      </w:r>
      <w:proofErr w:type="spellStart"/>
      <w:r w:rsidR="007575E8" w:rsidRPr="007575E8">
        <w:rPr>
          <w:rFonts w:ascii="Palatino Linotype" w:hAnsi="Palatino Linotype"/>
          <w:i/>
          <w:color w:val="000000"/>
        </w:rPr>
        <w:t>spágamos</w:t>
      </w:r>
      <w:proofErr w:type="spellEnd"/>
      <w:r w:rsidR="007575E8" w:rsidRPr="007575E8">
        <w:rPr>
          <w:rFonts w:ascii="Palatino Linotype" w:hAnsi="Palatino Linotype"/>
          <w:i/>
          <w:color w:val="000000"/>
        </w:rPr>
        <w:t xml:space="preserve"> su quincenita puntu</w:t>
      </w:r>
      <w:r w:rsidR="007575E8">
        <w:rPr>
          <w:rFonts w:ascii="Palatino Linotype" w:hAnsi="Palatino Linotype"/>
          <w:i/>
          <w:color w:val="000000"/>
        </w:rPr>
        <w:t>al.</w:t>
      </w:r>
      <w:r w:rsidRPr="00DF23DA">
        <w:rPr>
          <w:rFonts w:ascii="Palatino Linotype" w:hAnsi="Palatino Linotype"/>
          <w:i/>
          <w:color w:val="000000"/>
        </w:rPr>
        <w:t>” (Sic)</w:t>
      </w:r>
    </w:p>
    <w:p w:rsidR="00741E11" w:rsidRPr="00DF23DA" w:rsidRDefault="00741E11" w:rsidP="00741E11">
      <w:pPr>
        <w:spacing w:after="0" w:line="360" w:lineRule="auto"/>
        <w:ind w:right="49"/>
        <w:jc w:val="both"/>
        <w:rPr>
          <w:rFonts w:ascii="Palatino Linotype" w:eastAsia="Times New Roman" w:hAnsi="Palatino Linotype" w:cs="Arial"/>
          <w:sz w:val="24"/>
          <w:lang w:eastAsia="es-ES"/>
        </w:rPr>
      </w:pPr>
    </w:p>
    <w:p w:rsidR="00741E11" w:rsidRDefault="00741E11" w:rsidP="00741E11">
      <w:pPr>
        <w:spacing w:before="240" w:line="360" w:lineRule="auto"/>
        <w:jc w:val="both"/>
        <w:rPr>
          <w:rFonts w:ascii="Palatino Linotype" w:hAnsi="Palatino Linotype" w:cs="Arial"/>
          <w:b/>
          <w:sz w:val="28"/>
          <w:szCs w:val="28"/>
        </w:rPr>
      </w:pPr>
      <w:r>
        <w:rPr>
          <w:rFonts w:ascii="Palatino Linotype" w:eastAsia="Times New Roman" w:hAnsi="Palatino Linotype" w:cs="Arial"/>
          <w:b/>
          <w:sz w:val="28"/>
          <w:lang w:eastAsia="es-ES"/>
        </w:rPr>
        <w:t>CUART</w:t>
      </w:r>
      <w:r w:rsidRPr="00DF23DA">
        <w:rPr>
          <w:rFonts w:ascii="Palatino Linotype" w:eastAsia="Times New Roman" w:hAnsi="Palatino Linotype" w:cs="Arial"/>
          <w:b/>
          <w:sz w:val="28"/>
          <w:lang w:eastAsia="es-ES"/>
        </w:rPr>
        <w:t>O</w:t>
      </w:r>
      <w:r w:rsidRPr="00F471AE">
        <w:rPr>
          <w:rFonts w:ascii="Palatino Linotype" w:hAnsi="Palatino Linotype" w:cs="Arial"/>
          <w:b/>
          <w:sz w:val="24"/>
          <w:szCs w:val="24"/>
        </w:rPr>
        <w:t xml:space="preserve">. </w:t>
      </w:r>
      <w:r w:rsidRPr="00F471AE">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F471AE">
        <w:rPr>
          <w:rFonts w:ascii="Palatino Linotype" w:hAnsi="Palatino Linotype" w:cs="Arial"/>
          <w:b/>
          <w:sz w:val="28"/>
          <w:szCs w:val="28"/>
        </w:rPr>
        <w:t>del recurso de revisión.</w:t>
      </w:r>
    </w:p>
    <w:p w:rsidR="00741E11" w:rsidRPr="002C3EC8" w:rsidRDefault="00741E11" w:rsidP="00741E11">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sidRPr="002C3EC8">
        <w:rPr>
          <w:rFonts w:ascii="Palatino Linotype" w:hAnsi="Palatino Linotype"/>
          <w:sz w:val="24"/>
        </w:rPr>
        <w:t xml:space="preserve"> en fecha </w:t>
      </w:r>
      <w:r w:rsidR="007B35E4">
        <w:rPr>
          <w:rFonts w:ascii="Palatino Linotype" w:hAnsi="Palatino Linotype"/>
          <w:b/>
          <w:sz w:val="24"/>
        </w:rPr>
        <w:t>tres de jul</w:t>
      </w:r>
      <w:r>
        <w:rPr>
          <w:rFonts w:ascii="Palatino Linotype" w:hAnsi="Palatino Linotype"/>
          <w:b/>
          <w:sz w:val="24"/>
        </w:rPr>
        <w:t>io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741E11" w:rsidRPr="00DF23DA" w:rsidRDefault="00741E11" w:rsidP="00741E11">
      <w:pPr>
        <w:spacing w:after="0" w:line="360" w:lineRule="auto"/>
        <w:jc w:val="both"/>
        <w:rPr>
          <w:rFonts w:ascii="Palatino Linotype" w:hAnsi="Palatino Linotype" w:cs="Arial"/>
          <w:sz w:val="24"/>
          <w:szCs w:val="28"/>
          <w:lang w:val="es-ES"/>
        </w:rPr>
      </w:pPr>
    </w:p>
    <w:p w:rsidR="00741E11" w:rsidRDefault="00741E11" w:rsidP="00741E11">
      <w:pPr>
        <w:spacing w:after="0" w:line="360" w:lineRule="auto"/>
        <w:jc w:val="both"/>
        <w:rPr>
          <w:rFonts w:ascii="Palatino Linotype" w:hAnsi="Palatino Linotype" w:cs="Arial"/>
          <w:b/>
          <w:sz w:val="28"/>
          <w:szCs w:val="28"/>
        </w:rPr>
      </w:pPr>
      <w:r>
        <w:rPr>
          <w:rFonts w:ascii="Palatino Linotype" w:hAnsi="Palatino Linotype" w:cs="Arial"/>
          <w:b/>
          <w:sz w:val="28"/>
          <w:szCs w:val="28"/>
        </w:rPr>
        <w:t>QUINTO</w:t>
      </w:r>
      <w:r w:rsidRPr="00DF23DA">
        <w:rPr>
          <w:rFonts w:ascii="Palatino Linotype" w:hAnsi="Palatino Linotype" w:cs="Arial"/>
          <w:b/>
          <w:sz w:val="28"/>
          <w:szCs w:val="28"/>
        </w:rPr>
        <w:t xml:space="preserve">. </w:t>
      </w:r>
      <w:r>
        <w:rPr>
          <w:rFonts w:ascii="Palatino Linotype" w:hAnsi="Palatino Linotype" w:cs="Arial"/>
          <w:b/>
          <w:sz w:val="28"/>
          <w:szCs w:val="28"/>
        </w:rPr>
        <w:t>De la Etapa de Instrucción.</w:t>
      </w:r>
    </w:p>
    <w:p w:rsidR="00741E11" w:rsidRPr="00CB5878" w:rsidRDefault="00741E11" w:rsidP="00741E11">
      <w:pPr>
        <w:spacing w:line="360" w:lineRule="auto"/>
        <w:jc w:val="both"/>
        <w:rPr>
          <w:rFonts w:ascii="Palatino Linotype" w:hAnsi="Palatino Linotype" w:cs="Arial"/>
          <w:sz w:val="24"/>
          <w:lang w:val="es-ES_tradnl"/>
        </w:rPr>
      </w:pPr>
      <w:r w:rsidRPr="00CB5878">
        <w:rPr>
          <w:rFonts w:ascii="Palatino Linotype" w:hAnsi="Palatino Linotype" w:cs="Arial"/>
          <w:sz w:val="24"/>
        </w:rPr>
        <w:t>De</w:t>
      </w:r>
      <w:r w:rsidRPr="00CB5878">
        <w:rPr>
          <w:rFonts w:ascii="Palatino Linotype" w:hAnsi="Palatino Linotype" w:cs="Arial"/>
          <w:sz w:val="24"/>
          <w:lang w:val="es-ES_tradnl"/>
        </w:rPr>
        <w:t xml:space="preserve"> las </w:t>
      </w:r>
      <w:r w:rsidRPr="00CB5878">
        <w:rPr>
          <w:rFonts w:ascii="Palatino Linotype" w:hAnsi="Palatino Linotype" w:cs="Arial"/>
          <w:sz w:val="24"/>
        </w:rPr>
        <w:t>constancias</w:t>
      </w:r>
      <w:r w:rsidRPr="00CB5878">
        <w:rPr>
          <w:rFonts w:ascii="Palatino Linotype" w:hAnsi="Palatino Linotype" w:cs="Arial"/>
          <w:sz w:val="24"/>
          <w:lang w:val="es-ES_tradnl"/>
        </w:rPr>
        <w:t xml:space="preserve"> que obran en el </w:t>
      </w:r>
      <w:r w:rsidRPr="00CB5878">
        <w:rPr>
          <w:rFonts w:ascii="Palatino Linotype" w:hAnsi="Palatino Linotype" w:cs="Arial"/>
          <w:b/>
          <w:sz w:val="24"/>
          <w:lang w:val="es-ES_tradnl"/>
        </w:rPr>
        <w:t>SAIMEX</w:t>
      </w:r>
      <w:r w:rsidRPr="00CB5878">
        <w:rPr>
          <w:rFonts w:ascii="Palatino Linotype" w:hAnsi="Palatino Linotype" w:cs="Arial"/>
          <w:sz w:val="24"/>
          <w:lang w:val="es-ES_tradnl"/>
        </w:rPr>
        <w:t>, se advierte que el</w:t>
      </w:r>
      <w:r w:rsidRPr="00CB5878">
        <w:rPr>
          <w:rFonts w:ascii="Palatino Linotype" w:hAnsi="Palatino Linotype" w:cs="Arial"/>
          <w:b/>
          <w:sz w:val="24"/>
          <w:lang w:val="es-ES_tradnl"/>
        </w:rPr>
        <w:t xml:space="preserve"> Sujeto Obligado</w:t>
      </w:r>
      <w:r w:rsidRPr="00CB5878">
        <w:rPr>
          <w:rFonts w:ascii="Palatino Linotype" w:hAnsi="Palatino Linotype" w:cs="Arial"/>
          <w:sz w:val="24"/>
          <w:lang w:val="es-ES_tradnl"/>
        </w:rPr>
        <w:t xml:space="preserve"> rindió su informe justificado</w:t>
      </w:r>
      <w:r w:rsidR="007B35E4">
        <w:rPr>
          <w:rFonts w:ascii="Palatino Linotype" w:hAnsi="Palatino Linotype" w:cs="Arial"/>
          <w:sz w:val="24"/>
          <w:lang w:val="es-ES_tradnl"/>
        </w:rPr>
        <w:t xml:space="preserve"> el dio ocho de julio</w:t>
      </w:r>
      <w:r w:rsidRPr="00CB5878">
        <w:rPr>
          <w:rFonts w:ascii="Palatino Linotype" w:hAnsi="Palatino Linotype" w:cs="Arial"/>
          <w:sz w:val="24"/>
          <w:lang w:val="es-ES_tradnl"/>
        </w:rPr>
        <w:t xml:space="preserve"> </w:t>
      </w:r>
      <w:r w:rsidR="007B35E4">
        <w:rPr>
          <w:rFonts w:ascii="Palatino Linotype" w:hAnsi="Palatino Linotype" w:cs="Arial"/>
          <w:sz w:val="24"/>
          <w:lang w:val="es-ES_tradnl"/>
        </w:rPr>
        <w:t xml:space="preserve">de dos mil veinticuatro </w:t>
      </w:r>
      <w:r w:rsidRPr="00CB5878">
        <w:rPr>
          <w:rFonts w:ascii="Palatino Linotype" w:hAnsi="Palatino Linotype" w:cs="Arial"/>
          <w:sz w:val="24"/>
          <w:lang w:val="es-ES_tradnl"/>
        </w:rPr>
        <w:t>por medio de</w:t>
      </w:r>
      <w:r>
        <w:rPr>
          <w:rFonts w:ascii="Palatino Linotype" w:hAnsi="Palatino Linotype" w:cs="Arial"/>
          <w:sz w:val="24"/>
          <w:lang w:val="es-ES_tradnl"/>
        </w:rPr>
        <w:t xml:space="preserve"> </w:t>
      </w:r>
      <w:r w:rsidRPr="00CB5878">
        <w:rPr>
          <w:rFonts w:ascii="Palatino Linotype" w:hAnsi="Palatino Linotype" w:cs="Arial"/>
          <w:sz w:val="24"/>
          <w:lang w:val="es-ES_tradnl"/>
        </w:rPr>
        <w:t>l</w:t>
      </w:r>
      <w:r>
        <w:rPr>
          <w:rFonts w:ascii="Palatino Linotype" w:hAnsi="Palatino Linotype" w:cs="Arial"/>
          <w:sz w:val="24"/>
          <w:lang w:val="es-ES_tradnl"/>
        </w:rPr>
        <w:t>os</w:t>
      </w:r>
      <w:r w:rsidRPr="00CB5878">
        <w:rPr>
          <w:rFonts w:ascii="Palatino Linotype" w:hAnsi="Palatino Linotype" w:cs="Arial"/>
          <w:sz w:val="24"/>
          <w:lang w:val="es-ES_tradnl"/>
        </w:rPr>
        <w:t xml:space="preserve"> archivo</w:t>
      </w:r>
      <w:r>
        <w:rPr>
          <w:rFonts w:ascii="Palatino Linotype" w:hAnsi="Palatino Linotype" w:cs="Arial"/>
          <w:sz w:val="24"/>
          <w:lang w:val="es-ES_tradnl"/>
        </w:rPr>
        <w:t>s</w:t>
      </w:r>
      <w:r w:rsidRPr="00CB5878">
        <w:rPr>
          <w:rFonts w:ascii="Palatino Linotype" w:hAnsi="Palatino Linotype" w:cs="Arial"/>
          <w:sz w:val="24"/>
          <w:lang w:val="es-ES_tradnl"/>
        </w:rPr>
        <w:t xml:space="preserve"> </w:t>
      </w:r>
      <w:r w:rsidRPr="00CB5878">
        <w:rPr>
          <w:rFonts w:ascii="Palatino Linotype" w:hAnsi="Palatino Linotype" w:cs="Arial"/>
          <w:b/>
          <w:sz w:val="24"/>
          <w:lang w:val="es-ES_tradnl"/>
        </w:rPr>
        <w:t>“</w:t>
      </w:r>
      <w:proofErr w:type="spellStart"/>
      <w:r w:rsidR="007B35E4" w:rsidRPr="007B35E4">
        <w:rPr>
          <w:rFonts w:ascii="Palatino Linotype" w:hAnsi="Palatino Linotype" w:cs="Arial"/>
          <w:b/>
          <w:sz w:val="24"/>
          <w:lang w:val="es-ES_tradnl"/>
        </w:rPr>
        <w:t>saimex</w:t>
      </w:r>
      <w:proofErr w:type="spellEnd"/>
      <w:r w:rsidR="007B35E4" w:rsidRPr="007B35E4">
        <w:rPr>
          <w:rFonts w:ascii="Palatino Linotype" w:hAnsi="Palatino Linotype" w:cs="Arial"/>
          <w:b/>
          <w:sz w:val="24"/>
          <w:lang w:val="es-ES_tradnl"/>
        </w:rPr>
        <w:t xml:space="preserve"> 81-2024.pdf</w:t>
      </w:r>
      <w:r w:rsidRPr="00CB5878">
        <w:rPr>
          <w:rFonts w:ascii="Palatino Linotype" w:hAnsi="Palatino Linotype" w:cs="Arial"/>
          <w:b/>
          <w:sz w:val="24"/>
          <w:lang w:val="es-ES_tradnl"/>
        </w:rPr>
        <w:t>”</w:t>
      </w:r>
      <w:r>
        <w:rPr>
          <w:rFonts w:ascii="Palatino Linotype" w:hAnsi="Palatino Linotype" w:cs="Arial"/>
          <w:b/>
          <w:sz w:val="24"/>
          <w:lang w:val="es-ES_tradnl"/>
        </w:rPr>
        <w:t xml:space="preserve"> y “</w:t>
      </w:r>
      <w:r w:rsidR="007B35E4" w:rsidRPr="007B35E4">
        <w:rPr>
          <w:rFonts w:ascii="Palatino Linotype" w:hAnsi="Palatino Linotype" w:cs="Arial"/>
          <w:b/>
          <w:sz w:val="24"/>
          <w:lang w:val="es-ES_tradnl"/>
        </w:rPr>
        <w:t>FOLIO 00081-STMEM-IP-2024.pdf</w:t>
      </w:r>
      <w:r>
        <w:rPr>
          <w:rFonts w:ascii="Palatino Linotype" w:hAnsi="Palatino Linotype" w:cs="Arial"/>
          <w:b/>
          <w:sz w:val="24"/>
          <w:lang w:val="es-ES_tradnl"/>
        </w:rPr>
        <w:t>”</w:t>
      </w:r>
      <w:r w:rsidR="007B35E4">
        <w:rPr>
          <w:rFonts w:ascii="Palatino Linotype" w:hAnsi="Palatino Linotype" w:cs="Arial"/>
          <w:b/>
          <w:sz w:val="24"/>
          <w:lang w:val="es-ES_tradnl"/>
        </w:rPr>
        <w:t xml:space="preserve">, </w:t>
      </w:r>
      <w:r w:rsidR="007B35E4">
        <w:rPr>
          <w:rFonts w:ascii="Palatino Linotype" w:hAnsi="Palatino Linotype" w:cs="Arial"/>
          <w:sz w:val="24"/>
          <w:lang w:val="es-ES_tradnl"/>
        </w:rPr>
        <w:t>mismos que fueron puestos a la vista en fecha catorce de agosto de dos mil veinticuatro, por otro lado, el Sujeto Obligado también adjuntó los archivos electrónicos</w:t>
      </w:r>
      <w:r w:rsidR="007B35E4">
        <w:rPr>
          <w:rFonts w:ascii="Palatino Linotype" w:hAnsi="Palatino Linotype" w:cs="Arial"/>
          <w:b/>
          <w:sz w:val="24"/>
          <w:lang w:val="es-ES_tradnl"/>
        </w:rPr>
        <w:t xml:space="preserve"> “</w:t>
      </w:r>
      <w:r w:rsidR="007B35E4" w:rsidRPr="007B35E4">
        <w:rPr>
          <w:rFonts w:ascii="Palatino Linotype" w:hAnsi="Palatino Linotype" w:cs="Arial"/>
          <w:b/>
          <w:sz w:val="24"/>
          <w:lang w:val="es-ES_tradnl"/>
        </w:rPr>
        <w:t>RES NOM 2DA MAR 24.xlsx</w:t>
      </w:r>
      <w:r w:rsidR="007B35E4">
        <w:rPr>
          <w:rFonts w:ascii="Palatino Linotype" w:hAnsi="Palatino Linotype" w:cs="Arial"/>
          <w:b/>
          <w:sz w:val="24"/>
          <w:lang w:val="es-ES_tradnl"/>
        </w:rPr>
        <w:t>” y “</w:t>
      </w:r>
      <w:r w:rsidR="007B35E4" w:rsidRPr="007B35E4">
        <w:rPr>
          <w:rFonts w:ascii="Palatino Linotype" w:hAnsi="Palatino Linotype" w:cs="Arial"/>
          <w:b/>
          <w:sz w:val="24"/>
          <w:lang w:val="es-ES_tradnl"/>
        </w:rPr>
        <w:t>DOCUMENTACIÓN FOLIO 81.pdf</w:t>
      </w:r>
      <w:r w:rsidR="007B35E4">
        <w:rPr>
          <w:rFonts w:ascii="Palatino Linotype" w:hAnsi="Palatino Linotype" w:cs="Arial"/>
          <w:b/>
          <w:sz w:val="24"/>
          <w:lang w:val="es-ES_tradnl"/>
        </w:rPr>
        <w:t>”</w:t>
      </w:r>
      <w:r w:rsidRPr="00CB5878">
        <w:rPr>
          <w:rFonts w:ascii="Palatino Linotype" w:hAnsi="Palatino Linotype" w:cs="Arial"/>
          <w:sz w:val="24"/>
          <w:lang w:val="es-ES_tradnl"/>
        </w:rPr>
        <w:t>, documento</w:t>
      </w:r>
      <w:r>
        <w:rPr>
          <w:rFonts w:ascii="Palatino Linotype" w:hAnsi="Palatino Linotype" w:cs="Arial"/>
          <w:sz w:val="24"/>
          <w:lang w:val="es-ES_tradnl"/>
        </w:rPr>
        <w:t>s</w:t>
      </w:r>
      <w:r w:rsidRPr="00CB5878">
        <w:rPr>
          <w:rFonts w:ascii="Palatino Linotype" w:hAnsi="Palatino Linotype" w:cs="Arial"/>
          <w:sz w:val="24"/>
          <w:lang w:val="es-ES_tradnl"/>
        </w:rPr>
        <w:t xml:space="preserve"> que </w:t>
      </w:r>
      <w:r>
        <w:rPr>
          <w:rFonts w:ascii="Palatino Linotype" w:hAnsi="Palatino Linotype" w:cs="Arial"/>
          <w:sz w:val="24"/>
          <w:lang w:val="es-ES_tradnl"/>
        </w:rPr>
        <w:t xml:space="preserve">no </w:t>
      </w:r>
      <w:r w:rsidRPr="00CB5878">
        <w:rPr>
          <w:rFonts w:ascii="Palatino Linotype" w:hAnsi="Palatino Linotype" w:cs="Arial"/>
          <w:sz w:val="24"/>
          <w:lang w:val="es-ES_tradnl"/>
        </w:rPr>
        <w:t>fue</w:t>
      </w:r>
      <w:r>
        <w:rPr>
          <w:rFonts w:ascii="Palatino Linotype" w:hAnsi="Palatino Linotype" w:cs="Arial"/>
          <w:sz w:val="24"/>
          <w:lang w:val="es-ES_tradnl"/>
        </w:rPr>
        <w:t>ron</w:t>
      </w:r>
      <w:r w:rsidRPr="00CB5878">
        <w:rPr>
          <w:rFonts w:ascii="Palatino Linotype" w:hAnsi="Palatino Linotype" w:cs="Arial"/>
          <w:sz w:val="24"/>
          <w:lang w:val="es-ES_tradnl"/>
        </w:rPr>
        <w:t xml:space="preserve"> puesto</w:t>
      </w:r>
      <w:r>
        <w:rPr>
          <w:rFonts w:ascii="Palatino Linotype" w:hAnsi="Palatino Linotype" w:cs="Arial"/>
          <w:sz w:val="24"/>
          <w:lang w:val="es-ES_tradnl"/>
        </w:rPr>
        <w:t>s</w:t>
      </w:r>
      <w:r w:rsidRPr="00CB5878">
        <w:rPr>
          <w:rFonts w:ascii="Palatino Linotype" w:hAnsi="Palatino Linotype" w:cs="Arial"/>
          <w:sz w:val="24"/>
          <w:lang w:val="es-ES_tradnl"/>
        </w:rPr>
        <w:t xml:space="preserve"> a la vista</w:t>
      </w:r>
      <w:r>
        <w:rPr>
          <w:rFonts w:ascii="Palatino Linotype" w:hAnsi="Palatino Linotype" w:cs="Arial"/>
          <w:sz w:val="24"/>
          <w:lang w:val="es-ES_tradnl"/>
        </w:rPr>
        <w:t xml:space="preserve"> del</w:t>
      </w:r>
      <w:r w:rsidRPr="00CB5878">
        <w:rPr>
          <w:rFonts w:ascii="Palatino Linotype" w:hAnsi="Palatino Linotype" w:cs="Arial"/>
          <w:sz w:val="24"/>
          <w:lang w:val="es-ES_tradnl"/>
        </w:rPr>
        <w:t xml:space="preserve"> </w:t>
      </w:r>
      <w:r>
        <w:rPr>
          <w:rFonts w:ascii="Palatino Linotype" w:hAnsi="Palatino Linotype" w:cs="Arial"/>
          <w:b/>
          <w:sz w:val="24"/>
          <w:lang w:val="es-ES_tradnl"/>
        </w:rPr>
        <w:t xml:space="preserve">Recurrente </w:t>
      </w:r>
      <w:r>
        <w:rPr>
          <w:rFonts w:ascii="Palatino Linotype" w:hAnsi="Palatino Linotype" w:cs="Arial"/>
          <w:sz w:val="24"/>
          <w:lang w:val="es-ES_tradnl"/>
        </w:rPr>
        <w:t xml:space="preserve">por contener documentos susceptibles de ser </w:t>
      </w:r>
      <w:r>
        <w:rPr>
          <w:rFonts w:ascii="Palatino Linotype" w:hAnsi="Palatino Linotype" w:cs="Arial"/>
          <w:sz w:val="24"/>
          <w:lang w:val="es-ES_tradnl"/>
        </w:rPr>
        <w:lastRenderedPageBreak/>
        <w:t xml:space="preserve">clasificados como confidenciales, sin embargo, en el Considerando respectivo se analizará la naturaleza de los mismos.  </w:t>
      </w:r>
    </w:p>
    <w:p w:rsidR="00741E11" w:rsidRPr="00DF23DA" w:rsidRDefault="00741E11" w:rsidP="00741E11">
      <w:pPr>
        <w:spacing w:after="0" w:line="360" w:lineRule="auto"/>
        <w:jc w:val="both"/>
        <w:rPr>
          <w:rFonts w:ascii="Palatino Linotype" w:hAnsi="Palatino Linotype" w:cs="Arial"/>
          <w:sz w:val="24"/>
          <w:szCs w:val="24"/>
        </w:rPr>
      </w:pPr>
    </w:p>
    <w:p w:rsidR="007B35E4" w:rsidRPr="003559BD" w:rsidRDefault="00741E11" w:rsidP="007B35E4">
      <w:pPr>
        <w:spacing w:line="360" w:lineRule="auto"/>
        <w:jc w:val="both"/>
        <w:rPr>
          <w:rFonts w:ascii="Palatino Linotype" w:eastAsia="Calibri" w:hAnsi="Palatino Linotype" w:cs="Arial"/>
          <w:b/>
          <w:sz w:val="28"/>
          <w:lang w:val="es-ES_tradnl"/>
        </w:rPr>
      </w:pPr>
      <w:r>
        <w:rPr>
          <w:rFonts w:ascii="Palatino Linotype" w:hAnsi="Palatino Linotype" w:cs="Arial"/>
          <w:b/>
          <w:sz w:val="28"/>
          <w:szCs w:val="28"/>
        </w:rPr>
        <w:t>SEXT</w:t>
      </w:r>
      <w:r w:rsidRPr="00DF23DA">
        <w:rPr>
          <w:rFonts w:ascii="Palatino Linotype" w:hAnsi="Palatino Linotype" w:cs="Arial"/>
          <w:b/>
          <w:sz w:val="28"/>
          <w:szCs w:val="28"/>
        </w:rPr>
        <w:t xml:space="preserve">O. </w:t>
      </w:r>
      <w:r w:rsidR="007B35E4" w:rsidRPr="003559BD">
        <w:rPr>
          <w:rFonts w:ascii="Palatino Linotype" w:eastAsia="Calibri" w:hAnsi="Palatino Linotype" w:cs="Arial"/>
          <w:b/>
          <w:sz w:val="28"/>
          <w:lang w:val="es-ES_tradnl"/>
        </w:rPr>
        <w:t>De la ampliación del término para resolver.</w:t>
      </w:r>
    </w:p>
    <w:p w:rsidR="007B35E4" w:rsidRPr="00D36597" w:rsidRDefault="007B35E4" w:rsidP="007B35E4">
      <w:pPr>
        <w:spacing w:line="360" w:lineRule="auto"/>
        <w:jc w:val="both"/>
        <w:rPr>
          <w:rFonts w:ascii="Palatino Linotype" w:hAnsi="Palatino Linotype" w:cs="Arial"/>
          <w:sz w:val="24"/>
        </w:rPr>
      </w:pPr>
      <w:r w:rsidRPr="00D36597">
        <w:rPr>
          <w:rFonts w:ascii="Palatino Linotype" w:hAnsi="Palatino Linotype" w:cs="Arial"/>
          <w:sz w:val="24"/>
        </w:rPr>
        <w:t xml:space="preserve">De las constancias que integran el expediente electrónico, se advierte que han transcurrido los términos de Ley, para la emisión de la resolución en el presente recurso de revisión, por lo que en fecha </w:t>
      </w:r>
      <w:r w:rsidR="00F4020D">
        <w:rPr>
          <w:rFonts w:ascii="Palatino Linotype" w:hAnsi="Palatino Linotype" w:cs="Arial"/>
          <w:b/>
          <w:sz w:val="24"/>
          <w:szCs w:val="24"/>
        </w:rPr>
        <w:t>veintinueve</w:t>
      </w:r>
      <w:r>
        <w:rPr>
          <w:rFonts w:ascii="Palatino Linotype" w:eastAsia="Calibri" w:hAnsi="Palatino Linotype" w:cs="Arial"/>
          <w:b/>
          <w:sz w:val="24"/>
          <w:lang w:val="es-ES_tradnl"/>
        </w:rPr>
        <w:t xml:space="preserve"> de agosto</w:t>
      </w:r>
      <w:r w:rsidRPr="00D36597">
        <w:rPr>
          <w:rFonts w:ascii="Palatino Linotype" w:eastAsia="Calibri" w:hAnsi="Palatino Linotype" w:cs="Arial"/>
          <w:b/>
          <w:sz w:val="24"/>
          <w:lang w:val="es-ES_tradnl"/>
        </w:rPr>
        <w:t xml:space="preserve"> de dos mil veinticuatro</w:t>
      </w:r>
      <w:r w:rsidRPr="00D36597">
        <w:rPr>
          <w:rFonts w:ascii="Palatino Linotype" w:hAnsi="Palatino Linotype" w:cs="Arial"/>
          <w:sz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741E11" w:rsidRDefault="00741E11" w:rsidP="00741E11">
      <w:pPr>
        <w:spacing w:after="0" w:line="360" w:lineRule="auto"/>
        <w:jc w:val="both"/>
        <w:rPr>
          <w:rFonts w:ascii="Palatino Linotype" w:hAnsi="Palatino Linotype" w:cs="Arial"/>
          <w:sz w:val="24"/>
          <w:szCs w:val="24"/>
        </w:rPr>
      </w:pPr>
    </w:p>
    <w:p w:rsidR="007B35E4" w:rsidRDefault="00741E11" w:rsidP="007B35E4">
      <w:pPr>
        <w:spacing w:after="0" w:line="360" w:lineRule="auto"/>
        <w:jc w:val="both"/>
        <w:rPr>
          <w:rFonts w:ascii="Palatino Linotype" w:hAnsi="Palatino Linotype" w:cs="Arial"/>
          <w:b/>
          <w:sz w:val="28"/>
          <w:szCs w:val="28"/>
        </w:rPr>
      </w:pPr>
      <w:r>
        <w:rPr>
          <w:rFonts w:ascii="Palatino Linotype" w:hAnsi="Palatino Linotype" w:cs="Arial"/>
          <w:b/>
          <w:sz w:val="28"/>
          <w:szCs w:val="28"/>
        </w:rPr>
        <w:t>SÉPTIMO</w:t>
      </w:r>
      <w:r w:rsidRPr="002C3EC8">
        <w:rPr>
          <w:rFonts w:ascii="Palatino Linotype" w:hAnsi="Palatino Linotype" w:cs="Arial"/>
          <w:b/>
          <w:sz w:val="28"/>
          <w:szCs w:val="28"/>
        </w:rPr>
        <w:t xml:space="preserve">. </w:t>
      </w:r>
      <w:r w:rsidR="007B35E4">
        <w:rPr>
          <w:rFonts w:ascii="Palatino Linotype" w:hAnsi="Palatino Linotype" w:cs="Arial"/>
          <w:b/>
          <w:sz w:val="28"/>
          <w:szCs w:val="28"/>
        </w:rPr>
        <w:t>Del Cierre de Instrucción.</w:t>
      </w:r>
    </w:p>
    <w:p w:rsidR="007B35E4" w:rsidRDefault="007B35E4" w:rsidP="007B35E4">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E91BE7">
        <w:rPr>
          <w:rFonts w:ascii="Palatino Linotype" w:hAnsi="Palatino Linotype" w:cs="Arial"/>
          <w:b/>
          <w:sz w:val="24"/>
          <w:szCs w:val="24"/>
        </w:rPr>
        <w:t>cierre de instrucción</w:t>
      </w:r>
      <w:r>
        <w:rPr>
          <w:rFonts w:ascii="Palatino Linotype" w:hAnsi="Palatino Linotype" w:cs="Arial"/>
          <w:sz w:val="24"/>
          <w:szCs w:val="24"/>
        </w:rPr>
        <w:t xml:space="preserve"> en fecha </w:t>
      </w:r>
      <w:r>
        <w:rPr>
          <w:rFonts w:ascii="Palatino Linotype" w:hAnsi="Palatino Linotype" w:cs="Arial"/>
          <w:b/>
          <w:sz w:val="24"/>
          <w:szCs w:val="24"/>
        </w:rPr>
        <w:t>tres de septiembre de dos mil veinticuatro</w:t>
      </w:r>
      <w:r w:rsidRPr="00DF23DA">
        <w:rPr>
          <w:rFonts w:ascii="Palatino Linotype" w:hAnsi="Palatino Linotype" w:cs="Arial"/>
          <w:sz w:val="24"/>
          <w:szCs w:val="24"/>
        </w:rPr>
        <w:t>, en términos del artículo 185 fracción VI de la Ley de Transparencia y Acceso a la Información Pública del Estado de México y Mu</w:t>
      </w:r>
      <w:r>
        <w:rPr>
          <w:rFonts w:ascii="Palatino Linotype" w:hAnsi="Palatino Linotype" w:cs="Arial"/>
          <w:sz w:val="24"/>
          <w:szCs w:val="24"/>
        </w:rPr>
        <w:t>nicipios, ordenándose turnar el expediente</w:t>
      </w:r>
      <w:r w:rsidRPr="00DF23DA">
        <w:rPr>
          <w:rFonts w:ascii="Palatino Linotype" w:hAnsi="Palatino Linotype" w:cs="Arial"/>
          <w:sz w:val="24"/>
          <w:szCs w:val="24"/>
        </w:rPr>
        <w:t xml:space="preserve"> a la res</w:t>
      </w:r>
      <w:r>
        <w:rPr>
          <w:rFonts w:ascii="Palatino Linotype" w:hAnsi="Palatino Linotype" w:cs="Arial"/>
          <w:sz w:val="24"/>
          <w:szCs w:val="24"/>
        </w:rPr>
        <w:t>olución que en derecho proceda.</w:t>
      </w:r>
    </w:p>
    <w:p w:rsidR="00741E11" w:rsidRPr="00D36597" w:rsidRDefault="00741E11" w:rsidP="007B35E4">
      <w:pPr>
        <w:spacing w:line="360" w:lineRule="auto"/>
        <w:jc w:val="both"/>
        <w:rPr>
          <w:rFonts w:ascii="Palatino Linotype" w:hAnsi="Palatino Linotype" w:cs="Arial"/>
          <w:sz w:val="24"/>
        </w:rPr>
      </w:pPr>
    </w:p>
    <w:p w:rsidR="00741E11" w:rsidRPr="00DF23DA" w:rsidRDefault="00741E11" w:rsidP="00741E11">
      <w:pPr>
        <w:spacing w:after="0" w:line="360" w:lineRule="auto"/>
        <w:jc w:val="both"/>
        <w:rPr>
          <w:rFonts w:ascii="Palatino Linotype" w:hAnsi="Palatino Linotype" w:cs="Arial"/>
          <w:sz w:val="24"/>
          <w:szCs w:val="24"/>
        </w:rPr>
      </w:pPr>
    </w:p>
    <w:p w:rsidR="00741E11" w:rsidRPr="00DF23DA" w:rsidRDefault="00741E11" w:rsidP="00741E11">
      <w:pPr>
        <w:spacing w:after="0" w:line="360" w:lineRule="auto"/>
        <w:jc w:val="both"/>
        <w:rPr>
          <w:rFonts w:ascii="Palatino Linotype" w:hAnsi="Palatino Linotype" w:cs="Arial"/>
          <w:sz w:val="24"/>
          <w:szCs w:val="24"/>
        </w:rPr>
      </w:pPr>
    </w:p>
    <w:p w:rsidR="00741E11" w:rsidRPr="00DF23DA" w:rsidRDefault="00741E11" w:rsidP="00741E11">
      <w:pPr>
        <w:spacing w:after="0" w:line="360" w:lineRule="auto"/>
        <w:jc w:val="center"/>
        <w:rPr>
          <w:rFonts w:ascii="Palatino Linotype" w:hAnsi="Palatino Linotype" w:cs="Arial"/>
          <w:sz w:val="24"/>
          <w:szCs w:val="24"/>
        </w:rPr>
      </w:pPr>
      <w:r w:rsidRPr="00DF23DA">
        <w:rPr>
          <w:rFonts w:ascii="Palatino Linotype" w:hAnsi="Palatino Linotype" w:cs="Arial"/>
          <w:b/>
          <w:sz w:val="28"/>
          <w:szCs w:val="24"/>
        </w:rPr>
        <w:lastRenderedPageBreak/>
        <w:t xml:space="preserve">C O N S I D E R A N D O </w:t>
      </w:r>
    </w:p>
    <w:p w:rsidR="00741E11" w:rsidRPr="00DF23DA" w:rsidRDefault="00741E11" w:rsidP="00741E11">
      <w:pPr>
        <w:spacing w:after="0" w:line="360" w:lineRule="auto"/>
        <w:jc w:val="center"/>
        <w:rPr>
          <w:rFonts w:ascii="Palatino Linotype" w:hAnsi="Palatino Linotype" w:cs="Arial"/>
          <w:sz w:val="24"/>
          <w:szCs w:val="24"/>
        </w:rPr>
      </w:pPr>
    </w:p>
    <w:p w:rsidR="00741E11" w:rsidRPr="00DF23DA" w:rsidRDefault="00741E11" w:rsidP="00741E11">
      <w:pPr>
        <w:spacing w:after="0" w:line="360" w:lineRule="auto"/>
        <w:jc w:val="both"/>
        <w:rPr>
          <w:rFonts w:ascii="Palatino Linotype" w:hAnsi="Palatino Linotype" w:cs="Arial"/>
          <w:sz w:val="28"/>
          <w:szCs w:val="28"/>
        </w:rPr>
      </w:pPr>
      <w:r w:rsidRPr="00DF23DA">
        <w:rPr>
          <w:rFonts w:ascii="Palatino Linotype" w:hAnsi="Palatino Linotype" w:cs="Arial"/>
          <w:b/>
          <w:sz w:val="28"/>
          <w:szCs w:val="28"/>
        </w:rPr>
        <w:t xml:space="preserve">PRIMERO. </w:t>
      </w:r>
      <w:r w:rsidRPr="00DF23DA">
        <w:rPr>
          <w:rFonts w:ascii="Palatino Linotype" w:hAnsi="Palatino Linotype" w:cs="Arial"/>
          <w:b/>
          <w:sz w:val="26"/>
          <w:szCs w:val="26"/>
        </w:rPr>
        <w:t>De la competencia</w:t>
      </w:r>
      <w:r w:rsidRPr="00DF23DA">
        <w:rPr>
          <w:rFonts w:ascii="Palatino Linotype" w:hAnsi="Palatino Linotype" w:cs="Arial"/>
          <w:sz w:val="26"/>
          <w:szCs w:val="26"/>
        </w:rPr>
        <w:t>.</w:t>
      </w:r>
    </w:p>
    <w:p w:rsidR="00741E11" w:rsidRPr="007C6AB6" w:rsidRDefault="00741E11" w:rsidP="00741E11">
      <w:pPr>
        <w:tabs>
          <w:tab w:val="left" w:pos="3402"/>
        </w:tabs>
        <w:spacing w:line="360" w:lineRule="auto"/>
        <w:jc w:val="both"/>
        <w:rPr>
          <w:rFonts w:ascii="Palatino Linotype" w:hAnsi="Palatino Linotype"/>
          <w:sz w:val="24"/>
        </w:rPr>
      </w:pPr>
      <w:r w:rsidRPr="007C6AB6">
        <w:rPr>
          <w:rFonts w:ascii="Palatino Linotype" w:hAnsi="Palatino Linotype"/>
          <w:sz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sz w:val="24"/>
        </w:rPr>
        <w:t xml:space="preserve"> y </w:t>
      </w:r>
      <w:r w:rsidRPr="007C6AB6">
        <w:rPr>
          <w:rFonts w:ascii="Palatino Linotype" w:hAnsi="Palatino Linotype"/>
          <w:sz w:val="24"/>
        </w:rPr>
        <w:t xml:space="preserve">trigésimo </w:t>
      </w:r>
      <w:r>
        <w:rPr>
          <w:rFonts w:ascii="Palatino Linotype" w:hAnsi="Palatino Linotype"/>
          <w:sz w:val="24"/>
        </w:rPr>
        <w:t>cuarto</w:t>
      </w:r>
      <w:r w:rsidRPr="007C6AB6">
        <w:rPr>
          <w:rFonts w:ascii="Palatino Linotype" w:hAnsi="Palatino Linotype"/>
          <w:sz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741E11" w:rsidRPr="00DF23DA" w:rsidRDefault="00741E11" w:rsidP="00741E11">
      <w:pPr>
        <w:spacing w:after="0" w:line="360" w:lineRule="auto"/>
        <w:jc w:val="both"/>
        <w:rPr>
          <w:rFonts w:ascii="Palatino Linotype" w:hAnsi="Palatino Linotype" w:cs="Arial"/>
          <w:sz w:val="24"/>
          <w:szCs w:val="24"/>
        </w:rPr>
      </w:pPr>
    </w:p>
    <w:p w:rsidR="00741E11" w:rsidRPr="00667998" w:rsidRDefault="00741E11" w:rsidP="00741E11">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rsidR="00741E11" w:rsidRDefault="00741E11" w:rsidP="00741E11">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741E11" w:rsidRDefault="00741E11" w:rsidP="00741E11">
      <w:pPr>
        <w:autoSpaceDE w:val="0"/>
        <w:autoSpaceDN w:val="0"/>
        <w:adjustRightInd w:val="0"/>
        <w:spacing w:after="0" w:line="360" w:lineRule="auto"/>
        <w:jc w:val="both"/>
        <w:rPr>
          <w:rFonts w:ascii="Palatino Linotype" w:hAnsi="Palatino Linotype" w:cs="Arial"/>
          <w:sz w:val="24"/>
          <w:szCs w:val="24"/>
        </w:rPr>
      </w:pPr>
    </w:p>
    <w:p w:rsidR="00741E11" w:rsidRPr="00DF23DA" w:rsidRDefault="00741E11" w:rsidP="00741E11">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lastRenderedPageBreak/>
        <w:t>Es de precisar que la Ley de Transparencia y Acceso a la Información Pública del Estado de México y Municipios, describe el mecanismo de procedencia de los recursos de revisión, en ese sentido en su artículo 163 se indica lo siguiente:</w:t>
      </w:r>
    </w:p>
    <w:p w:rsidR="00741E11" w:rsidRPr="00DF23DA" w:rsidRDefault="00741E11" w:rsidP="00741E11">
      <w:pPr>
        <w:autoSpaceDE w:val="0"/>
        <w:autoSpaceDN w:val="0"/>
        <w:adjustRightInd w:val="0"/>
        <w:spacing w:after="0" w:line="360" w:lineRule="auto"/>
        <w:jc w:val="both"/>
        <w:rPr>
          <w:rFonts w:ascii="Palatino Linotype" w:hAnsi="Palatino Linotype" w:cs="Arial"/>
          <w:sz w:val="24"/>
          <w:szCs w:val="24"/>
        </w:rPr>
      </w:pPr>
    </w:p>
    <w:p w:rsidR="00741E11" w:rsidRPr="00DF23DA" w:rsidRDefault="00741E11" w:rsidP="00741E1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163.</w:t>
      </w:r>
      <w:r w:rsidRPr="00DF23DA">
        <w:rPr>
          <w:rFonts w:ascii="Palatino Linotype" w:eastAsia="Times New Roman" w:hAnsi="Palatino Linotype" w:cs="Arial"/>
          <w:i/>
          <w:lang w:val="es-ES" w:eastAsia="es-ES"/>
        </w:rPr>
        <w:t xml:space="preserve"> </w:t>
      </w:r>
      <w:r w:rsidRPr="00DF23DA">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rsidR="00741E11" w:rsidRPr="00DF23DA" w:rsidRDefault="00741E11" w:rsidP="00741E1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741E11" w:rsidRPr="00DF23DA" w:rsidRDefault="00741E11" w:rsidP="00741E11">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rsidR="00741E11" w:rsidRPr="00DF23DA" w:rsidRDefault="00741E11" w:rsidP="00741E11">
      <w:pPr>
        <w:autoSpaceDE w:val="0"/>
        <w:autoSpaceDN w:val="0"/>
        <w:adjustRightInd w:val="0"/>
        <w:spacing w:after="0" w:line="360" w:lineRule="auto"/>
        <w:jc w:val="both"/>
        <w:rPr>
          <w:rFonts w:ascii="Palatino Linotype" w:hAnsi="Palatino Linotype" w:cs="Arial"/>
          <w:sz w:val="24"/>
          <w:szCs w:val="24"/>
        </w:rPr>
      </w:pPr>
    </w:p>
    <w:p w:rsidR="00741E11" w:rsidRPr="00DF23DA" w:rsidRDefault="00741E11" w:rsidP="00741E11">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la interpretación al precepto legal inserto, se advierte que el plazo que les asiste a los </w:t>
      </w:r>
      <w:r w:rsidRPr="00DF23DA">
        <w:rPr>
          <w:rFonts w:ascii="Palatino Linotype" w:hAnsi="Palatino Linotype" w:cs="Arial"/>
          <w:b/>
          <w:sz w:val="24"/>
          <w:szCs w:val="24"/>
        </w:rPr>
        <w:t>sujetos</w:t>
      </w:r>
      <w:r w:rsidRPr="00DF23DA">
        <w:rPr>
          <w:rFonts w:ascii="Palatino Linotype" w:hAnsi="Palatino Linotype" w:cs="Arial"/>
          <w:sz w:val="24"/>
          <w:szCs w:val="24"/>
        </w:rPr>
        <w:t xml:space="preserve"> </w:t>
      </w:r>
      <w:r w:rsidRPr="00DF23DA">
        <w:rPr>
          <w:rFonts w:ascii="Palatino Linotype" w:hAnsi="Palatino Linotype" w:cs="Arial"/>
          <w:b/>
          <w:sz w:val="24"/>
          <w:szCs w:val="24"/>
        </w:rPr>
        <w:t>obligados</w:t>
      </w:r>
      <w:r w:rsidRPr="00DF23DA">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rsidR="00741E11" w:rsidRPr="00DF23DA" w:rsidRDefault="00741E11" w:rsidP="00741E11">
      <w:pPr>
        <w:autoSpaceDE w:val="0"/>
        <w:autoSpaceDN w:val="0"/>
        <w:adjustRightInd w:val="0"/>
        <w:spacing w:after="0" w:line="360" w:lineRule="auto"/>
        <w:jc w:val="both"/>
        <w:rPr>
          <w:rFonts w:ascii="Palatino Linotype" w:hAnsi="Palatino Linotype" w:cs="Arial"/>
          <w:sz w:val="24"/>
          <w:szCs w:val="24"/>
        </w:rPr>
      </w:pPr>
    </w:p>
    <w:p w:rsidR="00741E11" w:rsidRPr="00DF23DA" w:rsidRDefault="00741E11" w:rsidP="00741E11">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Se constituye la figura jurídica de la </w:t>
      </w:r>
      <w:r w:rsidRPr="00DF23DA">
        <w:rPr>
          <w:rFonts w:ascii="Palatino Linotype" w:hAnsi="Palatino Linotype" w:cs="Arial"/>
          <w:b/>
          <w:i/>
          <w:sz w:val="24"/>
          <w:szCs w:val="24"/>
        </w:rPr>
        <w:t>NEGATIVA FICTA</w:t>
      </w:r>
      <w:r w:rsidRPr="00DF23DA">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rsidR="00741E11" w:rsidRPr="00DF23DA" w:rsidRDefault="00741E11" w:rsidP="00741E11">
      <w:pPr>
        <w:spacing w:after="0" w:line="240" w:lineRule="auto"/>
        <w:rPr>
          <w:rFonts w:ascii="Palatino Linotype" w:hAnsi="Palatino Linotype"/>
        </w:rPr>
      </w:pPr>
    </w:p>
    <w:p w:rsidR="00741E11" w:rsidRPr="00DF23DA" w:rsidRDefault="00741E11" w:rsidP="00741E1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178.</w:t>
      </w:r>
      <w:r w:rsidRPr="00DF23DA">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741E11" w:rsidRPr="00DF23DA" w:rsidRDefault="00741E11" w:rsidP="00741E1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741E11" w:rsidRPr="00DF23DA" w:rsidRDefault="00741E11" w:rsidP="00741E1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F23DA">
        <w:rPr>
          <w:rFonts w:ascii="Palatino Linotype" w:eastAsia="Times New Roman" w:hAnsi="Palatino Linotype" w:cs="Arial"/>
          <w:i/>
          <w:lang w:val="es-ES" w:eastAsia="es-ES"/>
        </w:rPr>
        <w:t>, acompañado con el documento que pruebe la fecha en que presentó la solicitud.</w:t>
      </w:r>
    </w:p>
    <w:p w:rsidR="00741E11" w:rsidRPr="00DF23DA" w:rsidRDefault="00741E11" w:rsidP="00741E1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741E11" w:rsidRPr="00DF23DA" w:rsidRDefault="00741E11" w:rsidP="00741E1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rsidR="00741E11" w:rsidRPr="00DF23DA" w:rsidRDefault="00741E11" w:rsidP="00741E11">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rsidR="00741E11" w:rsidRPr="00DF23DA" w:rsidRDefault="00741E11" w:rsidP="00741E11">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rsidR="00741E11" w:rsidRPr="00DF23DA" w:rsidRDefault="00741E11" w:rsidP="00741E11">
      <w:pPr>
        <w:autoSpaceDE w:val="0"/>
        <w:autoSpaceDN w:val="0"/>
        <w:adjustRightInd w:val="0"/>
        <w:spacing w:after="0" w:line="360" w:lineRule="auto"/>
        <w:jc w:val="both"/>
        <w:rPr>
          <w:rFonts w:ascii="Palatino Linotype" w:hAnsi="Palatino Linotype" w:cs="Arial"/>
          <w:sz w:val="24"/>
          <w:szCs w:val="24"/>
        </w:rPr>
      </w:pPr>
    </w:p>
    <w:p w:rsidR="00741E11" w:rsidRPr="00DF23DA" w:rsidRDefault="00741E11" w:rsidP="00741E11">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F23DA">
        <w:rPr>
          <w:rFonts w:ascii="Palatino Linotype" w:hAnsi="Palatino Linotype" w:cs="Arial"/>
          <w:b/>
          <w:sz w:val="24"/>
          <w:szCs w:val="24"/>
        </w:rPr>
        <w:t>Sujeto Obligado</w:t>
      </w:r>
      <w:r w:rsidRPr="00DF23DA">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rsidR="00741E11" w:rsidRDefault="00741E11" w:rsidP="00741E11">
      <w:pPr>
        <w:pStyle w:val="Prrafodelista"/>
        <w:autoSpaceDE w:val="0"/>
        <w:autoSpaceDN w:val="0"/>
        <w:adjustRightInd w:val="0"/>
        <w:spacing w:line="360" w:lineRule="auto"/>
        <w:ind w:left="0"/>
        <w:jc w:val="both"/>
        <w:rPr>
          <w:rFonts w:ascii="Palatino Linotype" w:hAnsi="Palatino Linotype" w:cs="Arial"/>
          <w:b/>
        </w:rPr>
      </w:pPr>
    </w:p>
    <w:p w:rsidR="00741E11" w:rsidRPr="00DF23DA" w:rsidRDefault="00741E11" w:rsidP="00741E11">
      <w:pPr>
        <w:spacing w:after="0" w:line="360" w:lineRule="auto"/>
        <w:ind w:right="49"/>
        <w:jc w:val="both"/>
        <w:rPr>
          <w:rFonts w:ascii="Palatino Linotype" w:eastAsia="Times New Roman" w:hAnsi="Palatino Linotype" w:cs="Arial"/>
          <w:b/>
          <w:sz w:val="28"/>
          <w:szCs w:val="28"/>
          <w:lang w:val="es-ES" w:eastAsia="es-ES"/>
        </w:rPr>
      </w:pPr>
      <w:r w:rsidRPr="00DF23DA">
        <w:rPr>
          <w:rFonts w:ascii="Palatino Linotype" w:eastAsia="Times New Roman" w:hAnsi="Palatino Linotype" w:cs="Arial"/>
          <w:b/>
          <w:sz w:val="28"/>
          <w:szCs w:val="28"/>
          <w:lang w:val="es-ES" w:eastAsia="es-ES"/>
        </w:rPr>
        <w:t>TERCERO.</w:t>
      </w:r>
      <w:r w:rsidRPr="00DF23DA">
        <w:rPr>
          <w:rFonts w:ascii="Palatino Linotype" w:eastAsia="Times New Roman" w:hAnsi="Palatino Linotype" w:cs="Arial"/>
          <w:sz w:val="28"/>
          <w:szCs w:val="28"/>
          <w:lang w:val="es-ES" w:eastAsia="es-ES"/>
        </w:rPr>
        <w:t xml:space="preserve"> </w:t>
      </w:r>
      <w:r w:rsidRPr="00DF23DA">
        <w:rPr>
          <w:rFonts w:ascii="Palatino Linotype" w:eastAsia="Times New Roman" w:hAnsi="Palatino Linotype" w:cs="Arial"/>
          <w:b/>
          <w:sz w:val="28"/>
          <w:szCs w:val="28"/>
          <w:lang w:val="es-ES" w:eastAsia="es-ES"/>
        </w:rPr>
        <w:t xml:space="preserve">De las causas de improcedencia. </w:t>
      </w:r>
    </w:p>
    <w:p w:rsidR="00741E11" w:rsidRDefault="00741E11" w:rsidP="00741E11">
      <w:pPr>
        <w:spacing w:after="0" w:line="360" w:lineRule="auto"/>
        <w:ind w:right="49"/>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t xml:space="preserve">El estudio de las causas de improcedencia que se hagan valer por las partes o que se advierta de oficio por este </w:t>
      </w:r>
      <w:proofErr w:type="spellStart"/>
      <w:r w:rsidRPr="00DF23DA">
        <w:rPr>
          <w:rFonts w:ascii="Palatino Linotype" w:eastAsia="Times New Roman" w:hAnsi="Palatino Linotype" w:cs="Arial"/>
          <w:sz w:val="24"/>
          <w:szCs w:val="24"/>
          <w:lang w:val="es-ES" w:eastAsia="es-ES"/>
        </w:rPr>
        <w:t>Resolutor</w:t>
      </w:r>
      <w:proofErr w:type="spellEnd"/>
      <w:r w:rsidRPr="00DF23DA">
        <w:rPr>
          <w:rFonts w:ascii="Palatino Linotype" w:eastAsia="Times New Roman" w:hAnsi="Palatino Linotype" w:cs="Arial"/>
          <w:sz w:val="24"/>
          <w:szCs w:val="24"/>
          <w:lang w:val="es-ES" w:eastAsia="es-ES"/>
        </w:rPr>
        <w:t xml:space="preserve"> debe ser objeto de análisis previo al estudio de fondo del asunto, ya que el estudio de los presupuestos procesales sobre el inicio o trámite de un proceso genera eficacia jurídica de las resoluciones, más aún que se trata </w:t>
      </w:r>
      <w:r w:rsidRPr="00DF23DA">
        <w:rPr>
          <w:rFonts w:ascii="Palatino Linotype" w:eastAsia="Times New Roman" w:hAnsi="Palatino Linotype" w:cs="Arial"/>
          <w:sz w:val="24"/>
          <w:szCs w:val="24"/>
          <w:lang w:val="es-ES" w:eastAsia="es-ES"/>
        </w:rPr>
        <w:lastRenderedPageBreak/>
        <w:t>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DF23DA">
        <w:rPr>
          <w:rFonts w:ascii="Palatino Linotype" w:eastAsia="Times New Roman" w:hAnsi="Palatino Linotype" w:cs="Arial"/>
          <w:sz w:val="24"/>
          <w:szCs w:val="24"/>
          <w:vertAlign w:val="superscript"/>
          <w:lang w:val="es-ES" w:eastAsia="es-ES"/>
        </w:rPr>
        <w:footnoteReference w:id="1"/>
      </w:r>
      <w:r w:rsidRPr="00DF23DA">
        <w:rPr>
          <w:rFonts w:ascii="Palatino Linotype" w:eastAsia="Times New Roman" w:hAnsi="Palatino Linotype" w:cs="Arial"/>
          <w:sz w:val="24"/>
          <w:szCs w:val="24"/>
          <w:lang w:val="es-ES" w:eastAsia="es-ES"/>
        </w:rPr>
        <w:t>.</w:t>
      </w:r>
    </w:p>
    <w:p w:rsidR="00741E11" w:rsidRPr="00DF23DA" w:rsidRDefault="00741E11" w:rsidP="00741E11">
      <w:pPr>
        <w:spacing w:after="0" w:line="360" w:lineRule="auto"/>
        <w:ind w:right="49"/>
        <w:jc w:val="both"/>
        <w:rPr>
          <w:rFonts w:ascii="Palatino Linotype" w:eastAsia="Times New Roman" w:hAnsi="Palatino Linotype" w:cs="Arial"/>
          <w:sz w:val="24"/>
          <w:szCs w:val="24"/>
          <w:lang w:val="es-ES" w:eastAsia="es-ES"/>
        </w:rPr>
      </w:pPr>
    </w:p>
    <w:p w:rsidR="00741E11" w:rsidRPr="00DF23DA" w:rsidRDefault="00741E11" w:rsidP="00741E1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t>Así las cosas, del análisis de los expedientes electrónicos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rsidR="00741E11" w:rsidRPr="00DF23DA" w:rsidRDefault="00741E11" w:rsidP="00741E1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741E11" w:rsidRPr="00DF23DA" w:rsidRDefault="00741E11" w:rsidP="00741E1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741E11" w:rsidRDefault="00741E11" w:rsidP="00741E11">
      <w:pPr>
        <w:widowControl w:val="0"/>
        <w:autoSpaceDE w:val="0"/>
        <w:autoSpaceDN w:val="0"/>
        <w:adjustRightInd w:val="0"/>
        <w:spacing w:after="0" w:line="360" w:lineRule="auto"/>
        <w:jc w:val="both"/>
        <w:rPr>
          <w:rFonts w:ascii="Palatino Linotype" w:eastAsia="Times New Roman" w:hAnsi="Palatino Linotype" w:cs="Times New Roman"/>
          <w:b/>
          <w:sz w:val="28"/>
          <w:szCs w:val="28"/>
          <w:lang w:val="es-ES" w:eastAsia="es-ES"/>
        </w:rPr>
      </w:pPr>
      <w:r w:rsidRPr="00DF23DA">
        <w:rPr>
          <w:rFonts w:ascii="Palatino Linotype" w:eastAsia="Times New Roman" w:hAnsi="Palatino Linotype" w:cs="Arial"/>
          <w:b/>
          <w:sz w:val="28"/>
          <w:szCs w:val="28"/>
          <w:lang w:val="es-ES" w:eastAsia="es-ES"/>
        </w:rPr>
        <w:t>CUARTO. Estudio y resolución del asunto</w:t>
      </w:r>
      <w:r w:rsidRPr="00DF23DA">
        <w:rPr>
          <w:rFonts w:ascii="Palatino Linotype" w:eastAsia="Times New Roman" w:hAnsi="Palatino Linotype" w:cs="Times New Roman"/>
          <w:b/>
          <w:sz w:val="28"/>
          <w:szCs w:val="28"/>
          <w:lang w:val="es-ES" w:eastAsia="es-ES"/>
        </w:rPr>
        <w:t xml:space="preserve">. </w:t>
      </w:r>
    </w:p>
    <w:p w:rsidR="00741E11" w:rsidRPr="007379EE" w:rsidRDefault="00741E11" w:rsidP="00741E1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741E11" w:rsidRPr="00DF23DA" w:rsidRDefault="00741E11" w:rsidP="00741E1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741E11" w:rsidRPr="00DF23DA" w:rsidRDefault="00741E11" w:rsidP="00741E11">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t>Ahora bien, de los requerimientos contenidos en la solicitud de información</w:t>
      </w:r>
      <w:r>
        <w:rPr>
          <w:rFonts w:ascii="Palatino Linotype" w:eastAsia="Times New Roman" w:hAnsi="Palatino Linotype" w:cs="Arial"/>
          <w:sz w:val="24"/>
          <w:szCs w:val="24"/>
          <w:lang w:val="es-ES" w:eastAsia="es-ES"/>
        </w:rPr>
        <w:t>, se aprecia que objetivamente el</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Recurrente</w:t>
      </w:r>
      <w:r w:rsidRPr="00DF23DA">
        <w:rPr>
          <w:rFonts w:ascii="Palatino Linotype" w:eastAsia="Times New Roman" w:hAnsi="Palatino Linotype" w:cs="Arial"/>
          <w:sz w:val="24"/>
          <w:szCs w:val="24"/>
          <w:lang w:val="es-ES" w:eastAsia="es-ES"/>
        </w:rPr>
        <w:t xml:space="preserve"> peticiona le sea entregad</w:t>
      </w:r>
      <w:r>
        <w:rPr>
          <w:rFonts w:ascii="Palatino Linotype" w:eastAsia="Times New Roman" w:hAnsi="Palatino Linotype" w:cs="Arial"/>
          <w:sz w:val="24"/>
          <w:szCs w:val="24"/>
          <w:lang w:val="es-ES" w:eastAsia="es-ES"/>
        </w:rPr>
        <w:t>o</w:t>
      </w:r>
      <w:r w:rsidRPr="00DF23DA">
        <w:rPr>
          <w:rFonts w:ascii="Palatino Linotype" w:eastAsia="Times New Roman" w:hAnsi="Palatino Linotype" w:cs="Arial"/>
          <w:sz w:val="24"/>
          <w:szCs w:val="24"/>
          <w:lang w:val="es-ES" w:eastAsia="es-ES"/>
        </w:rPr>
        <w:t xml:space="preserve"> por el sistema SAIMEX, lo siguiente:</w:t>
      </w:r>
    </w:p>
    <w:p w:rsidR="007B35E4" w:rsidRDefault="00EF7B98" w:rsidP="007B35E4">
      <w:pPr>
        <w:pStyle w:val="Prrafodelista"/>
        <w:numPr>
          <w:ilvl w:val="0"/>
          <w:numId w:val="1"/>
        </w:numPr>
        <w:autoSpaceDE w:val="0"/>
        <w:autoSpaceDN w:val="0"/>
        <w:adjustRightInd w:val="0"/>
        <w:spacing w:line="360" w:lineRule="auto"/>
        <w:jc w:val="both"/>
        <w:rPr>
          <w:rFonts w:ascii="Palatino Linotype" w:hAnsi="Palatino Linotype" w:cs="Arial"/>
        </w:rPr>
      </w:pPr>
      <w:r>
        <w:rPr>
          <w:rFonts w:ascii="Palatino Linotype" w:hAnsi="Palatino Linotype" w:cs="Arial"/>
        </w:rPr>
        <w:t>F</w:t>
      </w:r>
      <w:r w:rsidR="007B35E4" w:rsidRPr="007B35E4">
        <w:rPr>
          <w:rFonts w:ascii="Palatino Linotype" w:hAnsi="Palatino Linotype" w:cs="Arial"/>
        </w:rPr>
        <w:t>acturas y todos los comprobantes que amparen el pago de las empresas que tienen actualmente la supervisión d</w:t>
      </w:r>
      <w:r w:rsidR="007B35E4">
        <w:rPr>
          <w:rFonts w:ascii="Palatino Linotype" w:hAnsi="Palatino Linotype" w:cs="Arial"/>
        </w:rPr>
        <w:t xml:space="preserve">e las </w:t>
      </w:r>
      <w:r w:rsidR="00364D9E">
        <w:rPr>
          <w:rFonts w:ascii="Palatino Linotype" w:hAnsi="Palatino Linotype" w:cs="Arial"/>
        </w:rPr>
        <w:t>líneas</w:t>
      </w:r>
      <w:r w:rsidR="007B35E4">
        <w:rPr>
          <w:rFonts w:ascii="Palatino Linotype" w:hAnsi="Palatino Linotype" w:cs="Arial"/>
        </w:rPr>
        <w:t xml:space="preserve"> del </w:t>
      </w:r>
      <w:proofErr w:type="spellStart"/>
      <w:r w:rsidR="007B35E4">
        <w:rPr>
          <w:rFonts w:ascii="Palatino Linotype" w:hAnsi="Palatino Linotype" w:cs="Arial"/>
        </w:rPr>
        <w:t>mexibus</w:t>
      </w:r>
      <w:proofErr w:type="spellEnd"/>
      <w:r>
        <w:rPr>
          <w:rFonts w:ascii="Palatino Linotype" w:hAnsi="Palatino Linotype" w:cs="Arial"/>
        </w:rPr>
        <w:t>.</w:t>
      </w:r>
    </w:p>
    <w:p w:rsidR="007B35E4" w:rsidRDefault="007B35E4" w:rsidP="007B35E4">
      <w:pPr>
        <w:pStyle w:val="Prrafodelista"/>
        <w:numPr>
          <w:ilvl w:val="0"/>
          <w:numId w:val="1"/>
        </w:numPr>
        <w:autoSpaceDE w:val="0"/>
        <w:autoSpaceDN w:val="0"/>
        <w:adjustRightInd w:val="0"/>
        <w:spacing w:line="360" w:lineRule="auto"/>
        <w:jc w:val="both"/>
        <w:rPr>
          <w:rFonts w:ascii="Palatino Linotype" w:hAnsi="Palatino Linotype" w:cs="Arial"/>
        </w:rPr>
      </w:pPr>
      <w:r>
        <w:rPr>
          <w:rFonts w:ascii="Palatino Linotype" w:hAnsi="Palatino Linotype" w:cs="Arial"/>
        </w:rPr>
        <w:t>P</w:t>
      </w:r>
      <w:r w:rsidRPr="007B35E4">
        <w:rPr>
          <w:rFonts w:ascii="Palatino Linotype" w:hAnsi="Palatino Linotype" w:cs="Arial"/>
        </w:rPr>
        <w:t xml:space="preserve">rocesos de contratación debidamente protocolizados ante la mesa directiva o consejo directivo que avala </w:t>
      </w:r>
      <w:r w:rsidR="00364D9E">
        <w:rPr>
          <w:rFonts w:ascii="Palatino Linotype" w:hAnsi="Palatino Linotype" w:cs="Arial"/>
        </w:rPr>
        <w:t>dicha contratación.</w:t>
      </w:r>
    </w:p>
    <w:p w:rsidR="007B35E4" w:rsidRDefault="007B35E4" w:rsidP="007B35E4">
      <w:pPr>
        <w:pStyle w:val="Prrafodelista"/>
        <w:numPr>
          <w:ilvl w:val="0"/>
          <w:numId w:val="1"/>
        </w:numPr>
        <w:autoSpaceDE w:val="0"/>
        <w:autoSpaceDN w:val="0"/>
        <w:adjustRightInd w:val="0"/>
        <w:spacing w:line="360" w:lineRule="auto"/>
        <w:jc w:val="both"/>
        <w:rPr>
          <w:rFonts w:ascii="Palatino Linotype" w:hAnsi="Palatino Linotype" w:cs="Arial"/>
        </w:rPr>
      </w:pPr>
      <w:r>
        <w:rPr>
          <w:rFonts w:ascii="Palatino Linotype" w:hAnsi="Palatino Linotype" w:cs="Arial"/>
        </w:rPr>
        <w:t>F</w:t>
      </w:r>
      <w:r w:rsidRPr="007B35E4">
        <w:rPr>
          <w:rFonts w:ascii="Palatino Linotype" w:hAnsi="Palatino Linotype" w:cs="Arial"/>
        </w:rPr>
        <w:t>acturas pagadas o transferencias hechas de l</w:t>
      </w:r>
      <w:r w:rsidR="00364D9E">
        <w:rPr>
          <w:rFonts w:ascii="Palatino Linotype" w:hAnsi="Palatino Linotype" w:cs="Arial"/>
        </w:rPr>
        <w:t>os meses de enero a mayo 2024</w:t>
      </w:r>
      <w:r>
        <w:rPr>
          <w:rFonts w:ascii="Palatino Linotype" w:hAnsi="Palatino Linotype" w:cs="Arial"/>
        </w:rPr>
        <w:t xml:space="preserve"> </w:t>
      </w:r>
    </w:p>
    <w:p w:rsidR="007B35E4" w:rsidRDefault="007B35E4" w:rsidP="007B35E4">
      <w:pPr>
        <w:pStyle w:val="Prrafodelista"/>
        <w:numPr>
          <w:ilvl w:val="0"/>
          <w:numId w:val="1"/>
        </w:numPr>
        <w:autoSpaceDE w:val="0"/>
        <w:autoSpaceDN w:val="0"/>
        <w:adjustRightInd w:val="0"/>
        <w:spacing w:line="360" w:lineRule="auto"/>
        <w:jc w:val="both"/>
        <w:rPr>
          <w:rFonts w:ascii="Palatino Linotype" w:hAnsi="Palatino Linotype" w:cs="Arial"/>
        </w:rPr>
      </w:pPr>
      <w:r>
        <w:rPr>
          <w:rFonts w:ascii="Palatino Linotype" w:hAnsi="Palatino Linotype" w:cs="Arial"/>
        </w:rPr>
        <w:t>¿C</w:t>
      </w:r>
      <w:r w:rsidRPr="007B35E4">
        <w:rPr>
          <w:rFonts w:ascii="Palatino Linotype" w:hAnsi="Palatino Linotype" w:cs="Arial"/>
        </w:rPr>
        <w:t xml:space="preserve">uándo es el proceso de entrega de la directora ya que se tiene planeado para fines </w:t>
      </w:r>
      <w:r>
        <w:rPr>
          <w:rFonts w:ascii="Palatino Linotype" w:hAnsi="Palatino Linotype" w:cs="Arial"/>
        </w:rPr>
        <w:t>de mes?,</w:t>
      </w:r>
      <w:r w:rsidRPr="007B35E4">
        <w:rPr>
          <w:rFonts w:ascii="Palatino Linotype" w:hAnsi="Palatino Linotype" w:cs="Arial"/>
        </w:rPr>
        <w:t xml:space="preserve"> </w:t>
      </w:r>
      <w:r>
        <w:rPr>
          <w:rFonts w:ascii="Palatino Linotype" w:hAnsi="Palatino Linotype" w:cs="Arial"/>
        </w:rPr>
        <w:t>¿</w:t>
      </w:r>
      <w:r w:rsidRPr="007B35E4">
        <w:rPr>
          <w:rFonts w:ascii="Palatino Linotype" w:hAnsi="Palatino Linotype" w:cs="Arial"/>
        </w:rPr>
        <w:t>ya tiene programada la entrega?</w:t>
      </w:r>
      <w:r>
        <w:rPr>
          <w:rFonts w:ascii="Palatino Linotype" w:hAnsi="Palatino Linotype" w:cs="Arial"/>
        </w:rPr>
        <w:t>,</w:t>
      </w:r>
      <w:r w:rsidRPr="007B35E4">
        <w:rPr>
          <w:rFonts w:ascii="Palatino Linotype" w:hAnsi="Palatino Linotype" w:cs="Arial"/>
        </w:rPr>
        <w:t xml:space="preserve"> </w:t>
      </w:r>
      <w:r>
        <w:rPr>
          <w:rFonts w:ascii="Palatino Linotype" w:hAnsi="Palatino Linotype" w:cs="Arial"/>
        </w:rPr>
        <w:t>¿</w:t>
      </w:r>
      <w:r w:rsidRPr="007B35E4">
        <w:rPr>
          <w:rFonts w:ascii="Palatino Linotype" w:hAnsi="Palatino Linotype" w:cs="Arial"/>
        </w:rPr>
        <w:t xml:space="preserve">ya le notificaron su </w:t>
      </w:r>
      <w:r>
        <w:rPr>
          <w:rFonts w:ascii="Palatino Linotype" w:hAnsi="Palatino Linotype" w:cs="Arial"/>
        </w:rPr>
        <w:t xml:space="preserve">proceso de entrega? </w:t>
      </w:r>
    </w:p>
    <w:p w:rsidR="007B35E4" w:rsidRDefault="007B35E4" w:rsidP="007B35E4">
      <w:pPr>
        <w:pStyle w:val="Prrafodelista"/>
        <w:numPr>
          <w:ilvl w:val="0"/>
          <w:numId w:val="1"/>
        </w:numPr>
        <w:autoSpaceDE w:val="0"/>
        <w:autoSpaceDN w:val="0"/>
        <w:adjustRightInd w:val="0"/>
        <w:spacing w:line="360" w:lineRule="auto"/>
        <w:jc w:val="both"/>
        <w:rPr>
          <w:rFonts w:ascii="Palatino Linotype" w:hAnsi="Palatino Linotype" w:cs="Arial"/>
        </w:rPr>
      </w:pPr>
      <w:r>
        <w:rPr>
          <w:rFonts w:ascii="Palatino Linotype" w:hAnsi="Palatino Linotype" w:cs="Arial"/>
        </w:rPr>
        <w:t>B</w:t>
      </w:r>
      <w:r w:rsidRPr="007B35E4">
        <w:rPr>
          <w:rFonts w:ascii="Palatino Linotype" w:hAnsi="Palatino Linotype" w:cs="Arial"/>
        </w:rPr>
        <w:t xml:space="preserve">onos, así como los gastos hechos </w:t>
      </w:r>
      <w:r>
        <w:rPr>
          <w:rFonts w:ascii="Palatino Linotype" w:hAnsi="Palatino Linotype" w:cs="Arial"/>
        </w:rPr>
        <w:t>en el</w:t>
      </w:r>
      <w:r w:rsidRPr="007B35E4">
        <w:rPr>
          <w:rFonts w:ascii="Palatino Linotype" w:hAnsi="Palatino Linotype" w:cs="Arial"/>
        </w:rPr>
        <w:t xml:space="preserve"> mes mayo y que se relacionan con el fondo fijo. </w:t>
      </w:r>
    </w:p>
    <w:p w:rsidR="00741E11" w:rsidRPr="00AE368F" w:rsidRDefault="007B35E4" w:rsidP="007B35E4">
      <w:pPr>
        <w:pStyle w:val="Prrafodelista"/>
        <w:numPr>
          <w:ilvl w:val="0"/>
          <w:numId w:val="1"/>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C</w:t>
      </w:r>
      <w:r w:rsidRPr="007B35E4">
        <w:rPr>
          <w:rFonts w:ascii="Palatino Linotype" w:hAnsi="Palatino Linotype" w:cs="Arial"/>
        </w:rPr>
        <w:t xml:space="preserve">omprobantes de nómina de </w:t>
      </w:r>
      <w:proofErr w:type="gramStart"/>
      <w:r w:rsidRPr="007B35E4">
        <w:rPr>
          <w:rFonts w:ascii="Palatino Linotype" w:hAnsi="Palatino Linotype" w:cs="Arial"/>
        </w:rPr>
        <w:t>todo el personal mando medio y ope</w:t>
      </w:r>
      <w:r>
        <w:rPr>
          <w:rFonts w:ascii="Palatino Linotype" w:hAnsi="Palatino Linotype" w:cs="Arial"/>
        </w:rPr>
        <w:t>rativos</w:t>
      </w:r>
      <w:proofErr w:type="gramEnd"/>
      <w:r>
        <w:rPr>
          <w:rFonts w:ascii="Palatino Linotype" w:hAnsi="Palatino Linotype" w:cs="Arial"/>
        </w:rPr>
        <w:t xml:space="preserve"> </w:t>
      </w:r>
      <w:r w:rsidRPr="007B35E4">
        <w:rPr>
          <w:rFonts w:ascii="Palatino Linotype" w:hAnsi="Palatino Linotype" w:cs="Arial"/>
        </w:rPr>
        <w:t>de marzo</w:t>
      </w:r>
      <w:r>
        <w:rPr>
          <w:rFonts w:ascii="Palatino Linotype" w:hAnsi="Palatino Linotype" w:cs="Arial"/>
        </w:rPr>
        <w:t xml:space="preserve"> 2024</w:t>
      </w:r>
      <w:r w:rsidR="00741E11" w:rsidRPr="00AE368F">
        <w:rPr>
          <w:rFonts w:ascii="Palatino Linotype" w:hAnsi="Palatino Linotype" w:cs="Arial"/>
        </w:rPr>
        <w:t>.</w:t>
      </w:r>
    </w:p>
    <w:p w:rsidR="008841A9" w:rsidRDefault="008841A9" w:rsidP="008841A9">
      <w:pPr>
        <w:autoSpaceDE w:val="0"/>
        <w:autoSpaceDN w:val="0"/>
        <w:adjustRightInd w:val="0"/>
        <w:spacing w:line="360" w:lineRule="auto"/>
        <w:jc w:val="both"/>
        <w:rPr>
          <w:rFonts w:ascii="Palatino Linotype" w:hAnsi="Palatino Linotype" w:cs="Arial"/>
          <w:sz w:val="24"/>
        </w:rPr>
      </w:pPr>
    </w:p>
    <w:p w:rsidR="008841A9" w:rsidRPr="008841A9" w:rsidRDefault="008841A9" w:rsidP="008841A9">
      <w:pPr>
        <w:autoSpaceDE w:val="0"/>
        <w:autoSpaceDN w:val="0"/>
        <w:adjustRightInd w:val="0"/>
        <w:spacing w:line="360" w:lineRule="auto"/>
        <w:jc w:val="both"/>
        <w:rPr>
          <w:rFonts w:ascii="Palatino Linotype" w:hAnsi="Palatino Linotype" w:cs="Arial"/>
          <w:sz w:val="24"/>
        </w:rPr>
      </w:pPr>
      <w:r w:rsidRPr="008841A9">
        <w:rPr>
          <w:rFonts w:ascii="Palatino Linotype" w:hAnsi="Palatino Linotype" w:cs="Arial"/>
          <w:sz w:val="24"/>
        </w:rPr>
        <w:t>En el mismo orden de ideas, podemos advertir que, el Recurrente no señalo temporalidad de la información peticionada</w:t>
      </w:r>
      <w:r>
        <w:rPr>
          <w:rFonts w:ascii="Palatino Linotype" w:hAnsi="Palatino Linotype" w:cs="Arial"/>
          <w:sz w:val="24"/>
        </w:rPr>
        <w:t xml:space="preserve"> en los puntos 1 y 2</w:t>
      </w:r>
      <w:r w:rsidRPr="008841A9">
        <w:rPr>
          <w:rFonts w:ascii="Palatino Linotype" w:hAnsi="Palatino Linotype" w:cs="Arial"/>
          <w:sz w:val="24"/>
        </w:rPr>
        <w:t xml:space="preserve">, en este sentido, resulta oportuno traer a colación el criterio relevante 03/19 emitido por el Órgano Garante Nacional, cuyo contenido dispone a la literalidad lo siguiente: </w:t>
      </w:r>
    </w:p>
    <w:p w:rsidR="008841A9" w:rsidRPr="008841A9" w:rsidRDefault="008841A9" w:rsidP="008841A9">
      <w:pPr>
        <w:pStyle w:val="Citas"/>
        <w:spacing w:line="240" w:lineRule="auto"/>
        <w:rPr>
          <w:b/>
        </w:rPr>
      </w:pPr>
    </w:p>
    <w:p w:rsidR="008841A9" w:rsidRPr="008841A9" w:rsidRDefault="008841A9" w:rsidP="008841A9">
      <w:pPr>
        <w:pStyle w:val="Citas"/>
        <w:spacing w:line="240" w:lineRule="auto"/>
        <w:rPr>
          <w:b/>
        </w:rPr>
      </w:pPr>
      <w:r w:rsidRPr="008841A9">
        <w:rPr>
          <w:b/>
        </w:rPr>
        <w:t xml:space="preserve">“Periodo de búsqueda de la información. </w:t>
      </w:r>
    </w:p>
    <w:p w:rsidR="008841A9" w:rsidRPr="008841A9" w:rsidRDefault="008841A9" w:rsidP="008841A9">
      <w:pPr>
        <w:pStyle w:val="Citas"/>
        <w:spacing w:line="240" w:lineRule="auto"/>
      </w:pPr>
      <w:r w:rsidRPr="008841A9">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rsidR="008841A9" w:rsidRPr="008841A9" w:rsidRDefault="008841A9" w:rsidP="008841A9">
      <w:pPr>
        <w:pStyle w:val="Citas"/>
        <w:spacing w:line="240" w:lineRule="auto"/>
      </w:pPr>
      <w:r w:rsidRPr="008841A9">
        <w:t>´Resoluciones</w:t>
      </w:r>
    </w:p>
    <w:p w:rsidR="008841A9" w:rsidRPr="008841A9" w:rsidRDefault="008841A9" w:rsidP="008841A9">
      <w:pPr>
        <w:pStyle w:val="Citas"/>
        <w:spacing w:line="240" w:lineRule="auto"/>
      </w:pPr>
      <w:r w:rsidRPr="008841A9">
        <w:t>RRA 0022/17. Instituto Mexicano de la Propiedad Industrial. 16 de febrero de 2017. Por unanimidad. Comisionado Ponente Francisco Javier Acuña Llamas.</w:t>
      </w:r>
    </w:p>
    <w:p w:rsidR="008841A9" w:rsidRPr="008841A9" w:rsidRDefault="008841A9" w:rsidP="008841A9">
      <w:pPr>
        <w:pStyle w:val="Citas"/>
        <w:spacing w:line="240" w:lineRule="auto"/>
      </w:pPr>
      <w:r w:rsidRPr="008841A9">
        <w:t>http://consultas.ifai.org.mx/descargar.php?r=./pdf/resoluciones/2017/&amp;a=RRA%2022.pdf</w:t>
      </w:r>
    </w:p>
    <w:p w:rsidR="008841A9" w:rsidRPr="008841A9" w:rsidRDefault="008841A9" w:rsidP="008841A9">
      <w:pPr>
        <w:pStyle w:val="Citas"/>
        <w:spacing w:line="240" w:lineRule="auto"/>
      </w:pPr>
      <w:r w:rsidRPr="008841A9">
        <w:t xml:space="preserve">RRA 2536/17. Secretaría de Gobernación. 07 de junio de 2017. Por unanimidad. Comisionada Ponente Areli Cano Guadiana. </w:t>
      </w:r>
    </w:p>
    <w:p w:rsidR="008841A9" w:rsidRPr="008841A9" w:rsidRDefault="008841A9" w:rsidP="008841A9">
      <w:pPr>
        <w:pStyle w:val="Citas"/>
        <w:spacing w:line="240" w:lineRule="auto"/>
      </w:pPr>
      <w:r w:rsidRPr="008841A9">
        <w:t xml:space="preserve">http://consultas.ifai.org.mx/descargar.php?r=./pdf/resoluciones/2017/&amp;a=RRA%202536.pdf </w:t>
      </w:r>
    </w:p>
    <w:p w:rsidR="008841A9" w:rsidRPr="008841A9" w:rsidRDefault="008841A9" w:rsidP="008841A9">
      <w:pPr>
        <w:pStyle w:val="Citas"/>
        <w:spacing w:line="240" w:lineRule="auto"/>
      </w:pPr>
      <w:r w:rsidRPr="008841A9">
        <w:t>RRA 3482/17. Secretaría de Comunicaciones y Transportes. 02 de agosto de 2017. Por unanimidad. Comisionado Ponente Oscar Mauricio Guerra Ford.</w:t>
      </w:r>
    </w:p>
    <w:p w:rsidR="008841A9" w:rsidRPr="008841A9" w:rsidRDefault="008841A9" w:rsidP="008841A9">
      <w:pPr>
        <w:pStyle w:val="Citas"/>
        <w:spacing w:line="240" w:lineRule="auto"/>
      </w:pPr>
      <w:r w:rsidRPr="008841A9">
        <w:t>http://consultas.ifai.org.mx/descargar.php?r=./pdf/resoluciones/2017/&amp;a=RRA%203482.pdf”</w:t>
      </w:r>
    </w:p>
    <w:p w:rsidR="008841A9" w:rsidRPr="008841A9" w:rsidRDefault="008841A9" w:rsidP="008841A9">
      <w:pPr>
        <w:pStyle w:val="Citas"/>
        <w:spacing w:line="240" w:lineRule="auto"/>
      </w:pPr>
    </w:p>
    <w:p w:rsidR="008841A9" w:rsidRPr="008841A9" w:rsidRDefault="008841A9" w:rsidP="008841A9">
      <w:pPr>
        <w:pStyle w:val="Citas"/>
        <w:spacing w:line="240" w:lineRule="auto"/>
      </w:pPr>
      <w:r w:rsidRPr="008841A9">
        <w:t>(Énfasis añadido)</w:t>
      </w:r>
    </w:p>
    <w:p w:rsidR="008841A9" w:rsidRPr="008841A9" w:rsidRDefault="008841A9" w:rsidP="008841A9">
      <w:pPr>
        <w:autoSpaceDE w:val="0"/>
        <w:autoSpaceDN w:val="0"/>
        <w:adjustRightInd w:val="0"/>
        <w:spacing w:line="360" w:lineRule="auto"/>
        <w:jc w:val="both"/>
        <w:rPr>
          <w:rFonts w:ascii="Palatino Linotype" w:hAnsi="Palatino Linotype" w:cs="Arial"/>
        </w:rPr>
      </w:pPr>
    </w:p>
    <w:p w:rsidR="00741E11" w:rsidRPr="008841A9" w:rsidRDefault="008841A9" w:rsidP="008841A9">
      <w:pPr>
        <w:autoSpaceDE w:val="0"/>
        <w:autoSpaceDN w:val="0"/>
        <w:adjustRightInd w:val="0"/>
        <w:spacing w:line="360" w:lineRule="auto"/>
        <w:jc w:val="both"/>
        <w:rPr>
          <w:rFonts w:ascii="Palatino Linotype" w:hAnsi="Palatino Linotype" w:cs="Arial"/>
          <w:sz w:val="24"/>
        </w:rPr>
      </w:pPr>
      <w:r w:rsidRPr="008841A9">
        <w:rPr>
          <w:rFonts w:ascii="Palatino Linotype" w:hAnsi="Palatino Linotype" w:cs="Arial"/>
          <w:sz w:val="24"/>
        </w:rPr>
        <w:t>Criterio que establece en los supuestos que no se establezca periodo de la información peticionada, se deberá establecer el año inmediato anterior, contado a partir de la fecha de ingreso de la solicitud, lo que en el c</w:t>
      </w:r>
      <w:r>
        <w:rPr>
          <w:rFonts w:ascii="Palatino Linotype" w:hAnsi="Palatino Linotype" w:cs="Arial"/>
          <w:sz w:val="24"/>
        </w:rPr>
        <w:t xml:space="preserve">aso particular, corresponde </w:t>
      </w:r>
      <w:r w:rsidRPr="008841A9">
        <w:rPr>
          <w:rFonts w:ascii="Palatino Linotype" w:hAnsi="Palatino Linotype" w:cs="Arial"/>
          <w:sz w:val="24"/>
        </w:rPr>
        <w:t>del diez de junio de dos mil veintitrés al diez de junio de dos mil veinticuatro.</w:t>
      </w:r>
    </w:p>
    <w:p w:rsidR="00741E11" w:rsidRDefault="00741E11" w:rsidP="00741E11">
      <w:pPr>
        <w:pStyle w:val="INFOEM"/>
        <w:ind w:left="0" w:right="0"/>
        <w:rPr>
          <w:i w:val="0"/>
          <w:sz w:val="24"/>
        </w:rPr>
      </w:pPr>
      <w:r w:rsidRPr="00EA318B">
        <w:rPr>
          <w:rFonts w:eastAsia="Palatino Linotype" w:cs="Palatino Linotype"/>
          <w:i w:val="0"/>
          <w:color w:val="000000"/>
          <w:sz w:val="24"/>
          <w:szCs w:val="24"/>
        </w:rPr>
        <w:t xml:space="preserve">Ante la falta respuesta por parte del </w:t>
      </w:r>
      <w:r w:rsidRPr="00EA318B">
        <w:rPr>
          <w:rFonts w:eastAsia="Palatino Linotype" w:cs="Palatino Linotype"/>
          <w:b/>
          <w:i w:val="0"/>
          <w:color w:val="000000"/>
          <w:sz w:val="24"/>
          <w:szCs w:val="24"/>
        </w:rPr>
        <w:t>Sujeto Obligado</w:t>
      </w:r>
      <w:r w:rsidRPr="00EA318B">
        <w:rPr>
          <w:rFonts w:eastAsia="Palatino Linotype" w:cs="Palatino Linotype"/>
          <w:i w:val="0"/>
          <w:color w:val="000000"/>
          <w:sz w:val="24"/>
          <w:szCs w:val="24"/>
        </w:rPr>
        <w:t xml:space="preserve">, el </w:t>
      </w:r>
      <w:r w:rsidRPr="00EA318B">
        <w:rPr>
          <w:rFonts w:eastAsia="Palatino Linotype" w:cs="Palatino Linotype"/>
          <w:b/>
          <w:i w:val="0"/>
          <w:color w:val="000000"/>
          <w:sz w:val="24"/>
          <w:szCs w:val="24"/>
        </w:rPr>
        <w:t>Recurrente</w:t>
      </w:r>
      <w:r w:rsidRPr="00EA318B">
        <w:rPr>
          <w:rFonts w:eastAsia="Palatino Linotype" w:cs="Palatino Linotype"/>
          <w:i w:val="0"/>
          <w:color w:val="000000"/>
          <w:sz w:val="24"/>
          <w:szCs w:val="24"/>
        </w:rPr>
        <w:t xml:space="preserve"> consideró que su derecho a la información pública había sido </w:t>
      </w:r>
      <w:r>
        <w:rPr>
          <w:rFonts w:eastAsia="Palatino Linotype" w:cs="Palatino Linotype"/>
          <w:i w:val="0"/>
          <w:color w:val="000000"/>
          <w:sz w:val="24"/>
          <w:szCs w:val="24"/>
        </w:rPr>
        <w:t>vulnerado</w:t>
      </w:r>
      <w:r w:rsidRPr="00EA318B">
        <w:rPr>
          <w:rFonts w:eastAsia="Palatino Linotype" w:cs="Palatino Linotype"/>
          <w:i w:val="0"/>
          <w:color w:val="000000"/>
          <w:sz w:val="24"/>
          <w:szCs w:val="24"/>
        </w:rPr>
        <w:t>, por lo que interpuso el recurso de revisión al rubro citado</w:t>
      </w:r>
      <w:r w:rsidRPr="00EA318B">
        <w:rPr>
          <w:rFonts w:cs="Arial"/>
          <w:bCs/>
          <w:i w:val="0"/>
          <w:sz w:val="24"/>
        </w:rPr>
        <w:t>,</w:t>
      </w:r>
      <w:r w:rsidRPr="00667CD7">
        <w:rPr>
          <w:rFonts w:cs="Arial"/>
          <w:bCs/>
          <w:i w:val="0"/>
          <w:sz w:val="24"/>
        </w:rPr>
        <w:t xml:space="preserve"> señalando sustancialmente como sus razones o motivos de inconformidad, lo siguiente:</w:t>
      </w:r>
      <w:r w:rsidRPr="00667CD7" w:rsidDel="00107C3B">
        <w:rPr>
          <w:b/>
          <w:i w:val="0"/>
          <w:sz w:val="24"/>
        </w:rPr>
        <w:t xml:space="preserve"> </w:t>
      </w:r>
      <w:r w:rsidRPr="00667CD7">
        <w:rPr>
          <w:i w:val="0"/>
          <w:sz w:val="24"/>
        </w:rPr>
        <w:t>“</w:t>
      </w:r>
      <w:r w:rsidR="007B35E4" w:rsidRPr="007B35E4">
        <w:rPr>
          <w:sz w:val="24"/>
        </w:rPr>
        <w:t xml:space="preserve">nula respuesta. </w:t>
      </w:r>
      <w:proofErr w:type="gramStart"/>
      <w:r w:rsidR="007B35E4" w:rsidRPr="007B35E4">
        <w:rPr>
          <w:sz w:val="24"/>
        </w:rPr>
        <w:t>dando</w:t>
      </w:r>
      <w:proofErr w:type="gramEnd"/>
      <w:r w:rsidR="007B35E4" w:rsidRPr="007B35E4">
        <w:rPr>
          <w:sz w:val="24"/>
        </w:rPr>
        <w:t xml:space="preserve"> como ejemplo que es un chiste para la titular de ese sistema y su titular de transparencia que presentamos los ciudadanos que dicho sea d </w:t>
      </w:r>
      <w:proofErr w:type="spellStart"/>
      <w:r w:rsidR="007B35E4" w:rsidRPr="007B35E4">
        <w:rPr>
          <w:sz w:val="24"/>
        </w:rPr>
        <w:t>epaso</w:t>
      </w:r>
      <w:proofErr w:type="spellEnd"/>
      <w:r w:rsidR="007B35E4" w:rsidRPr="007B35E4">
        <w:rPr>
          <w:sz w:val="24"/>
        </w:rPr>
        <w:t xml:space="preserve"> le </w:t>
      </w:r>
      <w:proofErr w:type="spellStart"/>
      <w:r w:rsidR="007B35E4" w:rsidRPr="007B35E4">
        <w:rPr>
          <w:sz w:val="24"/>
        </w:rPr>
        <w:t>spágamos</w:t>
      </w:r>
      <w:proofErr w:type="spellEnd"/>
      <w:r w:rsidR="007B35E4" w:rsidRPr="007B35E4">
        <w:rPr>
          <w:sz w:val="24"/>
        </w:rPr>
        <w:t xml:space="preserve"> su quincenita puntual.</w:t>
      </w:r>
      <w:r w:rsidRPr="00667CD7">
        <w:rPr>
          <w:sz w:val="24"/>
        </w:rPr>
        <w:t>” (Sic)</w:t>
      </w:r>
      <w:r w:rsidRPr="00667CD7">
        <w:rPr>
          <w:i w:val="0"/>
          <w:sz w:val="24"/>
        </w:rPr>
        <w:t xml:space="preserve">. </w:t>
      </w:r>
    </w:p>
    <w:p w:rsidR="00741E11" w:rsidRDefault="00741E11" w:rsidP="00741E11">
      <w:pPr>
        <w:tabs>
          <w:tab w:val="left" w:pos="709"/>
        </w:tabs>
        <w:spacing w:line="360" w:lineRule="auto"/>
        <w:jc w:val="both"/>
        <w:rPr>
          <w:rFonts w:ascii="Palatino Linotype" w:hAnsi="Palatino Linotype" w:cs="Arial"/>
          <w:sz w:val="24"/>
        </w:rPr>
      </w:pPr>
    </w:p>
    <w:p w:rsidR="00741E11" w:rsidRPr="00EA318B" w:rsidRDefault="00741E11" w:rsidP="00741E11">
      <w:pPr>
        <w:tabs>
          <w:tab w:val="left" w:pos="709"/>
        </w:tabs>
        <w:spacing w:line="360" w:lineRule="auto"/>
        <w:jc w:val="both"/>
        <w:rPr>
          <w:rFonts w:ascii="Palatino Linotype" w:hAnsi="Palatino Linotype" w:cs="Arial"/>
          <w:sz w:val="24"/>
        </w:rPr>
      </w:pPr>
      <w:r w:rsidRPr="00EA318B">
        <w:rPr>
          <w:rFonts w:ascii="Palatino Linotype" w:hAnsi="Palatino Linotype" w:cs="Arial"/>
          <w:sz w:val="24"/>
        </w:rPr>
        <w:t xml:space="preserve">Aunado a lo anterior, mediante informe justificado rendido por </w:t>
      </w:r>
      <w:r w:rsidRPr="00EA318B">
        <w:rPr>
          <w:rFonts w:ascii="Palatino Linotype" w:hAnsi="Palatino Linotype" w:cs="Arial"/>
          <w:b/>
          <w:sz w:val="24"/>
        </w:rPr>
        <w:t>El Sujeto Obligado</w:t>
      </w:r>
      <w:r w:rsidRPr="00EA318B">
        <w:rPr>
          <w:rFonts w:ascii="Palatino Linotype" w:hAnsi="Palatino Linotype" w:cs="Arial"/>
          <w:sz w:val="24"/>
        </w:rPr>
        <w:t xml:space="preserve">, se advierte que </w:t>
      </w:r>
      <w:r w:rsidRPr="00EA318B">
        <w:rPr>
          <w:rFonts w:ascii="Palatino Linotype" w:hAnsi="Palatino Linotype" w:cs="Arial"/>
          <w:bCs/>
          <w:sz w:val="24"/>
        </w:rPr>
        <w:t>remitió a</w:t>
      </w:r>
      <w:r w:rsidRPr="00EA318B">
        <w:rPr>
          <w:rFonts w:ascii="Palatino Linotype" w:hAnsi="Palatino Linotype" w:cs="Arial"/>
          <w:sz w:val="24"/>
        </w:rPr>
        <w:t xml:space="preserve"> través del Sistema de Acceso a la Información Mexiquense (</w:t>
      </w:r>
      <w:r w:rsidR="009A052C">
        <w:rPr>
          <w:rFonts w:ascii="Palatino Linotype" w:hAnsi="Palatino Linotype" w:cs="Arial"/>
          <w:b/>
          <w:sz w:val="24"/>
        </w:rPr>
        <w:t xml:space="preserve">SAIMEX), </w:t>
      </w:r>
      <w:r w:rsidR="009A052C">
        <w:rPr>
          <w:rFonts w:ascii="Palatino Linotype" w:hAnsi="Palatino Linotype" w:cs="Arial"/>
          <w:sz w:val="24"/>
        </w:rPr>
        <w:t>los archivos electrónicos siguientes</w:t>
      </w:r>
      <w:r>
        <w:rPr>
          <w:rFonts w:ascii="Palatino Linotype" w:hAnsi="Palatino Linotype" w:cs="Arial"/>
          <w:sz w:val="24"/>
        </w:rPr>
        <w:t>:</w:t>
      </w:r>
    </w:p>
    <w:p w:rsidR="00741E11" w:rsidRPr="00C00294" w:rsidRDefault="009A052C" w:rsidP="009A052C">
      <w:pPr>
        <w:pStyle w:val="Prrafodelista"/>
        <w:numPr>
          <w:ilvl w:val="0"/>
          <w:numId w:val="2"/>
        </w:numPr>
        <w:pBdr>
          <w:top w:val="nil"/>
          <w:left w:val="nil"/>
          <w:bottom w:val="nil"/>
          <w:right w:val="nil"/>
          <w:between w:val="nil"/>
        </w:pBdr>
        <w:spacing w:line="360" w:lineRule="auto"/>
        <w:contextualSpacing/>
        <w:jc w:val="both"/>
        <w:rPr>
          <w:bCs/>
          <w:i/>
          <w:iCs/>
        </w:rPr>
      </w:pPr>
      <w:proofErr w:type="spellStart"/>
      <w:r w:rsidRPr="009A052C">
        <w:rPr>
          <w:rFonts w:ascii="Palatino Linotype" w:hAnsi="Palatino Linotype" w:cs="Arial"/>
          <w:b/>
          <w:lang w:val="es-ES_tradnl"/>
        </w:rPr>
        <w:t>saimex</w:t>
      </w:r>
      <w:proofErr w:type="spellEnd"/>
      <w:r w:rsidRPr="009A052C">
        <w:rPr>
          <w:rFonts w:ascii="Palatino Linotype" w:hAnsi="Palatino Linotype" w:cs="Arial"/>
          <w:b/>
          <w:lang w:val="es-ES_tradnl"/>
        </w:rPr>
        <w:t xml:space="preserve"> 81-2024.pdf</w:t>
      </w:r>
      <w:r w:rsidR="00741E11" w:rsidRPr="00C00294">
        <w:rPr>
          <w:rFonts w:ascii="Palatino Linotype" w:hAnsi="Palatino Linotype" w:cs="Arial"/>
          <w:b/>
          <w:lang w:val="es-ES_tradnl"/>
        </w:rPr>
        <w:t>:</w:t>
      </w:r>
      <w:r w:rsidR="00741E11">
        <w:rPr>
          <w:rFonts w:ascii="Palatino Linotype" w:hAnsi="Palatino Linotype" w:cs="Arial"/>
          <w:b/>
          <w:lang w:val="es-ES_tradnl"/>
        </w:rPr>
        <w:t xml:space="preserve"> </w:t>
      </w:r>
      <w:r w:rsidR="006F40E4">
        <w:rPr>
          <w:rFonts w:ascii="Palatino Linotype" w:hAnsi="Palatino Linotype" w:cs="Arial"/>
          <w:lang w:val="es-ES_tradnl"/>
        </w:rPr>
        <w:t xml:space="preserve">constante de una foja, en formato </w:t>
      </w:r>
      <w:proofErr w:type="spellStart"/>
      <w:r w:rsidR="006F40E4">
        <w:rPr>
          <w:rFonts w:ascii="Palatino Linotype" w:hAnsi="Palatino Linotype" w:cs="Arial"/>
          <w:lang w:val="es-ES_tradnl"/>
        </w:rPr>
        <w:t>pdf</w:t>
      </w:r>
      <w:proofErr w:type="spellEnd"/>
      <w:r w:rsidR="006F40E4">
        <w:rPr>
          <w:rFonts w:ascii="Palatino Linotype" w:hAnsi="Palatino Linotype" w:cs="Arial"/>
          <w:lang w:val="es-ES_tradnl"/>
        </w:rPr>
        <w:t xml:space="preserve">, contiene el oficio número </w:t>
      </w:r>
      <w:r w:rsidR="001706C5">
        <w:rPr>
          <w:rFonts w:ascii="Palatino Linotype" w:hAnsi="Palatino Linotype" w:cs="Arial"/>
          <w:lang w:val="es-ES_tradnl"/>
        </w:rPr>
        <w:t>UT/210C03010301200/0415/2024, de fecha ocho de julio de dos mil veinticuatro, firmado por el Titular de la Unidad de Transparencia en el que sustancialmente remite informe justificado.</w:t>
      </w:r>
    </w:p>
    <w:p w:rsidR="00741E11" w:rsidRPr="005918B4" w:rsidRDefault="009A052C" w:rsidP="009A052C">
      <w:pPr>
        <w:pStyle w:val="Prrafodelista"/>
        <w:numPr>
          <w:ilvl w:val="0"/>
          <w:numId w:val="2"/>
        </w:numPr>
        <w:pBdr>
          <w:top w:val="nil"/>
          <w:left w:val="nil"/>
          <w:bottom w:val="nil"/>
          <w:right w:val="nil"/>
          <w:between w:val="nil"/>
        </w:pBdr>
        <w:spacing w:line="360" w:lineRule="auto"/>
        <w:contextualSpacing/>
        <w:jc w:val="both"/>
        <w:rPr>
          <w:bCs/>
          <w:i/>
          <w:iCs/>
        </w:rPr>
      </w:pPr>
      <w:r w:rsidRPr="009A052C">
        <w:rPr>
          <w:rFonts w:ascii="Palatino Linotype" w:hAnsi="Palatino Linotype" w:cs="Arial"/>
          <w:b/>
          <w:lang w:val="es-ES_tradnl"/>
        </w:rPr>
        <w:t>FOLIO 00081-STMEM-IP-2024.pdf</w:t>
      </w:r>
      <w:r w:rsidR="00741E11" w:rsidRPr="00C00294">
        <w:rPr>
          <w:rFonts w:ascii="Palatino Linotype" w:hAnsi="Palatino Linotype" w:cs="Arial"/>
          <w:b/>
          <w:lang w:val="es-ES_tradnl"/>
        </w:rPr>
        <w:t>:</w:t>
      </w:r>
      <w:r w:rsidR="00741E11">
        <w:rPr>
          <w:rFonts w:ascii="Palatino Linotype" w:hAnsi="Palatino Linotype" w:cs="Arial"/>
          <w:b/>
          <w:lang w:val="es-ES_tradnl"/>
        </w:rPr>
        <w:t xml:space="preserve"> </w:t>
      </w:r>
      <w:r w:rsidR="001706C5">
        <w:rPr>
          <w:rFonts w:ascii="Palatino Linotype" w:hAnsi="Palatino Linotype" w:cs="Arial"/>
          <w:lang w:val="es-ES_tradnl"/>
        </w:rPr>
        <w:t xml:space="preserve">constante de dos fojas, en formato </w:t>
      </w:r>
      <w:proofErr w:type="spellStart"/>
      <w:r w:rsidR="001706C5">
        <w:rPr>
          <w:rFonts w:ascii="Palatino Linotype" w:hAnsi="Palatino Linotype" w:cs="Arial"/>
          <w:lang w:val="es-ES_tradnl"/>
        </w:rPr>
        <w:t>pdf</w:t>
      </w:r>
      <w:proofErr w:type="spellEnd"/>
      <w:r w:rsidR="001706C5">
        <w:rPr>
          <w:rFonts w:ascii="Palatino Linotype" w:hAnsi="Palatino Linotype" w:cs="Arial"/>
          <w:lang w:val="es-ES_tradnl"/>
        </w:rPr>
        <w:t xml:space="preserve">, contiene el oficio número 220C30301000001S/810/2024, de fecha dieciocho de </w:t>
      </w:r>
      <w:r w:rsidR="001706C5">
        <w:rPr>
          <w:rFonts w:ascii="Palatino Linotype" w:hAnsi="Palatino Linotype" w:cs="Arial"/>
          <w:lang w:val="es-ES_tradnl"/>
        </w:rPr>
        <w:lastRenderedPageBreak/>
        <w:t xml:space="preserve">junio de dos mil veinticuatro, </w:t>
      </w:r>
      <w:r w:rsidR="001706C5" w:rsidRPr="005918B4">
        <w:rPr>
          <w:rFonts w:ascii="Palatino Linotype" w:hAnsi="Palatino Linotype" w:cs="Arial"/>
          <w:lang w:val="es-ES_tradnl"/>
        </w:rPr>
        <w:t xml:space="preserve">firmado por el </w:t>
      </w:r>
      <w:r w:rsidR="005918B4">
        <w:rPr>
          <w:rFonts w:ascii="Palatino Linotype" w:hAnsi="Palatino Linotype" w:cs="Arial"/>
          <w:lang w:val="es-ES_tradnl"/>
        </w:rPr>
        <w:t>Jefe de la Unidad de Apoyo Administrativo, en el que refiere lo siguiente:</w:t>
      </w:r>
    </w:p>
    <w:p w:rsidR="005918B4" w:rsidRDefault="005918B4" w:rsidP="005918B4">
      <w:pPr>
        <w:pStyle w:val="INFOEM"/>
      </w:pPr>
      <w:r>
        <w:t>“</w:t>
      </w:r>
      <w:r w:rsidR="00364D9E">
        <w:t>(</w:t>
      </w:r>
      <w:r>
        <w:t>…</w:t>
      </w:r>
      <w:r w:rsidR="00364D9E">
        <w:t>)</w:t>
      </w:r>
    </w:p>
    <w:p w:rsidR="005918B4" w:rsidRDefault="005918B4" w:rsidP="005918B4">
      <w:pPr>
        <w:pStyle w:val="INFOEM"/>
      </w:pPr>
      <w:r>
        <w:t>Las facturas son, por esencia, documentos relacionados con información privada y contienen datos personales concernientes a una persona física o jurídica colectiva identificada o identificable, por ende, resulta dable entregar las facturas y todos los comprobantes que requiere la peticionaria.</w:t>
      </w:r>
    </w:p>
    <w:p w:rsidR="005918B4" w:rsidRDefault="005918B4" w:rsidP="005918B4">
      <w:pPr>
        <w:pStyle w:val="INFOEM"/>
      </w:pPr>
      <w:r>
        <w:t>Por su parte, cabe destacar que, los procesos de contratación se encuentran, regulados por la Ley de la Contratación Pública del Estado de México y Municipios, por lo que su desarrollo y ejecución se realizan bajo dicha norma, aunado a ello, se precisa que diversos actos están publicados como DATO abierto en la página de la dependencia, la cual puede ser visible en el siguiente link:</w:t>
      </w:r>
    </w:p>
    <w:p w:rsidR="005918B4" w:rsidRDefault="009C31AA" w:rsidP="00B63839">
      <w:pPr>
        <w:pStyle w:val="INFOEM"/>
        <w:jc w:val="center"/>
      </w:pPr>
      <w:hyperlink r:id="rId7" w:history="1">
        <w:r w:rsidR="00B63839" w:rsidRPr="00D74B3C">
          <w:rPr>
            <w:rStyle w:val="Hipervnculo"/>
          </w:rPr>
          <w:t>https://sitramytem.edomex.gob.mx/</w:t>
        </w:r>
      </w:hyperlink>
    </w:p>
    <w:p w:rsidR="00B63839" w:rsidRDefault="00364D9E" w:rsidP="00B63839">
      <w:pPr>
        <w:pStyle w:val="INFOEM"/>
      </w:pPr>
      <w:r>
        <w:t>A</w:t>
      </w:r>
      <w:r w:rsidR="00B63839">
        <w:t>simismo, respecto a la solicitud de información relativa a, requiero las facturas pagadas o transferencias hechas de los meses de enero a mayo 2024, al respecto, se insiste que, las facturas son, por esencia, documentos relacionados o con información privada y contienen datos personales concernientes a una persona física o jurídico colectiva identificada o identificable, por ende, resulta dable entregar las facturas pagadas así como las transferencias hechas en los meses del año que refiere el solicitante, en versión pública, una vez que sea aprobado por el Comité de Transparencia del Organismo.</w:t>
      </w:r>
    </w:p>
    <w:p w:rsidR="00B63839" w:rsidRDefault="00B63839" w:rsidP="00B63839">
      <w:pPr>
        <w:pStyle w:val="INFOEM"/>
      </w:pPr>
      <w:r>
        <w:t>Por otra parte, respecto a la petición relativa a:</w:t>
      </w:r>
    </w:p>
    <w:p w:rsidR="005918B4" w:rsidRDefault="0000103F" w:rsidP="0000103F">
      <w:pPr>
        <w:pStyle w:val="INFOEM"/>
      </w:pPr>
      <w:r>
        <w:lastRenderedPageBreak/>
        <w:t>“</w:t>
      </w:r>
      <w:r w:rsidRPr="0000103F">
        <w:t>cuando es el proceso de entrega de la directora ya que se tiene planeado para fines de mes</w:t>
      </w:r>
      <w:proofErr w:type="gramStart"/>
      <w:r w:rsidRPr="0000103F">
        <w:t>!!</w:t>
      </w:r>
      <w:proofErr w:type="gramEnd"/>
      <w:r w:rsidRPr="0000103F">
        <w:t xml:space="preserve"> </w:t>
      </w:r>
      <w:proofErr w:type="gramStart"/>
      <w:r w:rsidRPr="0000103F">
        <w:t>ya</w:t>
      </w:r>
      <w:proofErr w:type="gramEnd"/>
      <w:r w:rsidRPr="0000103F">
        <w:t xml:space="preserve"> tiene programada la entrega? ya le notificaron su proceso de entrega? quiero los bonos </w:t>
      </w:r>
      <w:proofErr w:type="spellStart"/>
      <w:r w:rsidRPr="0000103F">
        <w:t>asi</w:t>
      </w:r>
      <w:proofErr w:type="spellEnd"/>
      <w:r w:rsidRPr="0000103F">
        <w:t xml:space="preserve"> como los gastos hechos por el mes mayo y que se relacionan con el fondo fijo. </w:t>
      </w:r>
      <w:proofErr w:type="gramStart"/>
      <w:r w:rsidRPr="0000103F">
        <w:t>finalmente</w:t>
      </w:r>
      <w:proofErr w:type="gramEnd"/>
      <w:r w:rsidRPr="0000103F">
        <w:t xml:space="preserve"> los comprobantes de </w:t>
      </w:r>
      <w:proofErr w:type="spellStart"/>
      <w:r w:rsidRPr="0000103F">
        <w:t>nomina</w:t>
      </w:r>
      <w:proofErr w:type="spellEnd"/>
      <w:r w:rsidRPr="0000103F">
        <w:t xml:space="preserve"> de todo el personal mando medio y operativos. 2024 de marzo</w:t>
      </w:r>
      <w:r>
        <w:t>”</w:t>
      </w:r>
    </w:p>
    <w:p w:rsidR="0000103F" w:rsidRPr="0000103F" w:rsidRDefault="0000103F" w:rsidP="0000103F">
      <w:pPr>
        <w:pStyle w:val="INFOEM"/>
      </w:pPr>
      <w:r>
        <w:t xml:space="preserve">Respecto a este punto, se informa al peticionario que la información solicitada, no se encuentran en posición y obligada a rendir información sobre hechos futuros, ello en razón que, a la fecha no se tiene certeza de una entrega que no está programada, por lo que no se puede dar información futura e incierta, misma suerte corre </w:t>
      </w:r>
      <w:proofErr w:type="gramStart"/>
      <w:r>
        <w:t>la  notificación</w:t>
      </w:r>
      <w:proofErr w:type="gramEnd"/>
      <w:r>
        <w:t xml:space="preserve"> de proceso de entrega, sin embargo, en el momento que suceda será de conocimiento público. </w:t>
      </w:r>
    </w:p>
    <w:p w:rsidR="005918B4" w:rsidRDefault="0000103F" w:rsidP="005918B4">
      <w:pPr>
        <w:pStyle w:val="INFOEM"/>
      </w:pPr>
      <w:r>
        <w:t>Por cuanto hace a los bonos, así como los gastos hechos por el mes de mayo y que se relacionan con el fondo fijo, resulta necesario señalar que los gastos por el mes de mayo es un universo, por lo que la obligación de proporcionar la información no comprende el procesamiento de la misma, ni presentarla conforme al interés del solicitante; ello porque debió establecer el elemento que necesitaba conocer, situación que no fue precisada.</w:t>
      </w:r>
    </w:p>
    <w:p w:rsidR="0000103F" w:rsidRDefault="0000103F" w:rsidP="005918B4">
      <w:pPr>
        <w:pStyle w:val="INFOEM"/>
      </w:pPr>
      <w:r>
        <w:t>Ahora bien, toda vez que, se hace del conocimiento que no obra en los archivos de esta Unidad documento que señale o precise el concepto de bono</w:t>
      </w:r>
      <w:r w:rsidR="00364D9E">
        <w:t xml:space="preserve">s o recibos de alguna naturaleza, que se puedan percibir los servidores públicos en este periodo como tal. </w:t>
      </w:r>
    </w:p>
    <w:p w:rsidR="00364D9E" w:rsidRDefault="00364D9E" w:rsidP="005918B4">
      <w:pPr>
        <w:pStyle w:val="INFOEM"/>
      </w:pPr>
      <w:r>
        <w:t>…</w:t>
      </w:r>
    </w:p>
    <w:p w:rsidR="00364D9E" w:rsidRDefault="00364D9E" w:rsidP="00364D9E">
      <w:pPr>
        <w:pStyle w:val="INFOEM"/>
      </w:pPr>
      <w:r>
        <w:t>Finalmente, respecto a la petición de los comprobantes de nómina, dicha información se remite en formato de Excel con el sueldo y nombre de los servidores públicos.</w:t>
      </w:r>
    </w:p>
    <w:p w:rsidR="00364D9E" w:rsidRDefault="00364D9E" w:rsidP="00364D9E">
      <w:pPr>
        <w:pStyle w:val="INFOEM"/>
      </w:pPr>
      <w:r>
        <w:lastRenderedPageBreak/>
        <w:t>(…)” (Sic)</w:t>
      </w:r>
    </w:p>
    <w:p w:rsidR="008841A9" w:rsidRDefault="008841A9" w:rsidP="00055D39">
      <w:pPr>
        <w:spacing w:line="360" w:lineRule="auto"/>
        <w:jc w:val="both"/>
        <w:rPr>
          <w:rFonts w:ascii="Palatino Linotype" w:hAnsi="Palatino Linotype"/>
          <w:szCs w:val="14"/>
        </w:rPr>
      </w:pPr>
    </w:p>
    <w:p w:rsidR="00055D39" w:rsidRDefault="00055D39" w:rsidP="00055D39">
      <w:pPr>
        <w:spacing w:line="360" w:lineRule="auto"/>
        <w:jc w:val="both"/>
        <w:rPr>
          <w:rFonts w:ascii="Palatino Linotype" w:hAnsi="Palatino Linotype" w:cs="Arial"/>
          <w:sz w:val="24"/>
          <w:lang w:val="es-ES_tradnl"/>
        </w:rPr>
      </w:pPr>
      <w:r>
        <w:rPr>
          <w:rFonts w:ascii="Palatino Linotype" w:hAnsi="Palatino Linotype" w:cs="Arial"/>
          <w:sz w:val="24"/>
          <w:lang w:val="es-ES_tradnl"/>
        </w:rPr>
        <w:t>Del link entregado en informe justificado, se desprende lo siguiente:</w:t>
      </w:r>
    </w:p>
    <w:p w:rsidR="00055D39" w:rsidRDefault="00055D39" w:rsidP="00055D39">
      <w:pPr>
        <w:spacing w:line="360" w:lineRule="auto"/>
        <w:jc w:val="both"/>
        <w:rPr>
          <w:rFonts w:ascii="Palatino Linotype" w:hAnsi="Palatino Linotype" w:cs="Arial"/>
          <w:sz w:val="24"/>
          <w:lang w:val="es-ES_tradnl"/>
        </w:rPr>
      </w:pPr>
      <w:r>
        <w:rPr>
          <w:rFonts w:ascii="Palatino Linotype" w:hAnsi="Palatino Linotype" w:cs="Arial"/>
          <w:noProof/>
          <w:sz w:val="24"/>
          <w:lang w:eastAsia="es-MX"/>
        </w:rPr>
        <w:drawing>
          <wp:inline distT="0" distB="0" distL="0" distR="0">
            <wp:extent cx="5760720" cy="26771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5838B4.tmp"/>
                    <pic:cNvPicPr/>
                  </pic:nvPicPr>
                  <pic:blipFill>
                    <a:blip r:embed="rId8">
                      <a:extLst>
                        <a:ext uri="{28A0092B-C50C-407E-A947-70E740481C1C}">
                          <a14:useLocalDpi xmlns:a14="http://schemas.microsoft.com/office/drawing/2010/main" val="0"/>
                        </a:ext>
                      </a:extLst>
                    </a:blip>
                    <a:stretch>
                      <a:fillRect/>
                    </a:stretch>
                  </pic:blipFill>
                  <pic:spPr>
                    <a:xfrm>
                      <a:off x="0" y="0"/>
                      <a:ext cx="5760720" cy="2677160"/>
                    </a:xfrm>
                    <a:prstGeom prst="rect">
                      <a:avLst/>
                    </a:prstGeom>
                  </pic:spPr>
                </pic:pic>
              </a:graphicData>
            </a:graphic>
          </wp:inline>
        </w:drawing>
      </w:r>
    </w:p>
    <w:p w:rsidR="00055D39" w:rsidRPr="00055D39" w:rsidRDefault="00055D39" w:rsidP="00055D39">
      <w:pPr>
        <w:spacing w:line="360" w:lineRule="auto"/>
        <w:jc w:val="both"/>
        <w:rPr>
          <w:rFonts w:ascii="Palatino Linotype" w:hAnsi="Palatino Linotype" w:cs="Arial"/>
          <w:sz w:val="24"/>
        </w:rPr>
      </w:pPr>
      <w:r w:rsidRPr="00055D39">
        <w:rPr>
          <w:rFonts w:ascii="Palatino Linotype" w:hAnsi="Palatino Linotype" w:cs="Arial"/>
          <w:sz w:val="24"/>
          <w:lang w:val="es-ES_tradnl"/>
        </w:rPr>
        <w:t xml:space="preserve">De lo anterior, se considera que el Sujeto Obligado </w:t>
      </w:r>
      <w:r w:rsidRPr="00055D39">
        <w:rPr>
          <w:rFonts w:ascii="Palatino Linotype" w:hAnsi="Palatino Linotype" w:cs="Arial"/>
          <w:sz w:val="24"/>
        </w:rPr>
        <w:t>dejó de observar lo estipulado en los artículos 11 y 161 de la Ley de Transparencia y Acceso a la 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rsidR="00055D39" w:rsidRDefault="00055D39" w:rsidP="00055D39">
      <w:pPr>
        <w:pStyle w:val="INFOEM"/>
        <w:rPr>
          <w:lang w:eastAsia="es-ES"/>
        </w:rPr>
      </w:pPr>
      <w:r>
        <w:rPr>
          <w:b/>
          <w:lang w:eastAsia="es-ES"/>
        </w:rPr>
        <w:t>Artículo 11.</w:t>
      </w:r>
      <w:r>
        <w:rPr>
          <w:lang w:eastAsia="es-ES"/>
        </w:rPr>
        <w:t xml:space="preserv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w:t>
      </w:r>
      <w:r>
        <w:rPr>
          <w:lang w:eastAsia="es-ES"/>
        </w:rPr>
        <w:lastRenderedPageBreak/>
        <w:t>en una sociedad democrática, por lo que atenderá las necesidades del derecho de acceso a la información de toda persona.</w:t>
      </w:r>
    </w:p>
    <w:p w:rsidR="00055D39" w:rsidRDefault="00055D39" w:rsidP="00055D39">
      <w:pPr>
        <w:pStyle w:val="INFOEM"/>
        <w:rPr>
          <w:lang w:eastAsia="es-ES"/>
        </w:rPr>
      </w:pPr>
      <w:r>
        <w:rPr>
          <w:lang w:eastAsia="es-ES"/>
        </w:rPr>
        <w:t>(…)</w:t>
      </w:r>
    </w:p>
    <w:p w:rsidR="00055D39" w:rsidRDefault="00055D39" w:rsidP="00055D39">
      <w:pPr>
        <w:pStyle w:val="INFOEM"/>
        <w:rPr>
          <w:b/>
          <w:u w:val="single"/>
          <w:lang w:eastAsia="es-ES"/>
        </w:rPr>
      </w:pPr>
      <w:r>
        <w:rPr>
          <w:b/>
          <w:lang w:eastAsia="es-ES"/>
        </w:rPr>
        <w:t>Artículo 161.</w:t>
      </w:r>
      <w:r>
        <w:rPr>
          <w:lang w:eastAsia="es-ES"/>
        </w:rPr>
        <w:t xml:space="preserve"> </w:t>
      </w:r>
      <w:r>
        <w:rPr>
          <w:b/>
          <w:lang w:eastAsia="es-ES"/>
        </w:rPr>
        <w:t>Cuando la información requerida por el solicitante ya esté disponible al público</w:t>
      </w:r>
      <w:r>
        <w:rPr>
          <w:lang w:eastAsia="es-ES"/>
        </w:rPr>
        <w:t xml:space="preserve"> en medios impresos, tales como libros, compendios, trípticos, registros públicos, </w:t>
      </w:r>
      <w:r>
        <w:rPr>
          <w:b/>
          <w:lang w:eastAsia="es-ES"/>
        </w:rPr>
        <w:t>en formatos electrónicos disponibles en Internet</w:t>
      </w:r>
      <w:r>
        <w:rPr>
          <w:lang w:eastAsia="es-ES"/>
        </w:rPr>
        <w:t xml:space="preserve"> o en cualquier otro medio</w:t>
      </w:r>
      <w:r>
        <w:rPr>
          <w:b/>
          <w:u w:val="single"/>
          <w:lang w:eastAsia="es-ES"/>
        </w:rPr>
        <w:t>,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rsidR="00055D39" w:rsidRDefault="00055D39" w:rsidP="00055D39">
      <w:pPr>
        <w:spacing w:line="360" w:lineRule="auto"/>
        <w:jc w:val="both"/>
        <w:rPr>
          <w:rFonts w:ascii="Palatino Linotype" w:hAnsi="Palatino Linotype" w:cs="Arial"/>
        </w:rPr>
      </w:pPr>
    </w:p>
    <w:p w:rsidR="00055D39" w:rsidRPr="00055D39" w:rsidRDefault="00055D39" w:rsidP="00055D39">
      <w:pPr>
        <w:spacing w:line="360" w:lineRule="auto"/>
        <w:jc w:val="both"/>
        <w:rPr>
          <w:rFonts w:ascii="Palatino Linotype" w:hAnsi="Palatino Linotype" w:cs="Arial"/>
          <w:sz w:val="24"/>
        </w:rPr>
      </w:pPr>
      <w:r w:rsidRPr="00055D39">
        <w:rPr>
          <w:rFonts w:ascii="Palatino Linotype" w:hAnsi="Palatino Linotype" w:cs="Arial"/>
          <w:sz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rsidR="00055D39" w:rsidRPr="00055D39" w:rsidRDefault="00055D39" w:rsidP="00055D39">
      <w:pPr>
        <w:numPr>
          <w:ilvl w:val="0"/>
          <w:numId w:val="24"/>
        </w:numPr>
        <w:spacing w:after="0" w:line="360" w:lineRule="auto"/>
        <w:ind w:hanging="436"/>
        <w:jc w:val="both"/>
        <w:rPr>
          <w:rFonts w:ascii="Palatino Linotype" w:hAnsi="Palatino Linotype" w:cs="Arial"/>
          <w:sz w:val="24"/>
        </w:rPr>
      </w:pPr>
      <w:r w:rsidRPr="00055D39">
        <w:rPr>
          <w:rFonts w:ascii="Palatino Linotype" w:hAnsi="Palatino Linotype" w:cs="Arial"/>
          <w:sz w:val="24"/>
        </w:rPr>
        <w:t>La fuente</w:t>
      </w:r>
    </w:p>
    <w:p w:rsidR="00055D39" w:rsidRPr="00055D39" w:rsidRDefault="00055D39" w:rsidP="00055D39">
      <w:pPr>
        <w:numPr>
          <w:ilvl w:val="0"/>
          <w:numId w:val="24"/>
        </w:numPr>
        <w:spacing w:after="0" w:line="360" w:lineRule="auto"/>
        <w:ind w:hanging="436"/>
        <w:jc w:val="both"/>
        <w:rPr>
          <w:rFonts w:ascii="Palatino Linotype" w:hAnsi="Palatino Linotype" w:cs="Arial"/>
          <w:sz w:val="24"/>
        </w:rPr>
      </w:pPr>
      <w:r w:rsidRPr="00055D39">
        <w:rPr>
          <w:rFonts w:ascii="Palatino Linotype" w:hAnsi="Palatino Linotype" w:cs="Arial"/>
          <w:sz w:val="24"/>
        </w:rPr>
        <w:t>El lugar y</w:t>
      </w:r>
    </w:p>
    <w:p w:rsidR="00055D39" w:rsidRPr="00055D39" w:rsidRDefault="00055D39" w:rsidP="00055D39">
      <w:pPr>
        <w:numPr>
          <w:ilvl w:val="0"/>
          <w:numId w:val="24"/>
        </w:numPr>
        <w:spacing w:after="0" w:line="360" w:lineRule="auto"/>
        <w:ind w:hanging="436"/>
        <w:jc w:val="both"/>
        <w:rPr>
          <w:rFonts w:ascii="Palatino Linotype" w:hAnsi="Palatino Linotype" w:cs="Arial"/>
          <w:sz w:val="24"/>
        </w:rPr>
      </w:pPr>
      <w:r w:rsidRPr="00055D39">
        <w:rPr>
          <w:rFonts w:ascii="Palatino Linotype" w:hAnsi="Palatino Linotype" w:cs="Arial"/>
          <w:sz w:val="24"/>
        </w:rPr>
        <w:t xml:space="preserve">La forma </w:t>
      </w:r>
    </w:p>
    <w:p w:rsidR="00055D39" w:rsidRPr="00055D39" w:rsidRDefault="00055D39" w:rsidP="00055D39">
      <w:pPr>
        <w:spacing w:line="360" w:lineRule="auto"/>
        <w:jc w:val="both"/>
        <w:rPr>
          <w:rFonts w:ascii="Palatino Linotype" w:hAnsi="Palatino Linotype" w:cs="Arial"/>
          <w:sz w:val="24"/>
        </w:rPr>
      </w:pPr>
      <w:r w:rsidRPr="00055D39">
        <w:rPr>
          <w:rFonts w:ascii="Palatino Linotype" w:hAnsi="Palatino Linotype" w:cs="Arial"/>
          <w:sz w:val="24"/>
        </w:rPr>
        <w:t>Asimismo, se establece que la fuente de la información deberá ser:</w:t>
      </w:r>
    </w:p>
    <w:p w:rsidR="00055D39" w:rsidRPr="00055D39" w:rsidRDefault="00055D39" w:rsidP="00055D39">
      <w:pPr>
        <w:numPr>
          <w:ilvl w:val="0"/>
          <w:numId w:val="25"/>
        </w:numPr>
        <w:spacing w:after="0" w:line="360" w:lineRule="auto"/>
        <w:ind w:left="709" w:hanging="425"/>
        <w:jc w:val="both"/>
        <w:rPr>
          <w:rFonts w:ascii="Palatino Linotype" w:hAnsi="Palatino Linotype" w:cs="Arial"/>
          <w:sz w:val="24"/>
        </w:rPr>
      </w:pPr>
      <w:r w:rsidRPr="00055D39">
        <w:rPr>
          <w:rFonts w:ascii="Palatino Linotype" w:hAnsi="Palatino Linotype" w:cs="Arial"/>
          <w:sz w:val="24"/>
        </w:rPr>
        <w:lastRenderedPageBreak/>
        <w:t>Precisa</w:t>
      </w:r>
    </w:p>
    <w:p w:rsidR="00055D39" w:rsidRPr="00055D39" w:rsidRDefault="00055D39" w:rsidP="00055D39">
      <w:pPr>
        <w:numPr>
          <w:ilvl w:val="0"/>
          <w:numId w:val="25"/>
        </w:numPr>
        <w:spacing w:after="0" w:line="360" w:lineRule="auto"/>
        <w:ind w:left="709" w:hanging="425"/>
        <w:jc w:val="both"/>
        <w:rPr>
          <w:rFonts w:ascii="Palatino Linotype" w:hAnsi="Palatino Linotype" w:cs="Arial"/>
          <w:sz w:val="24"/>
        </w:rPr>
      </w:pPr>
      <w:r w:rsidRPr="00055D39">
        <w:rPr>
          <w:rFonts w:ascii="Palatino Linotype" w:hAnsi="Palatino Linotype" w:cs="Arial"/>
          <w:sz w:val="24"/>
        </w:rPr>
        <w:t>Concreta</w:t>
      </w:r>
    </w:p>
    <w:p w:rsidR="00055D39" w:rsidRPr="00055D39" w:rsidRDefault="00055D39" w:rsidP="00055D39">
      <w:pPr>
        <w:numPr>
          <w:ilvl w:val="0"/>
          <w:numId w:val="25"/>
        </w:numPr>
        <w:spacing w:after="0" w:line="360" w:lineRule="auto"/>
        <w:ind w:left="709" w:hanging="425"/>
        <w:jc w:val="both"/>
        <w:rPr>
          <w:rFonts w:ascii="Palatino Linotype" w:hAnsi="Palatino Linotype" w:cs="Arial"/>
          <w:b/>
          <w:sz w:val="24"/>
        </w:rPr>
      </w:pPr>
      <w:r w:rsidRPr="00055D39">
        <w:rPr>
          <w:rFonts w:ascii="Palatino Linotype" w:hAnsi="Palatino Linotype" w:cs="Arial"/>
          <w:b/>
          <w:sz w:val="24"/>
        </w:rPr>
        <w:t>Y no debe implicar que el solicitante realice una búsqueda en toda la información que se encuentre disponible.</w:t>
      </w:r>
    </w:p>
    <w:p w:rsidR="00055D39" w:rsidRDefault="00055D39" w:rsidP="00364D9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lang w:val="es-ES_tradnl" w:eastAsia="es-MX"/>
        </w:rPr>
      </w:pPr>
    </w:p>
    <w:p w:rsidR="00364D9E" w:rsidRPr="00364D9E" w:rsidRDefault="00364D9E" w:rsidP="00364D9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lang w:val="es-ES_tradnl" w:eastAsia="es-MX"/>
        </w:rPr>
      </w:pPr>
      <w:r w:rsidRPr="00364D9E">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w:t>
      </w:r>
      <w:r>
        <w:rPr>
          <w:rFonts w:ascii="Palatino Linotype" w:eastAsia="Palatino Linotype" w:hAnsi="Palatino Linotype" w:cs="Palatino Linotype"/>
          <w:color w:val="000000"/>
          <w:sz w:val="24"/>
          <w:lang w:val="es-ES_tradnl" w:eastAsia="es-MX"/>
        </w:rPr>
        <w:t>el informe justificado</w:t>
      </w:r>
      <w:r w:rsidRPr="00364D9E">
        <w:rPr>
          <w:rFonts w:ascii="Palatino Linotype" w:eastAsia="Palatino Linotype" w:hAnsi="Palatino Linotype" w:cs="Palatino Linotype"/>
          <w:color w:val="000000"/>
          <w:sz w:val="24"/>
          <w:lang w:val="es-ES_tradnl" w:eastAsia="es-MX"/>
        </w:rPr>
        <w:t xml:space="preserve"> del Sujeto Obligado colma la pretensión del Recurrente</w:t>
      </w:r>
      <w:r>
        <w:rPr>
          <w:rFonts w:ascii="Palatino Linotype" w:eastAsia="Palatino Linotype" w:hAnsi="Palatino Linotype" w:cs="Palatino Linotype"/>
          <w:color w:val="000000"/>
          <w:sz w:val="24"/>
          <w:lang w:val="es-ES_tradnl" w:eastAsia="es-MX"/>
        </w:rPr>
        <w:t>.</w:t>
      </w:r>
    </w:p>
    <w:p w:rsidR="00364D9E" w:rsidRDefault="00364D9E" w:rsidP="00364D9E">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14"/>
        <w:gridCol w:w="3013"/>
        <w:gridCol w:w="3015"/>
      </w:tblGrid>
      <w:tr w:rsidR="00364D9E" w:rsidTr="0073515E">
        <w:trPr>
          <w:trHeight w:val="828"/>
        </w:trPr>
        <w:tc>
          <w:tcPr>
            <w:tcW w:w="3014" w:type="dxa"/>
            <w:shd w:val="clear" w:color="auto" w:fill="E7E6E6" w:themeFill="background2"/>
          </w:tcPr>
          <w:p w:rsidR="00364D9E" w:rsidRPr="00E80E99" w:rsidRDefault="00364D9E" w:rsidP="0073515E">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3014" w:type="dxa"/>
            <w:shd w:val="clear" w:color="auto" w:fill="E7E6E6" w:themeFill="background2"/>
          </w:tcPr>
          <w:p w:rsidR="00364D9E" w:rsidRPr="00E80E99" w:rsidRDefault="00F8146F" w:rsidP="0073515E">
            <w:pPr>
              <w:spacing w:line="360" w:lineRule="auto"/>
              <w:jc w:val="center"/>
              <w:rPr>
                <w:rFonts w:ascii="Palatino Linotype" w:hAnsi="Palatino Linotype"/>
                <w:b/>
                <w:i/>
                <w:color w:val="000000"/>
              </w:rPr>
            </w:pPr>
            <w:r w:rsidRPr="001D0E22">
              <w:rPr>
                <w:rFonts w:ascii="Palatino Linotype" w:hAnsi="Palatino Linotype"/>
                <w:b/>
                <w:i/>
                <w:color w:val="000000"/>
              </w:rPr>
              <w:t>Informe Justificado</w:t>
            </w:r>
            <w:r>
              <w:rPr>
                <w:rFonts w:ascii="Palatino Linotype" w:hAnsi="Palatino Linotype"/>
                <w:b/>
                <w:i/>
                <w:color w:val="000000"/>
              </w:rPr>
              <w:t xml:space="preserve"> </w:t>
            </w:r>
          </w:p>
        </w:tc>
        <w:tc>
          <w:tcPr>
            <w:tcW w:w="3016" w:type="dxa"/>
            <w:shd w:val="clear" w:color="auto" w:fill="E7E6E6" w:themeFill="background2"/>
          </w:tcPr>
          <w:p w:rsidR="00364D9E" w:rsidRPr="00E80E99" w:rsidRDefault="00364D9E" w:rsidP="0073515E">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364D9E" w:rsidRPr="00C73DD1" w:rsidTr="0073515E">
        <w:trPr>
          <w:trHeight w:val="828"/>
        </w:trPr>
        <w:tc>
          <w:tcPr>
            <w:tcW w:w="3014" w:type="dxa"/>
          </w:tcPr>
          <w:p w:rsidR="00364D9E" w:rsidRPr="00364D9E" w:rsidRDefault="00364D9E" w:rsidP="00364D9E">
            <w:pPr>
              <w:tabs>
                <w:tab w:val="left" w:pos="1828"/>
              </w:tabs>
              <w:spacing w:line="276" w:lineRule="auto"/>
              <w:jc w:val="both"/>
              <w:rPr>
                <w:rFonts w:ascii="Palatino Linotype" w:hAnsi="Palatino Linotype" w:cs="Tahoma"/>
                <w:bCs/>
              </w:rPr>
            </w:pPr>
            <w:r>
              <w:rPr>
                <w:rFonts w:ascii="Palatino Linotype" w:hAnsi="Palatino Linotype" w:cs="Arial"/>
              </w:rPr>
              <w:t>F</w:t>
            </w:r>
            <w:r w:rsidRPr="007B35E4">
              <w:rPr>
                <w:rFonts w:ascii="Palatino Linotype" w:hAnsi="Palatino Linotype" w:cs="Arial"/>
              </w:rPr>
              <w:t>acturas y todos los comprobantes que amparen el pago de las empresas que tienen actualmente la supervisión d</w:t>
            </w:r>
            <w:r>
              <w:rPr>
                <w:rFonts w:ascii="Palatino Linotype" w:hAnsi="Palatino Linotype" w:cs="Arial"/>
              </w:rPr>
              <w:t xml:space="preserve">e las líneas del </w:t>
            </w:r>
            <w:proofErr w:type="spellStart"/>
            <w:r>
              <w:rPr>
                <w:rFonts w:ascii="Palatino Linotype" w:hAnsi="Palatino Linotype" w:cs="Arial"/>
              </w:rPr>
              <w:t>mexibús</w:t>
            </w:r>
            <w:proofErr w:type="spellEnd"/>
          </w:p>
        </w:tc>
        <w:tc>
          <w:tcPr>
            <w:tcW w:w="3014" w:type="dxa"/>
          </w:tcPr>
          <w:p w:rsidR="00364D9E" w:rsidRPr="001F5C18" w:rsidRDefault="001F5C18" w:rsidP="001F5C18">
            <w:pPr>
              <w:pStyle w:val="INFOEM"/>
              <w:spacing w:line="240" w:lineRule="auto"/>
              <w:ind w:left="0" w:right="-14"/>
              <w:rPr>
                <w:i w:val="0"/>
              </w:rPr>
            </w:pPr>
            <w:r>
              <w:rPr>
                <w:i w:val="0"/>
              </w:rPr>
              <w:t>R</w:t>
            </w:r>
            <w:r w:rsidRPr="001F5C18">
              <w:rPr>
                <w:i w:val="0"/>
              </w:rPr>
              <w:t>esulta dable entregar las facturas y todos los comprobantes que requiere la peticionaria.</w:t>
            </w:r>
          </w:p>
        </w:tc>
        <w:tc>
          <w:tcPr>
            <w:tcW w:w="3016" w:type="dxa"/>
          </w:tcPr>
          <w:p w:rsidR="00364D9E" w:rsidRDefault="00F8146F" w:rsidP="0073515E">
            <w:pPr>
              <w:jc w:val="center"/>
              <w:rPr>
                <w:rFonts w:ascii="Palatino Linotype" w:hAnsi="Palatino Linotype"/>
                <w:i/>
                <w:color w:val="000000"/>
              </w:rPr>
            </w:pPr>
            <w:r>
              <w:rPr>
                <w:rFonts w:ascii="Palatino Linotype" w:hAnsi="Palatino Linotype"/>
                <w:i/>
                <w:color w:val="000000"/>
              </w:rPr>
              <w:t>Parcialmente.</w:t>
            </w:r>
          </w:p>
          <w:p w:rsidR="00F8146F" w:rsidRPr="006919CD" w:rsidRDefault="00F8146F" w:rsidP="00A94763">
            <w:pPr>
              <w:jc w:val="center"/>
              <w:rPr>
                <w:rFonts w:ascii="Palatino Linotype" w:hAnsi="Palatino Linotype"/>
                <w:i/>
                <w:color w:val="000000"/>
              </w:rPr>
            </w:pPr>
            <w:r>
              <w:rPr>
                <w:rFonts w:ascii="Palatino Linotype" w:hAnsi="Palatino Linotype"/>
                <w:i/>
                <w:color w:val="000000"/>
              </w:rPr>
              <w:t xml:space="preserve">Admitió contar con la información, sin embargo, </w:t>
            </w:r>
            <w:r w:rsidR="00A94763">
              <w:rPr>
                <w:rFonts w:ascii="Palatino Linotype" w:hAnsi="Palatino Linotype"/>
                <w:i/>
                <w:color w:val="000000"/>
              </w:rPr>
              <w:t>la información no fue puesta a la vista del Recurrente por contener datos personales</w:t>
            </w:r>
            <w:r>
              <w:rPr>
                <w:rFonts w:ascii="Palatino Linotype" w:hAnsi="Palatino Linotype"/>
                <w:i/>
                <w:color w:val="000000"/>
              </w:rPr>
              <w:t xml:space="preserve">.  </w:t>
            </w:r>
          </w:p>
        </w:tc>
      </w:tr>
      <w:tr w:rsidR="00364D9E" w:rsidRPr="00C73DD1" w:rsidTr="0073515E">
        <w:trPr>
          <w:trHeight w:val="828"/>
        </w:trPr>
        <w:tc>
          <w:tcPr>
            <w:tcW w:w="3014" w:type="dxa"/>
          </w:tcPr>
          <w:p w:rsidR="00364D9E" w:rsidRPr="00364D9E" w:rsidRDefault="00364D9E" w:rsidP="00364D9E">
            <w:pPr>
              <w:tabs>
                <w:tab w:val="left" w:pos="1828"/>
              </w:tabs>
              <w:spacing w:line="276" w:lineRule="auto"/>
              <w:jc w:val="both"/>
              <w:rPr>
                <w:rFonts w:ascii="Palatino Linotype" w:hAnsi="Palatino Linotype" w:cs="Tahoma"/>
                <w:bCs/>
              </w:rPr>
            </w:pPr>
            <w:r w:rsidRPr="00364D9E">
              <w:rPr>
                <w:rFonts w:ascii="Palatino Linotype" w:hAnsi="Palatino Linotype" w:cs="Tahoma"/>
                <w:bCs/>
              </w:rPr>
              <w:t>Procesos de contratación debidamente protocolizados ante la mesa directiva o consejo directivo que avala dicha contratación</w:t>
            </w:r>
          </w:p>
        </w:tc>
        <w:tc>
          <w:tcPr>
            <w:tcW w:w="3014" w:type="dxa"/>
          </w:tcPr>
          <w:p w:rsidR="00364D9E" w:rsidRPr="00675D6A" w:rsidRDefault="001F5C18" w:rsidP="001F5C18">
            <w:pPr>
              <w:pStyle w:val="INFOEM"/>
              <w:ind w:left="0" w:right="123"/>
              <w:jc w:val="center"/>
              <w:rPr>
                <w:i w:val="0"/>
              </w:rPr>
            </w:pPr>
            <w:r>
              <w:rPr>
                <w:i w:val="0"/>
              </w:rPr>
              <w:t>Link que dirige al portal de internet del Sujeto Obligado</w:t>
            </w:r>
          </w:p>
        </w:tc>
        <w:tc>
          <w:tcPr>
            <w:tcW w:w="3016" w:type="dxa"/>
          </w:tcPr>
          <w:p w:rsidR="00364D9E" w:rsidRPr="006919CD" w:rsidRDefault="001F5C18" w:rsidP="0073515E">
            <w:pPr>
              <w:jc w:val="center"/>
              <w:rPr>
                <w:rFonts w:ascii="Palatino Linotype" w:hAnsi="Palatino Linotype"/>
                <w:i/>
                <w:color w:val="000000"/>
              </w:rPr>
            </w:pPr>
            <w:r>
              <w:rPr>
                <w:rFonts w:ascii="Palatino Linotype" w:hAnsi="Palatino Linotype"/>
                <w:i/>
                <w:color w:val="000000"/>
              </w:rPr>
              <w:t>No</w:t>
            </w:r>
          </w:p>
        </w:tc>
      </w:tr>
      <w:tr w:rsidR="00364D9E" w:rsidRPr="00C73DD1" w:rsidTr="0073515E">
        <w:trPr>
          <w:trHeight w:val="828"/>
        </w:trPr>
        <w:tc>
          <w:tcPr>
            <w:tcW w:w="3014" w:type="dxa"/>
          </w:tcPr>
          <w:p w:rsidR="00364D9E" w:rsidRPr="00364D9E" w:rsidRDefault="00364D9E" w:rsidP="00364D9E">
            <w:pPr>
              <w:tabs>
                <w:tab w:val="left" w:pos="1828"/>
              </w:tabs>
              <w:spacing w:line="276" w:lineRule="auto"/>
              <w:jc w:val="both"/>
              <w:rPr>
                <w:rFonts w:ascii="Palatino Linotype" w:hAnsi="Palatino Linotype" w:cs="Tahoma"/>
                <w:bCs/>
              </w:rPr>
            </w:pPr>
            <w:r w:rsidRPr="00364D9E">
              <w:rPr>
                <w:rFonts w:ascii="Palatino Linotype" w:hAnsi="Palatino Linotype" w:cs="Tahoma"/>
                <w:bCs/>
              </w:rPr>
              <w:t>Facturas pagadas o transferencias hechas de los meses de enero a mayo 2024</w:t>
            </w:r>
          </w:p>
        </w:tc>
        <w:tc>
          <w:tcPr>
            <w:tcW w:w="3014" w:type="dxa"/>
          </w:tcPr>
          <w:p w:rsidR="00364D9E" w:rsidRPr="00675D6A" w:rsidRDefault="001F5C18" w:rsidP="001F5C18">
            <w:pPr>
              <w:pStyle w:val="INFOEM"/>
              <w:spacing w:line="240" w:lineRule="auto"/>
              <w:ind w:left="0" w:right="123"/>
              <w:rPr>
                <w:i w:val="0"/>
              </w:rPr>
            </w:pPr>
            <w:r>
              <w:rPr>
                <w:i w:val="0"/>
              </w:rPr>
              <w:t>R</w:t>
            </w:r>
            <w:r w:rsidRPr="00F8146F">
              <w:rPr>
                <w:i w:val="0"/>
              </w:rPr>
              <w:t xml:space="preserve">esulta dable entregar las facturas pagadas así como las transferencias hechas en los meses del año que refiere el solicitante, en versión pública, una vez que sea aprobado por el </w:t>
            </w:r>
            <w:r w:rsidRPr="00F8146F">
              <w:rPr>
                <w:i w:val="0"/>
              </w:rPr>
              <w:lastRenderedPageBreak/>
              <w:t>Comité de Transparencia del Organismo.</w:t>
            </w:r>
          </w:p>
        </w:tc>
        <w:tc>
          <w:tcPr>
            <w:tcW w:w="3016" w:type="dxa"/>
          </w:tcPr>
          <w:p w:rsidR="001F5C18" w:rsidRDefault="001F5C18" w:rsidP="001F5C18">
            <w:pPr>
              <w:jc w:val="center"/>
              <w:rPr>
                <w:rFonts w:ascii="Palatino Linotype" w:hAnsi="Palatino Linotype"/>
                <w:i/>
                <w:color w:val="000000"/>
              </w:rPr>
            </w:pPr>
            <w:r>
              <w:rPr>
                <w:rFonts w:ascii="Palatino Linotype" w:hAnsi="Palatino Linotype"/>
                <w:i/>
                <w:color w:val="000000"/>
              </w:rPr>
              <w:lastRenderedPageBreak/>
              <w:t>Parcialmente.</w:t>
            </w:r>
          </w:p>
          <w:p w:rsidR="00364D9E" w:rsidRPr="006919CD" w:rsidRDefault="001F5C18" w:rsidP="001F5C18">
            <w:pPr>
              <w:jc w:val="center"/>
              <w:rPr>
                <w:rFonts w:ascii="Palatino Linotype" w:hAnsi="Palatino Linotype"/>
                <w:i/>
                <w:color w:val="000000"/>
              </w:rPr>
            </w:pPr>
            <w:r>
              <w:rPr>
                <w:rFonts w:ascii="Palatino Linotype" w:hAnsi="Palatino Linotype"/>
                <w:i/>
                <w:color w:val="000000"/>
              </w:rPr>
              <w:t xml:space="preserve">Admitió contar con la información, sin embargo, la información no fue puesta a la vista del Recurrente por contener datos personales.  </w:t>
            </w:r>
          </w:p>
        </w:tc>
      </w:tr>
      <w:tr w:rsidR="00364D9E" w:rsidRPr="00C73DD1" w:rsidTr="0073515E">
        <w:trPr>
          <w:trHeight w:val="828"/>
        </w:trPr>
        <w:tc>
          <w:tcPr>
            <w:tcW w:w="3014" w:type="dxa"/>
          </w:tcPr>
          <w:p w:rsidR="00364D9E" w:rsidRPr="00364D9E" w:rsidRDefault="00364D9E" w:rsidP="00364D9E">
            <w:pPr>
              <w:tabs>
                <w:tab w:val="left" w:pos="1828"/>
              </w:tabs>
              <w:spacing w:line="276" w:lineRule="auto"/>
              <w:jc w:val="both"/>
              <w:rPr>
                <w:rFonts w:ascii="Palatino Linotype" w:hAnsi="Palatino Linotype" w:cs="Tahoma"/>
                <w:bCs/>
              </w:rPr>
            </w:pPr>
            <w:r w:rsidRPr="00364D9E">
              <w:rPr>
                <w:rFonts w:ascii="Palatino Linotype" w:hAnsi="Palatino Linotype" w:cs="Tahoma"/>
                <w:bCs/>
              </w:rPr>
              <w:t>¿Cuándo es el proceso de entrega de la directora ya que se tiene planeado para fines de mes?, ¿ya tiene programada la entrega?, ¿ya le notificaron su proceso de entrega?</w:t>
            </w:r>
          </w:p>
        </w:tc>
        <w:tc>
          <w:tcPr>
            <w:tcW w:w="3014" w:type="dxa"/>
          </w:tcPr>
          <w:p w:rsidR="00A94763" w:rsidRDefault="00A94763" w:rsidP="001D0E22">
            <w:pPr>
              <w:pStyle w:val="INFOEM"/>
              <w:ind w:left="0" w:right="123"/>
              <w:jc w:val="center"/>
              <w:rPr>
                <w:i w:val="0"/>
              </w:rPr>
            </w:pPr>
            <w:r>
              <w:rPr>
                <w:i w:val="0"/>
              </w:rPr>
              <w:t>Hechos futuros</w:t>
            </w:r>
          </w:p>
          <w:p w:rsidR="00A94763" w:rsidRPr="00675D6A" w:rsidRDefault="00A94763" w:rsidP="001D0E22">
            <w:pPr>
              <w:pStyle w:val="INFOEM"/>
              <w:ind w:left="0" w:right="123"/>
              <w:jc w:val="center"/>
              <w:rPr>
                <w:i w:val="0"/>
              </w:rPr>
            </w:pPr>
            <w:r>
              <w:rPr>
                <w:i w:val="0"/>
              </w:rPr>
              <w:t>No se pueden atender</w:t>
            </w:r>
          </w:p>
        </w:tc>
        <w:tc>
          <w:tcPr>
            <w:tcW w:w="3016" w:type="dxa"/>
          </w:tcPr>
          <w:p w:rsidR="00364D9E" w:rsidRPr="006919CD" w:rsidRDefault="00A94763" w:rsidP="0073515E">
            <w:pPr>
              <w:jc w:val="center"/>
              <w:rPr>
                <w:rFonts w:ascii="Palatino Linotype" w:hAnsi="Palatino Linotype"/>
                <w:i/>
                <w:color w:val="000000"/>
              </w:rPr>
            </w:pPr>
            <w:r>
              <w:rPr>
                <w:rFonts w:ascii="Palatino Linotype" w:hAnsi="Palatino Linotype"/>
                <w:i/>
                <w:color w:val="000000"/>
              </w:rPr>
              <w:t>Sí</w:t>
            </w:r>
          </w:p>
        </w:tc>
      </w:tr>
      <w:tr w:rsidR="00364D9E" w:rsidRPr="00C73DD1" w:rsidTr="0073515E">
        <w:trPr>
          <w:trHeight w:val="828"/>
        </w:trPr>
        <w:tc>
          <w:tcPr>
            <w:tcW w:w="3014" w:type="dxa"/>
          </w:tcPr>
          <w:p w:rsidR="00364D9E" w:rsidRPr="00364D9E" w:rsidRDefault="00364D9E" w:rsidP="00364D9E">
            <w:pPr>
              <w:tabs>
                <w:tab w:val="left" w:pos="1828"/>
              </w:tabs>
              <w:spacing w:line="276" w:lineRule="auto"/>
              <w:jc w:val="both"/>
              <w:rPr>
                <w:rFonts w:ascii="Palatino Linotype" w:hAnsi="Palatino Linotype" w:cs="Tahoma"/>
                <w:bCs/>
              </w:rPr>
            </w:pPr>
            <w:r w:rsidRPr="00364D9E">
              <w:rPr>
                <w:rFonts w:ascii="Palatino Linotype" w:hAnsi="Palatino Linotype" w:cs="Tahoma"/>
                <w:bCs/>
              </w:rPr>
              <w:t>Bonos, así como los gastos hechos en el mes mayo y que se relacionan con el fondo fijo</w:t>
            </w:r>
          </w:p>
        </w:tc>
        <w:tc>
          <w:tcPr>
            <w:tcW w:w="3014" w:type="dxa"/>
          </w:tcPr>
          <w:p w:rsidR="00364D9E" w:rsidRPr="00675D6A" w:rsidRDefault="00A94763" w:rsidP="00A94763">
            <w:pPr>
              <w:pStyle w:val="INFOEM"/>
              <w:ind w:left="0" w:right="0"/>
              <w:rPr>
                <w:i w:val="0"/>
              </w:rPr>
            </w:pPr>
            <w:r>
              <w:t>“…debió establecer el elemento que necesitaba conocer, situación que no fue precisada.”</w:t>
            </w:r>
          </w:p>
        </w:tc>
        <w:tc>
          <w:tcPr>
            <w:tcW w:w="3016" w:type="dxa"/>
          </w:tcPr>
          <w:p w:rsidR="00364D9E" w:rsidRPr="006919CD" w:rsidRDefault="00A94763" w:rsidP="0073515E">
            <w:pPr>
              <w:jc w:val="center"/>
              <w:rPr>
                <w:rFonts w:ascii="Palatino Linotype" w:hAnsi="Palatino Linotype"/>
                <w:i/>
                <w:color w:val="000000"/>
              </w:rPr>
            </w:pPr>
            <w:r>
              <w:rPr>
                <w:rFonts w:ascii="Palatino Linotype" w:hAnsi="Palatino Linotype"/>
                <w:i/>
                <w:color w:val="000000"/>
              </w:rPr>
              <w:t>No</w:t>
            </w:r>
          </w:p>
        </w:tc>
      </w:tr>
      <w:tr w:rsidR="00472F3E" w:rsidRPr="00C73DD1" w:rsidTr="0073515E">
        <w:trPr>
          <w:trHeight w:val="828"/>
        </w:trPr>
        <w:tc>
          <w:tcPr>
            <w:tcW w:w="3014" w:type="dxa"/>
          </w:tcPr>
          <w:p w:rsidR="00472F3E" w:rsidRPr="00364D9E" w:rsidRDefault="00472F3E" w:rsidP="00364D9E">
            <w:pPr>
              <w:tabs>
                <w:tab w:val="left" w:pos="1828"/>
              </w:tabs>
              <w:spacing w:line="276" w:lineRule="auto"/>
              <w:jc w:val="both"/>
              <w:rPr>
                <w:rFonts w:ascii="Palatino Linotype" w:hAnsi="Palatino Linotype" w:cs="Tahoma"/>
                <w:bCs/>
              </w:rPr>
            </w:pPr>
            <w:r>
              <w:rPr>
                <w:rFonts w:ascii="Palatino Linotype" w:hAnsi="Palatino Linotype" w:cs="Arial"/>
              </w:rPr>
              <w:t>C</w:t>
            </w:r>
            <w:r w:rsidRPr="007B35E4">
              <w:rPr>
                <w:rFonts w:ascii="Palatino Linotype" w:hAnsi="Palatino Linotype" w:cs="Arial"/>
              </w:rPr>
              <w:t>omprobantes de nómina de todo el personal mando medio y ope</w:t>
            </w:r>
            <w:r>
              <w:rPr>
                <w:rFonts w:ascii="Palatino Linotype" w:hAnsi="Palatino Linotype" w:cs="Arial"/>
              </w:rPr>
              <w:t xml:space="preserve">rativos </w:t>
            </w:r>
            <w:r w:rsidRPr="007B35E4">
              <w:rPr>
                <w:rFonts w:ascii="Palatino Linotype" w:hAnsi="Palatino Linotype" w:cs="Arial"/>
              </w:rPr>
              <w:t>de marzo</w:t>
            </w:r>
            <w:r>
              <w:rPr>
                <w:rFonts w:ascii="Palatino Linotype" w:hAnsi="Palatino Linotype" w:cs="Arial"/>
              </w:rPr>
              <w:t xml:space="preserve"> 2024</w:t>
            </w:r>
          </w:p>
        </w:tc>
        <w:tc>
          <w:tcPr>
            <w:tcW w:w="3014" w:type="dxa"/>
          </w:tcPr>
          <w:p w:rsidR="00472F3E" w:rsidRDefault="00472F3E" w:rsidP="00A94763">
            <w:pPr>
              <w:pStyle w:val="INFOEM"/>
              <w:ind w:left="0" w:right="0"/>
            </w:pPr>
            <w:r>
              <w:t>En IJ entrego la nómina, sin embargo, los documentos contienen datos personales.</w:t>
            </w:r>
          </w:p>
        </w:tc>
        <w:tc>
          <w:tcPr>
            <w:tcW w:w="3016" w:type="dxa"/>
          </w:tcPr>
          <w:p w:rsidR="00472F3E" w:rsidRDefault="00472F3E" w:rsidP="0073515E">
            <w:pPr>
              <w:jc w:val="center"/>
              <w:rPr>
                <w:rFonts w:ascii="Palatino Linotype" w:hAnsi="Palatino Linotype"/>
                <w:i/>
                <w:color w:val="000000"/>
              </w:rPr>
            </w:pPr>
            <w:r>
              <w:rPr>
                <w:rFonts w:ascii="Palatino Linotype" w:hAnsi="Palatino Linotype"/>
                <w:i/>
                <w:color w:val="000000"/>
              </w:rPr>
              <w:t>No</w:t>
            </w:r>
          </w:p>
        </w:tc>
      </w:tr>
    </w:tbl>
    <w:p w:rsidR="00741E11" w:rsidRDefault="00741E11" w:rsidP="00741E11">
      <w:pPr>
        <w:pBdr>
          <w:top w:val="nil"/>
          <w:left w:val="nil"/>
          <w:bottom w:val="nil"/>
          <w:right w:val="nil"/>
          <w:between w:val="nil"/>
        </w:pBdr>
        <w:spacing w:line="360" w:lineRule="auto"/>
        <w:contextualSpacing/>
        <w:jc w:val="both"/>
        <w:rPr>
          <w:rFonts w:ascii="Palatino Linotype" w:hAnsi="Palatino Linotype"/>
        </w:rPr>
      </w:pPr>
    </w:p>
    <w:p w:rsidR="0073515E" w:rsidRDefault="0073515E" w:rsidP="0073515E">
      <w:pPr>
        <w:pStyle w:val="Sinespaciado"/>
        <w:spacing w:line="360" w:lineRule="auto"/>
        <w:jc w:val="both"/>
        <w:rPr>
          <w:rFonts w:ascii="Palatino Linotype" w:hAnsi="Palatino Linotype" w:cs="Arial"/>
        </w:rPr>
      </w:pPr>
      <w:r w:rsidRPr="002E1896">
        <w:rPr>
          <w:rFonts w:ascii="Palatino Linotype" w:hAnsi="Palatino Linotype" w:cs="Arial"/>
        </w:rPr>
        <w:t>De conformidad con el artículo 17.5 del Código Administrativo del Estado de México, serán autoridades para la aplicación del Libro Décimo Séptimo, las siguientes:</w:t>
      </w:r>
    </w:p>
    <w:p w:rsidR="0073515E" w:rsidRDefault="0073515E" w:rsidP="0073515E">
      <w:pPr>
        <w:pStyle w:val="Sinespaciado"/>
        <w:spacing w:line="360" w:lineRule="auto"/>
        <w:jc w:val="both"/>
        <w:rPr>
          <w:rFonts w:ascii="Palatino Linotype" w:hAnsi="Palatino Linotype" w:cs="Arial"/>
        </w:rPr>
      </w:pPr>
    </w:p>
    <w:p w:rsidR="0073515E" w:rsidRDefault="0073515E" w:rsidP="0073515E">
      <w:pPr>
        <w:pStyle w:val="Citas"/>
        <w:numPr>
          <w:ilvl w:val="0"/>
          <w:numId w:val="14"/>
        </w:numPr>
        <w:spacing w:line="240" w:lineRule="auto"/>
      </w:pPr>
      <w:r>
        <w:t xml:space="preserve">El Gobernador del Estado; </w:t>
      </w:r>
    </w:p>
    <w:p w:rsidR="0073515E" w:rsidRDefault="0073515E" w:rsidP="0073515E">
      <w:pPr>
        <w:pStyle w:val="Citas"/>
        <w:numPr>
          <w:ilvl w:val="0"/>
          <w:numId w:val="14"/>
        </w:numPr>
        <w:spacing w:line="240" w:lineRule="auto"/>
      </w:pPr>
      <w:r w:rsidRPr="002E1896">
        <w:t xml:space="preserve">El Secretario de Movilidad; </w:t>
      </w:r>
    </w:p>
    <w:p w:rsidR="0073515E" w:rsidRDefault="0073515E" w:rsidP="0073515E">
      <w:pPr>
        <w:pStyle w:val="Citas"/>
        <w:numPr>
          <w:ilvl w:val="0"/>
          <w:numId w:val="14"/>
        </w:numPr>
        <w:spacing w:line="240" w:lineRule="auto"/>
      </w:pPr>
      <w:r w:rsidRPr="002E1896">
        <w:t xml:space="preserve">La Junta de Caminos del Estado de México; </w:t>
      </w:r>
    </w:p>
    <w:p w:rsidR="0073515E" w:rsidRDefault="0073515E" w:rsidP="0073515E">
      <w:pPr>
        <w:pStyle w:val="Citas"/>
        <w:numPr>
          <w:ilvl w:val="0"/>
          <w:numId w:val="14"/>
        </w:numPr>
        <w:spacing w:line="240" w:lineRule="auto"/>
      </w:pPr>
      <w:r w:rsidRPr="002E1896">
        <w:t xml:space="preserve">El Sistema de Autopistas, Aeropuertos, Servicios Conexos y Auxiliares del Estado de México; V. </w:t>
      </w:r>
    </w:p>
    <w:p w:rsidR="0073515E" w:rsidRDefault="0073515E" w:rsidP="0073515E">
      <w:pPr>
        <w:pStyle w:val="Citas"/>
        <w:numPr>
          <w:ilvl w:val="0"/>
          <w:numId w:val="14"/>
        </w:numPr>
        <w:spacing w:line="240" w:lineRule="auto"/>
      </w:pPr>
      <w:r w:rsidRPr="002E1896">
        <w:rPr>
          <w:b/>
        </w:rPr>
        <w:t xml:space="preserve">El Sistema de Transportes Masivo y Teleférico del Estado de México; </w:t>
      </w:r>
      <w:r w:rsidRPr="002E1896">
        <w:t xml:space="preserve">y </w:t>
      </w:r>
    </w:p>
    <w:p w:rsidR="0073515E" w:rsidRDefault="0073515E" w:rsidP="0073515E">
      <w:pPr>
        <w:pStyle w:val="Citas"/>
        <w:numPr>
          <w:ilvl w:val="0"/>
          <w:numId w:val="14"/>
        </w:numPr>
      </w:pPr>
      <w:r w:rsidRPr="002E1896">
        <w:lastRenderedPageBreak/>
        <w:t>Los municipios</w:t>
      </w:r>
    </w:p>
    <w:p w:rsidR="004F1D6A" w:rsidRDefault="004F1D6A" w:rsidP="0073515E">
      <w:pPr>
        <w:pStyle w:val="Sinespaciado"/>
        <w:spacing w:line="360" w:lineRule="auto"/>
        <w:jc w:val="both"/>
        <w:rPr>
          <w:rFonts w:ascii="Palatino Linotype" w:hAnsi="Palatino Linotype" w:cs="Arial"/>
        </w:rPr>
      </w:pPr>
    </w:p>
    <w:p w:rsidR="0073515E" w:rsidRDefault="0073515E" w:rsidP="0073515E">
      <w:pPr>
        <w:pStyle w:val="Sinespaciado"/>
        <w:spacing w:line="360" w:lineRule="auto"/>
        <w:jc w:val="both"/>
        <w:rPr>
          <w:rFonts w:ascii="Palatino Linotype" w:hAnsi="Palatino Linotype" w:cs="Arial"/>
        </w:rPr>
      </w:pPr>
    </w:p>
    <w:p w:rsidR="0073515E" w:rsidRDefault="0073515E" w:rsidP="0073515E">
      <w:pPr>
        <w:pStyle w:val="Sinespaciado"/>
        <w:spacing w:line="360" w:lineRule="auto"/>
        <w:jc w:val="both"/>
        <w:rPr>
          <w:rFonts w:ascii="Palatino Linotype" w:hAnsi="Palatino Linotype" w:cs="Arial"/>
        </w:rPr>
      </w:pPr>
      <w:r w:rsidRPr="00107C36">
        <w:rPr>
          <w:rFonts w:ascii="Palatino Linotype" w:hAnsi="Palatino Linotype" w:cs="Arial"/>
        </w:rPr>
        <w:t xml:space="preserve">De conformidad con lo dispuesto por el numeral 17.77 del Código Administrativo del Estado de México, el </w:t>
      </w:r>
      <w:r w:rsidRPr="00107C36">
        <w:rPr>
          <w:rFonts w:ascii="Palatino Linotype" w:hAnsi="Palatino Linotype" w:cs="Arial"/>
          <w:b/>
        </w:rPr>
        <w:t>SUJETO OBLIGADO</w:t>
      </w:r>
      <w:r w:rsidRPr="00107C36">
        <w:rPr>
          <w:rFonts w:ascii="Palatino Linotype" w:hAnsi="Palatino Linotype" w:cs="Arial"/>
        </w:rPr>
        <w:t xml:space="preserve"> tendrá, entre sus atribuciones, las siguientes:</w:t>
      </w:r>
    </w:p>
    <w:p w:rsidR="0073515E" w:rsidRDefault="0073515E" w:rsidP="004F1D6A">
      <w:pPr>
        <w:pStyle w:val="Citas"/>
        <w:spacing w:line="240" w:lineRule="auto"/>
      </w:pPr>
      <w:r w:rsidRPr="00107C36">
        <w:rPr>
          <w:b/>
        </w:rPr>
        <w:t>Artículo 17.77.-</w:t>
      </w:r>
      <w:r w:rsidRPr="00107C36">
        <w:t xml:space="preserve"> El Sistema, para el cumplimiento de su objeto, tiene las atribuciones siguientes: </w:t>
      </w:r>
    </w:p>
    <w:p w:rsidR="0073515E" w:rsidRDefault="0073515E" w:rsidP="004F1D6A">
      <w:pPr>
        <w:pStyle w:val="Citas"/>
        <w:numPr>
          <w:ilvl w:val="0"/>
          <w:numId w:val="15"/>
        </w:numPr>
        <w:spacing w:line="240" w:lineRule="auto"/>
      </w:pPr>
      <w:r w:rsidRPr="00107C36">
        <w:rPr>
          <w:b/>
        </w:rPr>
        <w:t>Proponer y ejecutar</w:t>
      </w:r>
      <w:r w:rsidRPr="00107C36">
        <w:t xml:space="preserve"> planes, programas, proyectos y acciones para el diseño, </w:t>
      </w:r>
      <w:r w:rsidRPr="00107C36">
        <w:rPr>
          <w:b/>
        </w:rPr>
        <w:t>construcción,</w:t>
      </w:r>
      <w:r w:rsidRPr="00107C36">
        <w:t xml:space="preserve"> operación, administración, explotación, conservación, rehabilitación y </w:t>
      </w:r>
      <w:r w:rsidRPr="00107C36">
        <w:rPr>
          <w:b/>
        </w:rPr>
        <w:t>mantenimiento</w:t>
      </w:r>
      <w:r w:rsidRPr="00107C36">
        <w:t xml:space="preserve"> </w:t>
      </w:r>
      <w:r w:rsidRPr="00107C36">
        <w:rPr>
          <w:b/>
        </w:rPr>
        <w:t>de los sistemas de transporte de alta capacidad y teleférico,</w:t>
      </w:r>
      <w:r w:rsidRPr="00107C36">
        <w:t xml:space="preserve"> de las estaciones de transferencia modal, así como de las de origen-destino e intermedias que se requieren para el eficiente funcionamiento del teleférico; </w:t>
      </w:r>
    </w:p>
    <w:p w:rsidR="0073515E" w:rsidRDefault="0073515E" w:rsidP="004F1D6A">
      <w:pPr>
        <w:pStyle w:val="Citas"/>
        <w:numPr>
          <w:ilvl w:val="0"/>
          <w:numId w:val="15"/>
        </w:numPr>
        <w:spacing w:line="240" w:lineRule="auto"/>
        <w:rPr>
          <w:b/>
        </w:rPr>
      </w:pPr>
      <w:r w:rsidRPr="00107C36">
        <w:rPr>
          <w:b/>
        </w:rPr>
        <w:t>Promover y fomentar la participación de la iniciativa privada en la construcción, administración, operación, explotación, mantenimiento, rehabilitación y conservación de infraestructura y operación de transporte de alta capacidad, de estaciones de transferencia modal, así como del sistema de transporte teleférico y las estaciones de origen-destino e intermedias que se requieren para su eficiente funcionamiento;</w:t>
      </w:r>
    </w:p>
    <w:p w:rsidR="0073515E" w:rsidRPr="00472F3E" w:rsidRDefault="0073515E" w:rsidP="004F1D6A">
      <w:pPr>
        <w:pStyle w:val="Citas"/>
        <w:numPr>
          <w:ilvl w:val="0"/>
          <w:numId w:val="15"/>
        </w:numPr>
        <w:spacing w:line="240" w:lineRule="auto"/>
        <w:rPr>
          <w:b/>
          <w:u w:val="single"/>
        </w:rPr>
      </w:pPr>
      <w:r w:rsidRPr="00472F3E">
        <w:rPr>
          <w:u w:val="single"/>
        </w:rPr>
        <w:t>Presentar a consideración del Secretario de Movilidad, para su autorización y firma, en su caso:</w:t>
      </w:r>
      <w:r w:rsidRPr="00472F3E">
        <w:rPr>
          <w:b/>
          <w:u w:val="single"/>
        </w:rPr>
        <w:t xml:space="preserve"> </w:t>
      </w:r>
    </w:p>
    <w:p w:rsidR="0073515E" w:rsidRDefault="0073515E" w:rsidP="004F1D6A">
      <w:pPr>
        <w:pStyle w:val="Citas"/>
        <w:spacing w:line="240" w:lineRule="auto"/>
        <w:ind w:left="1571"/>
        <w:rPr>
          <w:b/>
        </w:rPr>
      </w:pPr>
      <w:r w:rsidRPr="00107C36">
        <w:rPr>
          <w:b/>
        </w:rPr>
        <w:t xml:space="preserve">a) Proyectos para otorgar o ampliar el plazo de las concesiones y contratos para la construcción, administración, operación, explotación, rehabilitación, mantenimiento y conservación de la infraestructura y operación de transporte de alta capacidad y teleférico, así como estaciones de transferencia modal y las estaciones de origen-destino e intermedias que se requieren para el eficiente funcionamiento del teleférico; y </w:t>
      </w:r>
    </w:p>
    <w:p w:rsidR="0073515E" w:rsidRDefault="0073515E" w:rsidP="004F1D6A">
      <w:pPr>
        <w:pStyle w:val="Citas"/>
        <w:spacing w:line="240" w:lineRule="auto"/>
        <w:ind w:left="1571"/>
        <w:rPr>
          <w:b/>
        </w:rPr>
      </w:pPr>
      <w:r w:rsidRPr="00107C36">
        <w:rPr>
          <w:b/>
        </w:rPr>
        <w:lastRenderedPageBreak/>
        <w:t xml:space="preserve">b) Proyectos sustentados en los que se proponga la terminación anticipada, revocación o rescate de las concesiones o contratos. </w:t>
      </w:r>
    </w:p>
    <w:p w:rsidR="0073515E" w:rsidRPr="00107C36" w:rsidRDefault="0073515E" w:rsidP="004F1D6A">
      <w:pPr>
        <w:pStyle w:val="Citas"/>
        <w:numPr>
          <w:ilvl w:val="0"/>
          <w:numId w:val="15"/>
        </w:numPr>
        <w:spacing w:line="240" w:lineRule="auto"/>
        <w:rPr>
          <w:b/>
        </w:rPr>
      </w:pPr>
      <w:r w:rsidRPr="00107C36">
        <w:rPr>
          <w:b/>
        </w:rPr>
        <w:t>Llevar a cabo, previa autorización del Secretario de Movilidad, los procedimientos de licitación pública hasta la publicación del fallo, para el otorgamiento de concesiones y contratos para la construcción, administración, operación, explotación, rehabilitación, mantenimiento y conservación de la infraestructura y operación de transporte de alta capacidad y teleférico, así como estaciones de transferencia modal y las estaciones de origen-destino e intermedias que se requieren para el eficiente funcionamiento del teleférico:</w:t>
      </w:r>
    </w:p>
    <w:p w:rsidR="0073515E" w:rsidRDefault="0073515E" w:rsidP="004F1D6A">
      <w:pPr>
        <w:pStyle w:val="Sinespaciado"/>
        <w:jc w:val="both"/>
        <w:rPr>
          <w:rFonts w:ascii="Palatino Linotype" w:hAnsi="Palatino Linotype" w:cs="Arial"/>
        </w:rPr>
      </w:pPr>
    </w:p>
    <w:p w:rsidR="0073515E" w:rsidRDefault="0073515E" w:rsidP="0073515E">
      <w:pPr>
        <w:pStyle w:val="Sinespaciado"/>
        <w:spacing w:line="360" w:lineRule="auto"/>
        <w:jc w:val="both"/>
        <w:rPr>
          <w:rFonts w:ascii="Palatino Linotype" w:hAnsi="Palatino Linotype" w:cs="Arial"/>
          <w:lang w:val="es-ES"/>
        </w:rPr>
      </w:pPr>
      <w:r>
        <w:rPr>
          <w:rFonts w:ascii="Palatino Linotype" w:hAnsi="Palatino Linotype" w:cs="Arial"/>
          <w:lang w:val="es-ES"/>
        </w:rPr>
        <w:t>Para delimitar esferas competenciales, resulta oportuno analizar</w:t>
      </w:r>
      <w:r w:rsidR="00DE3C1F">
        <w:rPr>
          <w:rFonts w:ascii="Palatino Linotype" w:hAnsi="Palatino Linotype" w:cs="Arial"/>
          <w:lang w:val="es-ES"/>
        </w:rPr>
        <w:t xml:space="preserve"> el Manu</w:t>
      </w:r>
      <w:r w:rsidRPr="00C738E8">
        <w:rPr>
          <w:rFonts w:ascii="Palatino Linotype" w:hAnsi="Palatino Linotype" w:cs="Arial"/>
          <w:lang w:val="es-ES"/>
        </w:rPr>
        <w:t>a</w:t>
      </w:r>
      <w:r w:rsidR="00DE3C1F">
        <w:rPr>
          <w:rFonts w:ascii="Palatino Linotype" w:hAnsi="Palatino Linotype" w:cs="Arial"/>
          <w:lang w:val="es-ES"/>
        </w:rPr>
        <w:t>l</w:t>
      </w:r>
      <w:r w:rsidRPr="00C738E8">
        <w:rPr>
          <w:rFonts w:ascii="Palatino Linotype" w:hAnsi="Palatino Linotype" w:cs="Arial"/>
          <w:lang w:val="es-ES"/>
        </w:rPr>
        <w:t xml:space="preserve"> de Organización del Sistema de Transporte Masivo </w:t>
      </w:r>
      <w:r w:rsidR="004F1D6A">
        <w:rPr>
          <w:rFonts w:ascii="Palatino Linotype" w:hAnsi="Palatino Linotype" w:cs="Arial"/>
          <w:lang w:val="es-ES"/>
        </w:rPr>
        <w:t xml:space="preserve">y Teleférico </w:t>
      </w:r>
      <w:r w:rsidRPr="00C738E8">
        <w:rPr>
          <w:rFonts w:ascii="Palatino Linotype" w:hAnsi="Palatino Linotype" w:cs="Arial"/>
          <w:lang w:val="es-ES"/>
        </w:rPr>
        <w:t>del Estado de México</w:t>
      </w:r>
      <w:r>
        <w:rPr>
          <w:rFonts w:ascii="Palatino Linotype" w:hAnsi="Palatino Linotype" w:cs="Arial"/>
          <w:lang w:val="es-ES"/>
        </w:rPr>
        <w:t>, mismo que establece la estructura Orgánica del Sujeto Obligado y sus atribuciones:</w:t>
      </w:r>
    </w:p>
    <w:p w:rsidR="0073515E" w:rsidRDefault="0073515E" w:rsidP="0073515E">
      <w:pPr>
        <w:pStyle w:val="Sinespaciado"/>
        <w:spacing w:line="360" w:lineRule="auto"/>
        <w:jc w:val="both"/>
        <w:rPr>
          <w:rFonts w:ascii="Palatino Linotype" w:hAnsi="Palatino Linotype" w:cs="Arial"/>
          <w:lang w:val="es-ES"/>
        </w:rPr>
      </w:pPr>
      <w:r>
        <w:rPr>
          <w:rFonts w:ascii="Palatino Linotype" w:hAnsi="Palatino Linotype" w:cs="Arial"/>
          <w:noProof/>
          <w:lang w:eastAsia="es-MX"/>
        </w:rPr>
        <w:drawing>
          <wp:inline distT="0" distB="0" distL="0" distR="0" wp14:anchorId="54B85582" wp14:editId="3EB53684">
            <wp:extent cx="4467849" cy="2943636"/>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7CB7CA.tmp"/>
                    <pic:cNvPicPr/>
                  </pic:nvPicPr>
                  <pic:blipFill>
                    <a:blip r:embed="rId9">
                      <a:extLst>
                        <a:ext uri="{28A0092B-C50C-407E-A947-70E740481C1C}">
                          <a14:useLocalDpi xmlns:a14="http://schemas.microsoft.com/office/drawing/2010/main" val="0"/>
                        </a:ext>
                      </a:extLst>
                    </a:blip>
                    <a:stretch>
                      <a:fillRect/>
                    </a:stretch>
                  </pic:blipFill>
                  <pic:spPr>
                    <a:xfrm>
                      <a:off x="0" y="0"/>
                      <a:ext cx="4467849" cy="2943636"/>
                    </a:xfrm>
                    <a:prstGeom prst="rect">
                      <a:avLst/>
                    </a:prstGeom>
                  </pic:spPr>
                </pic:pic>
              </a:graphicData>
            </a:graphic>
          </wp:inline>
        </w:drawing>
      </w:r>
    </w:p>
    <w:p w:rsidR="0073515E" w:rsidRPr="00C738E8" w:rsidRDefault="0073515E" w:rsidP="0060505E">
      <w:pPr>
        <w:pStyle w:val="Sinespaciado"/>
        <w:spacing w:line="360" w:lineRule="auto"/>
        <w:jc w:val="center"/>
        <w:rPr>
          <w:rFonts w:ascii="Palatino Linotype" w:hAnsi="Palatino Linotype" w:cs="Arial"/>
          <w:lang w:val="es-ES"/>
        </w:rPr>
      </w:pPr>
      <w:r>
        <w:rPr>
          <w:rFonts w:ascii="Palatino Linotype" w:hAnsi="Palatino Linotype" w:cs="Arial"/>
          <w:noProof/>
          <w:lang w:eastAsia="es-MX"/>
        </w:rPr>
        <w:lastRenderedPageBreak/>
        <w:drawing>
          <wp:inline distT="0" distB="0" distL="0" distR="0" wp14:anchorId="48F93B12" wp14:editId="1C5C0891">
            <wp:extent cx="5284737" cy="3771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7CCAEB.tmp"/>
                    <pic:cNvPicPr/>
                  </pic:nvPicPr>
                  <pic:blipFill>
                    <a:blip r:embed="rId10">
                      <a:extLst>
                        <a:ext uri="{28A0092B-C50C-407E-A947-70E740481C1C}">
                          <a14:useLocalDpi xmlns:a14="http://schemas.microsoft.com/office/drawing/2010/main" val="0"/>
                        </a:ext>
                      </a:extLst>
                    </a:blip>
                    <a:stretch>
                      <a:fillRect/>
                    </a:stretch>
                  </pic:blipFill>
                  <pic:spPr>
                    <a:xfrm>
                      <a:off x="0" y="0"/>
                      <a:ext cx="5304432" cy="3785957"/>
                    </a:xfrm>
                    <a:prstGeom prst="rect">
                      <a:avLst/>
                    </a:prstGeom>
                  </pic:spPr>
                </pic:pic>
              </a:graphicData>
            </a:graphic>
          </wp:inline>
        </w:drawing>
      </w:r>
    </w:p>
    <w:p w:rsidR="0073515E" w:rsidRDefault="0073515E" w:rsidP="0073515E">
      <w:pPr>
        <w:spacing w:line="360" w:lineRule="auto"/>
        <w:jc w:val="both"/>
        <w:rPr>
          <w:rFonts w:ascii="Palatino Linotype" w:hAnsi="Palatino Linotype"/>
          <w:sz w:val="24"/>
        </w:rPr>
      </w:pPr>
      <w:r w:rsidRPr="00C960DD">
        <w:rPr>
          <w:rFonts w:ascii="Palatino Linotype" w:hAnsi="Palatino Linotype"/>
          <w:sz w:val="24"/>
        </w:rPr>
        <w:t xml:space="preserve">De lo expuesto con anterioridad, se desprende que </w:t>
      </w:r>
      <w:r w:rsidRPr="00C960DD">
        <w:rPr>
          <w:rFonts w:ascii="Palatino Linotype" w:hAnsi="Palatino Linotype"/>
          <w:b/>
          <w:sz w:val="24"/>
        </w:rPr>
        <w:t xml:space="preserve">El Sujeto Obligado </w:t>
      </w:r>
      <w:r w:rsidRPr="00C960DD">
        <w:rPr>
          <w:rFonts w:ascii="Palatino Linotype" w:hAnsi="Palatino Linotype"/>
          <w:sz w:val="24"/>
        </w:rPr>
        <w:t xml:space="preserve">se auxilia de diversas Direcciones, Subdirecciones, Departamentos y Unidades Administrativas para cumplir con sus fines y objetivos, resultando de nuestro más amplio interés la </w:t>
      </w:r>
      <w:r>
        <w:rPr>
          <w:rFonts w:ascii="Palatino Linotype" w:hAnsi="Palatino Linotype"/>
          <w:sz w:val="24"/>
        </w:rPr>
        <w:t>Dirección General, la Dirección Jurídica y Financiera, la Subdirección de Obras.</w:t>
      </w:r>
    </w:p>
    <w:p w:rsidR="0073515E" w:rsidRPr="00C960DD" w:rsidRDefault="0073515E" w:rsidP="0073515E">
      <w:pPr>
        <w:spacing w:line="360" w:lineRule="auto"/>
        <w:jc w:val="both"/>
        <w:rPr>
          <w:rFonts w:ascii="Palatino Linotype" w:hAnsi="Palatino Linotype"/>
          <w:sz w:val="24"/>
        </w:rPr>
      </w:pPr>
    </w:p>
    <w:p w:rsidR="0073515E" w:rsidRDefault="0073515E" w:rsidP="0073515E">
      <w:pPr>
        <w:pStyle w:val="Sinespaciado"/>
        <w:spacing w:line="360" w:lineRule="auto"/>
        <w:jc w:val="both"/>
        <w:rPr>
          <w:rFonts w:ascii="Palatino Linotype" w:hAnsi="Palatino Linotype" w:cs="Arial"/>
          <w:lang w:val="es-ES"/>
        </w:rPr>
      </w:pPr>
      <w:r w:rsidRPr="00087591">
        <w:rPr>
          <w:rFonts w:ascii="Palatino Linotype" w:hAnsi="Palatino Linotype" w:cs="Arial"/>
          <w:lang w:val="es-ES"/>
        </w:rPr>
        <w:t>Ahora bien, dicho Manual establece las funciones con las que cuenta cada área y unidad administrativa</w:t>
      </w:r>
      <w:r>
        <w:rPr>
          <w:rFonts w:ascii="Palatino Linotype" w:hAnsi="Palatino Linotype" w:cs="Arial"/>
          <w:lang w:val="es-ES"/>
        </w:rPr>
        <w:t>, siendo de nuestro interés lo siguiente:</w:t>
      </w:r>
    </w:p>
    <w:p w:rsidR="0073515E" w:rsidRDefault="0073515E" w:rsidP="0073515E">
      <w:pPr>
        <w:pStyle w:val="Sinespaciado"/>
        <w:spacing w:line="360" w:lineRule="auto"/>
        <w:jc w:val="both"/>
        <w:rPr>
          <w:rFonts w:ascii="Palatino Linotype" w:hAnsi="Palatino Linotype" w:cs="Arial"/>
          <w:i/>
        </w:rPr>
      </w:pPr>
    </w:p>
    <w:p w:rsidR="0073515E" w:rsidRDefault="0073515E" w:rsidP="0060505E">
      <w:pPr>
        <w:pStyle w:val="Citas"/>
        <w:spacing w:line="240" w:lineRule="auto"/>
        <w:jc w:val="center"/>
      </w:pPr>
      <w:r w:rsidRPr="00087591">
        <w:t>SECCIÓN SEGUNDA</w:t>
      </w:r>
    </w:p>
    <w:p w:rsidR="0073515E" w:rsidRDefault="0073515E" w:rsidP="0060505E">
      <w:pPr>
        <w:pStyle w:val="Citas"/>
        <w:spacing w:line="240" w:lineRule="auto"/>
        <w:jc w:val="center"/>
      </w:pPr>
      <w:r w:rsidRPr="00087591">
        <w:t>DEL DIRECTOR GENERAL</w:t>
      </w:r>
    </w:p>
    <w:p w:rsidR="0073515E" w:rsidRDefault="0073515E" w:rsidP="0060505E">
      <w:pPr>
        <w:pStyle w:val="Citas"/>
        <w:spacing w:line="240" w:lineRule="auto"/>
      </w:pPr>
      <w:r w:rsidRPr="00087591">
        <w:rPr>
          <w:b/>
        </w:rPr>
        <w:lastRenderedPageBreak/>
        <w:t xml:space="preserve">Artículo I </w:t>
      </w:r>
      <w:proofErr w:type="spellStart"/>
      <w:r w:rsidRPr="00087591">
        <w:rPr>
          <w:b/>
        </w:rPr>
        <w:t>I</w:t>
      </w:r>
      <w:proofErr w:type="spellEnd"/>
      <w:r w:rsidRPr="00087591">
        <w:rPr>
          <w:b/>
        </w:rPr>
        <w:t>.-</w:t>
      </w:r>
      <w:r w:rsidRPr="00087591">
        <w:t xml:space="preserve"> Al frente del Sistema habrá un Director General, quien tendrá las atribuciones siguientes:</w:t>
      </w:r>
    </w:p>
    <w:p w:rsidR="0073515E" w:rsidRPr="00087591" w:rsidRDefault="0073515E" w:rsidP="0060505E">
      <w:pPr>
        <w:pStyle w:val="Citas"/>
        <w:spacing w:line="240" w:lineRule="auto"/>
        <w:rPr>
          <w:b/>
          <w:lang w:val="es-ES"/>
        </w:rPr>
      </w:pPr>
      <w:r w:rsidRPr="00087591">
        <w:rPr>
          <w:b/>
        </w:rPr>
        <w:t xml:space="preserve">XVIII. </w:t>
      </w:r>
      <w:r w:rsidRPr="00087591">
        <w:rPr>
          <w:b/>
          <w:u w:val="single"/>
        </w:rPr>
        <w:t>Celebrar convenios</w:t>
      </w:r>
      <w:r w:rsidRPr="00087591">
        <w:rPr>
          <w:b/>
        </w:rPr>
        <w:t xml:space="preserve">, </w:t>
      </w:r>
      <w:r w:rsidRPr="00087591">
        <w:rPr>
          <w:b/>
          <w:u w:val="single"/>
        </w:rPr>
        <w:t>contratos</w:t>
      </w:r>
      <w:r w:rsidRPr="00087591">
        <w:rPr>
          <w:b/>
        </w:rPr>
        <w:t xml:space="preserve"> y acuerdos con dependencias o entidades de la administración pública federal, estatal o municipal, organismos </w:t>
      </w:r>
      <w:proofErr w:type="gramStart"/>
      <w:r w:rsidRPr="00087591">
        <w:rPr>
          <w:b/>
        </w:rPr>
        <w:t>del sector privado o social, nacionales o extranjero</w:t>
      </w:r>
      <w:proofErr w:type="gramEnd"/>
      <w:r w:rsidRPr="00087591">
        <w:t>, dando cuenta de ello al Consejo Directivo.</w:t>
      </w:r>
    </w:p>
    <w:p w:rsidR="0073515E" w:rsidRDefault="0073515E" w:rsidP="0060505E">
      <w:pPr>
        <w:pStyle w:val="Citas"/>
        <w:spacing w:line="240" w:lineRule="auto"/>
        <w:rPr>
          <w:b/>
        </w:rPr>
      </w:pPr>
      <w:r w:rsidRPr="00087591">
        <w:rPr>
          <w:b/>
        </w:rPr>
        <w:t xml:space="preserve">DIRECCIÓN GENERAL </w:t>
      </w:r>
    </w:p>
    <w:p w:rsidR="0073515E" w:rsidRDefault="0073515E" w:rsidP="0060505E">
      <w:pPr>
        <w:pStyle w:val="Citas"/>
        <w:spacing w:line="240" w:lineRule="auto"/>
        <w:rPr>
          <w:b/>
        </w:rPr>
      </w:pPr>
      <w:r w:rsidRPr="00087591">
        <w:rPr>
          <w:b/>
        </w:rPr>
        <w:t xml:space="preserve">OBJETIVO: </w:t>
      </w:r>
    </w:p>
    <w:p w:rsidR="0073515E" w:rsidRDefault="0073515E" w:rsidP="0060505E">
      <w:pPr>
        <w:pStyle w:val="Citas"/>
        <w:spacing w:line="240" w:lineRule="auto"/>
      </w:pPr>
      <w:r w:rsidRPr="00087591">
        <w:t>Planear, organizar, dirigir, controlar y evaluar la construcción, operación y mantenimiento de las obras de infraestructura de transportación masiva y de las Estaciones de Transferencia Modal que a través de la coordinación de los programas y acciones relacionadas con la infraestructura y operación del transporte de alta capacidad permita al Gobierno del Estado de México sustentar solicitudes de concesiones o permisos ante autoridades federales para la administración, operación y explotación y, en su caso, construcción de transporte de alta capacidad en territorio estatal.</w:t>
      </w:r>
    </w:p>
    <w:p w:rsidR="0073515E" w:rsidRDefault="0073515E" w:rsidP="0060505E">
      <w:pPr>
        <w:pStyle w:val="Citas"/>
        <w:spacing w:line="240" w:lineRule="auto"/>
      </w:pPr>
      <w:r w:rsidRPr="00087591">
        <w:rPr>
          <w:b/>
        </w:rPr>
        <w:t>FUNCIONES:</w:t>
      </w:r>
      <w:r w:rsidRPr="00087591">
        <w:t xml:space="preserve"> </w:t>
      </w:r>
    </w:p>
    <w:p w:rsidR="0073515E" w:rsidRDefault="0073515E" w:rsidP="0060505E">
      <w:pPr>
        <w:pStyle w:val="Citas"/>
        <w:numPr>
          <w:ilvl w:val="0"/>
          <w:numId w:val="13"/>
        </w:numPr>
        <w:spacing w:line="240" w:lineRule="auto"/>
      </w:pPr>
      <w:r w:rsidRPr="00087591">
        <w:t xml:space="preserve">Planear, programar, organizar, dirigir, controlar y evaluar programas y proyectos para el diseño, construcción, operación, administración, explotación, conservación, rehabilitación y mantenimiento del transporte de alta capacidad y las estaciones de transferencia modal. </w:t>
      </w:r>
    </w:p>
    <w:p w:rsidR="0073515E" w:rsidRDefault="0073515E" w:rsidP="0060505E">
      <w:pPr>
        <w:pStyle w:val="Citas"/>
        <w:numPr>
          <w:ilvl w:val="0"/>
          <w:numId w:val="13"/>
        </w:numPr>
        <w:spacing w:line="240" w:lineRule="auto"/>
      </w:pPr>
      <w:r w:rsidRPr="00087591">
        <w:t xml:space="preserve">Establecer las políticas y directrices para la elaboración de estudios de transportación masiva de pasajeros. </w:t>
      </w:r>
    </w:p>
    <w:p w:rsidR="0073515E" w:rsidRDefault="0073515E" w:rsidP="0060505E">
      <w:pPr>
        <w:pStyle w:val="Citas"/>
        <w:numPr>
          <w:ilvl w:val="0"/>
          <w:numId w:val="13"/>
        </w:numPr>
        <w:spacing w:line="240" w:lineRule="auto"/>
        <w:rPr>
          <w:b/>
        </w:rPr>
      </w:pPr>
      <w:r w:rsidRPr="000614A3">
        <w:rPr>
          <w:b/>
        </w:rPr>
        <w:t xml:space="preserve">Someter a consideración del C. Secretario de Comunicaciones, los procedimientos de licitación pública hasta la publicación del fallo para el </w:t>
      </w:r>
      <w:r w:rsidRPr="005911B3">
        <w:rPr>
          <w:b/>
          <w:u w:val="single"/>
        </w:rPr>
        <w:t>otorgamiento de concesiones y contratos para la construcción</w:t>
      </w:r>
      <w:r w:rsidRPr="000614A3">
        <w:rPr>
          <w:b/>
        </w:rPr>
        <w:t xml:space="preserve">, operación, administración, explotación, conservación, rehabilitación y </w:t>
      </w:r>
      <w:r w:rsidRPr="005911B3">
        <w:rPr>
          <w:b/>
          <w:u w:val="single"/>
        </w:rPr>
        <w:t>mantenimiento de la infraestructura</w:t>
      </w:r>
      <w:r w:rsidRPr="000614A3">
        <w:rPr>
          <w:b/>
        </w:rPr>
        <w:t xml:space="preserve"> y operación de</w:t>
      </w:r>
      <w:r>
        <w:rPr>
          <w:b/>
        </w:rPr>
        <w:t>l</w:t>
      </w:r>
      <w:r w:rsidRPr="000614A3">
        <w:rPr>
          <w:b/>
        </w:rPr>
        <w:t xml:space="preserve"> transporte de alta capacidad, así como las estaciones de transferencia modal.</w:t>
      </w:r>
    </w:p>
    <w:p w:rsidR="0073515E" w:rsidRDefault="0073515E" w:rsidP="0060505E">
      <w:pPr>
        <w:pStyle w:val="Citas"/>
        <w:spacing w:line="240" w:lineRule="auto"/>
        <w:rPr>
          <w:b/>
        </w:rPr>
      </w:pPr>
      <w:r w:rsidRPr="000614A3">
        <w:rPr>
          <w:b/>
        </w:rPr>
        <w:t xml:space="preserve">DIRECCIÓN DE PLANEACIÓN, PROYECTOS Y CONSTRUCCIÓN </w:t>
      </w:r>
    </w:p>
    <w:p w:rsidR="0073515E" w:rsidRDefault="0073515E" w:rsidP="0060505E">
      <w:pPr>
        <w:pStyle w:val="Citas"/>
        <w:spacing w:line="240" w:lineRule="auto"/>
      </w:pPr>
      <w:r w:rsidRPr="000614A3">
        <w:rPr>
          <w:b/>
        </w:rPr>
        <w:t xml:space="preserve">OBJETIVO: </w:t>
      </w:r>
      <w:r w:rsidRPr="000614A3">
        <w:t xml:space="preserve">Planear, controlar, coordinar y evaluar los asuntos relacionados con la realización de estudios, proyectos y obras de infraestructura del transporte masivo </w:t>
      </w:r>
      <w:r w:rsidRPr="000614A3">
        <w:lastRenderedPageBreak/>
        <w:t xml:space="preserve">del Gobierno del Estado de México, con recursos propios, con financiamiento de participación privada o a través de particulares, mediante su </w:t>
      </w:r>
      <w:proofErr w:type="spellStart"/>
      <w:r w:rsidRPr="000614A3">
        <w:t>concesionamiento</w:t>
      </w:r>
      <w:proofErr w:type="spellEnd"/>
      <w:r w:rsidRPr="000614A3">
        <w:t xml:space="preserve">. </w:t>
      </w:r>
    </w:p>
    <w:p w:rsidR="0073515E" w:rsidRDefault="0073515E" w:rsidP="0060505E">
      <w:pPr>
        <w:pStyle w:val="Citas"/>
        <w:spacing w:line="240" w:lineRule="auto"/>
        <w:rPr>
          <w:b/>
        </w:rPr>
      </w:pPr>
      <w:r w:rsidRPr="000614A3">
        <w:rPr>
          <w:b/>
        </w:rPr>
        <w:t>FUNCIONES:</w:t>
      </w:r>
    </w:p>
    <w:p w:rsidR="0073515E" w:rsidRPr="000614A3" w:rsidRDefault="0073515E" w:rsidP="0060505E">
      <w:pPr>
        <w:pStyle w:val="Citas"/>
        <w:numPr>
          <w:ilvl w:val="0"/>
          <w:numId w:val="13"/>
        </w:numPr>
        <w:spacing w:line="240" w:lineRule="auto"/>
        <w:rPr>
          <w:b/>
        </w:rPr>
      </w:pPr>
      <w:r w:rsidRPr="000614A3">
        <w:rPr>
          <w:b/>
        </w:rPr>
        <w:t>Participar en los diferentes Subcomités creados para la elaboración de bases de licitación de proyectos y construcción de obras de transporte masivo o de alta capacidad.</w:t>
      </w:r>
    </w:p>
    <w:p w:rsidR="0073515E" w:rsidRPr="00087591" w:rsidRDefault="0073515E" w:rsidP="0060505E">
      <w:pPr>
        <w:pStyle w:val="Citas"/>
        <w:spacing w:line="240" w:lineRule="auto"/>
        <w:rPr>
          <w:b/>
        </w:rPr>
      </w:pPr>
      <w:r w:rsidRPr="00087591">
        <w:rPr>
          <w:b/>
        </w:rPr>
        <w:t>SUBDIRECCIÓN DE CONSTRUCCIÓN</w:t>
      </w:r>
    </w:p>
    <w:p w:rsidR="0073515E" w:rsidRDefault="0073515E" w:rsidP="0060505E">
      <w:pPr>
        <w:pStyle w:val="Citas"/>
        <w:spacing w:line="240" w:lineRule="auto"/>
      </w:pPr>
      <w:r w:rsidRPr="00087591">
        <w:t xml:space="preserve">OBJETIVO: Revisar y supervisar la ejecución de estudios y proyectos de obra, cumpliendo con los requerimientos arquitectónicos y estructurales, así como de calidad y funcionalidad que satisfagan las necesidades de las líneas de transporte masivo o de alta capacidad y Estaciones de Transferencia Modal y atender y coordinar los asuntos relacionados con los estudios y proyectos, así como con la construcción de las obras civiles de los sistemas de transporte masivo o de alta capacidad. </w:t>
      </w:r>
    </w:p>
    <w:p w:rsidR="0073515E" w:rsidRDefault="0073515E" w:rsidP="0060505E">
      <w:pPr>
        <w:pStyle w:val="Citas"/>
        <w:spacing w:line="240" w:lineRule="auto"/>
      </w:pPr>
      <w:r w:rsidRPr="00087591">
        <w:rPr>
          <w:b/>
        </w:rPr>
        <w:t>FUNCIONES:</w:t>
      </w:r>
      <w:r w:rsidRPr="00087591">
        <w:t xml:space="preserve"> </w:t>
      </w:r>
    </w:p>
    <w:p w:rsidR="0073515E" w:rsidRPr="00087591" w:rsidRDefault="0073515E" w:rsidP="0060505E">
      <w:pPr>
        <w:pStyle w:val="Citas"/>
        <w:numPr>
          <w:ilvl w:val="0"/>
          <w:numId w:val="13"/>
        </w:numPr>
        <w:spacing w:line="240" w:lineRule="auto"/>
        <w:rPr>
          <w:lang w:val="es-ES"/>
        </w:rPr>
      </w:pPr>
      <w:r w:rsidRPr="00087591">
        <w:t xml:space="preserve">Establecer los mecanismos necesarios que permitan controlar y evaluar las obras de infraestructura y operación de transporte masivo o de alta capacidad, a cargo del Sistema de Transporte Masivo del Estado de México. </w:t>
      </w:r>
    </w:p>
    <w:p w:rsidR="0073515E" w:rsidRPr="00087591" w:rsidRDefault="0073515E" w:rsidP="0060505E">
      <w:pPr>
        <w:pStyle w:val="Citas"/>
        <w:numPr>
          <w:ilvl w:val="0"/>
          <w:numId w:val="13"/>
        </w:numPr>
        <w:spacing w:line="240" w:lineRule="auto"/>
        <w:rPr>
          <w:lang w:val="es-ES"/>
        </w:rPr>
      </w:pPr>
      <w:r w:rsidRPr="00087591">
        <w:t xml:space="preserve">Definir los lineamientos para la ejecución de las obras de transporte masivo o de alta capacidad. </w:t>
      </w:r>
    </w:p>
    <w:p w:rsidR="0073515E" w:rsidRPr="00087591" w:rsidRDefault="0073515E" w:rsidP="0060505E">
      <w:pPr>
        <w:pStyle w:val="Citas"/>
        <w:numPr>
          <w:ilvl w:val="0"/>
          <w:numId w:val="13"/>
        </w:numPr>
        <w:spacing w:line="240" w:lineRule="auto"/>
        <w:rPr>
          <w:lang w:val="es-ES"/>
        </w:rPr>
      </w:pPr>
      <w:r w:rsidRPr="00087591">
        <w:t xml:space="preserve">Aprobar la entrega-recepción de obra de las líneas de transporte masivo o de alta capacidad. </w:t>
      </w:r>
    </w:p>
    <w:p w:rsidR="0073515E" w:rsidRPr="00087591" w:rsidRDefault="0073515E" w:rsidP="0060505E">
      <w:pPr>
        <w:pStyle w:val="Citas"/>
        <w:numPr>
          <w:ilvl w:val="0"/>
          <w:numId w:val="13"/>
        </w:numPr>
        <w:spacing w:line="240" w:lineRule="auto"/>
        <w:rPr>
          <w:lang w:val="es-ES"/>
        </w:rPr>
      </w:pPr>
      <w:r w:rsidRPr="00087591">
        <w:t xml:space="preserve">Analizar los proyectos que se presentan en la ejecución de las obras y ampliaciones para transporte masivo o de alta capacidad y proponer las alternativas de solución correspondientes. </w:t>
      </w:r>
    </w:p>
    <w:p w:rsidR="0073515E" w:rsidRPr="00087591" w:rsidRDefault="0073515E" w:rsidP="0060505E">
      <w:pPr>
        <w:pStyle w:val="Citas"/>
        <w:numPr>
          <w:ilvl w:val="0"/>
          <w:numId w:val="13"/>
        </w:numPr>
        <w:spacing w:line="240" w:lineRule="auto"/>
        <w:rPr>
          <w:lang w:val="es-ES"/>
        </w:rPr>
      </w:pPr>
      <w:r w:rsidRPr="00087591">
        <w:t xml:space="preserve">Participar en los trámites que las compañías constructoras tengan que realizar entre los Municipios, para las autorizaciones de obra de los sistemas de transporte masivo o de alta capacidad. </w:t>
      </w:r>
    </w:p>
    <w:p w:rsidR="0073515E" w:rsidRPr="00087591" w:rsidRDefault="0073515E" w:rsidP="0060505E">
      <w:pPr>
        <w:pStyle w:val="Citas"/>
        <w:numPr>
          <w:ilvl w:val="0"/>
          <w:numId w:val="13"/>
        </w:numPr>
        <w:spacing w:line="240" w:lineRule="auto"/>
        <w:rPr>
          <w:lang w:val="es-ES"/>
        </w:rPr>
      </w:pPr>
      <w:r w:rsidRPr="00087591">
        <w:t xml:space="preserve">Verificar que se ejecuten las correcciones en las obras que se realicen con motivo de la construcción de los sistemas de transporte masivo o de alta capacidad. </w:t>
      </w:r>
    </w:p>
    <w:p w:rsidR="0073515E" w:rsidRPr="00087591" w:rsidRDefault="0073515E" w:rsidP="0060505E">
      <w:pPr>
        <w:pStyle w:val="Citas"/>
        <w:numPr>
          <w:ilvl w:val="0"/>
          <w:numId w:val="13"/>
        </w:numPr>
        <w:spacing w:line="240" w:lineRule="auto"/>
        <w:rPr>
          <w:b/>
          <w:lang w:val="es-ES"/>
        </w:rPr>
      </w:pPr>
      <w:r w:rsidRPr="00087591">
        <w:rPr>
          <w:b/>
        </w:rPr>
        <w:lastRenderedPageBreak/>
        <w:t xml:space="preserve">Supervisar la correcta construcción de la obra civil de los sistemas de transporte masivo o de alta capacidad. </w:t>
      </w:r>
    </w:p>
    <w:p w:rsidR="0073515E" w:rsidRPr="00087591" w:rsidRDefault="0073515E" w:rsidP="0060505E">
      <w:pPr>
        <w:pStyle w:val="Citas"/>
        <w:numPr>
          <w:ilvl w:val="0"/>
          <w:numId w:val="13"/>
        </w:numPr>
        <w:spacing w:line="240" w:lineRule="auto"/>
        <w:rPr>
          <w:lang w:val="es-ES"/>
        </w:rPr>
      </w:pPr>
      <w:r w:rsidRPr="00087591">
        <w:t xml:space="preserve">Supervisar la ejecución de los proyectos de las obras que sean necesarias para los sistemas de transporte masivo o de alta capacidad. </w:t>
      </w:r>
    </w:p>
    <w:p w:rsidR="0073515E" w:rsidRPr="00087591" w:rsidRDefault="0073515E" w:rsidP="0060505E">
      <w:pPr>
        <w:pStyle w:val="Citas"/>
        <w:numPr>
          <w:ilvl w:val="0"/>
          <w:numId w:val="13"/>
        </w:numPr>
        <w:spacing w:line="240" w:lineRule="auto"/>
        <w:rPr>
          <w:lang w:val="es-ES"/>
        </w:rPr>
      </w:pPr>
      <w:r w:rsidRPr="00087591">
        <w:t xml:space="preserve">Intervenir durante la ejecución de las obras, para proponer las modificaciones a los proyectos que así lo requieran. </w:t>
      </w:r>
    </w:p>
    <w:p w:rsidR="0073515E" w:rsidRPr="00087591" w:rsidRDefault="0073515E" w:rsidP="0060505E">
      <w:pPr>
        <w:pStyle w:val="Citas"/>
        <w:numPr>
          <w:ilvl w:val="0"/>
          <w:numId w:val="13"/>
        </w:numPr>
        <w:spacing w:line="240" w:lineRule="auto"/>
        <w:rPr>
          <w:lang w:val="es-ES"/>
        </w:rPr>
      </w:pPr>
      <w:r w:rsidRPr="00087591">
        <w:t xml:space="preserve">Verificar los levantamientos topográficos y trazos al inicio de la obra, comprobando la planimetría y altimetría durante su ejecución. </w:t>
      </w:r>
    </w:p>
    <w:p w:rsidR="0073515E" w:rsidRPr="00087591" w:rsidRDefault="0073515E" w:rsidP="0060505E">
      <w:pPr>
        <w:pStyle w:val="Citas"/>
        <w:numPr>
          <w:ilvl w:val="0"/>
          <w:numId w:val="13"/>
        </w:numPr>
        <w:spacing w:line="240" w:lineRule="auto"/>
        <w:rPr>
          <w:lang w:val="es-ES"/>
        </w:rPr>
      </w:pPr>
      <w:r w:rsidRPr="00087591">
        <w:t>Analizar las condiciones físicas de las instalaciones de su responsabilidad, en lo que a obra civil se refiere, a efecto de desarrollar e implementar medidas orientadas a prevenir averías.</w:t>
      </w:r>
    </w:p>
    <w:p w:rsidR="0073515E" w:rsidRPr="00087591" w:rsidRDefault="0073515E" w:rsidP="0060505E">
      <w:pPr>
        <w:pStyle w:val="Citas"/>
        <w:numPr>
          <w:ilvl w:val="0"/>
          <w:numId w:val="13"/>
        </w:numPr>
        <w:spacing w:line="240" w:lineRule="auto"/>
        <w:rPr>
          <w:lang w:val="es-ES"/>
        </w:rPr>
      </w:pPr>
      <w:r w:rsidRPr="00087591">
        <w:t>Revisar, supervisar y aprobar los programas de mantenimiento y conservación de la</w:t>
      </w:r>
      <w:r>
        <w:t xml:space="preserve"> infraestructura de obra civil.</w:t>
      </w:r>
    </w:p>
    <w:p w:rsidR="0073515E" w:rsidRPr="005558F1" w:rsidRDefault="0073515E" w:rsidP="0060505E">
      <w:pPr>
        <w:pStyle w:val="Citas"/>
        <w:numPr>
          <w:ilvl w:val="0"/>
          <w:numId w:val="13"/>
        </w:numPr>
        <w:spacing w:line="240" w:lineRule="auto"/>
        <w:rPr>
          <w:b/>
          <w:lang w:val="es-ES"/>
        </w:rPr>
      </w:pPr>
      <w:r w:rsidRPr="005558F1">
        <w:rPr>
          <w:b/>
        </w:rPr>
        <w:t xml:space="preserve">Supervisar el cumplimiento de los procedimientos e instructivos del constructor, para el manejo de normas y especificaciones de materiales utilizados en la construcción de la obra. </w:t>
      </w:r>
    </w:p>
    <w:p w:rsidR="0073515E" w:rsidRPr="005558F1" w:rsidRDefault="0073515E" w:rsidP="0060505E">
      <w:pPr>
        <w:pStyle w:val="Citas"/>
        <w:numPr>
          <w:ilvl w:val="0"/>
          <w:numId w:val="13"/>
        </w:numPr>
        <w:spacing w:line="240" w:lineRule="auto"/>
        <w:rPr>
          <w:b/>
          <w:lang w:val="es-ES"/>
        </w:rPr>
      </w:pPr>
      <w:r w:rsidRPr="005558F1">
        <w:rPr>
          <w:b/>
        </w:rPr>
        <w:t xml:space="preserve">Verificar que se consideren las especificaciones de calidad de las materias primas, instalaciones, componentes y equipos, que sean utilizados para el desarrollo de las obras de transporte masivo o de alta capacidad. </w:t>
      </w:r>
    </w:p>
    <w:p w:rsidR="0073515E" w:rsidRPr="00087591" w:rsidRDefault="0073515E" w:rsidP="0060505E">
      <w:pPr>
        <w:pStyle w:val="Citas"/>
        <w:numPr>
          <w:ilvl w:val="0"/>
          <w:numId w:val="13"/>
        </w:numPr>
        <w:spacing w:line="240" w:lineRule="auto"/>
        <w:rPr>
          <w:lang w:val="es-ES"/>
        </w:rPr>
      </w:pPr>
      <w:r w:rsidRPr="00087591">
        <w:t xml:space="preserve">Participar y aprobar el análisis de los avances físicos y financieros de obras en proceso, así como la revisión, y en su caso, la aprobación de las estimaciones correspondientes. </w:t>
      </w:r>
    </w:p>
    <w:p w:rsidR="0073515E" w:rsidRPr="00087591" w:rsidRDefault="0073515E" w:rsidP="0060505E">
      <w:pPr>
        <w:pStyle w:val="Citas"/>
        <w:numPr>
          <w:ilvl w:val="0"/>
          <w:numId w:val="13"/>
        </w:numPr>
        <w:spacing w:line="240" w:lineRule="auto"/>
        <w:rPr>
          <w:lang w:val="es-ES"/>
        </w:rPr>
      </w:pPr>
      <w:r w:rsidRPr="00087591">
        <w:t xml:space="preserve">Coadyuvar con las empresas operadoras y constructoras en la facilitación de trámites ante las autoridades federales, estatales y municipales, respecto de afectaciones, autorizaciones y permisos, relacionados con el transporte de alta capacidad y Estaciones de Transferencia Modal. </w:t>
      </w:r>
    </w:p>
    <w:p w:rsidR="0073515E" w:rsidRPr="005911B3" w:rsidRDefault="0073515E" w:rsidP="0060505E">
      <w:pPr>
        <w:pStyle w:val="Citas"/>
        <w:numPr>
          <w:ilvl w:val="0"/>
          <w:numId w:val="13"/>
        </w:numPr>
        <w:spacing w:line="240" w:lineRule="auto"/>
        <w:rPr>
          <w:b/>
          <w:lang w:val="es-ES"/>
        </w:rPr>
      </w:pPr>
      <w:r w:rsidRPr="005911B3">
        <w:rPr>
          <w:b/>
        </w:rPr>
        <w:t xml:space="preserve">Promover la participación de la iniciativa privada en la construcción de vías y estaciones de alta capacidad y Estaciones de Transferencia Modal. </w:t>
      </w:r>
    </w:p>
    <w:p w:rsidR="0073515E" w:rsidRPr="000614A3" w:rsidRDefault="0073515E" w:rsidP="0060505E">
      <w:pPr>
        <w:pStyle w:val="Citas"/>
        <w:numPr>
          <w:ilvl w:val="0"/>
          <w:numId w:val="13"/>
        </w:numPr>
        <w:spacing w:line="240" w:lineRule="auto"/>
        <w:rPr>
          <w:lang w:val="es-ES"/>
        </w:rPr>
      </w:pPr>
      <w:r w:rsidRPr="00087591">
        <w:t>Revisar y controlar la bitácora de obra de la construcción de las obras de transporte masivo o de alta capacidad. Desarrollar las demás funciones inherentes al área de su competencia.</w:t>
      </w:r>
    </w:p>
    <w:p w:rsidR="0073515E" w:rsidRDefault="0073515E" w:rsidP="0060505E">
      <w:pPr>
        <w:pStyle w:val="Citas"/>
        <w:spacing w:line="240" w:lineRule="auto"/>
        <w:ind w:left="720"/>
      </w:pPr>
      <w:r w:rsidRPr="000614A3">
        <w:rPr>
          <w:b/>
        </w:rPr>
        <w:lastRenderedPageBreak/>
        <w:t>DIRECCIÓN JURÍDICA Y FINANCIERA</w:t>
      </w:r>
      <w:r w:rsidRPr="000614A3">
        <w:t xml:space="preserve"> </w:t>
      </w:r>
    </w:p>
    <w:p w:rsidR="0073515E" w:rsidRDefault="0073515E" w:rsidP="0060505E">
      <w:pPr>
        <w:pStyle w:val="Citas"/>
        <w:spacing w:line="240" w:lineRule="auto"/>
        <w:ind w:left="720"/>
      </w:pPr>
      <w:r w:rsidRPr="000614A3">
        <w:t xml:space="preserve">OBJETIVO: Evaluar los aspectos jurídicos y financieros necesarios para la integración de los proyectos de transportación masiva a implementarse en la entidad, con la participación de los sectores público, privado y social. </w:t>
      </w:r>
    </w:p>
    <w:p w:rsidR="0073515E" w:rsidRDefault="0073515E" w:rsidP="0060505E">
      <w:pPr>
        <w:pStyle w:val="Citas"/>
        <w:spacing w:line="240" w:lineRule="auto"/>
        <w:ind w:left="720"/>
        <w:rPr>
          <w:b/>
        </w:rPr>
      </w:pPr>
      <w:r w:rsidRPr="000614A3">
        <w:rPr>
          <w:b/>
        </w:rPr>
        <w:t>FUNCIONES:</w:t>
      </w:r>
    </w:p>
    <w:p w:rsidR="0073515E" w:rsidRPr="00DE3C1F" w:rsidRDefault="0073515E" w:rsidP="0060505E">
      <w:pPr>
        <w:pStyle w:val="Citas"/>
        <w:numPr>
          <w:ilvl w:val="0"/>
          <w:numId w:val="13"/>
        </w:numPr>
        <w:spacing w:line="240" w:lineRule="auto"/>
        <w:rPr>
          <w:b/>
          <w:lang w:val="es-ES"/>
        </w:rPr>
      </w:pPr>
      <w:r w:rsidRPr="000614A3">
        <w:rPr>
          <w:b/>
          <w:u w:val="single"/>
        </w:rPr>
        <w:t>Diseñar las bases y convocatorias para los procedimientos de licitación pública para el otorgamiento de concesiones y contratos de construcción</w:t>
      </w:r>
      <w:r w:rsidRPr="000614A3">
        <w:rPr>
          <w:b/>
        </w:rPr>
        <w:t xml:space="preserve">, operación, administración, explotación, conservación, rehabilitación y </w:t>
      </w:r>
      <w:r w:rsidRPr="005911B3">
        <w:rPr>
          <w:b/>
          <w:u w:val="single"/>
        </w:rPr>
        <w:t>mantenimiento de la infraestructura</w:t>
      </w:r>
      <w:r w:rsidRPr="000614A3">
        <w:rPr>
          <w:b/>
        </w:rPr>
        <w:t xml:space="preserve"> y operación del transporte de alta capacidad, así como las estaciones de transferencia modal.</w:t>
      </w:r>
    </w:p>
    <w:p w:rsidR="00DE3C1F" w:rsidRDefault="00DE3C1F" w:rsidP="00DE3C1F">
      <w:pPr>
        <w:pStyle w:val="Citas"/>
        <w:spacing w:line="240" w:lineRule="auto"/>
        <w:ind w:left="720"/>
        <w:rPr>
          <w:b/>
          <w:lang w:val="es-ES"/>
        </w:rPr>
      </w:pPr>
      <w:r w:rsidRPr="00DE3C1F">
        <w:rPr>
          <w:b/>
          <w:lang w:val="es-ES"/>
        </w:rPr>
        <w:t>UNIDAD DE APOYO ADMINISTRATIVO</w:t>
      </w:r>
    </w:p>
    <w:p w:rsidR="00DE3C1F" w:rsidRPr="00DE3C1F" w:rsidRDefault="00DE3C1F" w:rsidP="00DE3C1F">
      <w:pPr>
        <w:pStyle w:val="Citas"/>
        <w:spacing w:line="240" w:lineRule="auto"/>
        <w:ind w:left="720"/>
        <w:rPr>
          <w:b/>
          <w:lang w:val="es-ES"/>
        </w:rPr>
      </w:pPr>
      <w:r w:rsidRPr="00DE3C1F">
        <w:rPr>
          <w:b/>
          <w:lang w:val="es-ES"/>
        </w:rPr>
        <w:t>OBJETIVO:</w:t>
      </w:r>
    </w:p>
    <w:p w:rsidR="00DE3C1F" w:rsidRPr="00DE3C1F" w:rsidRDefault="00DE3C1F" w:rsidP="00DE3C1F">
      <w:pPr>
        <w:pStyle w:val="Citas"/>
        <w:spacing w:line="240" w:lineRule="auto"/>
        <w:ind w:left="720"/>
        <w:rPr>
          <w:lang w:val="es-ES"/>
        </w:rPr>
      </w:pPr>
      <w:r w:rsidRPr="00DE3C1F">
        <w:rPr>
          <w:lang w:val="es-ES"/>
        </w:rPr>
        <w:t>Coordinar y controlar el patrimonio del Sistema a través de la administración y suministro oportuno de los recursos humanos, materiales,</w:t>
      </w:r>
      <w:r>
        <w:rPr>
          <w:lang w:val="es-ES"/>
        </w:rPr>
        <w:t xml:space="preserve"> </w:t>
      </w:r>
      <w:r w:rsidRPr="00DE3C1F">
        <w:rPr>
          <w:lang w:val="es-ES"/>
        </w:rPr>
        <w:t>financieros y de servicios generales que se requieran para el óptimo funcionamiento del Sistema de Transporte Masivo, Teleférico y</w:t>
      </w:r>
      <w:r>
        <w:rPr>
          <w:lang w:val="es-ES"/>
        </w:rPr>
        <w:t xml:space="preserve"> </w:t>
      </w:r>
      <w:r w:rsidRPr="00DE3C1F">
        <w:rPr>
          <w:lang w:val="es-ES"/>
        </w:rPr>
        <w:t>estaciones de transferencia modal del Estado de México, en apego a las políticas de racionalidad, austeridad y disciplina presupuestales y a</w:t>
      </w:r>
      <w:r>
        <w:rPr>
          <w:lang w:val="es-ES"/>
        </w:rPr>
        <w:t xml:space="preserve"> </w:t>
      </w:r>
      <w:r w:rsidRPr="00DE3C1F">
        <w:rPr>
          <w:lang w:val="es-ES"/>
        </w:rPr>
        <w:t>la normatividad vigente aplicable.</w:t>
      </w:r>
    </w:p>
    <w:p w:rsidR="00DE3C1F" w:rsidRPr="000614A3" w:rsidRDefault="00DE3C1F" w:rsidP="00DE3C1F">
      <w:pPr>
        <w:pStyle w:val="Citas"/>
        <w:spacing w:line="240" w:lineRule="auto"/>
        <w:ind w:left="720"/>
        <w:rPr>
          <w:b/>
          <w:lang w:val="es-ES"/>
        </w:rPr>
      </w:pPr>
      <w:r w:rsidRPr="00DE3C1F">
        <w:rPr>
          <w:b/>
          <w:lang w:val="es-ES"/>
        </w:rPr>
        <w:t>FUNCIONES</w:t>
      </w:r>
      <w:r w:rsidRPr="00DE3C1F">
        <w:rPr>
          <w:b/>
          <w:lang w:val="es-ES"/>
        </w:rPr>
        <w:cr/>
      </w:r>
      <w:r w:rsidRPr="00DE3C1F">
        <w:rPr>
          <w:b/>
        </w:rPr>
        <w:sym w:font="Symbol" w:char="F02D"/>
      </w:r>
      <w:r w:rsidRPr="00DE3C1F">
        <w:rPr>
          <w:b/>
        </w:rPr>
        <w:t xml:space="preserve"> </w:t>
      </w:r>
      <w:r w:rsidRPr="004F1D6A">
        <w:rPr>
          <w:b/>
          <w:u w:val="single"/>
        </w:rPr>
        <w:t xml:space="preserve">Controlar de forma eficaz el fondo </w:t>
      </w:r>
      <w:proofErr w:type="spellStart"/>
      <w:r w:rsidRPr="004F1D6A">
        <w:rPr>
          <w:b/>
          <w:u w:val="single"/>
        </w:rPr>
        <w:t>revolvente</w:t>
      </w:r>
      <w:proofErr w:type="spellEnd"/>
      <w:r w:rsidRPr="00DE3C1F">
        <w:t xml:space="preserve"> </w:t>
      </w:r>
      <w:r w:rsidRPr="004F1D6A">
        <w:rPr>
          <w:b/>
          <w:u w:val="single"/>
        </w:rPr>
        <w:t>y realizar los pagos por la adquisición de bienes y servicios,</w:t>
      </w:r>
      <w:r w:rsidRPr="00DE3C1F">
        <w:t xml:space="preserve"> con base en la normatividad establecida por la Secretaría de Finanzas del Gobierno del Estado de México, así como realizar la afectación presupuestal para aquellas adquisiciones de bienes y servicios realizadas a través de la dependencia normativa.</w:t>
      </w:r>
    </w:p>
    <w:p w:rsidR="0073515E" w:rsidRDefault="0073515E" w:rsidP="0073515E">
      <w:pPr>
        <w:pStyle w:val="Sinespaciado"/>
        <w:spacing w:line="360" w:lineRule="auto"/>
        <w:jc w:val="both"/>
        <w:rPr>
          <w:rFonts w:ascii="Palatino Linotype" w:hAnsi="Palatino Linotype" w:cs="Arial"/>
          <w:lang w:val="es-ES"/>
        </w:rPr>
      </w:pPr>
    </w:p>
    <w:p w:rsidR="0073515E" w:rsidRDefault="0073515E" w:rsidP="0073515E">
      <w:pPr>
        <w:pStyle w:val="Sinespaciado"/>
        <w:spacing w:line="360" w:lineRule="auto"/>
        <w:jc w:val="both"/>
        <w:rPr>
          <w:rFonts w:ascii="Palatino Linotype" w:hAnsi="Palatino Linotype" w:cs="Arial"/>
          <w:lang w:val="es-ES"/>
        </w:rPr>
      </w:pPr>
      <w:r>
        <w:rPr>
          <w:rFonts w:ascii="Palatino Linotype" w:hAnsi="Palatino Linotype" w:cs="Arial"/>
          <w:lang w:val="es-ES"/>
        </w:rPr>
        <w:t xml:space="preserve">Robustece lo anterior, el Reglamento Interno del Sistema de Transporte Masivo y Teleférico del Estado de México, en sus artículos: </w:t>
      </w:r>
    </w:p>
    <w:p w:rsidR="0073515E" w:rsidRDefault="0073515E" w:rsidP="0060505E">
      <w:pPr>
        <w:pStyle w:val="Citas"/>
        <w:spacing w:line="240" w:lineRule="auto"/>
        <w:jc w:val="center"/>
      </w:pPr>
      <w:r w:rsidRPr="00107C36">
        <w:t>CAPÍTULO II</w:t>
      </w:r>
    </w:p>
    <w:p w:rsidR="0073515E" w:rsidRDefault="0073515E" w:rsidP="0060505E">
      <w:pPr>
        <w:pStyle w:val="Citas"/>
        <w:spacing w:line="240" w:lineRule="auto"/>
        <w:jc w:val="center"/>
      </w:pPr>
      <w:r w:rsidRPr="00107C36">
        <w:t>DE LA DIRECCIÓN Y ADMINISTRACIÓN DEL SISTEMA</w:t>
      </w:r>
    </w:p>
    <w:p w:rsidR="0073515E" w:rsidRDefault="0073515E" w:rsidP="0060505E">
      <w:pPr>
        <w:pStyle w:val="Citas"/>
        <w:spacing w:line="240" w:lineRule="auto"/>
      </w:pPr>
      <w:r w:rsidRPr="00074692">
        <w:rPr>
          <w:b/>
        </w:rPr>
        <w:lastRenderedPageBreak/>
        <w:t>Artículo 7.</w:t>
      </w:r>
      <w:r w:rsidRPr="00107C36">
        <w:t xml:space="preserve"> La dirección y administración del Sistema corresponden a: </w:t>
      </w:r>
    </w:p>
    <w:p w:rsidR="0073515E" w:rsidRDefault="0073515E" w:rsidP="0060505E">
      <w:pPr>
        <w:pStyle w:val="Citas"/>
        <w:numPr>
          <w:ilvl w:val="0"/>
          <w:numId w:val="16"/>
        </w:numPr>
        <w:spacing w:line="240" w:lineRule="auto"/>
      </w:pPr>
      <w:r w:rsidRPr="00107C36">
        <w:t xml:space="preserve">El Consejo Directivo, y </w:t>
      </w:r>
    </w:p>
    <w:p w:rsidR="0073515E" w:rsidRDefault="0073515E" w:rsidP="0060505E">
      <w:pPr>
        <w:pStyle w:val="Citas"/>
        <w:numPr>
          <w:ilvl w:val="0"/>
          <w:numId w:val="16"/>
        </w:numPr>
        <w:spacing w:line="240" w:lineRule="auto"/>
        <w:rPr>
          <w:lang w:val="es-ES"/>
        </w:rPr>
      </w:pPr>
      <w:r w:rsidRPr="00107C36">
        <w:t>Al Director General.</w:t>
      </w:r>
    </w:p>
    <w:p w:rsidR="0073515E" w:rsidRDefault="0073515E" w:rsidP="0060505E">
      <w:pPr>
        <w:pStyle w:val="Citas"/>
        <w:spacing w:line="240" w:lineRule="auto"/>
      </w:pPr>
      <w:r w:rsidRPr="00074692">
        <w:rPr>
          <w:b/>
        </w:rPr>
        <w:t>Artículo 10.</w:t>
      </w:r>
      <w:r w:rsidRPr="00074692">
        <w:t xml:space="preserve"> </w:t>
      </w:r>
      <w:r w:rsidRPr="00074692">
        <w:rPr>
          <w:b/>
        </w:rPr>
        <w:t>Corresponde al Consejo Directivo, las atribuciones siguientes</w:t>
      </w:r>
      <w:r w:rsidRPr="00074692">
        <w:t xml:space="preserve">: </w:t>
      </w:r>
    </w:p>
    <w:p w:rsidR="0073515E" w:rsidRDefault="0073515E" w:rsidP="0060505E">
      <w:pPr>
        <w:pStyle w:val="Citas"/>
        <w:numPr>
          <w:ilvl w:val="0"/>
          <w:numId w:val="17"/>
        </w:numPr>
        <w:spacing w:line="240" w:lineRule="auto"/>
      </w:pPr>
      <w:r w:rsidRPr="00074692">
        <w:t xml:space="preserve">Establecer las políticas y lineamientos generales del Sistema; </w:t>
      </w:r>
    </w:p>
    <w:p w:rsidR="0073515E" w:rsidRPr="00074692" w:rsidRDefault="0073515E" w:rsidP="0060505E">
      <w:pPr>
        <w:pStyle w:val="Citas"/>
        <w:numPr>
          <w:ilvl w:val="0"/>
          <w:numId w:val="17"/>
        </w:numPr>
        <w:spacing w:line="240" w:lineRule="auto"/>
        <w:rPr>
          <w:lang w:val="es-ES"/>
        </w:rPr>
      </w:pPr>
      <w:r w:rsidRPr="00074692">
        <w:t xml:space="preserve">Aprobar y evaluar los programas del Sistema y sus modificaciones; </w:t>
      </w:r>
    </w:p>
    <w:p w:rsidR="0073515E" w:rsidRPr="00074692" w:rsidRDefault="0073515E" w:rsidP="0060505E">
      <w:pPr>
        <w:pStyle w:val="Citas"/>
        <w:numPr>
          <w:ilvl w:val="0"/>
          <w:numId w:val="17"/>
        </w:numPr>
        <w:spacing w:line="240" w:lineRule="auto"/>
        <w:rPr>
          <w:lang w:val="es-ES"/>
        </w:rPr>
      </w:pPr>
      <w:r w:rsidRPr="00074692">
        <w:t xml:space="preserve">Discutir y, en su caso, aprobar los proyectos y acciones que se le presenten y los que surjan en su propio seno, mismos que se someterán a consideración de la Secretaría; IV. </w:t>
      </w:r>
    </w:p>
    <w:p w:rsidR="0073515E" w:rsidRPr="00074692" w:rsidRDefault="0073515E" w:rsidP="0060505E">
      <w:pPr>
        <w:pStyle w:val="Citas"/>
        <w:numPr>
          <w:ilvl w:val="0"/>
          <w:numId w:val="17"/>
        </w:numPr>
        <w:spacing w:line="240" w:lineRule="auto"/>
        <w:rPr>
          <w:lang w:val="es-ES"/>
        </w:rPr>
      </w:pPr>
      <w:r w:rsidRPr="00074692">
        <w:rPr>
          <w:b/>
        </w:rPr>
        <w:t>Aprobar y modificar los proyectos</w:t>
      </w:r>
      <w:r w:rsidRPr="00074692">
        <w:t xml:space="preserve"> de los programas para la planeación, </w:t>
      </w:r>
      <w:r w:rsidRPr="00074692">
        <w:rPr>
          <w:b/>
        </w:rPr>
        <w:t>construcción, conservación, rehabilitación y mantenimiento de los sistemas de transporte masivo o de alta capacidad, teleférico,</w:t>
      </w:r>
      <w:r w:rsidRPr="00074692">
        <w:t xml:space="preserve"> las estaciones de transferencia modal y las de origen-destino e intermedias, incluyendo aquellos que el Sistema lleve a cabo directamente, los que deberán someterse a la autorización de la Secretaría; </w:t>
      </w:r>
    </w:p>
    <w:p w:rsidR="0073515E" w:rsidRPr="00074692" w:rsidRDefault="0073515E" w:rsidP="0060505E">
      <w:pPr>
        <w:pStyle w:val="Citas"/>
        <w:numPr>
          <w:ilvl w:val="0"/>
          <w:numId w:val="17"/>
        </w:numPr>
        <w:spacing w:line="240" w:lineRule="auto"/>
        <w:rPr>
          <w:lang w:val="es-ES"/>
        </w:rPr>
      </w:pPr>
      <w:r w:rsidRPr="00074692">
        <w:t>Analizar los proyectos de solicitud de concesiones ante las autoridades federales, para la administración, operación, explotación y, en su caso, construcción de sistemas de transporte masivo o de alta capacidad, teleférico, las estaciones de transferencia modal y las de origen</w:t>
      </w:r>
      <w:r>
        <w:t xml:space="preserve"> </w:t>
      </w:r>
      <w:r w:rsidRPr="00074692">
        <w:t>destino e intermedias en territorio estatal que colinden o se encuentren sobre vías o bienes de propiedad de la Federación, y someterlos a consideración de la Secretaría;</w:t>
      </w:r>
    </w:p>
    <w:p w:rsidR="0073515E" w:rsidRDefault="0073515E" w:rsidP="0060505E">
      <w:pPr>
        <w:pStyle w:val="Citas"/>
        <w:spacing w:line="240" w:lineRule="auto"/>
      </w:pPr>
      <w:r w:rsidRPr="00074692">
        <w:rPr>
          <w:b/>
        </w:rPr>
        <w:t>Artículo 18.</w:t>
      </w:r>
      <w:r w:rsidRPr="00074692">
        <w:t xml:space="preserve"> Corresponde a la </w:t>
      </w:r>
      <w:r w:rsidRPr="00074692">
        <w:rPr>
          <w:b/>
        </w:rPr>
        <w:t>Unidad de Apoyo Administrativo</w:t>
      </w:r>
      <w:r w:rsidRPr="00074692">
        <w:t xml:space="preserve">: </w:t>
      </w:r>
    </w:p>
    <w:p w:rsidR="0073515E" w:rsidRDefault="0073515E" w:rsidP="0060505E">
      <w:pPr>
        <w:pStyle w:val="Citas"/>
        <w:numPr>
          <w:ilvl w:val="0"/>
          <w:numId w:val="18"/>
        </w:numPr>
        <w:spacing w:line="240" w:lineRule="auto"/>
      </w:pPr>
      <w:r w:rsidRPr="00074692">
        <w:t xml:space="preserve">Planear, organizar y controlar el suministro, administración y aplicación de los recursos humanos, materiales y financieros, así como los servicios generales necesarios para el funcionamiento de las unidades administrativas del Sistema, en términos de la normatividad en la materia; </w:t>
      </w:r>
    </w:p>
    <w:p w:rsidR="0073515E" w:rsidRPr="00074692" w:rsidRDefault="0073515E" w:rsidP="0060505E">
      <w:pPr>
        <w:pStyle w:val="Citas"/>
        <w:numPr>
          <w:ilvl w:val="0"/>
          <w:numId w:val="18"/>
        </w:numPr>
        <w:spacing w:line="240" w:lineRule="auto"/>
        <w:rPr>
          <w:lang w:val="es-ES"/>
        </w:rPr>
      </w:pPr>
      <w:r w:rsidRPr="00074692">
        <w:rPr>
          <w:b/>
        </w:rPr>
        <w:t>Establecer, en el ámbito de su competencia, políticas y procedimientos para la administración de los recursos humanos, materiales</w:t>
      </w:r>
      <w:r w:rsidRPr="00074692">
        <w:t xml:space="preserve"> </w:t>
      </w:r>
      <w:r w:rsidRPr="00074692">
        <w:rPr>
          <w:b/>
        </w:rPr>
        <w:t>y financieros</w:t>
      </w:r>
      <w:r w:rsidRPr="00074692">
        <w:t xml:space="preserve">, así como llevar a cabo su seguimiento y control, de acuerdo con los objetivos y estrategias definidas en los programas del Sistema; </w:t>
      </w:r>
    </w:p>
    <w:p w:rsidR="0073515E" w:rsidRPr="00074692" w:rsidRDefault="0073515E" w:rsidP="0060505E">
      <w:pPr>
        <w:pStyle w:val="Citas"/>
        <w:numPr>
          <w:ilvl w:val="0"/>
          <w:numId w:val="18"/>
        </w:numPr>
        <w:spacing w:line="240" w:lineRule="auto"/>
        <w:rPr>
          <w:b/>
          <w:lang w:val="es-ES"/>
        </w:rPr>
      </w:pPr>
      <w:r w:rsidRPr="00074692">
        <w:rPr>
          <w:b/>
        </w:rPr>
        <w:lastRenderedPageBreak/>
        <w:t xml:space="preserve">Integrar el anteproyecto de presupuesto anual de ingresos y egresos del Sistema, </w:t>
      </w:r>
      <w:r w:rsidRPr="00074692">
        <w:t xml:space="preserve">y someterlo a consideración del Director General, así como </w:t>
      </w:r>
      <w:r w:rsidRPr="00074692">
        <w:rPr>
          <w:b/>
        </w:rPr>
        <w:t xml:space="preserve">realizar la calendarización de los recursos del presupuesto autorizado y tramitar las modificaciones y ampliaciones presupuestales; </w:t>
      </w:r>
    </w:p>
    <w:p w:rsidR="0073515E" w:rsidRPr="00074692" w:rsidRDefault="0073515E" w:rsidP="0060505E">
      <w:pPr>
        <w:pStyle w:val="Citas"/>
        <w:numPr>
          <w:ilvl w:val="0"/>
          <w:numId w:val="18"/>
        </w:numPr>
        <w:spacing w:line="240" w:lineRule="auto"/>
        <w:rPr>
          <w:b/>
          <w:u w:val="single"/>
          <w:lang w:val="es-ES"/>
        </w:rPr>
      </w:pPr>
      <w:r w:rsidRPr="00074692">
        <w:rPr>
          <w:b/>
          <w:u w:val="single"/>
        </w:rPr>
        <w:t xml:space="preserve">Elaborar los estados financieros del Sistema, y realizar el registro de la contabilidad patrimonial y presupuestaria; </w:t>
      </w:r>
    </w:p>
    <w:p w:rsidR="0073515E" w:rsidRPr="00074692" w:rsidRDefault="0073515E" w:rsidP="0060505E">
      <w:pPr>
        <w:pStyle w:val="Citas"/>
        <w:numPr>
          <w:ilvl w:val="0"/>
          <w:numId w:val="18"/>
        </w:numPr>
        <w:spacing w:line="240" w:lineRule="auto"/>
        <w:rPr>
          <w:lang w:val="es-ES"/>
        </w:rPr>
      </w:pPr>
      <w:r w:rsidRPr="00074692">
        <w:rPr>
          <w:b/>
        </w:rPr>
        <w:t>Controlar el gasto de inversión y gasto corriente a nivel presupuestal</w:t>
      </w:r>
      <w:r w:rsidRPr="00074692">
        <w:t xml:space="preserve">, con el propósito de evitar dispendios y desviaciones en su ejercicio; </w:t>
      </w:r>
    </w:p>
    <w:p w:rsidR="0073515E" w:rsidRDefault="0073515E" w:rsidP="0073515E">
      <w:pPr>
        <w:pStyle w:val="Sinespaciado"/>
        <w:spacing w:line="360" w:lineRule="auto"/>
        <w:jc w:val="both"/>
        <w:rPr>
          <w:rFonts w:ascii="Palatino Linotype" w:hAnsi="Palatino Linotype" w:cs="Arial"/>
          <w:lang w:val="es-ES"/>
        </w:rPr>
      </w:pPr>
    </w:p>
    <w:p w:rsidR="00DE3C1F" w:rsidRPr="00C8686C" w:rsidRDefault="00DE3C1F" w:rsidP="00DE3C1F">
      <w:pPr>
        <w:pStyle w:val="Sinespaciado"/>
        <w:spacing w:before="240" w:line="360" w:lineRule="auto"/>
        <w:jc w:val="both"/>
        <w:rPr>
          <w:rFonts w:ascii="Palatino Linotype" w:hAnsi="Palatino Linotype"/>
          <w:bCs/>
          <w:lang w:val="es-ES"/>
        </w:rPr>
      </w:pPr>
      <w:r w:rsidRPr="00C8686C">
        <w:rPr>
          <w:rFonts w:ascii="Palatino Linotype" w:hAnsi="Palatino Linotype"/>
          <w:bCs/>
          <w:lang w:val="es-ES"/>
        </w:rPr>
        <w:t xml:space="preserve">Es viable precisar lo que se entiende por Fondo Fijo, por lo cual, se trae a colación el Glosario de términos del Manual de para la Planeación, Programación y Presupuesto de Egresos Municipal </w:t>
      </w:r>
      <w:hyperlink r:id="rId11" w:history="1">
        <w:r w:rsidRPr="00C8686C">
          <w:rPr>
            <w:rStyle w:val="Hipervnculo"/>
            <w:rFonts w:ascii="Palatino Linotype" w:hAnsi="Palatino Linotype"/>
            <w:bCs/>
            <w:lang w:val="es-ES"/>
          </w:rPr>
          <w:t>https://legislacion.edomex.gob.mx/sites/legislacion.edomex.gob.mx/files/files/pdf/gct/2022/octubre/oct101/oct101b.pdf</w:t>
        </w:r>
      </w:hyperlink>
      <w:r w:rsidRPr="00C8686C">
        <w:rPr>
          <w:rFonts w:ascii="Palatino Linotype" w:hAnsi="Palatino Linotype"/>
          <w:bCs/>
          <w:lang w:val="es-ES"/>
        </w:rPr>
        <w:t>, que señala lo siguiente:</w:t>
      </w:r>
    </w:p>
    <w:p w:rsidR="00DE3C1F" w:rsidRPr="00C8686C" w:rsidRDefault="00DE3C1F" w:rsidP="00DE3C1F">
      <w:pPr>
        <w:pStyle w:val="Citas"/>
      </w:pPr>
      <w:r w:rsidRPr="00C8686C">
        <w:t>“</w:t>
      </w:r>
      <w:r w:rsidRPr="00C8686C">
        <w:rPr>
          <w:b/>
        </w:rPr>
        <w:t>Fondo Fijo de Caja:</w:t>
      </w:r>
      <w:r w:rsidRPr="00C8686C">
        <w:t xml:space="preserve"> Recurso presupuestarios que las unidades ejecutoras utilizan para cubrir necesidades urgentes de gasto corriente, que no rebasen los límites autorizados por la Subsecretaría de Planeación y Presupuesto y que deberán observar las normas establecidas para la operación de este fondo.</w:t>
      </w:r>
    </w:p>
    <w:p w:rsidR="00DE3C1F" w:rsidRPr="00C8686C" w:rsidRDefault="00DE3C1F" w:rsidP="00DE3C1F">
      <w:pPr>
        <w:pStyle w:val="Citas"/>
      </w:pPr>
      <w:r w:rsidRPr="00C8686C">
        <w:rPr>
          <w:b/>
          <w:lang w:val="es-ES"/>
        </w:rPr>
        <w:t xml:space="preserve">Fondo </w:t>
      </w:r>
      <w:proofErr w:type="spellStart"/>
      <w:r w:rsidRPr="00C8686C">
        <w:rPr>
          <w:b/>
          <w:lang w:val="es-ES"/>
        </w:rPr>
        <w:t>Revolvente</w:t>
      </w:r>
      <w:proofErr w:type="spellEnd"/>
      <w:r w:rsidRPr="00C8686C">
        <w:rPr>
          <w:b/>
          <w:lang w:val="es-ES"/>
        </w:rPr>
        <w:t xml:space="preserve">: </w:t>
      </w:r>
      <w:r w:rsidRPr="00C8686C">
        <w:rPr>
          <w:lang w:val="es-ES"/>
        </w:rPr>
        <w:t>Importe o monto que en las dependencias y organismos auxiliares de la administración pública se destina para cubrir necesidades urgentes que no rebasen determinados niveles y que se restituyen mediante la comprobación respectiva. Dicho monto es definido y autorizado por la Secretaría.</w:t>
      </w:r>
    </w:p>
    <w:p w:rsidR="00DE3C1F" w:rsidRPr="00C8686C" w:rsidRDefault="00DE3C1F" w:rsidP="00DE3C1F">
      <w:pPr>
        <w:pStyle w:val="Sinespaciado"/>
        <w:spacing w:before="240" w:line="360" w:lineRule="auto"/>
        <w:jc w:val="both"/>
        <w:rPr>
          <w:rFonts w:ascii="Palatino Linotype" w:hAnsi="Palatino Linotype"/>
          <w:bCs/>
          <w:lang w:val="es-ES"/>
        </w:rPr>
      </w:pPr>
      <w:r w:rsidRPr="00C8686C">
        <w:rPr>
          <w:rFonts w:ascii="Palatino Linotype" w:hAnsi="Palatino Linotype"/>
          <w:bCs/>
          <w:lang w:val="es-ES"/>
        </w:rPr>
        <w:t xml:space="preserve">Por su parte, a manera de referencia se traen a colación los Lineamientos para el Manejo de Fondos Fijos o </w:t>
      </w:r>
      <w:proofErr w:type="spellStart"/>
      <w:r w:rsidRPr="00C8686C">
        <w:rPr>
          <w:rFonts w:ascii="Palatino Linotype" w:hAnsi="Palatino Linotype"/>
          <w:bCs/>
          <w:lang w:val="es-ES"/>
        </w:rPr>
        <w:t>Revolventes</w:t>
      </w:r>
      <w:proofErr w:type="spellEnd"/>
      <w:r w:rsidRPr="00C8686C">
        <w:rPr>
          <w:rFonts w:ascii="Palatino Linotype" w:hAnsi="Palatino Linotype"/>
          <w:bCs/>
          <w:lang w:val="es-ES"/>
        </w:rPr>
        <w:t xml:space="preserve"> del Gobierno Federal, que señalan lo siguiente:</w:t>
      </w:r>
    </w:p>
    <w:p w:rsidR="00DE3C1F" w:rsidRPr="00C8686C" w:rsidRDefault="00DE3C1F" w:rsidP="00DE3C1F">
      <w:pPr>
        <w:pStyle w:val="Citas"/>
      </w:pPr>
      <w:r w:rsidRPr="00C8686C">
        <w:rPr>
          <w:lang w:val="es-ES"/>
        </w:rPr>
        <w:lastRenderedPageBreak/>
        <w:t>“</w:t>
      </w:r>
      <w:r w:rsidRPr="00C8686C">
        <w:rPr>
          <w:b/>
          <w:lang w:val="es-ES"/>
        </w:rPr>
        <w:t>FONDO:</w:t>
      </w:r>
      <w:r w:rsidRPr="00C8686C">
        <w:rPr>
          <w:lang w:val="es-ES"/>
        </w:rPr>
        <w:t xml:space="preserve"> </w:t>
      </w:r>
      <w:r w:rsidRPr="00C8686C">
        <w:rPr>
          <w:b/>
          <w:lang w:val="es-ES"/>
        </w:rPr>
        <w:t xml:space="preserve">Fondo Fijo o </w:t>
      </w:r>
      <w:proofErr w:type="spellStart"/>
      <w:r w:rsidRPr="00C8686C">
        <w:rPr>
          <w:b/>
          <w:lang w:val="es-ES"/>
        </w:rPr>
        <w:t>Revolvente</w:t>
      </w:r>
      <w:proofErr w:type="spellEnd"/>
      <w:r w:rsidRPr="00C8686C">
        <w:rPr>
          <w:lang w:val="es-ES"/>
        </w:rPr>
        <w:t xml:space="preserve">, </w:t>
      </w:r>
      <w:r w:rsidRPr="00C8686C">
        <w:rPr>
          <w:u w:val="single"/>
          <w:lang w:val="es-ES"/>
        </w:rPr>
        <w:t>que es la suma de dinero que se asigna a una Unidad, al encargo de una persona de mando medio o superior, para efectuar ciertos gastos. El encargado de su manejo rinde cuentas periódicamente, y se le hacen nuevas entregas de dinero para reponer el importe de los pagos efectuados</w:t>
      </w:r>
      <w:r w:rsidRPr="00C8686C">
        <w:rPr>
          <w:lang w:val="es-ES"/>
        </w:rPr>
        <w:t xml:space="preserve">. El Fondo Fijo o </w:t>
      </w:r>
      <w:proofErr w:type="spellStart"/>
      <w:r w:rsidRPr="00C8686C">
        <w:rPr>
          <w:lang w:val="es-ES"/>
        </w:rPr>
        <w:t>Revolvente</w:t>
      </w:r>
      <w:proofErr w:type="spellEnd"/>
      <w:r w:rsidRPr="00C8686C">
        <w:rPr>
          <w:lang w:val="es-ES"/>
        </w:rPr>
        <w:t xml:space="preserve"> se limita a una cantidad constante, aunque puede aumentarse o disminuirse según lo justifiquen las necesidades de operación. En todo momento, el efectivo más el importe de los comprobantes de pago, debe ser igual al monto asignado como Fondo Fijo o </w:t>
      </w:r>
      <w:proofErr w:type="spellStart"/>
      <w:r w:rsidRPr="00C8686C">
        <w:rPr>
          <w:lang w:val="es-ES"/>
        </w:rPr>
        <w:t>Revolvente</w:t>
      </w:r>
      <w:proofErr w:type="spellEnd"/>
      <w:r w:rsidRPr="00C8686C">
        <w:rPr>
          <w:lang w:val="es-ES"/>
        </w:rPr>
        <w:t>. Este mecanismo implica la asignación de recursos de manera previa al gasto. (Sic)</w:t>
      </w:r>
    </w:p>
    <w:p w:rsidR="00DE3C1F" w:rsidRPr="00C8686C" w:rsidRDefault="00DE3C1F" w:rsidP="00DE3C1F">
      <w:pPr>
        <w:pStyle w:val="Sinespaciado"/>
        <w:spacing w:before="240" w:line="360" w:lineRule="auto"/>
        <w:jc w:val="both"/>
        <w:rPr>
          <w:rFonts w:ascii="Palatino Linotype" w:hAnsi="Palatino Linotype"/>
          <w:bCs/>
          <w:lang w:val="es-ES"/>
        </w:rPr>
      </w:pPr>
    </w:p>
    <w:p w:rsidR="00DE3C1F" w:rsidRPr="00C8686C" w:rsidRDefault="00DE3C1F" w:rsidP="00DE3C1F">
      <w:pPr>
        <w:pStyle w:val="Sinespaciado"/>
        <w:spacing w:before="240" w:line="360" w:lineRule="auto"/>
        <w:jc w:val="both"/>
        <w:rPr>
          <w:rFonts w:ascii="Palatino Linotype" w:hAnsi="Palatino Linotype"/>
          <w:bCs/>
          <w:lang w:val="es-ES"/>
        </w:rPr>
      </w:pPr>
      <w:r w:rsidRPr="00C8686C">
        <w:rPr>
          <w:rFonts w:ascii="Palatino Linotype" w:hAnsi="Palatino Linotype"/>
          <w:bCs/>
          <w:lang w:val="es-ES"/>
        </w:rPr>
        <w:t xml:space="preserve">No pasa desapercibido que el Recurrente solicitó la </w:t>
      </w:r>
      <w:r>
        <w:rPr>
          <w:rFonts w:ascii="Palatino Linotype" w:hAnsi="Palatino Linotype"/>
          <w:bCs/>
          <w:lang w:val="es-ES"/>
        </w:rPr>
        <w:t>comprobación por fondo fijo</w:t>
      </w:r>
      <w:r w:rsidRPr="00C8686C">
        <w:rPr>
          <w:rFonts w:ascii="Palatino Linotype" w:hAnsi="Palatino Linotype"/>
          <w:bCs/>
          <w:lang w:val="es-ES"/>
        </w:rPr>
        <w:t xml:space="preserve">, por lo que de manera enunciativa más no limitativa, los documentos que pueden dar cuenta de lo solicitado son las facturas o bien las pólizas contables. </w:t>
      </w:r>
    </w:p>
    <w:p w:rsidR="00DE3C1F" w:rsidRDefault="00DE3C1F" w:rsidP="0073515E">
      <w:pPr>
        <w:pStyle w:val="Sinespaciado"/>
        <w:spacing w:line="360" w:lineRule="auto"/>
        <w:jc w:val="both"/>
        <w:rPr>
          <w:rFonts w:ascii="Palatino Linotype" w:hAnsi="Palatino Linotype" w:cs="Arial"/>
          <w:lang w:val="es-ES"/>
        </w:rPr>
      </w:pPr>
    </w:p>
    <w:p w:rsidR="0073515E" w:rsidRDefault="0073515E" w:rsidP="0073515E">
      <w:pPr>
        <w:pStyle w:val="Sinespaciado"/>
        <w:spacing w:line="360" w:lineRule="auto"/>
        <w:jc w:val="both"/>
        <w:rPr>
          <w:rFonts w:ascii="Palatino Linotype" w:hAnsi="Palatino Linotype" w:cs="Arial"/>
          <w:lang w:val="es-ES"/>
        </w:rPr>
      </w:pPr>
      <w:r w:rsidRPr="000614A3">
        <w:rPr>
          <w:rFonts w:ascii="Palatino Linotype" w:hAnsi="Palatino Linotype" w:cs="Arial"/>
          <w:lang w:val="es-ES"/>
        </w:rPr>
        <w:t xml:space="preserve">Atento a lo anterior, es conveniente traer a contexto lo dispuesto en la Ley de la  Contratación Pública del Estado de México y Municipios, la cual tiene por objeto regular los actos relativos a la planeación, programación, </w:t>
      </w:r>
      <w:proofErr w:type="spellStart"/>
      <w:r w:rsidRPr="000614A3">
        <w:rPr>
          <w:rFonts w:ascii="Palatino Linotype" w:hAnsi="Palatino Linotype" w:cs="Arial"/>
          <w:lang w:val="es-ES"/>
        </w:rPr>
        <w:t>presupuestación</w:t>
      </w:r>
      <w:proofErr w:type="spellEnd"/>
      <w:r w:rsidRPr="000614A3">
        <w:rPr>
          <w:rFonts w:ascii="Palatino Linotype" w:hAnsi="Palatino Linotype" w:cs="Arial"/>
          <w:lang w:val="es-ES"/>
        </w:rPr>
        <w:t xml:space="preserve">, ejecución y control de la </w:t>
      </w:r>
      <w:r w:rsidRPr="000614A3">
        <w:rPr>
          <w:rFonts w:ascii="Palatino Linotype" w:hAnsi="Palatino Linotype" w:cs="Arial"/>
          <w:b/>
          <w:u w:val="single"/>
          <w:lang w:val="es-ES"/>
        </w:rPr>
        <w:t>adquisición</w:t>
      </w:r>
      <w:r w:rsidRPr="000614A3">
        <w:rPr>
          <w:rFonts w:ascii="Palatino Linotype" w:hAnsi="Palatino Linotype" w:cs="Arial"/>
          <w:lang w:val="es-ES"/>
        </w:rPr>
        <w:t xml:space="preserve">, enajenación y arrendamiento </w:t>
      </w:r>
      <w:r w:rsidRPr="000614A3">
        <w:rPr>
          <w:rFonts w:ascii="Palatino Linotype" w:hAnsi="Palatino Linotype" w:cs="Arial"/>
          <w:b/>
          <w:u w:val="single"/>
          <w:lang w:val="es-ES"/>
        </w:rPr>
        <w:t>de bienes</w:t>
      </w:r>
      <w:r w:rsidRPr="000614A3">
        <w:rPr>
          <w:rFonts w:ascii="Palatino Linotype" w:hAnsi="Palatino Linotype" w:cs="Arial"/>
          <w:lang w:val="es-ES"/>
        </w:rPr>
        <w:t xml:space="preserve">, y la </w:t>
      </w:r>
      <w:r w:rsidRPr="000614A3">
        <w:rPr>
          <w:rFonts w:ascii="Palatino Linotype" w:hAnsi="Palatino Linotype" w:cs="Arial"/>
          <w:b/>
          <w:u w:val="single"/>
          <w:lang w:val="es-ES"/>
        </w:rPr>
        <w:t>contratación</w:t>
      </w:r>
      <w:r>
        <w:rPr>
          <w:rFonts w:ascii="Palatino Linotype" w:hAnsi="Palatino Linotype" w:cs="Arial"/>
          <w:b/>
          <w:u w:val="single"/>
          <w:lang w:val="es-ES"/>
        </w:rPr>
        <w:t xml:space="preserve"> de servicios de cualquier naturaleza, que realicen las secretarías y las unidades administrativas del Poder Ejecutivo del Estado</w:t>
      </w:r>
      <w:r>
        <w:rPr>
          <w:rFonts w:ascii="Palatino Linotype" w:hAnsi="Palatino Linotype" w:cs="Arial"/>
          <w:lang w:val="es-ES"/>
        </w:rPr>
        <w:t xml:space="preserve">; los cuales se adjudicarán a través de </w:t>
      </w:r>
      <w:r>
        <w:rPr>
          <w:rFonts w:ascii="Palatino Linotype" w:hAnsi="Palatino Linotype" w:cs="Arial"/>
          <w:b/>
          <w:u w:val="single"/>
          <w:lang w:val="es-ES"/>
        </w:rPr>
        <w:t>licitaciones públicas</w:t>
      </w:r>
      <w:r>
        <w:rPr>
          <w:rFonts w:ascii="Palatino Linotype" w:hAnsi="Palatino Linotype" w:cs="Arial"/>
          <w:lang w:val="es-ES"/>
        </w:rPr>
        <w:t xml:space="preserve">, invitación restringida o adjudicación directa, mediante convocatoria pública, tal y como lo establece en sus </w:t>
      </w:r>
      <w:proofErr w:type="spellStart"/>
      <w:r>
        <w:rPr>
          <w:rFonts w:ascii="Palatino Linotype" w:hAnsi="Palatino Linotype" w:cs="Arial"/>
          <w:lang w:val="es-ES"/>
        </w:rPr>
        <w:t>articulos</w:t>
      </w:r>
      <w:proofErr w:type="spellEnd"/>
      <w:r>
        <w:rPr>
          <w:rFonts w:ascii="Palatino Linotype" w:hAnsi="Palatino Linotype" w:cs="Arial"/>
          <w:lang w:val="es-ES"/>
        </w:rPr>
        <w:t>, los cuales son del tenor siguiente:</w:t>
      </w:r>
    </w:p>
    <w:p w:rsidR="0073515E" w:rsidRDefault="0073515E" w:rsidP="0073515E">
      <w:pPr>
        <w:spacing w:after="0" w:line="240" w:lineRule="auto"/>
        <w:jc w:val="both"/>
        <w:rPr>
          <w:rFonts w:ascii="Palatino Linotype" w:eastAsia="Times New Roman" w:hAnsi="Palatino Linotype" w:cs="Arial"/>
          <w:sz w:val="24"/>
          <w:szCs w:val="24"/>
          <w:lang w:val="es-ES"/>
        </w:rPr>
      </w:pP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b/>
          <w:bCs/>
          <w:i/>
          <w:iCs/>
          <w:lang w:val="es-ES"/>
        </w:rPr>
        <w:lastRenderedPageBreak/>
        <w:t>“Artículo 1</w:t>
      </w:r>
      <w:r>
        <w:rPr>
          <w:rFonts w:ascii="Palatino Linotype" w:eastAsia="Times New Roman" w:hAnsi="Palatino Linotype" w:cs="Arial"/>
          <w:i/>
          <w:iCs/>
          <w:lang w:val="es-ES"/>
        </w:rPr>
        <w:t>.- </w:t>
      </w:r>
      <w:r>
        <w:rPr>
          <w:rFonts w:ascii="Palatino Linotype" w:eastAsia="Times New Roman" w:hAnsi="Palatino Linotype" w:cs="Arial"/>
          <w:b/>
          <w:bCs/>
          <w:i/>
          <w:iCs/>
          <w:u w:val="single"/>
          <w:lang w:val="es-ES"/>
        </w:rPr>
        <w:t>Esta Ley tiene por objeto regular los actos relativos a</w:t>
      </w:r>
      <w:r>
        <w:rPr>
          <w:rFonts w:ascii="Palatino Linotype" w:eastAsia="Times New Roman" w:hAnsi="Palatino Linotype" w:cs="Arial"/>
          <w:i/>
          <w:iCs/>
          <w:lang w:val="es-ES"/>
        </w:rPr>
        <w:t xml:space="preserve"> la planeación, programación, </w:t>
      </w:r>
      <w:proofErr w:type="spellStart"/>
      <w:r>
        <w:rPr>
          <w:rFonts w:ascii="Palatino Linotype" w:eastAsia="Times New Roman" w:hAnsi="Palatino Linotype" w:cs="Arial"/>
          <w:i/>
          <w:iCs/>
          <w:lang w:val="es-ES"/>
        </w:rPr>
        <w:t>presupuestación</w:t>
      </w:r>
      <w:proofErr w:type="spellEnd"/>
      <w:r>
        <w:rPr>
          <w:rFonts w:ascii="Palatino Linotype" w:eastAsia="Times New Roman" w:hAnsi="Palatino Linotype" w:cs="Arial"/>
          <w:i/>
          <w:iCs/>
          <w:lang w:val="es-ES"/>
        </w:rPr>
        <w:t>, ejecución y control de </w:t>
      </w:r>
      <w:r>
        <w:rPr>
          <w:rFonts w:ascii="Palatino Linotype" w:eastAsia="Times New Roman" w:hAnsi="Palatino Linotype" w:cs="Arial"/>
          <w:b/>
          <w:bCs/>
          <w:i/>
          <w:iCs/>
          <w:u w:val="single"/>
          <w:lang w:val="es-ES"/>
        </w:rPr>
        <w:t>la adquisición, enajenación y arrendamiento de bienes, y la contratación de servicios de cualquier naturaleza</w:t>
      </w:r>
      <w:r>
        <w:rPr>
          <w:rFonts w:ascii="Palatino Linotype" w:eastAsia="Times New Roman" w:hAnsi="Palatino Linotype" w:cs="Arial"/>
          <w:i/>
          <w:iCs/>
          <w:lang w:val="es-ES"/>
        </w:rPr>
        <w:t>, </w:t>
      </w:r>
      <w:r>
        <w:rPr>
          <w:rFonts w:ascii="Palatino Linotype" w:eastAsia="Times New Roman" w:hAnsi="Palatino Linotype" w:cs="Arial"/>
          <w:b/>
          <w:bCs/>
          <w:i/>
          <w:iCs/>
          <w:u w:val="single"/>
          <w:lang w:val="es-ES"/>
        </w:rPr>
        <w:t>que realicen</w:t>
      </w:r>
      <w:r>
        <w:rPr>
          <w:rFonts w:ascii="Palatino Linotype" w:eastAsia="Times New Roman" w:hAnsi="Palatino Linotype" w:cs="Arial"/>
          <w:i/>
          <w:iCs/>
          <w:lang w:val="es-ES"/>
        </w:rPr>
        <w:t>:</w:t>
      </w: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i/>
          <w:iCs/>
          <w:lang w:val="es-ES"/>
        </w:rPr>
        <w:t>…</w:t>
      </w:r>
    </w:p>
    <w:p w:rsidR="0073515E" w:rsidRPr="00F9074C" w:rsidRDefault="0073515E" w:rsidP="0073515E">
      <w:pPr>
        <w:pStyle w:val="Prrafodelista"/>
        <w:numPr>
          <w:ilvl w:val="0"/>
          <w:numId w:val="19"/>
        </w:numPr>
        <w:ind w:right="567"/>
        <w:jc w:val="both"/>
        <w:rPr>
          <w:rFonts w:ascii="Palatino Linotype" w:hAnsi="Palatino Linotype" w:cs="Arial"/>
          <w:b/>
          <w:bCs/>
          <w:i/>
          <w:iCs/>
        </w:rPr>
      </w:pPr>
      <w:r w:rsidRPr="00F9074C">
        <w:rPr>
          <w:rFonts w:ascii="Palatino Linotype" w:hAnsi="Palatino Linotype" w:cs="Arial"/>
          <w:b/>
          <w:bCs/>
          <w:i/>
          <w:iCs/>
        </w:rPr>
        <w:t>Las secretarías y las unidades administrativas del Poder Ejecutivo del Estado.</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Artículo 4.-</w:t>
      </w:r>
      <w:r>
        <w:rPr>
          <w:rFonts w:ascii="Palatino Linotype" w:eastAsia="Times New Roman" w:hAnsi="Palatino Linotype" w:cs="Arial"/>
          <w:i/>
          <w:szCs w:val="24"/>
          <w:lang w:val="es-ES"/>
        </w:rPr>
        <w:t xml:space="preserve"> Para los efectos de esta Ley, en las adquisiciones, enajenaciones, arrendamientos y servicios, quedan comprendidos: </w:t>
      </w:r>
    </w:p>
    <w:p w:rsidR="0073515E" w:rsidRPr="000614A3" w:rsidRDefault="0073515E" w:rsidP="0073515E">
      <w:pPr>
        <w:spacing w:after="0" w:line="240" w:lineRule="auto"/>
        <w:ind w:left="567" w:right="567"/>
        <w:jc w:val="both"/>
        <w:rPr>
          <w:rFonts w:ascii="Palatino Linotype" w:eastAsia="Times New Roman" w:hAnsi="Palatino Linotype" w:cs="Arial"/>
          <w:i/>
          <w:szCs w:val="24"/>
          <w:lang w:val="es-ES"/>
        </w:rPr>
      </w:pPr>
      <w:r w:rsidRPr="000614A3">
        <w:rPr>
          <w:rFonts w:ascii="Palatino Linotype" w:eastAsia="Times New Roman" w:hAnsi="Palatino Linotype" w:cs="Arial"/>
          <w:i/>
          <w:szCs w:val="24"/>
          <w:lang w:val="es-ES"/>
        </w:rPr>
        <w:t xml:space="preserve">I. La adquisición de bienes muebles. </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 xml:space="preserve">II. La adquisición de bienes inmuebles, a través de compraventa. </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 xml:space="preserve">III. La enajenación de bienes muebles e inmuebles. </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sidRPr="00D4383C">
        <w:rPr>
          <w:rFonts w:ascii="Palatino Linotype" w:eastAsia="Times New Roman" w:hAnsi="Palatino Linotype" w:cs="Arial"/>
          <w:i/>
          <w:szCs w:val="24"/>
          <w:lang w:val="es-ES"/>
        </w:rPr>
        <w:t>IV. El arrendamiento de bienes muebles e inmuebles</w:t>
      </w:r>
      <w:r>
        <w:rPr>
          <w:rFonts w:ascii="Palatino Linotype" w:eastAsia="Times New Roman" w:hAnsi="Palatino Linotype" w:cs="Arial"/>
          <w:i/>
          <w:szCs w:val="24"/>
          <w:lang w:val="es-ES"/>
        </w:rPr>
        <w:t xml:space="preserve">. </w:t>
      </w:r>
    </w:p>
    <w:p w:rsidR="0073515E" w:rsidRPr="000614A3" w:rsidRDefault="0073515E" w:rsidP="0073515E">
      <w:pPr>
        <w:spacing w:after="0" w:line="240" w:lineRule="auto"/>
        <w:ind w:left="567" w:right="567"/>
        <w:jc w:val="both"/>
        <w:rPr>
          <w:rFonts w:ascii="Palatino Linotype" w:eastAsia="Times New Roman" w:hAnsi="Palatino Linotype" w:cs="Arial"/>
          <w:i/>
          <w:szCs w:val="24"/>
          <w:lang w:val="es-ES"/>
        </w:rPr>
      </w:pPr>
      <w:r w:rsidRPr="000614A3">
        <w:rPr>
          <w:rFonts w:ascii="Palatino Linotype" w:eastAsia="Times New Roman" w:hAnsi="Palatino Linotype" w:cs="Arial"/>
          <w:i/>
          <w:szCs w:val="24"/>
          <w:lang w:val="es-ES"/>
        </w:rPr>
        <w:t xml:space="preserve">V. La contratación de los servicios, relacionados con bienes muebles que se encuentran incorporados o adheridos a bienes inmuebles, cuya instalación o mantenimiento no implique modificación al bien inmueble. </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V</w:t>
      </w:r>
      <w:r w:rsidRPr="000614A3">
        <w:rPr>
          <w:rFonts w:ascii="Palatino Linotype" w:eastAsia="Times New Roman" w:hAnsi="Palatino Linotype" w:cs="Arial"/>
          <w:b/>
          <w:i/>
          <w:szCs w:val="24"/>
          <w:lang w:val="es-ES"/>
        </w:rPr>
        <w:t xml:space="preserve">I. La contratación de los servicios de reconstrucción y mantenimiento de bienes muebles. </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u w:val="single"/>
          <w:lang w:val="es-ES"/>
        </w:rPr>
        <w:t xml:space="preserve">VII. La contratación de los servicios </w:t>
      </w:r>
      <w:r>
        <w:rPr>
          <w:rFonts w:ascii="Palatino Linotype" w:eastAsia="Times New Roman" w:hAnsi="Palatino Linotype" w:cs="Arial"/>
          <w:i/>
          <w:szCs w:val="24"/>
          <w:lang w:val="es-ES"/>
        </w:rPr>
        <w:t>de maquila, seguros y transportación, así como de los de limpieza y vigilancia de bienes inmuebles</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 xml:space="preserve">VIII. La prestación de servicios profesionales, la contratación de consultorías, asesorías y estudios e investigaciones, excepto la contratación de servicios personales de personas físicas bajo el régimen de honorarios. </w:t>
      </w:r>
    </w:p>
    <w:p w:rsidR="0073515E" w:rsidRDefault="0073515E" w:rsidP="0073515E">
      <w:pPr>
        <w:spacing w:after="0" w:line="240" w:lineRule="auto"/>
        <w:ind w:left="567" w:right="567"/>
        <w:jc w:val="both"/>
        <w:rPr>
          <w:rFonts w:ascii="Palatino Linotype" w:eastAsia="Times New Roman" w:hAnsi="Palatino Linotype" w:cs="Arial"/>
          <w:b/>
          <w:i/>
          <w:szCs w:val="24"/>
          <w:u w:val="single"/>
          <w:lang w:val="es-ES"/>
        </w:rPr>
      </w:pPr>
      <w:r>
        <w:rPr>
          <w:rFonts w:ascii="Palatino Linotype" w:eastAsia="Times New Roman" w:hAnsi="Palatino Linotype" w:cs="Arial"/>
          <w:b/>
          <w:i/>
          <w:szCs w:val="24"/>
          <w:u w:val="single"/>
          <w:lang w:val="es-ES"/>
        </w:rPr>
        <w:t>En general, otros actos que impliquen la contratación de servicios de cualquier naturaleza.</w:t>
      </w: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b/>
          <w:bCs/>
          <w:i/>
          <w:iCs/>
          <w:lang w:val="es-ES"/>
        </w:rPr>
        <w:t>Artículo 20</w:t>
      </w:r>
      <w:r>
        <w:rPr>
          <w:rFonts w:ascii="Palatino Linotype" w:eastAsia="Times New Roman" w:hAnsi="Palatino Linotype" w:cs="Arial"/>
          <w:i/>
          <w:iCs/>
          <w:lang w:val="es-ES"/>
        </w:rPr>
        <w:t xml:space="preserve">.- </w:t>
      </w:r>
      <w:r w:rsidRPr="00F9074C">
        <w:rPr>
          <w:rFonts w:ascii="Palatino Linotype" w:eastAsia="Times New Roman" w:hAnsi="Palatino Linotype" w:cs="Arial"/>
          <w:b/>
          <w:i/>
          <w:iCs/>
          <w:u w:val="single"/>
          <w:lang w:val="es-ES"/>
        </w:rPr>
        <w:t>La Secretaría</w:t>
      </w:r>
      <w:r>
        <w:rPr>
          <w:rFonts w:ascii="Palatino Linotype" w:eastAsia="Times New Roman" w:hAnsi="Palatino Linotype" w:cs="Arial"/>
          <w:i/>
          <w:iCs/>
          <w:lang w:val="es-ES"/>
        </w:rPr>
        <w:t xml:space="preserve"> y </w:t>
      </w:r>
      <w:r w:rsidRPr="00F9074C">
        <w:rPr>
          <w:rFonts w:ascii="Palatino Linotype" w:eastAsia="Times New Roman" w:hAnsi="Palatino Linotype" w:cs="Arial"/>
          <w:bCs/>
          <w:i/>
          <w:iCs/>
          <w:lang w:val="es-ES"/>
        </w:rPr>
        <w:t xml:space="preserve">los ayuntamientos </w:t>
      </w:r>
      <w:r>
        <w:rPr>
          <w:rFonts w:ascii="Palatino Linotype" w:eastAsia="Times New Roman" w:hAnsi="Palatino Linotype" w:cs="Arial"/>
          <w:b/>
          <w:bCs/>
          <w:i/>
          <w:iCs/>
          <w:u w:val="single"/>
          <w:lang w:val="es-ES"/>
        </w:rPr>
        <w:t>establecerán y operarán el catálogo de bienes y servicios</w:t>
      </w:r>
      <w:r>
        <w:rPr>
          <w:rFonts w:ascii="Palatino Linotype" w:eastAsia="Times New Roman" w:hAnsi="Palatino Linotype" w:cs="Arial"/>
          <w:i/>
          <w:iCs/>
          <w:lang w:val="es-ES"/>
        </w:rPr>
        <w:t>, de acuerdo con la reglamentación respectiva. </w:t>
      </w:r>
      <w:r>
        <w:rPr>
          <w:rFonts w:ascii="Palatino Linotype" w:eastAsia="Times New Roman" w:hAnsi="Palatino Linotype" w:cs="Arial"/>
          <w:b/>
          <w:bCs/>
          <w:i/>
          <w:iCs/>
          <w:u w:val="single"/>
          <w:lang w:val="es-ES"/>
        </w:rPr>
        <w:t>Establecerán y operarán también el catálogo de bienes y servicios específicos que sean susceptibles de ser adquiridos o contratados</w:t>
      </w:r>
      <w:r>
        <w:rPr>
          <w:rFonts w:ascii="Palatino Linotype" w:eastAsia="Times New Roman" w:hAnsi="Palatino Linotype" w:cs="Arial"/>
          <w:i/>
          <w:iCs/>
          <w:lang w:val="es-ES"/>
        </w:rPr>
        <w:t xml:space="preserve"> bajo la modalidad de subasta inversa, </w:t>
      </w:r>
      <w:r w:rsidRPr="005558F1">
        <w:rPr>
          <w:rFonts w:ascii="Palatino Linotype" w:eastAsia="Times New Roman" w:hAnsi="Palatino Linotype" w:cs="Arial"/>
          <w:b/>
          <w:i/>
          <w:iCs/>
          <w:u w:val="single"/>
          <w:lang w:val="es-ES"/>
        </w:rPr>
        <w:t>los cuales deberán describirse genéricamente y determinarse sus especificaciones técnicas comerciales, y en su caso, sus equivalentes. Dicho catálogo deberá publicarse en el COMPRAMEX y en el portal de internet de la propia Secretaría</w:t>
      </w:r>
      <w:r>
        <w:rPr>
          <w:rFonts w:ascii="Palatino Linotype" w:eastAsia="Times New Roman" w:hAnsi="Palatino Linotype" w:cs="Arial"/>
          <w:i/>
          <w:iCs/>
          <w:lang w:val="es-ES"/>
        </w:rPr>
        <w:t xml:space="preserve"> y, en su caso, en el de los ayuntamientos.</w:t>
      </w:r>
    </w:p>
    <w:p w:rsidR="0073515E" w:rsidRDefault="0073515E" w:rsidP="0073515E">
      <w:pPr>
        <w:spacing w:after="0" w:line="240" w:lineRule="auto"/>
        <w:ind w:left="567" w:right="567"/>
        <w:jc w:val="both"/>
        <w:rPr>
          <w:rFonts w:ascii="Palatino Linotype" w:eastAsia="Times New Roman" w:hAnsi="Palatino Linotype" w:cs="Arial"/>
          <w:b/>
          <w:bCs/>
          <w:i/>
          <w:iCs/>
          <w:lang w:val="es-ES"/>
        </w:rPr>
      </w:pP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b/>
          <w:bCs/>
          <w:i/>
          <w:iCs/>
          <w:lang w:val="es-ES"/>
        </w:rPr>
        <w:t>Artículo 21.- </w:t>
      </w:r>
      <w:r>
        <w:rPr>
          <w:rFonts w:ascii="Palatino Linotype" w:eastAsia="Times New Roman" w:hAnsi="Palatino Linotype" w:cs="Arial"/>
          <w:b/>
          <w:bCs/>
          <w:i/>
          <w:iCs/>
          <w:u w:val="single"/>
          <w:lang w:val="es-ES"/>
        </w:rPr>
        <w:t>A fin de conocer la capacidad administrativa, financiera, legal y técnica de las fuentes de suministro</w:t>
      </w:r>
      <w:r>
        <w:rPr>
          <w:rFonts w:ascii="Palatino Linotype" w:eastAsia="Times New Roman" w:hAnsi="Palatino Linotype" w:cs="Arial"/>
          <w:i/>
          <w:iCs/>
          <w:lang w:val="es-ES"/>
        </w:rPr>
        <w:t>, la Secretaría y </w:t>
      </w:r>
      <w:r>
        <w:rPr>
          <w:rFonts w:ascii="Palatino Linotype" w:eastAsia="Times New Roman" w:hAnsi="Palatino Linotype" w:cs="Arial"/>
          <w:b/>
          <w:bCs/>
          <w:i/>
          <w:iCs/>
          <w:u w:val="single"/>
          <w:lang w:val="es-ES"/>
        </w:rPr>
        <w:t>los ayuntamientos integrarán un catálogo de proveedores y de prestadores de servicios</w:t>
      </w:r>
      <w:r>
        <w:rPr>
          <w:rFonts w:ascii="Palatino Linotype" w:eastAsia="Times New Roman" w:hAnsi="Palatino Linotype" w:cs="Arial"/>
          <w:i/>
          <w:iCs/>
          <w:lang w:val="es-ES"/>
        </w:rPr>
        <w:t>.</w:t>
      </w: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i/>
          <w:iCs/>
          <w:lang w:val="es-ES"/>
        </w:rPr>
        <w:lastRenderedPageBreak/>
        <w:t>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w:t>
      </w:r>
    </w:p>
    <w:p w:rsidR="0073515E" w:rsidRDefault="0073515E" w:rsidP="0073515E">
      <w:pPr>
        <w:spacing w:after="0" w:line="240" w:lineRule="auto"/>
        <w:ind w:left="567" w:right="567"/>
        <w:jc w:val="both"/>
        <w:rPr>
          <w:rFonts w:ascii="Palatino Linotype" w:eastAsia="Times New Roman" w:hAnsi="Palatino Linotype" w:cs="Arial"/>
          <w:b/>
          <w:bCs/>
          <w:i/>
          <w:iCs/>
          <w:lang w:val="es-ES"/>
        </w:rPr>
      </w:pP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b/>
          <w:bCs/>
          <w:i/>
          <w:iCs/>
          <w:lang w:val="es-ES"/>
        </w:rPr>
        <w:t>Artículo 22</w:t>
      </w:r>
      <w:r>
        <w:rPr>
          <w:rFonts w:ascii="Palatino Linotype" w:eastAsia="Times New Roman" w:hAnsi="Palatino Linotype" w:cs="Arial"/>
          <w:i/>
          <w:iCs/>
          <w:lang w:val="es-ES"/>
        </w:rPr>
        <w:t xml:space="preserve">.- Los comités son órganos colegiados con facultades de opinión, que tienen por objeto auxiliar a la Secretaría, entidades, tribunales administrativos y ayuntamientos, en la substanciación de los procedimientos de adquisiciones y de servicios, de conformidad con el Reglamento y los manuales de operación. </w:t>
      </w:r>
      <w:r w:rsidRPr="00F9074C">
        <w:rPr>
          <w:rFonts w:ascii="Palatino Linotype" w:eastAsia="Times New Roman" w:hAnsi="Palatino Linotype" w:cs="Arial"/>
          <w:b/>
          <w:i/>
          <w:iCs/>
          <w:u w:val="single"/>
          <w:lang w:val="es-ES"/>
        </w:rPr>
        <w:t>En la Secretaría</w:t>
      </w:r>
      <w:r>
        <w:rPr>
          <w:rFonts w:ascii="Palatino Linotype" w:eastAsia="Times New Roman" w:hAnsi="Palatino Linotype" w:cs="Arial"/>
          <w:i/>
          <w:iCs/>
          <w:lang w:val="es-ES"/>
        </w:rPr>
        <w:t xml:space="preserve">, en cada entidad, tribunal administrativo y ayuntamiento se constituirá un </w:t>
      </w:r>
      <w:r w:rsidRPr="00F9074C">
        <w:rPr>
          <w:rFonts w:ascii="Palatino Linotype" w:eastAsia="Times New Roman" w:hAnsi="Palatino Linotype" w:cs="Arial"/>
          <w:b/>
          <w:i/>
          <w:iCs/>
          <w:lang w:val="es-ES"/>
        </w:rPr>
        <w:t>comité de adquisiciones y servicios</w:t>
      </w:r>
      <w:r>
        <w:rPr>
          <w:rFonts w:ascii="Palatino Linotype" w:eastAsia="Times New Roman" w:hAnsi="Palatino Linotype" w:cs="Arial"/>
          <w:i/>
          <w:iCs/>
          <w:lang w:val="es-ES"/>
        </w:rPr>
        <w:t xml:space="preserve">. </w:t>
      </w:r>
      <w:r w:rsidRPr="00F9074C">
        <w:rPr>
          <w:rFonts w:ascii="Palatino Linotype" w:eastAsia="Times New Roman" w:hAnsi="Palatino Linotype" w:cs="Arial"/>
          <w:b/>
          <w:i/>
          <w:iCs/>
          <w:lang w:val="es-ES"/>
        </w:rPr>
        <w:t>La Secretaría,</w:t>
      </w:r>
      <w:r>
        <w:rPr>
          <w:rFonts w:ascii="Palatino Linotype" w:eastAsia="Times New Roman" w:hAnsi="Palatino Linotype" w:cs="Arial"/>
          <w:i/>
          <w:iCs/>
          <w:lang w:val="es-ES"/>
        </w:rPr>
        <w:t xml:space="preserve"> las entidades, los tribunales administrativos y </w:t>
      </w:r>
      <w:r w:rsidRPr="00F9074C">
        <w:rPr>
          <w:rFonts w:ascii="Palatino Linotype" w:eastAsia="Times New Roman" w:hAnsi="Palatino Linotype" w:cs="Arial"/>
          <w:bCs/>
          <w:i/>
          <w:iCs/>
          <w:lang w:val="es-ES"/>
        </w:rPr>
        <w:t>los ayuntamientos se auxiliarán de un comité de arrendamientos, adquisiciones de inmuebles y enajenaciones</w:t>
      </w:r>
      <w:r w:rsidRPr="00F9074C">
        <w:rPr>
          <w:rFonts w:ascii="Palatino Linotype" w:eastAsia="Times New Roman" w:hAnsi="Palatino Linotype" w:cs="Arial"/>
          <w:i/>
          <w:iCs/>
          <w:lang w:val="es-ES"/>
        </w:rPr>
        <w:t>.</w:t>
      </w:r>
      <w:r>
        <w:rPr>
          <w:rFonts w:ascii="Palatino Linotype" w:eastAsia="Times New Roman" w:hAnsi="Palatino Linotype" w:cs="Arial"/>
          <w:i/>
          <w:iCs/>
          <w:lang w:val="es-ES"/>
        </w:rPr>
        <w:t>”</w:t>
      </w:r>
    </w:p>
    <w:p w:rsidR="0073515E" w:rsidRDefault="0073515E" w:rsidP="0073515E">
      <w:pPr>
        <w:spacing w:after="0" w:line="240" w:lineRule="auto"/>
        <w:ind w:left="567" w:right="567"/>
        <w:jc w:val="both"/>
        <w:rPr>
          <w:rFonts w:ascii="Palatino Linotype" w:eastAsia="Times New Roman" w:hAnsi="Palatino Linotype" w:cs="Arial"/>
          <w:b/>
          <w:bCs/>
          <w:i/>
          <w:iCs/>
          <w:lang w:val="es-ES"/>
        </w:rPr>
      </w:pP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b/>
          <w:bCs/>
          <w:i/>
          <w:iCs/>
          <w:lang w:val="es-ES"/>
        </w:rPr>
        <w:t>Artículo 23</w:t>
      </w:r>
      <w:r>
        <w:rPr>
          <w:rFonts w:ascii="Palatino Linotype" w:eastAsia="Times New Roman" w:hAnsi="Palatino Linotype" w:cs="Arial"/>
          <w:i/>
          <w:iCs/>
          <w:lang w:val="es-ES"/>
        </w:rPr>
        <w:t>.- </w:t>
      </w:r>
      <w:r>
        <w:rPr>
          <w:rFonts w:ascii="Palatino Linotype" w:eastAsia="Times New Roman" w:hAnsi="Palatino Linotype" w:cs="Arial"/>
          <w:b/>
          <w:bCs/>
          <w:i/>
          <w:iCs/>
          <w:u w:val="single"/>
          <w:lang w:val="es-ES"/>
        </w:rPr>
        <w:t>Los comités de adquisiciones y de servicios tendrán las funciones siguientes</w:t>
      </w:r>
      <w:r>
        <w:rPr>
          <w:rFonts w:ascii="Palatino Linotype" w:eastAsia="Times New Roman" w:hAnsi="Palatino Linotype" w:cs="Arial"/>
          <w:i/>
          <w:iCs/>
          <w:lang w:val="es-ES"/>
        </w:rPr>
        <w:t>:</w:t>
      </w: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i/>
          <w:iCs/>
          <w:lang w:val="es-ES"/>
        </w:rPr>
        <w:t>I. Dictaminar sobre la procedencia de los casos de excepción al procedimiento de licitación pública.</w:t>
      </w: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i/>
          <w:iCs/>
          <w:lang w:val="es-ES"/>
        </w:rPr>
        <w:t>II. Participar en los procedimientos de licitación, invitación restringida y adjudicación directa, hasta dejarlos en estado de dictar el fallo correspondiente, incluidos los que tengan que desahogarse bajo la modalidad de subasta inversa.</w:t>
      </w: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b/>
          <w:bCs/>
          <w:i/>
          <w:iCs/>
          <w:lang w:val="es-ES"/>
        </w:rPr>
        <w:t>III. </w:t>
      </w:r>
      <w:r>
        <w:rPr>
          <w:rFonts w:ascii="Palatino Linotype" w:eastAsia="Times New Roman" w:hAnsi="Palatino Linotype" w:cs="Arial"/>
          <w:b/>
          <w:bCs/>
          <w:i/>
          <w:iCs/>
          <w:u w:val="single"/>
          <w:lang w:val="es-ES"/>
        </w:rPr>
        <w:t>Emitir los dictámenes de adjudicación</w:t>
      </w:r>
      <w:r>
        <w:rPr>
          <w:rFonts w:ascii="Palatino Linotype" w:eastAsia="Times New Roman" w:hAnsi="Palatino Linotype" w:cs="Arial"/>
          <w:i/>
          <w:iCs/>
          <w:lang w:val="es-ES"/>
        </w:rPr>
        <w:t>.</w:t>
      </w:r>
    </w:p>
    <w:p w:rsidR="0073515E" w:rsidRDefault="0073515E" w:rsidP="0073515E">
      <w:pPr>
        <w:tabs>
          <w:tab w:val="left" w:pos="5865"/>
        </w:tabs>
        <w:spacing w:after="0" w:line="240" w:lineRule="auto"/>
        <w:ind w:left="567" w:right="567"/>
        <w:jc w:val="both"/>
        <w:rPr>
          <w:rFonts w:ascii="Palatino Linotype" w:hAnsi="Palatino Linotype" w:cs="Arial"/>
          <w:i/>
          <w:iCs/>
        </w:rPr>
      </w:pPr>
      <w:r w:rsidRPr="00AB556D">
        <w:rPr>
          <w:rFonts w:ascii="Palatino Linotype" w:hAnsi="Palatino Linotype" w:cs="Arial"/>
          <w:i/>
          <w:iCs/>
        </w:rPr>
        <w:t>Las demás que establezca el reglamento de esta Ley.</w:t>
      </w:r>
      <w:r>
        <w:rPr>
          <w:rFonts w:ascii="Palatino Linotype" w:hAnsi="Palatino Linotype" w:cs="Arial"/>
          <w:i/>
          <w:iCs/>
        </w:rPr>
        <w:tab/>
      </w:r>
    </w:p>
    <w:p w:rsidR="0073515E" w:rsidRPr="00AB6F16"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b/>
          <w:bCs/>
          <w:i/>
          <w:iCs/>
          <w:lang w:val="es-ES"/>
        </w:rPr>
        <w:t>Artículo 24</w:t>
      </w:r>
      <w:r>
        <w:rPr>
          <w:rFonts w:ascii="Palatino Linotype" w:eastAsia="Times New Roman" w:hAnsi="Palatino Linotype" w:cs="Arial"/>
          <w:i/>
          <w:iCs/>
          <w:lang w:val="es-ES"/>
        </w:rPr>
        <w:t>.- </w:t>
      </w:r>
      <w:r w:rsidRPr="00AB6F16">
        <w:rPr>
          <w:rFonts w:ascii="Palatino Linotype" w:eastAsia="Times New Roman" w:hAnsi="Palatino Linotype" w:cs="Arial"/>
          <w:bCs/>
          <w:i/>
          <w:iCs/>
          <w:lang w:val="es-ES"/>
        </w:rPr>
        <w:t>El comité de arrendamientos, adquisiciones de inmuebles y enajenaciones tendrá las funciones siguientes</w:t>
      </w:r>
      <w:r w:rsidRPr="00AB6F16">
        <w:rPr>
          <w:rFonts w:ascii="Palatino Linotype" w:eastAsia="Times New Roman" w:hAnsi="Palatino Linotype" w:cs="Arial"/>
          <w:i/>
          <w:iCs/>
          <w:lang w:val="es-ES"/>
        </w:rPr>
        <w:t>:</w:t>
      </w:r>
    </w:p>
    <w:p w:rsidR="0073515E" w:rsidRPr="00AB6F16" w:rsidRDefault="0073515E" w:rsidP="0073515E">
      <w:pPr>
        <w:spacing w:after="0" w:line="240" w:lineRule="auto"/>
        <w:ind w:left="567" w:right="567"/>
        <w:jc w:val="both"/>
        <w:rPr>
          <w:rFonts w:ascii="Palatino Linotype" w:eastAsia="Times New Roman" w:hAnsi="Palatino Linotype" w:cs="Arial"/>
          <w:sz w:val="19"/>
          <w:szCs w:val="19"/>
          <w:lang w:val="es-ES"/>
        </w:rPr>
      </w:pPr>
      <w:r w:rsidRPr="00AB6F16">
        <w:rPr>
          <w:rFonts w:ascii="Palatino Linotype" w:eastAsia="Times New Roman" w:hAnsi="Palatino Linotype" w:cs="Arial"/>
          <w:i/>
          <w:iCs/>
          <w:lang w:val="es-ES"/>
        </w:rPr>
        <w:t>I. Dictaminar sobre la procedencia de los casos de excepción al procedimiento de licitación pública, tratándose de adquisición de inmuebles y arrendamientos.</w:t>
      </w:r>
    </w:p>
    <w:p w:rsidR="0073515E" w:rsidRPr="00AB6F16" w:rsidRDefault="0073515E" w:rsidP="0073515E">
      <w:pPr>
        <w:spacing w:after="0" w:line="240" w:lineRule="auto"/>
        <w:ind w:left="567" w:right="567"/>
        <w:jc w:val="both"/>
        <w:rPr>
          <w:rFonts w:ascii="Palatino Linotype" w:eastAsia="Times New Roman" w:hAnsi="Palatino Linotype" w:cs="Arial"/>
          <w:sz w:val="19"/>
          <w:szCs w:val="19"/>
          <w:lang w:val="es-ES"/>
        </w:rPr>
      </w:pPr>
      <w:r w:rsidRPr="00AB6F16">
        <w:rPr>
          <w:rFonts w:ascii="Palatino Linotype" w:eastAsia="Times New Roman" w:hAnsi="Palatino Linotype" w:cs="Arial"/>
          <w:i/>
          <w:iCs/>
          <w:lang w:val="es-ES"/>
        </w:rPr>
        <w:t>II. Participar en los procedimientos de licitación, invitación restringida y adjudicación directa, hasta dejarlos en estado de dictar el fallo correspondiente, tratándose de adquisición de inmuebles y arrendamientos.</w:t>
      </w:r>
    </w:p>
    <w:p w:rsidR="0073515E" w:rsidRPr="00AB6F16" w:rsidRDefault="0073515E" w:rsidP="0073515E">
      <w:pPr>
        <w:spacing w:after="0" w:line="240" w:lineRule="auto"/>
        <w:ind w:left="567" w:right="567"/>
        <w:jc w:val="both"/>
        <w:rPr>
          <w:rFonts w:ascii="Palatino Linotype" w:eastAsia="Times New Roman" w:hAnsi="Palatino Linotype" w:cs="Arial"/>
          <w:sz w:val="19"/>
          <w:szCs w:val="19"/>
          <w:lang w:val="es-ES"/>
        </w:rPr>
      </w:pPr>
      <w:r w:rsidRPr="00AB6F16">
        <w:rPr>
          <w:rFonts w:ascii="Palatino Linotype" w:eastAsia="Times New Roman" w:hAnsi="Palatino Linotype" w:cs="Arial"/>
          <w:bCs/>
          <w:i/>
          <w:iCs/>
          <w:lang w:val="es-ES"/>
        </w:rPr>
        <w:t>III. Emitir los dictámenes de adjudicación, tratándose de adquisiciones de inmuebles y arrendamientos</w:t>
      </w:r>
      <w:r w:rsidRPr="00AB6F16">
        <w:rPr>
          <w:rFonts w:ascii="Palatino Linotype" w:eastAsia="Times New Roman" w:hAnsi="Palatino Linotype" w:cs="Arial"/>
          <w:i/>
          <w:iCs/>
          <w:lang w:val="es-ES"/>
        </w:rPr>
        <w:t>.</w:t>
      </w: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i/>
          <w:iCs/>
          <w:lang w:val="es-ES"/>
        </w:rPr>
        <w:t>IV. Participar en los procedimientos de subasta pública, hasta dejarlos en estado de dictar el fallo de adjudicación.</w:t>
      </w:r>
    </w:p>
    <w:p w:rsidR="0073515E" w:rsidRDefault="0073515E" w:rsidP="0073515E">
      <w:pPr>
        <w:spacing w:after="0" w:line="240" w:lineRule="auto"/>
        <w:ind w:left="567" w:right="567"/>
        <w:jc w:val="both"/>
        <w:rPr>
          <w:rFonts w:ascii="Palatino Linotype" w:eastAsia="Times New Roman" w:hAnsi="Palatino Linotype" w:cs="Arial"/>
          <w:i/>
          <w:iCs/>
          <w:lang w:val="es-ES"/>
        </w:rPr>
      </w:pPr>
      <w:r>
        <w:rPr>
          <w:rFonts w:ascii="Palatino Linotype" w:eastAsia="Times New Roman" w:hAnsi="Palatino Linotype" w:cs="Arial"/>
          <w:i/>
          <w:iCs/>
          <w:lang w:val="es-ES"/>
        </w:rPr>
        <w:t>V. Las demás que establezca el reglamento de esta Ley.”</w:t>
      </w:r>
    </w:p>
    <w:p w:rsidR="0073515E" w:rsidRDefault="0073515E" w:rsidP="0073515E">
      <w:pPr>
        <w:spacing w:after="0" w:line="240" w:lineRule="auto"/>
        <w:ind w:left="567" w:right="567"/>
        <w:jc w:val="both"/>
        <w:rPr>
          <w:rFonts w:ascii="Palatino Linotype" w:eastAsia="Times New Roman" w:hAnsi="Palatino Linotype" w:cs="Arial"/>
          <w:b/>
          <w:i/>
          <w:iCs/>
          <w:lang w:val="es-ES"/>
        </w:rPr>
      </w:pPr>
    </w:p>
    <w:p w:rsidR="0073515E" w:rsidRDefault="0073515E" w:rsidP="0073515E">
      <w:pPr>
        <w:spacing w:after="0" w:line="240" w:lineRule="auto"/>
        <w:ind w:left="567" w:right="567"/>
        <w:jc w:val="both"/>
        <w:rPr>
          <w:rFonts w:ascii="Palatino Linotype" w:eastAsia="Times New Roman" w:hAnsi="Palatino Linotype" w:cs="Arial"/>
          <w:i/>
          <w:iCs/>
          <w:lang w:val="es-ES"/>
        </w:rPr>
      </w:pPr>
      <w:r>
        <w:rPr>
          <w:rFonts w:ascii="Palatino Linotype" w:eastAsia="Times New Roman" w:hAnsi="Palatino Linotype" w:cs="Arial"/>
          <w:b/>
          <w:i/>
          <w:iCs/>
          <w:lang w:val="es-ES"/>
        </w:rPr>
        <w:t>Artículo 26.- </w:t>
      </w:r>
      <w:r>
        <w:rPr>
          <w:rFonts w:ascii="Palatino Linotype" w:eastAsia="Times New Roman" w:hAnsi="Palatino Linotype" w:cs="Arial"/>
          <w:i/>
          <w:iCs/>
          <w:lang w:val="es-ES"/>
        </w:rPr>
        <w:t>Las adquisiciones, arrendamientos y servicios se adjudicarán a través de licitaciones públicas, mediante convocatoria pública.</w:t>
      </w:r>
    </w:p>
    <w:p w:rsidR="0073515E" w:rsidRDefault="0073515E" w:rsidP="0073515E">
      <w:pPr>
        <w:spacing w:after="0" w:line="240" w:lineRule="auto"/>
        <w:ind w:left="567" w:right="567"/>
        <w:jc w:val="both"/>
        <w:rPr>
          <w:rFonts w:ascii="Palatino Linotype" w:eastAsia="Times New Roman" w:hAnsi="Palatino Linotype" w:cs="Arial"/>
          <w:b/>
          <w:i/>
          <w:iCs/>
          <w:lang w:val="es-ES"/>
        </w:rPr>
      </w:pPr>
    </w:p>
    <w:p w:rsidR="0073515E" w:rsidRDefault="0073515E" w:rsidP="0073515E">
      <w:pPr>
        <w:spacing w:after="0" w:line="240" w:lineRule="auto"/>
        <w:ind w:left="567" w:right="567"/>
        <w:jc w:val="both"/>
        <w:rPr>
          <w:rFonts w:ascii="Palatino Linotype" w:eastAsia="Times New Roman" w:hAnsi="Palatino Linotype" w:cs="Arial"/>
          <w:i/>
          <w:iCs/>
          <w:lang w:val="es-ES"/>
        </w:rPr>
      </w:pPr>
      <w:r>
        <w:rPr>
          <w:rFonts w:ascii="Palatino Linotype" w:eastAsia="Times New Roman" w:hAnsi="Palatino Linotype" w:cs="Arial"/>
          <w:b/>
          <w:i/>
          <w:iCs/>
          <w:lang w:val="es-ES"/>
        </w:rPr>
        <w:lastRenderedPageBreak/>
        <w:t>Artículo 27.-</w:t>
      </w:r>
      <w:r>
        <w:rPr>
          <w:rFonts w:ascii="Palatino Linotype" w:eastAsia="Times New Roman" w:hAnsi="Palatino Linotype" w:cs="Arial"/>
          <w:i/>
          <w:iCs/>
          <w:lang w:val="es-ES"/>
        </w:rPr>
        <w:t xml:space="preserve"> La Secretaría, las entidades, los tribunales administrativos y los ayuntamientos podrán adjudicar adquisiciones, arrendamientos y servicios, mediante las excepciones al procedimiento de licitación que a continuación se señalan:</w:t>
      </w:r>
    </w:p>
    <w:p w:rsidR="0073515E" w:rsidRDefault="0073515E" w:rsidP="0073515E">
      <w:pPr>
        <w:spacing w:after="0" w:line="240" w:lineRule="auto"/>
        <w:ind w:left="567" w:right="567"/>
        <w:jc w:val="both"/>
        <w:rPr>
          <w:rFonts w:ascii="Palatino Linotype" w:eastAsia="Times New Roman" w:hAnsi="Palatino Linotype" w:cs="Arial"/>
          <w:b/>
          <w:bCs/>
          <w:i/>
          <w:iCs/>
          <w:lang w:val="es-ES"/>
        </w:rPr>
      </w:pP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b/>
          <w:bCs/>
          <w:i/>
          <w:iCs/>
          <w:lang w:val="es-ES"/>
        </w:rPr>
        <w:t>I. </w:t>
      </w:r>
      <w:r>
        <w:rPr>
          <w:rFonts w:ascii="Palatino Linotype" w:eastAsia="Times New Roman" w:hAnsi="Palatino Linotype" w:cs="Arial"/>
          <w:b/>
          <w:bCs/>
          <w:i/>
          <w:iCs/>
          <w:u w:val="single"/>
          <w:lang w:val="es-ES"/>
        </w:rPr>
        <w:t>Invitación restringida</w:t>
      </w:r>
      <w:r>
        <w:rPr>
          <w:rFonts w:ascii="Palatino Linotype" w:eastAsia="Times New Roman" w:hAnsi="Palatino Linotype" w:cs="Arial"/>
          <w:b/>
          <w:bCs/>
          <w:i/>
          <w:iCs/>
          <w:lang w:val="es-ES"/>
        </w:rPr>
        <w:t>.</w:t>
      </w:r>
    </w:p>
    <w:p w:rsidR="0073515E" w:rsidRDefault="0073515E" w:rsidP="0073515E">
      <w:pPr>
        <w:spacing w:after="0" w:line="240" w:lineRule="auto"/>
        <w:ind w:left="567" w:right="567"/>
        <w:jc w:val="both"/>
        <w:rPr>
          <w:rFonts w:ascii="Palatino Linotype" w:eastAsia="Times New Roman" w:hAnsi="Palatino Linotype" w:cs="Arial"/>
          <w:sz w:val="19"/>
          <w:szCs w:val="19"/>
          <w:lang w:val="es-ES"/>
        </w:rPr>
      </w:pPr>
      <w:r>
        <w:rPr>
          <w:rFonts w:ascii="Palatino Linotype" w:eastAsia="Times New Roman" w:hAnsi="Palatino Linotype" w:cs="Arial"/>
          <w:b/>
          <w:bCs/>
          <w:i/>
          <w:iCs/>
          <w:lang w:val="es-ES"/>
        </w:rPr>
        <w:t>II. </w:t>
      </w:r>
      <w:r>
        <w:rPr>
          <w:rFonts w:ascii="Palatino Linotype" w:eastAsia="Times New Roman" w:hAnsi="Palatino Linotype" w:cs="Arial"/>
          <w:b/>
          <w:bCs/>
          <w:i/>
          <w:iCs/>
          <w:u w:val="single"/>
          <w:lang w:val="es-ES"/>
        </w:rPr>
        <w:t>Adjudicación directa</w:t>
      </w:r>
      <w:r>
        <w:rPr>
          <w:rFonts w:ascii="Palatino Linotype" w:eastAsia="Times New Roman" w:hAnsi="Palatino Linotype" w:cs="Arial"/>
          <w:i/>
          <w:iCs/>
          <w:lang w:val="es-ES"/>
        </w:rPr>
        <w:t>.</w:t>
      </w:r>
    </w:p>
    <w:p w:rsidR="0073515E" w:rsidRDefault="0073515E" w:rsidP="0073515E">
      <w:pPr>
        <w:spacing w:after="0" w:line="240" w:lineRule="auto"/>
        <w:ind w:left="567" w:right="567"/>
        <w:jc w:val="both"/>
        <w:rPr>
          <w:rFonts w:ascii="Palatino Linotype" w:eastAsia="Times New Roman" w:hAnsi="Palatino Linotype" w:cs="Arial"/>
          <w:b/>
          <w:bCs/>
          <w:i/>
          <w:iCs/>
          <w:lang w:val="es-ES"/>
        </w:rPr>
      </w:pPr>
    </w:p>
    <w:p w:rsidR="0073515E" w:rsidRDefault="0073515E" w:rsidP="0073515E">
      <w:pPr>
        <w:spacing w:after="0" w:line="240" w:lineRule="auto"/>
        <w:ind w:left="567" w:right="567"/>
        <w:jc w:val="both"/>
        <w:rPr>
          <w:rFonts w:ascii="Palatino Linotype" w:eastAsia="Times New Roman" w:hAnsi="Palatino Linotype" w:cs="Arial"/>
          <w:b/>
          <w:sz w:val="19"/>
          <w:szCs w:val="19"/>
          <w:lang w:val="es-ES"/>
        </w:rPr>
      </w:pPr>
      <w:r>
        <w:rPr>
          <w:rFonts w:ascii="Palatino Linotype" w:eastAsia="Times New Roman" w:hAnsi="Palatino Linotype" w:cs="Arial"/>
          <w:b/>
          <w:bCs/>
          <w:i/>
          <w:iCs/>
          <w:lang w:val="es-ES"/>
        </w:rPr>
        <w:t>Artículo 39</w:t>
      </w:r>
      <w:r>
        <w:rPr>
          <w:rFonts w:ascii="Palatino Linotype" w:eastAsia="Times New Roman" w:hAnsi="Palatino Linotype" w:cs="Arial"/>
          <w:i/>
          <w:iCs/>
          <w:lang w:val="es-ES"/>
        </w:rPr>
        <w:t>.- </w:t>
      </w:r>
      <w:r>
        <w:rPr>
          <w:rFonts w:ascii="Palatino Linotype" w:eastAsia="Times New Roman" w:hAnsi="Palatino Linotype" w:cs="Arial"/>
          <w:b/>
          <w:bCs/>
          <w:i/>
          <w:iCs/>
          <w:u w:val="single"/>
          <w:lang w:val="es-ES"/>
        </w:rPr>
        <w:t>Para cada uno de los actos del procedimiento adquisitivo se levantará el acta respectiva</w:t>
      </w:r>
      <w:r>
        <w:rPr>
          <w:rFonts w:ascii="Palatino Linotype" w:eastAsia="Times New Roman" w:hAnsi="Palatino Linotype" w:cs="Arial"/>
          <w:i/>
          <w:iCs/>
          <w:lang w:val="es-ES"/>
        </w:rPr>
        <w:t>, la cual será firmada por los participantes, sin que la falta de firma de alguno de ellos invalide su contenido y efectos.</w:t>
      </w:r>
      <w:r>
        <w:rPr>
          <w:rFonts w:ascii="Palatino Linotype" w:eastAsia="Times New Roman" w:hAnsi="Palatino Linotype" w:cs="Arial"/>
          <w:b/>
          <w:i/>
          <w:iCs/>
          <w:lang w:val="es-ES"/>
        </w:rPr>
        <w:t>”</w:t>
      </w:r>
    </w:p>
    <w:p w:rsidR="0073515E" w:rsidRDefault="0073515E" w:rsidP="0073515E">
      <w:pPr>
        <w:spacing w:after="0" w:line="240" w:lineRule="auto"/>
        <w:ind w:left="567" w:right="567"/>
        <w:jc w:val="both"/>
        <w:rPr>
          <w:rFonts w:ascii="Palatino Linotype" w:eastAsia="Times New Roman" w:hAnsi="Palatino Linotype" w:cs="Arial"/>
          <w:b/>
          <w:bCs/>
          <w:i/>
          <w:iCs/>
          <w:lang w:val="es-ES"/>
        </w:rPr>
      </w:pPr>
    </w:p>
    <w:p w:rsidR="0073515E" w:rsidRDefault="0073515E" w:rsidP="0073515E">
      <w:pPr>
        <w:spacing w:after="0" w:line="240" w:lineRule="auto"/>
        <w:ind w:left="567" w:right="567"/>
        <w:jc w:val="both"/>
        <w:rPr>
          <w:rFonts w:ascii="Palatino Linotype" w:eastAsia="Times New Roman" w:hAnsi="Palatino Linotype" w:cs="Arial"/>
          <w:b/>
          <w:i/>
          <w:szCs w:val="24"/>
          <w:u w:val="single"/>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rsidR="0073515E" w:rsidRDefault="0073515E" w:rsidP="0073515E">
      <w:pPr>
        <w:spacing w:after="0" w:line="360" w:lineRule="auto"/>
        <w:jc w:val="both"/>
        <w:rPr>
          <w:rFonts w:ascii="Palatino Linotype" w:eastAsia="Times New Roman" w:hAnsi="Palatino Linotype" w:cs="Arial"/>
          <w:sz w:val="24"/>
          <w:szCs w:val="24"/>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rsidR="0073515E" w:rsidRDefault="0073515E" w:rsidP="0073515E">
      <w:pPr>
        <w:spacing w:after="0" w:line="360" w:lineRule="auto"/>
        <w:jc w:val="both"/>
        <w:rPr>
          <w:rFonts w:ascii="Palatino Linotype" w:eastAsia="Times New Roman" w:hAnsi="Palatino Linotype" w:cs="Arial"/>
          <w:sz w:val="24"/>
          <w:szCs w:val="24"/>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Por lo que, en las licitaciones se debe seguir el procedimiento marcado en el artículo 35 del precitado ordenamiento, que literalmente establece:</w:t>
      </w:r>
    </w:p>
    <w:p w:rsidR="0073515E" w:rsidRDefault="0073515E" w:rsidP="0073515E">
      <w:pPr>
        <w:spacing w:after="0" w:line="240" w:lineRule="auto"/>
        <w:jc w:val="both"/>
        <w:rPr>
          <w:rFonts w:ascii="Palatino Linotype" w:eastAsia="Times New Roman" w:hAnsi="Palatino Linotype" w:cs="Arial"/>
          <w:sz w:val="24"/>
          <w:szCs w:val="24"/>
          <w:lang w:val="es-ES"/>
        </w:rPr>
      </w:pP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“Artículo 35</w:t>
      </w:r>
      <w:r>
        <w:rPr>
          <w:rFonts w:ascii="Palatino Linotype" w:eastAsia="Times New Roman" w:hAnsi="Palatino Linotype" w:cs="Arial"/>
          <w:i/>
          <w:szCs w:val="24"/>
          <w:lang w:val="es-ES"/>
        </w:rPr>
        <w:t>.- En los procedimientos de licitación pública se observará lo siguiente:</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I. El acto de presentación y apertura de propuestas se llevará a cabo por el servidor público que designe la convocante, conforme al procedimiento que se establezca en el reglamento de esta Ley.</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lastRenderedPageBreak/>
        <w:t>II. El comité de adquisiciones y servicios evaluará y analizará las propuestas técnicas y económicas presentadas por los licitantes en el ámbito de las respectivas competencias de sus integrantes, y emitirá el dictamen de adjudicación.</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IV. Las convocantes podrán modificar los plazos y términos establecidos en la convocatoria o en las bases de licitación, hasta cinco días hábiles anteriores a la fecha de la celebración del acto de presentación y apertura de propuestas.</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 xml:space="preserve">V. Las modificaciones no podrán limitar el número de licitantes, sustituir o variar sustancialmente los bienes o servicios convocados originalmente, ni adicionar </w:t>
      </w:r>
      <w:proofErr w:type="gramStart"/>
      <w:r>
        <w:rPr>
          <w:rFonts w:ascii="Palatino Linotype" w:eastAsia="Times New Roman" w:hAnsi="Palatino Linotype" w:cs="Arial"/>
          <w:i/>
          <w:szCs w:val="24"/>
          <w:lang w:val="es-ES"/>
        </w:rPr>
        <w:t>otros  distintos</w:t>
      </w:r>
      <w:proofErr w:type="gramEnd"/>
      <w:r>
        <w:rPr>
          <w:rFonts w:ascii="Palatino Linotype" w:eastAsia="Times New Roman" w:hAnsi="Palatino Linotype" w:cs="Arial"/>
          <w:i/>
          <w:szCs w:val="24"/>
          <w:lang w:val="es-ES"/>
        </w:rPr>
        <w:t>.</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VI. Las modificaciones a la convocatoria o a las bases se harán del conocimiento de los interesados hasta tres días hábiles antes de la fecha señalada para el acto de presentación y apertura de propuestas.</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VII. Se emitirá el fallo dentro de los 15 días hábiles siguientes a la publicación de la convocatoria.</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VIII. Los licitantes se podrán registrar hasta el día y la hora fijados para el acto de presentación y apertura de propuestas.</w:t>
      </w:r>
      <w:r>
        <w:rPr>
          <w:rFonts w:ascii="Palatino Linotype" w:eastAsia="Times New Roman" w:hAnsi="Palatino Linotype" w:cs="Arial"/>
          <w:b/>
          <w:i/>
          <w:szCs w:val="24"/>
          <w:lang w:val="es-ES"/>
        </w:rPr>
        <w:t>”</w:t>
      </w:r>
    </w:p>
    <w:p w:rsidR="0073515E" w:rsidRDefault="0073515E" w:rsidP="0073515E">
      <w:pPr>
        <w:spacing w:after="0" w:line="240" w:lineRule="auto"/>
        <w:ind w:left="567" w:right="567"/>
        <w:jc w:val="right"/>
        <w:rPr>
          <w:rFonts w:ascii="Palatino Linotype" w:eastAsia="Times New Roman" w:hAnsi="Palatino Linotype" w:cs="Arial"/>
          <w:i/>
          <w:szCs w:val="24"/>
          <w:lang w:val="es-ES"/>
        </w:rPr>
      </w:pPr>
      <w:r>
        <w:rPr>
          <w:rFonts w:ascii="Palatino Linotype" w:eastAsia="Times New Roman" w:hAnsi="Palatino Linotype" w:cs="Arial"/>
          <w:i/>
          <w:szCs w:val="24"/>
          <w:lang w:val="es-ES"/>
        </w:rPr>
        <w:t>(Énfasis añadido)</w:t>
      </w:r>
    </w:p>
    <w:p w:rsidR="0073515E" w:rsidRDefault="0073515E" w:rsidP="0073515E">
      <w:pPr>
        <w:spacing w:after="0" w:line="240" w:lineRule="auto"/>
        <w:ind w:left="851" w:right="902"/>
        <w:jc w:val="both"/>
        <w:rPr>
          <w:rFonts w:ascii="Palatino Linotype" w:eastAsia="Times New Roman" w:hAnsi="Palatino Linotype" w:cs="Arial"/>
          <w:sz w:val="24"/>
          <w:szCs w:val="24"/>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rsidR="0073515E" w:rsidRDefault="0073515E" w:rsidP="0073515E">
      <w:pPr>
        <w:spacing w:after="0" w:line="360" w:lineRule="auto"/>
        <w:jc w:val="both"/>
        <w:rPr>
          <w:rFonts w:ascii="Palatino Linotype" w:eastAsia="Times New Roman" w:hAnsi="Palatino Linotype" w:cs="Arial"/>
          <w:sz w:val="24"/>
          <w:szCs w:val="24"/>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Además, respecto al dictamen y el fallo de la adjudicación, es de señalar que la Ley en mención indica lo siguiente:</w:t>
      </w:r>
    </w:p>
    <w:p w:rsidR="0073515E" w:rsidRDefault="0073515E" w:rsidP="0073515E">
      <w:pPr>
        <w:spacing w:after="0" w:line="240" w:lineRule="auto"/>
        <w:jc w:val="both"/>
        <w:rPr>
          <w:rFonts w:ascii="Palatino Linotype" w:eastAsia="Times New Roman" w:hAnsi="Palatino Linotype" w:cs="Arial"/>
          <w:sz w:val="24"/>
          <w:szCs w:val="24"/>
          <w:lang w:val="es-ES"/>
        </w:rPr>
      </w:pP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“Artículo 37.-</w:t>
      </w:r>
      <w:r>
        <w:rPr>
          <w:rFonts w:ascii="Palatino Linotype" w:eastAsia="Times New Roman" w:hAnsi="Palatino Linotype" w:cs="Arial"/>
          <w:i/>
          <w:szCs w:val="24"/>
          <w:lang w:val="es-ES"/>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w:t>
      </w:r>
      <w:r>
        <w:rPr>
          <w:rFonts w:ascii="Palatino Linotype" w:eastAsia="Times New Roman" w:hAnsi="Palatino Linotype" w:cs="Arial"/>
          <w:i/>
          <w:szCs w:val="24"/>
          <w:lang w:val="es-ES"/>
        </w:rPr>
        <w:lastRenderedPageBreak/>
        <w:t>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rsidR="0073515E" w:rsidRDefault="0073515E" w:rsidP="0073515E">
      <w:pPr>
        <w:spacing w:after="0" w:line="240" w:lineRule="auto"/>
        <w:ind w:left="567" w:right="567"/>
        <w:jc w:val="both"/>
        <w:rPr>
          <w:rFonts w:ascii="Palatino Linotype" w:eastAsia="Times New Roman" w:hAnsi="Palatino Linotype" w:cs="Arial"/>
          <w:b/>
          <w:i/>
          <w:szCs w:val="24"/>
          <w:lang w:val="es-ES"/>
        </w:rPr>
      </w:pP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Artículo 38.-</w:t>
      </w:r>
      <w:r>
        <w:rPr>
          <w:rFonts w:ascii="Palatino Linotype" w:eastAsia="Times New Roman" w:hAnsi="Palatino Linotype" w:cs="Arial"/>
          <w:i/>
          <w:szCs w:val="24"/>
          <w:lang w:val="es-ES"/>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Pr>
          <w:rFonts w:ascii="Palatino Linotype" w:eastAsia="Times New Roman" w:hAnsi="Palatino Linotype" w:cs="Arial"/>
          <w:b/>
          <w:i/>
          <w:szCs w:val="24"/>
          <w:lang w:val="es-ES"/>
        </w:rPr>
        <w:t>”</w:t>
      </w:r>
      <w:r>
        <w:rPr>
          <w:rFonts w:ascii="Palatino Linotype" w:eastAsia="Times New Roman" w:hAnsi="Palatino Linotype" w:cs="Arial"/>
          <w:i/>
          <w:szCs w:val="24"/>
          <w:lang w:val="es-ES"/>
        </w:rPr>
        <w:t xml:space="preserve"> </w:t>
      </w:r>
    </w:p>
    <w:p w:rsidR="0073515E" w:rsidRPr="002A0794" w:rsidRDefault="0073515E" w:rsidP="0073515E">
      <w:pPr>
        <w:spacing w:after="0" w:line="240" w:lineRule="auto"/>
        <w:ind w:left="851" w:right="902"/>
        <w:jc w:val="both"/>
        <w:rPr>
          <w:rFonts w:ascii="Palatino Linotype" w:eastAsia="Times New Roman" w:hAnsi="Palatino Linotype" w:cs="Arial"/>
          <w:i/>
          <w:sz w:val="24"/>
          <w:szCs w:val="28"/>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Además, es oportuno señalar que, las disposiciones respecto a las bases, dictámenes, fallos y fianzas, se realizan con similitud al procedimiento de licitación pública, tal como lo señalan los artículos 46 y 90 de la misma Ley, que literalmente establecen:</w:t>
      </w:r>
    </w:p>
    <w:p w:rsidR="0073515E" w:rsidRDefault="0073515E" w:rsidP="0073515E">
      <w:pPr>
        <w:spacing w:after="0" w:line="360" w:lineRule="auto"/>
        <w:jc w:val="both"/>
        <w:rPr>
          <w:rFonts w:ascii="Palatino Linotype" w:eastAsia="Times New Roman" w:hAnsi="Palatino Linotype" w:cs="Arial"/>
          <w:sz w:val="24"/>
          <w:szCs w:val="24"/>
          <w:lang w:val="es-ES"/>
        </w:rPr>
      </w:pP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“Artículo 46.-</w:t>
      </w:r>
      <w:r>
        <w:rPr>
          <w:rFonts w:ascii="Palatino Linotype" w:eastAsia="Times New Roman" w:hAnsi="Palatino Linotype" w:cs="Arial"/>
          <w:i/>
          <w:szCs w:val="24"/>
          <w:lang w:val="es-ES"/>
        </w:rPr>
        <w:t xml:space="preserve"> El procedimiento de invitación restringida se desarrollará en los términos de la licitación pública, a excepción de la publicación de la convocatoria.” (Sic)</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Por ello, el Reglamento de la Ley en comento, en su artículo 90, indica cuales lo son los supuestos que deberán observarse para llevar a cabo dicho procedimiento:</w:t>
      </w:r>
    </w:p>
    <w:p w:rsidR="0073515E" w:rsidRDefault="0073515E" w:rsidP="0073515E">
      <w:pPr>
        <w:spacing w:after="0" w:line="240" w:lineRule="auto"/>
        <w:ind w:left="567" w:right="567"/>
        <w:jc w:val="both"/>
        <w:rPr>
          <w:rFonts w:ascii="Palatino Linotype" w:eastAsia="Times New Roman" w:hAnsi="Palatino Linotype" w:cs="Arial"/>
          <w:b/>
          <w:i/>
          <w:szCs w:val="24"/>
          <w:lang w:val="es-ES"/>
        </w:rPr>
      </w:pP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Artículo 90.-</w:t>
      </w:r>
      <w:r>
        <w:rPr>
          <w:rFonts w:ascii="Palatino Linotype" w:eastAsia="Times New Roman" w:hAnsi="Palatino Linotype" w:cs="Arial"/>
          <w:i/>
          <w:szCs w:val="24"/>
          <w:lang w:val="es-ES"/>
        </w:rPr>
        <w:t xml:space="preserve"> En el procedimiento de invitación restringida se deberá observar lo siguiente:</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I. Se invitará a un mínimo de tres personas seleccionadas de entre las que se encuentren inscritas en el catálogo de proveedores y de prestadores de servicios.</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lastRenderedPageBreak/>
        <w:t>Se podrá invitar a personas que no se encuentren inscritas, cuando en el giro correspondiente del catálogo de proveedores y prestadores de servicios no exista el registro mínimo de personas requeridas para tal modalidad;</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II. Las bases de la invitación restringida indicarán los aspectos de la adquisición o contratación; y</w:t>
      </w:r>
    </w:p>
    <w:p w:rsidR="0073515E" w:rsidRDefault="0073515E" w:rsidP="0073515E">
      <w:pPr>
        <w:spacing w:after="0" w:line="240" w:lineRule="auto"/>
        <w:ind w:left="567" w:right="567"/>
        <w:jc w:val="both"/>
        <w:rPr>
          <w:rFonts w:ascii="Palatino Linotype" w:eastAsia="Times New Roman" w:hAnsi="Palatino Linotype" w:cs="Arial"/>
          <w:b/>
          <w:i/>
          <w:szCs w:val="24"/>
          <w:lang w:val="es-ES"/>
        </w:rPr>
      </w:pPr>
      <w:r>
        <w:rPr>
          <w:rFonts w:ascii="Palatino Linotype" w:eastAsia="Times New Roman" w:hAnsi="Palatino Linotype" w:cs="Arial"/>
          <w:i/>
          <w:szCs w:val="24"/>
          <w:lang w:val="es-ES"/>
        </w:rPr>
        <w:t>III. Serán aplicables, en lo conducente, las disposiciones de la licitación pública.</w:t>
      </w:r>
      <w:r>
        <w:rPr>
          <w:rFonts w:ascii="Palatino Linotype" w:eastAsia="Times New Roman" w:hAnsi="Palatino Linotype" w:cs="Arial"/>
          <w:b/>
          <w:i/>
          <w:szCs w:val="24"/>
          <w:lang w:val="es-ES"/>
        </w:rPr>
        <w:t>”</w:t>
      </w:r>
    </w:p>
    <w:p w:rsidR="0073515E" w:rsidRDefault="0073515E" w:rsidP="0073515E">
      <w:pPr>
        <w:spacing w:after="0" w:line="240" w:lineRule="auto"/>
        <w:ind w:left="709" w:right="760"/>
        <w:jc w:val="both"/>
        <w:rPr>
          <w:rFonts w:ascii="Palatino Linotype" w:eastAsia="Times New Roman" w:hAnsi="Palatino Linotype" w:cs="Arial"/>
          <w:i/>
          <w:szCs w:val="24"/>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rsidR="0073515E" w:rsidRDefault="0073515E" w:rsidP="0073515E">
      <w:pPr>
        <w:spacing w:after="0" w:line="360" w:lineRule="auto"/>
        <w:jc w:val="both"/>
        <w:rPr>
          <w:rFonts w:ascii="Palatino Linotype" w:eastAsia="Times New Roman" w:hAnsi="Palatino Linotype" w:cs="Arial"/>
          <w:sz w:val="24"/>
          <w:szCs w:val="24"/>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Por último, y en cuanto hace a la adjudicación directa, el artículo 48 de la Ley de la Contratación Pública del Estado de México y Municipios y 91 del Reglamento de dicha Ley, indican en qué supuestos puede llevarse a cabo este procedimiento.</w:t>
      </w:r>
    </w:p>
    <w:p w:rsidR="0073515E" w:rsidRDefault="0073515E" w:rsidP="0073515E">
      <w:pPr>
        <w:spacing w:after="0" w:line="360" w:lineRule="auto"/>
        <w:jc w:val="both"/>
        <w:rPr>
          <w:rFonts w:ascii="Palatino Linotype" w:eastAsia="Times New Roman" w:hAnsi="Palatino Linotype" w:cs="Arial"/>
          <w:sz w:val="24"/>
          <w:szCs w:val="24"/>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rsidR="0073515E" w:rsidRDefault="0073515E" w:rsidP="0073515E">
      <w:pPr>
        <w:spacing w:after="0" w:line="360" w:lineRule="auto"/>
        <w:jc w:val="both"/>
        <w:rPr>
          <w:rFonts w:ascii="Palatino Linotype" w:eastAsia="Times New Roman" w:hAnsi="Palatino Linotype" w:cs="Arial"/>
          <w:sz w:val="24"/>
          <w:szCs w:val="24"/>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 xml:space="preserve">Además, el artículo 94 del referido Reglamento, detalla el procedimiento que se llevará a cabo en la adjudicación directa, de la siguiente manera: </w:t>
      </w:r>
    </w:p>
    <w:p w:rsidR="0073515E" w:rsidRDefault="0073515E" w:rsidP="0073515E">
      <w:pPr>
        <w:spacing w:after="0" w:line="240" w:lineRule="auto"/>
        <w:jc w:val="both"/>
        <w:rPr>
          <w:rFonts w:ascii="Palatino Linotype" w:eastAsia="Times New Roman" w:hAnsi="Palatino Linotype" w:cs="Arial"/>
          <w:sz w:val="24"/>
          <w:szCs w:val="24"/>
          <w:lang w:val="es-ES"/>
        </w:rPr>
      </w:pPr>
    </w:p>
    <w:p w:rsidR="0073515E" w:rsidRPr="00F9074C" w:rsidRDefault="0073515E" w:rsidP="0073515E">
      <w:pPr>
        <w:spacing w:after="0" w:line="240" w:lineRule="auto"/>
        <w:ind w:left="567" w:right="567"/>
        <w:jc w:val="both"/>
        <w:rPr>
          <w:rFonts w:ascii="Palatino Linotype" w:eastAsia="Times New Roman" w:hAnsi="Palatino Linotype" w:cs="Arial"/>
          <w:b/>
          <w:i/>
          <w:szCs w:val="24"/>
          <w:lang w:val="es-ES"/>
        </w:rPr>
      </w:pPr>
      <w:r>
        <w:rPr>
          <w:rFonts w:ascii="Palatino Linotype" w:eastAsia="Times New Roman" w:hAnsi="Palatino Linotype" w:cs="Arial"/>
          <w:b/>
          <w:i/>
          <w:szCs w:val="24"/>
          <w:lang w:val="es-ES"/>
        </w:rPr>
        <w:t xml:space="preserve">“Artículo 94.- </w:t>
      </w:r>
      <w:r w:rsidRPr="00F9074C">
        <w:rPr>
          <w:rFonts w:ascii="Palatino Linotype" w:eastAsia="Times New Roman" w:hAnsi="Palatino Linotype" w:cs="Arial"/>
          <w:b/>
          <w:i/>
          <w:szCs w:val="24"/>
          <w:lang w:val="es-ES"/>
        </w:rPr>
        <w:t xml:space="preserve">En el procedimiento de adjudicación directa se observará lo siguiente: </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I.</w:t>
      </w:r>
      <w:r>
        <w:rPr>
          <w:rFonts w:ascii="Palatino Linotype" w:eastAsia="Times New Roman" w:hAnsi="Palatino Linotype" w:cs="Arial"/>
          <w:i/>
          <w:szCs w:val="24"/>
          <w:lang w:val="es-ES"/>
        </w:rPr>
        <w:t xml:space="preserve"> Las adquisiciones de bienes y la contratación de servicios, se efectuaran previa </w:t>
      </w:r>
      <w:proofErr w:type="spellStart"/>
      <w:r>
        <w:rPr>
          <w:rFonts w:ascii="Palatino Linotype" w:eastAsia="Times New Roman" w:hAnsi="Palatino Linotype" w:cs="Arial"/>
          <w:i/>
          <w:szCs w:val="24"/>
          <w:lang w:val="es-ES"/>
        </w:rPr>
        <w:t>dictaminación</w:t>
      </w:r>
      <w:proofErr w:type="spellEnd"/>
      <w:r>
        <w:rPr>
          <w:rFonts w:ascii="Palatino Linotype" w:eastAsia="Times New Roman" w:hAnsi="Palatino Linotype" w:cs="Arial"/>
          <w:i/>
          <w:szCs w:val="24"/>
          <w:lang w:val="es-ES"/>
        </w:rPr>
        <w:t xml:space="preserve"> del comité, a excepción de los casos previstos en las fracciones IV, VII, IX y </w:t>
      </w:r>
      <w:r>
        <w:rPr>
          <w:rFonts w:ascii="Palatino Linotype" w:eastAsia="Times New Roman" w:hAnsi="Palatino Linotype" w:cs="Arial"/>
          <w:i/>
          <w:szCs w:val="24"/>
          <w:lang w:val="es-ES"/>
        </w:rPr>
        <w:lastRenderedPageBreak/>
        <w:t>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II.</w:t>
      </w:r>
      <w:r>
        <w:rPr>
          <w:rFonts w:ascii="Palatino Linotype" w:eastAsia="Times New Roman" w:hAnsi="Palatino Linotype" w:cs="Arial"/>
          <w:i/>
          <w:szCs w:val="24"/>
          <w:lang w:val="es-ES"/>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III.</w:t>
      </w:r>
      <w:r>
        <w:rPr>
          <w:rFonts w:ascii="Palatino Linotype" w:eastAsia="Times New Roman" w:hAnsi="Palatino Linotype" w:cs="Arial"/>
          <w:i/>
          <w:szCs w:val="24"/>
          <w:lang w:val="es-ES"/>
        </w:rPr>
        <w:t xml:space="preserve"> La solicitud de participación contendrá, como mínimo, la descripción y cantidad de los bienes o servicios requeridos, lugar, plazo de entrega o duración del servicio y forma de pago;</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IV.</w:t>
      </w:r>
      <w:r>
        <w:rPr>
          <w:rFonts w:ascii="Palatino Linotype" w:eastAsia="Times New Roman" w:hAnsi="Palatino Linotype" w:cs="Arial"/>
          <w:i/>
          <w:szCs w:val="24"/>
          <w:lang w:val="es-ES"/>
        </w:rPr>
        <w:t xml:space="preserve"> La solicitud de participación deberá señalar el día, hora y lugar en que tendrá verificativo el acto de presentación y apertura de ofertas;</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V.</w:t>
      </w:r>
      <w:r>
        <w:rPr>
          <w:rFonts w:ascii="Palatino Linotype" w:eastAsia="Times New Roman" w:hAnsi="Palatino Linotype" w:cs="Arial"/>
          <w:i/>
          <w:szCs w:val="24"/>
          <w:lang w:val="es-ES"/>
        </w:rPr>
        <w:t xml:space="preserve"> Atendiendo a la naturaleza de los bienes o servicios, la convocante podrá optar entre celebrar o no junta de aclaraciones, en términos de lo dispuesto por este Reglamento;</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VI.</w:t>
      </w:r>
      <w:r>
        <w:rPr>
          <w:rFonts w:ascii="Palatino Linotype" w:eastAsia="Times New Roman" w:hAnsi="Palatino Linotype" w:cs="Arial"/>
          <w:i/>
          <w:szCs w:val="24"/>
          <w:lang w:val="es-ES"/>
        </w:rPr>
        <w:t xml:space="preserve"> El servidor público designado por la convocante será el responsable de llevar a cabo el acto de presentación y apertura de propuestas;</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VII.</w:t>
      </w:r>
      <w:r>
        <w:rPr>
          <w:rFonts w:ascii="Palatino Linotype" w:eastAsia="Times New Roman" w:hAnsi="Palatino Linotype" w:cs="Arial"/>
          <w:i/>
          <w:szCs w:val="24"/>
          <w:lang w:val="es-ES"/>
        </w:rPr>
        <w:t xml:space="preserve"> Se observarán, en lo conducente, las disposiciones relativas a la contraoferta; y</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b/>
          <w:i/>
          <w:szCs w:val="24"/>
          <w:lang w:val="es-ES"/>
        </w:rPr>
        <w:t>VIII.</w:t>
      </w:r>
      <w:r>
        <w:rPr>
          <w:rFonts w:ascii="Palatino Linotype" w:eastAsia="Times New Roman" w:hAnsi="Palatino Linotype" w:cs="Arial"/>
          <w:i/>
          <w:szCs w:val="24"/>
          <w:lang w:val="es-ES"/>
        </w:rPr>
        <w:t xml:space="preserve"> El comité será responsable de emitir el dictamen de adjudicación que servirá de base para el fallo de adjudicación; correspondiendo a la convocante emitir dicho fallo, quien lo hará del conocimiento de los licitantes.</w:t>
      </w:r>
      <w:r>
        <w:rPr>
          <w:rFonts w:ascii="Palatino Linotype" w:eastAsia="Times New Roman" w:hAnsi="Palatino Linotype" w:cs="Arial"/>
          <w:b/>
          <w:i/>
          <w:szCs w:val="24"/>
          <w:lang w:val="es-ES"/>
        </w:rPr>
        <w:t>”</w:t>
      </w:r>
      <w:r>
        <w:rPr>
          <w:rFonts w:ascii="Palatino Linotype" w:eastAsia="Times New Roman" w:hAnsi="Palatino Linotype" w:cs="Arial"/>
          <w:i/>
          <w:szCs w:val="24"/>
          <w:lang w:val="es-ES"/>
        </w:rPr>
        <w:t xml:space="preserve"> </w:t>
      </w:r>
    </w:p>
    <w:p w:rsidR="0073515E" w:rsidRDefault="0073515E" w:rsidP="0073515E">
      <w:pPr>
        <w:spacing w:after="0" w:line="240" w:lineRule="auto"/>
        <w:ind w:left="567" w:right="567"/>
        <w:jc w:val="both"/>
        <w:rPr>
          <w:rFonts w:ascii="Palatino Linotype" w:eastAsia="Times New Roman" w:hAnsi="Palatino Linotype" w:cs="Arial"/>
          <w:i/>
          <w:szCs w:val="24"/>
          <w:lang w:val="es-ES"/>
        </w:rPr>
      </w:pPr>
      <w:r>
        <w:rPr>
          <w:rFonts w:ascii="Palatino Linotype" w:eastAsia="Times New Roman" w:hAnsi="Palatino Linotype" w:cs="Arial"/>
          <w:i/>
          <w:szCs w:val="24"/>
          <w:lang w:val="es-ES"/>
        </w:rPr>
        <w:t>(Énfasis añadido)</w:t>
      </w:r>
    </w:p>
    <w:p w:rsidR="0073515E" w:rsidRPr="002A0794" w:rsidRDefault="0073515E" w:rsidP="0073515E">
      <w:pPr>
        <w:spacing w:after="0" w:line="240" w:lineRule="auto"/>
        <w:ind w:left="851" w:right="851"/>
        <w:jc w:val="both"/>
        <w:rPr>
          <w:rFonts w:ascii="Palatino Linotype" w:eastAsia="Times New Roman" w:hAnsi="Palatino Linotype" w:cs="Arial"/>
          <w:i/>
          <w:sz w:val="24"/>
          <w:szCs w:val="28"/>
          <w:lang w:val="es-ES"/>
        </w:rPr>
      </w:pPr>
    </w:p>
    <w:p w:rsidR="0073515E" w:rsidRDefault="00EF7B98" w:rsidP="00EF7B98">
      <w:pPr>
        <w:spacing w:after="0" w:line="360" w:lineRule="auto"/>
        <w:ind w:right="142"/>
        <w:jc w:val="both"/>
        <w:rPr>
          <w:rFonts w:ascii="Palatino Linotype" w:eastAsia="Times New Roman" w:hAnsi="Palatino Linotype" w:cs="Arial"/>
          <w:sz w:val="24"/>
          <w:szCs w:val="24"/>
        </w:rPr>
      </w:pPr>
      <w:r w:rsidRPr="008E6824">
        <w:rPr>
          <w:rFonts w:ascii="Palatino Linotype" w:hAnsi="Palatino Linotype"/>
          <w:sz w:val="24"/>
          <w:szCs w:val="24"/>
          <w:lang w:val="es-ES" w:eastAsia="es-ES"/>
        </w:rPr>
        <w:t xml:space="preserve">Aunado a lo antes expuesto, cabe señalar que la información referida forma parte de las Obligaciones de Transparencia Comunes del </w:t>
      </w:r>
      <w:r w:rsidRPr="008E6824">
        <w:rPr>
          <w:rFonts w:ascii="Palatino Linotype" w:hAnsi="Palatino Linotype"/>
          <w:b/>
          <w:sz w:val="24"/>
          <w:szCs w:val="24"/>
          <w:lang w:val="es-ES" w:eastAsia="es-ES"/>
        </w:rPr>
        <w:t>Sujeto Obligado</w:t>
      </w:r>
      <w:r w:rsidRPr="008E6824">
        <w:rPr>
          <w:rFonts w:ascii="Palatino Linotype" w:hAnsi="Palatino Linotype"/>
          <w:sz w:val="24"/>
          <w:szCs w:val="24"/>
          <w:lang w:val="es-ES" w:eastAsia="es-ES"/>
        </w:rPr>
        <w:t xml:space="preserve">, lo que nos </w:t>
      </w:r>
      <w:r w:rsidRPr="008E6824">
        <w:rPr>
          <w:rFonts w:ascii="Palatino Linotype" w:hAnsi="Palatino Linotype"/>
          <w:sz w:val="24"/>
          <w:szCs w:val="24"/>
          <w:lang w:val="es-ES_tradnl" w:eastAsia="es-ES"/>
        </w:rPr>
        <w:t xml:space="preserve">permite traer a colación lo dispuesto por </w:t>
      </w:r>
      <w:bookmarkStart w:id="1" w:name="_Hlk115810533"/>
      <w:r w:rsidRPr="008E6824">
        <w:rPr>
          <w:rFonts w:ascii="Palatino Linotype" w:hAnsi="Palatino Linotype"/>
          <w:sz w:val="24"/>
          <w:szCs w:val="24"/>
          <w:lang w:val="es-ES_tradnl" w:eastAsia="es-ES"/>
        </w:rPr>
        <w:t>la</w:t>
      </w:r>
      <w:r>
        <w:rPr>
          <w:rFonts w:ascii="Palatino Linotype" w:hAnsi="Palatino Linotype"/>
          <w:sz w:val="24"/>
          <w:szCs w:val="24"/>
          <w:lang w:val="es-ES_tradnl" w:eastAsia="es-ES"/>
        </w:rPr>
        <w:t>s</w:t>
      </w:r>
      <w:r w:rsidRPr="008E6824">
        <w:rPr>
          <w:rFonts w:ascii="Palatino Linotype" w:hAnsi="Palatino Linotype"/>
          <w:sz w:val="24"/>
          <w:szCs w:val="24"/>
          <w:lang w:val="es-ES_tradnl" w:eastAsia="es-ES"/>
        </w:rPr>
        <w:t xml:space="preserve"> fracciones XXIX</w:t>
      </w:r>
      <w:r>
        <w:rPr>
          <w:rFonts w:ascii="Palatino Linotype" w:hAnsi="Palatino Linotype"/>
          <w:sz w:val="24"/>
          <w:szCs w:val="24"/>
          <w:lang w:val="es-ES_tradnl" w:eastAsia="es-ES"/>
        </w:rPr>
        <w:t xml:space="preserve"> y XXXII</w:t>
      </w:r>
      <w:r w:rsidRPr="008E6824">
        <w:rPr>
          <w:rFonts w:ascii="Palatino Linotype" w:hAnsi="Palatino Linotype"/>
          <w:sz w:val="24"/>
          <w:szCs w:val="24"/>
          <w:lang w:val="es-ES_tradnl" w:eastAsia="es-ES"/>
        </w:rPr>
        <w:t xml:space="preserve"> del artículo 92 de la Ley de Transparencia y Acceso a la Información Pública del Estado de México y Municipios </w:t>
      </w:r>
      <w:bookmarkEnd w:id="1"/>
      <w:r w:rsidRPr="008E6824">
        <w:rPr>
          <w:rFonts w:ascii="Palatino Linotype" w:hAnsi="Palatino Linotype"/>
          <w:sz w:val="24"/>
          <w:szCs w:val="24"/>
          <w:lang w:val="es-ES_tradnl" w:eastAsia="es-ES"/>
        </w:rPr>
        <w:t xml:space="preserve">en </w:t>
      </w:r>
      <w:r>
        <w:rPr>
          <w:rFonts w:ascii="Palatino Linotype" w:hAnsi="Palatino Linotype"/>
          <w:sz w:val="24"/>
          <w:szCs w:val="24"/>
          <w:lang w:val="es-ES_tradnl" w:eastAsia="es-ES"/>
        </w:rPr>
        <w:t>el cual</w:t>
      </w:r>
      <w:r w:rsidR="0073515E">
        <w:rPr>
          <w:rFonts w:ascii="Palatino Linotype" w:eastAsia="Times New Roman" w:hAnsi="Palatino Linotype" w:cs="Arial"/>
          <w:sz w:val="24"/>
          <w:szCs w:val="24"/>
        </w:rPr>
        <w:t>, dispone lo siguiente:</w:t>
      </w:r>
    </w:p>
    <w:p w:rsidR="0073515E" w:rsidRDefault="0073515E" w:rsidP="0073515E">
      <w:pPr>
        <w:spacing w:after="0" w:line="240" w:lineRule="auto"/>
        <w:jc w:val="both"/>
        <w:rPr>
          <w:rFonts w:ascii="Palatino Linotype" w:eastAsia="Times New Roman" w:hAnsi="Palatino Linotype" w:cs="Arial"/>
          <w:sz w:val="24"/>
          <w:szCs w:val="24"/>
        </w:rPr>
      </w:pP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“Artículo 92. </w:t>
      </w:r>
      <w:r>
        <w:rPr>
          <w:rFonts w:ascii="Palatino Linotype" w:eastAsia="Times New Roman" w:hAnsi="Palatino Linotype" w:cs="Arial"/>
          <w:i/>
          <w:iCs/>
          <w:lang w:val="es-ES"/>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i/>
          <w:iCs/>
          <w:lang w:val="es-ES"/>
        </w:rPr>
        <w:t>(…)</w:t>
      </w:r>
    </w:p>
    <w:p w:rsidR="0073515E" w:rsidRDefault="0073515E" w:rsidP="0073515E">
      <w:pPr>
        <w:spacing w:after="0" w:line="240" w:lineRule="auto"/>
        <w:ind w:left="567" w:right="567"/>
        <w:jc w:val="both"/>
        <w:rPr>
          <w:rFonts w:ascii="Palatino Linotype" w:eastAsia="Times New Roman" w:hAnsi="Palatino Linotype" w:cs="Arial"/>
          <w:b/>
          <w:bCs/>
          <w:i/>
          <w:iCs/>
          <w:lang w:val="es-ES"/>
        </w:rPr>
      </w:pP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lastRenderedPageBreak/>
        <w:t>XXIX. </w:t>
      </w:r>
      <w:r>
        <w:rPr>
          <w:rFonts w:ascii="Palatino Linotype" w:eastAsia="Times New Roman" w:hAnsi="Palatino Linotype" w:cs="Arial"/>
          <w:i/>
          <w:iCs/>
          <w:lang w:val="es-ES"/>
        </w:rPr>
        <w:t>La información sobre los procesos y resultados sobre procedimientos de adjudicación directa, invitación restringida y licitación de cualquier naturaleza, </w:t>
      </w:r>
      <w:r>
        <w:rPr>
          <w:rFonts w:ascii="Palatino Linotype" w:eastAsia="Times New Roman" w:hAnsi="Palatino Linotype" w:cs="Arial"/>
          <w:b/>
          <w:bCs/>
          <w:i/>
          <w:iCs/>
          <w:u w:val="single"/>
          <w:lang w:val="es-ES"/>
        </w:rPr>
        <w:t>incluyendo la versión pública del expediente respectivo y de los contratos</w:t>
      </w:r>
      <w:r>
        <w:rPr>
          <w:rFonts w:ascii="Palatino Linotype" w:eastAsia="Times New Roman" w:hAnsi="Palatino Linotype" w:cs="Arial"/>
          <w:i/>
          <w:iCs/>
          <w:lang w:val="es-ES"/>
        </w:rPr>
        <w:t> celebrados, que deberán contener, por los menos, lo siguiente:</w:t>
      </w:r>
    </w:p>
    <w:p w:rsidR="0073515E" w:rsidRPr="00BA6409" w:rsidRDefault="0073515E" w:rsidP="0073515E">
      <w:pPr>
        <w:spacing w:after="0" w:line="240" w:lineRule="auto"/>
        <w:ind w:left="567" w:right="567"/>
        <w:jc w:val="both"/>
        <w:rPr>
          <w:rFonts w:ascii="Palatino Linotype" w:eastAsia="Times New Roman" w:hAnsi="Palatino Linotype" w:cs="Arial"/>
          <w:b/>
          <w:u w:val="single"/>
          <w:lang w:val="es-ES"/>
        </w:rPr>
      </w:pPr>
      <w:r w:rsidRPr="00BA6409">
        <w:rPr>
          <w:rFonts w:ascii="Palatino Linotype" w:eastAsia="Times New Roman" w:hAnsi="Palatino Linotype" w:cs="Arial"/>
          <w:b/>
          <w:bCs/>
          <w:i/>
          <w:iCs/>
          <w:u w:val="single"/>
          <w:lang w:val="es-ES"/>
        </w:rPr>
        <w:t>a) </w:t>
      </w:r>
      <w:r w:rsidRPr="00BA6409">
        <w:rPr>
          <w:rFonts w:ascii="Palatino Linotype" w:eastAsia="Times New Roman" w:hAnsi="Palatino Linotype" w:cs="Arial"/>
          <w:b/>
          <w:i/>
          <w:iCs/>
          <w:u w:val="single"/>
          <w:lang w:val="es-ES"/>
        </w:rPr>
        <w:t>De licitaciones públicas o procedimientos de invitación restringida:</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1)</w:t>
      </w:r>
      <w:r>
        <w:rPr>
          <w:rFonts w:ascii="Palatino Linotype" w:eastAsia="Times New Roman" w:hAnsi="Palatino Linotype" w:cs="Arial"/>
          <w:i/>
          <w:iCs/>
          <w:lang w:val="es-ES"/>
        </w:rPr>
        <w:t> La convocatoria o invitación emitida, así como los fundamentos legales aplicados para llevarla a cabo;</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2) </w:t>
      </w:r>
      <w:r>
        <w:rPr>
          <w:rFonts w:ascii="Palatino Linotype" w:eastAsia="Times New Roman" w:hAnsi="Palatino Linotype" w:cs="Arial"/>
          <w:i/>
          <w:iCs/>
          <w:lang w:val="es-ES"/>
        </w:rPr>
        <w:t>Los nombres de los participantes o invitados;</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3)</w:t>
      </w:r>
      <w:r>
        <w:rPr>
          <w:rFonts w:ascii="Palatino Linotype" w:eastAsia="Times New Roman" w:hAnsi="Palatino Linotype" w:cs="Arial"/>
          <w:i/>
          <w:iCs/>
          <w:lang w:val="es-ES"/>
        </w:rPr>
        <w:t> El nombre del ganador y las razones que lo justifican;</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4) </w:t>
      </w:r>
      <w:r>
        <w:rPr>
          <w:rFonts w:ascii="Palatino Linotype" w:eastAsia="Times New Roman" w:hAnsi="Palatino Linotype" w:cs="Arial"/>
          <w:i/>
          <w:iCs/>
          <w:lang w:val="es-ES"/>
        </w:rPr>
        <w:t>El área solicitante y la responsable de su ejecución;</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5) </w:t>
      </w:r>
      <w:r>
        <w:rPr>
          <w:rFonts w:ascii="Palatino Linotype" w:eastAsia="Times New Roman" w:hAnsi="Palatino Linotype" w:cs="Arial"/>
          <w:i/>
          <w:iCs/>
          <w:lang w:val="es-ES"/>
        </w:rPr>
        <w:t>Las convocatorias e invitaciones emitidas;</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6)</w:t>
      </w:r>
      <w:r>
        <w:rPr>
          <w:rFonts w:ascii="Palatino Linotype" w:eastAsia="Times New Roman" w:hAnsi="Palatino Linotype" w:cs="Arial"/>
          <w:i/>
          <w:iCs/>
          <w:lang w:val="es-ES"/>
        </w:rPr>
        <w:t> Los dictámenes y fallo de adjudicación;</w:t>
      </w:r>
    </w:p>
    <w:p w:rsidR="0073515E" w:rsidRDefault="0073515E" w:rsidP="0073515E">
      <w:pPr>
        <w:spacing w:after="0" w:line="240" w:lineRule="auto"/>
        <w:ind w:left="567" w:right="567"/>
        <w:jc w:val="both"/>
        <w:rPr>
          <w:rFonts w:ascii="Palatino Linotype" w:eastAsia="Times New Roman" w:hAnsi="Palatino Linotype" w:cs="Arial"/>
          <w:lang w:val="es-ES"/>
        </w:rPr>
      </w:pPr>
      <w:r w:rsidRPr="003D6AE8">
        <w:rPr>
          <w:rFonts w:ascii="Palatino Linotype" w:eastAsia="Times New Roman" w:hAnsi="Palatino Linotype" w:cs="Arial"/>
          <w:b/>
          <w:bCs/>
          <w:i/>
          <w:iCs/>
          <w:u w:val="single"/>
          <w:lang w:val="es-ES"/>
        </w:rPr>
        <w:t>7) El contrato y, en su caso, sus anexos</w:t>
      </w:r>
      <w:r>
        <w:rPr>
          <w:rFonts w:ascii="Palatino Linotype" w:eastAsia="Times New Roman" w:hAnsi="Palatino Linotype" w:cs="Arial"/>
          <w:bCs/>
          <w:i/>
          <w:iCs/>
          <w:lang w:val="es-ES"/>
        </w:rPr>
        <w:t>;</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8) </w:t>
      </w:r>
      <w:r>
        <w:rPr>
          <w:rFonts w:ascii="Palatino Linotype" w:eastAsia="Times New Roman" w:hAnsi="Palatino Linotype" w:cs="Arial"/>
          <w:i/>
          <w:iCs/>
          <w:lang w:val="es-ES"/>
        </w:rPr>
        <w:t>Los mecanismos de vigilancia y supervisión, incluyendo en su caso, los estudios de impacto urbano y ambiental, según corresponda;</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9) </w:t>
      </w:r>
      <w:r>
        <w:rPr>
          <w:rFonts w:ascii="Palatino Linotype" w:eastAsia="Times New Roman" w:hAnsi="Palatino Linotype" w:cs="Arial"/>
          <w:i/>
          <w:iCs/>
          <w:lang w:val="es-ES"/>
        </w:rPr>
        <w:t>La partida presupuestal, de conformidad con el clasificador por objeto del gasto, en el caso de ser aplicable;</w:t>
      </w:r>
    </w:p>
    <w:p w:rsidR="0073515E" w:rsidRDefault="0073515E" w:rsidP="0073515E">
      <w:pPr>
        <w:spacing w:after="0" w:line="240" w:lineRule="auto"/>
        <w:ind w:left="567" w:right="567"/>
        <w:jc w:val="both"/>
        <w:rPr>
          <w:rFonts w:ascii="Palatino Linotype" w:eastAsia="Times New Roman" w:hAnsi="Palatino Linotype" w:cs="Arial"/>
          <w:lang w:val="es-ES"/>
        </w:rPr>
      </w:pPr>
      <w:r w:rsidRPr="00BA6409">
        <w:rPr>
          <w:rFonts w:ascii="Palatino Linotype" w:eastAsia="Times New Roman" w:hAnsi="Palatino Linotype" w:cs="Arial"/>
          <w:b/>
          <w:bCs/>
          <w:i/>
          <w:iCs/>
          <w:lang w:val="es-ES"/>
        </w:rPr>
        <w:t>10) Origen de los recursos especificando si son federales, estatales o municipales,</w:t>
      </w:r>
      <w:r w:rsidRPr="003D6AE8">
        <w:rPr>
          <w:rFonts w:ascii="Palatino Linotype" w:eastAsia="Times New Roman" w:hAnsi="Palatino Linotype" w:cs="Arial"/>
          <w:b/>
          <w:bCs/>
          <w:i/>
          <w:iCs/>
          <w:lang w:val="es-ES"/>
        </w:rPr>
        <w:t xml:space="preserve"> </w:t>
      </w:r>
      <w:r w:rsidRPr="00647842">
        <w:rPr>
          <w:rFonts w:ascii="Palatino Linotype" w:eastAsia="Times New Roman" w:hAnsi="Palatino Linotype" w:cs="Arial"/>
          <w:i/>
          <w:iCs/>
          <w:lang w:val="es-ES"/>
        </w:rPr>
        <w:t>así como el tipo de fondo de participación o aportación respectiva</w:t>
      </w:r>
      <w:r>
        <w:rPr>
          <w:rFonts w:ascii="Palatino Linotype" w:eastAsia="Times New Roman" w:hAnsi="Palatino Linotype" w:cs="Arial"/>
          <w:i/>
          <w:iCs/>
          <w:lang w:val="es-ES"/>
        </w:rPr>
        <w:t>;</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11) </w:t>
      </w:r>
      <w:r>
        <w:rPr>
          <w:rFonts w:ascii="Palatino Linotype" w:eastAsia="Times New Roman" w:hAnsi="Palatino Linotype" w:cs="Arial"/>
          <w:i/>
          <w:iCs/>
          <w:lang w:val="es-ES"/>
        </w:rPr>
        <w:t>Los convenios modificatorios que, en su caso, sean firmados, precisando el objeto y la fecha de celebración;</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12) </w:t>
      </w:r>
      <w:r>
        <w:rPr>
          <w:rFonts w:ascii="Palatino Linotype" w:eastAsia="Times New Roman" w:hAnsi="Palatino Linotype" w:cs="Arial"/>
          <w:i/>
          <w:iCs/>
          <w:lang w:val="es-ES"/>
        </w:rPr>
        <w:t>Los informes de avance físico y financiero sobre las obras o servicios contratados;</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13) </w:t>
      </w:r>
      <w:r>
        <w:rPr>
          <w:rFonts w:ascii="Palatino Linotype" w:eastAsia="Times New Roman" w:hAnsi="Palatino Linotype" w:cs="Arial"/>
          <w:i/>
          <w:iCs/>
          <w:lang w:val="es-ES"/>
        </w:rPr>
        <w:t>El convenio de terminación; y</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14) </w:t>
      </w:r>
      <w:r w:rsidRPr="00BA6409">
        <w:rPr>
          <w:rFonts w:ascii="Palatino Linotype" w:eastAsia="Times New Roman" w:hAnsi="Palatino Linotype" w:cs="Arial"/>
          <w:b/>
          <w:i/>
          <w:iCs/>
          <w:lang w:val="es-ES"/>
        </w:rPr>
        <w:t>El finiquito.</w:t>
      </w:r>
    </w:p>
    <w:p w:rsidR="0073515E" w:rsidRPr="00BA6409" w:rsidRDefault="0073515E" w:rsidP="0073515E">
      <w:pPr>
        <w:spacing w:after="0" w:line="240" w:lineRule="auto"/>
        <w:ind w:left="567" w:right="567"/>
        <w:jc w:val="both"/>
        <w:rPr>
          <w:rFonts w:ascii="Palatino Linotype" w:eastAsia="Times New Roman" w:hAnsi="Palatino Linotype" w:cs="Arial"/>
          <w:b/>
          <w:u w:val="single"/>
          <w:lang w:val="es-ES"/>
        </w:rPr>
      </w:pPr>
      <w:r w:rsidRPr="00BA6409">
        <w:rPr>
          <w:rFonts w:ascii="Palatino Linotype" w:eastAsia="Times New Roman" w:hAnsi="Palatino Linotype" w:cs="Arial"/>
          <w:b/>
          <w:bCs/>
          <w:i/>
          <w:iCs/>
          <w:u w:val="single"/>
          <w:lang w:val="es-ES"/>
        </w:rPr>
        <w:t>b) </w:t>
      </w:r>
      <w:r w:rsidRPr="00BA6409">
        <w:rPr>
          <w:rFonts w:ascii="Palatino Linotype" w:eastAsia="Times New Roman" w:hAnsi="Palatino Linotype" w:cs="Arial"/>
          <w:b/>
          <w:i/>
          <w:iCs/>
          <w:u w:val="single"/>
          <w:lang w:val="es-ES"/>
        </w:rPr>
        <w:t>De las adjudicaciones directas:</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1) </w:t>
      </w:r>
      <w:r>
        <w:rPr>
          <w:rFonts w:ascii="Palatino Linotype" w:eastAsia="Times New Roman" w:hAnsi="Palatino Linotype" w:cs="Arial"/>
          <w:i/>
          <w:iCs/>
          <w:lang w:val="es-ES"/>
        </w:rPr>
        <w:t>La propuesta enviada por el participante;</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2) </w:t>
      </w:r>
      <w:r>
        <w:rPr>
          <w:rFonts w:ascii="Palatino Linotype" w:eastAsia="Times New Roman" w:hAnsi="Palatino Linotype" w:cs="Arial"/>
          <w:i/>
          <w:iCs/>
          <w:lang w:val="es-ES"/>
        </w:rPr>
        <w:t>Los motivos y fundamentos legales aplicados para llevarla a cabo;</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3) </w:t>
      </w:r>
      <w:r>
        <w:rPr>
          <w:rFonts w:ascii="Palatino Linotype" w:eastAsia="Times New Roman" w:hAnsi="Palatino Linotype" w:cs="Arial"/>
          <w:i/>
          <w:iCs/>
          <w:lang w:val="es-ES"/>
        </w:rPr>
        <w:t>La autorización del ejercicio de la opción;</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4) </w:t>
      </w:r>
      <w:r w:rsidRPr="00647842">
        <w:rPr>
          <w:rFonts w:ascii="Palatino Linotype" w:eastAsia="Times New Roman" w:hAnsi="Palatino Linotype" w:cs="Arial"/>
          <w:b/>
          <w:bCs/>
          <w:i/>
          <w:iCs/>
          <w:lang w:val="es-ES"/>
        </w:rPr>
        <w:t>En su caso, las cotizaciones consideradas, especificando los nombres de los proveedores y sus montos</w:t>
      </w:r>
      <w:r>
        <w:rPr>
          <w:rFonts w:ascii="Palatino Linotype" w:eastAsia="Times New Roman" w:hAnsi="Palatino Linotype" w:cs="Arial"/>
          <w:i/>
          <w:iCs/>
          <w:lang w:val="es-ES"/>
        </w:rPr>
        <w:t>;</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5) </w:t>
      </w:r>
      <w:r>
        <w:rPr>
          <w:rFonts w:ascii="Palatino Linotype" w:eastAsia="Times New Roman" w:hAnsi="Palatino Linotype" w:cs="Arial"/>
          <w:i/>
          <w:iCs/>
          <w:lang w:val="es-ES"/>
        </w:rPr>
        <w:t>El nombre de la persona física o jurídica colectiva adjudicada;</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6) </w:t>
      </w:r>
      <w:r>
        <w:rPr>
          <w:rFonts w:ascii="Palatino Linotype" w:eastAsia="Times New Roman" w:hAnsi="Palatino Linotype" w:cs="Arial"/>
          <w:i/>
          <w:iCs/>
          <w:lang w:val="es-ES"/>
        </w:rPr>
        <w:t>La unidad administrativa solicitante y la responsable de su ejecución;</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7)</w:t>
      </w:r>
      <w:r>
        <w:rPr>
          <w:rFonts w:ascii="Palatino Linotype" w:eastAsia="Times New Roman" w:hAnsi="Palatino Linotype" w:cs="Arial"/>
          <w:bCs/>
          <w:i/>
          <w:iCs/>
          <w:lang w:val="es-ES"/>
        </w:rPr>
        <w:t> El número, fecha, el monto del contrato y el plazo de entrega o de ejecución de los servicios u obra;</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8) </w:t>
      </w:r>
      <w:r>
        <w:rPr>
          <w:rFonts w:ascii="Palatino Linotype" w:eastAsia="Times New Roman" w:hAnsi="Palatino Linotype" w:cs="Arial"/>
          <w:i/>
          <w:iCs/>
          <w:lang w:val="es-ES"/>
        </w:rPr>
        <w:t>Los mecanismos de vigilancia y supervisión, incluyendo, en su caso, los estudios de impacto urbano y ambiental, según corresponda;</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9) </w:t>
      </w:r>
      <w:r>
        <w:rPr>
          <w:rFonts w:ascii="Palatino Linotype" w:eastAsia="Times New Roman" w:hAnsi="Palatino Linotype" w:cs="Arial"/>
          <w:i/>
          <w:iCs/>
          <w:lang w:val="es-ES"/>
        </w:rPr>
        <w:t>Los informes de avance sobre las obras o servicios contratados;</w:t>
      </w:r>
    </w:p>
    <w:p w:rsidR="0073515E" w:rsidRDefault="0073515E" w:rsidP="0073515E">
      <w:pPr>
        <w:spacing w:after="0" w:line="240" w:lineRule="auto"/>
        <w:ind w:left="567" w:right="567"/>
        <w:jc w:val="both"/>
        <w:rPr>
          <w:rFonts w:ascii="Palatino Linotype" w:eastAsia="Times New Roman" w:hAnsi="Palatino Linotype" w:cs="Arial"/>
          <w:lang w:val="es-ES"/>
        </w:rPr>
      </w:pPr>
      <w:r>
        <w:rPr>
          <w:rFonts w:ascii="Palatino Linotype" w:eastAsia="Times New Roman" w:hAnsi="Palatino Linotype" w:cs="Arial"/>
          <w:b/>
          <w:bCs/>
          <w:i/>
          <w:iCs/>
          <w:lang w:val="es-ES"/>
        </w:rPr>
        <w:t>10) </w:t>
      </w:r>
      <w:r>
        <w:rPr>
          <w:rFonts w:ascii="Palatino Linotype" w:eastAsia="Times New Roman" w:hAnsi="Palatino Linotype" w:cs="Arial"/>
          <w:i/>
          <w:iCs/>
          <w:lang w:val="es-ES"/>
        </w:rPr>
        <w:t>El convenio de terminación; y</w:t>
      </w:r>
    </w:p>
    <w:p w:rsidR="0073515E" w:rsidRDefault="0073515E" w:rsidP="0073515E">
      <w:pPr>
        <w:spacing w:after="0" w:line="240" w:lineRule="auto"/>
        <w:ind w:left="567" w:right="567"/>
        <w:jc w:val="both"/>
        <w:rPr>
          <w:rFonts w:ascii="Palatino Linotype" w:eastAsia="Times New Roman" w:hAnsi="Palatino Linotype" w:cs="Arial"/>
          <w:b/>
          <w:i/>
          <w:iCs/>
          <w:lang w:val="es-ES"/>
        </w:rPr>
      </w:pPr>
      <w:r>
        <w:rPr>
          <w:rFonts w:ascii="Palatino Linotype" w:eastAsia="Times New Roman" w:hAnsi="Palatino Linotype" w:cs="Arial"/>
          <w:b/>
          <w:bCs/>
          <w:i/>
          <w:iCs/>
          <w:lang w:val="es-ES"/>
        </w:rPr>
        <w:t>11) </w:t>
      </w:r>
      <w:r>
        <w:rPr>
          <w:rFonts w:ascii="Palatino Linotype" w:eastAsia="Times New Roman" w:hAnsi="Palatino Linotype" w:cs="Arial"/>
          <w:i/>
          <w:iCs/>
          <w:lang w:val="es-ES"/>
        </w:rPr>
        <w:t>El finiquito.</w:t>
      </w:r>
    </w:p>
    <w:p w:rsidR="00EF7B98" w:rsidRPr="008E6824" w:rsidRDefault="00EF7B98" w:rsidP="00EF7B98">
      <w:pPr>
        <w:tabs>
          <w:tab w:val="left" w:pos="851"/>
        </w:tabs>
        <w:spacing w:before="120" w:after="120" w:line="240" w:lineRule="auto"/>
        <w:ind w:left="567" w:right="851"/>
        <w:jc w:val="both"/>
        <w:rPr>
          <w:rFonts w:ascii="Palatino Linotype" w:hAnsi="Palatino Linotype" w:cs="Arial"/>
          <w:bCs/>
          <w:i/>
          <w:sz w:val="24"/>
          <w:szCs w:val="24"/>
          <w:lang w:val="es-ES"/>
        </w:rPr>
      </w:pPr>
      <w:r w:rsidRPr="008E6824">
        <w:rPr>
          <w:rFonts w:ascii="Palatino Linotype" w:hAnsi="Palatino Linotype" w:cs="Arial"/>
          <w:bCs/>
          <w:i/>
          <w:sz w:val="24"/>
          <w:szCs w:val="24"/>
          <w:lang w:val="es-ES"/>
        </w:rPr>
        <w:lastRenderedPageBreak/>
        <w:t xml:space="preserve">XXXII. Las concesiones, </w:t>
      </w:r>
      <w:r w:rsidRPr="008E6824">
        <w:rPr>
          <w:rFonts w:ascii="Palatino Linotype" w:hAnsi="Palatino Linotype" w:cs="Arial"/>
          <w:b/>
          <w:i/>
          <w:sz w:val="24"/>
          <w:szCs w:val="24"/>
          <w:u w:val="single"/>
          <w:lang w:val="es-ES"/>
        </w:rPr>
        <w:t>contratos,</w:t>
      </w:r>
      <w:r w:rsidRPr="008E6824">
        <w:rPr>
          <w:rFonts w:ascii="Palatino Linotype" w:hAnsi="Palatino Linotype" w:cs="Arial"/>
          <w:b/>
          <w:i/>
          <w:sz w:val="24"/>
          <w:szCs w:val="24"/>
          <w:lang w:val="es-ES"/>
        </w:rPr>
        <w:t xml:space="preserve"> </w:t>
      </w:r>
      <w:r w:rsidRPr="008E6824">
        <w:rPr>
          <w:rFonts w:ascii="Palatino Linotype" w:hAnsi="Palatino Linotype" w:cs="Arial"/>
          <w:i/>
          <w:sz w:val="24"/>
          <w:szCs w:val="24"/>
          <w:lang w:val="es-ES"/>
        </w:rPr>
        <w:t>convenios</w:t>
      </w:r>
      <w:r w:rsidRPr="008E6824">
        <w:rPr>
          <w:rFonts w:ascii="Palatino Linotype" w:hAnsi="Palatino Linotype" w:cs="Arial"/>
          <w:bCs/>
          <w:i/>
          <w:sz w:val="24"/>
          <w:szCs w:val="24"/>
          <w:lang w:val="es-ES"/>
        </w:rPr>
        <w:t xml:space="preserve">, permisos, licencias o autorizaciones otorgados, </w:t>
      </w:r>
      <w:r w:rsidRPr="008E6824">
        <w:rPr>
          <w:rFonts w:ascii="Palatino Linotype" w:hAnsi="Palatino Linotype" w:cs="Arial"/>
          <w:b/>
          <w:i/>
          <w:sz w:val="24"/>
          <w:szCs w:val="24"/>
          <w:u w:val="single"/>
          <w:lang w:val="es-ES"/>
        </w:rPr>
        <w:t>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8E6824">
        <w:rPr>
          <w:rFonts w:ascii="Palatino Linotype" w:hAnsi="Palatino Linotype" w:cs="Arial"/>
          <w:bCs/>
          <w:i/>
          <w:sz w:val="24"/>
          <w:szCs w:val="24"/>
          <w:lang w:val="es-ES"/>
        </w:rPr>
        <w:t>;</w:t>
      </w:r>
    </w:p>
    <w:p w:rsidR="00EF7B98" w:rsidRDefault="00EF7B98" w:rsidP="0073515E">
      <w:pPr>
        <w:spacing w:after="0" w:line="240" w:lineRule="auto"/>
        <w:ind w:left="567" w:right="567"/>
        <w:jc w:val="both"/>
        <w:rPr>
          <w:rFonts w:ascii="Palatino Linotype" w:eastAsia="Times New Roman" w:hAnsi="Palatino Linotype" w:cs="Arial"/>
          <w:b/>
          <w:i/>
          <w:iCs/>
          <w:lang w:val="es-ES"/>
        </w:rPr>
      </w:pPr>
    </w:p>
    <w:p w:rsidR="0073515E" w:rsidRDefault="0073515E" w:rsidP="0073515E">
      <w:pPr>
        <w:spacing w:after="0" w:line="240" w:lineRule="auto"/>
        <w:ind w:left="851" w:right="850"/>
        <w:jc w:val="both"/>
        <w:rPr>
          <w:rFonts w:ascii="Palatino Linotype" w:eastAsia="Times New Roman" w:hAnsi="Palatino Linotype" w:cs="Arial"/>
          <w:lang w:val="es-ES"/>
        </w:rPr>
      </w:pPr>
    </w:p>
    <w:p w:rsidR="0073515E" w:rsidRDefault="0073515E" w:rsidP="0073515E">
      <w:pPr>
        <w:spacing w:after="0" w:line="240" w:lineRule="auto"/>
        <w:ind w:left="851" w:right="850"/>
        <w:jc w:val="both"/>
        <w:rPr>
          <w:rFonts w:ascii="Palatino Linotype" w:eastAsia="Times New Roman" w:hAnsi="Palatino Linotype" w:cs="Arial"/>
          <w:lang w:val="es-ES"/>
        </w:rPr>
      </w:pPr>
    </w:p>
    <w:p w:rsidR="0073515E" w:rsidRDefault="0073515E" w:rsidP="0073515E">
      <w:pPr>
        <w:spacing w:after="0" w:line="360" w:lineRule="auto"/>
        <w:jc w:val="both"/>
        <w:rPr>
          <w:rFonts w:ascii="Palatino Linotype" w:eastAsia="Times New Roman" w:hAnsi="Palatino Linotype" w:cs="Arial"/>
          <w:sz w:val="24"/>
          <w:szCs w:val="24"/>
          <w:lang w:val="es-ES"/>
        </w:rPr>
      </w:pPr>
      <w:r>
        <w:rPr>
          <w:rFonts w:ascii="Palatino Linotype" w:eastAsia="Times New Roman" w:hAnsi="Palatino Linotype" w:cs="Arial"/>
          <w:sz w:val="24"/>
          <w:szCs w:val="24"/>
          <w:lang w:val="es-ES"/>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los contratos celebrados, el cual debe contener entre otros requisitos, nombre de los proveedores y sus montos, así como el origen de los recursos.</w:t>
      </w:r>
    </w:p>
    <w:p w:rsidR="00EF7B98" w:rsidRPr="008E6824" w:rsidRDefault="00741E11" w:rsidP="00EF7B98">
      <w:pPr>
        <w:spacing w:before="240" w:after="240" w:line="360" w:lineRule="auto"/>
        <w:ind w:right="49"/>
        <w:jc w:val="both"/>
        <w:rPr>
          <w:rFonts w:ascii="Palatino Linotype" w:eastAsia="Palatino Linotype" w:hAnsi="Palatino Linotype" w:cs="Palatino Linotype"/>
          <w:sz w:val="24"/>
          <w:szCs w:val="24"/>
          <w:lang w:val="es-ES" w:eastAsia="es-ES"/>
        </w:rPr>
      </w:pPr>
      <w:r>
        <w:rPr>
          <w:rFonts w:eastAsia="Calibri"/>
          <w:i/>
          <w:sz w:val="24"/>
        </w:rPr>
        <w:t xml:space="preserve"> </w:t>
      </w:r>
      <w:r w:rsidR="00EF7B98" w:rsidRPr="008E6824">
        <w:rPr>
          <w:rFonts w:ascii="Palatino Linotype" w:eastAsia="Palatino Linotype" w:hAnsi="Palatino Linotype" w:cs="Palatino Linotype"/>
          <w:sz w:val="24"/>
          <w:szCs w:val="24"/>
          <w:lang w:val="es-ES" w:eastAsia="es-ES"/>
        </w:rPr>
        <w:t>Ahora bien, sobre la naturaleza de la información, es de mencionar que el particular peticionó el costo de la instalación de las ruedas del tren, acompañado facturas</w:t>
      </w:r>
      <w:r w:rsidR="00EF7B98" w:rsidRPr="008E6824">
        <w:rPr>
          <w:rFonts w:ascii="Palatino Linotype" w:hAnsi="Palatino Linotype"/>
          <w:sz w:val="24"/>
          <w:szCs w:val="24"/>
          <w:lang w:val="es-ES_tradnl" w:eastAsia="es-ES"/>
        </w:rPr>
        <w:t xml:space="preserve"> o contratos, </w:t>
      </w:r>
      <w:r w:rsidR="00EF7B98" w:rsidRPr="008E6824">
        <w:rPr>
          <w:rFonts w:ascii="Palatino Linotype" w:eastAsia="Palatino Linotype" w:hAnsi="Palatino Linotype" w:cs="Palatino Linotype"/>
          <w:sz w:val="24"/>
          <w:szCs w:val="24"/>
          <w:lang w:val="es-ES" w:eastAsia="es-ES"/>
        </w:rPr>
        <w:t>resulta importante señalar que este término se encuentra definido en el Glosario de Términos Hacendarios que emite el Instituto Hacendario del Estado de México, el cual expresa lo siguiente:</w:t>
      </w:r>
    </w:p>
    <w:p w:rsidR="00EF7B98" w:rsidRPr="008E6824" w:rsidRDefault="00EF7B98" w:rsidP="00EF7B98">
      <w:pPr>
        <w:spacing w:after="0" w:line="240" w:lineRule="auto"/>
        <w:ind w:left="851" w:right="851"/>
        <w:jc w:val="both"/>
        <w:rPr>
          <w:rFonts w:ascii="Palatino Linotype" w:eastAsia="Palatino Linotype" w:hAnsi="Palatino Linotype" w:cs="Palatino Linotype"/>
          <w:b/>
          <w:i/>
          <w:sz w:val="24"/>
          <w:szCs w:val="24"/>
          <w:lang w:val="es-ES" w:eastAsia="es-ES"/>
        </w:rPr>
      </w:pPr>
      <w:r w:rsidRPr="008E6824">
        <w:rPr>
          <w:rFonts w:ascii="Palatino Linotype" w:eastAsia="Palatino Linotype" w:hAnsi="Palatino Linotype" w:cs="Palatino Linotype"/>
          <w:i/>
          <w:sz w:val="24"/>
          <w:szCs w:val="24"/>
          <w:lang w:val="es-ES" w:eastAsia="es-ES"/>
        </w:rPr>
        <w:t>“</w:t>
      </w:r>
      <w:r w:rsidRPr="008E6824">
        <w:rPr>
          <w:rFonts w:ascii="Palatino Linotype" w:eastAsia="Palatino Linotype" w:hAnsi="Palatino Linotype" w:cs="Palatino Linotype"/>
          <w:b/>
          <w:i/>
          <w:sz w:val="24"/>
          <w:szCs w:val="24"/>
          <w:lang w:val="es-ES" w:eastAsia="es-ES"/>
        </w:rPr>
        <w:t>FACTURA</w:t>
      </w:r>
    </w:p>
    <w:p w:rsidR="00EF7B98" w:rsidRPr="008E6824" w:rsidRDefault="00EF7B98" w:rsidP="00EF7B98">
      <w:pPr>
        <w:spacing w:after="0" w:line="240" w:lineRule="auto"/>
        <w:ind w:left="851" w:right="851"/>
        <w:jc w:val="both"/>
        <w:rPr>
          <w:rFonts w:ascii="Palatino Linotype" w:eastAsia="Palatino Linotype" w:hAnsi="Palatino Linotype" w:cs="Palatino Linotype"/>
          <w:i/>
          <w:sz w:val="24"/>
          <w:szCs w:val="24"/>
          <w:lang w:val="es-ES" w:eastAsia="es-ES"/>
        </w:rPr>
      </w:pPr>
      <w:r w:rsidRPr="008E6824">
        <w:rPr>
          <w:rFonts w:ascii="Palatino Linotype" w:eastAsia="Palatino Linotype" w:hAnsi="Palatino Linotype" w:cs="Palatino Linotype"/>
          <w:i/>
          <w:sz w:val="24"/>
          <w:szCs w:val="24"/>
          <w:lang w:val="es-ES" w:eastAsia="es-ES"/>
        </w:rPr>
        <w:t xml:space="preserve">Es el documento fiscal que emite la persona física o moral para </w:t>
      </w:r>
      <w:r w:rsidRPr="008E6824">
        <w:rPr>
          <w:rFonts w:ascii="Palatino Linotype" w:eastAsia="Palatino Linotype" w:hAnsi="Palatino Linotype" w:cs="Palatino Linotype"/>
          <w:b/>
          <w:i/>
          <w:sz w:val="24"/>
          <w:szCs w:val="24"/>
          <w:u w:val="single"/>
          <w:lang w:val="es-ES" w:eastAsia="es-ES"/>
        </w:rPr>
        <w:t>comprobar la venta o adquisición de un bien y/o servicio</w:t>
      </w:r>
      <w:r w:rsidRPr="008E6824">
        <w:rPr>
          <w:rFonts w:ascii="Palatino Linotype" w:eastAsia="Palatino Linotype" w:hAnsi="Palatino Linotype" w:cs="Palatino Linotype"/>
          <w:i/>
          <w:sz w:val="24"/>
          <w:szCs w:val="24"/>
          <w:lang w:val="es-ES" w:eastAsia="es-ES"/>
        </w:rPr>
        <w:t>.” (Sic) (Énfasis añadido)</w:t>
      </w:r>
    </w:p>
    <w:p w:rsidR="00EF7B98" w:rsidRPr="008E6824" w:rsidRDefault="00EF7B98" w:rsidP="00EF7B98">
      <w:pPr>
        <w:spacing w:after="0" w:line="240" w:lineRule="auto"/>
        <w:ind w:left="851" w:right="851"/>
        <w:jc w:val="both"/>
        <w:rPr>
          <w:rFonts w:ascii="Palatino Linotype" w:eastAsia="Palatino Linotype" w:hAnsi="Palatino Linotype" w:cs="Palatino Linotype"/>
          <w:i/>
          <w:sz w:val="24"/>
          <w:szCs w:val="24"/>
          <w:lang w:val="es-ES" w:eastAsia="es-ES"/>
        </w:rPr>
      </w:pPr>
    </w:p>
    <w:p w:rsidR="00EF7B98" w:rsidRPr="008E6824" w:rsidRDefault="00EF7B98" w:rsidP="00EF7B98">
      <w:pPr>
        <w:spacing w:after="0" w:line="360" w:lineRule="auto"/>
        <w:jc w:val="both"/>
        <w:rPr>
          <w:rFonts w:ascii="Palatino Linotype" w:eastAsia="Palatino Linotype" w:hAnsi="Palatino Linotype" w:cs="Palatino Linotype"/>
          <w:sz w:val="24"/>
          <w:szCs w:val="24"/>
          <w:lang w:val="es-ES" w:eastAsia="es-ES"/>
        </w:rPr>
      </w:pPr>
      <w:r w:rsidRPr="008E6824">
        <w:rPr>
          <w:rFonts w:ascii="Palatino Linotype" w:eastAsia="Palatino Linotype" w:hAnsi="Palatino Linotype" w:cs="Palatino Linotype"/>
          <w:sz w:val="24"/>
          <w:szCs w:val="24"/>
          <w:lang w:val="es-ES" w:eastAsia="es-ES"/>
        </w:rPr>
        <w:t xml:space="preserve">Es de señalarse que las facturas o comprobantes que amparan las erogaciones que se realizan con erario público tienen naturaleza pública pues, constituyen los medios </w:t>
      </w:r>
      <w:r w:rsidRPr="008E6824">
        <w:rPr>
          <w:rFonts w:ascii="Palatino Linotype" w:eastAsia="Palatino Linotype" w:hAnsi="Palatino Linotype" w:cs="Palatino Linotype"/>
          <w:sz w:val="24"/>
          <w:szCs w:val="24"/>
          <w:lang w:val="es-ES" w:eastAsia="es-ES"/>
        </w:rPr>
        <w:lastRenderedPageBreak/>
        <w:t>idóneos de evidencia del gasto realizado con recursos públicos, de ahí que convenga precisar que la Constitución Política del Estado Libre y Soberano de México en su artículo 129 señala que l</w:t>
      </w:r>
      <w:r w:rsidRPr="008E6824">
        <w:rPr>
          <w:rFonts w:ascii="Palatino Linotype" w:eastAsia="Palatino Linotype" w:hAnsi="Palatino Linotype" w:cs="Palatino Linotype"/>
          <w:color w:val="000000"/>
          <w:sz w:val="24"/>
          <w:szCs w:val="24"/>
          <w:lang w:val="es-ES" w:eastAsia="es-ES"/>
        </w:rPr>
        <w:t xml:space="preserve">os recursos económicos del Estado, de los Municipios, así como de los Organismos Autónomos, se administrarán con eficiencia, eficacia y honradez, para cumplir con los objetivos y programas a los que estén destinados. </w:t>
      </w:r>
    </w:p>
    <w:p w:rsidR="00741E11" w:rsidRDefault="00741E11" w:rsidP="00741E11">
      <w:pPr>
        <w:pStyle w:val="Citas"/>
        <w:tabs>
          <w:tab w:val="left" w:pos="7470"/>
        </w:tabs>
        <w:ind w:left="0" w:right="72"/>
        <w:rPr>
          <w:rFonts w:eastAsia="Calibri"/>
          <w:i w:val="0"/>
          <w:sz w:val="24"/>
        </w:rPr>
      </w:pPr>
    </w:p>
    <w:p w:rsidR="00C1456A" w:rsidRDefault="00C1456A" w:rsidP="00C1456A">
      <w:pPr>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señalado anteriormente y en virtud de que las pretensiones del Recurrente fueron colmadas parcialmente, este Órgano Garante estima que las razones o motivos de inconformidad planteados en el recurso de revisión devienen fundados, por lo que es procedente revocar la respuesta proporcionada a la solicitud de información que es materia de esta resolución y ordenar la entrega en versión pública de ser procedente, de lo siguiente:</w:t>
      </w:r>
    </w:p>
    <w:p w:rsidR="00C1456A" w:rsidRPr="00AB556D" w:rsidRDefault="00EF7B98" w:rsidP="00EF7B98">
      <w:pPr>
        <w:pStyle w:val="INFOEM"/>
        <w:numPr>
          <w:ilvl w:val="0"/>
          <w:numId w:val="21"/>
        </w:numPr>
        <w:ind w:right="141"/>
        <w:rPr>
          <w:rFonts w:eastAsia="Palatino Linotype" w:cs="Palatino Linotype"/>
          <w:i w:val="0"/>
          <w:sz w:val="24"/>
          <w:szCs w:val="24"/>
          <w:lang w:val="es-ES" w:eastAsia="es-ES"/>
        </w:rPr>
      </w:pPr>
      <w:r>
        <w:rPr>
          <w:rFonts w:eastAsia="Palatino Linotype" w:cs="Palatino Linotype"/>
          <w:i w:val="0"/>
          <w:sz w:val="24"/>
          <w:szCs w:val="24"/>
          <w:lang w:val="es-ES" w:eastAsia="es-ES"/>
        </w:rPr>
        <w:t xml:space="preserve">Facturas, así como toda la documentación que dé cuenta de los pagos a las empresas que supervisan las líneas del </w:t>
      </w:r>
      <w:proofErr w:type="spellStart"/>
      <w:r>
        <w:rPr>
          <w:rFonts w:eastAsia="Palatino Linotype" w:cs="Palatino Linotype"/>
          <w:i w:val="0"/>
          <w:sz w:val="24"/>
          <w:szCs w:val="24"/>
          <w:lang w:val="es-ES" w:eastAsia="es-ES"/>
        </w:rPr>
        <w:t>Mexibús</w:t>
      </w:r>
      <w:proofErr w:type="spellEnd"/>
      <w:r>
        <w:rPr>
          <w:rFonts w:eastAsia="Palatino Linotype" w:cs="Palatino Linotype"/>
          <w:i w:val="0"/>
          <w:sz w:val="24"/>
          <w:szCs w:val="24"/>
          <w:lang w:val="es-ES" w:eastAsia="es-ES"/>
        </w:rPr>
        <w:t xml:space="preserve">, </w:t>
      </w:r>
      <w:r w:rsidRPr="00EF7B98">
        <w:rPr>
          <w:rFonts w:cs="Arial"/>
          <w:i w:val="0"/>
          <w:sz w:val="24"/>
        </w:rPr>
        <w:t>del diez de junio de dos mil veintitrés al diez de junio de dos mil veinticuatro.</w:t>
      </w:r>
    </w:p>
    <w:p w:rsidR="00C1456A" w:rsidRPr="00472F3E" w:rsidRDefault="00EF7B98" w:rsidP="00C1456A">
      <w:pPr>
        <w:pStyle w:val="INFOEM"/>
        <w:numPr>
          <w:ilvl w:val="0"/>
          <w:numId w:val="21"/>
        </w:numPr>
        <w:ind w:right="141"/>
        <w:rPr>
          <w:rFonts w:eastAsia="Palatino Linotype" w:cs="Palatino Linotype"/>
          <w:i w:val="0"/>
          <w:sz w:val="24"/>
          <w:szCs w:val="24"/>
          <w:lang w:val="es-ES" w:eastAsia="es-ES"/>
        </w:rPr>
      </w:pPr>
      <w:r>
        <w:rPr>
          <w:rFonts w:eastAsia="Palatino Linotype" w:cs="Palatino Linotype"/>
          <w:i w:val="0"/>
          <w:sz w:val="24"/>
          <w:szCs w:val="24"/>
          <w:lang w:val="es-ES" w:eastAsia="es-ES"/>
        </w:rPr>
        <w:t xml:space="preserve">Procesos de contratación </w:t>
      </w:r>
      <w:r w:rsidR="00472F3E">
        <w:rPr>
          <w:rFonts w:eastAsia="Palatino Linotype" w:cs="Palatino Linotype"/>
          <w:i w:val="0"/>
          <w:sz w:val="24"/>
          <w:szCs w:val="24"/>
          <w:lang w:val="es-ES" w:eastAsia="es-ES"/>
        </w:rPr>
        <w:t xml:space="preserve">protocolizados ante las autoridades competentes, </w:t>
      </w:r>
      <w:r w:rsidR="00472F3E" w:rsidRPr="00EF7B98">
        <w:rPr>
          <w:rFonts w:cs="Arial"/>
          <w:i w:val="0"/>
          <w:sz w:val="24"/>
        </w:rPr>
        <w:t>del diez de junio de dos mil veintitrés al diez de junio de dos mil veinticuatro.</w:t>
      </w:r>
    </w:p>
    <w:p w:rsidR="00472F3E" w:rsidRPr="00472F3E" w:rsidRDefault="00472F3E" w:rsidP="00C1456A">
      <w:pPr>
        <w:pStyle w:val="INFOEM"/>
        <w:numPr>
          <w:ilvl w:val="0"/>
          <w:numId w:val="21"/>
        </w:numPr>
        <w:ind w:right="141"/>
        <w:rPr>
          <w:rFonts w:eastAsia="Palatino Linotype" w:cs="Palatino Linotype"/>
          <w:i w:val="0"/>
          <w:sz w:val="24"/>
          <w:szCs w:val="24"/>
          <w:lang w:val="es-ES" w:eastAsia="es-ES"/>
        </w:rPr>
      </w:pPr>
      <w:r>
        <w:rPr>
          <w:rFonts w:cs="Arial"/>
          <w:i w:val="0"/>
          <w:sz w:val="24"/>
        </w:rPr>
        <w:t>Facturas pagadas, así como las transferencias hechas por cualquier motivo relacionado con recursos públicos, del primero de enero al treinta y uno de mayo de dos mil veinticuatro.</w:t>
      </w:r>
    </w:p>
    <w:p w:rsidR="00472F3E" w:rsidRPr="00472F3E" w:rsidRDefault="00472F3E" w:rsidP="00C1456A">
      <w:pPr>
        <w:pStyle w:val="INFOEM"/>
        <w:numPr>
          <w:ilvl w:val="0"/>
          <w:numId w:val="21"/>
        </w:numPr>
        <w:ind w:right="141"/>
        <w:rPr>
          <w:rFonts w:eastAsia="Palatino Linotype" w:cs="Palatino Linotype"/>
          <w:i w:val="0"/>
          <w:sz w:val="24"/>
          <w:szCs w:val="24"/>
          <w:lang w:val="es-ES" w:eastAsia="es-ES"/>
        </w:rPr>
      </w:pPr>
      <w:r>
        <w:rPr>
          <w:rFonts w:cs="Arial"/>
          <w:i w:val="0"/>
          <w:sz w:val="24"/>
        </w:rPr>
        <w:t xml:space="preserve"> Bonos, así como los gastos realizados en el mes de mayo de dos mil veinticuatro, que se relacionen con el fondo fijo. </w:t>
      </w:r>
    </w:p>
    <w:p w:rsidR="00472F3E" w:rsidRDefault="00472F3E" w:rsidP="00C1456A">
      <w:pPr>
        <w:pStyle w:val="INFOEM"/>
        <w:numPr>
          <w:ilvl w:val="0"/>
          <w:numId w:val="21"/>
        </w:numPr>
        <w:ind w:right="141"/>
        <w:rPr>
          <w:rFonts w:eastAsia="Palatino Linotype" w:cs="Palatino Linotype"/>
          <w:i w:val="0"/>
          <w:sz w:val="24"/>
          <w:szCs w:val="24"/>
          <w:lang w:val="es-ES" w:eastAsia="es-ES"/>
        </w:rPr>
      </w:pPr>
      <w:r>
        <w:rPr>
          <w:rFonts w:cs="Arial"/>
          <w:i w:val="0"/>
          <w:sz w:val="24"/>
        </w:rPr>
        <w:lastRenderedPageBreak/>
        <w:t xml:space="preserve">Documentación que dé cuenta de la nómina del personal con </w:t>
      </w:r>
      <w:proofErr w:type="gramStart"/>
      <w:r>
        <w:rPr>
          <w:rFonts w:cs="Arial"/>
          <w:i w:val="0"/>
          <w:sz w:val="24"/>
        </w:rPr>
        <w:t>mando medio y operativos</w:t>
      </w:r>
      <w:proofErr w:type="gramEnd"/>
      <w:r>
        <w:rPr>
          <w:rFonts w:cs="Arial"/>
          <w:i w:val="0"/>
          <w:sz w:val="24"/>
        </w:rPr>
        <w:t>, del mes de marzo de dos mil veinticuatro.</w:t>
      </w:r>
    </w:p>
    <w:p w:rsidR="00C1456A" w:rsidRDefault="00C1456A" w:rsidP="00C1456A">
      <w:pPr>
        <w:pStyle w:val="INFOEM"/>
        <w:ind w:left="0" w:right="141"/>
        <w:rPr>
          <w:i w:val="0"/>
          <w:sz w:val="24"/>
        </w:rPr>
      </w:pPr>
      <w:r w:rsidRPr="00F4537E">
        <w:rPr>
          <w:i w:val="0"/>
          <w:sz w:val="24"/>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F4537E">
        <w:rPr>
          <w:b/>
          <w:i w:val="0"/>
          <w:sz w:val="24"/>
        </w:rPr>
        <w:t>Recurrente</w:t>
      </w:r>
      <w:r w:rsidRPr="00F4537E">
        <w:rPr>
          <w:i w:val="0"/>
          <w:sz w:val="24"/>
        </w:rPr>
        <w:t>.</w:t>
      </w:r>
    </w:p>
    <w:p w:rsidR="005E3318" w:rsidRDefault="005E3318" w:rsidP="00C1456A">
      <w:pPr>
        <w:pStyle w:val="INFOEM"/>
        <w:ind w:left="0" w:right="141"/>
        <w:rPr>
          <w:i w:val="0"/>
          <w:sz w:val="24"/>
        </w:rPr>
      </w:pPr>
    </w:p>
    <w:p w:rsidR="00741E11" w:rsidRPr="00B33B9E" w:rsidRDefault="00741E11" w:rsidP="00741E11">
      <w:pPr>
        <w:pStyle w:val="Prrafodelista"/>
        <w:numPr>
          <w:ilvl w:val="0"/>
          <w:numId w:val="3"/>
        </w:numPr>
        <w:spacing w:line="360" w:lineRule="auto"/>
        <w:ind w:right="51"/>
        <w:jc w:val="both"/>
        <w:rPr>
          <w:rFonts w:ascii="Palatino Linotype" w:hAnsi="Palatino Linotype"/>
          <w:b/>
          <w:iCs/>
        </w:rPr>
      </w:pPr>
      <w:r>
        <w:rPr>
          <w:rFonts w:ascii="Palatino Linotype" w:hAnsi="Palatino Linotype"/>
          <w:b/>
          <w:iCs/>
        </w:rPr>
        <w:t xml:space="preserve">Vista a los Órganos </w:t>
      </w:r>
      <w:r w:rsidRPr="00B33B9E">
        <w:rPr>
          <w:rFonts w:ascii="Palatino Linotype" w:hAnsi="Palatino Linotype"/>
          <w:b/>
          <w:iCs/>
        </w:rPr>
        <w:t>Interno</w:t>
      </w:r>
      <w:r w:rsidR="005E3318">
        <w:rPr>
          <w:rFonts w:ascii="Palatino Linotype" w:hAnsi="Palatino Linotype"/>
          <w:b/>
          <w:iCs/>
        </w:rPr>
        <w:t>s</w:t>
      </w:r>
      <w:r w:rsidRPr="00B33B9E">
        <w:rPr>
          <w:rFonts w:ascii="Palatino Linotype" w:hAnsi="Palatino Linotype"/>
          <w:b/>
          <w:iCs/>
        </w:rPr>
        <w:t xml:space="preserve"> </w:t>
      </w:r>
      <w:r w:rsidR="005E3318">
        <w:rPr>
          <w:rFonts w:ascii="Palatino Linotype" w:hAnsi="Palatino Linotype"/>
          <w:b/>
          <w:iCs/>
        </w:rPr>
        <w:t>d</w:t>
      </w:r>
      <w:r w:rsidR="005E3318" w:rsidRPr="00B33B9E">
        <w:rPr>
          <w:rFonts w:ascii="Palatino Linotype" w:hAnsi="Palatino Linotype"/>
          <w:b/>
          <w:iCs/>
        </w:rPr>
        <w:t xml:space="preserve">e Control </w:t>
      </w:r>
      <w:r w:rsidRPr="00B33B9E">
        <w:rPr>
          <w:rFonts w:ascii="Palatino Linotype" w:hAnsi="Palatino Linotype"/>
          <w:b/>
          <w:iCs/>
        </w:rPr>
        <w:t xml:space="preserve">Competentes </w:t>
      </w:r>
    </w:p>
    <w:p w:rsidR="00741E11" w:rsidRPr="00427E70" w:rsidRDefault="00741E11" w:rsidP="00741E11">
      <w:pPr>
        <w:spacing w:after="0" w:line="360" w:lineRule="auto"/>
        <w:ind w:right="51"/>
        <w:jc w:val="both"/>
        <w:rPr>
          <w:rFonts w:ascii="Palatino Linotype" w:eastAsia="Times New Roman" w:hAnsi="Palatino Linotype" w:cs="Times New Roman"/>
          <w:b/>
          <w:iCs/>
          <w:sz w:val="24"/>
          <w:szCs w:val="24"/>
          <w:lang w:val="es-ES" w:eastAsia="es-ES"/>
        </w:rPr>
      </w:pPr>
    </w:p>
    <w:p w:rsidR="00741E11" w:rsidRDefault="00741E11" w:rsidP="00741E11">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a la Secretaría Técnica del Pleno, para que en el ejercicio de las competencias reservadas integre y remita al Órgano </w:t>
      </w:r>
      <w:r>
        <w:rPr>
          <w:rFonts w:ascii="Palatino Linotype" w:eastAsia="Times New Roman" w:hAnsi="Palatino Linotype" w:cs="Times New Roman"/>
          <w:iCs/>
          <w:sz w:val="24"/>
          <w:szCs w:val="24"/>
          <w:lang w:val="es-ES" w:eastAsia="es-ES"/>
        </w:rPr>
        <w:t xml:space="preserve">Interno </w:t>
      </w:r>
      <w:r w:rsidR="005E3318"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 xml:space="preserve">competente, un expediente formado con motivo de las presuntas infracciones de carácter omisivo cometidas en detrimento al derecho de acceso a la información.  </w:t>
      </w:r>
    </w:p>
    <w:p w:rsidR="00741E11" w:rsidRPr="00427E70" w:rsidRDefault="00741E11" w:rsidP="00741E11">
      <w:pPr>
        <w:spacing w:after="0" w:line="360" w:lineRule="auto"/>
        <w:ind w:right="51"/>
        <w:jc w:val="both"/>
        <w:rPr>
          <w:rFonts w:ascii="Palatino Linotype" w:eastAsia="Times New Roman" w:hAnsi="Palatino Linotype" w:cs="Times New Roman"/>
          <w:iCs/>
          <w:sz w:val="24"/>
          <w:szCs w:val="24"/>
          <w:lang w:val="es-ES" w:eastAsia="es-ES"/>
        </w:rPr>
      </w:pPr>
    </w:p>
    <w:p w:rsidR="00741E11" w:rsidRDefault="00741E11" w:rsidP="00741E11">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En efecto, la Secretaría Técnica del Pleno hará del conocimiento del órgano interno de control competente de las infracciones en que el Sujeto Obligado incurrió, toda vez </w:t>
      </w:r>
      <w:r w:rsidRPr="00427E70">
        <w:rPr>
          <w:rFonts w:ascii="Palatino Linotype" w:eastAsia="Times New Roman" w:hAnsi="Palatino Linotype" w:cs="Times New Roman"/>
          <w:iCs/>
          <w:sz w:val="24"/>
          <w:szCs w:val="24"/>
          <w:lang w:val="es-ES" w:eastAsia="es-ES"/>
        </w:rPr>
        <w:lastRenderedPageBreak/>
        <w:t>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rsidR="00741E11" w:rsidRPr="00427E70" w:rsidRDefault="00741E11" w:rsidP="00741E11">
      <w:pPr>
        <w:spacing w:after="0" w:line="360" w:lineRule="auto"/>
        <w:ind w:right="51"/>
        <w:jc w:val="both"/>
        <w:rPr>
          <w:rFonts w:ascii="Palatino Linotype" w:eastAsia="Times New Roman" w:hAnsi="Palatino Linotype" w:cs="Times New Roman"/>
          <w:iCs/>
          <w:sz w:val="24"/>
          <w:szCs w:val="24"/>
          <w:lang w:val="es-ES" w:eastAsia="es-ES"/>
        </w:rPr>
      </w:pPr>
    </w:p>
    <w:p w:rsidR="00741E11" w:rsidRDefault="00741E11" w:rsidP="00741E11">
      <w:pPr>
        <w:spacing w:after="0" w:line="360" w:lineRule="auto"/>
        <w:ind w:left="708" w:right="51"/>
        <w:jc w:val="both"/>
        <w:rPr>
          <w:rFonts w:ascii="Palatino Linotype" w:eastAsia="Times New Roman" w:hAnsi="Palatino Linotype" w:cs="Times New Roman"/>
          <w:i/>
          <w:iCs/>
          <w:sz w:val="24"/>
          <w:szCs w:val="24"/>
          <w:lang w:val="es-ES" w:eastAsia="es-ES"/>
        </w:rPr>
      </w:pPr>
      <w:r w:rsidRPr="00427E70">
        <w:rPr>
          <w:rFonts w:ascii="Palatino Linotype" w:eastAsia="Times New Roman" w:hAnsi="Palatino Linotype" w:cs="Times New Roman"/>
          <w:iCs/>
          <w:sz w:val="24"/>
          <w:szCs w:val="24"/>
          <w:lang w:val="es-ES" w:eastAsia="es-ES"/>
        </w:rPr>
        <w:t>“</w:t>
      </w:r>
      <w:r w:rsidRPr="004C559D">
        <w:rPr>
          <w:rFonts w:ascii="Palatino Linotype" w:eastAsia="Times New Roman" w:hAnsi="Palatino Linotype" w:cs="Times New Roman"/>
          <w:i/>
          <w:iCs/>
          <w:sz w:val="24"/>
          <w:szCs w:val="24"/>
          <w:lang w:val="es-ES" w:eastAsia="es-ES"/>
        </w:rPr>
        <w:t>Artículo 190.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r>
        <w:rPr>
          <w:rFonts w:ascii="Palatino Linotype" w:eastAsia="Times New Roman" w:hAnsi="Palatino Linotype" w:cs="Times New Roman"/>
          <w:i/>
          <w:iCs/>
          <w:sz w:val="24"/>
          <w:szCs w:val="24"/>
          <w:lang w:val="es-ES" w:eastAsia="es-ES"/>
        </w:rPr>
        <w:t>.</w:t>
      </w:r>
    </w:p>
    <w:p w:rsidR="00741E11" w:rsidRPr="004C559D" w:rsidRDefault="00741E11" w:rsidP="00741E11">
      <w:pPr>
        <w:spacing w:after="0" w:line="360" w:lineRule="auto"/>
        <w:ind w:left="708" w:right="51"/>
        <w:jc w:val="both"/>
        <w:rPr>
          <w:rFonts w:ascii="Palatino Linotype" w:eastAsia="Times New Roman" w:hAnsi="Palatino Linotype" w:cs="Times New Roman"/>
          <w:i/>
          <w:iCs/>
          <w:sz w:val="24"/>
          <w:szCs w:val="24"/>
          <w:lang w:val="es-ES" w:eastAsia="es-ES"/>
        </w:rPr>
      </w:pPr>
    </w:p>
    <w:p w:rsidR="00741E11" w:rsidRPr="004C559D" w:rsidRDefault="00741E11" w:rsidP="00741E11">
      <w:pPr>
        <w:spacing w:after="0" w:line="360" w:lineRule="auto"/>
        <w:ind w:left="708"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Artículo 222. Son causas de responsabilidad administrativa de los servidores públicos de los sujetos obligados, por incumplimiento de las obligaciones establecidas en la materia de la presente Ley, las siguientes:</w:t>
      </w:r>
    </w:p>
    <w:p w:rsidR="00741E11" w:rsidRPr="004C559D" w:rsidRDefault="00741E11" w:rsidP="00741E11">
      <w:pPr>
        <w:spacing w:after="0" w:line="360" w:lineRule="auto"/>
        <w:ind w:right="51" w:firstLine="708"/>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w:t>
      </w:r>
    </w:p>
    <w:p w:rsidR="00741E11" w:rsidRPr="004C559D" w:rsidRDefault="00741E11" w:rsidP="00741E11">
      <w:pPr>
        <w:spacing w:after="0" w:line="360" w:lineRule="auto"/>
        <w:ind w:left="708"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I. Cualquier acto u omisión que provoque la suspensión o deficiencia en la atención de las solicitudes de información;</w:t>
      </w:r>
    </w:p>
    <w:p w:rsidR="00741E11" w:rsidRPr="00427E70" w:rsidRDefault="00741E11" w:rsidP="00741E11">
      <w:pPr>
        <w:spacing w:after="0" w:line="360" w:lineRule="auto"/>
        <w:ind w:left="708" w:right="51"/>
        <w:jc w:val="both"/>
        <w:rPr>
          <w:rFonts w:ascii="Palatino Linotype" w:eastAsia="Times New Roman" w:hAnsi="Palatino Linotype" w:cs="Times New Roman"/>
          <w:iCs/>
          <w:sz w:val="24"/>
          <w:szCs w:val="24"/>
          <w:lang w:val="es-ES" w:eastAsia="es-ES"/>
        </w:rPr>
      </w:pPr>
      <w:r w:rsidRPr="004C559D">
        <w:rPr>
          <w:rFonts w:ascii="Palatino Linotype" w:eastAsia="Times New Roman" w:hAnsi="Palatino Linotype" w:cs="Times New Roman"/>
          <w:i/>
          <w:iCs/>
          <w:sz w:val="24"/>
          <w:szCs w:val="24"/>
          <w:lang w:val="es-ES" w:eastAsia="es-ES"/>
        </w:rPr>
        <w:t>II. La falta de respuesta a las solicitudes de información en los plazos señalados en la normatividad aplicable</w:t>
      </w:r>
      <w:r w:rsidRPr="00427E70">
        <w:rPr>
          <w:rFonts w:ascii="Palatino Linotype" w:eastAsia="Times New Roman" w:hAnsi="Palatino Linotype" w:cs="Times New Roman"/>
          <w:iCs/>
          <w:sz w:val="24"/>
          <w:szCs w:val="24"/>
          <w:lang w:val="es-ES" w:eastAsia="es-ES"/>
        </w:rPr>
        <w:t>;</w:t>
      </w:r>
    </w:p>
    <w:p w:rsidR="00741E11" w:rsidRPr="004C559D" w:rsidRDefault="00741E11" w:rsidP="00741E11">
      <w:pPr>
        <w:spacing w:after="0" w:line="360" w:lineRule="auto"/>
        <w:ind w:right="51" w:firstLine="708"/>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 (Sic)</w:t>
      </w:r>
    </w:p>
    <w:p w:rsidR="00741E11" w:rsidRPr="00427E70" w:rsidRDefault="00741E11" w:rsidP="00741E11">
      <w:pPr>
        <w:spacing w:after="0" w:line="360" w:lineRule="auto"/>
        <w:ind w:right="51"/>
        <w:jc w:val="both"/>
        <w:rPr>
          <w:rFonts w:ascii="Palatino Linotype" w:eastAsia="Times New Roman" w:hAnsi="Palatino Linotype" w:cs="Times New Roman"/>
          <w:iCs/>
          <w:sz w:val="24"/>
          <w:szCs w:val="24"/>
          <w:lang w:val="es-ES" w:eastAsia="es-ES"/>
        </w:rPr>
      </w:pPr>
    </w:p>
    <w:p w:rsidR="00741E11" w:rsidRPr="00427E70" w:rsidRDefault="00741E11" w:rsidP="00741E11">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lastRenderedPageBreak/>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rsidR="00741E11" w:rsidRPr="004C559D" w:rsidRDefault="00741E11" w:rsidP="00741E11">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“Artículo 19. Corresponde a la Secretaría Técnica del Pleno ejercer las atribuciones siguientes:</w:t>
      </w:r>
    </w:p>
    <w:p w:rsidR="00741E11" w:rsidRPr="004C559D" w:rsidRDefault="00741E11" w:rsidP="00741E11">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w:t>
      </w:r>
    </w:p>
    <w:p w:rsidR="00741E11" w:rsidRPr="004C559D" w:rsidRDefault="00741E11" w:rsidP="00741E11">
      <w:pPr>
        <w:spacing w:after="0" w:line="360" w:lineRule="auto"/>
        <w:ind w:right="51"/>
        <w:jc w:val="both"/>
        <w:rPr>
          <w:rFonts w:ascii="Palatino Linotype" w:eastAsia="Times New Roman" w:hAnsi="Palatino Linotype" w:cs="Times New Roman"/>
          <w:i/>
          <w:iCs/>
          <w:sz w:val="24"/>
          <w:szCs w:val="24"/>
          <w:lang w:val="es-ES" w:eastAsia="es-ES"/>
        </w:rPr>
      </w:pPr>
      <w:r w:rsidRPr="004C559D">
        <w:rPr>
          <w:rFonts w:ascii="Palatino Linotype" w:eastAsia="Times New Roman" w:hAnsi="Palatino Linotype" w:cs="Times New Roman"/>
          <w:i/>
          <w:iCs/>
          <w:sz w:val="24"/>
          <w:szCs w:val="24"/>
          <w:lang w:val="es-ES" w:eastAsia="es-ES"/>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rsidR="00741E11" w:rsidRPr="00427E70" w:rsidRDefault="00741E11" w:rsidP="00741E11">
      <w:pPr>
        <w:spacing w:after="0" w:line="360" w:lineRule="auto"/>
        <w:ind w:right="51"/>
        <w:jc w:val="both"/>
        <w:rPr>
          <w:rFonts w:ascii="Palatino Linotype" w:eastAsia="Times New Roman" w:hAnsi="Palatino Linotype" w:cs="Times New Roman"/>
          <w:iCs/>
          <w:sz w:val="24"/>
          <w:szCs w:val="24"/>
          <w:lang w:val="es-ES" w:eastAsia="es-ES"/>
        </w:rPr>
      </w:pPr>
    </w:p>
    <w:p w:rsidR="00741E11" w:rsidRDefault="00741E11" w:rsidP="00741E11">
      <w:pPr>
        <w:spacing w:after="0" w:line="360" w:lineRule="auto"/>
        <w:ind w:right="51"/>
        <w:jc w:val="both"/>
        <w:rPr>
          <w:rFonts w:ascii="Palatino Linotype" w:eastAsia="Times New Roman" w:hAnsi="Palatino Linotype" w:cs="Times New Roman"/>
          <w:iCs/>
          <w:sz w:val="24"/>
          <w:szCs w:val="24"/>
          <w:lang w:val="es-ES" w:eastAsia="es-ES"/>
        </w:rPr>
      </w:pPr>
      <w:r w:rsidRPr="00427E70">
        <w:rPr>
          <w:rFonts w:ascii="Palatino Linotype" w:eastAsia="Times New Roman" w:hAnsi="Palatino Linotype" w:cs="Times New Roman"/>
          <w:iCs/>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5E3318"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 xml:space="preserve">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w:t>
      </w:r>
      <w:r w:rsidR="005E3318" w:rsidRPr="00427E70">
        <w:rPr>
          <w:rFonts w:ascii="Palatino Linotype" w:eastAsia="Times New Roman" w:hAnsi="Palatino Linotype" w:cs="Times New Roman"/>
          <w:iCs/>
          <w:sz w:val="24"/>
          <w:szCs w:val="24"/>
          <w:lang w:val="es-ES" w:eastAsia="es-ES"/>
        </w:rPr>
        <w:t xml:space="preserve">de control </w:t>
      </w:r>
      <w:r w:rsidRPr="00427E70">
        <w:rPr>
          <w:rFonts w:ascii="Palatino Linotype" w:eastAsia="Times New Roman" w:hAnsi="Palatino Linotype" w:cs="Times New Roman"/>
          <w:iCs/>
          <w:sz w:val="24"/>
          <w:szCs w:val="24"/>
          <w:lang w:val="es-ES" w:eastAsia="es-ES"/>
        </w:rPr>
        <w:t>de la instancia competente para que éste inicie, en su caso, el procedimiento de responsabilidad respectivo, cuyo resultado deberá de ser informado al Instituto.</w:t>
      </w:r>
    </w:p>
    <w:p w:rsidR="00741E11" w:rsidRDefault="00741E11" w:rsidP="00741E11">
      <w:pPr>
        <w:autoSpaceDE w:val="0"/>
        <w:autoSpaceDN w:val="0"/>
        <w:adjustRightInd w:val="0"/>
        <w:spacing w:after="0" w:line="360" w:lineRule="auto"/>
        <w:contextualSpacing/>
        <w:jc w:val="both"/>
        <w:rPr>
          <w:rFonts w:ascii="Palatino Linotype" w:eastAsia="Times New Roman" w:hAnsi="Palatino Linotype" w:cs="Times New Roman"/>
          <w:iCs/>
          <w:sz w:val="24"/>
          <w:szCs w:val="24"/>
          <w:lang w:val="es-ES" w:eastAsia="es-ES"/>
        </w:rPr>
      </w:pPr>
    </w:p>
    <w:p w:rsidR="00741E11" w:rsidRDefault="00741E11" w:rsidP="00741E11">
      <w:pPr>
        <w:autoSpaceDE w:val="0"/>
        <w:autoSpaceDN w:val="0"/>
        <w:adjustRightInd w:val="0"/>
        <w:spacing w:after="0" w:line="360" w:lineRule="auto"/>
        <w:contextualSpacing/>
        <w:jc w:val="both"/>
        <w:rPr>
          <w:rFonts w:ascii="Palatino Linotype" w:eastAsia="Times New Roman" w:hAnsi="Palatino Linotype" w:cs="Arial"/>
          <w:b/>
          <w:i/>
          <w:sz w:val="28"/>
          <w:szCs w:val="24"/>
          <w:lang w:val="es-ES" w:eastAsia="es-ES"/>
        </w:rPr>
      </w:pPr>
      <w:r w:rsidRPr="002444BB">
        <w:rPr>
          <w:rFonts w:ascii="Palatino Linotype" w:eastAsia="Times New Roman" w:hAnsi="Palatino Linotype" w:cs="Arial"/>
          <w:b/>
          <w:i/>
          <w:sz w:val="28"/>
          <w:szCs w:val="24"/>
          <w:lang w:val="es-ES" w:eastAsia="es-ES"/>
        </w:rPr>
        <w:t>De la versión pública</w:t>
      </w:r>
    </w:p>
    <w:p w:rsidR="00C1456A" w:rsidRDefault="00C1456A" w:rsidP="00C1456A">
      <w:pPr>
        <w:tabs>
          <w:tab w:val="left" w:pos="7938"/>
        </w:tabs>
        <w:spacing w:before="240" w:after="240" w:line="360" w:lineRule="auto"/>
        <w:jc w:val="both"/>
        <w:rPr>
          <w:rFonts w:ascii="Palatino Linotype" w:eastAsia="Arial Unicode MS" w:hAnsi="Palatino Linotype" w:cs="Arial"/>
          <w:sz w:val="24"/>
          <w:szCs w:val="24"/>
        </w:rPr>
      </w:pPr>
      <w:r>
        <w:rPr>
          <w:rFonts w:ascii="Palatino Linotype" w:eastAsia="Arial Unicode MS" w:hAnsi="Palatino Linotype" w:cs="Arial"/>
          <w:sz w:val="24"/>
          <w:szCs w:val="24"/>
        </w:rPr>
        <w:lastRenderedPageBreak/>
        <w:t>N</w:t>
      </w:r>
      <w:r w:rsidRPr="001571EB">
        <w:rPr>
          <w:rFonts w:ascii="Palatino Linotype" w:eastAsia="Arial Unicode MS" w:hAnsi="Palatino Linotype" w:cs="Arial"/>
          <w:sz w:val="24"/>
          <w:szCs w:val="24"/>
        </w:rPr>
        <w:t>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C1456A" w:rsidRPr="00E60DEF" w:rsidRDefault="00C1456A" w:rsidP="00C1456A">
      <w:pPr>
        <w:spacing w:before="240" w:line="360" w:lineRule="auto"/>
        <w:ind w:left="851" w:right="851"/>
        <w:jc w:val="both"/>
        <w:rPr>
          <w:rFonts w:ascii="Palatino Linotype" w:hAnsi="Palatino Linotype" w:cs="Arial"/>
          <w:i/>
        </w:rPr>
      </w:pPr>
      <w:r w:rsidRPr="00E60DEF">
        <w:rPr>
          <w:rFonts w:ascii="Palatino Linotype" w:hAnsi="Palatino Linotype" w:cs="Arial"/>
          <w:i/>
        </w:rPr>
        <w:t>“Artículo 3. Para los efectos de la presente Ley se entenderá por:</w:t>
      </w:r>
    </w:p>
    <w:p w:rsidR="00C1456A" w:rsidRPr="00E60DEF" w:rsidRDefault="00C1456A" w:rsidP="00C1456A">
      <w:pPr>
        <w:spacing w:before="240" w:line="360" w:lineRule="auto"/>
        <w:ind w:left="851" w:right="851"/>
        <w:jc w:val="both"/>
        <w:rPr>
          <w:rFonts w:ascii="Palatino Linotype" w:hAnsi="Palatino Linotype" w:cs="Arial"/>
          <w:i/>
        </w:rPr>
      </w:pPr>
      <w:r>
        <w:rPr>
          <w:rFonts w:ascii="Palatino Linotype" w:hAnsi="Palatino Linotype" w:cs="Arial"/>
          <w:i/>
        </w:rPr>
        <w:t>(</w:t>
      </w:r>
      <w:r w:rsidRPr="00E60DEF">
        <w:rPr>
          <w:rFonts w:ascii="Palatino Linotype" w:hAnsi="Palatino Linotype" w:cs="Arial"/>
          <w:i/>
        </w:rPr>
        <w:t>…</w:t>
      </w:r>
      <w:r>
        <w:rPr>
          <w:rFonts w:ascii="Palatino Linotype" w:hAnsi="Palatino Linotype" w:cs="Arial"/>
          <w:i/>
        </w:rPr>
        <w:t>)</w:t>
      </w:r>
    </w:p>
    <w:p w:rsidR="00C1456A" w:rsidRPr="001571EB" w:rsidRDefault="00C1456A" w:rsidP="00C1456A">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IX. Datos personales:</w:t>
      </w:r>
      <w:r w:rsidRPr="001571EB">
        <w:rPr>
          <w:rFonts w:ascii="Palatino Linotype" w:hAnsi="Palatino Linotype" w:cs="Arial"/>
          <w:b/>
          <w:i/>
        </w:rPr>
        <w:t xml:space="preserve"> </w:t>
      </w:r>
      <w:r w:rsidRPr="00E60DEF">
        <w:rPr>
          <w:rFonts w:ascii="Palatino Linotype" w:hAnsi="Palatino Linotype" w:cs="Arial"/>
          <w:i/>
        </w:rPr>
        <w:t>La información concerniente a una persona, identificada o identificable según lo dispuesto por la Ley de Protección de Datos Personales del Estado de México;</w:t>
      </w:r>
    </w:p>
    <w:p w:rsidR="00C1456A" w:rsidRPr="001571EB" w:rsidRDefault="00C1456A" w:rsidP="00C1456A">
      <w:pPr>
        <w:spacing w:before="240" w:line="360" w:lineRule="auto"/>
        <w:ind w:left="851" w:right="851"/>
        <w:jc w:val="both"/>
        <w:rPr>
          <w:rFonts w:ascii="Palatino Linotype" w:hAnsi="Palatino Linotype" w:cs="Arial"/>
          <w:b/>
          <w:i/>
        </w:rPr>
      </w:pPr>
      <w:r>
        <w:rPr>
          <w:rFonts w:ascii="Palatino Linotype" w:hAnsi="Palatino Linotype" w:cs="Arial"/>
          <w:b/>
          <w:i/>
        </w:rPr>
        <w:t>(</w:t>
      </w:r>
      <w:r w:rsidRPr="001571EB">
        <w:rPr>
          <w:rFonts w:ascii="Palatino Linotype" w:hAnsi="Palatino Linotype" w:cs="Arial"/>
          <w:b/>
          <w:i/>
        </w:rPr>
        <w:t>…</w:t>
      </w:r>
      <w:r>
        <w:rPr>
          <w:rFonts w:ascii="Palatino Linotype" w:hAnsi="Palatino Linotype" w:cs="Arial"/>
          <w:b/>
          <w:i/>
        </w:rPr>
        <w:t>)</w:t>
      </w:r>
    </w:p>
    <w:p w:rsidR="00C1456A" w:rsidRPr="001571EB" w:rsidRDefault="00C1456A" w:rsidP="00C1456A">
      <w:pPr>
        <w:spacing w:before="240" w:line="360" w:lineRule="auto"/>
        <w:ind w:left="851" w:right="851"/>
        <w:jc w:val="both"/>
        <w:rPr>
          <w:rFonts w:ascii="Palatino Linotype" w:hAnsi="Palatino Linotype" w:cs="Arial"/>
          <w:b/>
          <w:i/>
        </w:rPr>
      </w:pPr>
      <w:r w:rsidRPr="00E60DEF">
        <w:rPr>
          <w:rFonts w:ascii="Palatino Linotype" w:hAnsi="Palatino Linotype" w:cs="Arial"/>
          <w:b/>
          <w:i/>
          <w:u w:val="single"/>
        </w:rPr>
        <w:t>XLV. Versión pública:</w:t>
      </w:r>
      <w:r w:rsidRPr="001571EB">
        <w:rPr>
          <w:rFonts w:ascii="Palatino Linotype" w:hAnsi="Palatino Linotype" w:cs="Arial"/>
          <w:b/>
          <w:i/>
        </w:rPr>
        <w:t xml:space="preserve"> </w:t>
      </w:r>
      <w:r w:rsidRPr="00E60DEF">
        <w:rPr>
          <w:rFonts w:ascii="Palatino Linotype" w:hAnsi="Palatino Linotype" w:cs="Arial"/>
          <w:i/>
        </w:rPr>
        <w:t>Documento en el que se elimine, suprime o borra la información clasificada como reservada o confidencial para permitir su acceso.</w:t>
      </w:r>
    </w:p>
    <w:p w:rsidR="00C1456A" w:rsidRPr="001571EB" w:rsidRDefault="00C1456A" w:rsidP="00C1456A">
      <w:pPr>
        <w:spacing w:before="240" w:line="360" w:lineRule="auto"/>
        <w:ind w:left="851" w:right="851"/>
        <w:jc w:val="both"/>
        <w:rPr>
          <w:rFonts w:ascii="Palatino Linotype" w:hAnsi="Palatino Linotype" w:cs="Arial"/>
          <w:b/>
          <w:i/>
        </w:rPr>
      </w:pPr>
      <w:r w:rsidRPr="001571EB">
        <w:rPr>
          <w:rFonts w:ascii="Palatino Linotype" w:hAnsi="Palatino Linotype" w:cs="Arial"/>
          <w:i/>
        </w:rPr>
        <w:t xml:space="preserve">Artículo 122. </w:t>
      </w:r>
      <w:r w:rsidRPr="00E60DEF">
        <w:rPr>
          <w:rFonts w:ascii="Palatino Linotype" w:hAnsi="Palatino Linotype" w:cs="Arial"/>
          <w:b/>
          <w:i/>
          <w:u w:val="single"/>
        </w:rPr>
        <w:t xml:space="preserve">La clasificación es el proceso mediante el cual el sujeto obligado determina que la información en su poder </w:t>
      </w:r>
      <w:proofErr w:type="spellStart"/>
      <w:r w:rsidRPr="00E60DEF">
        <w:rPr>
          <w:rFonts w:ascii="Palatino Linotype" w:hAnsi="Palatino Linotype" w:cs="Arial"/>
          <w:b/>
          <w:i/>
          <w:u w:val="single"/>
        </w:rPr>
        <w:t>actualiza</w:t>
      </w:r>
      <w:proofErr w:type="spellEnd"/>
      <w:r w:rsidRPr="00E60DEF">
        <w:rPr>
          <w:rFonts w:ascii="Palatino Linotype" w:hAnsi="Palatino Linotype" w:cs="Arial"/>
          <w:b/>
          <w:i/>
          <w:u w:val="single"/>
        </w:rPr>
        <w:t xml:space="preserve"> alguno de los supuestos de reserva o confidencialidad, de conformidad con lo dispuesto en el presente título.</w:t>
      </w:r>
    </w:p>
    <w:p w:rsidR="00C1456A" w:rsidRPr="001571EB" w:rsidRDefault="00C1456A" w:rsidP="00C1456A">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rsidR="00C1456A" w:rsidRPr="001571EB" w:rsidRDefault="00C1456A" w:rsidP="00C1456A">
      <w:pPr>
        <w:spacing w:before="240" w:line="360" w:lineRule="auto"/>
        <w:ind w:left="851" w:right="851"/>
        <w:jc w:val="both"/>
        <w:rPr>
          <w:rFonts w:ascii="Palatino Linotype" w:hAnsi="Palatino Linotype" w:cs="Arial"/>
          <w:i/>
        </w:rPr>
      </w:pPr>
      <w:r w:rsidRPr="001571EB">
        <w:rPr>
          <w:rFonts w:ascii="Palatino Linotype" w:hAnsi="Palatino Linotype" w:cs="Arial"/>
          <w:i/>
        </w:rPr>
        <w:lastRenderedPageBreak/>
        <w:t>Artículo 132. La clasificación de la información se llevará a cabo en el momento en que:</w:t>
      </w:r>
    </w:p>
    <w:p w:rsidR="00C1456A" w:rsidRPr="001571EB" w:rsidRDefault="00C1456A" w:rsidP="00C1456A">
      <w:pPr>
        <w:spacing w:before="240" w:line="360" w:lineRule="auto"/>
        <w:ind w:left="851" w:right="851"/>
        <w:jc w:val="both"/>
        <w:rPr>
          <w:rFonts w:ascii="Palatino Linotype" w:hAnsi="Palatino Linotype" w:cs="Arial"/>
          <w:i/>
        </w:rPr>
      </w:pPr>
      <w:r w:rsidRPr="001571EB">
        <w:rPr>
          <w:rFonts w:ascii="Palatino Linotype" w:hAnsi="Palatino Linotype" w:cs="Arial"/>
          <w:i/>
        </w:rPr>
        <w:t>[…]</w:t>
      </w:r>
    </w:p>
    <w:p w:rsidR="00C1456A" w:rsidRPr="00E60DEF" w:rsidRDefault="00C1456A" w:rsidP="00C1456A">
      <w:pPr>
        <w:spacing w:before="240" w:line="360" w:lineRule="auto"/>
        <w:ind w:left="851" w:right="851"/>
        <w:jc w:val="both"/>
        <w:rPr>
          <w:rFonts w:ascii="Palatino Linotype" w:hAnsi="Palatino Linotype" w:cs="Arial"/>
          <w:b/>
          <w:i/>
          <w:u w:val="single"/>
        </w:rPr>
      </w:pPr>
      <w:r w:rsidRPr="00E60DEF">
        <w:rPr>
          <w:rFonts w:ascii="Palatino Linotype" w:hAnsi="Palatino Linotype" w:cs="Arial"/>
          <w:b/>
          <w:i/>
          <w:u w:val="single"/>
        </w:rPr>
        <w:t>II. Se determine mediante resolución de autoridad competente; o</w:t>
      </w:r>
    </w:p>
    <w:p w:rsidR="00C1456A" w:rsidRPr="001571EB" w:rsidRDefault="00C1456A" w:rsidP="00C1456A">
      <w:pPr>
        <w:spacing w:before="240" w:line="360" w:lineRule="auto"/>
        <w:ind w:left="851" w:right="851"/>
        <w:jc w:val="both"/>
        <w:rPr>
          <w:rFonts w:ascii="Palatino Linotype" w:hAnsi="Palatino Linotype" w:cs="Arial"/>
          <w:b/>
          <w:i/>
        </w:rPr>
      </w:pPr>
      <w:r>
        <w:rPr>
          <w:rFonts w:ascii="Palatino Linotype" w:hAnsi="Palatino Linotype" w:cs="Arial"/>
          <w:b/>
          <w:i/>
        </w:rPr>
        <w:t>(…)</w:t>
      </w:r>
    </w:p>
    <w:p w:rsidR="00C1456A" w:rsidRDefault="00C1456A" w:rsidP="00C1456A">
      <w:pPr>
        <w:spacing w:before="240" w:line="360" w:lineRule="auto"/>
        <w:ind w:left="851" w:right="851"/>
        <w:jc w:val="both"/>
        <w:rPr>
          <w:rFonts w:ascii="Palatino Linotype" w:hAnsi="Palatino Linotype" w:cs="Arial"/>
          <w:b/>
          <w:i/>
        </w:rPr>
      </w:pPr>
      <w:r w:rsidRPr="00E60DEF">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1571EB">
        <w:rPr>
          <w:rFonts w:ascii="Palatino Linotype" w:hAnsi="Palatino Linotype" w:cs="Arial"/>
          <w:b/>
          <w:i/>
        </w:rPr>
        <w:t xml:space="preserve"> </w:t>
      </w:r>
      <w:r w:rsidRPr="001571EB">
        <w:rPr>
          <w:rFonts w:ascii="Palatino Linotype" w:hAnsi="Palatino Linotype" w:cs="Arial"/>
          <w:b/>
          <w:i/>
          <w:u w:val="single"/>
        </w:rPr>
        <w:t>de manera genérica y fundando y motivando su clasificación.</w:t>
      </w:r>
      <w:r>
        <w:rPr>
          <w:rFonts w:ascii="Palatino Linotype" w:hAnsi="Palatino Linotype" w:cs="Arial"/>
          <w:b/>
          <w:i/>
          <w:u w:val="single"/>
        </w:rPr>
        <w:t xml:space="preserve">” </w:t>
      </w:r>
      <w:r w:rsidRPr="00E60DEF">
        <w:rPr>
          <w:rFonts w:ascii="Palatino Linotype" w:hAnsi="Palatino Linotype" w:cs="Arial"/>
          <w:b/>
          <w:i/>
        </w:rPr>
        <w:t>[Sic]</w:t>
      </w:r>
    </w:p>
    <w:p w:rsidR="00C1456A" w:rsidRDefault="00C1456A" w:rsidP="00C1456A">
      <w:pPr>
        <w:spacing w:line="360" w:lineRule="auto"/>
        <w:ind w:right="51"/>
        <w:jc w:val="both"/>
        <w:rPr>
          <w:rFonts w:ascii="Palatino Linotype" w:eastAsia="Palatino Linotype" w:hAnsi="Palatino Linotype" w:cs="Palatino Linotype"/>
        </w:rPr>
      </w:pPr>
    </w:p>
    <w:p w:rsidR="00C1456A" w:rsidRPr="00C1456A" w:rsidRDefault="00C1456A" w:rsidP="00C1456A">
      <w:pPr>
        <w:spacing w:line="360" w:lineRule="auto"/>
        <w:ind w:right="51"/>
        <w:jc w:val="both"/>
        <w:rPr>
          <w:rFonts w:ascii="Palatino Linotype" w:hAnsi="Palatino Linotype"/>
          <w:sz w:val="24"/>
          <w:szCs w:val="14"/>
        </w:rPr>
      </w:pPr>
      <w:r w:rsidRPr="00C1456A">
        <w:rPr>
          <w:rFonts w:ascii="Palatino Linotype" w:eastAsia="Palatino Linotype" w:hAnsi="Palatino Linotype" w:cs="Palatino Linotype"/>
          <w:sz w:val="24"/>
        </w:rPr>
        <w:t xml:space="preserve">Igualmente, resulta importante destacar que el </w:t>
      </w:r>
      <w:r w:rsidRPr="00C1456A">
        <w:rPr>
          <w:rFonts w:ascii="Palatino Linotype" w:eastAsia="Palatino Linotype" w:hAnsi="Palatino Linotype" w:cs="Palatino Linotype"/>
          <w:b/>
          <w:i/>
          <w:sz w:val="24"/>
        </w:rPr>
        <w:t>número de cuenta bancaria</w:t>
      </w:r>
      <w:r w:rsidRPr="00C1456A">
        <w:rPr>
          <w:rFonts w:ascii="Palatino Linotype" w:eastAsia="Palatino Linotype" w:hAnsi="Palatino Linotype" w:cs="Palatino Linotype"/>
          <w:b/>
          <w:sz w:val="24"/>
        </w:rPr>
        <w:t xml:space="preserve"> de las personas físicas y morales privadas </w:t>
      </w:r>
      <w:r w:rsidRPr="00C1456A">
        <w:rPr>
          <w:rFonts w:ascii="Palatino Linotype" w:eastAsia="Palatino Linotype" w:hAnsi="Palatino Linotype" w:cs="Palatino Linotype"/>
          <w:sz w:val="24"/>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C1456A" w:rsidRPr="00C1456A" w:rsidRDefault="00C1456A" w:rsidP="00C1456A">
      <w:pPr>
        <w:spacing w:line="360" w:lineRule="auto"/>
        <w:ind w:right="50"/>
        <w:jc w:val="both"/>
        <w:rPr>
          <w:rFonts w:ascii="Palatino Linotype" w:eastAsia="Palatino Linotype" w:hAnsi="Palatino Linotype" w:cs="Palatino Linotype"/>
          <w:sz w:val="24"/>
        </w:rPr>
      </w:pPr>
      <w:r w:rsidRPr="00C1456A">
        <w:rPr>
          <w:rFonts w:ascii="Palatino Linotype" w:eastAsia="Palatino Linotype" w:hAnsi="Palatino Linotype" w:cs="Palatino Linotype"/>
          <w:sz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C1456A" w:rsidRPr="00C1456A" w:rsidRDefault="00C1456A" w:rsidP="00C1456A">
      <w:pPr>
        <w:spacing w:line="360" w:lineRule="auto"/>
        <w:ind w:right="50"/>
        <w:jc w:val="both"/>
        <w:rPr>
          <w:rFonts w:ascii="Palatino Linotype" w:eastAsia="Palatino Linotype" w:hAnsi="Palatino Linotype" w:cs="Palatino Linotype"/>
          <w:sz w:val="24"/>
        </w:rPr>
      </w:pPr>
      <w:r w:rsidRPr="00C1456A">
        <w:rPr>
          <w:rFonts w:ascii="Palatino Linotype" w:eastAsia="Palatino Linotype" w:hAnsi="Palatino Linotype" w:cs="Palatino Linotype"/>
          <w:sz w:val="24"/>
        </w:rPr>
        <w:t xml:space="preserve">Además de que, la publicidad de los números de cuenta bancaria de los particulares en nada contribuye a la rendición de cuentas, sino por el contrario, dar a conocer los </w:t>
      </w:r>
      <w:r w:rsidRPr="00C1456A">
        <w:rPr>
          <w:rFonts w:ascii="Palatino Linotype" w:eastAsia="Palatino Linotype" w:hAnsi="Palatino Linotype" w:cs="Palatino Linotype"/>
          <w:sz w:val="24"/>
        </w:rPr>
        <w:lastRenderedPageBreak/>
        <w:t xml:space="preserve">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rsidR="00C1456A" w:rsidRPr="00C1456A" w:rsidRDefault="00C1456A" w:rsidP="00C1456A">
      <w:pPr>
        <w:spacing w:line="360" w:lineRule="auto"/>
        <w:ind w:right="50"/>
        <w:jc w:val="both"/>
        <w:rPr>
          <w:rFonts w:ascii="Palatino Linotype" w:eastAsia="Palatino Linotype" w:hAnsi="Palatino Linotype" w:cs="Palatino Linotype"/>
          <w:sz w:val="24"/>
        </w:rPr>
      </w:pPr>
      <w:r w:rsidRPr="00C1456A">
        <w:rPr>
          <w:rFonts w:ascii="Palatino Linotype" w:eastAsia="Palatino Linotype" w:hAnsi="Palatino Linotype" w:cs="Palatino Linotype"/>
          <w:sz w:val="24"/>
        </w:rPr>
        <w:t xml:space="preserve">En esa virtud, este Pleno determina que dicha información no puede ser del dominio público, toda vez que se podría dar un uso inadecuado a la misma o cometer algún ilícito o fraude como ya ha sido expuesto. </w:t>
      </w:r>
    </w:p>
    <w:p w:rsidR="00C1456A" w:rsidRPr="00C1456A" w:rsidRDefault="00C1456A" w:rsidP="00C1456A">
      <w:pPr>
        <w:spacing w:line="360" w:lineRule="auto"/>
        <w:ind w:right="50"/>
        <w:jc w:val="both"/>
        <w:rPr>
          <w:rFonts w:ascii="Palatino Linotype" w:eastAsia="Palatino Linotype" w:hAnsi="Palatino Linotype" w:cs="Palatino Linotype"/>
          <w:sz w:val="24"/>
        </w:rPr>
      </w:pPr>
    </w:p>
    <w:p w:rsidR="00C1456A" w:rsidRPr="00C1456A" w:rsidRDefault="00C1456A" w:rsidP="00C1456A">
      <w:pPr>
        <w:spacing w:line="360" w:lineRule="auto"/>
        <w:ind w:right="50"/>
        <w:jc w:val="both"/>
        <w:rPr>
          <w:rFonts w:ascii="Palatino Linotype" w:eastAsia="Palatino Linotype" w:hAnsi="Palatino Linotype" w:cs="Palatino Linotype"/>
          <w:sz w:val="24"/>
        </w:rPr>
      </w:pPr>
      <w:r w:rsidRPr="00C1456A">
        <w:rPr>
          <w:rFonts w:ascii="Palatino Linotype" w:eastAsia="Palatino Linotype" w:hAnsi="Palatino Linotype" w:cs="Palatino Linotype"/>
          <w:sz w:val="24"/>
        </w:rPr>
        <w:t>Es por esta razón que se debe omitir el o los números de cuentas bancarias de particulares en las versiones públicas que del contrato y la o las facturas se hagan, para ser entregadas.</w:t>
      </w:r>
    </w:p>
    <w:p w:rsidR="00C1456A" w:rsidRPr="00C1456A" w:rsidRDefault="00C1456A" w:rsidP="00C1456A">
      <w:pPr>
        <w:spacing w:line="360" w:lineRule="auto"/>
        <w:ind w:right="50"/>
        <w:jc w:val="both"/>
        <w:rPr>
          <w:rFonts w:ascii="Palatino Linotype" w:eastAsia="Palatino Linotype" w:hAnsi="Palatino Linotype" w:cs="Palatino Linotype"/>
          <w:sz w:val="24"/>
        </w:rPr>
      </w:pPr>
      <w:r w:rsidRPr="00C1456A">
        <w:rPr>
          <w:rFonts w:ascii="Palatino Linotype" w:eastAsia="Palatino Linotype" w:hAnsi="Palatino Linotype" w:cs="Palatino Linotype"/>
          <w:sz w:val="24"/>
        </w:rPr>
        <w:t>Lo anterior, no es así tratándose de las cuentas bancarias o claves interbancarias de los Sujetos Obligados ya que su publicidad cede a la rendición de cuentas al transparentar la forma en que son administrados los recursos públicos.</w:t>
      </w:r>
    </w:p>
    <w:p w:rsidR="00C1456A" w:rsidRDefault="00C1456A" w:rsidP="00C1456A">
      <w:pPr>
        <w:spacing w:line="360" w:lineRule="auto"/>
        <w:ind w:right="50"/>
        <w:jc w:val="both"/>
        <w:rPr>
          <w:rFonts w:ascii="Palatino Linotype" w:eastAsia="Palatino Linotype" w:hAnsi="Palatino Linotype" w:cs="Palatino Linotype"/>
        </w:rPr>
      </w:pPr>
      <w:r>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rsidR="00C1456A" w:rsidRDefault="00C1456A" w:rsidP="00C1456A">
      <w:pPr>
        <w:spacing w:line="360" w:lineRule="auto"/>
        <w:ind w:right="50"/>
        <w:jc w:val="both"/>
        <w:rPr>
          <w:rFonts w:ascii="Palatino Linotype" w:eastAsia="Palatino Linotype" w:hAnsi="Palatino Linotype" w:cs="Palatino Linotype"/>
        </w:rPr>
      </w:pPr>
    </w:p>
    <w:p w:rsidR="00C1456A" w:rsidRDefault="00C1456A" w:rsidP="00C1456A">
      <w:pPr>
        <w:spacing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personas físicas y morales privadas.</w:t>
      </w:r>
      <w:r>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w:t>
      </w:r>
      <w:r>
        <w:rPr>
          <w:rFonts w:ascii="Palatino Linotype" w:eastAsia="Palatino Linotype" w:hAnsi="Palatino Linotype" w:cs="Palatino Linotype"/>
          <w:i/>
        </w:rPr>
        <w:lastRenderedPageBreak/>
        <w:t>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C1456A" w:rsidRDefault="00C1456A" w:rsidP="00C1456A">
      <w:pPr>
        <w:spacing w:after="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sujetos obligados que reciben y/o transfieren recursos públicos, son información pública</w:t>
      </w:r>
      <w:r>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w:t>
      </w:r>
    </w:p>
    <w:p w:rsidR="005E3318" w:rsidRDefault="005E3318" w:rsidP="00C1456A">
      <w:pPr>
        <w:spacing w:after="0" w:line="360" w:lineRule="auto"/>
        <w:ind w:right="51"/>
        <w:jc w:val="both"/>
        <w:rPr>
          <w:rFonts w:ascii="Palatino Linotype" w:eastAsia="Arial Unicode MS" w:hAnsi="Palatino Linotype" w:cs="Arial"/>
          <w:sz w:val="24"/>
          <w:szCs w:val="24"/>
        </w:rPr>
      </w:pPr>
    </w:p>
    <w:p w:rsidR="00C1456A" w:rsidRPr="001571EB" w:rsidRDefault="00C1456A" w:rsidP="00C1456A">
      <w:pPr>
        <w:spacing w:after="0" w:line="360" w:lineRule="auto"/>
        <w:ind w:right="51"/>
        <w:jc w:val="both"/>
        <w:rPr>
          <w:rFonts w:ascii="Palatino Linotype" w:hAnsi="Palatino Linotype" w:cs="Arial"/>
          <w:sz w:val="24"/>
          <w:szCs w:val="24"/>
        </w:rPr>
      </w:pPr>
      <w:r w:rsidRPr="001571EB">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1571EB">
        <w:rPr>
          <w:rFonts w:ascii="Palatino Linotype" w:hAnsi="Palatino Linotype" w:cs="Arial"/>
          <w:sz w:val="24"/>
          <w:szCs w:val="24"/>
        </w:rPr>
        <w:t xml:space="preserve">el </w:t>
      </w:r>
      <w:r w:rsidRPr="00BA3B27">
        <w:rPr>
          <w:rFonts w:ascii="Palatino Linotype" w:hAnsi="Palatino Linotype" w:cs="Arial"/>
          <w:b/>
          <w:sz w:val="24"/>
          <w:szCs w:val="24"/>
        </w:rPr>
        <w:t>Registro Federal de Contribuyentes (RFC) que no sean de proveedores</w:t>
      </w:r>
      <w:r w:rsidRPr="001571EB">
        <w:rPr>
          <w:rFonts w:ascii="Palatino Linotype" w:hAnsi="Palatino Linotype" w:cs="Arial"/>
          <w:sz w:val="24"/>
          <w:szCs w:val="24"/>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rsidR="00C1456A" w:rsidRPr="006C599E" w:rsidRDefault="00C1456A" w:rsidP="00C1456A">
      <w:pPr>
        <w:spacing w:before="240" w:after="240" w:line="360" w:lineRule="auto"/>
        <w:ind w:right="-91"/>
        <w:jc w:val="both"/>
        <w:rPr>
          <w:rFonts w:ascii="Palatino Linotype" w:hAnsi="Palatino Linotype" w:cs="Arial"/>
          <w:sz w:val="24"/>
          <w:szCs w:val="24"/>
          <w:lang w:val="es-ES_tradnl" w:eastAsia="es-MX"/>
        </w:rPr>
      </w:pPr>
      <w:r w:rsidRPr="006C599E">
        <w:rPr>
          <w:rFonts w:ascii="Palatino Linotype" w:hAnsi="Palatino Linotype" w:cs="Arial"/>
          <w:sz w:val="24"/>
          <w:szCs w:val="24"/>
          <w:lang w:val="es-ES_tradnl" w:eastAsia="es-MX"/>
        </w:rPr>
        <w:t xml:space="preserve">Lo anterior es compartido por el ahora </w:t>
      </w:r>
      <w:r w:rsidRPr="006C599E">
        <w:rPr>
          <w:rFonts w:ascii="Palatino Linotype" w:hAnsi="Palatino Linotype" w:cs="Arial"/>
          <w:b/>
          <w:bCs/>
          <w:sz w:val="24"/>
          <w:szCs w:val="24"/>
          <w:lang w:val="es-ES_tradnl" w:eastAsia="es-MX"/>
        </w:rPr>
        <w:t>Instituto Nacional de Transparencia, Acceso a la Información y Protección de Datos Personales</w:t>
      </w:r>
      <w:r w:rsidRPr="006C599E">
        <w:rPr>
          <w:rFonts w:ascii="Palatino Linotype" w:hAnsi="Palatino Linotype" w:cs="Arial"/>
          <w:sz w:val="24"/>
          <w:szCs w:val="24"/>
          <w:lang w:val="es-ES_tradnl" w:eastAsia="es-MX"/>
        </w:rPr>
        <w:t xml:space="preserve"> (INAI), conforme al criterio </w:t>
      </w:r>
      <w:r w:rsidRPr="006C599E">
        <w:rPr>
          <w:rFonts w:ascii="Palatino Linotype" w:hAnsi="Palatino Linotype" w:cs="Arial"/>
          <w:b/>
          <w:sz w:val="24"/>
          <w:szCs w:val="24"/>
          <w:lang w:val="es-ES_tradnl" w:eastAsia="es-MX"/>
        </w:rPr>
        <w:t>19/17</w:t>
      </w:r>
      <w:r>
        <w:rPr>
          <w:rFonts w:ascii="Palatino Linotype" w:hAnsi="Palatino Linotype" w:cs="Arial"/>
          <w:b/>
          <w:sz w:val="24"/>
          <w:szCs w:val="24"/>
          <w:lang w:val="es-ES_tradnl" w:eastAsia="es-MX"/>
        </w:rPr>
        <w:t xml:space="preserve"> y </w:t>
      </w:r>
      <w:r w:rsidRPr="008E6824">
        <w:rPr>
          <w:rFonts w:ascii="Palatino Linotype" w:hAnsi="Palatino Linotype" w:cs="Arial"/>
          <w:b/>
          <w:sz w:val="24"/>
          <w:lang w:eastAsia="es-MX"/>
        </w:rPr>
        <w:t>004/2021</w:t>
      </w:r>
      <w:r w:rsidRPr="006C599E">
        <w:rPr>
          <w:rFonts w:ascii="Palatino Linotype" w:hAnsi="Palatino Linotype" w:cs="Arial"/>
          <w:b/>
          <w:sz w:val="24"/>
          <w:szCs w:val="24"/>
          <w:lang w:val="es-ES_tradnl" w:eastAsia="es-MX"/>
        </w:rPr>
        <w:t>,</w:t>
      </w:r>
      <w:r w:rsidRPr="006C599E">
        <w:rPr>
          <w:rFonts w:ascii="Palatino Linotype" w:hAnsi="Palatino Linotype" w:cs="Arial"/>
          <w:sz w:val="24"/>
          <w:szCs w:val="24"/>
          <w:lang w:val="es-ES_tradnl" w:eastAsia="es-MX"/>
        </w:rPr>
        <w:t xml:space="preserve"> el cual es del tenor literal siguiente:</w:t>
      </w:r>
    </w:p>
    <w:p w:rsidR="00C1456A" w:rsidRPr="006C599E" w:rsidRDefault="00C1456A" w:rsidP="00C1456A">
      <w:pPr>
        <w:autoSpaceDE w:val="0"/>
        <w:autoSpaceDN w:val="0"/>
        <w:adjustRightInd w:val="0"/>
        <w:spacing w:before="240" w:after="0" w:line="240" w:lineRule="auto"/>
        <w:ind w:left="851" w:right="851"/>
        <w:jc w:val="center"/>
        <w:rPr>
          <w:rFonts w:ascii="Palatino Linotype" w:hAnsi="Palatino Linotype" w:cs="Arial"/>
          <w:b/>
          <w:bCs/>
          <w:i/>
          <w:sz w:val="24"/>
          <w:lang w:val="es-ES_tradnl" w:eastAsia="es-MX"/>
        </w:rPr>
      </w:pPr>
      <w:r w:rsidRPr="006C599E">
        <w:rPr>
          <w:rFonts w:ascii="Palatino Linotype" w:hAnsi="Palatino Linotype" w:cs="Arial"/>
          <w:bCs/>
          <w:i/>
          <w:sz w:val="24"/>
          <w:lang w:val="es-ES_tradnl" w:eastAsia="es-MX"/>
        </w:rPr>
        <w:t>“</w:t>
      </w:r>
      <w:r w:rsidRPr="006C599E">
        <w:rPr>
          <w:rFonts w:ascii="Palatino Linotype" w:hAnsi="Palatino Linotype" w:cs="Arial"/>
          <w:b/>
          <w:bCs/>
          <w:i/>
          <w:sz w:val="24"/>
          <w:lang w:val="es-ES_tradnl" w:eastAsia="es-MX"/>
        </w:rPr>
        <w:t>REGISTRO FEDERAL DE CONTRIBUYENTES (RFC) DE PERSONAS FÍSICAS.</w:t>
      </w:r>
    </w:p>
    <w:p w:rsidR="00C1456A" w:rsidRPr="006C599E" w:rsidRDefault="00C1456A" w:rsidP="00C1456A">
      <w:pPr>
        <w:autoSpaceDE w:val="0"/>
        <w:autoSpaceDN w:val="0"/>
        <w:adjustRightInd w:val="0"/>
        <w:spacing w:before="240" w:after="0" w:line="240" w:lineRule="auto"/>
        <w:ind w:left="851" w:right="851"/>
        <w:jc w:val="both"/>
        <w:rPr>
          <w:rFonts w:ascii="Palatino Linotype" w:hAnsi="Palatino Linotype" w:cs="Arial"/>
          <w:bCs/>
          <w:i/>
          <w:sz w:val="24"/>
          <w:lang w:val="es-ES_tradnl" w:eastAsia="es-MX"/>
        </w:rPr>
      </w:pPr>
      <w:r w:rsidRPr="006C599E">
        <w:rPr>
          <w:rFonts w:ascii="Palatino Linotype" w:hAnsi="Palatino Linotype" w:cs="Arial"/>
          <w:bCs/>
          <w:i/>
          <w:sz w:val="24"/>
          <w:lang w:val="es-ES_tradnl" w:eastAsia="es-MX"/>
        </w:rPr>
        <w:t xml:space="preserve">El RFC es una clave de carácter fiscal, </w:t>
      </w:r>
      <w:proofErr w:type="gramStart"/>
      <w:r w:rsidRPr="006C599E">
        <w:rPr>
          <w:rFonts w:ascii="Palatino Linotype" w:hAnsi="Palatino Linotype" w:cs="Arial"/>
          <w:bCs/>
          <w:i/>
          <w:sz w:val="24"/>
          <w:lang w:val="es-ES_tradnl" w:eastAsia="es-MX"/>
        </w:rPr>
        <w:t>única</w:t>
      </w:r>
      <w:proofErr w:type="gramEnd"/>
      <w:r w:rsidRPr="006C599E">
        <w:rPr>
          <w:rFonts w:ascii="Palatino Linotype" w:hAnsi="Palatino Linotype" w:cs="Arial"/>
          <w:bCs/>
          <w:i/>
          <w:sz w:val="24"/>
          <w:lang w:val="es-ES_tradnl" w:eastAsia="es-MX"/>
        </w:rPr>
        <w:t xml:space="preserve"> e irrepetible, que permite identificar al titular, su edad y fecha de nacimiento, por lo que es un dato personal de carácter confidencial.</w:t>
      </w:r>
    </w:p>
    <w:p w:rsidR="00C1456A" w:rsidRPr="006C599E" w:rsidRDefault="00C1456A" w:rsidP="00C1456A">
      <w:pPr>
        <w:autoSpaceDE w:val="0"/>
        <w:autoSpaceDN w:val="0"/>
        <w:adjustRightInd w:val="0"/>
        <w:spacing w:before="240" w:after="0" w:line="240" w:lineRule="auto"/>
        <w:ind w:left="851" w:right="851"/>
        <w:jc w:val="both"/>
        <w:rPr>
          <w:rFonts w:ascii="Palatino Linotype" w:hAnsi="Palatino Linotype" w:cs="Arial"/>
          <w:b/>
          <w:i/>
          <w:sz w:val="24"/>
          <w:lang w:val="es-ES_tradnl" w:eastAsia="es-MX"/>
        </w:rPr>
      </w:pPr>
      <w:r w:rsidRPr="006C599E">
        <w:rPr>
          <w:rFonts w:ascii="Palatino Linotype" w:hAnsi="Palatino Linotype" w:cs="Arial"/>
          <w:b/>
          <w:i/>
          <w:sz w:val="24"/>
          <w:lang w:val="es-ES_tradnl" w:eastAsia="es-MX"/>
        </w:rPr>
        <w:lastRenderedPageBreak/>
        <w:t>Resoluciones:</w:t>
      </w:r>
    </w:p>
    <w:p w:rsidR="00C1456A" w:rsidRPr="006C599E" w:rsidRDefault="00C1456A" w:rsidP="00C1456A">
      <w:pPr>
        <w:autoSpaceDE w:val="0"/>
        <w:autoSpaceDN w:val="0"/>
        <w:adjustRightInd w:val="0"/>
        <w:spacing w:before="240" w:after="0" w:line="240" w:lineRule="auto"/>
        <w:ind w:left="851" w:right="851"/>
        <w:jc w:val="both"/>
        <w:rPr>
          <w:rFonts w:ascii="Palatino Linotype" w:hAnsi="Palatino Linotype" w:cs="Arial"/>
          <w:i/>
          <w:sz w:val="24"/>
          <w:lang w:val="es-ES" w:eastAsia="es-MX"/>
        </w:rPr>
      </w:pPr>
      <w:r w:rsidRPr="006C599E">
        <w:rPr>
          <w:rFonts w:ascii="Palatino Linotype" w:hAnsi="Palatino Linotype" w:cs="Arial"/>
          <w:b/>
          <w:i/>
          <w:sz w:val="24"/>
          <w:lang w:val="es-ES_tradnl" w:eastAsia="es-MX"/>
        </w:rPr>
        <w:t xml:space="preserve">RRA </w:t>
      </w:r>
      <w:r w:rsidRPr="006C599E">
        <w:rPr>
          <w:rFonts w:ascii="Palatino Linotype" w:hAnsi="Palatino Linotype" w:cs="Arial"/>
          <w:b/>
          <w:i/>
          <w:sz w:val="24"/>
          <w:lang w:val="es-ES" w:eastAsia="es-MX"/>
        </w:rPr>
        <w:t xml:space="preserve">0189/17. </w:t>
      </w:r>
      <w:r w:rsidRPr="006C599E">
        <w:rPr>
          <w:rFonts w:ascii="Palatino Linotype" w:hAnsi="Palatino Linotype" w:cs="Arial"/>
          <w:i/>
          <w:sz w:val="24"/>
          <w:lang w:val="es-ES" w:eastAsia="es-MX"/>
        </w:rPr>
        <w:t xml:space="preserve">Morena. 08 de febrero de 2017. Por unanimidad. Comisionado Ponente </w:t>
      </w:r>
      <w:r w:rsidRPr="006C599E">
        <w:rPr>
          <w:rFonts w:ascii="Palatino Linotype" w:hAnsi="Palatino Linotype" w:cs="Arial"/>
          <w:i/>
          <w:sz w:val="24"/>
          <w:lang w:val="es-ES_tradnl" w:eastAsia="es-MX"/>
        </w:rPr>
        <w:t>Joel Salas Suárez.</w:t>
      </w:r>
    </w:p>
    <w:p w:rsidR="00C1456A" w:rsidRPr="006C599E" w:rsidRDefault="00C1456A" w:rsidP="00C1456A">
      <w:pPr>
        <w:autoSpaceDE w:val="0"/>
        <w:autoSpaceDN w:val="0"/>
        <w:adjustRightInd w:val="0"/>
        <w:spacing w:before="240" w:after="0" w:line="240" w:lineRule="auto"/>
        <w:ind w:left="851" w:right="851"/>
        <w:jc w:val="both"/>
        <w:rPr>
          <w:rFonts w:ascii="Palatino Linotype" w:hAnsi="Palatino Linotype" w:cs="Arial"/>
          <w:i/>
          <w:sz w:val="24"/>
          <w:lang w:val="es-ES" w:eastAsia="es-MX"/>
        </w:rPr>
      </w:pPr>
      <w:r w:rsidRPr="006C599E">
        <w:rPr>
          <w:rFonts w:ascii="Palatino Linotype" w:hAnsi="Palatino Linotype" w:cs="Arial"/>
          <w:b/>
          <w:i/>
          <w:sz w:val="24"/>
          <w:lang w:val="es-ES_tradnl" w:eastAsia="es-MX"/>
        </w:rPr>
        <w:t xml:space="preserve">RRA </w:t>
      </w:r>
      <w:r w:rsidRPr="006C599E">
        <w:rPr>
          <w:rFonts w:ascii="Palatino Linotype" w:hAnsi="Palatino Linotype" w:cs="Arial"/>
          <w:b/>
          <w:bCs/>
          <w:i/>
          <w:sz w:val="24"/>
          <w:lang w:val="es-ES_tradnl" w:eastAsia="es-MX"/>
        </w:rPr>
        <w:t>0677</w:t>
      </w:r>
      <w:r w:rsidRPr="006C599E">
        <w:rPr>
          <w:rFonts w:ascii="Palatino Linotype" w:hAnsi="Palatino Linotype" w:cs="Arial"/>
          <w:b/>
          <w:i/>
          <w:sz w:val="24"/>
          <w:lang w:val="es-ES_tradnl" w:eastAsia="es-MX"/>
        </w:rPr>
        <w:t xml:space="preserve">/17. </w:t>
      </w:r>
      <w:r w:rsidRPr="006C599E">
        <w:rPr>
          <w:rFonts w:ascii="Palatino Linotype" w:hAnsi="Palatino Linotype" w:cs="Arial"/>
          <w:i/>
          <w:sz w:val="24"/>
          <w:lang w:val="es-ES" w:eastAsia="es-MX"/>
        </w:rPr>
        <w:t xml:space="preserve">Universidad Nacional Autónoma de México. 08 de marzo de 2017. Por unanimidad. Comisionado Ponente </w:t>
      </w:r>
      <w:proofErr w:type="spellStart"/>
      <w:r w:rsidRPr="006C599E">
        <w:rPr>
          <w:rFonts w:ascii="Palatino Linotype" w:hAnsi="Palatino Linotype" w:cs="Arial"/>
          <w:i/>
          <w:sz w:val="24"/>
          <w:lang w:val="es-ES" w:eastAsia="es-MX"/>
        </w:rPr>
        <w:t>Rosendoevgueni</w:t>
      </w:r>
      <w:proofErr w:type="spellEnd"/>
      <w:r w:rsidRPr="006C599E">
        <w:rPr>
          <w:rFonts w:ascii="Palatino Linotype" w:hAnsi="Palatino Linotype" w:cs="Arial"/>
          <w:i/>
          <w:sz w:val="24"/>
          <w:lang w:val="es-ES" w:eastAsia="es-MX"/>
        </w:rPr>
        <w:t xml:space="preserve"> Monterrey </w:t>
      </w:r>
      <w:proofErr w:type="spellStart"/>
      <w:r w:rsidRPr="006C599E">
        <w:rPr>
          <w:rFonts w:ascii="Palatino Linotype" w:hAnsi="Palatino Linotype" w:cs="Arial"/>
          <w:i/>
          <w:sz w:val="24"/>
          <w:lang w:val="es-ES" w:eastAsia="es-MX"/>
        </w:rPr>
        <w:t>Chepov</w:t>
      </w:r>
      <w:proofErr w:type="spellEnd"/>
      <w:r w:rsidRPr="006C599E">
        <w:rPr>
          <w:rFonts w:ascii="Palatino Linotype" w:hAnsi="Palatino Linotype" w:cs="Arial"/>
          <w:i/>
          <w:sz w:val="24"/>
          <w:lang w:val="es-ES_tradnl" w:eastAsia="es-MX"/>
        </w:rPr>
        <w:t>.</w:t>
      </w:r>
      <w:r w:rsidRPr="006C599E">
        <w:rPr>
          <w:rFonts w:ascii="Palatino Linotype" w:hAnsi="Palatino Linotype" w:cs="Arial"/>
          <w:b/>
          <w:i/>
          <w:sz w:val="24"/>
          <w:lang w:val="es-ES_tradnl" w:eastAsia="es-MX"/>
        </w:rPr>
        <w:t xml:space="preserve"> </w:t>
      </w:r>
    </w:p>
    <w:p w:rsidR="00C1456A" w:rsidRDefault="00C1456A" w:rsidP="00C1456A">
      <w:pPr>
        <w:autoSpaceDE w:val="0"/>
        <w:autoSpaceDN w:val="0"/>
        <w:adjustRightInd w:val="0"/>
        <w:spacing w:before="240" w:after="0" w:line="240" w:lineRule="auto"/>
        <w:ind w:left="851" w:right="851"/>
        <w:jc w:val="both"/>
        <w:rPr>
          <w:rFonts w:ascii="Palatino Linotype" w:hAnsi="Palatino Linotype" w:cs="Arial"/>
          <w:b/>
          <w:i/>
          <w:sz w:val="24"/>
          <w:lang w:val="es-ES_tradnl" w:eastAsia="es-MX"/>
        </w:rPr>
      </w:pPr>
      <w:r w:rsidRPr="006C599E">
        <w:rPr>
          <w:rFonts w:ascii="Palatino Linotype" w:hAnsi="Palatino Linotype" w:cs="Arial"/>
          <w:b/>
          <w:i/>
          <w:sz w:val="24"/>
          <w:lang w:val="es-ES_tradnl" w:eastAsia="es-MX"/>
        </w:rPr>
        <w:t>RRA</w:t>
      </w:r>
      <w:r w:rsidRPr="006C599E">
        <w:rPr>
          <w:rFonts w:ascii="Palatino Linotype" w:hAnsi="Palatino Linotype" w:cs="Arial"/>
          <w:i/>
          <w:sz w:val="24"/>
          <w:lang w:val="es-ES" w:eastAsia="es-MX"/>
        </w:rPr>
        <w:t xml:space="preserve"> </w:t>
      </w:r>
      <w:r w:rsidRPr="006C599E">
        <w:rPr>
          <w:rFonts w:ascii="Palatino Linotype" w:hAnsi="Palatino Linotype" w:cs="Arial"/>
          <w:b/>
          <w:i/>
          <w:sz w:val="24"/>
          <w:lang w:val="es-ES_tradnl" w:eastAsia="es-MX"/>
        </w:rPr>
        <w:t xml:space="preserve">1564/17. </w:t>
      </w:r>
      <w:r w:rsidRPr="006C599E">
        <w:rPr>
          <w:rFonts w:ascii="Palatino Linotype" w:hAnsi="Palatino Linotype" w:cs="Arial"/>
          <w:i/>
          <w:sz w:val="24"/>
          <w:lang w:val="es-ES" w:eastAsia="es-MX"/>
        </w:rPr>
        <w:t>Tribunal Electoral del Poder Judicial de la Federación</w:t>
      </w:r>
      <w:r w:rsidRPr="006C599E">
        <w:rPr>
          <w:rFonts w:ascii="Palatino Linotype" w:hAnsi="Palatino Linotype" w:cs="Arial"/>
          <w:i/>
          <w:sz w:val="24"/>
          <w:lang w:val="es-ES_tradnl" w:eastAsia="es-MX"/>
        </w:rPr>
        <w:t xml:space="preserve">. 26 de abril de 2017. Por unanimidad. Comisionado Ponente Oscar Mauricio Guerra Ford.” </w:t>
      </w:r>
      <w:r w:rsidRPr="006C599E">
        <w:rPr>
          <w:rFonts w:ascii="Palatino Linotype" w:hAnsi="Palatino Linotype" w:cs="Arial"/>
          <w:b/>
          <w:i/>
          <w:sz w:val="24"/>
          <w:lang w:val="es-ES_tradnl" w:eastAsia="es-MX"/>
        </w:rPr>
        <w:t>[Sic]</w:t>
      </w:r>
    </w:p>
    <w:p w:rsidR="00C1456A" w:rsidRDefault="00C1456A" w:rsidP="00C1456A">
      <w:pPr>
        <w:autoSpaceDE w:val="0"/>
        <w:autoSpaceDN w:val="0"/>
        <w:adjustRightInd w:val="0"/>
        <w:spacing w:before="240" w:line="240" w:lineRule="auto"/>
        <w:ind w:left="851" w:right="851"/>
        <w:jc w:val="center"/>
        <w:rPr>
          <w:rFonts w:ascii="Palatino Linotype" w:hAnsi="Palatino Linotype" w:cs="Arial"/>
          <w:b/>
          <w:bCs/>
          <w:i/>
        </w:rPr>
      </w:pPr>
      <w:r w:rsidRPr="001571EB">
        <w:rPr>
          <w:rFonts w:ascii="Palatino Linotype" w:hAnsi="Palatino Linotype" w:cs="Arial"/>
          <w:bCs/>
          <w:i/>
        </w:rPr>
        <w:t>“</w:t>
      </w:r>
      <w:r w:rsidRPr="00BA3B27">
        <w:rPr>
          <w:rFonts w:ascii="Palatino Linotype" w:hAnsi="Palatino Linotype" w:cs="Arial"/>
          <w:b/>
          <w:bCs/>
          <w:i/>
        </w:rPr>
        <w:t>Registro Federal de Contribuyentes (RFC) de personas fís</w:t>
      </w:r>
      <w:r>
        <w:rPr>
          <w:rFonts w:ascii="Palatino Linotype" w:hAnsi="Palatino Linotype" w:cs="Arial"/>
          <w:b/>
          <w:bCs/>
          <w:i/>
        </w:rPr>
        <w:t>icas proveedores o contratistas</w:t>
      </w:r>
      <w:r w:rsidRPr="001571EB">
        <w:rPr>
          <w:rFonts w:ascii="Palatino Linotype" w:hAnsi="Palatino Linotype" w:cs="Arial"/>
          <w:b/>
          <w:bCs/>
          <w:i/>
        </w:rPr>
        <w:t>.</w:t>
      </w:r>
    </w:p>
    <w:p w:rsidR="00C1456A" w:rsidRDefault="00C1456A" w:rsidP="00C1456A">
      <w:pPr>
        <w:autoSpaceDE w:val="0"/>
        <w:autoSpaceDN w:val="0"/>
        <w:adjustRightInd w:val="0"/>
        <w:spacing w:before="240" w:line="240" w:lineRule="auto"/>
        <w:ind w:left="851" w:right="851"/>
        <w:jc w:val="both"/>
        <w:rPr>
          <w:rFonts w:ascii="Palatino Linotype" w:hAnsi="Palatino Linotype" w:cs="Arial"/>
          <w:bCs/>
          <w:i/>
        </w:rPr>
      </w:pPr>
      <w:r w:rsidRPr="00BA3B27">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rsidR="00C1456A" w:rsidRPr="00BA3B27" w:rsidRDefault="00C1456A" w:rsidP="00C1456A">
      <w:pPr>
        <w:autoSpaceDE w:val="0"/>
        <w:autoSpaceDN w:val="0"/>
        <w:adjustRightInd w:val="0"/>
        <w:spacing w:before="240" w:line="240" w:lineRule="auto"/>
        <w:ind w:left="851" w:right="851"/>
        <w:jc w:val="both"/>
        <w:rPr>
          <w:rFonts w:ascii="Palatino Linotype" w:hAnsi="Palatino Linotype" w:cs="Arial"/>
          <w:b/>
          <w:i/>
        </w:rPr>
      </w:pPr>
      <w:r w:rsidRPr="00BA3B27">
        <w:rPr>
          <w:rFonts w:ascii="Palatino Linotype" w:hAnsi="Palatino Linotype" w:cs="Arial"/>
          <w:b/>
          <w:i/>
        </w:rPr>
        <w:t>Precedentes:</w:t>
      </w:r>
    </w:p>
    <w:p w:rsidR="00C1456A" w:rsidRPr="00BA3B27" w:rsidRDefault="00C1456A" w:rsidP="00C1456A">
      <w:pPr>
        <w:numPr>
          <w:ilvl w:val="0"/>
          <w:numId w:val="22"/>
        </w:numPr>
        <w:autoSpaceDE w:val="0"/>
        <w:autoSpaceDN w:val="0"/>
        <w:adjustRightInd w:val="0"/>
        <w:spacing w:before="240" w:line="240" w:lineRule="auto"/>
        <w:ind w:right="851"/>
        <w:jc w:val="both"/>
        <w:rPr>
          <w:rFonts w:ascii="Palatino Linotype" w:hAnsi="Palatino Linotype" w:cs="Arial"/>
          <w:i/>
        </w:rPr>
      </w:pPr>
      <w:r w:rsidRPr="00BA3B27">
        <w:rPr>
          <w:rFonts w:ascii="Palatino Linotype" w:hAnsi="Palatino Linotype" w:cs="Arial"/>
          <w:i/>
        </w:rPr>
        <w:t>Acceso a la información Pública. RRA 3639/19.</w:t>
      </w:r>
      <w:r w:rsidRPr="00BA3B27">
        <w:rPr>
          <w:rFonts w:ascii="Palatino Linotype" w:hAnsi="Palatino Linotype" w:cs="Arial"/>
          <w:bCs/>
          <w:i/>
        </w:rPr>
        <w:t xml:space="preserve"> </w:t>
      </w:r>
      <w:r w:rsidRPr="00BA3B27">
        <w:rPr>
          <w:rFonts w:ascii="Palatino Linotype" w:hAnsi="Palatino Linotype" w:cs="Arial"/>
          <w:i/>
        </w:rPr>
        <w:t xml:space="preserve">Sesión del 10 de julio de 2019. Votación por mayoría. Con voto disidente del Comisionado Joel Salas Suárez. Instituto para la Protección del Ahorro Bancario. Comisionada Ponente María Patricia </w:t>
      </w:r>
      <w:proofErr w:type="spellStart"/>
      <w:r w:rsidRPr="00BA3B27">
        <w:rPr>
          <w:rFonts w:ascii="Palatino Linotype" w:hAnsi="Palatino Linotype" w:cs="Arial"/>
          <w:i/>
        </w:rPr>
        <w:t>Kurczyn</w:t>
      </w:r>
      <w:proofErr w:type="spellEnd"/>
      <w:r w:rsidRPr="00BA3B27">
        <w:rPr>
          <w:rFonts w:ascii="Palatino Linotype" w:hAnsi="Palatino Linotype" w:cs="Arial"/>
          <w:i/>
        </w:rPr>
        <w:t xml:space="preserve"> Villalobos.</w:t>
      </w:r>
    </w:p>
    <w:p w:rsidR="00C1456A" w:rsidRPr="00BA3B27" w:rsidRDefault="00C1456A" w:rsidP="00C1456A">
      <w:pPr>
        <w:numPr>
          <w:ilvl w:val="0"/>
          <w:numId w:val="22"/>
        </w:numPr>
        <w:autoSpaceDE w:val="0"/>
        <w:autoSpaceDN w:val="0"/>
        <w:adjustRightInd w:val="0"/>
        <w:spacing w:before="240" w:line="240" w:lineRule="auto"/>
        <w:ind w:right="851"/>
        <w:jc w:val="both"/>
        <w:rPr>
          <w:rFonts w:ascii="Palatino Linotype" w:hAnsi="Palatino Linotype" w:cs="Arial"/>
          <w:bCs/>
          <w:i/>
        </w:rPr>
      </w:pPr>
      <w:r w:rsidRPr="00BA3B27">
        <w:rPr>
          <w:rFonts w:ascii="Palatino Linotype" w:hAnsi="Palatino Linotype" w:cs="Arial"/>
          <w:i/>
        </w:rPr>
        <w:t>Acceso a la información Pública. RRA 7709/19.</w:t>
      </w:r>
      <w:r w:rsidRPr="00BA3B27">
        <w:rPr>
          <w:rFonts w:ascii="Palatino Linotype" w:hAnsi="Palatino Linotype" w:cs="Arial"/>
          <w:bCs/>
          <w:i/>
        </w:rPr>
        <w:t xml:space="preserve"> </w:t>
      </w:r>
      <w:r w:rsidRPr="00BA3B27">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rsidR="00C1456A" w:rsidRPr="00BA3B27" w:rsidRDefault="00C1456A" w:rsidP="00C1456A">
      <w:pPr>
        <w:numPr>
          <w:ilvl w:val="0"/>
          <w:numId w:val="22"/>
        </w:numPr>
        <w:autoSpaceDE w:val="0"/>
        <w:autoSpaceDN w:val="0"/>
        <w:adjustRightInd w:val="0"/>
        <w:spacing w:before="240" w:line="240" w:lineRule="auto"/>
        <w:ind w:left="851" w:right="851"/>
        <w:jc w:val="both"/>
        <w:rPr>
          <w:rFonts w:ascii="Palatino Linotype" w:hAnsi="Palatino Linotype" w:cs="Arial"/>
          <w:b/>
          <w:i/>
        </w:rPr>
      </w:pPr>
      <w:r w:rsidRPr="00BA3B27">
        <w:rPr>
          <w:rFonts w:ascii="Palatino Linotype" w:hAnsi="Palatino Linotype" w:cs="Arial"/>
          <w:i/>
        </w:rPr>
        <w:t>Acceso a la información Pública. RRA 5774/19.</w:t>
      </w:r>
      <w:r w:rsidRPr="00BA3B27">
        <w:rPr>
          <w:rFonts w:ascii="Palatino Linotype" w:hAnsi="Palatino Linotype" w:cs="Arial"/>
          <w:bCs/>
          <w:i/>
        </w:rPr>
        <w:t xml:space="preserve"> </w:t>
      </w:r>
      <w:r w:rsidRPr="00BA3B27">
        <w:rPr>
          <w:rFonts w:ascii="Palatino Linotype" w:hAnsi="Palatino Linotype" w:cs="Arial"/>
          <w:i/>
        </w:rPr>
        <w:t>Sesión del 21 de agosto de 2019. Votación por mayoría. Con voto disidente del Comisionado Joel Salas Suárez. Secretaría de Marina. Comisionada Ponente Blanca Lilia Ibarra Cadena.” [Sic]</w:t>
      </w:r>
    </w:p>
    <w:p w:rsidR="00C1456A" w:rsidRPr="001571EB" w:rsidRDefault="00C1456A" w:rsidP="005E3318">
      <w:pPr>
        <w:autoSpaceDE w:val="0"/>
        <w:autoSpaceDN w:val="0"/>
        <w:adjustRightInd w:val="0"/>
        <w:spacing w:before="120" w:after="120"/>
        <w:ind w:right="850"/>
        <w:jc w:val="both"/>
        <w:rPr>
          <w:rFonts w:ascii="Palatino Linotype" w:eastAsia="Times New Roman" w:hAnsi="Palatino Linotype" w:cs="Arial"/>
          <w:i/>
        </w:rPr>
      </w:pPr>
    </w:p>
    <w:p w:rsidR="00C1456A" w:rsidRPr="001571EB" w:rsidRDefault="00C1456A" w:rsidP="00C1456A">
      <w:pPr>
        <w:spacing w:before="240" w:after="240" w:line="360" w:lineRule="auto"/>
        <w:jc w:val="both"/>
        <w:rPr>
          <w:rFonts w:ascii="Palatino Linotype" w:hAnsi="Palatino Linotype" w:cs="Arial"/>
          <w:sz w:val="24"/>
          <w:szCs w:val="24"/>
          <w:lang w:eastAsia="es-MX"/>
        </w:rPr>
      </w:pPr>
      <w:r w:rsidRPr="001571EB">
        <w:rPr>
          <w:rFonts w:ascii="Palatino Linotype" w:hAnsi="Palatino Linotype" w:cs="Arial"/>
          <w:sz w:val="24"/>
          <w:szCs w:val="24"/>
          <w:lang w:eastAsia="es-MX"/>
        </w:rPr>
        <w:lastRenderedPageBreak/>
        <w:t xml:space="preserve">Así, el RFC se vincula al nombre de su titular, permite identificar la edad de la persona, su fecha de nacimiento, así como su </w:t>
      </w:r>
      <w:proofErr w:type="spellStart"/>
      <w:r w:rsidRPr="001571EB">
        <w:rPr>
          <w:rFonts w:ascii="Palatino Linotype" w:hAnsi="Palatino Linotype" w:cs="Arial"/>
          <w:sz w:val="24"/>
          <w:szCs w:val="24"/>
          <w:lang w:eastAsia="es-MX"/>
        </w:rPr>
        <w:t>homoclave</w:t>
      </w:r>
      <w:proofErr w:type="spellEnd"/>
      <w:r w:rsidRPr="001571EB">
        <w:rPr>
          <w:rFonts w:ascii="Palatino Linotype" w:hAnsi="Palatino Linotype" w:cs="Arial"/>
          <w:sz w:val="24"/>
          <w:szCs w:val="24"/>
          <w:lang w:eastAsia="es-MX"/>
        </w:rPr>
        <w:t>, la cual es única e irrepetible y determina justamente la identificación de dicha persona para efectos fiscales, por lo éste constituye un dato personal que concierne a una persona física identificada e identificable.</w:t>
      </w:r>
    </w:p>
    <w:p w:rsidR="00C1456A" w:rsidRPr="001571EB" w:rsidRDefault="00C1456A" w:rsidP="00C1456A">
      <w:pPr>
        <w:spacing w:before="240" w:after="240" w:line="360" w:lineRule="auto"/>
        <w:jc w:val="both"/>
        <w:rPr>
          <w:rFonts w:ascii="Palatino Linotype" w:eastAsia="Calibri" w:hAnsi="Palatino Linotype" w:cs="Arial"/>
          <w:sz w:val="24"/>
          <w:szCs w:val="24"/>
          <w:lang w:eastAsia="es-MX"/>
        </w:rPr>
      </w:pPr>
      <w:r w:rsidRPr="001571EB">
        <w:rPr>
          <w:rFonts w:ascii="Palatino Linotype" w:hAnsi="Palatino Linotype" w:cs="Arial"/>
          <w:sz w:val="24"/>
          <w:szCs w:val="24"/>
          <w:lang w:eastAsia="es-MX"/>
        </w:rPr>
        <w:t xml:space="preserve">En cuanto a la </w:t>
      </w:r>
      <w:r w:rsidRPr="001571EB">
        <w:rPr>
          <w:rFonts w:ascii="Palatino Linotype" w:hAnsi="Palatino Linotype" w:cs="Arial"/>
          <w:sz w:val="24"/>
          <w:szCs w:val="24"/>
        </w:rPr>
        <w:t xml:space="preserve">Clave Única de Registro de Población (CURP) en virtud de que éste se </w:t>
      </w:r>
      <w:r w:rsidRPr="001571EB">
        <w:rPr>
          <w:rFonts w:ascii="Palatino Linotype" w:eastAsia="Calibri" w:hAnsi="Palatino Linotype" w:cs="Arial"/>
          <w:sz w:val="24"/>
          <w:szCs w:val="24"/>
          <w:lang w:eastAsia="es-MX"/>
        </w:rPr>
        <w:t>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C1456A" w:rsidRDefault="00C1456A" w:rsidP="00C1456A">
      <w:pPr>
        <w:spacing w:before="240" w:after="240" w:line="360" w:lineRule="auto"/>
        <w:ind w:right="-91"/>
        <w:jc w:val="both"/>
        <w:rPr>
          <w:rFonts w:ascii="Palatino Linotype" w:eastAsia="Times New Roman" w:hAnsi="Palatino Linotype" w:cs="Arial"/>
          <w:sz w:val="24"/>
          <w:szCs w:val="24"/>
        </w:rPr>
      </w:pPr>
      <w:r w:rsidRPr="001571EB">
        <w:rPr>
          <w:rFonts w:ascii="Palatino Linotype" w:hAnsi="Palatino Linotype" w:cs="Arial"/>
          <w:sz w:val="24"/>
          <w:szCs w:val="24"/>
        </w:rPr>
        <w:t xml:space="preserve">Argumento que es compartido por el </w:t>
      </w:r>
      <w:r w:rsidRPr="001571EB">
        <w:rPr>
          <w:rStyle w:val="Textoennegrita"/>
          <w:rFonts w:ascii="Palatino Linotype" w:hAnsi="Palatino Linotype" w:cs="Arial"/>
        </w:rPr>
        <w:t xml:space="preserve">Instituto Nacional de Transparencia, Acceso a la Información y Protección de Datos Personales, conforme al </w:t>
      </w:r>
      <w:r w:rsidRPr="001571EB">
        <w:rPr>
          <w:rFonts w:ascii="Palatino Linotype" w:eastAsia="Times New Roman" w:hAnsi="Palatino Linotype" w:cs="Arial"/>
          <w:sz w:val="24"/>
          <w:szCs w:val="24"/>
        </w:rPr>
        <w:t xml:space="preserve">criterio número 18/17 el cual refiere: </w:t>
      </w:r>
    </w:p>
    <w:p w:rsidR="00C1456A" w:rsidRDefault="00C1456A" w:rsidP="00C1456A">
      <w:pPr>
        <w:autoSpaceDE w:val="0"/>
        <w:autoSpaceDN w:val="0"/>
        <w:adjustRightInd w:val="0"/>
        <w:spacing w:before="240" w:line="360" w:lineRule="auto"/>
        <w:ind w:left="851" w:right="851"/>
        <w:jc w:val="center"/>
        <w:rPr>
          <w:rFonts w:ascii="Palatino Linotype" w:eastAsia="Times New Roman" w:hAnsi="Palatino Linotype" w:cs="Arial"/>
          <w:b/>
          <w:bCs/>
          <w:i/>
          <w:lang w:eastAsia="es-MX"/>
        </w:rPr>
      </w:pPr>
      <w:r w:rsidRPr="001571EB">
        <w:rPr>
          <w:rFonts w:ascii="Palatino Linotype" w:eastAsia="Times New Roman" w:hAnsi="Palatino Linotype" w:cs="Arial"/>
          <w:bCs/>
          <w:i/>
          <w:lang w:eastAsia="es-MX"/>
        </w:rPr>
        <w:t>“</w:t>
      </w:r>
      <w:r w:rsidRPr="001571EB">
        <w:rPr>
          <w:rFonts w:ascii="Palatino Linotype" w:eastAsia="Times New Roman" w:hAnsi="Palatino Linotype" w:cs="Arial"/>
          <w:b/>
          <w:bCs/>
          <w:i/>
          <w:lang w:eastAsia="es-MX"/>
        </w:rPr>
        <w:t>CLAVE ÚNICA DE REGISTRO DE POBLACIÓN (CURP).</w:t>
      </w:r>
    </w:p>
    <w:p w:rsidR="00C1456A" w:rsidRPr="001571EB" w:rsidRDefault="00C1456A" w:rsidP="00C1456A">
      <w:pPr>
        <w:autoSpaceDE w:val="0"/>
        <w:autoSpaceDN w:val="0"/>
        <w:adjustRightInd w:val="0"/>
        <w:spacing w:before="240" w:line="360" w:lineRule="auto"/>
        <w:ind w:left="851" w:right="851"/>
        <w:jc w:val="both"/>
        <w:rPr>
          <w:rFonts w:ascii="Palatino Linotype" w:eastAsia="Times New Roman" w:hAnsi="Palatino Linotype" w:cs="Arial"/>
          <w:b/>
          <w:bCs/>
          <w:i/>
          <w:lang w:eastAsia="es-MX"/>
        </w:rPr>
      </w:pPr>
      <w:r w:rsidRPr="001571EB">
        <w:rPr>
          <w:rFonts w:ascii="Palatino Linotype" w:eastAsia="Times New Roman"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C1456A" w:rsidRPr="001571EB" w:rsidRDefault="00C1456A" w:rsidP="00C1456A">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i/>
          <w:lang w:eastAsia="es-MX"/>
        </w:rPr>
        <w:t xml:space="preserve"> </w:t>
      </w:r>
      <w:r w:rsidRPr="001571EB">
        <w:rPr>
          <w:rFonts w:ascii="Palatino Linotype" w:eastAsia="Times New Roman" w:hAnsi="Palatino Linotype" w:cs="Arial"/>
          <w:b/>
          <w:i/>
          <w:lang w:eastAsia="es-MX"/>
        </w:rPr>
        <w:t>Resoluciones:</w:t>
      </w:r>
    </w:p>
    <w:p w:rsidR="00C1456A" w:rsidRPr="001571EB" w:rsidRDefault="00C1456A" w:rsidP="00C1456A">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t xml:space="preserve">RRA 3995/16. </w:t>
      </w:r>
      <w:r w:rsidRPr="001571EB">
        <w:rPr>
          <w:rFonts w:ascii="Palatino Linotype" w:eastAsia="Times New Roman" w:hAnsi="Palatino Linotype" w:cs="Arial"/>
          <w:i/>
          <w:lang w:eastAsia="es-MX"/>
        </w:rPr>
        <w:t xml:space="preserve">Secretaría de la Defensa Nacional. 1 de febrero de 2017. Por unanimidad. Comisionado Ponente </w:t>
      </w:r>
      <w:proofErr w:type="spellStart"/>
      <w:r w:rsidRPr="001571EB">
        <w:rPr>
          <w:rFonts w:ascii="Palatino Linotype" w:eastAsia="Times New Roman" w:hAnsi="Palatino Linotype" w:cs="Arial"/>
          <w:i/>
          <w:lang w:eastAsia="es-MX"/>
        </w:rPr>
        <w:t>Rosendoevgueni</w:t>
      </w:r>
      <w:proofErr w:type="spellEnd"/>
      <w:r w:rsidRPr="001571EB">
        <w:rPr>
          <w:rFonts w:ascii="Palatino Linotype" w:eastAsia="Times New Roman" w:hAnsi="Palatino Linotype" w:cs="Arial"/>
          <w:i/>
          <w:lang w:eastAsia="es-MX"/>
        </w:rPr>
        <w:t xml:space="preserve"> Monterrey </w:t>
      </w:r>
      <w:proofErr w:type="spellStart"/>
      <w:r w:rsidRPr="001571EB">
        <w:rPr>
          <w:rFonts w:ascii="Palatino Linotype" w:eastAsia="Times New Roman" w:hAnsi="Palatino Linotype" w:cs="Arial"/>
          <w:i/>
          <w:lang w:eastAsia="es-MX"/>
        </w:rPr>
        <w:t>Chepov</w:t>
      </w:r>
      <w:proofErr w:type="spellEnd"/>
      <w:r w:rsidRPr="001571EB">
        <w:rPr>
          <w:rFonts w:ascii="Palatino Linotype" w:eastAsia="Times New Roman" w:hAnsi="Palatino Linotype" w:cs="Arial"/>
          <w:i/>
          <w:lang w:eastAsia="es-MX"/>
        </w:rPr>
        <w:t>.</w:t>
      </w:r>
    </w:p>
    <w:p w:rsidR="00C1456A" w:rsidRPr="001571EB" w:rsidRDefault="00C1456A" w:rsidP="00C1456A">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lastRenderedPageBreak/>
        <w:t xml:space="preserve">RRA </w:t>
      </w:r>
      <w:r w:rsidRPr="001571EB">
        <w:rPr>
          <w:rFonts w:ascii="Palatino Linotype" w:eastAsia="Times New Roman" w:hAnsi="Palatino Linotype" w:cs="Arial"/>
          <w:b/>
          <w:bCs/>
          <w:i/>
          <w:lang w:eastAsia="es-MX"/>
        </w:rPr>
        <w:t xml:space="preserve">0937/17. </w:t>
      </w:r>
      <w:r w:rsidRPr="001571EB">
        <w:rPr>
          <w:rFonts w:ascii="Palatino Linotype" w:eastAsia="Times New Roman" w:hAnsi="Palatino Linotype" w:cs="Arial"/>
          <w:bCs/>
          <w:i/>
          <w:lang w:eastAsia="es-MX"/>
        </w:rPr>
        <w:t xml:space="preserve">Senado de la República. </w:t>
      </w:r>
      <w:r w:rsidRPr="001571EB">
        <w:rPr>
          <w:rFonts w:ascii="Palatino Linotype" w:eastAsia="Times New Roman" w:hAnsi="Palatino Linotype" w:cs="Arial"/>
          <w:bCs/>
          <w:i/>
          <w:lang w:val="es-ES_tradnl" w:eastAsia="es-MX"/>
        </w:rPr>
        <w:t xml:space="preserve">15 de marzo de 2017. Por unanimidad. Comisionada Ponente Ximena Puente de la Mora. </w:t>
      </w:r>
    </w:p>
    <w:p w:rsidR="00C1456A" w:rsidRDefault="00C1456A" w:rsidP="00C1456A">
      <w:pPr>
        <w:autoSpaceDE w:val="0"/>
        <w:autoSpaceDN w:val="0"/>
        <w:adjustRightInd w:val="0"/>
        <w:spacing w:before="240" w:line="360" w:lineRule="auto"/>
        <w:ind w:left="851" w:right="851"/>
        <w:jc w:val="both"/>
        <w:rPr>
          <w:rFonts w:ascii="Palatino Linotype" w:eastAsia="Times New Roman" w:hAnsi="Palatino Linotype" w:cs="Arial"/>
          <w:b/>
          <w:i/>
          <w:lang w:eastAsia="es-MX"/>
        </w:rPr>
      </w:pPr>
      <w:r w:rsidRPr="001571EB">
        <w:rPr>
          <w:rFonts w:ascii="Palatino Linotype" w:eastAsia="Times New Roman" w:hAnsi="Palatino Linotype" w:cs="Arial"/>
          <w:b/>
          <w:i/>
          <w:lang w:eastAsia="es-MX"/>
        </w:rPr>
        <w:t xml:space="preserve">RRA 0478/17. </w:t>
      </w:r>
      <w:r w:rsidRPr="001571EB">
        <w:rPr>
          <w:rFonts w:ascii="Palatino Linotype" w:eastAsia="Times New Roman" w:hAnsi="Palatino Linotype" w:cs="Arial"/>
          <w:i/>
          <w:lang w:eastAsia="es-MX"/>
        </w:rPr>
        <w:t>Secretaría de Relaciones Exteriores. 26 de abril de 2017. Por unanimidad. Comisionada Ponente Areli Cano Guadiana.</w:t>
      </w:r>
      <w:r>
        <w:rPr>
          <w:rFonts w:ascii="Palatino Linotype" w:eastAsia="Times New Roman" w:hAnsi="Palatino Linotype" w:cs="Arial"/>
          <w:i/>
          <w:lang w:eastAsia="es-MX"/>
        </w:rPr>
        <w:t xml:space="preserve">” </w:t>
      </w:r>
      <w:r>
        <w:rPr>
          <w:rFonts w:ascii="Palatino Linotype" w:eastAsia="Times New Roman" w:hAnsi="Palatino Linotype" w:cs="Arial"/>
          <w:b/>
          <w:i/>
          <w:lang w:eastAsia="es-MX"/>
        </w:rPr>
        <w:t>[Sic]</w:t>
      </w:r>
    </w:p>
    <w:p w:rsidR="00C1456A" w:rsidRDefault="00C1456A" w:rsidP="00C1456A">
      <w:pPr>
        <w:spacing w:after="0" w:line="360" w:lineRule="auto"/>
        <w:ind w:right="51"/>
        <w:jc w:val="both"/>
        <w:rPr>
          <w:rFonts w:ascii="Palatino Linotype" w:hAnsi="Palatino Linotype" w:cs="Arial"/>
          <w:sz w:val="24"/>
          <w:szCs w:val="24"/>
        </w:rPr>
      </w:pPr>
    </w:p>
    <w:p w:rsidR="00C1456A" w:rsidRDefault="00C1456A" w:rsidP="00C1456A">
      <w:pPr>
        <w:spacing w:after="0" w:line="360" w:lineRule="auto"/>
        <w:ind w:right="51"/>
        <w:jc w:val="both"/>
        <w:rPr>
          <w:rFonts w:ascii="Palatino Linotype" w:hAnsi="Palatino Linotype" w:cs="Arial"/>
          <w:sz w:val="24"/>
          <w:szCs w:val="24"/>
        </w:rPr>
      </w:pPr>
      <w:r w:rsidRPr="001571EB">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904B3B">
        <w:rPr>
          <w:rFonts w:ascii="Palatino Linotype" w:hAnsi="Palatino Linotype" w:cs="Arial"/>
          <w:b/>
          <w:sz w:val="24"/>
          <w:szCs w:val="24"/>
        </w:rPr>
        <w:t>LINEAMIENTOS GENERALES EN MATERIA DE CLASIFICACIÓN Y DESCLASIFICACIÓN DE LA INFORMACIÓN, ASÍ COMO PARA LA ELABORACIÓN DE VERSIONES PÚBLICAS,</w:t>
      </w:r>
      <w:r w:rsidRPr="001571EB">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rsidR="00741E11" w:rsidRDefault="00741E11" w:rsidP="00741E11">
      <w:pPr>
        <w:autoSpaceDE w:val="0"/>
        <w:autoSpaceDN w:val="0"/>
        <w:adjustRightInd w:val="0"/>
        <w:spacing w:after="0" w:line="360" w:lineRule="auto"/>
        <w:jc w:val="both"/>
        <w:rPr>
          <w:rFonts w:ascii="Palatino Linotype" w:eastAsia="Arial Unicode MS" w:hAnsi="Palatino Linotype" w:cs="Arial"/>
          <w:sz w:val="24"/>
          <w:lang w:val="es-ES_tradnl" w:eastAsia="es-MX"/>
        </w:rPr>
      </w:pPr>
    </w:p>
    <w:p w:rsidR="00C1456A" w:rsidRDefault="00C1456A" w:rsidP="00741E11">
      <w:pPr>
        <w:autoSpaceDE w:val="0"/>
        <w:autoSpaceDN w:val="0"/>
        <w:adjustRightInd w:val="0"/>
        <w:spacing w:after="0" w:line="360" w:lineRule="auto"/>
        <w:jc w:val="both"/>
        <w:rPr>
          <w:rFonts w:ascii="Palatino Linotype" w:hAnsi="Palatino Linotype" w:cs="Arial"/>
          <w:sz w:val="24"/>
          <w:szCs w:val="24"/>
        </w:rPr>
      </w:pPr>
    </w:p>
    <w:p w:rsidR="00741E11" w:rsidRPr="00DF23DA" w:rsidRDefault="00741E11" w:rsidP="00741E11">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F23DA">
        <w:rPr>
          <w:rFonts w:ascii="Palatino Linotype" w:hAnsi="Palatino Linotype" w:cs="Arial"/>
          <w:b/>
          <w:sz w:val="24"/>
          <w:szCs w:val="24"/>
        </w:rPr>
        <w:t>ORDENA</w:t>
      </w:r>
      <w:r w:rsidRPr="00DF23DA">
        <w:rPr>
          <w:rFonts w:ascii="Palatino Linotype" w:hAnsi="Palatino Linotype" w:cs="Arial"/>
          <w:sz w:val="24"/>
          <w:szCs w:val="24"/>
        </w:rPr>
        <w:t xml:space="preserve"> al </w:t>
      </w:r>
      <w:r w:rsidRPr="00DF23DA">
        <w:rPr>
          <w:rFonts w:ascii="Palatino Linotype" w:hAnsi="Palatino Linotype" w:cs="Arial"/>
          <w:b/>
          <w:sz w:val="24"/>
          <w:szCs w:val="24"/>
        </w:rPr>
        <w:t>Sujeto Obligado</w:t>
      </w:r>
      <w:r w:rsidRPr="00DF23DA">
        <w:rPr>
          <w:rFonts w:ascii="Palatino Linotype" w:hAnsi="Palatino Linotype" w:cs="Arial"/>
          <w:sz w:val="24"/>
          <w:szCs w:val="24"/>
        </w:rPr>
        <w:t>, atienda la solicitud de información</w:t>
      </w:r>
      <w:r>
        <w:rPr>
          <w:rFonts w:ascii="Palatino Linotype" w:hAnsi="Palatino Linotype" w:cs="Arial"/>
          <w:b/>
          <w:sz w:val="24"/>
          <w:szCs w:val="24"/>
        </w:rPr>
        <w:t xml:space="preserve"> </w:t>
      </w:r>
      <w:r w:rsidR="007575E8">
        <w:rPr>
          <w:rFonts w:ascii="Palatino Linotype" w:hAnsi="Palatino Linotype" w:cs="Arial"/>
          <w:b/>
          <w:sz w:val="24"/>
        </w:rPr>
        <w:t>00081/STMEM/IP/2024</w:t>
      </w:r>
      <w:r w:rsidRPr="00DF23DA">
        <w:rPr>
          <w:rFonts w:ascii="Palatino Linotype" w:eastAsia="Times New Roman" w:hAnsi="Palatino Linotype" w:cs="Times New Roman"/>
          <w:b/>
          <w:bCs/>
          <w:sz w:val="24"/>
          <w:szCs w:val="24"/>
          <w:lang w:val="es-ES" w:eastAsia="es-ES"/>
        </w:rPr>
        <w:t>,</w:t>
      </w:r>
      <w:r w:rsidRPr="00DF23DA">
        <w:rPr>
          <w:rFonts w:ascii="Palatino Linotype" w:hAnsi="Palatino Linotype" w:cs="Arial"/>
          <w:sz w:val="24"/>
          <w:szCs w:val="24"/>
        </w:rPr>
        <w:t xml:space="preserve"> que ha sido materia del </w:t>
      </w:r>
      <w:r>
        <w:rPr>
          <w:rFonts w:ascii="Palatino Linotype" w:hAnsi="Palatino Linotype" w:cs="Arial"/>
          <w:sz w:val="24"/>
          <w:szCs w:val="24"/>
        </w:rPr>
        <w:t>p</w:t>
      </w:r>
      <w:r w:rsidRPr="00DF23DA">
        <w:rPr>
          <w:rFonts w:ascii="Palatino Linotype" w:hAnsi="Palatino Linotype" w:cs="Arial"/>
          <w:sz w:val="24"/>
          <w:szCs w:val="24"/>
        </w:rPr>
        <w:t>resente fallo.</w:t>
      </w:r>
    </w:p>
    <w:p w:rsidR="00741E11" w:rsidRDefault="00741E11" w:rsidP="00741E11">
      <w:pPr>
        <w:spacing w:after="0" w:line="360" w:lineRule="auto"/>
        <w:jc w:val="both"/>
        <w:rPr>
          <w:rFonts w:ascii="Palatino Linotype" w:eastAsia="Times New Roman" w:hAnsi="Palatino Linotype" w:cs="Times New Roman"/>
          <w:sz w:val="24"/>
          <w:szCs w:val="24"/>
          <w:lang w:eastAsia="es-ES"/>
        </w:rPr>
      </w:pPr>
    </w:p>
    <w:p w:rsidR="00741E11" w:rsidRPr="002C3EC8" w:rsidRDefault="00741E11" w:rsidP="00741E11">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lastRenderedPageBreak/>
        <w:t>Por lo antes expuesto y fundado es de resolverse y,</w:t>
      </w:r>
    </w:p>
    <w:p w:rsidR="00741E11" w:rsidRPr="002C3EC8" w:rsidRDefault="00741E11" w:rsidP="00741E11">
      <w:pPr>
        <w:spacing w:line="360" w:lineRule="auto"/>
        <w:contextualSpacing/>
        <w:jc w:val="both"/>
        <w:rPr>
          <w:rFonts w:ascii="Palatino Linotype" w:eastAsia="MS Mincho" w:hAnsi="Palatino Linotype"/>
        </w:rPr>
      </w:pPr>
    </w:p>
    <w:p w:rsidR="00741E11" w:rsidRPr="002C3EC8" w:rsidRDefault="00741E11" w:rsidP="00741E11">
      <w:pPr>
        <w:spacing w:before="240" w:after="240" w:line="360" w:lineRule="auto"/>
        <w:jc w:val="center"/>
        <w:rPr>
          <w:rFonts w:ascii="Palatino Linotype" w:hAnsi="Palatino Linotype"/>
          <w:b/>
          <w:spacing w:val="60"/>
          <w:sz w:val="28"/>
          <w:szCs w:val="24"/>
        </w:rPr>
      </w:pPr>
      <w:r w:rsidRPr="002C3EC8">
        <w:rPr>
          <w:rFonts w:ascii="Palatino Linotype" w:hAnsi="Palatino Linotype"/>
          <w:b/>
          <w:spacing w:val="60"/>
          <w:sz w:val="28"/>
          <w:szCs w:val="24"/>
        </w:rPr>
        <w:t>S E RESUELVE</w:t>
      </w:r>
    </w:p>
    <w:p w:rsidR="00741E11" w:rsidRPr="00DF23DA" w:rsidRDefault="00741E11" w:rsidP="00741E11">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PRIMERO.</w:t>
      </w:r>
      <w:r w:rsidRPr="00DF23DA">
        <w:rPr>
          <w:rFonts w:ascii="Palatino Linotype" w:hAnsi="Palatino Linotype" w:cs="Arial"/>
          <w:sz w:val="24"/>
          <w:szCs w:val="24"/>
        </w:rPr>
        <w:t xml:space="preserve"> Resultan fundadas las razones o motivos de i</w:t>
      </w:r>
      <w:r>
        <w:rPr>
          <w:rFonts w:ascii="Palatino Linotype" w:hAnsi="Palatino Linotype" w:cs="Arial"/>
          <w:sz w:val="24"/>
          <w:szCs w:val="24"/>
        </w:rPr>
        <w:t>nconformidad hechos valer por el</w:t>
      </w:r>
      <w:r w:rsidRPr="00DF23DA">
        <w:rPr>
          <w:rFonts w:ascii="Palatino Linotype" w:hAnsi="Palatino Linotype" w:cs="Arial"/>
          <w:sz w:val="24"/>
          <w:szCs w:val="24"/>
        </w:rPr>
        <w:t xml:space="preserve"> </w:t>
      </w:r>
      <w:r w:rsidRPr="00DF23DA">
        <w:rPr>
          <w:rFonts w:ascii="Palatino Linotype" w:hAnsi="Palatino Linotype" w:cs="Arial"/>
          <w:b/>
          <w:sz w:val="24"/>
          <w:szCs w:val="24"/>
        </w:rPr>
        <w:t>Recurrente,</w:t>
      </w:r>
      <w:r w:rsidRPr="00DF23DA">
        <w:rPr>
          <w:rFonts w:ascii="Palatino Linotype" w:hAnsi="Palatino Linotype" w:cs="Arial"/>
          <w:sz w:val="24"/>
          <w:szCs w:val="24"/>
        </w:rPr>
        <w:t xml:space="preserve"> en términos del considerando </w:t>
      </w:r>
      <w:r w:rsidRPr="00DF23DA">
        <w:rPr>
          <w:rFonts w:ascii="Palatino Linotype" w:hAnsi="Palatino Linotype" w:cs="Arial"/>
          <w:b/>
          <w:sz w:val="24"/>
          <w:szCs w:val="24"/>
        </w:rPr>
        <w:t>CUARTO</w:t>
      </w:r>
      <w:r w:rsidRPr="00DF23DA">
        <w:rPr>
          <w:rFonts w:ascii="Palatino Linotype" w:hAnsi="Palatino Linotype" w:cs="Arial"/>
          <w:sz w:val="24"/>
          <w:szCs w:val="24"/>
        </w:rPr>
        <w:t>, de la presente resolución.</w:t>
      </w:r>
    </w:p>
    <w:p w:rsidR="00741E11" w:rsidRPr="00DF23DA" w:rsidRDefault="00741E11" w:rsidP="00741E11">
      <w:pPr>
        <w:tabs>
          <w:tab w:val="left" w:pos="8647"/>
        </w:tabs>
        <w:spacing w:after="0" w:line="360" w:lineRule="auto"/>
        <w:ind w:right="51"/>
        <w:jc w:val="both"/>
        <w:rPr>
          <w:rFonts w:ascii="Palatino Linotype" w:hAnsi="Palatino Linotype" w:cs="Arial"/>
          <w:sz w:val="24"/>
          <w:szCs w:val="24"/>
        </w:rPr>
      </w:pPr>
    </w:p>
    <w:p w:rsidR="00741E11" w:rsidRDefault="00741E11" w:rsidP="00741E11">
      <w:pPr>
        <w:spacing w:line="360" w:lineRule="auto"/>
        <w:ind w:right="49"/>
        <w:jc w:val="both"/>
        <w:rPr>
          <w:rFonts w:ascii="Palatino Linotype" w:hAnsi="Palatino Linotype"/>
          <w:bCs/>
          <w:sz w:val="24"/>
          <w:szCs w:val="24"/>
        </w:rPr>
      </w:pPr>
      <w:r w:rsidRPr="008A2233">
        <w:rPr>
          <w:rFonts w:ascii="Palatino Linotype" w:hAnsi="Palatino Linotype" w:cstheme="minorHAnsi"/>
          <w:b/>
          <w:sz w:val="28"/>
        </w:rPr>
        <w:t>SEGUNDO</w:t>
      </w:r>
      <w:r w:rsidRPr="00A53DAA">
        <w:rPr>
          <w:rFonts w:ascii="Palatino Linotype" w:hAnsi="Palatino Linotype" w:cstheme="minorHAnsi"/>
          <w:b/>
        </w:rPr>
        <w:t xml:space="preserve">. </w:t>
      </w:r>
      <w:r w:rsidRPr="002856A3">
        <w:rPr>
          <w:rFonts w:ascii="Palatino Linotype" w:hAnsi="Palatino Linotype"/>
          <w:bCs/>
          <w:sz w:val="24"/>
          <w:lang w:eastAsia="es-MX"/>
        </w:rPr>
        <w:t xml:space="preserve">Se </w:t>
      </w:r>
      <w:r w:rsidRPr="002856A3">
        <w:rPr>
          <w:rFonts w:ascii="Palatino Linotype" w:hAnsi="Palatino Linotype"/>
          <w:b/>
          <w:bCs/>
          <w:sz w:val="24"/>
          <w:lang w:eastAsia="es-MX"/>
        </w:rPr>
        <w:t xml:space="preserve">ORDENA </w:t>
      </w:r>
      <w:r w:rsidRPr="002856A3">
        <w:rPr>
          <w:rFonts w:ascii="Palatino Linotype" w:hAnsi="Palatino Linotype"/>
          <w:bCs/>
          <w:sz w:val="24"/>
          <w:lang w:eastAsia="es-MX"/>
        </w:rPr>
        <w:t>al</w:t>
      </w:r>
      <w:r w:rsidRPr="002856A3">
        <w:rPr>
          <w:rFonts w:ascii="Palatino Linotype" w:hAnsi="Palatino Linotype"/>
          <w:b/>
          <w:sz w:val="24"/>
          <w:lang w:eastAsia="es-MX"/>
        </w:rPr>
        <w:t xml:space="preserve"> SUJETO</w:t>
      </w:r>
      <w:r w:rsidRPr="00B95947">
        <w:rPr>
          <w:rFonts w:ascii="Palatino Linotype" w:hAnsi="Palatino Linotype"/>
          <w:b/>
          <w:lang w:eastAsia="es-MX"/>
        </w:rPr>
        <w:t xml:space="preserve"> </w:t>
      </w:r>
      <w:r w:rsidRPr="002856A3">
        <w:rPr>
          <w:rFonts w:ascii="Palatino Linotype" w:hAnsi="Palatino Linotype"/>
          <w:b/>
          <w:sz w:val="24"/>
          <w:lang w:eastAsia="es-MX"/>
        </w:rPr>
        <w:t xml:space="preserve">OBLIGADO </w:t>
      </w:r>
      <w:r w:rsidRPr="002856A3">
        <w:rPr>
          <w:rFonts w:ascii="Palatino Linotype" w:hAnsi="Palatino Linotype"/>
          <w:bCs/>
          <w:sz w:val="24"/>
          <w:lang w:eastAsia="es-MX"/>
        </w:rPr>
        <w:t xml:space="preserve">en la solicitud de información número </w:t>
      </w:r>
      <w:r w:rsidR="007575E8">
        <w:rPr>
          <w:rFonts w:ascii="Palatino Linotype" w:hAnsi="Palatino Linotype" w:cs="Arial"/>
          <w:b/>
          <w:sz w:val="24"/>
        </w:rPr>
        <w:t>00081/STMEM/IP/2024</w:t>
      </w:r>
      <w:r w:rsidRPr="002856A3">
        <w:rPr>
          <w:rFonts w:ascii="Palatino Linotype" w:hAnsi="Palatino Linotype"/>
          <w:sz w:val="24"/>
          <w:lang w:eastAsia="es-MX"/>
        </w:rPr>
        <w:t xml:space="preserve">, </w:t>
      </w:r>
      <w:r w:rsidRPr="002856A3">
        <w:rPr>
          <w:rFonts w:ascii="Palatino Linotype" w:hAnsi="Palatino Linotype"/>
          <w:bCs/>
          <w:sz w:val="24"/>
          <w:lang w:eastAsia="es-MX"/>
        </w:rPr>
        <w:t xml:space="preserve">en términos del Considerando </w:t>
      </w:r>
      <w:r w:rsidRPr="002856A3">
        <w:rPr>
          <w:rFonts w:ascii="Palatino Linotype" w:hAnsi="Palatino Linotype"/>
          <w:b/>
          <w:bCs/>
          <w:sz w:val="24"/>
          <w:szCs w:val="24"/>
          <w:lang w:eastAsia="es-MX"/>
        </w:rPr>
        <w:t>CUARTO</w:t>
      </w:r>
      <w:r w:rsidRPr="002856A3">
        <w:rPr>
          <w:rFonts w:ascii="Palatino Linotype" w:hAnsi="Palatino Linotype"/>
          <w:bCs/>
          <w:sz w:val="24"/>
          <w:szCs w:val="24"/>
          <w:lang w:eastAsia="es-MX"/>
        </w:rPr>
        <w:t xml:space="preserve"> de esta resolución</w:t>
      </w:r>
      <w:r>
        <w:rPr>
          <w:rFonts w:ascii="Palatino Linotype" w:hAnsi="Palatino Linotype"/>
          <w:bCs/>
          <w:sz w:val="24"/>
          <w:szCs w:val="24"/>
          <w:lang w:eastAsia="es-MX"/>
        </w:rPr>
        <w:t xml:space="preserve">, </w:t>
      </w:r>
      <w:r w:rsidRPr="002856A3">
        <w:rPr>
          <w:rFonts w:ascii="Palatino Linotype" w:hAnsi="Palatino Linotype" w:cs="Arial"/>
          <w:sz w:val="24"/>
          <w:szCs w:val="24"/>
        </w:rPr>
        <w:t xml:space="preserve">haga entrega en </w:t>
      </w:r>
      <w:r w:rsidRPr="00664916">
        <w:rPr>
          <w:rFonts w:ascii="Palatino Linotype" w:hAnsi="Palatino Linotype" w:cs="Arial"/>
          <w:sz w:val="24"/>
          <w:szCs w:val="24"/>
        </w:rPr>
        <w:t>versión pública</w:t>
      </w:r>
      <w:r>
        <w:rPr>
          <w:rFonts w:ascii="Palatino Linotype" w:hAnsi="Palatino Linotype" w:cs="Arial"/>
          <w:sz w:val="24"/>
          <w:szCs w:val="24"/>
        </w:rPr>
        <w:t>, de</w:t>
      </w:r>
      <w:r w:rsidRPr="002856A3">
        <w:rPr>
          <w:rFonts w:ascii="Palatino Linotype" w:hAnsi="Palatino Linotype" w:cs="Arial"/>
          <w:sz w:val="24"/>
          <w:szCs w:val="24"/>
        </w:rPr>
        <w:t xml:space="preserve"> lo siguiente</w:t>
      </w:r>
      <w:r w:rsidRPr="002856A3">
        <w:rPr>
          <w:rFonts w:ascii="Palatino Linotype" w:hAnsi="Palatino Linotype"/>
          <w:bCs/>
          <w:sz w:val="24"/>
          <w:szCs w:val="24"/>
        </w:rPr>
        <w:t>:</w:t>
      </w:r>
    </w:p>
    <w:p w:rsidR="00DE3C1F" w:rsidRPr="00AB556D" w:rsidRDefault="00DE3C1F" w:rsidP="00DE3C1F">
      <w:pPr>
        <w:pStyle w:val="INFOEM"/>
        <w:numPr>
          <w:ilvl w:val="0"/>
          <w:numId w:val="5"/>
        </w:numPr>
        <w:ind w:right="141"/>
        <w:rPr>
          <w:rFonts w:eastAsia="Palatino Linotype" w:cs="Palatino Linotype"/>
          <w:i w:val="0"/>
          <w:sz w:val="24"/>
          <w:szCs w:val="24"/>
          <w:lang w:val="es-ES" w:eastAsia="es-ES"/>
        </w:rPr>
      </w:pPr>
      <w:r>
        <w:rPr>
          <w:rFonts w:eastAsia="Palatino Linotype" w:cs="Palatino Linotype"/>
          <w:i w:val="0"/>
          <w:sz w:val="24"/>
          <w:szCs w:val="24"/>
          <w:lang w:val="es-ES" w:eastAsia="es-ES"/>
        </w:rPr>
        <w:t xml:space="preserve">Facturas, así como toda la documentación que dé cuenta de los pagos a las empresas que supervisan las líneas del </w:t>
      </w:r>
      <w:proofErr w:type="spellStart"/>
      <w:r>
        <w:rPr>
          <w:rFonts w:eastAsia="Palatino Linotype" w:cs="Palatino Linotype"/>
          <w:i w:val="0"/>
          <w:sz w:val="24"/>
          <w:szCs w:val="24"/>
          <w:lang w:val="es-ES" w:eastAsia="es-ES"/>
        </w:rPr>
        <w:t>Mexibús</w:t>
      </w:r>
      <w:proofErr w:type="spellEnd"/>
      <w:r>
        <w:rPr>
          <w:rFonts w:eastAsia="Palatino Linotype" w:cs="Palatino Linotype"/>
          <w:i w:val="0"/>
          <w:sz w:val="24"/>
          <w:szCs w:val="24"/>
          <w:lang w:val="es-ES" w:eastAsia="es-ES"/>
        </w:rPr>
        <w:t xml:space="preserve">, </w:t>
      </w:r>
      <w:r w:rsidRPr="00EF7B98">
        <w:rPr>
          <w:rFonts w:cs="Arial"/>
          <w:i w:val="0"/>
          <w:sz w:val="24"/>
        </w:rPr>
        <w:t>del diez de junio de dos mil veintitrés al diez de junio de dos mil veinticuatro.</w:t>
      </w:r>
    </w:p>
    <w:p w:rsidR="00DE3C1F" w:rsidRPr="00472F3E" w:rsidRDefault="00DE3C1F" w:rsidP="00DE3C1F">
      <w:pPr>
        <w:pStyle w:val="INFOEM"/>
        <w:numPr>
          <w:ilvl w:val="0"/>
          <w:numId w:val="5"/>
        </w:numPr>
        <w:ind w:right="141"/>
        <w:rPr>
          <w:rFonts w:eastAsia="Palatino Linotype" w:cs="Palatino Linotype"/>
          <w:i w:val="0"/>
          <w:sz w:val="24"/>
          <w:szCs w:val="24"/>
          <w:lang w:val="es-ES" w:eastAsia="es-ES"/>
        </w:rPr>
      </w:pPr>
      <w:r>
        <w:rPr>
          <w:rFonts w:eastAsia="Palatino Linotype" w:cs="Palatino Linotype"/>
          <w:i w:val="0"/>
          <w:sz w:val="24"/>
          <w:szCs w:val="24"/>
          <w:lang w:val="es-ES" w:eastAsia="es-ES"/>
        </w:rPr>
        <w:t xml:space="preserve">Procesos de contratación protocolizados ante las autoridades competentes, </w:t>
      </w:r>
      <w:r w:rsidRPr="00EF7B98">
        <w:rPr>
          <w:rFonts w:cs="Arial"/>
          <w:i w:val="0"/>
          <w:sz w:val="24"/>
        </w:rPr>
        <w:t>del diez de junio de dos mil veintitrés al diez de junio de dos mil veinticuatro.</w:t>
      </w:r>
    </w:p>
    <w:p w:rsidR="00DE3C1F" w:rsidRPr="00472F3E" w:rsidRDefault="00DE3C1F" w:rsidP="00DE3C1F">
      <w:pPr>
        <w:pStyle w:val="INFOEM"/>
        <w:numPr>
          <w:ilvl w:val="0"/>
          <w:numId w:val="5"/>
        </w:numPr>
        <w:ind w:right="141"/>
        <w:rPr>
          <w:rFonts w:eastAsia="Palatino Linotype" w:cs="Palatino Linotype"/>
          <w:i w:val="0"/>
          <w:sz w:val="24"/>
          <w:szCs w:val="24"/>
          <w:lang w:val="es-ES" w:eastAsia="es-ES"/>
        </w:rPr>
      </w:pPr>
      <w:r>
        <w:rPr>
          <w:rFonts w:cs="Arial"/>
          <w:i w:val="0"/>
          <w:sz w:val="24"/>
        </w:rPr>
        <w:t>Facturas pagadas, así como las transferencias hechas por cualquier motivo relacionado con recursos públicos, del primero de enero al treinta y uno de mayo de dos mil veinticuatro.</w:t>
      </w:r>
    </w:p>
    <w:p w:rsidR="00DE3C1F" w:rsidRPr="00472F3E" w:rsidRDefault="00DE3C1F" w:rsidP="00DE3C1F">
      <w:pPr>
        <w:pStyle w:val="INFOEM"/>
        <w:numPr>
          <w:ilvl w:val="0"/>
          <w:numId w:val="5"/>
        </w:numPr>
        <w:ind w:right="141"/>
        <w:rPr>
          <w:rFonts w:eastAsia="Palatino Linotype" w:cs="Palatino Linotype"/>
          <w:i w:val="0"/>
          <w:sz w:val="24"/>
          <w:szCs w:val="24"/>
          <w:lang w:val="es-ES" w:eastAsia="es-ES"/>
        </w:rPr>
      </w:pPr>
      <w:r>
        <w:rPr>
          <w:rFonts w:cs="Arial"/>
          <w:i w:val="0"/>
          <w:sz w:val="24"/>
        </w:rPr>
        <w:t xml:space="preserve"> Bonos, así como los </w:t>
      </w:r>
      <w:r>
        <w:rPr>
          <w:bCs/>
          <w:i w:val="0"/>
          <w:color w:val="000000"/>
          <w:sz w:val="24"/>
        </w:rPr>
        <w:t xml:space="preserve">documentos </w:t>
      </w:r>
      <w:r w:rsidRPr="00C8686C">
        <w:rPr>
          <w:bCs/>
          <w:i w:val="0"/>
          <w:color w:val="000000"/>
          <w:sz w:val="24"/>
        </w:rPr>
        <w:t>donde conste</w:t>
      </w:r>
      <w:r>
        <w:rPr>
          <w:bCs/>
          <w:i w:val="0"/>
          <w:color w:val="000000"/>
          <w:sz w:val="24"/>
        </w:rPr>
        <w:t>n</w:t>
      </w:r>
      <w:r w:rsidRPr="00C8686C">
        <w:rPr>
          <w:bCs/>
          <w:i w:val="0"/>
          <w:color w:val="000000"/>
          <w:sz w:val="24"/>
        </w:rPr>
        <w:t xml:space="preserve"> la comprobación de los gastos del fondo fijo o </w:t>
      </w:r>
      <w:proofErr w:type="spellStart"/>
      <w:r w:rsidRPr="00C8686C">
        <w:rPr>
          <w:bCs/>
          <w:i w:val="0"/>
          <w:color w:val="000000"/>
          <w:sz w:val="24"/>
        </w:rPr>
        <w:t>revolvente</w:t>
      </w:r>
      <w:proofErr w:type="spellEnd"/>
      <w:r>
        <w:rPr>
          <w:rFonts w:cs="Arial"/>
          <w:i w:val="0"/>
          <w:sz w:val="24"/>
        </w:rPr>
        <w:t xml:space="preserve">, del mes de mayo de dos mil veinticuatro.  </w:t>
      </w:r>
    </w:p>
    <w:p w:rsidR="00741E11" w:rsidRPr="00DE3C1F" w:rsidRDefault="00DE3C1F" w:rsidP="00DE3C1F">
      <w:pPr>
        <w:pStyle w:val="INFOEM"/>
        <w:numPr>
          <w:ilvl w:val="0"/>
          <w:numId w:val="5"/>
        </w:numPr>
        <w:ind w:right="141"/>
        <w:rPr>
          <w:rFonts w:eastAsia="Palatino Linotype" w:cs="Palatino Linotype"/>
          <w:i w:val="0"/>
          <w:sz w:val="24"/>
          <w:szCs w:val="24"/>
          <w:lang w:val="es-ES" w:eastAsia="es-ES"/>
        </w:rPr>
      </w:pPr>
      <w:r>
        <w:rPr>
          <w:rFonts w:cs="Arial"/>
          <w:i w:val="0"/>
          <w:sz w:val="24"/>
        </w:rPr>
        <w:lastRenderedPageBreak/>
        <w:t xml:space="preserve">Documentación que dé cuenta de la nómina del personal con </w:t>
      </w:r>
      <w:proofErr w:type="gramStart"/>
      <w:r>
        <w:rPr>
          <w:rFonts w:cs="Arial"/>
          <w:i w:val="0"/>
          <w:sz w:val="24"/>
        </w:rPr>
        <w:t>mando medio y operativos</w:t>
      </w:r>
      <w:proofErr w:type="gramEnd"/>
      <w:r>
        <w:rPr>
          <w:rFonts w:cs="Arial"/>
          <w:i w:val="0"/>
          <w:sz w:val="24"/>
        </w:rPr>
        <w:t>, del mes de marzo de dos mil veinticuatro.</w:t>
      </w:r>
      <w:r w:rsidR="00741E11" w:rsidRPr="00DE3C1F">
        <w:t xml:space="preserve">  </w:t>
      </w:r>
    </w:p>
    <w:p w:rsidR="00DE3C1F" w:rsidRPr="00C8686C" w:rsidRDefault="00741E11" w:rsidP="00DE3C1F">
      <w:pPr>
        <w:pStyle w:val="INFOEM"/>
      </w:pPr>
      <w:r w:rsidRPr="00973102">
        <w:t xml:space="preserve">Para la entrega en versión pública </w:t>
      </w:r>
      <w:r w:rsidR="00DE3C1F">
        <w:t>d</w:t>
      </w:r>
      <w:r w:rsidR="00DE3C1F" w:rsidRPr="00C8686C">
        <w:t>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rsidR="00741E11" w:rsidRDefault="00741E11" w:rsidP="00741E11">
      <w:pPr>
        <w:pStyle w:val="Sinespaciado"/>
        <w:spacing w:line="360" w:lineRule="auto"/>
        <w:jc w:val="both"/>
        <w:rPr>
          <w:rFonts w:ascii="Palatino Linotype" w:hAnsi="Palatino Linotype"/>
          <w:b/>
          <w:bCs/>
          <w:color w:val="222222"/>
          <w:lang w:eastAsia="es-MX"/>
        </w:rPr>
      </w:pPr>
    </w:p>
    <w:p w:rsidR="00741E11" w:rsidRDefault="00741E11" w:rsidP="00741E11">
      <w:pPr>
        <w:spacing w:after="0" w:line="360" w:lineRule="auto"/>
        <w:contextualSpacing/>
        <w:jc w:val="both"/>
        <w:rPr>
          <w:rFonts w:cs="Tahoma"/>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2B7B7E">
        <w:rPr>
          <w:rFonts w:ascii="Palatino Linotype" w:eastAsia="Calibri" w:hAnsi="Palatino Linotype" w:cs="Tahoma"/>
          <w:b/>
          <w:bCs/>
          <w:iCs/>
          <w:sz w:val="24"/>
        </w:rPr>
        <w:t xml:space="preserve">NOTIFÍQUESE </w:t>
      </w:r>
      <w:r w:rsidRPr="002B7B7E">
        <w:rPr>
          <w:rFonts w:ascii="Palatino Linotype" w:eastAsia="Calibri" w:hAnsi="Palatino Linotype" w:cs="Tahoma"/>
          <w:bCs/>
          <w:iCs/>
          <w:sz w:val="24"/>
        </w:rPr>
        <w:t>la presente resolución al Titular de la Unidad de Transparencia del Sujeto Obligado</w:t>
      </w:r>
      <w:r>
        <w:rPr>
          <w:rFonts w:ascii="Palatino Linotype" w:eastAsia="Calibri" w:hAnsi="Palatino Linotype" w:cs="Tahoma"/>
          <w:bCs/>
          <w:iCs/>
          <w:sz w:val="24"/>
        </w:rPr>
        <w:t xml:space="preserve"> a través del </w:t>
      </w:r>
      <w:r w:rsidRPr="00AF0A5B">
        <w:rPr>
          <w:rFonts w:ascii="Palatino Linotype" w:eastAsia="Calibri" w:hAnsi="Palatino Linotype" w:cs="Tahoma"/>
          <w:b/>
          <w:bCs/>
          <w:iCs/>
          <w:sz w:val="24"/>
        </w:rPr>
        <w:t>SAIMEX</w:t>
      </w:r>
      <w:r w:rsidRPr="002B7B7E">
        <w:rPr>
          <w:rFonts w:ascii="Palatino Linotype" w:eastAsia="Calibri" w:hAnsi="Palatino Linotype" w:cs="Tahoma"/>
          <w:bCs/>
          <w:iCs/>
          <w:sz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w:t>
      </w:r>
      <w:r w:rsidRPr="00F0557B">
        <w:rPr>
          <w:rFonts w:ascii="Palatino Linotype" w:eastAsia="Calibri" w:hAnsi="Palatino Linotype" w:cs="Tahoma"/>
          <w:b/>
          <w:bCs/>
          <w:iCs/>
          <w:sz w:val="24"/>
        </w:rPr>
        <w:t>se le apercibe que en caso de negarse a cumplir la presente resolución o hacerlo de manera parcial, se le impondrá una medida de apremio de conformidad con lo previsto en los artículos 198, 200, fracción III, 214, 215 y 216 de la Ley referida.</w:t>
      </w:r>
    </w:p>
    <w:p w:rsidR="00741E11" w:rsidRPr="00DF23DA" w:rsidRDefault="00741E11" w:rsidP="00741E11">
      <w:pPr>
        <w:tabs>
          <w:tab w:val="left" w:pos="8647"/>
        </w:tabs>
        <w:spacing w:after="0" w:line="360" w:lineRule="auto"/>
        <w:ind w:right="51"/>
        <w:jc w:val="both"/>
        <w:rPr>
          <w:rFonts w:ascii="Palatino Linotype" w:hAnsi="Palatino Linotype" w:cs="Arial"/>
          <w:sz w:val="24"/>
          <w:szCs w:val="24"/>
        </w:rPr>
      </w:pPr>
    </w:p>
    <w:p w:rsidR="00741E11" w:rsidRPr="00DF23DA" w:rsidRDefault="00741E11" w:rsidP="00741E11">
      <w:pPr>
        <w:tabs>
          <w:tab w:val="left" w:pos="8647"/>
        </w:tabs>
        <w:spacing w:after="0" w:line="360" w:lineRule="auto"/>
        <w:ind w:right="51"/>
        <w:jc w:val="both"/>
        <w:rPr>
          <w:rFonts w:ascii="Palatino Linotype" w:hAnsi="Palatino Linotype" w:cs="Arial"/>
          <w:sz w:val="24"/>
          <w:szCs w:val="24"/>
        </w:rPr>
      </w:pPr>
    </w:p>
    <w:p w:rsidR="00741E11" w:rsidRPr="00DF23DA" w:rsidRDefault="00741E11" w:rsidP="00741E11">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 parte</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w:t>
      </w:r>
      <w:r w:rsidRPr="00DF23DA">
        <w:rPr>
          <w:rFonts w:ascii="Palatino Linotype" w:eastAsia="Times New Roman" w:hAnsi="Palatino Linotype" w:cs="Arial"/>
          <w:sz w:val="24"/>
          <w:szCs w:val="24"/>
          <w:lang w:val="es-ES" w:eastAsia="es-ES"/>
        </w:rPr>
        <w:lastRenderedPageBreak/>
        <w:t>Ley de Transparencia y Acceso a la Información Pública del Estado de México y Municipios.</w:t>
      </w:r>
    </w:p>
    <w:p w:rsidR="00741E11" w:rsidRPr="00DF23DA" w:rsidRDefault="00741E11" w:rsidP="00741E11">
      <w:pPr>
        <w:spacing w:after="0" w:line="360" w:lineRule="auto"/>
        <w:jc w:val="both"/>
        <w:rPr>
          <w:rFonts w:ascii="Palatino Linotype" w:hAnsi="Palatino Linotype"/>
          <w:sz w:val="24"/>
          <w:szCs w:val="24"/>
          <w:lang w:eastAsia="es-ES_tradnl"/>
        </w:rPr>
      </w:pPr>
    </w:p>
    <w:p w:rsidR="00741E11" w:rsidRPr="00DF23DA" w:rsidRDefault="00741E11" w:rsidP="00741E11">
      <w:pPr>
        <w:spacing w:after="0" w:line="360" w:lineRule="auto"/>
        <w:jc w:val="both"/>
        <w:rPr>
          <w:rFonts w:ascii="Palatino Linotype" w:eastAsia="Calibri" w:hAnsi="Palatino Linotype" w:cs="Times New Roman"/>
          <w:sz w:val="24"/>
          <w:szCs w:val="24"/>
          <w:lang w:eastAsia="es-ES_tradnl"/>
        </w:rPr>
      </w:pPr>
      <w:r>
        <w:rPr>
          <w:rFonts w:ascii="Palatino Linotype" w:eastAsia="Calibri" w:hAnsi="Palatino Linotype" w:cs="Times New Roman"/>
          <w:b/>
          <w:sz w:val="28"/>
          <w:szCs w:val="24"/>
          <w:lang w:eastAsia="es-ES_tradnl"/>
        </w:rPr>
        <w:t>QUINTO</w:t>
      </w:r>
      <w:r w:rsidRPr="00DF23DA">
        <w:rPr>
          <w:rFonts w:ascii="Palatino Linotype" w:eastAsia="Calibri" w:hAnsi="Palatino Linotype" w:cs="Times New Roman"/>
          <w:b/>
          <w:sz w:val="24"/>
          <w:szCs w:val="24"/>
          <w:lang w:eastAsia="es-ES_tradnl"/>
        </w:rPr>
        <w:t>.</w:t>
      </w:r>
      <w:r w:rsidRPr="00DF23DA">
        <w:rPr>
          <w:rFonts w:ascii="Palatino Linotype" w:eastAsia="Calibri" w:hAnsi="Palatino Linotype" w:cs="Times New Roman"/>
          <w:sz w:val="24"/>
          <w:szCs w:val="24"/>
          <w:lang w:eastAsia="es-ES_tradnl"/>
        </w:rPr>
        <w:t xml:space="preserve"> </w:t>
      </w:r>
      <w:r w:rsidRPr="00DF23DA">
        <w:rPr>
          <w:rFonts w:ascii="Palatino Linotype" w:eastAsia="Calibri" w:hAnsi="Palatino Linotype" w:cs="Times New Roman"/>
          <w:b/>
          <w:sz w:val="24"/>
          <w:szCs w:val="24"/>
          <w:lang w:eastAsia="es-ES_tradnl"/>
        </w:rPr>
        <w:t>Notifíquese</w:t>
      </w:r>
      <w:r w:rsidRPr="00DF23DA">
        <w:rPr>
          <w:rFonts w:ascii="Palatino Linotype" w:eastAsia="Calibri" w:hAnsi="Palatino Linotype" w:cs="Times New Roman"/>
          <w:sz w:val="24"/>
          <w:szCs w:val="24"/>
          <w:lang w:eastAsia="es-ES_tradnl"/>
        </w:rPr>
        <w:t xml:space="preserve"> a</w:t>
      </w:r>
      <w:r>
        <w:rPr>
          <w:rFonts w:ascii="Palatino Linotype" w:eastAsia="Calibri" w:hAnsi="Palatino Linotype" w:cs="Times New Roman"/>
          <w:sz w:val="24"/>
          <w:szCs w:val="24"/>
          <w:lang w:eastAsia="es-ES_tradnl"/>
        </w:rPr>
        <w:t xml:space="preserve"> </w:t>
      </w:r>
      <w:r w:rsidRPr="00DF23DA">
        <w:rPr>
          <w:rFonts w:ascii="Palatino Linotype" w:eastAsia="Calibri" w:hAnsi="Palatino Linotype" w:cs="Times New Roman"/>
          <w:sz w:val="24"/>
          <w:szCs w:val="24"/>
          <w:lang w:eastAsia="es-ES_tradnl"/>
        </w:rPr>
        <w:t>l</w:t>
      </w:r>
      <w:r>
        <w:rPr>
          <w:rFonts w:ascii="Palatino Linotype" w:eastAsia="Calibri" w:hAnsi="Palatino Linotype" w:cs="Times New Roman"/>
          <w:sz w:val="24"/>
          <w:szCs w:val="24"/>
          <w:lang w:eastAsia="es-ES_tradnl"/>
        </w:rPr>
        <w:t>a parte</w:t>
      </w:r>
      <w:r w:rsidRPr="00DF23DA">
        <w:rPr>
          <w:rFonts w:ascii="Palatino Linotype" w:eastAsia="Calibri" w:hAnsi="Palatino Linotype" w:cs="Times New Roman"/>
          <w:sz w:val="24"/>
          <w:szCs w:val="24"/>
          <w:lang w:eastAsia="es-ES_tradnl"/>
        </w:rPr>
        <w:t xml:space="preserve"> </w:t>
      </w:r>
      <w:r w:rsidRPr="00DF23DA">
        <w:rPr>
          <w:rFonts w:ascii="Palatino Linotype" w:eastAsia="Calibri" w:hAnsi="Palatino Linotype" w:cs="Times New Roman"/>
          <w:b/>
          <w:sz w:val="24"/>
          <w:szCs w:val="24"/>
          <w:lang w:eastAsia="es-ES_tradnl"/>
        </w:rPr>
        <w:t>Recurrente</w:t>
      </w:r>
      <w:r w:rsidRPr="00DF23DA">
        <w:rPr>
          <w:rFonts w:ascii="Palatino Linotype" w:eastAsia="Calibri"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F23DA">
        <w:rPr>
          <w:rFonts w:ascii="Palatino Linotype" w:eastAsia="Calibri" w:hAnsi="Palatino Linotype" w:cs="Times New Roman"/>
          <w:b/>
          <w:sz w:val="24"/>
          <w:szCs w:val="24"/>
          <w:lang w:eastAsia="es-ES_tradnl"/>
        </w:rPr>
        <w:t>Sujeto Obligado</w:t>
      </w:r>
      <w:r w:rsidRPr="00DF23DA">
        <w:rPr>
          <w:rFonts w:ascii="Palatino Linotype" w:eastAsia="Calibri" w:hAnsi="Palatino Linotype" w:cs="Times New Roman"/>
          <w:sz w:val="24"/>
          <w:szCs w:val="24"/>
          <w:lang w:eastAsia="es-ES_tradnl"/>
        </w:rPr>
        <w:t>, en cumplimiento a esta Resolución.</w:t>
      </w:r>
    </w:p>
    <w:p w:rsidR="00741E11" w:rsidRPr="00DF23DA" w:rsidRDefault="00741E11" w:rsidP="00741E11">
      <w:pPr>
        <w:spacing w:after="0" w:line="360" w:lineRule="auto"/>
        <w:jc w:val="both"/>
        <w:rPr>
          <w:rFonts w:ascii="Palatino Linotype" w:eastAsia="Calibri" w:hAnsi="Palatino Linotype" w:cs="Times New Roman"/>
          <w:sz w:val="24"/>
          <w:szCs w:val="24"/>
          <w:lang w:eastAsia="es-ES_tradnl"/>
        </w:rPr>
      </w:pPr>
    </w:p>
    <w:p w:rsidR="00741E11" w:rsidRPr="00354C36" w:rsidRDefault="005E3318" w:rsidP="00741E11">
      <w:pPr>
        <w:spacing w:after="0" w:line="360" w:lineRule="auto"/>
        <w:jc w:val="both"/>
        <w:rPr>
          <w:rFonts w:ascii="Palatino Linotype" w:hAnsi="Palatino Linotype"/>
          <w:sz w:val="24"/>
          <w:szCs w:val="24"/>
          <w:lang w:eastAsia="es-ES_tradnl"/>
        </w:rPr>
      </w:pPr>
      <w:r>
        <w:rPr>
          <w:rFonts w:ascii="Palatino Linotype" w:eastAsia="Calibri" w:hAnsi="Palatino Linotype" w:cs="Times New Roman"/>
          <w:b/>
          <w:noProof/>
          <w:sz w:val="28"/>
          <w:szCs w:val="24"/>
          <w:lang w:eastAsia="es-MX"/>
        </w:rPr>
        <mc:AlternateContent>
          <mc:Choice Requires="wps">
            <w:drawing>
              <wp:anchor distT="0" distB="0" distL="114300" distR="114300" simplePos="0" relativeHeight="251659264" behindDoc="0" locked="0" layoutInCell="1" allowOverlap="1">
                <wp:simplePos x="0" y="0"/>
                <wp:positionH relativeFrom="column">
                  <wp:posOffset>15239</wp:posOffset>
                </wp:positionH>
                <wp:positionV relativeFrom="paragraph">
                  <wp:posOffset>1494790</wp:posOffset>
                </wp:positionV>
                <wp:extent cx="5610225" cy="320040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10225" cy="3200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155F2"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17.7pt" to="442.95pt,3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" strokecolor="#5b9bd5 [3204]" strokeweight=".5pt">
                <v:stroke joinstyle="miter"/>
              </v:line>
            </w:pict>
          </mc:Fallback>
        </mc:AlternateContent>
      </w:r>
      <w:r w:rsidR="00741E11">
        <w:rPr>
          <w:rFonts w:ascii="Palatino Linotype" w:eastAsia="Calibri" w:hAnsi="Palatino Linotype" w:cs="Times New Roman"/>
          <w:b/>
          <w:sz w:val="28"/>
          <w:szCs w:val="24"/>
          <w:lang w:eastAsia="es-ES_tradnl"/>
        </w:rPr>
        <w:t>SEXTO</w:t>
      </w:r>
      <w:r w:rsidR="00741E11">
        <w:rPr>
          <w:rFonts w:ascii="Palatino Linotype" w:eastAsia="Calibri" w:hAnsi="Palatino Linotype" w:cs="Times New Roman"/>
          <w:b/>
          <w:sz w:val="24"/>
          <w:szCs w:val="24"/>
          <w:lang w:eastAsia="es-ES_tradnl"/>
        </w:rPr>
        <w:t xml:space="preserve">. - </w:t>
      </w:r>
      <w:r w:rsidR="00741E11" w:rsidRPr="00354C36">
        <w:rPr>
          <w:rFonts w:ascii="Palatino Linotype" w:hAnsi="Palatino Linotype"/>
          <w:b/>
          <w:sz w:val="24"/>
          <w:szCs w:val="24"/>
          <w:lang w:eastAsia="es-ES_tradnl"/>
        </w:rPr>
        <w:t xml:space="preserve">Gírese </w:t>
      </w:r>
      <w:r w:rsidR="00741E11" w:rsidRPr="00354C36">
        <w:rPr>
          <w:rFonts w:ascii="Palatino Linotype" w:hAnsi="Palatino Linotype"/>
          <w:sz w:val="24"/>
          <w:szCs w:val="24"/>
          <w:lang w:eastAsia="es-ES_tradnl"/>
        </w:rPr>
        <w:t xml:space="preserve">oficio a </w:t>
      </w:r>
      <w:r w:rsidR="00741E11" w:rsidRPr="000115A8">
        <w:rPr>
          <w:rFonts w:ascii="Palatino Linotype" w:hAnsi="Palatino Linotype"/>
          <w:sz w:val="24"/>
          <w:szCs w:val="24"/>
          <w:lang w:eastAsia="es-ES_tradnl"/>
        </w:rPr>
        <w:t>la Secretaría Técnica del Pleno</w:t>
      </w:r>
      <w:r w:rsidR="00741E11" w:rsidRPr="00354C36">
        <w:rPr>
          <w:rFonts w:ascii="Palatino Linotype" w:hAnsi="Palatino Linotype"/>
          <w:sz w:val="24"/>
          <w:szCs w:val="24"/>
          <w:lang w:eastAsia="es-ES_tradnl"/>
        </w:rPr>
        <w:t xml:space="preserve"> de este Instituto para hacer del conocimiento del Órgano </w:t>
      </w:r>
      <w:r w:rsidR="00741E11">
        <w:rPr>
          <w:rFonts w:ascii="Palatino Linotype" w:hAnsi="Palatino Linotype"/>
          <w:sz w:val="24"/>
          <w:szCs w:val="24"/>
          <w:lang w:eastAsia="es-ES_tradnl"/>
        </w:rPr>
        <w:t>Interno</w:t>
      </w:r>
      <w:r w:rsidR="00741E11" w:rsidRPr="00354C36">
        <w:rPr>
          <w:rFonts w:ascii="Palatino Linotype" w:hAnsi="Palatino Linotype"/>
          <w:sz w:val="24"/>
          <w:szCs w:val="24"/>
          <w:lang w:eastAsia="es-ES_tradnl"/>
        </w:rPr>
        <w:t xml:space="preserve"> </w:t>
      </w:r>
      <w:r w:rsidRPr="00354C36">
        <w:rPr>
          <w:rFonts w:ascii="Palatino Linotype" w:hAnsi="Palatino Linotype"/>
          <w:sz w:val="24"/>
          <w:szCs w:val="24"/>
          <w:lang w:eastAsia="es-ES_tradnl"/>
        </w:rPr>
        <w:t>de Control</w:t>
      </w:r>
      <w:r>
        <w:rPr>
          <w:rFonts w:ascii="Palatino Linotype" w:hAnsi="Palatino Linotype"/>
          <w:sz w:val="24"/>
          <w:szCs w:val="24"/>
          <w:lang w:eastAsia="es-ES_tradnl"/>
        </w:rPr>
        <w:t xml:space="preserve"> </w:t>
      </w:r>
      <w:r w:rsidR="00741E11" w:rsidRPr="00354C36">
        <w:rPr>
          <w:rFonts w:ascii="Palatino Linotype" w:hAnsi="Palatino Linotype"/>
          <w:sz w:val="24"/>
          <w:szCs w:val="24"/>
          <w:lang w:eastAsia="es-ES_tradnl"/>
        </w:rPr>
        <w:t xml:space="preserve">competente la presente resolución, a fin de que de conformidad con el artículo 190 de la Ley de Transparencia y Acceso a la Información Pública del Estado de México y Municipios se determine lo conducente, en términos de lo señalado en el Considerando </w:t>
      </w:r>
      <w:r w:rsidR="00741E11" w:rsidRPr="000115A8">
        <w:rPr>
          <w:rFonts w:ascii="Palatino Linotype" w:hAnsi="Palatino Linotype"/>
          <w:b/>
          <w:bCs/>
          <w:sz w:val="24"/>
          <w:szCs w:val="24"/>
          <w:lang w:eastAsia="es-ES_tradnl"/>
        </w:rPr>
        <w:t>CUARTO</w:t>
      </w:r>
      <w:r w:rsidR="00741E11" w:rsidRPr="00354C36">
        <w:rPr>
          <w:rFonts w:ascii="Palatino Linotype" w:hAnsi="Palatino Linotype"/>
          <w:sz w:val="24"/>
          <w:szCs w:val="24"/>
          <w:lang w:eastAsia="es-ES_tradnl"/>
        </w:rPr>
        <w:t xml:space="preserve"> de la presente resolución.</w:t>
      </w:r>
    </w:p>
    <w:p w:rsidR="00741E11" w:rsidRPr="005442EC" w:rsidRDefault="00741E11" w:rsidP="00741E11">
      <w:pPr>
        <w:spacing w:after="0" w:line="360" w:lineRule="auto"/>
        <w:jc w:val="both"/>
        <w:rPr>
          <w:rFonts w:ascii="Palatino Linotype" w:hAnsi="Palatino Linotype"/>
          <w:sz w:val="28"/>
          <w:szCs w:val="24"/>
          <w:lang w:eastAsia="es-ES_tradnl"/>
        </w:rPr>
      </w:pPr>
    </w:p>
    <w:p w:rsidR="00741E11" w:rsidRDefault="00741E11" w:rsidP="00741E11">
      <w:pPr>
        <w:spacing w:after="0" w:line="360" w:lineRule="auto"/>
        <w:jc w:val="both"/>
        <w:rPr>
          <w:rFonts w:ascii="Palatino Linotype" w:hAnsi="Palatino Linotype"/>
          <w:sz w:val="24"/>
          <w:szCs w:val="24"/>
          <w:lang w:eastAsia="es-ES_tradnl"/>
        </w:rPr>
      </w:pPr>
    </w:p>
    <w:p w:rsidR="005E3318" w:rsidRDefault="005E3318" w:rsidP="00741E11">
      <w:pPr>
        <w:spacing w:after="0" w:line="360" w:lineRule="auto"/>
        <w:jc w:val="both"/>
        <w:rPr>
          <w:rFonts w:ascii="Palatino Linotype" w:hAnsi="Palatino Linotype"/>
          <w:sz w:val="24"/>
          <w:szCs w:val="24"/>
          <w:lang w:eastAsia="es-ES_tradnl"/>
        </w:rPr>
      </w:pPr>
    </w:p>
    <w:p w:rsidR="005E3318" w:rsidRDefault="005E3318" w:rsidP="00741E11">
      <w:pPr>
        <w:spacing w:after="0" w:line="360" w:lineRule="auto"/>
        <w:jc w:val="both"/>
        <w:rPr>
          <w:rFonts w:ascii="Palatino Linotype" w:hAnsi="Palatino Linotype"/>
          <w:sz w:val="24"/>
          <w:szCs w:val="24"/>
          <w:lang w:eastAsia="es-ES_tradnl"/>
        </w:rPr>
      </w:pPr>
    </w:p>
    <w:p w:rsidR="005E3318" w:rsidRDefault="005E3318" w:rsidP="00741E11">
      <w:pPr>
        <w:spacing w:after="0" w:line="360" w:lineRule="auto"/>
        <w:jc w:val="both"/>
        <w:rPr>
          <w:rFonts w:ascii="Palatino Linotype" w:hAnsi="Palatino Linotype"/>
          <w:sz w:val="24"/>
          <w:szCs w:val="24"/>
          <w:lang w:eastAsia="es-ES_tradnl"/>
        </w:rPr>
      </w:pPr>
    </w:p>
    <w:p w:rsidR="005E3318" w:rsidRDefault="005E3318" w:rsidP="00741E11">
      <w:pPr>
        <w:spacing w:after="0" w:line="360" w:lineRule="auto"/>
        <w:jc w:val="both"/>
        <w:rPr>
          <w:rFonts w:ascii="Palatino Linotype" w:hAnsi="Palatino Linotype"/>
          <w:sz w:val="24"/>
          <w:szCs w:val="24"/>
          <w:lang w:eastAsia="es-ES_tradnl"/>
        </w:rPr>
      </w:pPr>
    </w:p>
    <w:p w:rsidR="005E3318" w:rsidRDefault="005E3318" w:rsidP="00741E11">
      <w:pPr>
        <w:spacing w:after="0" w:line="360" w:lineRule="auto"/>
        <w:jc w:val="both"/>
        <w:rPr>
          <w:rFonts w:ascii="Palatino Linotype" w:hAnsi="Palatino Linotype"/>
          <w:sz w:val="24"/>
          <w:szCs w:val="24"/>
          <w:lang w:eastAsia="es-ES_tradnl"/>
        </w:rPr>
      </w:pPr>
    </w:p>
    <w:p w:rsidR="005E3318" w:rsidRDefault="005E3318" w:rsidP="00741E11">
      <w:pPr>
        <w:spacing w:after="0" w:line="360" w:lineRule="auto"/>
        <w:jc w:val="both"/>
        <w:rPr>
          <w:rFonts w:ascii="Palatino Linotype" w:hAnsi="Palatino Linotype"/>
          <w:sz w:val="24"/>
          <w:szCs w:val="24"/>
          <w:lang w:eastAsia="es-ES_tradnl"/>
        </w:rPr>
      </w:pPr>
    </w:p>
    <w:p w:rsidR="00741E11" w:rsidRPr="00DF23DA" w:rsidRDefault="00741E11" w:rsidP="00741E11">
      <w:pPr>
        <w:spacing w:after="0" w:line="360" w:lineRule="auto"/>
        <w:jc w:val="both"/>
        <w:rPr>
          <w:rFonts w:ascii="Palatino Linotype" w:hAnsi="Palatino Linotype"/>
          <w:sz w:val="24"/>
          <w:szCs w:val="24"/>
          <w:lang w:eastAsia="es-ES_tradnl"/>
        </w:rPr>
      </w:pPr>
    </w:p>
    <w:p w:rsidR="00741E11" w:rsidRPr="00DF23DA" w:rsidRDefault="00741E11" w:rsidP="00741E11">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lastRenderedPageBreak/>
        <w:t>ASÍ LO RESUELVE, POR UNANIMIDAD DE VOTOS EL PLENO DEL</w:t>
      </w:r>
      <w:r w:rsidRPr="00DF23DA">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DF23DA">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C1456A">
        <w:rPr>
          <w:rFonts w:ascii="Palatino Linotype" w:hAnsi="Palatino Linotype" w:cs="Arial"/>
          <w:sz w:val="24"/>
          <w:szCs w:val="24"/>
        </w:rPr>
        <w:t>TR</w:t>
      </w:r>
      <w:r>
        <w:rPr>
          <w:rFonts w:ascii="Palatino Linotype" w:hAnsi="Palatino Linotype" w:cs="Arial"/>
          <w:sz w:val="24"/>
          <w:szCs w:val="24"/>
        </w:rPr>
        <w:t xml:space="preserve">IGÉSIMA </w:t>
      </w:r>
      <w:r w:rsidR="00C1456A">
        <w:rPr>
          <w:rFonts w:ascii="Palatino Linotype" w:hAnsi="Palatino Linotype" w:cs="Arial"/>
          <w:sz w:val="24"/>
          <w:szCs w:val="24"/>
        </w:rPr>
        <w:t>PRIMERA</w:t>
      </w:r>
      <w:r>
        <w:rPr>
          <w:rFonts w:ascii="Palatino Linotype" w:hAnsi="Palatino Linotype" w:cs="Arial"/>
          <w:sz w:val="24"/>
          <w:szCs w:val="24"/>
        </w:rPr>
        <w:t xml:space="preserve"> </w:t>
      </w:r>
      <w:r w:rsidRPr="00DF23DA">
        <w:rPr>
          <w:rFonts w:ascii="Palatino Linotype" w:hAnsi="Palatino Linotype" w:cs="Arial"/>
          <w:sz w:val="24"/>
          <w:szCs w:val="24"/>
        </w:rPr>
        <w:t xml:space="preserve">SESIÓN ORDINARIA CELEBRADA EL </w:t>
      </w:r>
      <w:r w:rsidR="00C1456A">
        <w:rPr>
          <w:rFonts w:ascii="Palatino Linotype" w:hAnsi="Palatino Linotype" w:cs="Arial"/>
          <w:sz w:val="24"/>
          <w:szCs w:val="24"/>
        </w:rPr>
        <w:t>CUATRO DE SEPTIEMBRE</w:t>
      </w:r>
      <w:r>
        <w:rPr>
          <w:rFonts w:ascii="Palatino Linotype" w:hAnsi="Palatino Linotype" w:cs="Arial"/>
          <w:sz w:val="24"/>
          <w:szCs w:val="24"/>
        </w:rPr>
        <w:t xml:space="preserve"> DE DOS MIL VEINTICUATRO</w:t>
      </w:r>
      <w:r w:rsidRPr="00DF23DA">
        <w:rPr>
          <w:rFonts w:ascii="Palatino Linotype" w:hAnsi="Palatino Linotype" w:cs="Arial"/>
          <w:sz w:val="24"/>
          <w:szCs w:val="24"/>
        </w:rPr>
        <w:t>, ANTE EL SECRETARIO TÉCNICO DEL PLENO, ALEXIS TAPIA RAMÍREZ. ----------------------------------------------------------</w:t>
      </w:r>
    </w:p>
    <w:p w:rsidR="00741E11" w:rsidRPr="00DF23DA" w:rsidRDefault="00741E11" w:rsidP="00741E11">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w:t>
      </w:r>
    </w:p>
    <w:p w:rsidR="00741E11" w:rsidRPr="00DF23DA" w:rsidRDefault="00741E11" w:rsidP="00741E11">
      <w:pPr>
        <w:spacing w:after="0" w:line="360" w:lineRule="auto"/>
        <w:jc w:val="both"/>
        <w:rPr>
          <w:rFonts w:ascii="Palatino Linotype" w:hAnsi="Palatino Linotype" w:cs="Arial"/>
          <w:sz w:val="24"/>
          <w:szCs w:val="24"/>
        </w:rPr>
      </w:pPr>
      <w:r w:rsidRPr="00DF23DA">
        <w:rPr>
          <w:rFonts w:ascii="Palatino Linotype" w:hAnsi="Palatino Linotype" w:cs="Arial"/>
          <w:sz w:val="24"/>
          <w:szCs w:val="24"/>
        </w:rPr>
        <w:t>---------------------------------------------------------------------------------</w:t>
      </w:r>
      <w:r>
        <w:rPr>
          <w:rFonts w:ascii="Palatino Linotype" w:hAnsi="Palatino Linotype" w:cs="Arial"/>
          <w:sz w:val="24"/>
          <w:szCs w:val="24"/>
        </w:rPr>
        <w:t>-----------------------------------------------------------------------------------------------------------------------------------------------------------------------------------------------------------------------------------------------------------------------------------------------------------------------------------------------------------------------------------</w:t>
      </w:r>
      <w:r w:rsidR="005E3318">
        <w:rPr>
          <w:rFonts w:ascii="Palatino Linotype" w:hAnsi="Palatino Linotype" w:cs="Arial"/>
          <w:sz w:val="24"/>
          <w:szCs w:val="24"/>
        </w:rPr>
        <w:t>-----------------------------------------------------------------------------------------------------------------------------------------------------------------------------------------------------------------------------------------------------------------------------------------------------------------------------------------------------------------------------------------------------------------------------------------------------------------------------------------------------------------------------------------------------------------------------------------------------------------------------------------------------------------------------------------------------------------------------------------------------------------------------------------------------------------------</w:t>
      </w:r>
      <w:r>
        <w:rPr>
          <w:rFonts w:ascii="Palatino Linotype" w:hAnsi="Palatino Linotype" w:cs="Arial"/>
          <w:sz w:val="24"/>
          <w:szCs w:val="24"/>
        </w:rPr>
        <w:t>----------------------------------------------------------------------------------------------------------------------------------------------------------------------------------------------------------------------------------</w:t>
      </w:r>
    </w:p>
    <w:p w:rsidR="00741E11" w:rsidRPr="005323D1" w:rsidRDefault="00741E11" w:rsidP="00741E11">
      <w:pPr>
        <w:spacing w:after="0" w:line="360" w:lineRule="auto"/>
        <w:jc w:val="both"/>
        <w:rPr>
          <w:rFonts w:ascii="Palatino Linotype" w:hAnsi="Palatino Linotype" w:cs="Arial"/>
          <w:sz w:val="20"/>
        </w:rPr>
      </w:pPr>
      <w:r w:rsidRPr="00DF23DA">
        <w:rPr>
          <w:rFonts w:ascii="Palatino Linotype" w:hAnsi="Palatino Linotype" w:cs="Arial"/>
          <w:sz w:val="20"/>
        </w:rPr>
        <w:t>CCR/</w:t>
      </w:r>
      <w:r w:rsidR="00F4020D">
        <w:rPr>
          <w:rFonts w:ascii="Palatino Linotype" w:hAnsi="Palatino Linotype" w:cs="Arial"/>
          <w:sz w:val="20"/>
        </w:rPr>
        <w:t>LMST</w:t>
      </w:r>
    </w:p>
    <w:p w:rsidR="00741E11" w:rsidRDefault="00741E11" w:rsidP="00741E11">
      <w:pPr>
        <w:spacing w:after="0" w:line="360" w:lineRule="auto"/>
        <w:jc w:val="both"/>
        <w:rPr>
          <w:rFonts w:ascii="Palatino Linotype" w:hAnsi="Palatino Linotype" w:cs="Arial"/>
          <w:sz w:val="24"/>
          <w:szCs w:val="24"/>
        </w:rPr>
      </w:pPr>
    </w:p>
    <w:p w:rsidR="00741E11" w:rsidRDefault="00741E11" w:rsidP="00741E11">
      <w:pPr>
        <w:spacing w:after="0" w:line="360" w:lineRule="auto"/>
        <w:jc w:val="both"/>
        <w:rPr>
          <w:rFonts w:ascii="Palatino Linotype" w:hAnsi="Palatino Linotype" w:cs="Arial"/>
          <w:sz w:val="24"/>
          <w:szCs w:val="24"/>
        </w:rPr>
      </w:pPr>
    </w:p>
    <w:p w:rsidR="00741E11" w:rsidRDefault="00741E11" w:rsidP="00741E11">
      <w:pPr>
        <w:spacing w:after="0" w:line="360" w:lineRule="auto"/>
        <w:jc w:val="both"/>
        <w:rPr>
          <w:rFonts w:ascii="Palatino Linotype" w:hAnsi="Palatino Linotype" w:cs="Arial"/>
          <w:sz w:val="24"/>
          <w:szCs w:val="24"/>
        </w:rPr>
      </w:pPr>
    </w:p>
    <w:p w:rsidR="00741E11" w:rsidRDefault="00741E11" w:rsidP="00741E11">
      <w:pPr>
        <w:spacing w:after="0"/>
      </w:pPr>
    </w:p>
    <w:p w:rsidR="00741E11" w:rsidRDefault="00741E11" w:rsidP="00741E11">
      <w:pPr>
        <w:spacing w:after="0"/>
      </w:pPr>
    </w:p>
    <w:p w:rsidR="00741E11" w:rsidRDefault="00741E11" w:rsidP="00741E11">
      <w:pPr>
        <w:spacing w:after="0"/>
      </w:pPr>
    </w:p>
    <w:p w:rsidR="00741E11" w:rsidRDefault="00741E11" w:rsidP="00741E11">
      <w:pPr>
        <w:spacing w:after="0"/>
      </w:pPr>
    </w:p>
    <w:p w:rsidR="00741E11" w:rsidRDefault="00741E11" w:rsidP="00741E11">
      <w:pPr>
        <w:spacing w:after="0"/>
      </w:pPr>
    </w:p>
    <w:p w:rsidR="00741E11" w:rsidRDefault="00741E11" w:rsidP="00741E11">
      <w:pPr>
        <w:spacing w:after="0"/>
      </w:pPr>
    </w:p>
    <w:p w:rsidR="00741E11" w:rsidRDefault="00741E11" w:rsidP="00741E11">
      <w:pPr>
        <w:spacing w:after="0"/>
      </w:pPr>
    </w:p>
    <w:p w:rsidR="00741E11" w:rsidRDefault="00741E11" w:rsidP="00741E11">
      <w:pPr>
        <w:spacing w:after="0"/>
      </w:pPr>
    </w:p>
    <w:p w:rsidR="00741E11" w:rsidRDefault="00741E11" w:rsidP="00741E11"/>
    <w:p w:rsidR="00741E11" w:rsidRDefault="00741E11" w:rsidP="00741E11"/>
    <w:p w:rsidR="00741E11" w:rsidRDefault="00741E11" w:rsidP="00741E11"/>
    <w:p w:rsidR="00741E11" w:rsidRDefault="00741E11" w:rsidP="00741E11"/>
    <w:p w:rsidR="00741E11" w:rsidRDefault="00741E11" w:rsidP="00741E11"/>
    <w:p w:rsidR="00741E11" w:rsidRPr="007E5AE4" w:rsidRDefault="00741E11" w:rsidP="00741E11"/>
    <w:p w:rsidR="00741E11" w:rsidRDefault="00741E11" w:rsidP="00741E11"/>
    <w:p w:rsidR="00741E11" w:rsidRDefault="00741E11" w:rsidP="00741E11"/>
    <w:p w:rsidR="00741E11" w:rsidRDefault="00741E11" w:rsidP="00741E11"/>
    <w:p w:rsidR="00741E11" w:rsidRDefault="00741E11" w:rsidP="00741E11"/>
    <w:p w:rsidR="00741E11" w:rsidRDefault="00741E11" w:rsidP="00741E11"/>
    <w:p w:rsidR="00741E11" w:rsidRDefault="00741E11" w:rsidP="00741E11"/>
    <w:p w:rsidR="005C40AC" w:rsidRDefault="005C40AC"/>
    <w:sectPr w:rsidR="005C40AC" w:rsidSect="007B35E4">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F3E" w:rsidRDefault="00472F3E" w:rsidP="00741E11">
      <w:pPr>
        <w:spacing w:after="0" w:line="240" w:lineRule="auto"/>
      </w:pPr>
      <w:r>
        <w:separator/>
      </w:r>
    </w:p>
  </w:endnote>
  <w:endnote w:type="continuationSeparator" w:id="0">
    <w:p w:rsidR="00472F3E" w:rsidRDefault="00472F3E" w:rsidP="0074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472F3E" w:rsidRPr="002D6DD8" w:rsidRDefault="00472F3E" w:rsidP="007B35E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C31A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C31AA">
              <w:rPr>
                <w:rFonts w:ascii="Palatino Linotype" w:hAnsi="Palatino Linotype"/>
                <w:bCs/>
                <w:noProof/>
                <w:sz w:val="20"/>
              </w:rPr>
              <w:t>52</w:t>
            </w:r>
            <w:r>
              <w:rPr>
                <w:rFonts w:ascii="Palatino Linotype" w:hAnsi="Palatino Linotype"/>
                <w:bCs/>
                <w:noProof/>
                <w:sz w:val="20"/>
              </w:rPr>
              <w:fldChar w:fldCharType="end"/>
            </w:r>
          </w:p>
        </w:sdtContent>
      </w:sdt>
    </w:sdtContent>
  </w:sdt>
  <w:p w:rsidR="00472F3E" w:rsidRDefault="00472F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F3E" w:rsidRPr="000B69FA" w:rsidRDefault="00472F3E" w:rsidP="007B35E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C31A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C31AA">
      <w:rPr>
        <w:rFonts w:ascii="Palatino Linotype" w:hAnsi="Palatino Linotype"/>
        <w:bCs/>
        <w:noProof/>
        <w:sz w:val="20"/>
      </w:rPr>
      <w:t>52</w:t>
    </w:r>
    <w:r>
      <w:rPr>
        <w:rFonts w:ascii="Palatino Linotype" w:hAnsi="Palatino Linotype"/>
        <w:bCs/>
        <w:noProof/>
        <w:sz w:val="20"/>
      </w:rPr>
      <w:fldChar w:fldCharType="end"/>
    </w:r>
  </w:p>
  <w:p w:rsidR="00472F3E" w:rsidRDefault="00472F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F3E" w:rsidRDefault="00472F3E" w:rsidP="00741E11">
      <w:pPr>
        <w:spacing w:after="0" w:line="240" w:lineRule="auto"/>
      </w:pPr>
      <w:r>
        <w:separator/>
      </w:r>
    </w:p>
  </w:footnote>
  <w:footnote w:type="continuationSeparator" w:id="0">
    <w:p w:rsidR="00472F3E" w:rsidRDefault="00472F3E" w:rsidP="00741E11">
      <w:pPr>
        <w:spacing w:after="0" w:line="240" w:lineRule="auto"/>
      </w:pPr>
      <w:r>
        <w:continuationSeparator/>
      </w:r>
    </w:p>
  </w:footnote>
  <w:footnote w:id="1">
    <w:p w:rsidR="00472F3E" w:rsidRPr="00946E1F" w:rsidRDefault="00472F3E" w:rsidP="00741E11">
      <w:pPr>
        <w:spacing w:line="240" w:lineRule="auto"/>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472F3E" w:rsidTr="007B35E4">
      <w:trPr>
        <w:trHeight w:val="227"/>
      </w:trPr>
      <w:tc>
        <w:tcPr>
          <w:tcW w:w="5246" w:type="dxa"/>
          <w:hideMark/>
        </w:tcPr>
        <w:p w:rsidR="00472F3E" w:rsidRPr="00641471" w:rsidRDefault="00472F3E" w:rsidP="007B35E4">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472F3E" w:rsidRPr="00641471" w:rsidRDefault="00472F3E" w:rsidP="00741E1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04010/INFOEM/IP/RR/2024</w:t>
          </w:r>
        </w:p>
      </w:tc>
    </w:tr>
    <w:tr w:rsidR="00472F3E" w:rsidTr="007B35E4">
      <w:trPr>
        <w:trHeight w:val="242"/>
      </w:trPr>
      <w:tc>
        <w:tcPr>
          <w:tcW w:w="5246" w:type="dxa"/>
          <w:hideMark/>
        </w:tcPr>
        <w:p w:rsidR="00472F3E" w:rsidRPr="00641471" w:rsidRDefault="00472F3E" w:rsidP="007B35E4">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472F3E" w:rsidRPr="00641471" w:rsidRDefault="00472F3E" w:rsidP="007B35E4">
          <w:pPr>
            <w:spacing w:after="120" w:line="256" w:lineRule="auto"/>
            <w:ind w:left="-486" w:right="214" w:firstLine="284"/>
            <w:jc w:val="right"/>
            <w:rPr>
              <w:rFonts w:ascii="Palatino Linotype" w:hAnsi="Palatino Linotype" w:cs="Arial"/>
              <w:b/>
              <w:szCs w:val="20"/>
            </w:rPr>
          </w:pPr>
          <w:r w:rsidRPr="00741E11">
            <w:rPr>
              <w:rFonts w:ascii="Palatino Linotype" w:hAnsi="Palatino Linotype" w:cs="Arial"/>
              <w:b/>
              <w:szCs w:val="20"/>
            </w:rPr>
            <w:t>Sistema de Transporte Masivo y Teleférico del Estado de México</w:t>
          </w:r>
        </w:p>
      </w:tc>
    </w:tr>
    <w:tr w:rsidR="00472F3E" w:rsidTr="007B35E4">
      <w:trPr>
        <w:trHeight w:val="342"/>
      </w:trPr>
      <w:tc>
        <w:tcPr>
          <w:tcW w:w="5246" w:type="dxa"/>
          <w:hideMark/>
        </w:tcPr>
        <w:p w:rsidR="00472F3E" w:rsidRPr="00641471" w:rsidRDefault="00472F3E" w:rsidP="007B35E4">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rsidR="00472F3E" w:rsidRPr="00641471" w:rsidRDefault="00472F3E" w:rsidP="007B35E4">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472F3E" w:rsidRPr="00AE046A" w:rsidRDefault="00472F3E" w:rsidP="007B35E4">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57F999D" wp14:editId="4B34F4C0">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F3E" w:rsidRDefault="00472F3E"/>
  <w:tbl>
    <w:tblPr>
      <w:tblW w:w="9923" w:type="dxa"/>
      <w:tblInd w:w="-851" w:type="dxa"/>
      <w:tblCellMar>
        <w:left w:w="70" w:type="dxa"/>
        <w:right w:w="70" w:type="dxa"/>
      </w:tblCellMar>
      <w:tblLook w:val="04A0" w:firstRow="1" w:lastRow="0" w:firstColumn="1" w:lastColumn="0" w:noHBand="0" w:noVBand="1"/>
    </w:tblPr>
    <w:tblGrid>
      <w:gridCol w:w="5104"/>
      <w:gridCol w:w="4819"/>
    </w:tblGrid>
    <w:tr w:rsidR="00472F3E" w:rsidTr="007B35E4">
      <w:trPr>
        <w:trHeight w:val="227"/>
      </w:trPr>
      <w:tc>
        <w:tcPr>
          <w:tcW w:w="5104" w:type="dxa"/>
          <w:hideMark/>
        </w:tcPr>
        <w:p w:rsidR="00472F3E" w:rsidRPr="00641471" w:rsidRDefault="00472F3E" w:rsidP="007B35E4">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472F3E" w:rsidRPr="007E5AE4" w:rsidRDefault="00472F3E" w:rsidP="00741E1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04010/INFOEM/IP/RR/2024</w:t>
          </w:r>
        </w:p>
      </w:tc>
    </w:tr>
    <w:tr w:rsidR="00472F3E" w:rsidTr="007B35E4">
      <w:trPr>
        <w:trHeight w:val="242"/>
      </w:trPr>
      <w:tc>
        <w:tcPr>
          <w:tcW w:w="5104" w:type="dxa"/>
          <w:hideMark/>
        </w:tcPr>
        <w:p w:rsidR="00472F3E" w:rsidRPr="00641471" w:rsidRDefault="00472F3E" w:rsidP="007B35E4">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472F3E" w:rsidRPr="007E5AE4" w:rsidRDefault="00472F3E" w:rsidP="007B35E4">
          <w:pPr>
            <w:spacing w:after="0" w:line="256" w:lineRule="auto"/>
            <w:ind w:left="-486" w:right="214" w:firstLine="284"/>
            <w:jc w:val="right"/>
            <w:rPr>
              <w:rFonts w:ascii="Palatino Linotype" w:hAnsi="Palatino Linotype" w:cs="Arial"/>
              <w:b/>
              <w:szCs w:val="20"/>
            </w:rPr>
          </w:pPr>
          <w:r w:rsidRPr="00741E11">
            <w:rPr>
              <w:rFonts w:ascii="Palatino Linotype" w:hAnsi="Palatino Linotype" w:cs="Arial"/>
              <w:b/>
              <w:szCs w:val="20"/>
            </w:rPr>
            <w:t>Sistema de Transporte Masivo y Teleférico del Estado de México</w:t>
          </w:r>
        </w:p>
      </w:tc>
    </w:tr>
    <w:tr w:rsidR="00472F3E" w:rsidTr="007B35E4">
      <w:trPr>
        <w:trHeight w:val="342"/>
      </w:trPr>
      <w:tc>
        <w:tcPr>
          <w:tcW w:w="5104" w:type="dxa"/>
        </w:tcPr>
        <w:p w:rsidR="00472F3E" w:rsidRPr="00641471" w:rsidRDefault="00472F3E" w:rsidP="007B35E4">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rsidR="00472F3E" w:rsidRPr="007E5AE4" w:rsidRDefault="00472F3E" w:rsidP="007B35E4">
          <w:pPr>
            <w:spacing w:after="120" w:line="256" w:lineRule="auto"/>
            <w:ind w:left="-486" w:right="214" w:firstLine="567"/>
            <w:jc w:val="right"/>
            <w:rPr>
              <w:rFonts w:ascii="Palatino Linotype" w:hAnsi="Palatino Linotype" w:cs="Arial"/>
              <w:b/>
            </w:rPr>
          </w:pPr>
          <w:r w:rsidRPr="007E5AE4">
            <w:rPr>
              <w:rFonts w:ascii="Palatino Linotype" w:hAnsi="Palatino Linotype" w:cs="Arial"/>
              <w:b/>
              <w:noProof/>
              <w:szCs w:val="20"/>
              <w:lang w:eastAsia="es-MX"/>
            </w:rPr>
            <w:drawing>
              <wp:anchor distT="0" distB="0" distL="114300" distR="114300" simplePos="0" relativeHeight="251659264" behindDoc="1" locked="0" layoutInCell="0" allowOverlap="1" wp14:anchorId="499E45FD" wp14:editId="57EFC5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9C31AA">
            <w:rPr>
              <w:rFonts w:ascii="Palatino Linotype" w:hAnsi="Palatino Linotype" w:cs="Arial"/>
              <w:b/>
              <w:noProof/>
              <w:szCs w:val="20"/>
              <w:lang w:eastAsia="es-MX"/>
            </w:rPr>
            <w:t>XXXXXXXXXXXXXXXX</w:t>
          </w:r>
          <w:r>
            <w:rPr>
              <w:rFonts w:ascii="Palatino Linotype" w:hAnsi="Palatino Linotype" w:cs="Arial"/>
              <w:b/>
              <w:noProof/>
              <w:szCs w:val="20"/>
              <w:lang w:eastAsia="es-MX"/>
            </w:rPr>
            <w:t xml:space="preserve"> </w:t>
          </w:r>
        </w:p>
      </w:tc>
    </w:tr>
    <w:tr w:rsidR="00472F3E" w:rsidTr="007B35E4">
      <w:trPr>
        <w:trHeight w:val="342"/>
      </w:trPr>
      <w:tc>
        <w:tcPr>
          <w:tcW w:w="5104" w:type="dxa"/>
        </w:tcPr>
        <w:p w:rsidR="00472F3E" w:rsidRPr="00641471" w:rsidRDefault="00472F3E" w:rsidP="007B35E4">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rsidR="00472F3E" w:rsidRPr="007E5AE4" w:rsidRDefault="00472F3E" w:rsidP="007B35E4">
          <w:pPr>
            <w:spacing w:after="120" w:line="256" w:lineRule="auto"/>
            <w:ind w:left="-486" w:right="214" w:firstLine="567"/>
            <w:jc w:val="right"/>
            <w:rPr>
              <w:rFonts w:ascii="Palatino Linotype" w:hAnsi="Palatino Linotype" w:cs="Arial"/>
              <w:b/>
              <w:szCs w:val="20"/>
            </w:rPr>
          </w:pPr>
          <w:r w:rsidRPr="007E5AE4">
            <w:rPr>
              <w:rFonts w:ascii="Palatino Linotype" w:hAnsi="Palatino Linotype" w:cs="Arial"/>
              <w:b/>
              <w:szCs w:val="20"/>
            </w:rPr>
            <w:t>José Martínez Vilchis</w:t>
          </w:r>
        </w:p>
      </w:tc>
    </w:tr>
  </w:tbl>
  <w:p w:rsidR="00472F3E" w:rsidRPr="00C222C0" w:rsidRDefault="00472F3E">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5EDB"/>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8100623"/>
    <w:multiLevelType w:val="hybridMultilevel"/>
    <w:tmpl w:val="642C6F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35D50"/>
    <w:multiLevelType w:val="hybridMultilevel"/>
    <w:tmpl w:val="33C2F164"/>
    <w:lvl w:ilvl="0" w:tplc="5BB472B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3B2591"/>
    <w:multiLevelType w:val="hybridMultilevel"/>
    <w:tmpl w:val="B6BCD478"/>
    <w:lvl w:ilvl="0" w:tplc="912CD88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16240CB4"/>
    <w:multiLevelType w:val="hybridMultilevel"/>
    <w:tmpl w:val="F0383684"/>
    <w:lvl w:ilvl="0" w:tplc="7876DEC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1A253F34"/>
    <w:multiLevelType w:val="hybridMultilevel"/>
    <w:tmpl w:val="8D64CB38"/>
    <w:lvl w:ilvl="0" w:tplc="C5967D1E">
      <w:start w:val="1"/>
      <w:numFmt w:val="bullet"/>
      <w:lvlText w:val="-"/>
      <w:lvlJc w:val="left"/>
      <w:pPr>
        <w:ind w:left="1080" w:hanging="360"/>
      </w:pPr>
      <w:rPr>
        <w:rFonts w:ascii="Palatino Linotype" w:eastAsia="Times New Roman" w:hAnsi="Palatino Linotype" w:cs="Aria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EF05D3F"/>
    <w:multiLevelType w:val="hybridMultilevel"/>
    <w:tmpl w:val="7F7887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9F55FE"/>
    <w:multiLevelType w:val="hybridMultilevel"/>
    <w:tmpl w:val="5940736E"/>
    <w:lvl w:ilvl="0" w:tplc="CD48BB4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CC8147C"/>
    <w:multiLevelType w:val="hybridMultilevel"/>
    <w:tmpl w:val="0F02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30DD5"/>
    <w:multiLevelType w:val="hybridMultilevel"/>
    <w:tmpl w:val="B12C6346"/>
    <w:lvl w:ilvl="0" w:tplc="282455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0B46C38"/>
    <w:multiLevelType w:val="hybridMultilevel"/>
    <w:tmpl w:val="9CC25BDE"/>
    <w:lvl w:ilvl="0" w:tplc="914A51F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7E1C1C"/>
    <w:multiLevelType w:val="hybridMultilevel"/>
    <w:tmpl w:val="C9648E2C"/>
    <w:lvl w:ilvl="0" w:tplc="7D3AB8D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55542CAE"/>
    <w:multiLevelType w:val="hybridMultilevel"/>
    <w:tmpl w:val="C20A7F1E"/>
    <w:lvl w:ilvl="0" w:tplc="EFEA6F6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556A17A5"/>
    <w:multiLevelType w:val="hybridMultilevel"/>
    <w:tmpl w:val="81BC850E"/>
    <w:lvl w:ilvl="0" w:tplc="E36C3A42">
      <w:start w:val="1"/>
      <w:numFmt w:val="lowerLetter"/>
      <w:lvlText w:val="%1)"/>
      <w:lvlJc w:val="left"/>
      <w:pPr>
        <w:ind w:left="1974" w:hanging="84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16" w15:restartNumberingAfterBreak="0">
    <w:nsid w:val="56652D1E"/>
    <w:multiLevelType w:val="hybridMultilevel"/>
    <w:tmpl w:val="02DE7848"/>
    <w:lvl w:ilvl="0" w:tplc="080A0001">
      <w:start w:val="1"/>
      <w:numFmt w:val="bullet"/>
      <w:lvlText w:val=""/>
      <w:lvlJc w:val="left"/>
      <w:pPr>
        <w:ind w:left="1080" w:hanging="360"/>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A74CEE"/>
    <w:multiLevelType w:val="hybridMultilevel"/>
    <w:tmpl w:val="BE10E70A"/>
    <w:lvl w:ilvl="0" w:tplc="FD5EBD88">
      <w:numFmt w:val="bullet"/>
      <w:lvlText w:val="-"/>
      <w:lvlJc w:val="left"/>
      <w:pPr>
        <w:ind w:left="1080" w:hanging="360"/>
      </w:pPr>
      <w:rPr>
        <w:rFonts w:ascii="Palatino Linotype" w:eastAsia="Times New Roman" w:hAnsi="Palatino Linotype" w:cs="Arial" w:hint="default"/>
        <w:b/>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6FC94C3F"/>
    <w:multiLevelType w:val="hybridMultilevel"/>
    <w:tmpl w:val="B012272C"/>
    <w:lvl w:ilvl="0" w:tplc="2326BB7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739156C4"/>
    <w:multiLevelType w:val="hybridMultilevel"/>
    <w:tmpl w:val="AEA2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884C58"/>
    <w:multiLevelType w:val="hybridMultilevel"/>
    <w:tmpl w:val="7F7A0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472330"/>
    <w:multiLevelType w:val="hybridMultilevel"/>
    <w:tmpl w:val="3CBED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3B2C57"/>
    <w:multiLevelType w:val="hybridMultilevel"/>
    <w:tmpl w:val="436C16D8"/>
    <w:lvl w:ilvl="0" w:tplc="6EE6F428">
      <w:start w:val="1"/>
      <w:numFmt w:val="decimal"/>
      <w:lvlText w:val="%1."/>
      <w:lvlJc w:val="left"/>
      <w:pPr>
        <w:ind w:left="720" w:hanging="360"/>
      </w:pPr>
      <w:rPr>
        <w:rFonts w:eastAsia="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2"/>
  </w:num>
  <w:num w:numId="2">
    <w:abstractNumId w:val="21"/>
  </w:num>
  <w:num w:numId="3">
    <w:abstractNumId w:val="19"/>
  </w:num>
  <w:num w:numId="4">
    <w:abstractNumId w:val="17"/>
  </w:num>
  <w:num w:numId="5">
    <w:abstractNumId w:val="1"/>
  </w:num>
  <w:num w:numId="6">
    <w:abstractNumId w:val="8"/>
  </w:num>
  <w:num w:numId="7">
    <w:abstractNumId w:val="11"/>
  </w:num>
  <w:num w:numId="8">
    <w:abstractNumId w:val="9"/>
  </w:num>
  <w:num w:numId="9">
    <w:abstractNumId w:val="4"/>
  </w:num>
  <w:num w:numId="10">
    <w:abstractNumId w:val="12"/>
  </w:num>
  <w:num w:numId="11">
    <w:abstractNumId w:val="7"/>
  </w:num>
  <w:num w:numId="12">
    <w:abstractNumId w:val="0"/>
  </w:num>
  <w:num w:numId="13">
    <w:abstractNumId w:val="6"/>
  </w:num>
  <w:num w:numId="14">
    <w:abstractNumId w:val="14"/>
  </w:num>
  <w:num w:numId="15">
    <w:abstractNumId w:val="5"/>
  </w:num>
  <w:num w:numId="16">
    <w:abstractNumId w:val="10"/>
  </w:num>
  <w:num w:numId="17">
    <w:abstractNumId w:val="2"/>
  </w:num>
  <w:num w:numId="18">
    <w:abstractNumId w:val="13"/>
  </w:num>
  <w:num w:numId="19">
    <w:abstractNumId w:val="18"/>
  </w:num>
  <w:num w:numId="20">
    <w:abstractNumId w:val="16"/>
  </w:num>
  <w:num w:numId="21">
    <w:abstractNumId w:val="20"/>
  </w:num>
  <w:num w:numId="22">
    <w:abstractNumId w:val="3"/>
  </w:num>
  <w:num w:numId="23">
    <w:abstractNumId w:val="2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11"/>
    <w:rsid w:val="0000103F"/>
    <w:rsid w:val="000231D3"/>
    <w:rsid w:val="00055D39"/>
    <w:rsid w:val="001706C5"/>
    <w:rsid w:val="001D0E22"/>
    <w:rsid w:val="001F5C18"/>
    <w:rsid w:val="00364D9E"/>
    <w:rsid w:val="00472F3E"/>
    <w:rsid w:val="004F1D6A"/>
    <w:rsid w:val="005918B4"/>
    <w:rsid w:val="005B7955"/>
    <w:rsid w:val="005C40AC"/>
    <w:rsid w:val="005E3318"/>
    <w:rsid w:val="0060505E"/>
    <w:rsid w:val="006F40E4"/>
    <w:rsid w:val="0073515E"/>
    <w:rsid w:val="00741E11"/>
    <w:rsid w:val="007575E8"/>
    <w:rsid w:val="00761407"/>
    <w:rsid w:val="007B35E4"/>
    <w:rsid w:val="008841A9"/>
    <w:rsid w:val="009A052C"/>
    <w:rsid w:val="009C31AA"/>
    <w:rsid w:val="00A94763"/>
    <w:rsid w:val="00B63839"/>
    <w:rsid w:val="00C1456A"/>
    <w:rsid w:val="00DE3C1F"/>
    <w:rsid w:val="00EF7B98"/>
    <w:rsid w:val="00F4020D"/>
    <w:rsid w:val="00F81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6F9D1-4BF2-4A29-A872-064A3137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E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1E1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41E1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41E1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41E1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41E1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41E11"/>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41E11"/>
  </w:style>
  <w:style w:type="character" w:styleId="Hipervnculo">
    <w:name w:val="Hyperlink"/>
    <w:aliases w:val="Hipervínculo1,Hipervínculo11,Hipervínculo12,Hipervínculo13,Hipervínculo14,Hipervínculo15"/>
    <w:basedOn w:val="Fuentedeprrafopredeter"/>
    <w:uiPriority w:val="99"/>
    <w:unhideWhenUsed/>
    <w:rsid w:val="00741E11"/>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741E11"/>
    <w:rPr>
      <w:vertAlign w:val="superscript"/>
    </w:rPr>
  </w:style>
  <w:style w:type="paragraph" w:styleId="Sinespaciado">
    <w:name w:val="No Spacing"/>
    <w:aliases w:val="Francesa,INAI"/>
    <w:link w:val="SinespaciadoCar"/>
    <w:uiPriority w:val="1"/>
    <w:qFormat/>
    <w:rsid w:val="00741E1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41E11"/>
    <w:rPr>
      <w:rFonts w:ascii="Times New Roman" w:eastAsia="Times New Roman" w:hAnsi="Times New Roman" w:cs="Times New Roman"/>
      <w:sz w:val="24"/>
      <w:szCs w:val="24"/>
      <w:lang w:eastAsia="es-ES"/>
    </w:rPr>
  </w:style>
  <w:style w:type="paragraph" w:customStyle="1" w:styleId="INFOEM">
    <w:name w:val="INFOEM"/>
    <w:basedOn w:val="Normal"/>
    <w:qFormat/>
    <w:rsid w:val="00741E11"/>
    <w:pPr>
      <w:spacing w:before="240" w:line="360" w:lineRule="auto"/>
      <w:ind w:left="851" w:right="851"/>
      <w:jc w:val="both"/>
    </w:pPr>
    <w:rPr>
      <w:rFonts w:ascii="Palatino Linotype" w:hAnsi="Palatino Linotype"/>
      <w:i/>
      <w:szCs w:val="14"/>
    </w:rPr>
  </w:style>
  <w:style w:type="table" w:styleId="Tablaconcuadrcula">
    <w:name w:val="Table Grid"/>
    <w:basedOn w:val="Tablanormal"/>
    <w:uiPriority w:val="39"/>
    <w:rsid w:val="0074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741E11"/>
    <w:pPr>
      <w:spacing w:before="240" w:line="360" w:lineRule="auto"/>
      <w:ind w:left="851" w:right="851"/>
      <w:jc w:val="both"/>
    </w:pPr>
    <w:rPr>
      <w:rFonts w:ascii="Palatino Linotype" w:hAnsi="Palatino Linotype" w:cs="Arial"/>
      <w:i/>
    </w:rPr>
  </w:style>
  <w:style w:type="character" w:styleId="Hipervnculovisitado">
    <w:name w:val="FollowedHyperlink"/>
    <w:basedOn w:val="Fuentedeprrafopredeter"/>
    <w:uiPriority w:val="99"/>
    <w:semiHidden/>
    <w:unhideWhenUsed/>
    <w:rsid w:val="00B63839"/>
    <w:rPr>
      <w:color w:val="954F72" w:themeColor="followedHyperlink"/>
      <w:u w:val="single"/>
    </w:rPr>
  </w:style>
  <w:style w:type="character" w:styleId="Textoennegrita">
    <w:name w:val="Strong"/>
    <w:uiPriority w:val="22"/>
    <w:qFormat/>
    <w:rsid w:val="00C14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80016">
      <w:bodyDiv w:val="1"/>
      <w:marLeft w:val="0"/>
      <w:marRight w:val="0"/>
      <w:marTop w:val="0"/>
      <w:marBottom w:val="0"/>
      <w:divBdr>
        <w:top w:val="none" w:sz="0" w:space="0" w:color="auto"/>
        <w:left w:val="none" w:sz="0" w:space="0" w:color="auto"/>
        <w:bottom w:val="none" w:sz="0" w:space="0" w:color="auto"/>
        <w:right w:val="none" w:sz="0" w:space="0" w:color="auto"/>
      </w:divBdr>
      <w:divsChild>
        <w:div w:id="1217349545">
          <w:marLeft w:val="0"/>
          <w:marRight w:val="0"/>
          <w:marTop w:val="0"/>
          <w:marBottom w:val="0"/>
          <w:divBdr>
            <w:top w:val="none" w:sz="0" w:space="0" w:color="auto"/>
            <w:left w:val="none" w:sz="0" w:space="0" w:color="auto"/>
            <w:bottom w:val="none" w:sz="0" w:space="0" w:color="auto"/>
            <w:right w:val="none" w:sz="0" w:space="0" w:color="auto"/>
          </w:divBdr>
        </w:div>
        <w:div w:id="1151558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tramytem.edomex.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cion.edomex.gob.mx/sites/legislacion.edomex.gob.mx/files/files/pdf/gct/2022/octubre/oct101/oct101b.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52</Pages>
  <Words>12464</Words>
  <Characters>68552</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10</cp:revision>
  <dcterms:created xsi:type="dcterms:W3CDTF">2024-08-22T18:17:00Z</dcterms:created>
  <dcterms:modified xsi:type="dcterms:W3CDTF">2024-09-24T19:26:00Z</dcterms:modified>
</cp:coreProperties>
</file>