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D92B5B" w14:textId="77777777" w:rsidR="00566919" w:rsidRDefault="00566919">
      <w:pPr>
        <w:widowControl w:val="0"/>
        <w:pBdr>
          <w:top w:val="nil"/>
          <w:left w:val="nil"/>
          <w:bottom w:val="nil"/>
          <w:right w:val="nil"/>
          <w:between w:val="nil"/>
        </w:pBdr>
        <w:spacing w:line="276" w:lineRule="auto"/>
      </w:pPr>
    </w:p>
    <w:p w14:paraId="626123FD" w14:textId="77777777" w:rsidR="00566919" w:rsidRDefault="00072F7A">
      <w:pPr>
        <w:tabs>
          <w:tab w:val="left" w:pos="3465"/>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Resolución del Pleno del Instituto de Transparencia, Acceso a la Información Pública y Protección de Datos Personales del Estado de México y Municipios, con domicilio en Metepec, Estado de México; de veintiuno (21) de agosto de dos mil veinticuatro.</w:t>
      </w:r>
    </w:p>
    <w:p w14:paraId="43AE8A56" w14:textId="77777777" w:rsidR="00566919" w:rsidRDefault="00566919">
      <w:pPr>
        <w:tabs>
          <w:tab w:val="left" w:pos="3465"/>
        </w:tabs>
        <w:spacing w:line="360" w:lineRule="auto"/>
        <w:jc w:val="both"/>
        <w:rPr>
          <w:rFonts w:ascii="Palatino Linotype" w:eastAsia="Palatino Linotype" w:hAnsi="Palatino Linotype" w:cs="Palatino Linotype"/>
          <w:color w:val="000000"/>
        </w:rPr>
      </w:pPr>
    </w:p>
    <w:p w14:paraId="19FDCE86" w14:textId="77777777" w:rsidR="00566919" w:rsidRDefault="00072F7A">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VISTO</w:t>
      </w:r>
      <w:r>
        <w:rPr>
          <w:rFonts w:ascii="Palatino Linotype" w:eastAsia="Palatino Linotype" w:hAnsi="Palatino Linotype" w:cs="Palatino Linotype"/>
          <w:color w:val="000000"/>
        </w:rPr>
        <w:t xml:space="preserve"> el expediente electrónico formado con motivo del recurso de revisión </w:t>
      </w:r>
      <w:r>
        <w:rPr>
          <w:rFonts w:ascii="Palatino Linotype" w:eastAsia="Palatino Linotype" w:hAnsi="Palatino Linotype" w:cs="Palatino Linotype"/>
          <w:b/>
          <w:color w:val="000000"/>
        </w:rPr>
        <w:t>05658/INFOEM/IP/RR/2023</w:t>
      </w:r>
      <w:r>
        <w:rPr>
          <w:rFonts w:ascii="Palatino Linotype" w:eastAsia="Palatino Linotype" w:hAnsi="Palatino Linotype" w:cs="Palatino Linotype"/>
          <w:color w:val="000000"/>
        </w:rPr>
        <w:t xml:space="preserve">, interpuesto por una o un usuario del Sistema de Acceso a la Información Mexiquense (SAIMEX), quien no señaló ningún nombre, seudónimo o carácter para ser identificada, por lo que en lo sucesivo será identificada como </w:t>
      </w:r>
      <w:r>
        <w:rPr>
          <w:rFonts w:ascii="Palatino Linotype" w:eastAsia="Palatino Linotype" w:hAnsi="Palatino Linotype" w:cs="Palatino Linotype"/>
          <w:b/>
          <w:color w:val="000000"/>
        </w:rPr>
        <w:t>LA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RECURRENTE</w:t>
      </w:r>
      <w:r>
        <w:rPr>
          <w:rFonts w:ascii="Palatino Linotype" w:eastAsia="Palatino Linotype" w:hAnsi="Palatino Linotype" w:cs="Palatino Linotype"/>
        </w:rPr>
        <w:t>,</w:t>
      </w:r>
      <w:r>
        <w:rPr>
          <w:rFonts w:ascii="Palatino Linotype" w:eastAsia="Palatino Linotype" w:hAnsi="Palatino Linotype" w:cs="Palatino Linotype"/>
          <w:color w:val="000000"/>
        </w:rPr>
        <w:t xml:space="preserve"> en contra de la respuesta del </w:t>
      </w:r>
      <w:r>
        <w:rPr>
          <w:rFonts w:ascii="Palatino Linotype" w:eastAsia="Palatino Linotype" w:hAnsi="Palatino Linotype" w:cs="Palatino Linotype"/>
          <w:b/>
          <w:color w:val="000000"/>
        </w:rPr>
        <w:t>Ayuntamiento de Zinacantepec</w:t>
      </w:r>
      <w:r>
        <w:rPr>
          <w:rFonts w:ascii="Palatino Linotype" w:eastAsia="Palatino Linotype" w:hAnsi="Palatino Linotype" w:cs="Palatino Linotype"/>
          <w:color w:val="000000"/>
        </w:rPr>
        <w:t>, en adelante el</w:t>
      </w:r>
      <w:r>
        <w:rPr>
          <w:rFonts w:ascii="Palatino Linotype" w:eastAsia="Palatino Linotype" w:hAnsi="Palatino Linotype" w:cs="Palatino Linotype"/>
          <w:b/>
          <w:color w:val="000000"/>
        </w:rPr>
        <w:t xml:space="preserve"> SUJETO OBLIGADO</w:t>
      </w:r>
      <w:r>
        <w:rPr>
          <w:rFonts w:ascii="Palatino Linotype" w:eastAsia="Palatino Linotype" w:hAnsi="Palatino Linotype" w:cs="Palatino Linotype"/>
          <w:color w:val="000000"/>
        </w:rPr>
        <w:t>,</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se procede a dictar la presente resolución, con base en los siguientes:</w:t>
      </w:r>
    </w:p>
    <w:p w14:paraId="38E8B6E2" w14:textId="77777777" w:rsidR="00566919" w:rsidRDefault="00566919">
      <w:pPr>
        <w:spacing w:line="360" w:lineRule="auto"/>
        <w:jc w:val="both"/>
        <w:rPr>
          <w:rFonts w:ascii="Palatino Linotype" w:eastAsia="Palatino Linotype" w:hAnsi="Palatino Linotype" w:cs="Palatino Linotype"/>
          <w:b/>
          <w:color w:val="000000"/>
        </w:rPr>
      </w:pPr>
    </w:p>
    <w:p w14:paraId="52BCCB86" w14:textId="77777777" w:rsidR="00566919" w:rsidRDefault="00072F7A">
      <w:pPr>
        <w:pStyle w:val="Ttulo1"/>
        <w:spacing w:before="0" w:line="360" w:lineRule="auto"/>
        <w:jc w:val="center"/>
        <w:rPr>
          <w:b/>
          <w:color w:val="000000"/>
        </w:rPr>
      </w:pPr>
      <w:bookmarkStart w:id="0" w:name="_heading=h.gjdgxs" w:colFirst="0" w:colLast="0"/>
      <w:bookmarkEnd w:id="0"/>
      <w:r>
        <w:rPr>
          <w:b/>
          <w:color w:val="000000"/>
        </w:rPr>
        <w:t>A N T E C E D E N T E S</w:t>
      </w:r>
    </w:p>
    <w:p w14:paraId="2FD8C233" w14:textId="77777777" w:rsidR="00566919" w:rsidRDefault="00566919">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299EF54C" w14:textId="77777777" w:rsidR="00566919" w:rsidRDefault="00072F7A">
      <w:pPr>
        <w:numPr>
          <w:ilvl w:val="0"/>
          <w:numId w:val="6"/>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treinta y uno (31) de julio de dos mil veintitrés</w:t>
      </w:r>
      <w:r>
        <w:rPr>
          <w:rFonts w:ascii="Palatino Linotype" w:eastAsia="Palatino Linotype" w:hAnsi="Palatino Linotype" w:cs="Palatino Linotype"/>
          <w:color w:val="000000"/>
        </w:rPr>
        <w:t>, la particular presentó</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a través del Sistema de Acceso a la Información Mexiquense (SAIMEX), la solicitud de información pública registrada con el número </w:t>
      </w:r>
      <w:r>
        <w:rPr>
          <w:rFonts w:ascii="Palatino Linotype" w:eastAsia="Palatino Linotype" w:hAnsi="Palatino Linotype" w:cs="Palatino Linotype"/>
          <w:b/>
          <w:color w:val="000000"/>
        </w:rPr>
        <w:t>00722/ZINACANT/IP/2023,</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en la que </w:t>
      </w:r>
      <w:r>
        <w:rPr>
          <w:rFonts w:ascii="Palatino Linotype" w:eastAsia="Palatino Linotype" w:hAnsi="Palatino Linotype" w:cs="Palatino Linotype"/>
          <w:color w:val="000000"/>
        </w:rPr>
        <w:t>requirió lo siguiente:</w:t>
      </w:r>
    </w:p>
    <w:p w14:paraId="5235251F" w14:textId="77777777" w:rsidR="00566919" w:rsidRDefault="00566919">
      <w:pPr>
        <w:pBdr>
          <w:top w:val="nil"/>
          <w:left w:val="nil"/>
          <w:bottom w:val="nil"/>
          <w:right w:val="nil"/>
          <w:between w:val="nil"/>
        </w:pBdr>
        <w:spacing w:line="276" w:lineRule="auto"/>
        <w:ind w:left="567" w:right="567"/>
        <w:jc w:val="both"/>
        <w:rPr>
          <w:rFonts w:ascii="Palatino Linotype" w:eastAsia="Palatino Linotype" w:hAnsi="Palatino Linotype" w:cs="Palatino Linotype"/>
          <w:i/>
          <w:color w:val="000000"/>
        </w:rPr>
      </w:pPr>
    </w:p>
    <w:p w14:paraId="5BDDFF29" w14:textId="77777777" w:rsidR="00566919" w:rsidRDefault="00072F7A">
      <w:pPr>
        <w:pBdr>
          <w:top w:val="nil"/>
          <w:left w:val="nil"/>
          <w:bottom w:val="nil"/>
          <w:right w:val="nil"/>
          <w:between w:val="nil"/>
        </w:pBdr>
        <w:spacing w:line="276" w:lineRule="auto"/>
        <w:ind w:left="567" w:right="567"/>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 xml:space="preserve"> “SOLICITO TODAS LAS OBSERVACIONES EMITIDAS POR EL ÓRGANO SUPERIOR DE FISCALIZACIÓN QUE TUVO MANUEL VILCHIS VIVEROS DEL PERIODO 2022” </w:t>
      </w:r>
      <w:r>
        <w:rPr>
          <w:rFonts w:ascii="Palatino Linotype" w:eastAsia="Palatino Linotype" w:hAnsi="Palatino Linotype" w:cs="Palatino Linotype"/>
          <w:color w:val="000000"/>
        </w:rPr>
        <w:t>(Sic).</w:t>
      </w:r>
    </w:p>
    <w:p w14:paraId="6E92AD1F" w14:textId="77777777" w:rsidR="00566919" w:rsidRDefault="00566919">
      <w:pPr>
        <w:spacing w:line="360" w:lineRule="auto"/>
        <w:ind w:right="333"/>
        <w:jc w:val="both"/>
        <w:rPr>
          <w:rFonts w:ascii="Palatino Linotype" w:eastAsia="Palatino Linotype" w:hAnsi="Palatino Linotype" w:cs="Palatino Linotype"/>
          <w:color w:val="000000"/>
        </w:rPr>
      </w:pPr>
    </w:p>
    <w:p w14:paraId="0C086751" w14:textId="77777777" w:rsidR="00566919" w:rsidRDefault="00072F7A">
      <w:pPr>
        <w:numPr>
          <w:ilvl w:val="0"/>
          <w:numId w:val="6"/>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Se hace constar que el particular señaló como modalidad de entrega de la información:</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b/>
          <w:i/>
          <w:color w:val="000000"/>
        </w:rPr>
        <w:t>A través del SAIMEX</w:t>
      </w:r>
      <w:r>
        <w:rPr>
          <w:rFonts w:ascii="Palatino Linotype" w:eastAsia="Palatino Linotype" w:hAnsi="Palatino Linotype" w:cs="Palatino Linotype"/>
          <w:color w:val="000000"/>
        </w:rPr>
        <w:t>.</w:t>
      </w:r>
    </w:p>
    <w:p w14:paraId="397034DD" w14:textId="77777777" w:rsidR="00566919" w:rsidRDefault="00566919">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20A8E318" w14:textId="77777777" w:rsidR="00566919" w:rsidRDefault="00072F7A">
      <w:pPr>
        <w:numPr>
          <w:ilvl w:val="0"/>
          <w:numId w:val="6"/>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veintiuno (21) de agosto de dos mil veintitrés</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notificó a la entonces </w:t>
      </w:r>
      <w:r>
        <w:rPr>
          <w:rFonts w:ascii="Palatino Linotype" w:eastAsia="Palatino Linotype" w:hAnsi="Palatino Linotype" w:cs="Palatino Linotype"/>
          <w:b/>
          <w:color w:val="000000"/>
        </w:rPr>
        <w:t>SOLICITANTE</w:t>
      </w:r>
      <w:r>
        <w:rPr>
          <w:rFonts w:ascii="Palatino Linotype" w:eastAsia="Palatino Linotype" w:hAnsi="Palatino Linotype" w:cs="Palatino Linotype"/>
          <w:color w:val="000000"/>
        </w:rPr>
        <w:t xml:space="preserve"> sobre una prórroga para atender a la solicitud de información </w:t>
      </w:r>
      <w:r>
        <w:rPr>
          <w:rFonts w:ascii="Palatino Linotype" w:eastAsia="Palatino Linotype" w:hAnsi="Palatino Linotype" w:cs="Palatino Linotype"/>
          <w:b/>
          <w:color w:val="000000"/>
        </w:rPr>
        <w:t>00722/ZINACANT/IP/2023</w:t>
      </w:r>
      <w:r>
        <w:rPr>
          <w:rFonts w:ascii="Palatino Linotype" w:eastAsia="Palatino Linotype" w:hAnsi="Palatino Linotype" w:cs="Palatino Linotype"/>
          <w:color w:val="000000"/>
        </w:rPr>
        <w:t>, la cual no atiende con los elementos de forma establecidos por el artículo 163</w:t>
      </w:r>
      <w:r>
        <w:rPr>
          <w:rFonts w:ascii="Palatino Linotype" w:eastAsia="Palatino Linotype" w:hAnsi="Palatino Linotype" w:cs="Palatino Linotype"/>
          <w:color w:val="000000"/>
          <w:vertAlign w:val="superscript"/>
        </w:rPr>
        <w:footnoteReference w:id="1"/>
      </w:r>
      <w:r>
        <w:rPr>
          <w:rFonts w:ascii="Palatino Linotype" w:eastAsia="Palatino Linotype" w:hAnsi="Palatino Linotype" w:cs="Palatino Linotype"/>
          <w:color w:val="000000"/>
        </w:rPr>
        <w:t>, párrafo segundo, de la Ley de Transparencia y Acceso a la Información Pública del Estado de México y Municipios.</w:t>
      </w:r>
    </w:p>
    <w:p w14:paraId="0A1CDD46" w14:textId="77777777" w:rsidR="00566919" w:rsidRDefault="00566919">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106179D5" w14:textId="77777777" w:rsidR="00566919" w:rsidRDefault="00072F7A">
      <w:pPr>
        <w:numPr>
          <w:ilvl w:val="0"/>
          <w:numId w:val="6"/>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treinta (30) de agosto de dos mil veintitrés</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dio respuesta a la solicitud de información en los siguientes términos:</w:t>
      </w:r>
    </w:p>
    <w:p w14:paraId="068BAB16" w14:textId="77777777" w:rsidR="00566919" w:rsidRDefault="00566919">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372F2224" w14:textId="77777777" w:rsidR="00566919" w:rsidRDefault="00072F7A">
      <w:pPr>
        <w:pBdr>
          <w:top w:val="nil"/>
          <w:left w:val="nil"/>
          <w:bottom w:val="nil"/>
          <w:right w:val="nil"/>
          <w:between w:val="nil"/>
        </w:pBdr>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“En respuesta a la solicitud recibida, nos permitimos hacer de su conocimiento que con fundamento en el artículo 53, Fracciones: II, V y VI de la Ley de Transparencia y Acceso a la Información Pública del Estado de México y Municipios, le contestamos que:</w:t>
      </w:r>
    </w:p>
    <w:p w14:paraId="263D8CEE" w14:textId="77777777" w:rsidR="00566919" w:rsidRDefault="00566919">
      <w:pPr>
        <w:pBdr>
          <w:top w:val="nil"/>
          <w:left w:val="nil"/>
          <w:bottom w:val="nil"/>
          <w:right w:val="nil"/>
          <w:between w:val="nil"/>
        </w:pBdr>
        <w:spacing w:line="276" w:lineRule="auto"/>
        <w:ind w:left="567" w:right="567"/>
        <w:jc w:val="both"/>
        <w:rPr>
          <w:rFonts w:ascii="Palatino Linotype" w:eastAsia="Palatino Linotype" w:hAnsi="Palatino Linotype" w:cs="Palatino Linotype"/>
          <w:i/>
          <w:color w:val="000000"/>
          <w:sz w:val="22"/>
          <w:szCs w:val="22"/>
        </w:rPr>
      </w:pPr>
    </w:p>
    <w:p w14:paraId="225455BD" w14:textId="77777777" w:rsidR="00566919" w:rsidRDefault="00072F7A">
      <w:pPr>
        <w:pBdr>
          <w:top w:val="nil"/>
          <w:left w:val="nil"/>
          <w:bottom w:val="nil"/>
          <w:right w:val="nil"/>
          <w:between w:val="nil"/>
        </w:pBdr>
        <w:spacing w:line="276" w:lineRule="auto"/>
        <w:ind w:left="567" w:righ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 xml:space="preserve">APRECIABLE SOLICITANTE P R E S E N T E Por medio del presente reciba un cordial saludo, al tiempo informarle, que con fundamento en los artículos 51, 53 fracciones II y III, IV, V y VI, de la Ley de Transparencia y Acceso a la Información Pública del Estado de México y Municipios; y en seguimiento a su solicitud de información con número de folio 00722/ZINACANT/IP/2023, recibida a través del Sistema SAIMEX, en donde se solicita textualmente lo siguiente: “SOLICITO TODAS LAS OBSERVACIONES EMITIDAS POR EL ÓRGANO SUPERIOR DE FISCALIZACIÓN QUE TUVO MANUEL VILCHIS VIVEROS DEL PERIODO 2022.” (sic). En apego a lo establecido su solicitud fue analizada y turnada </w:t>
      </w:r>
      <w:proofErr w:type="gramStart"/>
      <w:r>
        <w:rPr>
          <w:rFonts w:ascii="Palatino Linotype" w:eastAsia="Palatino Linotype" w:hAnsi="Palatino Linotype" w:cs="Palatino Linotype"/>
          <w:i/>
          <w:color w:val="000000"/>
          <w:sz w:val="22"/>
          <w:szCs w:val="22"/>
        </w:rPr>
        <w:t>a la área poseedora</w:t>
      </w:r>
      <w:proofErr w:type="gramEnd"/>
      <w:r>
        <w:rPr>
          <w:rFonts w:ascii="Palatino Linotype" w:eastAsia="Palatino Linotype" w:hAnsi="Palatino Linotype" w:cs="Palatino Linotype"/>
          <w:i/>
          <w:color w:val="000000"/>
          <w:sz w:val="22"/>
          <w:szCs w:val="22"/>
        </w:rPr>
        <w:t xml:space="preserve"> de la información, en este caso a la Tesorería Municipal, por lo que con fundamento en el artículo 12 de la Ley de Transparencia y Acceso a la Información </w:t>
      </w:r>
      <w:r>
        <w:rPr>
          <w:rFonts w:ascii="Palatino Linotype" w:eastAsia="Palatino Linotype" w:hAnsi="Palatino Linotype" w:cs="Palatino Linotype"/>
          <w:i/>
          <w:color w:val="000000"/>
          <w:sz w:val="22"/>
          <w:szCs w:val="22"/>
        </w:rPr>
        <w:lastRenderedPageBreak/>
        <w:t>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remito anexa al presente,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r>
        <w:rPr>
          <w:rFonts w:ascii="Palatino Linotype" w:eastAsia="Palatino Linotype" w:hAnsi="Palatino Linotype" w:cs="Palatino Linotype"/>
          <w:color w:val="000000"/>
          <w:sz w:val="22"/>
          <w:szCs w:val="22"/>
        </w:rPr>
        <w:t xml:space="preserve"> (Sic.)</w:t>
      </w:r>
    </w:p>
    <w:p w14:paraId="1869EDE2" w14:textId="77777777" w:rsidR="00566919" w:rsidRDefault="00566919">
      <w:pPr>
        <w:pBdr>
          <w:top w:val="nil"/>
          <w:left w:val="nil"/>
          <w:bottom w:val="nil"/>
          <w:right w:val="nil"/>
          <w:between w:val="nil"/>
        </w:pBdr>
        <w:ind w:right="567"/>
        <w:jc w:val="both"/>
        <w:rPr>
          <w:rFonts w:ascii="Palatino Linotype" w:eastAsia="Palatino Linotype" w:hAnsi="Palatino Linotype" w:cs="Palatino Linotype"/>
          <w:color w:val="000000"/>
        </w:rPr>
      </w:pPr>
    </w:p>
    <w:p w14:paraId="32D7AFC0" w14:textId="77777777" w:rsidR="00566919" w:rsidRDefault="00072F7A">
      <w:pPr>
        <w:numPr>
          <w:ilvl w:val="0"/>
          <w:numId w:val="6"/>
        </w:numPr>
        <w:pBdr>
          <w:top w:val="nil"/>
          <w:left w:val="nil"/>
          <w:bottom w:val="nil"/>
          <w:right w:val="nil"/>
          <w:between w:val="nil"/>
        </w:pBdr>
        <w:tabs>
          <w:tab w:val="left" w:pos="284"/>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Adjunto al acuse de respuesta,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entregó a la particular el siguiente archivo electrónico:</w:t>
      </w:r>
    </w:p>
    <w:p w14:paraId="177E1884" w14:textId="77777777" w:rsidR="00566919" w:rsidRDefault="00072F7A">
      <w:pPr>
        <w:numPr>
          <w:ilvl w:val="1"/>
          <w:numId w:val="6"/>
        </w:numPr>
        <w:pBdr>
          <w:top w:val="nil"/>
          <w:left w:val="nil"/>
          <w:bottom w:val="nil"/>
          <w:right w:val="nil"/>
          <w:between w:val="nil"/>
        </w:pBdr>
        <w:tabs>
          <w:tab w:val="left" w:pos="284"/>
          <w:tab w:val="left" w:pos="426"/>
        </w:tabs>
        <w:spacing w:line="360" w:lineRule="auto"/>
        <w:ind w:left="1134"/>
        <w:jc w:val="both"/>
        <w:rPr>
          <w:rFonts w:ascii="Palatino Linotype" w:eastAsia="Palatino Linotype" w:hAnsi="Palatino Linotype" w:cs="Palatino Linotype"/>
          <w:sz w:val="22"/>
          <w:szCs w:val="22"/>
        </w:rPr>
      </w:pPr>
      <w:r>
        <w:rPr>
          <w:rFonts w:ascii="Palatino Linotype" w:eastAsia="Palatino Linotype" w:hAnsi="Palatino Linotype" w:cs="Palatino Linotype"/>
          <w:b/>
          <w:i/>
          <w:color w:val="000000"/>
          <w:sz w:val="22"/>
          <w:szCs w:val="22"/>
        </w:rPr>
        <w:t xml:space="preserve"> “Solicitud 00722 Oficio.pdf”</w:t>
      </w:r>
      <w:r>
        <w:rPr>
          <w:rFonts w:ascii="Palatino Linotype" w:eastAsia="Palatino Linotype" w:hAnsi="Palatino Linotype" w:cs="Palatino Linotype"/>
          <w:color w:val="000000"/>
          <w:sz w:val="22"/>
          <w:szCs w:val="22"/>
        </w:rPr>
        <w:t>: Documento de una foja consistente en el oficio número ZIN/TM/1310/2023, de quince (15) de agosto de dos mil veintitrés, emitido por el Tesorero Municipal, dirigido a la Titular de la Unidad de Transparencia, por el que informa que no existe, dentro de sus archivos, documentación por concepto de lo solicitado.</w:t>
      </w:r>
    </w:p>
    <w:p w14:paraId="5B7F4988" w14:textId="77777777" w:rsidR="00566919" w:rsidRDefault="00566919">
      <w:pPr>
        <w:pBdr>
          <w:top w:val="nil"/>
          <w:left w:val="nil"/>
          <w:bottom w:val="nil"/>
          <w:right w:val="nil"/>
          <w:between w:val="nil"/>
        </w:pBdr>
        <w:tabs>
          <w:tab w:val="left" w:pos="284"/>
          <w:tab w:val="left" w:pos="426"/>
        </w:tabs>
        <w:spacing w:line="360" w:lineRule="auto"/>
        <w:jc w:val="both"/>
        <w:rPr>
          <w:rFonts w:ascii="Palatino Linotype" w:eastAsia="Palatino Linotype" w:hAnsi="Palatino Linotype" w:cs="Palatino Linotype"/>
          <w:color w:val="000000"/>
        </w:rPr>
      </w:pPr>
    </w:p>
    <w:p w14:paraId="3D34CE7B" w14:textId="77777777" w:rsidR="00566919" w:rsidRDefault="00072F7A">
      <w:pPr>
        <w:numPr>
          <w:ilvl w:val="0"/>
          <w:numId w:val="6"/>
        </w:numPr>
        <w:pBdr>
          <w:top w:val="nil"/>
          <w:left w:val="nil"/>
          <w:bottom w:val="nil"/>
          <w:right w:val="nil"/>
          <w:between w:val="nil"/>
        </w:pBdr>
        <w:tabs>
          <w:tab w:val="left" w:pos="284"/>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siete (07) de septiembre de dos mil veintitrés</w:t>
      </w:r>
      <w:r>
        <w:rPr>
          <w:rFonts w:ascii="Palatino Linotype" w:eastAsia="Palatino Linotype" w:hAnsi="Palatino Linotype" w:cs="Palatino Linotype"/>
          <w:color w:val="000000"/>
        </w:rPr>
        <w:t xml:space="preserve">, la particular interpuso el recurso de revisión </w:t>
      </w:r>
      <w:r>
        <w:rPr>
          <w:rFonts w:ascii="Palatino Linotype" w:eastAsia="Palatino Linotype" w:hAnsi="Palatino Linotype" w:cs="Palatino Linotype"/>
          <w:b/>
          <w:color w:val="000000"/>
        </w:rPr>
        <w:t>05658/INFOEM/IP/RR/2023</w:t>
      </w:r>
      <w:r>
        <w:rPr>
          <w:rFonts w:ascii="Palatino Linotype" w:eastAsia="Palatino Linotype" w:hAnsi="Palatino Linotype" w:cs="Palatino Linotype"/>
          <w:color w:val="000000"/>
        </w:rPr>
        <w:t>; impugnación en la que refirió lo siguiente:</w:t>
      </w:r>
    </w:p>
    <w:p w14:paraId="2DE229FD" w14:textId="77777777" w:rsidR="00566919" w:rsidRDefault="00566919">
      <w:pPr>
        <w:pBdr>
          <w:top w:val="nil"/>
          <w:left w:val="nil"/>
          <w:bottom w:val="nil"/>
          <w:right w:val="nil"/>
          <w:between w:val="nil"/>
        </w:pBdr>
        <w:tabs>
          <w:tab w:val="left" w:pos="284"/>
          <w:tab w:val="left" w:pos="426"/>
        </w:tabs>
        <w:spacing w:line="360" w:lineRule="auto"/>
        <w:jc w:val="both"/>
        <w:rPr>
          <w:rFonts w:ascii="Palatino Linotype" w:eastAsia="Palatino Linotype" w:hAnsi="Palatino Linotype" w:cs="Palatino Linotype"/>
          <w:color w:val="000000"/>
        </w:rPr>
      </w:pPr>
    </w:p>
    <w:p w14:paraId="58719890" w14:textId="77777777" w:rsidR="00566919" w:rsidRDefault="00072F7A">
      <w:pPr>
        <w:numPr>
          <w:ilvl w:val="0"/>
          <w:numId w:val="2"/>
        </w:numPr>
        <w:pBdr>
          <w:top w:val="nil"/>
          <w:left w:val="nil"/>
          <w:bottom w:val="nil"/>
          <w:right w:val="nil"/>
          <w:between w:val="nil"/>
        </w:pBdr>
        <w:tabs>
          <w:tab w:val="left" w:pos="851"/>
        </w:tabs>
        <w:spacing w:line="276" w:lineRule="auto"/>
        <w:ind w:left="1134" w:righ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Acto impugnado:</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i/>
          <w:color w:val="000000"/>
          <w:sz w:val="22"/>
          <w:szCs w:val="22"/>
        </w:rPr>
        <w:t>NO ENTREGA INFORMACIÓN QUE SÍ EXISTE Y ES SÚPER PÚBLICA, LO QUE NO QUIEREN ES QUE EVIDENCIEN EL ROBO QUE ESTÁN HACIENDO”</w:t>
      </w:r>
      <w:r>
        <w:rPr>
          <w:rFonts w:ascii="Palatino Linotype" w:eastAsia="Palatino Linotype" w:hAnsi="Palatino Linotype" w:cs="Palatino Linotype"/>
          <w:color w:val="000000"/>
          <w:sz w:val="22"/>
          <w:szCs w:val="22"/>
        </w:rPr>
        <w:t xml:space="preserve"> (Sic).</w:t>
      </w:r>
    </w:p>
    <w:p w14:paraId="18F6BB5C" w14:textId="77777777" w:rsidR="00566919" w:rsidRDefault="00566919">
      <w:pPr>
        <w:pBdr>
          <w:top w:val="nil"/>
          <w:left w:val="nil"/>
          <w:bottom w:val="nil"/>
          <w:right w:val="nil"/>
          <w:between w:val="nil"/>
        </w:pBdr>
        <w:tabs>
          <w:tab w:val="left" w:pos="851"/>
        </w:tabs>
        <w:spacing w:line="276" w:lineRule="auto"/>
        <w:ind w:left="1134" w:right="567" w:hanging="140"/>
        <w:jc w:val="both"/>
        <w:rPr>
          <w:rFonts w:ascii="Palatino Linotype" w:eastAsia="Palatino Linotype" w:hAnsi="Palatino Linotype" w:cs="Palatino Linotype"/>
          <w:color w:val="000000"/>
          <w:sz w:val="22"/>
          <w:szCs w:val="22"/>
        </w:rPr>
      </w:pPr>
    </w:p>
    <w:p w14:paraId="4C7E733D" w14:textId="77777777" w:rsidR="00566919" w:rsidRDefault="00072F7A">
      <w:pPr>
        <w:numPr>
          <w:ilvl w:val="0"/>
          <w:numId w:val="2"/>
        </w:numPr>
        <w:pBdr>
          <w:top w:val="nil"/>
          <w:left w:val="nil"/>
          <w:bottom w:val="nil"/>
          <w:right w:val="nil"/>
          <w:between w:val="nil"/>
        </w:pBdr>
        <w:tabs>
          <w:tab w:val="left" w:pos="851"/>
        </w:tabs>
        <w:spacing w:line="276" w:lineRule="auto"/>
        <w:ind w:left="1134" w:righ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Razones o motivos de inconformidad:</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i/>
          <w:color w:val="000000"/>
          <w:sz w:val="22"/>
          <w:szCs w:val="22"/>
        </w:rPr>
        <w:t>“NO ENTREGA INFORMACIÓN QUE SÍ EXISTE Y ES SÚPER PÚBLICA, LO QUE NO QUIEREN ES QUE EVIDENCIEN EL ROBO QUE ESTÁN HACIENDO”</w:t>
      </w:r>
      <w:r>
        <w:rPr>
          <w:rFonts w:ascii="Palatino Linotype" w:eastAsia="Palatino Linotype" w:hAnsi="Palatino Linotype" w:cs="Palatino Linotype"/>
          <w:color w:val="000000"/>
          <w:sz w:val="22"/>
          <w:szCs w:val="22"/>
        </w:rPr>
        <w:t xml:space="preserve"> (Sic)</w:t>
      </w:r>
    </w:p>
    <w:p w14:paraId="2A17DB8E" w14:textId="77777777" w:rsidR="00566919" w:rsidRDefault="00566919">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704E9BBE" w14:textId="77777777" w:rsidR="00566919" w:rsidRDefault="00072F7A">
      <w:pPr>
        <w:numPr>
          <w:ilvl w:val="0"/>
          <w:numId w:val="6"/>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 registró el recurso de revisión bajo el número de expediente </w:t>
      </w:r>
      <w:r>
        <w:rPr>
          <w:rFonts w:ascii="Palatino Linotype" w:eastAsia="Palatino Linotype" w:hAnsi="Palatino Linotype" w:cs="Palatino Linotype"/>
          <w:b/>
          <w:color w:val="000000"/>
        </w:rPr>
        <w:t>05658/INFOEM/IP/RR/2023</w:t>
      </w:r>
      <w:r>
        <w:rPr>
          <w:rFonts w:ascii="Palatino Linotype" w:eastAsia="Palatino Linotype" w:hAnsi="Palatino Linotype" w:cs="Palatino Linotype"/>
          <w:color w:val="000000"/>
        </w:rPr>
        <w:t xml:space="preserve">; asimismo, con fundamento en lo dispuesto por el artículo 185, fracción I, de la Ley de Transparencia y Acceso a la Información Pública del Estado de México y Municipios se </w:t>
      </w:r>
      <w:r>
        <w:rPr>
          <w:rFonts w:ascii="Palatino Linotype" w:eastAsia="Palatino Linotype" w:hAnsi="Palatino Linotype" w:cs="Palatino Linotype"/>
        </w:rPr>
        <w:t>turnó</w:t>
      </w:r>
      <w:r>
        <w:rPr>
          <w:rFonts w:ascii="Palatino Linotype" w:eastAsia="Palatino Linotype" w:hAnsi="Palatino Linotype" w:cs="Palatino Linotype"/>
          <w:color w:val="000000"/>
        </w:rPr>
        <w:t xml:space="preserve"> a la </w:t>
      </w:r>
      <w:r>
        <w:rPr>
          <w:rFonts w:ascii="Palatino Linotype" w:eastAsia="Palatino Linotype" w:hAnsi="Palatino Linotype" w:cs="Palatino Linotype"/>
          <w:b/>
          <w:color w:val="000000"/>
        </w:rPr>
        <w:t>Comisionada María del Rosario Mejía Ayala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para</w:t>
      </w:r>
      <w:r>
        <w:rPr>
          <w:rFonts w:ascii="Palatino Linotype" w:eastAsia="Palatino Linotype" w:hAnsi="Palatino Linotype" w:cs="Palatino Linotype"/>
          <w:color w:val="000000"/>
        </w:rPr>
        <w:t xml:space="preserve"> su análisis.</w:t>
      </w:r>
    </w:p>
    <w:p w14:paraId="12B9BAF7" w14:textId="77777777" w:rsidR="00566919" w:rsidRDefault="00566919">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7A4661A1" w14:textId="77777777" w:rsidR="00566919" w:rsidRDefault="00072F7A">
      <w:pPr>
        <w:numPr>
          <w:ilvl w:val="0"/>
          <w:numId w:val="6"/>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bookmarkStart w:id="1" w:name="_heading=h.30j0zll" w:colFirst="0" w:colLast="0"/>
      <w:bookmarkEnd w:id="1"/>
      <w:r>
        <w:rPr>
          <w:rFonts w:ascii="Palatino Linotype" w:eastAsia="Palatino Linotype" w:hAnsi="Palatino Linotype" w:cs="Palatino Linotype"/>
          <w:color w:val="000000"/>
        </w:rPr>
        <w:t xml:space="preserve">La Comisionada Ponente, con fundamento en lo dispuesto por el artículo 185, fracción II, de la Ley de la materia, a través del acuerdo de admisión de </w:t>
      </w:r>
      <w:r>
        <w:rPr>
          <w:rFonts w:ascii="Palatino Linotype" w:eastAsia="Palatino Linotype" w:hAnsi="Palatino Linotype" w:cs="Palatino Linotype"/>
          <w:b/>
          <w:color w:val="000000"/>
        </w:rPr>
        <w:t>dieciocho (18) de septiembre de dos mil veintitrés</w:t>
      </w:r>
      <w:r>
        <w:rPr>
          <w:rFonts w:ascii="Palatino Linotype" w:eastAsia="Palatino Linotype" w:hAnsi="Palatino Linotype" w:cs="Palatino Linotype"/>
          <w:color w:val="000000"/>
        </w:rPr>
        <w:t xml:space="preserve">, puso a disposición de las partes el expediente electrónico vía SAIMEX, a efecto de que en un plazo máximo de siete días </w:t>
      </w:r>
      <w:r>
        <w:rPr>
          <w:rFonts w:ascii="Palatino Linotype" w:eastAsia="Palatino Linotype" w:hAnsi="Palatino Linotype" w:cs="Palatino Linotype"/>
        </w:rPr>
        <w:t>manifestara</w:t>
      </w:r>
      <w:r>
        <w:rPr>
          <w:rFonts w:ascii="Palatino Linotype" w:eastAsia="Palatino Linotype" w:hAnsi="Palatino Linotype" w:cs="Palatino Linotype"/>
          <w:color w:val="000000"/>
        </w:rPr>
        <w:t xml:space="preserve"> lo que a derecho </w:t>
      </w:r>
      <w:r>
        <w:rPr>
          <w:rFonts w:ascii="Palatino Linotype" w:eastAsia="Palatino Linotype" w:hAnsi="Palatino Linotype" w:cs="Palatino Linotype"/>
        </w:rPr>
        <w:t>conviniera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ofreciera</w:t>
      </w:r>
      <w:r>
        <w:rPr>
          <w:rFonts w:ascii="Palatino Linotype" w:eastAsia="Palatino Linotype" w:hAnsi="Palatino Linotype" w:cs="Palatino Linotype"/>
          <w:color w:val="000000"/>
        </w:rPr>
        <w:t xml:space="preserve"> pruebas y alegatos según corresponda a los casos concretos, de esta forma para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presentara</w:t>
      </w:r>
      <w:r>
        <w:rPr>
          <w:rFonts w:ascii="Palatino Linotype" w:eastAsia="Palatino Linotype" w:hAnsi="Palatino Linotype" w:cs="Palatino Linotype"/>
          <w:color w:val="000000"/>
        </w:rPr>
        <w:t xml:space="preserve"> su Informe Justificado procedente.</w:t>
      </w:r>
    </w:p>
    <w:p w14:paraId="791C5DC3" w14:textId="77777777" w:rsidR="00566919" w:rsidRDefault="00566919">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504600D8" w14:textId="77777777" w:rsidR="00566919" w:rsidRDefault="00072F7A">
      <w:pPr>
        <w:numPr>
          <w:ilvl w:val="0"/>
          <w:numId w:val="6"/>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las constancias que obran dentro del expediente digital formado en el SAIMEX, se advierte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no presentó su informe justificado para confirmar, modificar o revocar su respuesta original; en el mismo sentido, la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omitió el presentar cualquier tipo de alegatos o manifestaciones. Se adjunta la captura del apartado de </w:t>
      </w:r>
      <w:r>
        <w:rPr>
          <w:rFonts w:ascii="Palatino Linotype" w:eastAsia="Palatino Linotype" w:hAnsi="Palatino Linotype" w:cs="Palatino Linotype"/>
          <w:i/>
          <w:color w:val="000000"/>
        </w:rPr>
        <w:t>Manifestaciones</w:t>
      </w:r>
      <w:r>
        <w:rPr>
          <w:rFonts w:ascii="Palatino Linotype" w:eastAsia="Palatino Linotype" w:hAnsi="Palatino Linotype" w:cs="Palatino Linotype"/>
          <w:color w:val="000000"/>
        </w:rPr>
        <w:t xml:space="preserve"> como referencia:</w:t>
      </w:r>
    </w:p>
    <w:p w14:paraId="289B33D0" w14:textId="77777777" w:rsidR="00566919" w:rsidRDefault="00072F7A">
      <w:pPr>
        <w:pBdr>
          <w:top w:val="nil"/>
          <w:left w:val="nil"/>
          <w:bottom w:val="nil"/>
          <w:right w:val="nil"/>
          <w:between w:val="nil"/>
        </w:pBdr>
        <w:tabs>
          <w:tab w:val="left" w:pos="426"/>
        </w:tabs>
        <w:spacing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drawing>
          <wp:inline distT="0" distB="0" distL="0" distR="0" wp14:anchorId="7DDFD9EC" wp14:editId="0FB82142">
            <wp:extent cx="4344209" cy="1027314"/>
            <wp:effectExtent l="12700" t="12700" r="12700" b="1270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344209" cy="1027314"/>
                    </a:xfrm>
                    <a:prstGeom prst="rect">
                      <a:avLst/>
                    </a:prstGeom>
                    <a:ln w="12700">
                      <a:solidFill>
                        <a:srgbClr val="000000"/>
                      </a:solidFill>
                      <a:prstDash val="solid"/>
                    </a:ln>
                  </pic:spPr>
                </pic:pic>
              </a:graphicData>
            </a:graphic>
          </wp:inline>
        </w:drawing>
      </w:r>
    </w:p>
    <w:p w14:paraId="651F8821" w14:textId="77777777" w:rsidR="00566919" w:rsidRDefault="00566919">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05B64477" w14:textId="77777777" w:rsidR="00566919" w:rsidRDefault="00072F7A">
      <w:pPr>
        <w:numPr>
          <w:ilvl w:val="0"/>
          <w:numId w:val="6"/>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veintitrés (23) de marzo de dos mil veinticuatro</w:t>
      </w:r>
      <w:r>
        <w:rPr>
          <w:rFonts w:ascii="Palatino Linotype" w:eastAsia="Palatino Linotype" w:hAnsi="Palatino Linotype" w:cs="Palatino Linotype"/>
          <w:color w:val="000000"/>
        </w:rPr>
        <w:t>, con fundamento en el artículo 181, tercer párrafo, de la Ley de Transparencia y Acceso a la Información Pública del Estado de México y Municipios se notificó que el plazo de 30 días para resolver el recurso de revisión sería ampliado por un periodo de 15 días hábiles adicionales.</w:t>
      </w:r>
    </w:p>
    <w:p w14:paraId="3C6D40FA" w14:textId="77777777" w:rsidR="00566919" w:rsidRDefault="00566919">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4662960E" w14:textId="77777777" w:rsidR="00566919" w:rsidRDefault="00072F7A">
      <w:pPr>
        <w:numPr>
          <w:ilvl w:val="0"/>
          <w:numId w:val="6"/>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Este Organismo Garante no pasa por alto explicar que, la dilación en la resolución del presente asunto encuentra justificación en que el alto número de recursos de revisión recibidos ha incrementado el número de medios de impugnación que deben resolverse por este Instituto; circunstancia atípica que ha rebasado las capacidades técnicas y humanas del personal encargado de la proyección de las resoluciones a dichos medios de impugnación.</w:t>
      </w:r>
    </w:p>
    <w:p w14:paraId="4F236BC1" w14:textId="77777777" w:rsidR="00566919" w:rsidRDefault="00566919">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1CE9AEB2" w14:textId="77777777" w:rsidR="00566919" w:rsidRDefault="00072F7A">
      <w:pPr>
        <w:numPr>
          <w:ilvl w:val="0"/>
          <w:numId w:val="6"/>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4BDFA580" w14:textId="77777777" w:rsidR="00566919" w:rsidRDefault="00566919">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5DDCFA3D" w14:textId="77777777" w:rsidR="00566919" w:rsidRDefault="00072F7A">
      <w:pPr>
        <w:numPr>
          <w:ilvl w:val="0"/>
          <w:numId w:val="6"/>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178CEBB" w14:textId="77777777" w:rsidR="00566919" w:rsidRDefault="00566919">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129F83E0" w14:textId="77777777" w:rsidR="00566919" w:rsidRDefault="00072F7A">
      <w:pPr>
        <w:numPr>
          <w:ilvl w:val="0"/>
          <w:numId w:val="6"/>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C92D4BD" w14:textId="77777777" w:rsidR="00566919" w:rsidRDefault="00566919">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77F803A7" w14:textId="77777777" w:rsidR="00566919" w:rsidRDefault="00072F7A">
      <w:pPr>
        <w:numPr>
          <w:ilvl w:val="0"/>
          <w:numId w:val="6"/>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ello, excepcionalmente, si un asunto es resuelto con posterioridad a los plazos señalados por la norma debe analizarse la razonabilidad de dicha dilación atendiendo a los siguientes criterios:</w:t>
      </w:r>
    </w:p>
    <w:p w14:paraId="00B10D94" w14:textId="77777777" w:rsidR="00566919" w:rsidRDefault="00072F7A">
      <w:pPr>
        <w:numPr>
          <w:ilvl w:val="1"/>
          <w:numId w:val="1"/>
        </w:numPr>
        <w:pBdr>
          <w:top w:val="nil"/>
          <w:left w:val="nil"/>
          <w:bottom w:val="nil"/>
          <w:right w:val="nil"/>
          <w:between w:val="nil"/>
        </w:pBdr>
        <w:tabs>
          <w:tab w:val="left" w:pos="426"/>
        </w:tabs>
        <w:spacing w:line="360" w:lineRule="auto"/>
        <w:ind w:left="113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Complejidad del </w:t>
      </w:r>
      <w:r>
        <w:rPr>
          <w:rFonts w:ascii="Palatino Linotype" w:eastAsia="Palatino Linotype" w:hAnsi="Palatino Linotype" w:cs="Palatino Linotype"/>
          <w:b/>
          <w:sz w:val="22"/>
          <w:szCs w:val="22"/>
        </w:rPr>
        <w:t>asunto</w:t>
      </w:r>
      <w:r>
        <w:rPr>
          <w:rFonts w:ascii="Palatino Linotype" w:eastAsia="Palatino Linotype" w:hAnsi="Palatino Linotype" w:cs="Palatino Linotype"/>
          <w:b/>
          <w:color w:val="000000"/>
          <w:sz w:val="22"/>
          <w:szCs w:val="22"/>
        </w:rPr>
        <w:t>:</w:t>
      </w:r>
      <w:r>
        <w:rPr>
          <w:rFonts w:ascii="Palatino Linotype" w:eastAsia="Palatino Linotype" w:hAnsi="Palatino Linotype" w:cs="Palatino Linotype"/>
          <w:color w:val="000000"/>
          <w:sz w:val="22"/>
          <w:szCs w:val="22"/>
        </w:rPr>
        <w:t xml:space="preserve"> La complejidad de la prueba, la pluralidad de sujetos procesales, el tiempo transcurrido, las características y contexto del recurso.</w:t>
      </w:r>
    </w:p>
    <w:p w14:paraId="236291DA" w14:textId="77777777" w:rsidR="00566919" w:rsidRDefault="00072F7A">
      <w:pPr>
        <w:numPr>
          <w:ilvl w:val="1"/>
          <w:numId w:val="1"/>
        </w:numPr>
        <w:pBdr>
          <w:top w:val="nil"/>
          <w:left w:val="nil"/>
          <w:bottom w:val="nil"/>
          <w:right w:val="nil"/>
          <w:between w:val="nil"/>
        </w:pBdr>
        <w:tabs>
          <w:tab w:val="left" w:pos="426"/>
        </w:tabs>
        <w:spacing w:line="360" w:lineRule="auto"/>
        <w:ind w:left="113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Actividad Procesal del interesado:</w:t>
      </w:r>
      <w:r>
        <w:rPr>
          <w:rFonts w:ascii="Palatino Linotype" w:eastAsia="Palatino Linotype" w:hAnsi="Palatino Linotype" w:cs="Palatino Linotype"/>
          <w:color w:val="000000"/>
          <w:sz w:val="22"/>
          <w:szCs w:val="22"/>
        </w:rPr>
        <w:t xml:space="preserve"> Acciones u omisiones del interesado.</w:t>
      </w:r>
    </w:p>
    <w:p w14:paraId="17821CAF" w14:textId="77777777" w:rsidR="00566919" w:rsidRDefault="00072F7A">
      <w:pPr>
        <w:numPr>
          <w:ilvl w:val="1"/>
          <w:numId w:val="1"/>
        </w:numPr>
        <w:pBdr>
          <w:top w:val="nil"/>
          <w:left w:val="nil"/>
          <w:bottom w:val="nil"/>
          <w:right w:val="nil"/>
          <w:between w:val="nil"/>
        </w:pBdr>
        <w:tabs>
          <w:tab w:val="left" w:pos="426"/>
        </w:tabs>
        <w:spacing w:line="360" w:lineRule="auto"/>
        <w:ind w:left="113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Conducta de la Autoridad:</w:t>
      </w:r>
      <w:r>
        <w:rPr>
          <w:rFonts w:ascii="Palatino Linotype" w:eastAsia="Palatino Linotype" w:hAnsi="Palatino Linotype" w:cs="Palatino Linotype"/>
          <w:color w:val="000000"/>
          <w:sz w:val="22"/>
          <w:szCs w:val="22"/>
        </w:rPr>
        <w:t xml:space="preserve"> Las Acciones u omisiones realizadas en el procedimiento. Así como si la autoridad actuó con la debida diligencia.</w:t>
      </w:r>
    </w:p>
    <w:p w14:paraId="7593254C" w14:textId="77777777" w:rsidR="00566919" w:rsidRDefault="00072F7A">
      <w:pPr>
        <w:numPr>
          <w:ilvl w:val="1"/>
          <w:numId w:val="1"/>
        </w:numPr>
        <w:pBdr>
          <w:top w:val="nil"/>
          <w:left w:val="nil"/>
          <w:bottom w:val="nil"/>
          <w:right w:val="nil"/>
          <w:between w:val="nil"/>
        </w:pBdr>
        <w:tabs>
          <w:tab w:val="left" w:pos="426"/>
        </w:tabs>
        <w:spacing w:line="360" w:lineRule="auto"/>
        <w:ind w:left="113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La afectación generada en la situación jurídica de la persona involucrada en el proceso: </w:t>
      </w:r>
      <w:r>
        <w:rPr>
          <w:rFonts w:ascii="Palatino Linotype" w:eastAsia="Palatino Linotype" w:hAnsi="Palatino Linotype" w:cs="Palatino Linotype"/>
          <w:color w:val="000000"/>
          <w:sz w:val="22"/>
          <w:szCs w:val="22"/>
        </w:rPr>
        <w:t>Violación a sus derechos humanos.</w:t>
      </w:r>
    </w:p>
    <w:p w14:paraId="290AD440" w14:textId="77777777" w:rsidR="00566919" w:rsidRDefault="00566919">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1F7D723E" w14:textId="77777777" w:rsidR="00566919" w:rsidRDefault="00072F7A">
      <w:pPr>
        <w:numPr>
          <w:ilvl w:val="0"/>
          <w:numId w:val="6"/>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A9489F1" w14:textId="77777777" w:rsidR="00566919" w:rsidRDefault="00566919">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1F7CBF17" w14:textId="77777777" w:rsidR="00566919" w:rsidRDefault="00072F7A">
      <w:pPr>
        <w:numPr>
          <w:ilvl w:val="0"/>
          <w:numId w:val="6"/>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Argumento que encuentra sustento en la jurisprudencia P./J. 32/92 emitida por el Pleno de la Suprema Corte de Justicia de la Nación </w:t>
      </w:r>
      <w:r>
        <w:rPr>
          <w:rFonts w:ascii="Palatino Linotype" w:eastAsia="Palatino Linotype" w:hAnsi="Palatino Linotype" w:cs="Palatino Linotype"/>
        </w:rPr>
        <w:t>del rubro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i/>
          <w:color w:val="000000"/>
        </w:rPr>
        <w:t xml:space="preserve">“TÉRMINOS </w:t>
      </w:r>
      <w:r>
        <w:rPr>
          <w:rFonts w:ascii="Palatino Linotype" w:eastAsia="Palatino Linotype" w:hAnsi="Palatino Linotype" w:cs="Palatino Linotype"/>
          <w:i/>
          <w:color w:val="000000"/>
        </w:rPr>
        <w:lastRenderedPageBreak/>
        <w:t>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i/>
          <w:color w:val="000000"/>
          <w:vertAlign w:val="superscript"/>
        </w:rPr>
        <w:footnoteReference w:id="2"/>
      </w:r>
      <w:r>
        <w:rPr>
          <w:rFonts w:ascii="Palatino Linotype" w:eastAsia="Palatino Linotype" w:hAnsi="Palatino Linotype" w:cs="Palatino Linotype"/>
          <w:color w:val="000000"/>
        </w:rPr>
        <w:t xml:space="preserve">, visible en la Gaceta del </w:t>
      </w:r>
      <w:r>
        <w:rPr>
          <w:rFonts w:ascii="Palatino Linotype" w:eastAsia="Palatino Linotype" w:hAnsi="Palatino Linotype" w:cs="Palatino Linotype"/>
        </w:rPr>
        <w:t>Semanario</w:t>
      </w:r>
      <w:r>
        <w:rPr>
          <w:rFonts w:ascii="Palatino Linotype" w:eastAsia="Palatino Linotype" w:hAnsi="Palatino Linotype" w:cs="Palatino Linotype"/>
          <w:color w:val="000000"/>
        </w:rPr>
        <w:t xml:space="preserve"> Judicial de la Federación con el registro digital 205635.</w:t>
      </w:r>
    </w:p>
    <w:p w14:paraId="0FBB9559" w14:textId="77777777" w:rsidR="00566919" w:rsidRDefault="00566919">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2A5D2F74" w14:textId="77777777" w:rsidR="00566919" w:rsidRDefault="00072F7A">
      <w:pPr>
        <w:numPr>
          <w:ilvl w:val="0"/>
          <w:numId w:val="6"/>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Pr>
          <w:rFonts w:ascii="Palatino Linotype" w:eastAsia="Palatino Linotype" w:hAnsi="Palatino Linotype" w:cs="Palatino Linotype"/>
          <w:color w:val="000000"/>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53F250DA" w14:textId="77777777" w:rsidR="00566919" w:rsidRDefault="00566919">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1214A1A0" w14:textId="77777777" w:rsidR="00566919" w:rsidRDefault="00072F7A">
      <w:pPr>
        <w:numPr>
          <w:ilvl w:val="0"/>
          <w:numId w:val="6"/>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14:paraId="3C893637" w14:textId="77777777" w:rsidR="00566919" w:rsidRDefault="00566919">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76F1B392" w14:textId="77777777" w:rsidR="00566919" w:rsidRDefault="00072F7A">
      <w:pPr>
        <w:pBdr>
          <w:top w:val="nil"/>
          <w:left w:val="nil"/>
          <w:bottom w:val="nil"/>
          <w:right w:val="nil"/>
          <w:between w:val="nil"/>
        </w:pBdr>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PLAZO RAZONABLE PARA RESOLVER. DIMENSIÓN Y EFECTOS DE ESTE CONCEPTO CUANDO SE ADUCE EXCESIVA CARGA DE TRABAJO.</w:t>
      </w:r>
      <w:r>
        <w:rPr>
          <w:rFonts w:ascii="Palatino Linotype" w:eastAsia="Palatino Linotype" w:hAnsi="Palatino Linotype" w:cs="Palatino Linotype"/>
          <w:i/>
          <w:color w:val="000000"/>
          <w:sz w:val="22"/>
          <w:szCs w:val="22"/>
        </w:rPr>
        <w:t xml:space="preserve"> “A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w:t>
      </w:r>
      <w:r>
        <w:rPr>
          <w:rFonts w:ascii="Palatino Linotype" w:eastAsia="Palatino Linotype" w:hAnsi="Palatino Linotype" w:cs="Palatino Linotype"/>
          <w:i/>
          <w:color w:val="000000"/>
          <w:sz w:val="22"/>
          <w:szCs w:val="22"/>
        </w:rPr>
        <w:lastRenderedPageBreak/>
        <w:t>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r>
        <w:rPr>
          <w:rFonts w:ascii="Palatino Linotype" w:eastAsia="Palatino Linotype" w:hAnsi="Palatino Linotype" w:cs="Palatino Linotype"/>
          <w:i/>
          <w:color w:val="000000"/>
          <w:sz w:val="22"/>
          <w:szCs w:val="22"/>
          <w:vertAlign w:val="superscript"/>
        </w:rPr>
        <w:footnoteReference w:id="3"/>
      </w:r>
    </w:p>
    <w:p w14:paraId="3182CED8" w14:textId="77777777" w:rsidR="00566919" w:rsidRDefault="00566919">
      <w:pPr>
        <w:pBdr>
          <w:top w:val="nil"/>
          <w:left w:val="nil"/>
          <w:bottom w:val="nil"/>
          <w:right w:val="nil"/>
          <w:between w:val="nil"/>
        </w:pBdr>
        <w:spacing w:line="276" w:lineRule="auto"/>
        <w:ind w:left="567" w:right="567"/>
        <w:jc w:val="both"/>
        <w:rPr>
          <w:rFonts w:ascii="Palatino Linotype" w:eastAsia="Palatino Linotype" w:hAnsi="Palatino Linotype" w:cs="Palatino Linotype"/>
          <w:i/>
          <w:color w:val="000000"/>
          <w:sz w:val="22"/>
          <w:szCs w:val="22"/>
        </w:rPr>
      </w:pPr>
    </w:p>
    <w:p w14:paraId="0245F00A" w14:textId="77777777" w:rsidR="00566919" w:rsidRDefault="00072F7A">
      <w:pPr>
        <w:pBdr>
          <w:top w:val="nil"/>
          <w:left w:val="nil"/>
          <w:bottom w:val="nil"/>
          <w:right w:val="nil"/>
          <w:between w:val="nil"/>
        </w:pBdr>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PLAZO RAZONABLE PARA RESOLVER. CONCEPTO Y ELEMENTOS QUE LO INTEGRAN A LA LUZ DEL DERECHO INTERNACIONAL DE LOS DERECHOS HUMANOS.</w:t>
      </w:r>
      <w:r>
        <w:rPr>
          <w:rFonts w:ascii="Palatino Linotype" w:eastAsia="Palatino Linotype" w:hAnsi="Palatino Linotype" w:cs="Palatino Linotype"/>
          <w:i/>
          <w:color w:val="000000"/>
          <w:sz w:val="22"/>
          <w:szCs w:val="22"/>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w:t>
      </w:r>
      <w:r>
        <w:rPr>
          <w:rFonts w:ascii="Palatino Linotype" w:eastAsia="Palatino Linotype" w:hAnsi="Palatino Linotype" w:cs="Palatino Linotype"/>
          <w:i/>
          <w:color w:val="000000"/>
          <w:sz w:val="22"/>
          <w:szCs w:val="22"/>
        </w:rPr>
        <w:lastRenderedPageBreak/>
        <w:t>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r>
        <w:rPr>
          <w:rFonts w:ascii="Palatino Linotype" w:eastAsia="Palatino Linotype" w:hAnsi="Palatino Linotype" w:cs="Palatino Linotype"/>
          <w:i/>
          <w:color w:val="000000"/>
          <w:sz w:val="22"/>
          <w:szCs w:val="22"/>
          <w:vertAlign w:val="superscript"/>
        </w:rPr>
        <w:footnoteReference w:id="4"/>
      </w:r>
    </w:p>
    <w:p w14:paraId="5016729E" w14:textId="77777777" w:rsidR="00566919" w:rsidRDefault="00566919">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08380014" w14:textId="77777777" w:rsidR="00566919" w:rsidRDefault="00072F7A">
      <w:pPr>
        <w:numPr>
          <w:ilvl w:val="0"/>
          <w:numId w:val="6"/>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ello, este Organismo Garante, comprometido con la tutela de los derechos humanos confiados, señala que este exceso del plazo legal para resolver el presente asunto resulta de carácter excepcional. </w:t>
      </w:r>
    </w:p>
    <w:p w14:paraId="6767C03A" w14:textId="77777777" w:rsidR="00566919" w:rsidRDefault="00566919">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p>
    <w:p w14:paraId="12465D6B" w14:textId="77777777" w:rsidR="00566919" w:rsidRDefault="00072F7A">
      <w:pPr>
        <w:numPr>
          <w:ilvl w:val="0"/>
          <w:numId w:val="6"/>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bookmarkStart w:id="2" w:name="_heading=h.1fob9te" w:colFirst="0" w:colLast="0"/>
      <w:bookmarkEnd w:id="2"/>
      <w:r>
        <w:rPr>
          <w:rFonts w:ascii="Palatino Linotype" w:eastAsia="Palatino Linotype" w:hAnsi="Palatino Linotype" w:cs="Palatino Linotype"/>
          <w:color w:val="000000"/>
        </w:rPr>
        <w:t xml:space="preserve">Finalmente, el </w:t>
      </w:r>
      <w:r>
        <w:rPr>
          <w:rFonts w:ascii="Palatino Linotype" w:eastAsia="Palatino Linotype" w:hAnsi="Palatino Linotype" w:cs="Palatino Linotype"/>
          <w:b/>
          <w:color w:val="000000"/>
        </w:rPr>
        <w:t>ocho (08) de agosto de dos mil veinticuatro</w:t>
      </w:r>
      <w:r>
        <w:rPr>
          <w:rFonts w:ascii="Palatino Linotype" w:eastAsia="Palatino Linotype" w:hAnsi="Palatino Linotype" w:cs="Palatino Linotype"/>
          <w:color w:val="000000"/>
        </w:rPr>
        <w:t>, la Comisionada Ponente decretó el cierre del periodo de instrucción, por lo que ordenó turnar el expediente para su resolución, misma que ahora se pronuncia; y ------------------------</w:t>
      </w:r>
    </w:p>
    <w:p w14:paraId="307A9E60" w14:textId="77777777" w:rsidR="00566919" w:rsidRDefault="00566919">
      <w:pPr>
        <w:rPr>
          <w:rFonts w:ascii="Palatino Linotype" w:eastAsia="Palatino Linotype" w:hAnsi="Palatino Linotype" w:cs="Palatino Linotype"/>
          <w:color w:val="000000"/>
        </w:rPr>
      </w:pPr>
    </w:p>
    <w:p w14:paraId="6B1A8DCF" w14:textId="77777777" w:rsidR="00566919" w:rsidRDefault="00566919">
      <w:pPr>
        <w:pStyle w:val="Ttulo1"/>
        <w:spacing w:before="0"/>
        <w:jc w:val="center"/>
        <w:rPr>
          <w:b/>
        </w:rPr>
      </w:pPr>
      <w:bookmarkStart w:id="3" w:name="_heading=h.wee2tkd1eq3l" w:colFirst="0" w:colLast="0"/>
      <w:bookmarkEnd w:id="3"/>
    </w:p>
    <w:p w14:paraId="74BF1C3B" w14:textId="77777777" w:rsidR="00566919" w:rsidRDefault="00072F7A">
      <w:pPr>
        <w:pStyle w:val="Ttulo1"/>
        <w:spacing w:before="0"/>
        <w:jc w:val="center"/>
        <w:rPr>
          <w:b/>
          <w:color w:val="000000"/>
        </w:rPr>
      </w:pPr>
      <w:bookmarkStart w:id="4" w:name="_heading=h.3znysh7" w:colFirst="0" w:colLast="0"/>
      <w:bookmarkEnd w:id="4"/>
      <w:r>
        <w:rPr>
          <w:b/>
        </w:rPr>
        <w:t>C</w:t>
      </w:r>
      <w:r>
        <w:rPr>
          <w:b/>
          <w:color w:val="000000"/>
        </w:rPr>
        <w:t xml:space="preserve"> O N S I D E R A N D O</w:t>
      </w:r>
    </w:p>
    <w:p w14:paraId="62AB0223" w14:textId="77777777" w:rsidR="00566919" w:rsidRDefault="00566919">
      <w:pPr>
        <w:rPr>
          <w:color w:val="000000"/>
        </w:rPr>
      </w:pPr>
    </w:p>
    <w:p w14:paraId="557DD88C" w14:textId="77777777" w:rsidR="00566919" w:rsidRDefault="00566919">
      <w:pPr>
        <w:rPr>
          <w:color w:val="000000"/>
        </w:rPr>
      </w:pPr>
    </w:p>
    <w:p w14:paraId="57E958E9" w14:textId="77777777" w:rsidR="00566919" w:rsidRDefault="00072F7A">
      <w:pPr>
        <w:pStyle w:val="Ttulo2"/>
        <w:spacing w:before="0"/>
        <w:rPr>
          <w:rFonts w:ascii="Palatino Linotype" w:eastAsia="Palatino Linotype" w:hAnsi="Palatino Linotype" w:cs="Palatino Linotype"/>
          <w:b/>
          <w:color w:val="000000"/>
          <w:sz w:val="24"/>
          <w:szCs w:val="24"/>
        </w:rPr>
      </w:pPr>
      <w:bookmarkStart w:id="5" w:name="_heading=h.2et92p0" w:colFirst="0" w:colLast="0"/>
      <w:bookmarkEnd w:id="5"/>
      <w:r>
        <w:rPr>
          <w:rFonts w:ascii="Palatino Linotype" w:eastAsia="Palatino Linotype" w:hAnsi="Palatino Linotype" w:cs="Palatino Linotype"/>
          <w:b/>
          <w:color w:val="000000"/>
          <w:sz w:val="24"/>
          <w:szCs w:val="24"/>
        </w:rPr>
        <w:t>PRIMERO. De la competencia</w:t>
      </w:r>
    </w:p>
    <w:p w14:paraId="2E04CB9F" w14:textId="77777777" w:rsidR="00566919" w:rsidRDefault="00566919">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rPr>
      </w:pPr>
    </w:p>
    <w:p w14:paraId="09045899" w14:textId="77777777" w:rsidR="00566919" w:rsidRDefault="00072F7A">
      <w:pPr>
        <w:numPr>
          <w:ilvl w:val="0"/>
          <w:numId w:val="6"/>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w:t>
      </w:r>
      <w:r>
        <w:rPr>
          <w:rFonts w:ascii="Palatino Linotype" w:eastAsia="Palatino Linotype" w:hAnsi="Palatino Linotype" w:cs="Palatino Linotype"/>
          <w:color w:val="000000"/>
        </w:rPr>
        <w:lastRenderedPageBreak/>
        <w:t>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06C7A427" w14:textId="77777777" w:rsidR="00566919" w:rsidRDefault="00566919">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rPr>
      </w:pPr>
    </w:p>
    <w:p w14:paraId="33F112FB" w14:textId="77777777" w:rsidR="00566919" w:rsidRDefault="00072F7A">
      <w:pPr>
        <w:pStyle w:val="Ttulo2"/>
        <w:tabs>
          <w:tab w:val="left" w:pos="426"/>
        </w:tabs>
        <w:spacing w:before="0"/>
        <w:rPr>
          <w:rFonts w:ascii="Palatino Linotype" w:eastAsia="Palatino Linotype" w:hAnsi="Palatino Linotype" w:cs="Palatino Linotype"/>
          <w:b/>
          <w:color w:val="000000"/>
          <w:sz w:val="24"/>
          <w:szCs w:val="24"/>
        </w:rPr>
      </w:pPr>
      <w:bookmarkStart w:id="6" w:name="_heading=h.tyjcwt" w:colFirst="0" w:colLast="0"/>
      <w:bookmarkEnd w:id="6"/>
      <w:r>
        <w:rPr>
          <w:rFonts w:ascii="Palatino Linotype" w:eastAsia="Palatino Linotype" w:hAnsi="Palatino Linotype" w:cs="Palatino Linotype"/>
          <w:b/>
          <w:color w:val="000000"/>
          <w:sz w:val="24"/>
          <w:szCs w:val="24"/>
        </w:rPr>
        <w:t>SEGUNDO. De la oportunidad y procedencia.</w:t>
      </w:r>
    </w:p>
    <w:p w14:paraId="42720478" w14:textId="77777777" w:rsidR="00566919" w:rsidRDefault="00566919">
      <w:pPr>
        <w:tabs>
          <w:tab w:val="left" w:pos="426"/>
        </w:tabs>
        <w:spacing w:line="360" w:lineRule="auto"/>
        <w:ind w:right="49"/>
        <w:jc w:val="both"/>
        <w:rPr>
          <w:rFonts w:ascii="Palatino Linotype" w:eastAsia="Palatino Linotype" w:hAnsi="Palatino Linotype" w:cs="Palatino Linotype"/>
        </w:rPr>
      </w:pPr>
    </w:p>
    <w:p w14:paraId="2B224EE7" w14:textId="77777777" w:rsidR="00566919" w:rsidRDefault="00072F7A">
      <w:pPr>
        <w:numPr>
          <w:ilvl w:val="0"/>
          <w:numId w:val="6"/>
        </w:numPr>
        <w:tabs>
          <w:tab w:val="left" w:pos="426"/>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rPr>
        <w:t>medio de impugnación fue presentado a través del SAIMEX</w:t>
      </w:r>
      <w:r>
        <w:rPr>
          <w:rFonts w:ascii="Palatino Linotype" w:eastAsia="Palatino Linotype" w:hAnsi="Palatino Linotype" w:cs="Palatino Linotype"/>
          <w:b/>
        </w:rPr>
        <w:t>,</w:t>
      </w:r>
      <w:r>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si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entregó respuesta el </w:t>
      </w:r>
      <w:r>
        <w:rPr>
          <w:rFonts w:ascii="Palatino Linotype" w:eastAsia="Palatino Linotype" w:hAnsi="Palatino Linotype" w:cs="Palatino Linotype"/>
          <w:b/>
        </w:rPr>
        <w:t>treinta (30) de agosto de dos mil veintitrés</w:t>
      </w:r>
      <w:r>
        <w:rPr>
          <w:rFonts w:ascii="Palatino Linotype" w:eastAsia="Palatino Linotype" w:hAnsi="Palatino Linotype" w:cs="Palatino Linotype"/>
        </w:rPr>
        <w:t xml:space="preserve">, el plazo para interponer el recurso de revisión transcurrió del </w:t>
      </w:r>
      <w:r>
        <w:rPr>
          <w:rFonts w:ascii="Palatino Linotype" w:eastAsia="Palatino Linotype" w:hAnsi="Palatino Linotype" w:cs="Palatino Linotype"/>
          <w:b/>
        </w:rPr>
        <w:t xml:space="preserve">treinta y uno (31) de agosto </w:t>
      </w:r>
      <w:r>
        <w:rPr>
          <w:rFonts w:ascii="Palatino Linotype" w:eastAsia="Palatino Linotype" w:hAnsi="Palatino Linotype" w:cs="Palatino Linotype"/>
        </w:rPr>
        <w:t>al</w:t>
      </w:r>
      <w:r>
        <w:rPr>
          <w:rFonts w:ascii="Palatino Linotype" w:eastAsia="Palatino Linotype" w:hAnsi="Palatino Linotype" w:cs="Palatino Linotype"/>
          <w:b/>
        </w:rPr>
        <w:t xml:space="preserve"> veinte (20) de septiembre de dos mil veintitrés</w:t>
      </w:r>
      <w:r>
        <w:rPr>
          <w:rFonts w:ascii="Palatino Linotype" w:eastAsia="Palatino Linotype" w:hAnsi="Palatino Linotype" w:cs="Palatino Linotype"/>
        </w:rPr>
        <w:t>; sin contemplar en el cómputo los sábados y domingos, en términos del artículo 3, fracción X, de la Ley de Transparencia y Acceso a la Información Pública del Estado de México y Municipios.</w:t>
      </w:r>
    </w:p>
    <w:p w14:paraId="5E39CF8E" w14:textId="77777777" w:rsidR="00566919" w:rsidRDefault="00566919">
      <w:pPr>
        <w:tabs>
          <w:tab w:val="left" w:pos="426"/>
        </w:tabs>
        <w:spacing w:line="360" w:lineRule="auto"/>
        <w:ind w:right="49"/>
        <w:jc w:val="both"/>
        <w:rPr>
          <w:rFonts w:ascii="Palatino Linotype" w:eastAsia="Palatino Linotype" w:hAnsi="Palatino Linotype" w:cs="Palatino Linotype"/>
        </w:rPr>
      </w:pPr>
    </w:p>
    <w:p w14:paraId="6ADC5A0B" w14:textId="77777777" w:rsidR="00566919" w:rsidRDefault="00072F7A">
      <w:pPr>
        <w:numPr>
          <w:ilvl w:val="0"/>
          <w:numId w:val="6"/>
        </w:numPr>
        <w:tabs>
          <w:tab w:val="left" w:pos="426"/>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Luego entonces, si el recurso de revisión </w:t>
      </w:r>
      <w:r>
        <w:rPr>
          <w:rFonts w:ascii="Palatino Linotype" w:eastAsia="Palatino Linotype" w:hAnsi="Palatino Linotype" w:cs="Palatino Linotype"/>
          <w:b/>
        </w:rPr>
        <w:t>05658/INFOEM/IP/RR/2023</w:t>
      </w:r>
      <w:r>
        <w:rPr>
          <w:rFonts w:ascii="Palatino Linotype" w:eastAsia="Palatino Linotype" w:hAnsi="Palatino Linotype" w:cs="Palatino Linotype"/>
        </w:rPr>
        <w:t xml:space="preserve"> se promovió el siete (07) de septiembre de dos mil veintitrés, éste se encuentra dentro de los márgenes temporales previstos por la Ley de la materia.</w:t>
      </w:r>
    </w:p>
    <w:p w14:paraId="22774192" w14:textId="77777777" w:rsidR="00566919" w:rsidRDefault="00566919">
      <w:pPr>
        <w:tabs>
          <w:tab w:val="left" w:pos="426"/>
        </w:tabs>
        <w:spacing w:line="360" w:lineRule="auto"/>
        <w:ind w:right="49"/>
        <w:jc w:val="both"/>
        <w:rPr>
          <w:rFonts w:ascii="Palatino Linotype" w:eastAsia="Palatino Linotype" w:hAnsi="Palatino Linotype" w:cs="Palatino Linotype"/>
        </w:rPr>
      </w:pPr>
    </w:p>
    <w:p w14:paraId="541B5554" w14:textId="77777777" w:rsidR="00566919" w:rsidRDefault="00072F7A">
      <w:pPr>
        <w:numPr>
          <w:ilvl w:val="0"/>
          <w:numId w:val="6"/>
        </w:numPr>
        <w:tabs>
          <w:tab w:val="left" w:pos="426"/>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otro lado, de la revisión al  expediente electrónico contenido en el SAIMEX, se desprende que la parte solicitante, en ejercicio de su derecho de acceso a la información pública en el expediente que se revisa, tanto en la solicitud de </w:t>
      </w:r>
      <w:r>
        <w:rPr>
          <w:rFonts w:ascii="Palatino Linotype" w:eastAsia="Palatino Linotype" w:hAnsi="Palatino Linotype" w:cs="Palatino Linotype"/>
        </w:rPr>
        <w:lastRenderedPageBreak/>
        <w:t xml:space="preserve">información como en el recurso de revisión, </w:t>
      </w:r>
      <w:r>
        <w:rPr>
          <w:rFonts w:ascii="Palatino Linotype" w:eastAsia="Palatino Linotype" w:hAnsi="Palatino Linotype" w:cs="Palatino Linotype"/>
          <w:b/>
        </w:rPr>
        <w:t>no señaló ningún nombre, seudónimo o carácter para identificarse, ni se tiene certeza de su identidad</w:t>
      </w:r>
      <w:r>
        <w:rPr>
          <w:rFonts w:ascii="Palatino Linotype" w:eastAsia="Palatino Linotype" w:hAnsi="Palatino Linotype" w:cs="Palatino Linotype"/>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37A568CF" w14:textId="77777777" w:rsidR="00566919" w:rsidRDefault="00566919">
      <w:pPr>
        <w:tabs>
          <w:tab w:val="left" w:pos="426"/>
        </w:tabs>
        <w:spacing w:line="360" w:lineRule="auto"/>
        <w:ind w:right="49"/>
        <w:jc w:val="both"/>
        <w:rPr>
          <w:rFonts w:ascii="Palatino Linotype" w:eastAsia="Palatino Linotype" w:hAnsi="Palatino Linotype" w:cs="Palatino Linotype"/>
        </w:rPr>
      </w:pPr>
    </w:p>
    <w:p w14:paraId="5FB29940" w14:textId="77777777" w:rsidR="00566919" w:rsidRDefault="00072F7A">
      <w:pPr>
        <w:numPr>
          <w:ilvl w:val="0"/>
          <w:numId w:val="6"/>
        </w:numPr>
        <w:tabs>
          <w:tab w:val="left" w:pos="426"/>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Esto es así, ya que de conformidad con los artículos 6, apartado A, fracciones III y IV de la Constitución Política de los Estados Unidos Mexicanos; 5, párrafos trigésimo, trigésimo primero y trigésimo segundo, fracciones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61AE1419" w14:textId="77777777" w:rsidR="00566919" w:rsidRDefault="00566919">
      <w:pPr>
        <w:tabs>
          <w:tab w:val="left" w:pos="426"/>
        </w:tabs>
        <w:spacing w:line="360" w:lineRule="auto"/>
        <w:ind w:right="49"/>
        <w:jc w:val="both"/>
        <w:rPr>
          <w:rFonts w:ascii="Palatino Linotype" w:eastAsia="Palatino Linotype" w:hAnsi="Palatino Linotype" w:cs="Palatino Linotype"/>
        </w:rPr>
      </w:pPr>
    </w:p>
    <w:p w14:paraId="6E45F9D7" w14:textId="77777777" w:rsidR="00566919" w:rsidRDefault="00072F7A">
      <w:pPr>
        <w:numPr>
          <w:ilvl w:val="0"/>
          <w:numId w:val="6"/>
        </w:numPr>
        <w:tabs>
          <w:tab w:val="left" w:pos="426"/>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w:t>
      </w:r>
      <w:r>
        <w:rPr>
          <w:rFonts w:ascii="Palatino Linotype" w:eastAsia="Palatino Linotype" w:hAnsi="Palatino Linotype" w:cs="Palatino Linotype"/>
        </w:rPr>
        <w:lastRenderedPageBreak/>
        <w:t>pueda ser anónima o no contener un nombre que identifique al Solicitante o que permita tener certeza sobre su identidad.</w:t>
      </w:r>
    </w:p>
    <w:p w14:paraId="0D8EA97D" w14:textId="77777777" w:rsidR="00566919" w:rsidRDefault="00566919">
      <w:pPr>
        <w:tabs>
          <w:tab w:val="left" w:pos="426"/>
        </w:tabs>
        <w:spacing w:line="360" w:lineRule="auto"/>
        <w:ind w:right="49"/>
        <w:jc w:val="both"/>
        <w:rPr>
          <w:rFonts w:ascii="Palatino Linotype" w:eastAsia="Palatino Linotype" w:hAnsi="Palatino Linotype" w:cs="Palatino Linotype"/>
        </w:rPr>
      </w:pPr>
    </w:p>
    <w:p w14:paraId="3508E7F8" w14:textId="77777777" w:rsidR="00566919" w:rsidRDefault="00072F7A">
      <w:pPr>
        <w:numPr>
          <w:ilvl w:val="0"/>
          <w:numId w:val="6"/>
        </w:numPr>
        <w:tabs>
          <w:tab w:val="left" w:pos="426"/>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Asimismo, como lo establece la Convención Americana, en su artículo 13, el derecho de acceso a la información es un derecho humano universal y, en consecuencia, toda persona tiene derecho a solicitar acceso a la información.</w:t>
      </w:r>
    </w:p>
    <w:p w14:paraId="31B7DA7B" w14:textId="77777777" w:rsidR="00566919" w:rsidRDefault="00566919">
      <w:pPr>
        <w:tabs>
          <w:tab w:val="left" w:pos="426"/>
        </w:tabs>
        <w:spacing w:line="360" w:lineRule="auto"/>
        <w:ind w:right="49"/>
        <w:jc w:val="both"/>
        <w:rPr>
          <w:rFonts w:ascii="Palatino Linotype" w:eastAsia="Palatino Linotype" w:hAnsi="Palatino Linotype" w:cs="Palatino Linotype"/>
        </w:rPr>
      </w:pPr>
    </w:p>
    <w:p w14:paraId="75455BCD" w14:textId="77777777" w:rsidR="00566919" w:rsidRDefault="00072F7A">
      <w:pPr>
        <w:numPr>
          <w:ilvl w:val="0"/>
          <w:numId w:val="6"/>
        </w:numPr>
        <w:tabs>
          <w:tab w:val="left" w:pos="426"/>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00DFAD61" w14:textId="77777777" w:rsidR="00566919" w:rsidRDefault="00566919">
      <w:pPr>
        <w:tabs>
          <w:tab w:val="left" w:pos="426"/>
        </w:tabs>
        <w:spacing w:line="360" w:lineRule="auto"/>
        <w:ind w:right="49"/>
        <w:jc w:val="both"/>
        <w:rPr>
          <w:rFonts w:ascii="Palatino Linotype" w:eastAsia="Palatino Linotype" w:hAnsi="Palatino Linotype" w:cs="Palatino Linotype"/>
        </w:rPr>
      </w:pPr>
    </w:p>
    <w:p w14:paraId="200B16EA" w14:textId="77777777" w:rsidR="00566919" w:rsidRDefault="00072F7A">
      <w:pPr>
        <w:numPr>
          <w:ilvl w:val="0"/>
          <w:numId w:val="6"/>
        </w:numPr>
        <w:tabs>
          <w:tab w:val="left" w:pos="426"/>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el nombre de la </w:t>
      </w:r>
      <w:r>
        <w:rPr>
          <w:rFonts w:ascii="Palatino Linotype" w:eastAsia="Palatino Linotype" w:hAnsi="Palatino Linotype" w:cs="Palatino Linotype"/>
          <w:b/>
        </w:rPr>
        <w:t>SOLICITANTE</w:t>
      </w:r>
      <w:r>
        <w:rPr>
          <w:rFonts w:ascii="Palatino Linotype" w:eastAsia="Palatino Linotype" w:hAnsi="Palatino Linotype" w:cs="Palatino Linotype"/>
        </w:rPr>
        <w:t xml:space="preserve"> y subsecuente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14:paraId="647ADD15" w14:textId="77777777" w:rsidR="00566919" w:rsidRDefault="00566919">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p>
    <w:p w14:paraId="58805E4F" w14:textId="77777777" w:rsidR="00566919" w:rsidRDefault="00072F7A">
      <w:pPr>
        <w:numPr>
          <w:ilvl w:val="0"/>
          <w:numId w:val="6"/>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4FAEDF9B" w14:textId="77777777" w:rsidR="00566919" w:rsidRDefault="00566919">
      <w:pPr>
        <w:rPr>
          <w:rFonts w:ascii="Palatino Linotype" w:eastAsia="Palatino Linotype" w:hAnsi="Palatino Linotype" w:cs="Palatino Linotype"/>
          <w:color w:val="000000"/>
        </w:rPr>
      </w:pPr>
    </w:p>
    <w:p w14:paraId="02C50E29" w14:textId="77777777" w:rsidR="00566919" w:rsidRDefault="00072F7A">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rPr>
      </w:pPr>
      <w:bookmarkStart w:id="7" w:name="_heading=h.3dy6vkm" w:colFirst="0" w:colLast="0"/>
      <w:bookmarkEnd w:id="7"/>
      <w:r>
        <w:rPr>
          <w:rFonts w:ascii="Palatino Linotype" w:eastAsia="Palatino Linotype" w:hAnsi="Palatino Linotype" w:cs="Palatino Linotype"/>
          <w:b/>
          <w:color w:val="000000"/>
        </w:rPr>
        <w:lastRenderedPageBreak/>
        <w:t xml:space="preserve">TERCERO. Del planteamiento de la </w:t>
      </w:r>
      <w:r>
        <w:rPr>
          <w:rFonts w:ascii="Palatino Linotype" w:eastAsia="Palatino Linotype" w:hAnsi="Palatino Linotype" w:cs="Palatino Linotype"/>
          <w:b/>
          <w:i/>
          <w:color w:val="000000"/>
        </w:rPr>
        <w:t>Litis</w:t>
      </w:r>
      <w:r>
        <w:rPr>
          <w:rFonts w:ascii="Palatino Linotype" w:eastAsia="Palatino Linotype" w:hAnsi="Palatino Linotype" w:cs="Palatino Linotype"/>
          <w:b/>
          <w:color w:val="000000"/>
        </w:rPr>
        <w:t>.</w:t>
      </w:r>
    </w:p>
    <w:p w14:paraId="5CBCEDFF" w14:textId="77777777" w:rsidR="00566919" w:rsidRDefault="00566919">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bookmarkStart w:id="8" w:name="_heading=h.1t3h5sf" w:colFirst="0" w:colLast="0"/>
      <w:bookmarkEnd w:id="8"/>
    </w:p>
    <w:p w14:paraId="570324D5" w14:textId="77777777" w:rsidR="00566919" w:rsidRDefault="00072F7A">
      <w:pPr>
        <w:numPr>
          <w:ilvl w:val="0"/>
          <w:numId w:val="6"/>
        </w:num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 requirieron todas las observaciones, emitidas por el Órgano Superior de Fiscalización, que tuvo el Presidente Municipal </w:t>
      </w:r>
      <w:r>
        <w:rPr>
          <w:rFonts w:ascii="Palatino Linotype" w:eastAsia="Palatino Linotype" w:hAnsi="Palatino Linotype" w:cs="Palatino Linotype"/>
          <w:i/>
          <w:color w:val="000000"/>
        </w:rPr>
        <w:t>Manuel Vilchis Viveros</w:t>
      </w:r>
      <w:r>
        <w:rPr>
          <w:rFonts w:ascii="Palatino Linotype" w:eastAsia="Palatino Linotype" w:hAnsi="Palatino Linotype" w:cs="Palatino Linotype"/>
          <w:color w:val="000000"/>
        </w:rPr>
        <w:t xml:space="preserve"> durante el dos mil veintidós. A través del Tesorero Municipal,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informó que no contaba con lo solicitado en sus archivos.</w:t>
      </w:r>
    </w:p>
    <w:p w14:paraId="2EA8DE04" w14:textId="77777777" w:rsidR="00566919" w:rsidRDefault="00566919">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p>
    <w:p w14:paraId="1F5A02BE" w14:textId="77777777" w:rsidR="00566919" w:rsidRDefault="00072F7A">
      <w:pPr>
        <w:numPr>
          <w:ilvl w:val="0"/>
          <w:numId w:val="6"/>
        </w:num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particular impugnó la respuesta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mediante el recurso de revisión con número indicado al rubro, y en el que señaló por agravios, la negativa de la información.</w:t>
      </w:r>
    </w:p>
    <w:p w14:paraId="5B27EAD8" w14:textId="77777777" w:rsidR="00566919" w:rsidRDefault="00566919">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p>
    <w:p w14:paraId="256946AC" w14:textId="77777777" w:rsidR="00566919" w:rsidRDefault="00072F7A">
      <w:pPr>
        <w:numPr>
          <w:ilvl w:val="0"/>
          <w:numId w:val="6"/>
        </w:num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sentido, este Órgano Garante advierte que las razones o motivos de inconformidad manifestados por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sugieren que la respuesta proporcionada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no cumplió con los principios </w:t>
      </w:r>
      <w:r>
        <w:rPr>
          <w:rFonts w:ascii="Palatino Linotype" w:eastAsia="Palatino Linotype" w:hAnsi="Palatino Linotype" w:cs="Palatino Linotype"/>
        </w:rPr>
        <w:t>contenidos</w:t>
      </w:r>
      <w:r>
        <w:rPr>
          <w:rFonts w:ascii="Palatino Linotype" w:eastAsia="Palatino Linotype" w:hAnsi="Palatino Linotype" w:cs="Palatino Linotype"/>
          <w:color w:val="000000"/>
        </w:rPr>
        <w:t xml:space="preserve"> en el artículo 11 de la Ley de Transparencia y Acceso a la Información Pública del Estado de México y Municipios, los cuales señalan que en la generación, publicación y entrega de información se deberá garantizar que ésta sea </w:t>
      </w:r>
      <w:r>
        <w:rPr>
          <w:rFonts w:ascii="Palatino Linotype" w:eastAsia="Palatino Linotype" w:hAnsi="Palatino Linotype" w:cs="Palatino Linotype"/>
          <w:b/>
          <w:color w:val="000000"/>
        </w:rPr>
        <w:t>accesible</w:t>
      </w:r>
      <w:r>
        <w:rPr>
          <w:rFonts w:ascii="Palatino Linotype" w:eastAsia="Palatino Linotype" w:hAnsi="Palatino Linotype" w:cs="Palatino Linotype"/>
          <w:color w:val="000000"/>
        </w:rPr>
        <w:t>.</w:t>
      </w:r>
    </w:p>
    <w:p w14:paraId="52C90508" w14:textId="77777777" w:rsidR="00566919" w:rsidRDefault="00566919">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p>
    <w:p w14:paraId="04D2E7DD" w14:textId="77777777" w:rsidR="00566919" w:rsidRDefault="00072F7A">
      <w:pPr>
        <w:numPr>
          <w:ilvl w:val="0"/>
          <w:numId w:val="6"/>
        </w:num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anterior, la </w:t>
      </w:r>
      <w:r>
        <w:rPr>
          <w:rFonts w:ascii="Palatino Linotype" w:eastAsia="Palatino Linotype" w:hAnsi="Palatino Linotype" w:cs="Palatino Linotype"/>
          <w:i/>
          <w:color w:val="000000"/>
        </w:rPr>
        <w:t>Litis</w:t>
      </w:r>
      <w:r>
        <w:rPr>
          <w:rFonts w:ascii="Palatino Linotype" w:eastAsia="Palatino Linotype" w:hAnsi="Palatino Linotype" w:cs="Palatino Linotype"/>
          <w:color w:val="000000"/>
        </w:rPr>
        <w:t xml:space="preserve"> a resolver en el presente recurso se circunscribe en determinar si la respuesta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colma el derecho de acceso a la información ejercido por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o, si por el contrario, se actualizan las causales de procedencia del recurso de revisión establecidas en el artículo 179 </w:t>
      </w:r>
      <w:r>
        <w:rPr>
          <w:rFonts w:ascii="Palatino Linotype" w:eastAsia="Palatino Linotype" w:hAnsi="Palatino Linotype" w:cs="Palatino Linotype"/>
          <w:color w:val="000000"/>
        </w:rPr>
        <w:lastRenderedPageBreak/>
        <w:t>fracciones I u XI de la Ley de Transparencia y Acceso a la Información Pública del Estado de México y Municipios</w:t>
      </w:r>
      <w:r>
        <w:rPr>
          <w:rFonts w:ascii="Palatino Linotype" w:eastAsia="Palatino Linotype" w:hAnsi="Palatino Linotype" w:cs="Palatino Linotype"/>
          <w:color w:val="000000"/>
          <w:vertAlign w:val="superscript"/>
        </w:rPr>
        <w:footnoteReference w:id="5"/>
      </w:r>
      <w:r>
        <w:rPr>
          <w:rFonts w:ascii="Palatino Linotype" w:eastAsia="Palatino Linotype" w:hAnsi="Palatino Linotype" w:cs="Palatino Linotype"/>
          <w:color w:val="000000"/>
        </w:rPr>
        <w:t>.</w:t>
      </w:r>
    </w:p>
    <w:p w14:paraId="2A15C89A" w14:textId="77777777" w:rsidR="00566919" w:rsidRDefault="00566919">
      <w:pPr>
        <w:rPr>
          <w:rFonts w:ascii="Palatino Linotype" w:eastAsia="Palatino Linotype" w:hAnsi="Palatino Linotype" w:cs="Palatino Linotype"/>
          <w:color w:val="000000"/>
        </w:rPr>
      </w:pPr>
    </w:p>
    <w:p w14:paraId="20BD8215" w14:textId="77777777" w:rsidR="00566919" w:rsidRDefault="00072F7A">
      <w:pPr>
        <w:pStyle w:val="Ttulo2"/>
        <w:tabs>
          <w:tab w:val="left" w:pos="426"/>
        </w:tabs>
        <w:rPr>
          <w:rFonts w:ascii="Palatino Linotype" w:eastAsia="Palatino Linotype" w:hAnsi="Palatino Linotype" w:cs="Palatino Linotype"/>
          <w:b/>
          <w:color w:val="000000"/>
          <w:sz w:val="24"/>
          <w:szCs w:val="24"/>
        </w:rPr>
      </w:pPr>
      <w:bookmarkStart w:id="9" w:name="_heading=h.4d34og8" w:colFirst="0" w:colLast="0"/>
      <w:bookmarkEnd w:id="9"/>
      <w:r>
        <w:rPr>
          <w:rFonts w:ascii="Palatino Linotype" w:eastAsia="Palatino Linotype" w:hAnsi="Palatino Linotype" w:cs="Palatino Linotype"/>
          <w:b/>
          <w:color w:val="000000"/>
          <w:sz w:val="24"/>
          <w:szCs w:val="24"/>
        </w:rPr>
        <w:t>CUARTO. Estudio y resolución del asunto.</w:t>
      </w:r>
    </w:p>
    <w:p w14:paraId="213413B5" w14:textId="77777777" w:rsidR="00566919" w:rsidRDefault="00566919"/>
    <w:p w14:paraId="65E4C372" w14:textId="77777777" w:rsidR="00566919" w:rsidRDefault="00072F7A">
      <w:pPr>
        <w:pStyle w:val="Ttulo3"/>
        <w:spacing w:before="0" w:after="0" w:line="360" w:lineRule="auto"/>
        <w:rPr>
          <w:rFonts w:ascii="Palatino Linotype" w:eastAsia="Palatino Linotype" w:hAnsi="Palatino Linotype" w:cs="Palatino Linotype"/>
          <w:color w:val="000000"/>
          <w:sz w:val="24"/>
          <w:szCs w:val="24"/>
        </w:rPr>
      </w:pPr>
      <w:bookmarkStart w:id="10" w:name="_heading=h.17dp8vu" w:colFirst="0" w:colLast="0"/>
      <w:bookmarkEnd w:id="10"/>
      <w:r>
        <w:rPr>
          <w:rFonts w:ascii="Palatino Linotype" w:eastAsia="Palatino Linotype" w:hAnsi="Palatino Linotype" w:cs="Palatino Linotype"/>
          <w:color w:val="000000"/>
          <w:sz w:val="24"/>
          <w:szCs w:val="24"/>
        </w:rPr>
        <w:t>I. De la atención a la solicitud de información.</w:t>
      </w:r>
    </w:p>
    <w:p w14:paraId="142ACB34"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48C234C0" w14:textId="77777777" w:rsidR="00566919" w:rsidRDefault="00072F7A">
      <w:pPr>
        <w:numPr>
          <w:ilvl w:val="0"/>
          <w:numId w:val="6"/>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Ley de Transparencia y Acceso a la Información Pública del Estado de México y Municipios, en su artículo 150, establece que </w:t>
      </w:r>
      <w:r>
        <w:rPr>
          <w:rFonts w:ascii="Palatino Linotype" w:eastAsia="Palatino Linotype" w:hAnsi="Palatino Linotype" w:cs="Palatino Linotype"/>
          <w:b/>
          <w:color w:val="000000"/>
        </w:rPr>
        <w:t>el procedimiento de acceso a la información es la garantía primaria del derecho en cuestión y se rige por los principios de</w:t>
      </w:r>
      <w:r>
        <w:rPr>
          <w:rFonts w:ascii="Palatino Linotype" w:eastAsia="Palatino Linotype" w:hAnsi="Palatino Linotype" w:cs="Palatino Linotype"/>
          <w:color w:val="000000"/>
        </w:rPr>
        <w:t xml:space="preserve"> simplicidad, rapidez gratuidad del procedimiento, </w:t>
      </w:r>
      <w:r>
        <w:rPr>
          <w:rFonts w:ascii="Palatino Linotype" w:eastAsia="Palatino Linotype" w:hAnsi="Palatino Linotype" w:cs="Palatino Linotype"/>
          <w:b/>
          <w:color w:val="000000"/>
        </w:rPr>
        <w:t>auxilio y orientación a los particulares</w:t>
      </w:r>
      <w:r>
        <w:rPr>
          <w:rFonts w:ascii="Palatino Linotype" w:eastAsia="Palatino Linotype" w:hAnsi="Palatino Linotype" w:cs="Palatino Linotype"/>
          <w:color w:val="000000"/>
        </w:rPr>
        <w:t>, así como atención adecuada a las personas con discapacidad y a los hablantes de lengua indígena con el objeto de otorgar la protección más amplia del derecho de las personas.</w:t>
      </w:r>
    </w:p>
    <w:p w14:paraId="5D6E7FB1"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3259040" w14:textId="77777777" w:rsidR="00566919" w:rsidRDefault="00072F7A">
      <w:pPr>
        <w:numPr>
          <w:ilvl w:val="0"/>
          <w:numId w:val="6"/>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Para atender las solicitudes de información, los Sujetos Obligados contarán con un área denominada </w:t>
      </w:r>
      <w:r>
        <w:rPr>
          <w:rFonts w:ascii="Palatino Linotype" w:eastAsia="Palatino Linotype" w:hAnsi="Palatino Linotype" w:cs="Palatino Linotype"/>
          <w:b/>
          <w:color w:val="000000"/>
        </w:rPr>
        <w:t>Unidad de Transparencia</w:t>
      </w:r>
      <w:r>
        <w:rPr>
          <w:rFonts w:ascii="Palatino Linotype" w:eastAsia="Palatino Linotype" w:hAnsi="Palatino Linotype" w:cs="Palatino Linotype"/>
          <w:color w:val="000000"/>
          <w:vertAlign w:val="superscript"/>
        </w:rPr>
        <w:footnoteReference w:id="6"/>
      </w:r>
      <w:r>
        <w:rPr>
          <w:rFonts w:ascii="Palatino Linotype" w:eastAsia="Palatino Linotype" w:hAnsi="Palatino Linotype" w:cs="Palatino Linotype"/>
          <w:color w:val="000000"/>
        </w:rPr>
        <w:t xml:space="preserve">, la cual será presidida por un Titular, quien fungirá como enlace entre éstos y los solicitantes. Dicha Unidad </w:t>
      </w:r>
      <w:r>
        <w:rPr>
          <w:rFonts w:ascii="Palatino Linotype" w:eastAsia="Palatino Linotype" w:hAnsi="Palatino Linotype" w:cs="Palatino Linotype"/>
          <w:b/>
          <w:color w:val="000000"/>
        </w:rPr>
        <w:t>será la encargada de tramitar internamente la solicitud de información</w:t>
      </w:r>
      <w:r>
        <w:rPr>
          <w:rFonts w:ascii="Palatino Linotype" w:eastAsia="Palatino Linotype" w:hAnsi="Palatino Linotype" w:cs="Palatino Linotype"/>
          <w:color w:val="000000"/>
        </w:rPr>
        <w:t xml:space="preserve"> y tendrá la alta responsabilidad de verificar, en cada caso, que la misma no sea confidencial o reservada. Asimismo, contará con las facultades internas necesarias para </w:t>
      </w:r>
      <w:r>
        <w:rPr>
          <w:rFonts w:ascii="Palatino Linotype" w:eastAsia="Palatino Linotype" w:hAnsi="Palatino Linotype" w:cs="Palatino Linotype"/>
          <w:b/>
          <w:color w:val="000000"/>
        </w:rPr>
        <w:t xml:space="preserve">gestionar </w:t>
      </w:r>
      <w:r>
        <w:rPr>
          <w:rFonts w:ascii="Palatino Linotype" w:eastAsia="Palatino Linotype" w:hAnsi="Palatino Linotype" w:cs="Palatino Linotype"/>
          <w:b/>
          <w:color w:val="000000"/>
        </w:rPr>
        <w:lastRenderedPageBreak/>
        <w:t xml:space="preserve">la atención a las solicitudes de información </w:t>
      </w:r>
      <w:r>
        <w:rPr>
          <w:rFonts w:ascii="Palatino Linotype" w:eastAsia="Palatino Linotype" w:hAnsi="Palatino Linotype" w:cs="Palatino Linotype"/>
          <w:color w:val="000000"/>
        </w:rPr>
        <w:t>en los términos de la Ley General y la Ley de Transparencia y Acceso a la Información Pública del Estado de México y Municipios</w:t>
      </w:r>
      <w:r>
        <w:rPr>
          <w:rFonts w:ascii="Palatino Linotype" w:eastAsia="Palatino Linotype" w:hAnsi="Palatino Linotype" w:cs="Palatino Linotype"/>
          <w:color w:val="000000"/>
          <w:vertAlign w:val="superscript"/>
        </w:rPr>
        <w:footnoteReference w:id="7"/>
      </w:r>
      <w:r>
        <w:rPr>
          <w:rFonts w:ascii="Palatino Linotype" w:eastAsia="Palatino Linotype" w:hAnsi="Palatino Linotype" w:cs="Palatino Linotype"/>
          <w:color w:val="000000"/>
        </w:rPr>
        <w:t>.</w:t>
      </w:r>
    </w:p>
    <w:p w14:paraId="031BD71F"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5E187B14" w14:textId="77777777" w:rsidR="00566919" w:rsidRDefault="00072F7A">
      <w:pPr>
        <w:numPr>
          <w:ilvl w:val="0"/>
          <w:numId w:val="6"/>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conformidad con lo dispuesto por el artículo 53 de la Ley de Transparencia y Acceso a la Información Pública del Estado de México y Municipios, las Unidades de Transparencia tendrán, entre sus atribuciones, las siguientes:</w:t>
      </w:r>
    </w:p>
    <w:p w14:paraId="6C369EA8" w14:textId="77777777" w:rsidR="00566919" w:rsidRDefault="00072F7A">
      <w:pPr>
        <w:numPr>
          <w:ilvl w:val="1"/>
          <w:numId w:val="5"/>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Recibir, tramitar y dar respuesta a las solicitudes de acceso a la información;</w:t>
      </w:r>
    </w:p>
    <w:p w14:paraId="0671958F" w14:textId="77777777" w:rsidR="00566919" w:rsidRDefault="00072F7A">
      <w:pPr>
        <w:numPr>
          <w:ilvl w:val="1"/>
          <w:numId w:val="5"/>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Realizar, con efectividad, los trámites internos necesarios para la atención de las solicitudes de acceso a la información; </w:t>
      </w:r>
    </w:p>
    <w:p w14:paraId="4E835276" w14:textId="77777777" w:rsidR="00566919" w:rsidRDefault="00072F7A">
      <w:pPr>
        <w:numPr>
          <w:ilvl w:val="1"/>
          <w:numId w:val="5"/>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Entregar, en su caso, a los particulares la información solicitada; y </w:t>
      </w:r>
    </w:p>
    <w:p w14:paraId="1EFF4599" w14:textId="77777777" w:rsidR="00566919" w:rsidRDefault="00072F7A">
      <w:pPr>
        <w:numPr>
          <w:ilvl w:val="1"/>
          <w:numId w:val="5"/>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Efectuar las notificaciones a los solicitantes.</w:t>
      </w:r>
    </w:p>
    <w:p w14:paraId="421DB20F"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0844BB20" w14:textId="77777777" w:rsidR="00566919" w:rsidRDefault="00072F7A">
      <w:pPr>
        <w:numPr>
          <w:ilvl w:val="0"/>
          <w:numId w:val="6"/>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Otros sujetos del proceso de atención a las solicitudes de información son los </w:t>
      </w:r>
      <w:r>
        <w:rPr>
          <w:rFonts w:ascii="Palatino Linotype" w:eastAsia="Palatino Linotype" w:hAnsi="Palatino Linotype" w:cs="Palatino Linotype"/>
          <w:b/>
          <w:color w:val="000000"/>
        </w:rPr>
        <w:t>servidores públicos habilitados</w:t>
      </w:r>
      <w:r>
        <w:rPr>
          <w:rFonts w:ascii="Palatino Linotype" w:eastAsia="Palatino Linotype" w:hAnsi="Palatino Linotype" w:cs="Palatino Linotype"/>
          <w:color w:val="000000"/>
        </w:rPr>
        <w:t xml:space="preserve">, quienes serán designados por el titular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a propuesta del responsable de la Unidad de Transparencia</w:t>
      </w:r>
      <w:r>
        <w:rPr>
          <w:rFonts w:ascii="Palatino Linotype" w:eastAsia="Palatino Linotype" w:hAnsi="Palatino Linotype" w:cs="Palatino Linotype"/>
          <w:color w:val="000000"/>
          <w:vertAlign w:val="superscript"/>
        </w:rPr>
        <w:footnoteReference w:id="8"/>
      </w:r>
      <w:r>
        <w:rPr>
          <w:rFonts w:ascii="Palatino Linotype" w:eastAsia="Palatino Linotype" w:hAnsi="Palatino Linotype" w:cs="Palatino Linotype"/>
          <w:color w:val="000000"/>
        </w:rPr>
        <w:t xml:space="preserve"> y tendrán, entre sus atribuciones, las siguientes</w:t>
      </w:r>
      <w:r>
        <w:rPr>
          <w:rFonts w:ascii="Palatino Linotype" w:eastAsia="Palatino Linotype" w:hAnsi="Palatino Linotype" w:cs="Palatino Linotype"/>
          <w:color w:val="000000"/>
          <w:vertAlign w:val="superscript"/>
        </w:rPr>
        <w:footnoteReference w:id="9"/>
      </w:r>
      <w:r>
        <w:rPr>
          <w:rFonts w:ascii="Palatino Linotype" w:eastAsia="Palatino Linotype" w:hAnsi="Palatino Linotype" w:cs="Palatino Linotype"/>
          <w:color w:val="000000"/>
        </w:rPr>
        <w:t>:</w:t>
      </w:r>
    </w:p>
    <w:p w14:paraId="4FCB6DA7" w14:textId="77777777" w:rsidR="00566919" w:rsidRDefault="00072F7A">
      <w:pPr>
        <w:numPr>
          <w:ilvl w:val="1"/>
          <w:numId w:val="4"/>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Localizar la información que le solicite la Unidad de Transparencia; y</w:t>
      </w:r>
    </w:p>
    <w:p w14:paraId="4A3A6DE5" w14:textId="77777777" w:rsidR="00566919" w:rsidRDefault="00072F7A">
      <w:pPr>
        <w:numPr>
          <w:ilvl w:val="1"/>
          <w:numId w:val="4"/>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Proporcionar la información que obre en los archivos y que le sea solicitada por la Unidad de Transparencia.</w:t>
      </w:r>
    </w:p>
    <w:p w14:paraId="3E96B5F2"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36CED0E4" w14:textId="77777777" w:rsidR="00566919" w:rsidRDefault="00072F7A">
      <w:pPr>
        <w:numPr>
          <w:ilvl w:val="0"/>
          <w:numId w:val="6"/>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De tal manera que cada una de las áreas administrativas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37309BB6"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5ED269A2" w14:textId="77777777" w:rsidR="00566919" w:rsidRDefault="00072F7A">
      <w:pPr>
        <w:numPr>
          <w:ilvl w:val="0"/>
          <w:numId w:val="6"/>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Una expuesto lo anterior, de la lectura a la solicitud de información </w:t>
      </w:r>
      <w:r>
        <w:rPr>
          <w:rFonts w:ascii="Palatino Linotype" w:eastAsia="Palatino Linotype" w:hAnsi="Palatino Linotype" w:cs="Palatino Linotype"/>
          <w:b/>
          <w:color w:val="000000"/>
        </w:rPr>
        <w:t>00722/ZINACANT/IP/2023</w:t>
      </w:r>
      <w:r>
        <w:rPr>
          <w:rFonts w:ascii="Palatino Linotype" w:eastAsia="Palatino Linotype" w:hAnsi="Palatino Linotype" w:cs="Palatino Linotype"/>
          <w:color w:val="000000"/>
        </w:rPr>
        <w:t xml:space="preserve"> y, como fuera señalado en el </w:t>
      </w:r>
      <w:r>
        <w:rPr>
          <w:rFonts w:ascii="Palatino Linotype" w:eastAsia="Palatino Linotype" w:hAnsi="Palatino Linotype" w:cs="Palatino Linotype"/>
          <w:i/>
          <w:color w:val="000000"/>
        </w:rPr>
        <w:t>Planteamiento de la Litis</w:t>
      </w:r>
      <w:r>
        <w:rPr>
          <w:rFonts w:ascii="Palatino Linotype" w:eastAsia="Palatino Linotype" w:hAnsi="Palatino Linotype" w:cs="Palatino Linotype"/>
          <w:color w:val="000000"/>
        </w:rPr>
        <w:t xml:space="preserve"> de esta resolución, se advierte que la entonces </w:t>
      </w:r>
      <w:r>
        <w:rPr>
          <w:rFonts w:ascii="Palatino Linotype" w:eastAsia="Palatino Linotype" w:hAnsi="Palatino Linotype" w:cs="Palatino Linotype"/>
          <w:b/>
          <w:color w:val="000000"/>
        </w:rPr>
        <w:t>SOLICITANTE</w:t>
      </w:r>
      <w:r>
        <w:rPr>
          <w:rFonts w:ascii="Palatino Linotype" w:eastAsia="Palatino Linotype" w:hAnsi="Palatino Linotype" w:cs="Palatino Linotype"/>
          <w:color w:val="000000"/>
        </w:rPr>
        <w:t xml:space="preserve"> requirió acceder a la siguiente información: </w:t>
      </w:r>
    </w:p>
    <w:p w14:paraId="492B67DC" w14:textId="77777777" w:rsidR="00566919" w:rsidRDefault="00072F7A">
      <w:pPr>
        <w:numPr>
          <w:ilvl w:val="1"/>
          <w:numId w:val="6"/>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Todas las observaciones, emitidas por el Órgano Superior de Fiscalización, que tuvo el Presidente Municipal </w:t>
      </w:r>
      <w:r>
        <w:rPr>
          <w:rFonts w:ascii="Palatino Linotype" w:eastAsia="Palatino Linotype" w:hAnsi="Palatino Linotype" w:cs="Palatino Linotype"/>
          <w:i/>
          <w:color w:val="000000"/>
        </w:rPr>
        <w:t>Manuel Vilchis Viveros</w:t>
      </w:r>
      <w:r>
        <w:rPr>
          <w:rFonts w:ascii="Palatino Linotype" w:eastAsia="Palatino Linotype" w:hAnsi="Palatino Linotype" w:cs="Palatino Linotype"/>
          <w:color w:val="000000"/>
        </w:rPr>
        <w:t xml:space="preserve"> durante el dos mil veintidós.</w:t>
      </w:r>
    </w:p>
    <w:p w14:paraId="213C2E01"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1CBD8FFE" w14:textId="77777777" w:rsidR="00566919" w:rsidRDefault="00072F7A">
      <w:pPr>
        <w:numPr>
          <w:ilvl w:val="0"/>
          <w:numId w:val="6"/>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respuesta a la solicitud de información,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entregó la copia digitalizada del oficio número ZIN/TM/1310/2023, de quince (15) de agosto de dos mil veintitrés, emitido por el Tesorero Municipal, dirigido a la Titular de la Unidad de Transparencia, mediante el cual, vertió las siguientes manifestaciones:</w:t>
      </w:r>
    </w:p>
    <w:p w14:paraId="2F49BC85"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3AD20B77" w14:textId="77777777" w:rsidR="00566919" w:rsidRDefault="00072F7A">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i/>
          <w:color w:val="000000"/>
          <w:sz w:val="22"/>
          <w:szCs w:val="22"/>
        </w:rPr>
        <w:t>“Al respecto le informo que dentro de los archivos que obran bajo mi resguardo no existe documentación por concepto de lo solicitado, esto con fundamento en el artículo 12 segundo párrafo, 24 último párrafo de la Ley de Transparencia y Acceso a la información pública del Estado de México y Municpios.”</w:t>
      </w:r>
      <w:r>
        <w:rPr>
          <w:rFonts w:ascii="Palatino Linotype" w:eastAsia="Palatino Linotype" w:hAnsi="Palatino Linotype" w:cs="Palatino Linotype"/>
          <w:color w:val="000000"/>
          <w:sz w:val="22"/>
          <w:szCs w:val="22"/>
        </w:rPr>
        <w:t xml:space="preserve"> (Sic.)</w:t>
      </w:r>
    </w:p>
    <w:p w14:paraId="270EA335"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797ECF6" w14:textId="77777777" w:rsidR="00566919" w:rsidRDefault="00072F7A">
      <w:pPr>
        <w:numPr>
          <w:ilvl w:val="0"/>
          <w:numId w:val="6"/>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De tal manera que el Tesorero Municipal manifestó que, dentro de los archivos resguardados en el área administrativa a su cargo, no se encontró documentación relacionada con lo solicitado.</w:t>
      </w:r>
    </w:p>
    <w:p w14:paraId="1A6A88DD"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0411448E" w14:textId="77777777" w:rsidR="00566919" w:rsidRDefault="00072F7A">
      <w:pPr>
        <w:numPr>
          <w:ilvl w:val="0"/>
          <w:numId w:val="6"/>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su parte, la particular impugnó la respuesta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mediante el recurso de revisión </w:t>
      </w:r>
      <w:r>
        <w:rPr>
          <w:rFonts w:ascii="Palatino Linotype" w:eastAsia="Palatino Linotype" w:hAnsi="Palatino Linotype" w:cs="Palatino Linotype"/>
          <w:b/>
          <w:color w:val="000000"/>
        </w:rPr>
        <w:t>05658/INFOEM/IP/RR/2023</w:t>
      </w:r>
      <w:r>
        <w:rPr>
          <w:rFonts w:ascii="Palatino Linotype" w:eastAsia="Palatino Linotype" w:hAnsi="Palatino Linotype" w:cs="Palatino Linotype"/>
          <w:color w:val="000000"/>
        </w:rPr>
        <w:t>, en el que señaló por agravios, la negativa de la información.</w:t>
      </w:r>
    </w:p>
    <w:p w14:paraId="257FACE4"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2E186E3C" w14:textId="77777777" w:rsidR="00566919" w:rsidRDefault="00072F7A">
      <w:pPr>
        <w:pStyle w:val="Ttulo3"/>
        <w:spacing w:before="0" w:after="0" w:line="360" w:lineRule="auto"/>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II. Del derecho de acceso a la información.</w:t>
      </w:r>
    </w:p>
    <w:p w14:paraId="7A49D19B"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CFB1107" w14:textId="77777777" w:rsidR="00566919" w:rsidRDefault="00072F7A">
      <w:pPr>
        <w:numPr>
          <w:ilvl w:val="0"/>
          <w:numId w:val="6"/>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Previo </w:t>
      </w:r>
      <w:r>
        <w:rPr>
          <w:rFonts w:ascii="Palatino Linotype" w:eastAsia="Palatino Linotype" w:hAnsi="Palatino Linotype" w:cs="Palatino Linotype"/>
        </w:rPr>
        <w:t xml:space="preserve">a iniciar el análisis de la información solicitada, se considera </w:t>
      </w:r>
      <w:r>
        <w:rPr>
          <w:rFonts w:ascii="Palatino Linotype" w:eastAsia="Palatino Linotype" w:hAnsi="Palatino Linotype" w:cs="Palatino Linotype"/>
          <w:color w:val="000000"/>
        </w:rPr>
        <w:t>esencial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(19) de octubre de dos mil once, cuyo rubro y texto dispone:</w:t>
      </w:r>
    </w:p>
    <w:p w14:paraId="46C94522"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326E127A" w14:textId="77777777" w:rsidR="00566919" w:rsidRDefault="00072F7A">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TEMÁTICA DE LOS ARTÍCULOS 2, FRACCIÓN V, XV, Y XVI, 3, 4,11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3C7A617" w14:textId="77777777" w:rsidR="00566919" w:rsidRDefault="00072F7A">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w:t>
      </w:r>
      <w:proofErr w:type="gramStart"/>
      <w:r>
        <w:rPr>
          <w:rFonts w:ascii="Palatino Linotype" w:eastAsia="Palatino Linotype" w:hAnsi="Palatino Linotype" w:cs="Palatino Linotype"/>
          <w:i/>
          <w:sz w:val="22"/>
          <w:szCs w:val="22"/>
        </w:rPr>
        <w:t>consecuencia</w:t>
      </w:r>
      <w:proofErr w:type="gramEnd"/>
      <w:r>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5D3B9D0A" w14:textId="77777777" w:rsidR="00566919" w:rsidRDefault="00072F7A">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Que se trate de información registrada en cualquier soporte documental, </w:t>
      </w:r>
      <w:proofErr w:type="gramStart"/>
      <w:r>
        <w:rPr>
          <w:rFonts w:ascii="Palatino Linotype" w:eastAsia="Palatino Linotype" w:hAnsi="Palatino Linotype" w:cs="Palatino Linotype"/>
          <w:i/>
          <w:sz w:val="22"/>
          <w:szCs w:val="22"/>
        </w:rPr>
        <w:t>que</w:t>
      </w:r>
      <w:proofErr w:type="gramEnd"/>
      <w:r>
        <w:rPr>
          <w:rFonts w:ascii="Palatino Linotype" w:eastAsia="Palatino Linotype" w:hAnsi="Palatino Linotype" w:cs="Palatino Linotype"/>
          <w:i/>
          <w:sz w:val="22"/>
          <w:szCs w:val="22"/>
        </w:rPr>
        <w:t xml:space="preserve"> en ejercicio de las atribuciones conferidas, sea generada por los Sujetos Obligados;</w:t>
      </w:r>
    </w:p>
    <w:p w14:paraId="53047CEC" w14:textId="77777777" w:rsidR="00566919" w:rsidRDefault="00072F7A">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Que se trate de información registrada en cualquier soporte documental, </w:t>
      </w:r>
      <w:proofErr w:type="gramStart"/>
      <w:r>
        <w:rPr>
          <w:rFonts w:ascii="Palatino Linotype" w:eastAsia="Palatino Linotype" w:hAnsi="Palatino Linotype" w:cs="Palatino Linotype"/>
          <w:i/>
          <w:sz w:val="22"/>
          <w:szCs w:val="22"/>
        </w:rPr>
        <w:t>que</w:t>
      </w:r>
      <w:proofErr w:type="gramEnd"/>
      <w:r>
        <w:rPr>
          <w:rFonts w:ascii="Palatino Linotype" w:eastAsia="Palatino Linotype" w:hAnsi="Palatino Linotype" w:cs="Palatino Linotype"/>
          <w:i/>
          <w:sz w:val="22"/>
          <w:szCs w:val="22"/>
        </w:rPr>
        <w:t xml:space="preserve"> en ejercicio de las atribuciones conferidas, sea administrada por los Sujetos Obligados, y</w:t>
      </w:r>
    </w:p>
    <w:p w14:paraId="6E393FF9" w14:textId="77777777" w:rsidR="00566919" w:rsidRDefault="00072F7A">
      <w:pPr>
        <w:spacing w:line="276"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i/>
          <w:sz w:val="22"/>
          <w:szCs w:val="22"/>
        </w:rPr>
        <w:t xml:space="preserve">Que se trate de información registrada en cualquier soporte documental, </w:t>
      </w:r>
      <w:proofErr w:type="gramStart"/>
      <w:r>
        <w:rPr>
          <w:rFonts w:ascii="Palatino Linotype" w:eastAsia="Palatino Linotype" w:hAnsi="Palatino Linotype" w:cs="Palatino Linotype"/>
          <w:i/>
          <w:sz w:val="22"/>
          <w:szCs w:val="22"/>
        </w:rPr>
        <w:t>que</w:t>
      </w:r>
      <w:proofErr w:type="gramEnd"/>
      <w:r>
        <w:rPr>
          <w:rFonts w:ascii="Palatino Linotype" w:eastAsia="Palatino Linotype" w:hAnsi="Palatino Linotype" w:cs="Palatino Linotype"/>
          <w:i/>
          <w:sz w:val="22"/>
          <w:szCs w:val="22"/>
        </w:rPr>
        <w:t xml:space="preserve"> en ejercicio de las atribuciones conferidas, se encuentre en posesión de los Sujetos Obligados.”</w:t>
      </w:r>
    </w:p>
    <w:p w14:paraId="25583649"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4427478A" w14:textId="77777777" w:rsidR="00566919" w:rsidRDefault="00072F7A">
      <w:pPr>
        <w:numPr>
          <w:ilvl w:val="0"/>
          <w:numId w:val="6"/>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derecho de acceso a la información encuentra su materia elemental en los documentos, y la Ley de Transparencia local nos brinda el siguiente concepto</w:t>
      </w:r>
      <w:r>
        <w:rPr>
          <w:rFonts w:ascii="Palatino Linotype" w:eastAsia="Palatino Linotype" w:hAnsi="Palatino Linotype" w:cs="Palatino Linotype"/>
          <w:color w:val="000000"/>
          <w:vertAlign w:val="superscript"/>
        </w:rPr>
        <w:footnoteReference w:id="10"/>
      </w:r>
      <w:r>
        <w:rPr>
          <w:rFonts w:ascii="Palatino Linotype" w:eastAsia="Palatino Linotype" w:hAnsi="Palatino Linotype" w:cs="Palatino Linotype"/>
          <w:color w:val="000000"/>
        </w:rPr>
        <w:t>, para darnos un mejor panorama:</w:t>
      </w:r>
    </w:p>
    <w:p w14:paraId="31F05BBD"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CFC3CFF" w14:textId="77777777" w:rsidR="00566919" w:rsidRDefault="00072F7A">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“XI. Documento: </w:t>
      </w:r>
      <w:r>
        <w:rPr>
          <w:rFonts w:ascii="Palatino Linotype" w:eastAsia="Palatino Linotype" w:hAnsi="Palatino Linotype" w:cs="Palatino Linotype"/>
          <w:i/>
          <w:sz w:val="22"/>
          <w:szCs w:val="22"/>
        </w:rPr>
        <w:t xml:space="preserve">Los expedientes, </w:t>
      </w:r>
      <w:r>
        <w:rPr>
          <w:rFonts w:ascii="Palatino Linotype" w:eastAsia="Palatino Linotype" w:hAnsi="Palatino Linotype" w:cs="Palatino Linotype"/>
          <w:b/>
          <w:i/>
          <w:sz w:val="22"/>
          <w:szCs w:val="22"/>
          <w:u w:val="single"/>
        </w:rPr>
        <w:t>reportes</w:t>
      </w:r>
      <w:r>
        <w:rPr>
          <w:rFonts w:ascii="Palatino Linotype" w:eastAsia="Palatino Linotype" w:hAnsi="Palatino Linotype" w:cs="Palatino Linotype"/>
          <w:i/>
          <w:sz w:val="22"/>
          <w:szCs w:val="22"/>
        </w:rPr>
        <w:t xml:space="preserve">, estudios, actas, resoluciones, oficios, correspondencia, acuerdos, directivas, directrices, circulares, contratos, convenios, instructivos, notas, memorandos, estadísticas o bien, </w:t>
      </w:r>
      <w:r>
        <w:rPr>
          <w:rFonts w:ascii="Palatino Linotype" w:eastAsia="Palatino Linotype" w:hAnsi="Palatino Linotype" w:cs="Palatino Linotype"/>
          <w:b/>
          <w:i/>
          <w:sz w:val="22"/>
          <w:szCs w:val="22"/>
        </w:rPr>
        <w:t>cualquier</w:t>
      </w:r>
      <w:r>
        <w:rPr>
          <w:rFonts w:ascii="Palatino Linotype" w:eastAsia="Palatino Linotype" w:hAnsi="Palatino Linotype" w:cs="Palatino Linotype"/>
          <w:i/>
          <w:sz w:val="22"/>
          <w:szCs w:val="22"/>
        </w:rPr>
        <w:t xml:space="preserve"> otro </w:t>
      </w:r>
      <w:r>
        <w:rPr>
          <w:rFonts w:ascii="Palatino Linotype" w:eastAsia="Palatino Linotype" w:hAnsi="Palatino Linotype" w:cs="Palatino Linotype"/>
          <w:b/>
          <w:i/>
          <w:sz w:val="22"/>
          <w:szCs w:val="22"/>
        </w:rPr>
        <w:t>registro que documente el ejercicio de las facultades, funciones y competencias de los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sujetos obligados</w:t>
      </w:r>
      <w:r>
        <w:rPr>
          <w:rFonts w:ascii="Palatino Linotype" w:eastAsia="Palatino Linotype" w:hAnsi="Palatino Linotype" w:cs="Palatino Linotype"/>
          <w:i/>
          <w:sz w:val="22"/>
          <w:szCs w:val="22"/>
        </w:rPr>
        <w:t xml:space="preserve">, sus servidores públicos e integrantes, sin importar su fuente o fecha de elaboración. Los documentos podrán estar en cualquier medio, sea escrito, </w:t>
      </w:r>
      <w:proofErr w:type="gramStart"/>
      <w:r>
        <w:rPr>
          <w:rFonts w:ascii="Palatino Linotype" w:eastAsia="Palatino Linotype" w:hAnsi="Palatino Linotype" w:cs="Palatino Linotype"/>
          <w:i/>
          <w:sz w:val="22"/>
          <w:szCs w:val="22"/>
        </w:rPr>
        <w:t>impreso,  sonoro</w:t>
      </w:r>
      <w:proofErr w:type="gramEnd"/>
      <w:r>
        <w:rPr>
          <w:rFonts w:ascii="Palatino Linotype" w:eastAsia="Palatino Linotype" w:hAnsi="Palatino Linotype" w:cs="Palatino Linotype"/>
          <w:i/>
          <w:sz w:val="22"/>
          <w:szCs w:val="22"/>
        </w:rPr>
        <w:t>, visual, electrónico, informático u holográfico;”</w:t>
      </w:r>
    </w:p>
    <w:p w14:paraId="23BCEC96" w14:textId="77777777" w:rsidR="00566919" w:rsidRDefault="00072F7A">
      <w:pPr>
        <w:spacing w:line="276" w:lineRule="auto"/>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21CD0A30"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520CA928" w14:textId="77777777" w:rsidR="00566919" w:rsidRDefault="00072F7A">
      <w:pPr>
        <w:numPr>
          <w:ilvl w:val="0"/>
          <w:numId w:val="6"/>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Correlativo a lo anterior, debemos tomar en cuenta los artículos 4 y 12, de la Ley de Transparencia y Acceso a la Información Pública del Estado de México y Municipios, los cuales establecen lo siguiente:</w:t>
      </w:r>
    </w:p>
    <w:p w14:paraId="4AC23594"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178E44A3" w14:textId="77777777" w:rsidR="00566919" w:rsidRDefault="00072F7A">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4. </w:t>
      </w:r>
      <w:r>
        <w:rPr>
          <w:rFonts w:ascii="Palatino Linotype" w:eastAsia="Palatino Linotype" w:hAnsi="Palatino Linotype" w:cs="Palatino Linotype"/>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14:paraId="47EBDAD6" w14:textId="77777777" w:rsidR="00566919" w:rsidRDefault="00072F7A">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w:t>
      </w:r>
      <w:r>
        <w:rPr>
          <w:rFonts w:ascii="Palatino Linotype" w:eastAsia="Palatino Linotype" w:hAnsi="Palatino Linotype" w:cs="Palatino Linotype"/>
          <w:b/>
          <w:i/>
          <w:sz w:val="22"/>
          <w:szCs w:val="22"/>
        </w:rPr>
        <w:lastRenderedPageBreak/>
        <w:t>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E37115E" w14:textId="77777777" w:rsidR="00566919" w:rsidRDefault="00072F7A">
      <w:pPr>
        <w:spacing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
    <w:p w14:paraId="61A223E1" w14:textId="77777777" w:rsidR="00566919" w:rsidRDefault="00566919">
      <w:pPr>
        <w:spacing w:line="276" w:lineRule="auto"/>
        <w:ind w:right="567"/>
        <w:jc w:val="both"/>
        <w:rPr>
          <w:rFonts w:ascii="Palatino Linotype" w:eastAsia="Palatino Linotype" w:hAnsi="Palatino Linotype" w:cs="Palatino Linotype"/>
          <w:i/>
          <w:color w:val="000000"/>
          <w:sz w:val="28"/>
          <w:szCs w:val="28"/>
        </w:rPr>
      </w:pPr>
    </w:p>
    <w:p w14:paraId="24475BB0" w14:textId="77777777" w:rsidR="00566919" w:rsidRDefault="00072F7A">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 en los términos de las disposiciones jurídicas aplicables</w:t>
      </w:r>
      <w:r>
        <w:rPr>
          <w:rFonts w:ascii="Palatino Linotype" w:eastAsia="Palatino Linotype" w:hAnsi="Palatino Linotype" w:cs="Palatino Linotype"/>
          <w:i/>
          <w:sz w:val="22"/>
          <w:szCs w:val="22"/>
        </w:rPr>
        <w:t xml:space="preserve">. </w:t>
      </w:r>
    </w:p>
    <w:p w14:paraId="60952675" w14:textId="77777777" w:rsidR="00566919" w:rsidRDefault="00072F7A">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4F14732" w14:textId="77777777" w:rsidR="00566919" w:rsidRDefault="00072F7A">
      <w:pPr>
        <w:spacing w:line="276" w:lineRule="auto"/>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47452A32"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4370A29F" w14:textId="77777777" w:rsidR="00566919" w:rsidRDefault="00072F7A">
      <w:pPr>
        <w:numPr>
          <w:ilvl w:val="0"/>
          <w:numId w:val="6"/>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así como todos los actos de autoridad que realicen los Sujetos Obligados deben estar documentados y, bajo el más alto estándar de transparencia, deberán poner toda la información que se encuentre en su posesión, de manera permanente y actualizada, a disposición de los particulares que la soliciten.</w:t>
      </w:r>
    </w:p>
    <w:p w14:paraId="531B7B29"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050C615" w14:textId="77777777" w:rsidR="00566919" w:rsidRDefault="00072F7A">
      <w:pPr>
        <w:numPr>
          <w:ilvl w:val="0"/>
          <w:numId w:val="6"/>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otro lado, la Ley de Transparencia y Acceso a la Información Pública del Estado de México y Municipios, establece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w:t>
      </w:r>
      <w:r>
        <w:rPr>
          <w:rFonts w:ascii="Palatino Linotype" w:eastAsia="Palatino Linotype" w:hAnsi="Palatino Linotype" w:cs="Palatino Linotype"/>
          <w:color w:val="000000"/>
        </w:rPr>
        <w:lastRenderedPageBreak/>
        <w:t>legítima y estrictamente necesaria en una sociedad democrática, por lo que atenderá las necesidades del derecho de acceso a la información de toda persona</w:t>
      </w:r>
      <w:r>
        <w:rPr>
          <w:rFonts w:ascii="Palatino Linotype" w:eastAsia="Palatino Linotype" w:hAnsi="Palatino Linotype" w:cs="Palatino Linotype"/>
          <w:color w:val="000000"/>
          <w:vertAlign w:val="superscript"/>
        </w:rPr>
        <w:footnoteReference w:id="11"/>
      </w:r>
      <w:r>
        <w:rPr>
          <w:rFonts w:ascii="Palatino Linotype" w:eastAsia="Palatino Linotype" w:hAnsi="Palatino Linotype" w:cs="Palatino Linotype"/>
          <w:color w:val="000000"/>
        </w:rPr>
        <w:t>.</w:t>
      </w:r>
    </w:p>
    <w:p w14:paraId="15CC0CF1"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50192FF3" w14:textId="77777777" w:rsidR="00566919" w:rsidRDefault="00072F7A">
      <w:pPr>
        <w:numPr>
          <w:ilvl w:val="0"/>
          <w:numId w:val="6"/>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ese sentido,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Pr>
          <w:rFonts w:ascii="Palatino Linotype" w:eastAsia="Palatino Linotype" w:hAnsi="Palatino Linotype" w:cs="Palatino Linotype"/>
          <w:color w:val="000000"/>
          <w:vertAlign w:val="superscript"/>
        </w:rPr>
        <w:footnoteReference w:id="12"/>
      </w:r>
      <w:r>
        <w:rPr>
          <w:rFonts w:ascii="Palatino Linotype" w:eastAsia="Palatino Linotype" w:hAnsi="Palatino Linotype" w:cs="Palatino Linotype"/>
          <w:color w:val="000000"/>
        </w:rPr>
        <w:t xml:space="preserve"> y máxima publicidad; sobre éste último se debe poner mayor énfasis, puesto que establece que </w:t>
      </w:r>
      <w:r>
        <w:rPr>
          <w:rFonts w:ascii="Palatino Linotype" w:eastAsia="Palatino Linotype" w:hAnsi="Palatino Linotype" w:cs="Palatino Linotype"/>
          <w:b/>
          <w:color w:val="000000"/>
          <w:u w:val="single"/>
        </w:rPr>
        <w:t>toda la información en posesión de los Sujetos Obligados será</w:t>
      </w:r>
      <w:r>
        <w:rPr>
          <w:rFonts w:ascii="Palatino Linotype" w:eastAsia="Palatino Linotype" w:hAnsi="Palatino Linotype" w:cs="Palatino Linotype"/>
          <w:color w:val="000000"/>
        </w:rPr>
        <w:t xml:space="preserve"> pública, completa, </w:t>
      </w:r>
      <w:r>
        <w:rPr>
          <w:rFonts w:ascii="Palatino Linotype" w:eastAsia="Palatino Linotype" w:hAnsi="Palatino Linotype" w:cs="Palatino Linotype"/>
          <w:b/>
          <w:color w:val="000000"/>
          <w:u w:val="single"/>
        </w:rPr>
        <w:t>oportuna</w:t>
      </w:r>
      <w:r>
        <w:rPr>
          <w:rFonts w:ascii="Palatino Linotype" w:eastAsia="Palatino Linotype" w:hAnsi="Palatino Linotype" w:cs="Palatino Linotype"/>
          <w:color w:val="000000"/>
        </w:rPr>
        <w:t xml:space="preserve"> y </w:t>
      </w:r>
      <w:r>
        <w:rPr>
          <w:rFonts w:ascii="Palatino Linotype" w:eastAsia="Palatino Linotype" w:hAnsi="Palatino Linotype" w:cs="Palatino Linotype"/>
          <w:b/>
          <w:color w:val="000000"/>
          <w:u w:val="single"/>
        </w:rPr>
        <w:t>accesible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lo que permite que la ciudadanía tenga un amplio acceso sobre lo que es el actuar de las autoridades</w:t>
      </w:r>
      <w:r>
        <w:rPr>
          <w:rFonts w:ascii="Palatino Linotype" w:eastAsia="Palatino Linotype" w:hAnsi="Palatino Linotype" w:cs="Palatino Linotype"/>
          <w:color w:val="000000"/>
        </w:rPr>
        <w:t>.</w:t>
      </w:r>
    </w:p>
    <w:p w14:paraId="7151522B"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57CA341B" w14:textId="77777777" w:rsidR="00566919" w:rsidRDefault="00072F7A">
      <w:pPr>
        <w:numPr>
          <w:ilvl w:val="0"/>
          <w:numId w:val="6"/>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Robustece lo anterior la Tesis aislada identificada con la clave I.</w:t>
      </w:r>
      <w:proofErr w:type="gramStart"/>
      <w:r>
        <w:rPr>
          <w:rFonts w:ascii="Palatino Linotype" w:eastAsia="Palatino Linotype" w:hAnsi="Palatino Linotype" w:cs="Palatino Linotype"/>
          <w:color w:val="000000"/>
        </w:rPr>
        <w:t>4º.A.</w:t>
      </w:r>
      <w:proofErr w:type="gramEnd"/>
      <w:r>
        <w:rPr>
          <w:rFonts w:ascii="Palatino Linotype" w:eastAsia="Palatino Linotype" w:hAnsi="Palatino Linotype" w:cs="Palatino Linotype"/>
          <w:color w:val="000000"/>
        </w:rPr>
        <w:t>40 A del Cuarto Tribunal colegiado en Materia Administrativa del Primer Circuito, publicada en el Seminario Judicial de la Federación y su Gaceta en el libro XVIII, Marzo 2013, Página 1899:</w:t>
      </w:r>
    </w:p>
    <w:p w14:paraId="033DCCA6"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4E0B1CD" w14:textId="77777777" w:rsidR="00566919" w:rsidRDefault="00072F7A">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sz w:val="22"/>
          <w:szCs w:val="22"/>
        </w:rPr>
        <w:t>ACCESO A LA INFORMACIÓN. IMPLICACIÓN DEL PRINCIPIO DE MÁXIMA PUBLICIDAD EN EL DERECHO FUNDAMENTAL RELATIVO.</w:t>
      </w:r>
      <w:r>
        <w:rPr>
          <w:rFonts w:ascii="Palatino Linotype" w:eastAsia="Palatino Linotype" w:hAnsi="Palatino Linotype" w:cs="Palatino Linotype"/>
          <w:i/>
          <w:color w:val="000000"/>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w:t>
      </w:r>
      <w:r>
        <w:rPr>
          <w:rFonts w:ascii="Palatino Linotype" w:eastAsia="Palatino Linotype" w:hAnsi="Palatino Linotype" w:cs="Palatino Linotype"/>
          <w:i/>
          <w:color w:val="000000"/>
          <w:sz w:val="22"/>
          <w:szCs w:val="22"/>
        </w:rPr>
        <w:lastRenderedPageBreak/>
        <w:t>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6B11F9D6"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2BAA7AF5" w14:textId="77777777" w:rsidR="00566919" w:rsidRDefault="00072F7A">
      <w:pPr>
        <w:numPr>
          <w:ilvl w:val="0"/>
          <w:numId w:val="6"/>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Tal y como se ha señalado, </w:t>
      </w:r>
      <w:r>
        <w:rPr>
          <w:rFonts w:ascii="Palatino Linotype" w:eastAsia="Palatino Linotype" w:hAnsi="Palatino Linotype" w:cs="Palatino Linotype"/>
          <w:b/>
          <w:color w:val="000000"/>
        </w:rPr>
        <w:t>el derecho de acceso a la información se basa en permitir que la ciudadanía conozca de primera mano toda aquella información que se encuentra en posesión de los Sujetos Obligados</w:t>
      </w:r>
      <w:r>
        <w:rPr>
          <w:rFonts w:ascii="Palatino Linotype" w:eastAsia="Palatino Linotype" w:hAnsi="Palatino Linotype" w:cs="Palatino Linotype"/>
          <w:color w:val="000000"/>
        </w:rPr>
        <w:t xml:space="preserve">, ya sea porque la genera, posee o administra; </w:t>
      </w:r>
      <w:r>
        <w:rPr>
          <w:rFonts w:ascii="Palatino Linotype" w:eastAsia="Palatino Linotype" w:hAnsi="Palatino Linotype" w:cs="Palatino Linotype"/>
          <w:b/>
          <w:color w:val="000000"/>
        </w:rPr>
        <w:t>toda vez que</w:t>
      </w:r>
      <w:r>
        <w:rPr>
          <w:rFonts w:ascii="Palatino Linotype" w:eastAsia="Palatino Linotype" w:hAnsi="Palatino Linotype" w:cs="Palatino Linotype"/>
          <w:color w:val="000000"/>
        </w:rPr>
        <w:t xml:space="preserve">, a través de dicha acción, </w:t>
      </w:r>
      <w:r>
        <w:rPr>
          <w:rFonts w:ascii="Palatino Linotype" w:eastAsia="Palatino Linotype" w:hAnsi="Palatino Linotype" w:cs="Palatino Linotype"/>
          <w:b/>
          <w:color w:val="000000"/>
        </w:rPr>
        <w:t>permite que las personas ejerzan un medio de control sobre las acciones que se están ejerciendo y evaluar su desempeño</w:t>
      </w:r>
      <w:r>
        <w:rPr>
          <w:rFonts w:ascii="Palatino Linotype" w:eastAsia="Palatino Linotype" w:hAnsi="Palatino Linotype" w:cs="Palatino Linotype"/>
          <w:color w:val="000000"/>
        </w:rPr>
        <w:t>.</w:t>
      </w:r>
    </w:p>
    <w:p w14:paraId="463BD85A" w14:textId="77777777" w:rsidR="00566919" w:rsidRDefault="00072F7A">
      <w:pPr>
        <w:rPr>
          <w:rFonts w:ascii="Palatino Linotype" w:eastAsia="Palatino Linotype" w:hAnsi="Palatino Linotype" w:cs="Palatino Linotype"/>
          <w:color w:val="000000"/>
        </w:rPr>
      </w:pPr>
      <w:r>
        <w:br w:type="page"/>
      </w:r>
      <w:r>
        <w:rPr>
          <w:noProof/>
        </w:rPr>
        <mc:AlternateContent>
          <mc:Choice Requires="wpg">
            <w:drawing>
              <wp:anchor distT="0" distB="0" distL="114300" distR="114300" simplePos="0" relativeHeight="251658240" behindDoc="0" locked="0" layoutInCell="1" hidden="0" allowOverlap="1" wp14:anchorId="25E09175" wp14:editId="3338FCFD">
                <wp:simplePos x="0" y="0"/>
                <wp:positionH relativeFrom="column">
                  <wp:posOffset>101601</wp:posOffset>
                </wp:positionH>
                <wp:positionV relativeFrom="paragraph">
                  <wp:posOffset>50800</wp:posOffset>
                </wp:positionV>
                <wp:extent cx="5526396" cy="1759177"/>
                <wp:effectExtent l="0" t="0" r="0" b="0"/>
                <wp:wrapNone/>
                <wp:docPr id="17" name="Conector recto de flecha 17"/>
                <wp:cNvGraphicFramePr/>
                <a:graphic xmlns:a="http://schemas.openxmlformats.org/drawingml/2006/main">
                  <a:graphicData uri="http://schemas.microsoft.com/office/word/2010/wordprocessingShape">
                    <wps:wsp>
                      <wps:cNvCnPr/>
                      <wps:spPr>
                        <a:xfrm rot="10800000" flipH="1">
                          <a:off x="2589152" y="2906762"/>
                          <a:ext cx="5513696" cy="1746477"/>
                        </a:xfrm>
                        <a:prstGeom prst="straightConnector1">
                          <a:avLst/>
                        </a:prstGeom>
                        <a:noFill/>
                        <a:ln w="12700"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101601</wp:posOffset>
                </wp:positionH>
                <wp:positionV relativeFrom="paragraph">
                  <wp:posOffset>50800</wp:posOffset>
                </wp:positionV>
                <wp:extent cx="5526396" cy="1759177"/>
                <wp:effectExtent b="0" l="0" r="0" t="0"/>
                <wp:wrapNone/>
                <wp:docPr id="17"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5526396" cy="1759177"/>
                        </a:xfrm>
                        <a:prstGeom prst="rect"/>
                        <a:ln/>
                      </pic:spPr>
                    </pic:pic>
                  </a:graphicData>
                </a:graphic>
              </wp:anchor>
            </w:drawing>
          </mc:Fallback>
        </mc:AlternateContent>
      </w:r>
    </w:p>
    <w:p w14:paraId="00E7DC40" w14:textId="77777777" w:rsidR="00566919" w:rsidRDefault="00072F7A">
      <w:pPr>
        <w:pStyle w:val="Ttulo3"/>
        <w:spacing w:before="0"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III. De las observaciones que emite el Órgano Superior de Fiscalización del Estado de México.</w:t>
      </w:r>
    </w:p>
    <w:p w14:paraId="59F937C6"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48DD8D6F" w14:textId="77777777" w:rsidR="00566919" w:rsidRDefault="00072F7A">
      <w:pPr>
        <w:numPr>
          <w:ilvl w:val="0"/>
          <w:numId w:val="6"/>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w:t>
      </w:r>
      <w:r>
        <w:rPr>
          <w:rFonts w:ascii="Palatino Linotype" w:eastAsia="Palatino Linotype" w:hAnsi="Palatino Linotype" w:cs="Palatino Linotype"/>
        </w:rPr>
        <w:t>bien, el artículo 61 de la Constitución Política del Estado Libre y Soberano de México establece las facultades y obligaciones de la Legislatura, entre las que destacan las siguientes:</w:t>
      </w:r>
    </w:p>
    <w:p w14:paraId="7687ACD8"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4DFECC49" w14:textId="77777777" w:rsidR="00566919" w:rsidRDefault="00072F7A">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61.</w:t>
      </w:r>
      <w:r>
        <w:rPr>
          <w:rFonts w:ascii="Palatino Linotype" w:eastAsia="Palatino Linotype" w:hAnsi="Palatino Linotype" w:cs="Palatino Linotype"/>
          <w:i/>
          <w:color w:val="000000"/>
          <w:sz w:val="22"/>
          <w:szCs w:val="22"/>
        </w:rPr>
        <w:t xml:space="preserve"> Son facultades y obligaciones de la legislatura:</w:t>
      </w:r>
    </w:p>
    <w:p w14:paraId="42EFE310" w14:textId="77777777" w:rsidR="00566919" w:rsidRDefault="00072F7A">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07E6AECA" w14:textId="77777777" w:rsidR="00566919" w:rsidRDefault="00072F7A">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XXXII. </w:t>
      </w:r>
      <w:r>
        <w:rPr>
          <w:rFonts w:ascii="Palatino Linotype" w:eastAsia="Palatino Linotype" w:hAnsi="Palatino Linotype" w:cs="Palatino Linotype"/>
          <w:i/>
          <w:color w:val="000000"/>
          <w:sz w:val="22"/>
          <w:szCs w:val="22"/>
        </w:rPr>
        <w:t xml:space="preserve">Recibir, revisar, </w:t>
      </w:r>
      <w:r>
        <w:rPr>
          <w:rFonts w:ascii="Palatino Linotype" w:eastAsia="Palatino Linotype" w:hAnsi="Palatino Linotype" w:cs="Palatino Linotype"/>
          <w:b/>
          <w:i/>
          <w:color w:val="000000"/>
          <w:sz w:val="22"/>
          <w:szCs w:val="22"/>
        </w:rPr>
        <w:t>fiscalizar y calificar las cuentas públicas del Estado</w:t>
      </w:r>
      <w:r>
        <w:rPr>
          <w:rFonts w:ascii="Palatino Linotype" w:eastAsia="Palatino Linotype" w:hAnsi="Palatino Linotype" w:cs="Palatino Linotype"/>
          <w:i/>
          <w:color w:val="000000"/>
          <w:sz w:val="22"/>
          <w:szCs w:val="22"/>
        </w:rPr>
        <w:t xml:space="preserve"> y de los Municipios, del año anterior, mismas que incluirán, en su caso, la información correspondiente a los Poderes Públicos, organismos autónomos, organismos auxiliares, fideicomisos públicos o privados y demás entes públicos que manejen recursos del Estado y Municipios. Para tal efecto, contará con un Órgano Superior de Fiscalización, dotado de autonomía técnica y de gestión en el ejercicio de sus atribuciones y para decidir sobre su organización interna, funcionamiento y resoluciones, en los términos que disponga la legislación aplicable.</w:t>
      </w:r>
    </w:p>
    <w:p w14:paraId="37CC23EB" w14:textId="77777777" w:rsidR="00566919" w:rsidRDefault="00072F7A">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2D8AD27A" w14:textId="77777777" w:rsidR="00566919" w:rsidRDefault="00072F7A">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XXXIII.</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Revisar, por conducto del Órgano Superior de Fiscalización del Estado de México, las cuentas y actos relativos a la aplicación de los fondos públicos del Estado</w:t>
      </w:r>
      <w:r>
        <w:rPr>
          <w:rFonts w:ascii="Palatino Linotype" w:eastAsia="Palatino Linotype" w:hAnsi="Palatino Linotype" w:cs="Palatino Linotype"/>
          <w:i/>
          <w:color w:val="000000"/>
          <w:sz w:val="22"/>
          <w:szCs w:val="22"/>
        </w:rPr>
        <w:t xml:space="preserve"> y de los Municipios, así como fondos públicos federales en los términos convenidos con dicho ámbito que incluirán la información correspondiente a los Poderes Públicos, organismos autónomos, organismos auxiliares, fideicomisos públicos o privados y demás entes que manejen recursos del Estado y Municipios.</w:t>
      </w:r>
    </w:p>
    <w:p w14:paraId="41B95F92" w14:textId="77777777" w:rsidR="00566919" w:rsidRDefault="00072F7A">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7F94484A" w14:textId="77777777" w:rsidR="00566919" w:rsidRDefault="00072F7A">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XXXIV.</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Fiscalizar la administración de los ingresos y egresos del Estado</w:t>
      </w:r>
      <w:r>
        <w:rPr>
          <w:rFonts w:ascii="Palatino Linotype" w:eastAsia="Palatino Linotype" w:hAnsi="Palatino Linotype" w:cs="Palatino Linotype"/>
          <w:i/>
          <w:color w:val="000000"/>
          <w:sz w:val="22"/>
          <w:szCs w:val="22"/>
        </w:rPr>
        <w:t xml:space="preserve"> y de los Municipios, que incluyen a los Poderes Públicos, organismos autónomos, organismos auxiliares, fideicomisos públicos o privados y demás entes que manejen recursos del Estado y Municipios, a través del Órgano Superior de Fiscalización del Estado de México.</w:t>
      </w:r>
    </w:p>
    <w:p w14:paraId="76A6406E" w14:textId="77777777" w:rsidR="00566919" w:rsidRDefault="00072F7A">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6302BE69" w14:textId="77777777" w:rsidR="00566919" w:rsidRDefault="00072F7A">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lastRenderedPageBreak/>
        <w:t>XXXV.</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Determinar por conducto del Órgano Superior de Fiscalización del Estado de México, los daños y perjuicios que afecten a la hacienda pública del Estado</w:t>
      </w:r>
      <w:r>
        <w:rPr>
          <w:rFonts w:ascii="Palatino Linotype" w:eastAsia="Palatino Linotype" w:hAnsi="Palatino Linotype" w:cs="Palatino Linotype"/>
          <w:i/>
          <w:color w:val="000000"/>
          <w:sz w:val="22"/>
          <w:szCs w:val="22"/>
        </w:rPr>
        <w:t xml:space="preserve"> y de los Municipios, incluyendo a los Poderes Públicos, organismos autónomos, organismos auxiliares, fideicomisos públicos o privados y demás entes que manejen recursos del Estado y Municipios; asimismo, promover las responsabilidades que sean procedentes ante el Tribunal de Justicia Administrativa del Estado de México, la Fiscalía Especializada en Combate a la Corrupción y demás autoridades competentes, para el fincamiento de responsabilidades resarcitorias y la imposición de sanciones que correspondan a las y los servidores públicos estatales, municipales y a los particulares.</w:t>
      </w:r>
    </w:p>
    <w:p w14:paraId="7B4FA51F" w14:textId="77777777" w:rsidR="00566919" w:rsidRDefault="00072F7A">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397E9471" w14:textId="77777777" w:rsidR="00566919" w:rsidRDefault="00072F7A">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(Énfasis añadido)</w:t>
      </w:r>
    </w:p>
    <w:p w14:paraId="48118865"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3AA6042" w14:textId="77777777" w:rsidR="00566919" w:rsidRDefault="00072F7A">
      <w:pPr>
        <w:numPr>
          <w:ilvl w:val="0"/>
          <w:numId w:val="6"/>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w:t>
      </w:r>
      <w:r>
        <w:rPr>
          <w:rFonts w:ascii="Palatino Linotype" w:eastAsia="Palatino Linotype" w:hAnsi="Palatino Linotype" w:cs="Palatino Linotype"/>
        </w:rPr>
        <w:t xml:space="preserve">lo anterior se advierte que el Órgano Superior de Fiscalización será una dependencia del Poder Legislativo, la cual </w:t>
      </w:r>
      <w:r>
        <w:rPr>
          <w:rFonts w:ascii="Palatino Linotype" w:eastAsia="Palatino Linotype" w:hAnsi="Palatino Linotype" w:cs="Palatino Linotype"/>
          <w:b/>
        </w:rPr>
        <w:t>se encargará de vigilar el uso de recursos públicos por parte de las entidades fiscalizables, a nivel</w:t>
      </w:r>
      <w:r>
        <w:rPr>
          <w:rFonts w:ascii="Palatino Linotype" w:eastAsia="Palatino Linotype" w:hAnsi="Palatino Linotype" w:cs="Palatino Linotype"/>
        </w:rPr>
        <w:t xml:space="preserve"> estatal y </w:t>
      </w:r>
      <w:r>
        <w:rPr>
          <w:rFonts w:ascii="Palatino Linotype" w:eastAsia="Palatino Linotype" w:hAnsi="Palatino Linotype" w:cs="Palatino Linotype"/>
          <w:b/>
        </w:rPr>
        <w:t>municipal</w:t>
      </w:r>
      <w:r>
        <w:rPr>
          <w:rFonts w:ascii="Palatino Linotype" w:eastAsia="Palatino Linotype" w:hAnsi="Palatino Linotype" w:cs="Palatino Linotype"/>
        </w:rPr>
        <w:t>, con el objetivo de prevenir y sancionar posibles actos de corrupción.</w:t>
      </w:r>
    </w:p>
    <w:p w14:paraId="1A3BAE74"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EA04FE2" w14:textId="77777777" w:rsidR="00566919" w:rsidRDefault="00072F7A">
      <w:pPr>
        <w:numPr>
          <w:ilvl w:val="0"/>
          <w:numId w:val="6"/>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 </w:t>
      </w:r>
      <w:r>
        <w:rPr>
          <w:rFonts w:ascii="Palatino Linotype" w:eastAsia="Palatino Linotype" w:hAnsi="Palatino Linotype" w:cs="Palatino Linotype"/>
        </w:rPr>
        <w:t xml:space="preserve">anterior se reconoce dentro de la Ley Orgánica del Poder Legislativo del Estado Libre y Soberano de México, en cuyo artículo 94 establece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para el ejercicio de sus funciones,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contará con las dependencias siguiente:</w:t>
      </w:r>
    </w:p>
    <w:p w14:paraId="672596B2" w14:textId="77777777" w:rsidR="00566919" w:rsidRDefault="00072F7A">
      <w:pPr>
        <w:numPr>
          <w:ilvl w:val="1"/>
          <w:numId w:val="6"/>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Órgano Superior de Fiscalización; </w:t>
      </w:r>
    </w:p>
    <w:p w14:paraId="281325C6" w14:textId="77777777" w:rsidR="00566919" w:rsidRDefault="00072F7A">
      <w:pPr>
        <w:numPr>
          <w:ilvl w:val="1"/>
          <w:numId w:val="6"/>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Secretaría de Asuntos Parlamentarios; </w:t>
      </w:r>
    </w:p>
    <w:p w14:paraId="019CE11E" w14:textId="77777777" w:rsidR="00566919" w:rsidRDefault="00072F7A">
      <w:pPr>
        <w:numPr>
          <w:ilvl w:val="1"/>
          <w:numId w:val="6"/>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Contraloría; </w:t>
      </w:r>
    </w:p>
    <w:p w14:paraId="7A74FA9C" w14:textId="77777777" w:rsidR="00566919" w:rsidRDefault="00072F7A">
      <w:pPr>
        <w:numPr>
          <w:ilvl w:val="1"/>
          <w:numId w:val="6"/>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Secretaría de Administración y Finanzas; </w:t>
      </w:r>
    </w:p>
    <w:p w14:paraId="74BF3425" w14:textId="77777777" w:rsidR="00566919" w:rsidRDefault="00072F7A">
      <w:pPr>
        <w:numPr>
          <w:ilvl w:val="1"/>
          <w:numId w:val="6"/>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Dirección General de Comunicación Social; </w:t>
      </w:r>
    </w:p>
    <w:p w14:paraId="66407663" w14:textId="77777777" w:rsidR="00566919" w:rsidRDefault="00072F7A">
      <w:pPr>
        <w:numPr>
          <w:ilvl w:val="1"/>
          <w:numId w:val="6"/>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Instituto de Estudios Legislativos. </w:t>
      </w:r>
    </w:p>
    <w:p w14:paraId="520A930C" w14:textId="77777777" w:rsidR="00566919" w:rsidRDefault="00072F7A">
      <w:pPr>
        <w:numPr>
          <w:ilvl w:val="1"/>
          <w:numId w:val="6"/>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Unidad de Información.</w:t>
      </w:r>
    </w:p>
    <w:p w14:paraId="7AB82074"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04C1EDF7" w14:textId="77777777" w:rsidR="00566919" w:rsidRDefault="00072F7A">
      <w:pPr>
        <w:numPr>
          <w:ilvl w:val="0"/>
          <w:numId w:val="6"/>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Al </w:t>
      </w:r>
      <w:r>
        <w:rPr>
          <w:rFonts w:ascii="Palatino Linotype" w:eastAsia="Palatino Linotype" w:hAnsi="Palatino Linotype" w:cs="Palatino Linotype"/>
        </w:rPr>
        <w:t>respecto, la Ley de Fiscalización Superior del Estado de México, en su artículo primero, establece que ésta es de orden público e interés general y tiene por objeto regular la actuación, organización, funcionamiento y atribuciones del Órgano Superior de Fiscalización del Estado de México, como la Entidad Estatal de Fiscalización, su competencia en materia de revisión y fiscalización de los fondos y fideicomisos públicos, cuentas públicas, deuda pública, y de los actos relativos al ejercicio y aplicación de los recursos públicos de las entidades fiscalizables del Estado de México.</w:t>
      </w:r>
    </w:p>
    <w:p w14:paraId="1ED2DEE5"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1ABDB995" w14:textId="77777777" w:rsidR="00566919" w:rsidRDefault="00072F7A">
      <w:pPr>
        <w:numPr>
          <w:ilvl w:val="0"/>
          <w:numId w:val="6"/>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rPr>
        <w:t>Órgano Superior estará a cargo de un Auditor Superior, que será designado y removido por las dos terceras partes de los miembros presentes de la Legislatura, a propuesta de la Junta de Coordinación Política</w:t>
      </w:r>
      <w:r>
        <w:rPr>
          <w:rFonts w:ascii="Palatino Linotype" w:eastAsia="Palatino Linotype" w:hAnsi="Palatino Linotype" w:cs="Palatino Linotype"/>
          <w:vertAlign w:val="superscript"/>
        </w:rPr>
        <w:footnoteReference w:id="13"/>
      </w:r>
      <w:r>
        <w:rPr>
          <w:rFonts w:ascii="Palatino Linotype" w:eastAsia="Palatino Linotype" w:hAnsi="Palatino Linotype" w:cs="Palatino Linotype"/>
        </w:rPr>
        <w:t>; y quien tendrá entre sus atribuciones, las siguientes</w:t>
      </w:r>
      <w:r>
        <w:rPr>
          <w:rFonts w:ascii="Palatino Linotype" w:eastAsia="Palatino Linotype" w:hAnsi="Palatino Linotype" w:cs="Palatino Linotype"/>
          <w:vertAlign w:val="superscript"/>
        </w:rPr>
        <w:footnoteReference w:id="14"/>
      </w:r>
      <w:r>
        <w:rPr>
          <w:rFonts w:ascii="Palatino Linotype" w:eastAsia="Palatino Linotype" w:hAnsi="Palatino Linotype" w:cs="Palatino Linotype"/>
        </w:rPr>
        <w:t>:</w:t>
      </w:r>
    </w:p>
    <w:p w14:paraId="7B853A0E" w14:textId="77777777" w:rsidR="00566919" w:rsidRDefault="00072F7A">
      <w:pPr>
        <w:numPr>
          <w:ilvl w:val="1"/>
          <w:numId w:val="6"/>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rPr>
      </w:pPr>
      <w:r>
        <w:rPr>
          <w:rFonts w:ascii="Palatino Linotype" w:eastAsia="Palatino Linotype" w:hAnsi="Palatino Linotype" w:cs="Palatino Linotype"/>
        </w:rPr>
        <w:t xml:space="preserve">Substanciar los procedimientos de auditoría por denuncia conforme a lo establecido por la presente Ley y el Reglamento, dando informe del resultado a la Comisión; </w:t>
      </w:r>
    </w:p>
    <w:p w14:paraId="41111C61" w14:textId="77777777" w:rsidR="00566919" w:rsidRDefault="00072F7A">
      <w:pPr>
        <w:numPr>
          <w:ilvl w:val="1"/>
          <w:numId w:val="6"/>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rPr>
      </w:pPr>
      <w:r>
        <w:rPr>
          <w:rFonts w:ascii="Palatino Linotype" w:eastAsia="Palatino Linotype" w:hAnsi="Palatino Linotype" w:cs="Palatino Linotype"/>
        </w:rPr>
        <w:t>Presentar denuncias y querellas penales en contra de servidores públicos y quienes hayan dejado de serlo, conforme a lo establecido por esta Ley y coadyuvar con el Ministerio Público en términos de la legislación penal, así como iniciar ante las autoridades competentes el fincamiento de otras responsabilidades;</w:t>
      </w:r>
    </w:p>
    <w:p w14:paraId="487A814A" w14:textId="77777777" w:rsidR="00566919" w:rsidRDefault="00072F7A">
      <w:pPr>
        <w:numPr>
          <w:ilvl w:val="1"/>
          <w:numId w:val="6"/>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El Auditor Superior estará obligado a guardar el sigilo de los procedimientos; así como a informar a la Junta de Coordinación Política el estado que guarden las denuncias; </w:t>
      </w:r>
    </w:p>
    <w:p w14:paraId="1EBEDBBC" w14:textId="77777777" w:rsidR="00566919" w:rsidRDefault="00072F7A">
      <w:pPr>
        <w:numPr>
          <w:ilvl w:val="1"/>
          <w:numId w:val="6"/>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rPr>
      </w:pPr>
      <w:r>
        <w:rPr>
          <w:rFonts w:ascii="Palatino Linotype" w:eastAsia="Palatino Linotype" w:hAnsi="Palatino Linotype" w:cs="Palatino Linotype"/>
        </w:rPr>
        <w:t xml:space="preserve"> Imponer medios de apremio y, promover la imposición de las responsabilidades administrativas que correspondan, en los casos establecidos por esta Ley, el Reglamento y demás ordenamientos jurídicos aplicables;</w:t>
      </w:r>
    </w:p>
    <w:p w14:paraId="1B008BB3" w14:textId="77777777" w:rsidR="00566919" w:rsidRDefault="00072F7A">
      <w:pPr>
        <w:numPr>
          <w:ilvl w:val="1"/>
          <w:numId w:val="6"/>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rPr>
      </w:pPr>
      <w:r>
        <w:rPr>
          <w:rFonts w:ascii="Palatino Linotype" w:eastAsia="Palatino Linotype" w:hAnsi="Palatino Linotype" w:cs="Palatino Linotype"/>
        </w:rPr>
        <w:t>Promover el fincamiento e imposición de las demás responsabilidades y sanciones a que hubiere lugar ante las instancias competentes; y</w:t>
      </w:r>
    </w:p>
    <w:p w14:paraId="7EFC01AE" w14:textId="77777777" w:rsidR="00566919" w:rsidRDefault="00072F7A">
      <w:pPr>
        <w:numPr>
          <w:ilvl w:val="1"/>
          <w:numId w:val="6"/>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Pr>
          <w:rFonts w:ascii="Palatino Linotype" w:eastAsia="Palatino Linotype" w:hAnsi="Palatino Linotype" w:cs="Palatino Linotype"/>
        </w:rPr>
        <w:t>Establecer los criterios generales para contratar las cauciones o garantías que deben otorgar los servidores públicos obligados a ello. Dichas cauciones o garantías deberán mantenerse vigentes hasta tres años después de la conclusión de sus cargos.</w:t>
      </w:r>
    </w:p>
    <w:p w14:paraId="24D95E22"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41FD03CF" w14:textId="77777777" w:rsidR="00566919" w:rsidRDefault="00072F7A">
      <w:pPr>
        <w:pStyle w:val="Ttulo3"/>
        <w:spacing w:before="0" w:after="0" w:line="360" w:lineRule="auto"/>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IV. Del Ayuntamiento de Zinacantepec.</w:t>
      </w:r>
    </w:p>
    <w:p w14:paraId="228804A7"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57273616" w14:textId="77777777" w:rsidR="00566919" w:rsidRDefault="00072F7A">
      <w:pPr>
        <w:numPr>
          <w:ilvl w:val="0"/>
          <w:numId w:val="6"/>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Constitución Política de los Estados Unidos Mexicanos establece que los estados que integran a nuestro país adoptarán, para su régimen interior, la forma de gobierno republicano, representativo, democrático, laico y popular, teniendo como base de su división territorial y de su organización política y administrativa, el </w:t>
      </w:r>
      <w:r>
        <w:rPr>
          <w:rFonts w:ascii="Palatino Linotype" w:eastAsia="Palatino Linotype" w:hAnsi="Palatino Linotype" w:cs="Palatino Linotype"/>
          <w:b/>
          <w:color w:val="000000"/>
        </w:rPr>
        <w:t>municipio libre</w:t>
      </w:r>
      <w:r>
        <w:rPr>
          <w:rFonts w:ascii="Palatino Linotype" w:eastAsia="Palatino Linotype" w:hAnsi="Palatino Linotype" w:cs="Palatino Linotype"/>
          <w:color w:val="000000"/>
          <w:vertAlign w:val="superscript"/>
        </w:rPr>
        <w:footnoteReference w:id="15"/>
      </w:r>
      <w:r>
        <w:rPr>
          <w:rFonts w:ascii="Palatino Linotype" w:eastAsia="Palatino Linotype" w:hAnsi="Palatino Linotype" w:cs="Palatino Linotype"/>
          <w:color w:val="000000"/>
        </w:rPr>
        <w:t xml:space="preserve">. Al respecto, cada municipio será gobernado por un </w:t>
      </w:r>
      <w:r>
        <w:rPr>
          <w:rFonts w:ascii="Palatino Linotype" w:eastAsia="Palatino Linotype" w:hAnsi="Palatino Linotype" w:cs="Palatino Linotype"/>
          <w:b/>
          <w:color w:val="000000"/>
        </w:rPr>
        <w:t>Ayuntamiento</w:t>
      </w:r>
      <w:r>
        <w:rPr>
          <w:rFonts w:ascii="Palatino Linotype" w:eastAsia="Palatino Linotype" w:hAnsi="Palatino Linotype" w:cs="Palatino Linotype"/>
          <w:color w:val="000000"/>
        </w:rPr>
        <w:t xml:space="preserve"> de elección popular directa, integrado por un </w:t>
      </w:r>
      <w:r>
        <w:rPr>
          <w:rFonts w:ascii="Palatino Linotype" w:eastAsia="Palatino Linotype" w:hAnsi="Palatino Linotype" w:cs="Palatino Linotype"/>
          <w:b/>
          <w:color w:val="000000"/>
        </w:rPr>
        <w:t xml:space="preserve">Presidente o </w:t>
      </w:r>
      <w:r>
        <w:rPr>
          <w:rFonts w:ascii="Palatino Linotype" w:eastAsia="Palatino Linotype" w:hAnsi="Palatino Linotype" w:cs="Palatino Linotype"/>
          <w:b/>
          <w:color w:val="000000"/>
        </w:rPr>
        <w:lastRenderedPageBreak/>
        <w:t>Presidenta Municipal</w:t>
      </w:r>
      <w:r>
        <w:rPr>
          <w:rFonts w:ascii="Palatino Linotype" w:eastAsia="Palatino Linotype" w:hAnsi="Palatino Linotype" w:cs="Palatino Linotype"/>
          <w:color w:val="000000"/>
        </w:rPr>
        <w:t xml:space="preserve"> y el número de </w:t>
      </w:r>
      <w:r>
        <w:rPr>
          <w:rFonts w:ascii="Palatino Linotype" w:eastAsia="Palatino Linotype" w:hAnsi="Palatino Linotype" w:cs="Palatino Linotype"/>
          <w:b/>
          <w:color w:val="000000"/>
        </w:rPr>
        <w:t>regidurías</w:t>
      </w:r>
      <w:r>
        <w:rPr>
          <w:rFonts w:ascii="Palatino Linotype" w:eastAsia="Palatino Linotype" w:hAnsi="Palatino Linotype" w:cs="Palatino Linotype"/>
          <w:color w:val="000000"/>
        </w:rPr>
        <w:t xml:space="preserve"> y </w:t>
      </w:r>
      <w:r>
        <w:rPr>
          <w:rFonts w:ascii="Palatino Linotype" w:eastAsia="Palatino Linotype" w:hAnsi="Palatino Linotype" w:cs="Palatino Linotype"/>
          <w:b/>
          <w:color w:val="000000"/>
        </w:rPr>
        <w:t>sindicaturas</w:t>
      </w:r>
      <w:r>
        <w:rPr>
          <w:rFonts w:ascii="Palatino Linotype" w:eastAsia="Palatino Linotype" w:hAnsi="Palatino Linotype" w:cs="Palatino Linotype"/>
          <w:color w:val="000000"/>
        </w:rPr>
        <w:t xml:space="preserve"> que la ley determine, de conformidad con el principio de paridad</w:t>
      </w:r>
      <w:r>
        <w:rPr>
          <w:rFonts w:ascii="Palatino Linotype" w:eastAsia="Palatino Linotype" w:hAnsi="Palatino Linotype" w:cs="Palatino Linotype"/>
          <w:color w:val="000000"/>
          <w:vertAlign w:val="superscript"/>
        </w:rPr>
        <w:footnoteReference w:id="16"/>
      </w:r>
      <w:r>
        <w:rPr>
          <w:rFonts w:ascii="Palatino Linotype" w:eastAsia="Palatino Linotype" w:hAnsi="Palatino Linotype" w:cs="Palatino Linotype"/>
          <w:color w:val="000000"/>
        </w:rPr>
        <w:t>.</w:t>
      </w:r>
    </w:p>
    <w:p w14:paraId="1652C568"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006BF157" w14:textId="77777777" w:rsidR="00566919" w:rsidRDefault="00072F7A">
      <w:pPr>
        <w:numPr>
          <w:ilvl w:val="0"/>
          <w:numId w:val="6"/>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seguimiento al mandato constitucional, la Ley Orgánica Municipal del Estado de México señala que cada municipio será gobernado por un </w:t>
      </w:r>
      <w:r>
        <w:rPr>
          <w:rFonts w:ascii="Palatino Linotype" w:eastAsia="Palatino Linotype" w:hAnsi="Palatino Linotype" w:cs="Palatino Linotype"/>
          <w:b/>
          <w:color w:val="000000"/>
        </w:rPr>
        <w:t>ayuntamiento</w:t>
      </w:r>
      <w:r>
        <w:rPr>
          <w:rFonts w:ascii="Palatino Linotype" w:eastAsia="Palatino Linotype" w:hAnsi="Palatino Linotype" w:cs="Palatino Linotype"/>
          <w:color w:val="000000"/>
        </w:rPr>
        <w:t xml:space="preserve"> de elección popular directa y no habrá ninguna autoridad intermedia entre éste y el Gobierno del Estado</w:t>
      </w:r>
      <w:r>
        <w:rPr>
          <w:rFonts w:ascii="Palatino Linotype" w:eastAsia="Palatino Linotype" w:hAnsi="Palatino Linotype" w:cs="Palatino Linotype"/>
          <w:color w:val="000000"/>
          <w:vertAlign w:val="superscript"/>
        </w:rPr>
        <w:footnoteReference w:id="17"/>
      </w:r>
      <w:r>
        <w:rPr>
          <w:rFonts w:ascii="Palatino Linotype" w:eastAsia="Palatino Linotype" w:hAnsi="Palatino Linotype" w:cs="Palatino Linotype"/>
          <w:color w:val="000000"/>
        </w:rPr>
        <w:t>.</w:t>
      </w:r>
    </w:p>
    <w:p w14:paraId="48163FD1"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189B0B06" w14:textId="77777777" w:rsidR="00566919" w:rsidRDefault="00072F7A">
      <w:pPr>
        <w:numPr>
          <w:ilvl w:val="0"/>
          <w:numId w:val="6"/>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Los </w:t>
      </w:r>
      <w:r>
        <w:rPr>
          <w:rFonts w:ascii="Palatino Linotype" w:eastAsia="Palatino Linotype" w:hAnsi="Palatino Linotype" w:cs="Palatino Linotype"/>
          <w:b/>
          <w:color w:val="000000"/>
        </w:rPr>
        <w:t>ayuntamientos</w:t>
      </w:r>
      <w:r>
        <w:rPr>
          <w:rFonts w:ascii="Palatino Linotype" w:eastAsia="Palatino Linotype" w:hAnsi="Palatino Linotype" w:cs="Palatino Linotype"/>
          <w:color w:val="000000"/>
        </w:rPr>
        <w:t xml:space="preserve"> se renovarán cada tres años, e iniciarán su periodo el uno (01) de enero del año inmediato siguiente al de las elecciones municipales ordinarias y, concluirán el treinta y uno (31) de diciembre del año de las elecciones para su renovación; así mismo, se integrarán de la siguiente forma</w:t>
      </w:r>
      <w:r>
        <w:rPr>
          <w:rFonts w:ascii="Palatino Linotype" w:eastAsia="Palatino Linotype" w:hAnsi="Palatino Linotype" w:cs="Palatino Linotype"/>
          <w:color w:val="000000"/>
          <w:vertAlign w:val="superscript"/>
        </w:rPr>
        <w:footnoteReference w:id="18"/>
      </w:r>
      <w:r>
        <w:rPr>
          <w:rFonts w:ascii="Palatino Linotype" w:eastAsia="Palatino Linotype" w:hAnsi="Palatino Linotype" w:cs="Palatino Linotype"/>
          <w:color w:val="000000"/>
        </w:rPr>
        <w:t>:</w:t>
      </w:r>
    </w:p>
    <w:p w14:paraId="0F0298CF" w14:textId="77777777" w:rsidR="00566919" w:rsidRDefault="00072F7A">
      <w:pPr>
        <w:numPr>
          <w:ilvl w:val="1"/>
          <w:numId w:val="6"/>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Un </w:t>
      </w:r>
      <w:r>
        <w:rPr>
          <w:rFonts w:ascii="Palatino Linotype" w:eastAsia="Palatino Linotype" w:hAnsi="Palatino Linotype" w:cs="Palatino Linotype"/>
          <w:b/>
          <w:color w:val="000000"/>
        </w:rPr>
        <w:t>presidente</w:t>
      </w:r>
      <w:r>
        <w:rPr>
          <w:rFonts w:ascii="Palatino Linotype" w:eastAsia="Palatino Linotype" w:hAnsi="Palatino Linotype" w:cs="Palatino Linotype"/>
          <w:color w:val="000000"/>
        </w:rPr>
        <w:t>, un síndico y cuatro regidores, electos por planilla según el principio de mayoría relativa, y tres regidores designados según el principio de representación proporcional, cuando se trate de municipios que tengan una población de menos de 150 mil habitantes.</w:t>
      </w:r>
    </w:p>
    <w:p w14:paraId="71ACF671" w14:textId="77777777" w:rsidR="00566919" w:rsidRDefault="00072F7A">
      <w:pPr>
        <w:numPr>
          <w:ilvl w:val="1"/>
          <w:numId w:val="6"/>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Un </w:t>
      </w:r>
      <w:r>
        <w:rPr>
          <w:rFonts w:ascii="Palatino Linotype" w:eastAsia="Palatino Linotype" w:hAnsi="Palatino Linotype" w:cs="Palatino Linotype"/>
          <w:b/>
          <w:color w:val="000000"/>
        </w:rPr>
        <w:t>presidente</w:t>
      </w:r>
      <w:r>
        <w:rPr>
          <w:rFonts w:ascii="Palatino Linotype" w:eastAsia="Palatino Linotype" w:hAnsi="Palatino Linotype" w:cs="Palatino Linotype"/>
          <w:color w:val="000000"/>
        </w:rPr>
        <w:t xml:space="preserve">, un síndico y cinco regidores, electos por planilla según el principio de mayoría relativa, y cuatro regidores designados según el principio de representación proporcional, cuando se trate de municipios que tengan una población de más de 150 mil habitantes y menos de 500 mil habitantes. </w:t>
      </w:r>
    </w:p>
    <w:p w14:paraId="13774491" w14:textId="77777777" w:rsidR="00566919" w:rsidRDefault="00072F7A">
      <w:pPr>
        <w:numPr>
          <w:ilvl w:val="1"/>
          <w:numId w:val="6"/>
        </w:num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Un </w:t>
      </w:r>
      <w:r>
        <w:rPr>
          <w:rFonts w:ascii="Palatino Linotype" w:eastAsia="Palatino Linotype" w:hAnsi="Palatino Linotype" w:cs="Palatino Linotype"/>
          <w:b/>
          <w:color w:val="000000"/>
        </w:rPr>
        <w:t>presidente</w:t>
      </w:r>
      <w:r>
        <w:rPr>
          <w:rFonts w:ascii="Palatino Linotype" w:eastAsia="Palatino Linotype" w:hAnsi="Palatino Linotype" w:cs="Palatino Linotype"/>
          <w:color w:val="000000"/>
        </w:rPr>
        <w:t>, un síndico y siete regidores, electos por planilla según el principio de mayoría relativa; un síndico y cinco regidores designados según el principio de representación proporcional, cuando se trate de municipios que tengan una población de más de 500 mil habitantes.</w:t>
      </w:r>
    </w:p>
    <w:p w14:paraId="618E175C"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23231677" w14:textId="77777777" w:rsidR="00566919" w:rsidRDefault="00072F7A">
      <w:pPr>
        <w:numPr>
          <w:ilvl w:val="0"/>
          <w:numId w:val="6"/>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Expuesto lo anterior, de la consulta al portal</w:t>
      </w:r>
      <w:r>
        <w:rPr>
          <w:rFonts w:ascii="Palatino Linotype" w:eastAsia="Palatino Linotype" w:hAnsi="Palatino Linotype" w:cs="Palatino Linotype"/>
          <w:color w:val="000000"/>
          <w:vertAlign w:val="superscript"/>
        </w:rPr>
        <w:footnoteReference w:id="19"/>
      </w:r>
      <w:r>
        <w:rPr>
          <w:rFonts w:ascii="Palatino Linotype" w:eastAsia="Palatino Linotype" w:hAnsi="Palatino Linotype" w:cs="Palatino Linotype"/>
          <w:color w:val="000000"/>
        </w:rPr>
        <w:t xml:space="preserve"> </w:t>
      </w:r>
      <w:r>
        <w:rPr>
          <w:rFonts w:ascii="Palatino Linotype" w:eastAsia="Palatino Linotype" w:hAnsi="Palatino Linotype" w:cs="Palatino Linotype"/>
          <w:i/>
          <w:color w:val="000000"/>
        </w:rPr>
        <w:t>web</w:t>
      </w:r>
      <w:r>
        <w:rPr>
          <w:rFonts w:ascii="Palatino Linotype" w:eastAsia="Palatino Linotype" w:hAnsi="Palatino Linotype" w:cs="Palatino Linotype"/>
          <w:color w:val="000000"/>
        </w:rPr>
        <w:t xml:space="preserve"> oficial del Ayuntamiento de Zinacantepec, específicamente en el apartado titulado </w:t>
      </w:r>
      <w:r>
        <w:rPr>
          <w:rFonts w:ascii="Palatino Linotype" w:eastAsia="Palatino Linotype" w:hAnsi="Palatino Linotype" w:cs="Palatino Linotype"/>
          <w:i/>
          <w:color w:val="000000"/>
        </w:rPr>
        <w:t>Integrantes de Cabildo</w:t>
      </w:r>
      <w:r>
        <w:rPr>
          <w:rFonts w:ascii="Palatino Linotype" w:eastAsia="Palatino Linotype" w:hAnsi="Palatino Linotype" w:cs="Palatino Linotype"/>
          <w:i/>
          <w:color w:val="000000"/>
          <w:vertAlign w:val="superscript"/>
        </w:rPr>
        <w:footnoteReference w:id="20"/>
      </w:r>
      <w:r>
        <w:rPr>
          <w:rFonts w:ascii="Palatino Linotype" w:eastAsia="Palatino Linotype" w:hAnsi="Palatino Linotype" w:cs="Palatino Linotype"/>
          <w:color w:val="000000"/>
        </w:rPr>
        <w:t xml:space="preserve">, se advierte que los miembros del ayuntamiento consistirán en un Presidente Municipal, una Síndico y Nueve Regidores; de los cuales, el </w:t>
      </w:r>
      <w:r>
        <w:rPr>
          <w:rFonts w:ascii="Palatino Linotype" w:eastAsia="Palatino Linotype" w:hAnsi="Palatino Linotype" w:cs="Palatino Linotype"/>
          <w:b/>
          <w:color w:val="000000"/>
        </w:rPr>
        <w:t>Titular del Ejecutivo Municipal</w:t>
      </w:r>
      <w:r>
        <w:rPr>
          <w:rFonts w:ascii="Palatino Linotype" w:eastAsia="Palatino Linotype" w:hAnsi="Palatino Linotype" w:cs="Palatino Linotype"/>
          <w:color w:val="000000"/>
        </w:rPr>
        <w:t xml:space="preserve"> es justamente la persona referida en la solicitud de información.</w:t>
      </w:r>
    </w:p>
    <w:p w14:paraId="1421983E"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7DA4129" w14:textId="6286980A" w:rsidR="00566919" w:rsidRDefault="00072F7A">
      <w:pPr>
        <w:numPr>
          <w:ilvl w:val="0"/>
          <w:numId w:val="6"/>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las cosas, este Organismo Garante advierte que, si </w:t>
      </w:r>
      <w:r w:rsidR="00F137D3">
        <w:rPr>
          <w:rFonts w:ascii="Palatino Linotype" w:eastAsia="Palatino Linotype" w:hAnsi="Palatino Linotype" w:cs="Palatino Linotype"/>
          <w:color w:val="000000"/>
        </w:rPr>
        <w:t xml:space="preserve">bien </w:t>
      </w:r>
      <w:r>
        <w:rPr>
          <w:rFonts w:ascii="Palatino Linotype" w:eastAsia="Palatino Linotype" w:hAnsi="Palatino Linotype" w:cs="Palatino Linotype"/>
          <w:color w:val="000000"/>
        </w:rPr>
        <w:t xml:space="preserve">se solicitaron las observaciones emitidas por el Órgano Superior de Fiscalización del Estado de México que tuvo el Presidente Municipal, al ser éste el Titular del Ayuntamiento de Zinacantepec, entonces la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desea acceder a las observaciones emitidas hacia la administración de éste durante el ejercicio dos mil veintidós.</w:t>
      </w:r>
    </w:p>
    <w:p w14:paraId="3B02BC67"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3029494" w14:textId="77777777" w:rsidR="00566919" w:rsidRDefault="00072F7A">
      <w:pPr>
        <w:numPr>
          <w:ilvl w:val="0"/>
          <w:numId w:val="6"/>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 base en lo anterior, conviene señalar que el Órgano Superior de Fiscalización del Estado de México publicó el </w:t>
      </w:r>
      <w:r>
        <w:rPr>
          <w:rFonts w:ascii="Palatino Linotype" w:eastAsia="Palatino Linotype" w:hAnsi="Palatino Linotype" w:cs="Palatino Linotype"/>
          <w:b/>
          <w:color w:val="000000"/>
        </w:rPr>
        <w:t>Informe de Resultados del Ejercicio Fiscal 2022</w:t>
      </w:r>
      <w:r>
        <w:rPr>
          <w:rFonts w:ascii="Palatino Linotype" w:eastAsia="Palatino Linotype" w:hAnsi="Palatino Linotype" w:cs="Palatino Linotype"/>
          <w:color w:val="000000"/>
        </w:rPr>
        <w:t xml:space="preserve">, de las Entidades Municipales; cuyo </w:t>
      </w:r>
      <w:r>
        <w:rPr>
          <w:rFonts w:ascii="Palatino Linotype" w:eastAsia="Palatino Linotype" w:hAnsi="Palatino Linotype" w:cs="Palatino Linotype"/>
          <w:i/>
          <w:color w:val="000000"/>
        </w:rPr>
        <w:t>Tomo I. Municipios</w:t>
      </w:r>
      <w:r>
        <w:rPr>
          <w:rFonts w:ascii="Palatino Linotype" w:eastAsia="Palatino Linotype" w:hAnsi="Palatino Linotype" w:cs="Palatino Linotype"/>
          <w:color w:val="000000"/>
        </w:rPr>
        <w:t>, Volumen 123</w:t>
      </w:r>
      <w:r>
        <w:rPr>
          <w:rFonts w:ascii="Palatino Linotype" w:eastAsia="Palatino Linotype" w:hAnsi="Palatino Linotype" w:cs="Palatino Linotype"/>
          <w:color w:val="000000"/>
          <w:vertAlign w:val="superscript"/>
        </w:rPr>
        <w:footnoteReference w:id="21"/>
      </w:r>
      <w:r>
        <w:rPr>
          <w:rFonts w:ascii="Palatino Linotype" w:eastAsia="Palatino Linotype" w:hAnsi="Palatino Linotype" w:cs="Palatino Linotype"/>
          <w:color w:val="000000"/>
        </w:rPr>
        <w:t xml:space="preserve">, corresponde al informe específico del </w:t>
      </w:r>
      <w:r>
        <w:rPr>
          <w:rFonts w:ascii="Palatino Linotype" w:eastAsia="Palatino Linotype" w:hAnsi="Palatino Linotype" w:cs="Palatino Linotype"/>
          <w:b/>
          <w:color w:val="000000"/>
        </w:rPr>
        <w:t>Ayuntamiento de Zinacantepec</w:t>
      </w:r>
      <w:r>
        <w:rPr>
          <w:rFonts w:ascii="Palatino Linotype" w:eastAsia="Palatino Linotype" w:hAnsi="Palatino Linotype" w:cs="Palatino Linotype"/>
          <w:color w:val="000000"/>
        </w:rPr>
        <w:t>.</w:t>
      </w:r>
    </w:p>
    <w:p w14:paraId="450AF7D0"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50D1BEC1" w14:textId="77777777" w:rsidR="00566919" w:rsidRDefault="00072F7A">
      <w:pPr>
        <w:numPr>
          <w:ilvl w:val="0"/>
          <w:numId w:val="6"/>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El contenido del informe de mérito se centra en la </w:t>
      </w:r>
      <w:r>
        <w:rPr>
          <w:rFonts w:ascii="Palatino Linotype" w:eastAsia="Palatino Linotype" w:hAnsi="Palatino Linotype" w:cs="Palatino Linotype"/>
          <w:b/>
          <w:color w:val="000000"/>
        </w:rPr>
        <w:t>revisión de la Cuenta Pública</w:t>
      </w:r>
      <w:r>
        <w:rPr>
          <w:rFonts w:ascii="Palatino Linotype" w:eastAsia="Palatino Linotype" w:hAnsi="Palatino Linotype" w:cs="Palatino Linotype"/>
          <w:color w:val="000000"/>
        </w:rPr>
        <w:t>, a través de la exposición de aspectos generales del municipio y su gobierno, así como financieros; para después pasar a la revisión de la Cuenta Pública con la calificación de los programas planeados de acuerdo al Plan de Desarrollo Municipal y el correcto ejercicio del presupuesto.</w:t>
      </w:r>
    </w:p>
    <w:p w14:paraId="198FC3F0"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3B5C8F27" w14:textId="77777777" w:rsidR="00566919" w:rsidRDefault="00072F7A">
      <w:pPr>
        <w:numPr>
          <w:ilvl w:val="0"/>
          <w:numId w:val="6"/>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Al final del documento, se advierte el apartado denominado </w:t>
      </w:r>
      <w:r>
        <w:rPr>
          <w:rFonts w:ascii="Palatino Linotype" w:eastAsia="Palatino Linotype" w:hAnsi="Palatino Linotype" w:cs="Palatino Linotype"/>
          <w:b/>
          <w:i/>
          <w:color w:val="000000"/>
        </w:rPr>
        <w:t>Observaciones de la revisión</w:t>
      </w:r>
      <w:r>
        <w:rPr>
          <w:rFonts w:ascii="Palatino Linotype" w:eastAsia="Palatino Linotype" w:hAnsi="Palatino Linotype" w:cs="Palatino Linotype"/>
          <w:color w:val="000000"/>
        </w:rPr>
        <w:t>, en las que el Órgano Superior de Fiscalización reportó la detección de 10 irregularidades durante la revisión a la programación y presupuesto; el ejercicio de los recursos públicos; y, el control y evaluación.</w:t>
      </w:r>
    </w:p>
    <w:p w14:paraId="68EC9126"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568951AB" w14:textId="77777777" w:rsidR="00566919" w:rsidRDefault="00072F7A">
      <w:pPr>
        <w:numPr>
          <w:ilvl w:val="0"/>
          <w:numId w:val="6"/>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anterior, se concluye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sí recibió observaciones por parte del Órgano Superior de Fiscalización del Estado de México y Municipios, las cuales, debieron ser notificadas formalmente al ayuntamiento para su debida atención.</w:t>
      </w:r>
    </w:p>
    <w:p w14:paraId="6D0EF86A"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725CFEE7" w14:textId="77777777" w:rsidR="00566919" w:rsidRDefault="00072F7A">
      <w:pPr>
        <w:numPr>
          <w:ilvl w:val="0"/>
          <w:numId w:val="6"/>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No se omite mencionar que, de las constancias que obran dentro del expediente digital formado en el SAIMEX, específicamente en el apartado de </w:t>
      </w:r>
      <w:r>
        <w:rPr>
          <w:rFonts w:ascii="Palatino Linotype" w:eastAsia="Palatino Linotype" w:hAnsi="Palatino Linotype" w:cs="Palatino Linotype"/>
          <w:i/>
          <w:color w:val="000000"/>
        </w:rPr>
        <w:t>Requerimientos</w:t>
      </w:r>
      <w:r>
        <w:rPr>
          <w:rFonts w:ascii="Palatino Linotype" w:eastAsia="Palatino Linotype" w:hAnsi="Palatino Linotype" w:cs="Palatino Linotype"/>
          <w:color w:val="000000"/>
        </w:rPr>
        <w:t xml:space="preserve">, se advierte que la Unidad de Transparencia únicamente turnó la solicitud de información </w:t>
      </w:r>
      <w:r>
        <w:rPr>
          <w:rFonts w:ascii="Palatino Linotype" w:eastAsia="Palatino Linotype" w:hAnsi="Palatino Linotype" w:cs="Palatino Linotype"/>
          <w:b/>
          <w:color w:val="000000"/>
        </w:rPr>
        <w:t>00722/ZINACANT/IP/2023</w:t>
      </w:r>
      <w:r>
        <w:rPr>
          <w:rFonts w:ascii="Palatino Linotype" w:eastAsia="Palatino Linotype" w:hAnsi="Palatino Linotype" w:cs="Palatino Linotype"/>
          <w:color w:val="000000"/>
        </w:rPr>
        <w:t xml:space="preserve"> a la Tesorería Municipal, misma que informó no contar en sus archivos con documentos relacionados con lo requerido.</w:t>
      </w:r>
    </w:p>
    <w:p w14:paraId="74ABE29E"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0121CD99" w14:textId="77777777" w:rsidR="00566919" w:rsidRDefault="00072F7A">
      <w:pPr>
        <w:numPr>
          <w:ilvl w:val="0"/>
          <w:numId w:val="6"/>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esta manera, este Organismo Garante advierte que la Unidad de Transparencia no turnó la solicitud de información primigenia a todas las áreas administrativas que, por la naturaleza de sus funciones, pudieran tener </w:t>
      </w:r>
      <w:r>
        <w:rPr>
          <w:rFonts w:ascii="Palatino Linotype" w:eastAsia="Palatino Linotype" w:hAnsi="Palatino Linotype" w:cs="Palatino Linotype"/>
          <w:color w:val="000000"/>
        </w:rPr>
        <w:lastRenderedPageBreak/>
        <w:t xml:space="preserve">competencia para conocer sobre lo requerido como, de manera enunciativa </w:t>
      </w:r>
      <w:r>
        <w:rPr>
          <w:rFonts w:ascii="Palatino Linotype" w:eastAsia="Palatino Linotype" w:hAnsi="Palatino Linotype" w:cs="Palatino Linotype"/>
        </w:rPr>
        <w:t>más</w:t>
      </w:r>
      <w:r>
        <w:rPr>
          <w:rFonts w:ascii="Palatino Linotype" w:eastAsia="Palatino Linotype" w:hAnsi="Palatino Linotype" w:cs="Palatino Linotype"/>
          <w:color w:val="000000"/>
        </w:rPr>
        <w:t xml:space="preserve"> no limitativa, la </w:t>
      </w:r>
      <w:r>
        <w:rPr>
          <w:rFonts w:ascii="Palatino Linotype" w:eastAsia="Palatino Linotype" w:hAnsi="Palatino Linotype" w:cs="Palatino Linotype"/>
        </w:rPr>
        <w:t>Oficina</w:t>
      </w:r>
      <w:r>
        <w:rPr>
          <w:rFonts w:ascii="Palatino Linotype" w:eastAsia="Palatino Linotype" w:hAnsi="Palatino Linotype" w:cs="Palatino Linotype"/>
          <w:color w:val="000000"/>
        </w:rPr>
        <w:t xml:space="preserve"> de Presidencia y Secretaría Técnica; o bien, la Unidad de Información, Planeación, Programación y Evaluación; o, inclusive, la Contraloría Municipal y la Dirección de Jurídico.</w:t>
      </w:r>
    </w:p>
    <w:p w14:paraId="08D9265A"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0DA0EDEB" w14:textId="77777777" w:rsidR="00566919" w:rsidRDefault="00072F7A">
      <w:pPr>
        <w:numPr>
          <w:ilvl w:val="0"/>
          <w:numId w:val="6"/>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Al respecto, conviene señalar que de acuerdo con el artículo 21 del Bando Municipal 2023 de Zinacantepec,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contará con las áreas antes mencionadas tal como se demuestra a continuación:</w:t>
      </w:r>
    </w:p>
    <w:p w14:paraId="71D3F738"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BC0134B" w14:textId="77777777" w:rsidR="00566919" w:rsidRDefault="00072F7A">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21.</w:t>
      </w:r>
      <w:r>
        <w:rPr>
          <w:rFonts w:ascii="Palatino Linotype" w:eastAsia="Palatino Linotype" w:hAnsi="Palatino Linotype" w:cs="Palatino Linotype"/>
          <w:i/>
          <w:color w:val="000000"/>
          <w:sz w:val="22"/>
          <w:szCs w:val="22"/>
        </w:rPr>
        <w:t xml:space="preserve"> El Presidente Municipal para el ejercicio de sus funciones, se auxiliará de las siguientes Unidades Administrativas: </w:t>
      </w:r>
    </w:p>
    <w:p w14:paraId="42B114B7" w14:textId="77777777" w:rsidR="00566919" w:rsidRDefault="00072F7A">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w:t>
      </w:r>
      <w:r>
        <w:rPr>
          <w:rFonts w:ascii="Palatino Linotype" w:eastAsia="Palatino Linotype" w:hAnsi="Palatino Linotype" w:cs="Palatino Linotype"/>
          <w:i/>
          <w:color w:val="000000"/>
          <w:sz w:val="22"/>
          <w:szCs w:val="22"/>
        </w:rPr>
        <w:t xml:space="preserve"> Secretaría del Ayuntamiento </w:t>
      </w:r>
    </w:p>
    <w:p w14:paraId="1E747CAF" w14:textId="77777777" w:rsidR="00566919" w:rsidRDefault="00072F7A">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II.</w:t>
      </w:r>
      <w:r>
        <w:rPr>
          <w:rFonts w:ascii="Palatino Linotype" w:eastAsia="Palatino Linotype" w:hAnsi="Palatino Linotype" w:cs="Palatino Linotype"/>
          <w:i/>
          <w:color w:val="000000"/>
          <w:sz w:val="22"/>
          <w:szCs w:val="22"/>
        </w:rPr>
        <w:t xml:space="preserve"> Secretaría Particular. </w:t>
      </w:r>
    </w:p>
    <w:p w14:paraId="75E014FF" w14:textId="77777777" w:rsidR="00566919" w:rsidRDefault="00072F7A">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III.</w:t>
      </w:r>
      <w:r>
        <w:rPr>
          <w:rFonts w:ascii="Palatino Linotype" w:eastAsia="Palatino Linotype" w:hAnsi="Palatino Linotype" w:cs="Palatino Linotype"/>
          <w:i/>
          <w:color w:val="000000"/>
          <w:sz w:val="22"/>
          <w:szCs w:val="22"/>
        </w:rPr>
        <w:t xml:space="preserve"> Secretaría Técnica. </w:t>
      </w:r>
    </w:p>
    <w:p w14:paraId="30926928" w14:textId="77777777" w:rsidR="00566919" w:rsidRDefault="00072F7A">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IV.</w:t>
      </w:r>
      <w:r>
        <w:rPr>
          <w:rFonts w:ascii="Palatino Linotype" w:eastAsia="Palatino Linotype" w:hAnsi="Palatino Linotype" w:cs="Palatino Linotype"/>
          <w:i/>
          <w:color w:val="000000"/>
          <w:sz w:val="22"/>
          <w:szCs w:val="22"/>
        </w:rPr>
        <w:t xml:space="preserve"> Unidad de Información, Planeación, Programación y Evaluación. </w:t>
      </w:r>
    </w:p>
    <w:p w14:paraId="7BD8FA5F" w14:textId="77777777" w:rsidR="00566919" w:rsidRDefault="00072F7A">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V.</w:t>
      </w:r>
      <w:r>
        <w:rPr>
          <w:rFonts w:ascii="Palatino Linotype" w:eastAsia="Palatino Linotype" w:hAnsi="Palatino Linotype" w:cs="Palatino Linotype"/>
          <w:i/>
          <w:color w:val="000000"/>
          <w:sz w:val="22"/>
          <w:szCs w:val="22"/>
        </w:rPr>
        <w:t xml:space="preserve"> Coordinación Municipal de Mejora Regulatoria. </w:t>
      </w:r>
    </w:p>
    <w:p w14:paraId="4E09FC5B" w14:textId="77777777" w:rsidR="00566919" w:rsidRDefault="00072F7A">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702313D6" w14:textId="77777777" w:rsidR="00566919" w:rsidRDefault="00566919">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p>
    <w:p w14:paraId="0CBCDE59" w14:textId="77777777" w:rsidR="00566919" w:rsidRDefault="00072F7A">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Para el despacho de los asuntos municipales, el Ayuntamiento se auxiliará de dependencias, organismos públicos descentralizados, desconcentrados y autónomos de la administración pública municipal, necesarios para el desarrollo de sus actividades, siendo los siguientes:</w:t>
      </w:r>
    </w:p>
    <w:p w14:paraId="44AABB7F" w14:textId="77777777" w:rsidR="00566919" w:rsidRDefault="00566919">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p>
    <w:p w14:paraId="64E7D5B2" w14:textId="77777777" w:rsidR="00566919" w:rsidRDefault="00072F7A">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 DEPENDENCIAS ADMINISTRATIVAS:</w:t>
      </w:r>
    </w:p>
    <w:p w14:paraId="2CFDF059" w14:textId="77777777" w:rsidR="00566919" w:rsidRDefault="00072F7A">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24FA4247" w14:textId="77777777" w:rsidR="00566919" w:rsidRDefault="00072F7A">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2.</w:t>
      </w:r>
      <w:r>
        <w:rPr>
          <w:rFonts w:ascii="Palatino Linotype" w:eastAsia="Palatino Linotype" w:hAnsi="Palatino Linotype" w:cs="Palatino Linotype"/>
          <w:i/>
          <w:color w:val="000000"/>
          <w:sz w:val="22"/>
          <w:szCs w:val="22"/>
        </w:rPr>
        <w:t xml:space="preserve"> Contraloría Municipal.</w:t>
      </w:r>
      <w:r>
        <w:rPr>
          <w:rFonts w:ascii="Palatino Linotype" w:eastAsia="Palatino Linotype" w:hAnsi="Palatino Linotype" w:cs="Palatino Linotype"/>
          <w:i/>
          <w:color w:val="000000"/>
          <w:sz w:val="22"/>
          <w:szCs w:val="22"/>
        </w:rPr>
        <w:br/>
        <w:t>(…)</w:t>
      </w:r>
    </w:p>
    <w:p w14:paraId="2FCD5D42" w14:textId="77777777" w:rsidR="00566919" w:rsidRDefault="00072F7A">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14.</w:t>
      </w:r>
      <w:r>
        <w:rPr>
          <w:rFonts w:ascii="Palatino Linotype" w:eastAsia="Palatino Linotype" w:hAnsi="Palatino Linotype" w:cs="Palatino Linotype"/>
          <w:i/>
          <w:color w:val="000000"/>
          <w:sz w:val="22"/>
          <w:szCs w:val="22"/>
        </w:rPr>
        <w:t xml:space="preserve"> Dirección de Gobernación. </w:t>
      </w:r>
    </w:p>
    <w:p w14:paraId="747F810B" w14:textId="77777777" w:rsidR="00566919" w:rsidRDefault="00072F7A">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5A867B8E" w14:textId="77777777" w:rsidR="00566919" w:rsidRDefault="00072F7A">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16.</w:t>
      </w:r>
      <w:r>
        <w:rPr>
          <w:rFonts w:ascii="Palatino Linotype" w:eastAsia="Palatino Linotype" w:hAnsi="Palatino Linotype" w:cs="Palatino Linotype"/>
          <w:i/>
          <w:color w:val="000000"/>
          <w:sz w:val="22"/>
          <w:szCs w:val="22"/>
        </w:rPr>
        <w:t xml:space="preserve"> Dirección Jurídica.</w:t>
      </w:r>
    </w:p>
    <w:p w14:paraId="743EDA76" w14:textId="77777777" w:rsidR="00566919" w:rsidRDefault="00566919">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p>
    <w:p w14:paraId="2A4FE5F1" w14:textId="77777777" w:rsidR="00566919" w:rsidRDefault="00072F7A">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w:t>
      </w:r>
    </w:p>
    <w:p w14:paraId="563518CE"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4E0570E6" w14:textId="77777777" w:rsidR="00566919" w:rsidRDefault="00072F7A">
      <w:pPr>
        <w:numPr>
          <w:ilvl w:val="0"/>
          <w:numId w:val="6"/>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razón de lo anterior, este Organismo Garante concluye conforme a derecho el </w:t>
      </w:r>
      <w:r>
        <w:rPr>
          <w:rFonts w:ascii="Palatino Linotype" w:eastAsia="Palatino Linotype" w:hAnsi="Palatino Linotype" w:cs="Palatino Linotype"/>
          <w:b/>
          <w:color w:val="000000"/>
        </w:rPr>
        <w:t>revocar</w:t>
      </w:r>
      <w:r>
        <w:rPr>
          <w:rFonts w:ascii="Palatino Linotype" w:eastAsia="Palatino Linotype" w:hAnsi="Palatino Linotype" w:cs="Palatino Linotype"/>
          <w:color w:val="000000"/>
        </w:rPr>
        <w:t xml:space="preserve"> la respuesta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a fin de ordenar la entrega, previa búsqueda exhaustiva y razonable en sus archivos, de los documentos donde consten las observaciones del Órgano Superior de Fiscalización, que tuvo el Ayuntamiento de Zinacantepec, en el ejercicio dos mil veintidós, de ser procedente en versión pública.</w:t>
      </w:r>
    </w:p>
    <w:p w14:paraId="41C90E22"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5321307E" w14:textId="360547C5" w:rsidR="00566919" w:rsidRPr="00EC5CCF" w:rsidRDefault="00E46435" w:rsidP="005A665E">
      <w:pPr>
        <w:numPr>
          <w:ilvl w:val="0"/>
          <w:numId w:val="6"/>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EC5CCF">
        <w:rPr>
          <w:rFonts w:ascii="Palatino Linotype" w:eastAsia="Palatino Linotype" w:hAnsi="Palatino Linotype" w:cs="Palatino Linotype"/>
          <w:color w:val="000000"/>
        </w:rPr>
        <w:t xml:space="preserve">Por otro lado, debemos recordar que, de las constancias que obran dentro del expediente digital formado en el SAIMEX, </w:t>
      </w:r>
      <w:r w:rsidR="00C9754A" w:rsidRPr="00EC5CCF">
        <w:rPr>
          <w:rFonts w:ascii="Palatino Linotype" w:eastAsia="Palatino Linotype" w:hAnsi="Palatino Linotype" w:cs="Palatino Linotype"/>
          <w:color w:val="000000"/>
        </w:rPr>
        <w:t xml:space="preserve">se advierte que la solicitud de información </w:t>
      </w:r>
      <w:r w:rsidR="00C9754A" w:rsidRPr="00EC5CCF">
        <w:rPr>
          <w:rFonts w:ascii="Palatino Linotype" w:eastAsia="Palatino Linotype" w:hAnsi="Palatino Linotype" w:cs="Palatino Linotype"/>
          <w:b/>
          <w:bCs/>
          <w:color w:val="000000"/>
        </w:rPr>
        <w:t>00722/ZINACANT/IP/2023</w:t>
      </w:r>
      <w:r w:rsidR="00C9754A" w:rsidRPr="00EC5CCF">
        <w:rPr>
          <w:rFonts w:ascii="Palatino Linotype" w:eastAsia="Palatino Linotype" w:hAnsi="Palatino Linotype" w:cs="Palatino Linotype"/>
          <w:color w:val="000000"/>
        </w:rPr>
        <w:t xml:space="preserve"> se presentó el </w:t>
      </w:r>
      <w:r w:rsidR="006574A4" w:rsidRPr="00EC5CCF">
        <w:rPr>
          <w:rFonts w:ascii="Palatino Linotype" w:eastAsia="Palatino Linotype" w:hAnsi="Palatino Linotype" w:cs="Palatino Linotype"/>
          <w:color w:val="000000"/>
        </w:rPr>
        <w:t xml:space="preserve">treinta y uno (31) de julio de dos mil veintitrés; sin embargo, el plazo con el que cuenta el Órgano Superior de Fiscalización del Estado de México para publicar el Informe de Cuenta pública </w:t>
      </w:r>
      <w:r w:rsidR="00DE764B" w:rsidRPr="00EC5CCF">
        <w:rPr>
          <w:rFonts w:ascii="Palatino Linotype" w:eastAsia="Palatino Linotype" w:hAnsi="Palatino Linotype" w:cs="Palatino Linotype"/>
          <w:color w:val="000000"/>
        </w:rPr>
        <w:t>es hasta el quince (15) de noviembre.</w:t>
      </w:r>
    </w:p>
    <w:p w14:paraId="56A29847" w14:textId="77777777" w:rsidR="005A665E" w:rsidRPr="00EC5CCF" w:rsidRDefault="005A665E" w:rsidP="005A665E">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EE3FD04" w14:textId="4D02187F" w:rsidR="005A665E" w:rsidRPr="00EC5CCF" w:rsidRDefault="00DE764B" w:rsidP="00C375DB">
      <w:pPr>
        <w:numPr>
          <w:ilvl w:val="0"/>
          <w:numId w:val="6"/>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sidRPr="00EC5CCF">
        <w:rPr>
          <w:rFonts w:ascii="Palatino Linotype" w:eastAsia="Palatino Linotype" w:hAnsi="Palatino Linotype" w:cs="Palatino Linotype"/>
          <w:color w:val="000000"/>
        </w:rPr>
        <w:t xml:space="preserve">Por ello, si es el caso que para la fecha en que se presentó la solicitud de información, el </w:t>
      </w:r>
      <w:r w:rsidRPr="00EC5CCF">
        <w:rPr>
          <w:rFonts w:ascii="Palatino Linotype" w:eastAsia="Palatino Linotype" w:hAnsi="Palatino Linotype" w:cs="Palatino Linotype"/>
          <w:b/>
          <w:bCs/>
          <w:color w:val="000000"/>
        </w:rPr>
        <w:t>SUJETO OBLIGADO</w:t>
      </w:r>
      <w:r w:rsidRPr="00EC5CCF">
        <w:rPr>
          <w:rFonts w:ascii="Palatino Linotype" w:eastAsia="Palatino Linotype" w:hAnsi="Palatino Linotype" w:cs="Palatino Linotype"/>
          <w:color w:val="000000"/>
        </w:rPr>
        <w:t xml:space="preserve"> aún no tenía conocimiento de ninguna de las observaciones expuestas en el Informe de Cuenta Pública Municipal 2022 de Zinacantepec, deberá hacerlo del conocimeinto de la </w:t>
      </w:r>
      <w:r w:rsidRPr="00EC5CCF">
        <w:rPr>
          <w:rFonts w:ascii="Palatino Linotype" w:eastAsia="Palatino Linotype" w:hAnsi="Palatino Linotype" w:cs="Palatino Linotype"/>
          <w:b/>
          <w:bCs/>
          <w:color w:val="000000"/>
        </w:rPr>
        <w:t>RECURRENTE</w:t>
      </w:r>
      <w:r w:rsidRPr="00EC5CCF">
        <w:rPr>
          <w:rFonts w:ascii="Palatino Linotype" w:eastAsia="Palatino Linotype" w:hAnsi="Palatino Linotype" w:cs="Palatino Linotype"/>
          <w:color w:val="000000"/>
        </w:rPr>
        <w:t xml:space="preserve">, conforme a lo establecido por el segundo párrafo del artículo </w:t>
      </w:r>
      <w:r w:rsidR="00EC79DA" w:rsidRPr="00EC5CCF">
        <w:rPr>
          <w:rFonts w:ascii="Palatino Linotype" w:eastAsia="Palatino Linotype" w:hAnsi="Palatino Linotype" w:cs="Palatino Linotype"/>
          <w:color w:val="000000"/>
        </w:rPr>
        <w:t>19 de la Ley de Transparencia y Acceso a la Información Pública del Estado de México y Municpios</w:t>
      </w:r>
      <w:r w:rsidR="00C375DB" w:rsidRPr="00EC5CCF">
        <w:rPr>
          <w:rStyle w:val="Refdenotaalpie"/>
          <w:rFonts w:ascii="Palatino Linotype" w:eastAsia="Palatino Linotype" w:hAnsi="Palatino Linotype" w:cs="Palatino Linotype"/>
          <w:color w:val="000000"/>
        </w:rPr>
        <w:footnoteReference w:id="22"/>
      </w:r>
      <w:r w:rsidR="00C375DB" w:rsidRPr="00EC5CCF">
        <w:rPr>
          <w:rFonts w:ascii="Palatino Linotype" w:eastAsia="Palatino Linotype" w:hAnsi="Palatino Linotype" w:cs="Palatino Linotype"/>
          <w:color w:val="000000"/>
        </w:rPr>
        <w:t>.</w:t>
      </w:r>
    </w:p>
    <w:p w14:paraId="39083388" w14:textId="77777777" w:rsidR="00362BDC" w:rsidRPr="00362BDC" w:rsidRDefault="00362BDC" w:rsidP="00C375DB">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b/>
          <w:bCs/>
          <w:color w:val="000000"/>
        </w:rPr>
      </w:pPr>
    </w:p>
    <w:p w14:paraId="3B4E4577" w14:textId="77777777" w:rsidR="00566919" w:rsidRDefault="00072F7A">
      <w:pPr>
        <w:pStyle w:val="Ttulo2"/>
        <w:spacing w:before="0" w:line="360" w:lineRule="auto"/>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lastRenderedPageBreak/>
        <w:t>QUINTO. Versión pública.</w:t>
      </w:r>
    </w:p>
    <w:p w14:paraId="44CBAB17"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546F686C" w14:textId="77777777" w:rsidR="00566919" w:rsidRDefault="00072F7A">
      <w:pPr>
        <w:numPr>
          <w:ilvl w:val="0"/>
          <w:numId w:val="6"/>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Debe destacarse que, debido a la naturaleza de la información solicitada, 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5105D39F"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794532D" w14:textId="77777777" w:rsidR="00566919" w:rsidRDefault="00072F7A">
      <w:pPr>
        <w:numPr>
          <w:ilvl w:val="0"/>
          <w:numId w:val="6"/>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w:t>
      </w:r>
      <w:r>
        <w:rPr>
          <w:rFonts w:ascii="Palatino Linotype" w:eastAsia="Palatino Linotype" w:hAnsi="Palatino Linotype" w:cs="Palatino Linotype"/>
        </w:rPr>
        <w:t xml:space="preserve">clasificación total o parcial de la información requerida, mediante solicitud de acceso a la información pública, constituye una restricción al derecho humano de acceso a la información. </w:t>
      </w:r>
      <w:r>
        <w:rPr>
          <w:rFonts w:ascii="Palatino Linotype" w:eastAsia="Palatino Linotype" w:hAnsi="Palatino Linotype" w:cs="Palatino Linotype"/>
          <w:color w:val="000000"/>
        </w:rPr>
        <w:t>Actualmente, el grave problema que enfrentamos son los Acuerdos de Clasificación de la Información que emiten los Sujetos Obligados,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4047CC13"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tbl>
      <w:tblPr>
        <w:tblStyle w:val="a7"/>
        <w:tblW w:w="88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38"/>
        <w:gridCol w:w="6990"/>
      </w:tblGrid>
      <w:tr w:rsidR="00566919" w14:paraId="0A94E6D8" w14:textId="77777777">
        <w:tc>
          <w:tcPr>
            <w:tcW w:w="1838" w:type="dxa"/>
          </w:tcPr>
          <w:p w14:paraId="1D6CCFDE" w14:textId="77777777" w:rsidR="00566919" w:rsidRDefault="00072F7A">
            <w:pPr>
              <w:spacing w:line="276" w:lineRule="auto"/>
              <w:rPr>
                <w:rFonts w:ascii="Palatino Linotype" w:eastAsia="Palatino Linotype" w:hAnsi="Palatino Linotype" w:cs="Palatino Linotype"/>
              </w:rPr>
            </w:pPr>
            <w:r>
              <w:rPr>
                <w:rFonts w:ascii="Palatino Linotype" w:eastAsia="Palatino Linotype" w:hAnsi="Palatino Linotype" w:cs="Palatino Linotype"/>
              </w:rPr>
              <w:t>a) Requisitos previos.</w:t>
            </w:r>
          </w:p>
        </w:tc>
        <w:tc>
          <w:tcPr>
            <w:tcW w:w="6990" w:type="dxa"/>
          </w:tcPr>
          <w:p w14:paraId="726F3EC1" w14:textId="77777777" w:rsidR="00566919" w:rsidRDefault="00072F7A">
            <w:pPr>
              <w:spacing w:line="276"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Los artículos 100 y 122 de la Ley Estatal y de la Ley General, respectivamente, señalan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si los Sujetos Obligados determinan que la información actualiza alguno de los supuestos de clasificación, es deber de los titulares de las áreas proponer su clasificación y no del Comité de Transparencia. </w:t>
            </w:r>
          </w:p>
          <w:p w14:paraId="30C75A6A" w14:textId="77777777" w:rsidR="00566919" w:rsidRDefault="00566919">
            <w:pPr>
              <w:spacing w:line="276" w:lineRule="auto"/>
              <w:ind w:right="49"/>
              <w:jc w:val="both"/>
              <w:rPr>
                <w:rFonts w:ascii="Palatino Linotype" w:eastAsia="Palatino Linotype" w:hAnsi="Palatino Linotype" w:cs="Palatino Linotype"/>
              </w:rPr>
            </w:pPr>
          </w:p>
          <w:p w14:paraId="6AE4685A" w14:textId="77777777" w:rsidR="00566919" w:rsidRDefault="00072F7A">
            <w:pPr>
              <w:spacing w:line="276"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Al hacerlo tienen que precisar de qué información se trata, señalando el supuesto de clasificación (confidencialidad o reserva).</w:t>
            </w:r>
          </w:p>
          <w:p w14:paraId="57842859" w14:textId="77777777" w:rsidR="00566919" w:rsidRDefault="00072F7A">
            <w:pPr>
              <w:spacing w:line="276"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Además, se debe señalar el procedimiento, de los tres que establecen los artículos 132 y 106 de la Ley Estatal y General, respectivamente.</w:t>
            </w:r>
          </w:p>
          <w:p w14:paraId="040CCE81" w14:textId="77777777" w:rsidR="00566919" w:rsidRDefault="00566919">
            <w:pPr>
              <w:spacing w:line="276" w:lineRule="auto"/>
              <w:ind w:right="49"/>
              <w:jc w:val="both"/>
              <w:rPr>
                <w:rFonts w:ascii="Palatino Linotype" w:eastAsia="Palatino Linotype" w:hAnsi="Palatino Linotype" w:cs="Palatino Linotype"/>
              </w:rPr>
            </w:pPr>
          </w:p>
          <w:p w14:paraId="7A5ADB1D" w14:textId="77777777" w:rsidR="00566919" w:rsidRDefault="00072F7A">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último de estos requisitos previos consiste en que no se pueden emitir acuerdos de carácter general ni particular, esto es, </w:t>
            </w:r>
            <w:r>
              <w:rPr>
                <w:rFonts w:ascii="Palatino Linotype" w:eastAsia="Palatino Linotype" w:hAnsi="Palatino Linotype" w:cs="Palatino Linotype"/>
                <w:u w:val="single"/>
              </w:rPr>
              <w:t xml:space="preserve">no se puede hacer un acuerdo para clasificar de manera general todos los documentos de un expediente o área,  </w:t>
            </w:r>
            <w:r>
              <w:rPr>
                <w:rFonts w:ascii="Palatino Linotype" w:eastAsia="Palatino Linotype" w:hAnsi="Palatino Linotype" w:cs="Palatino Linotype"/>
              </w:rPr>
              <w:t>sin individualizar su análisis y tampoco se puede hacer un acuerdo por cada dato que se vaya a clasificar dentro de un documento con diez datos, por ejemplo, susceptibles de ser clasificados.</w:t>
            </w:r>
          </w:p>
        </w:tc>
      </w:tr>
      <w:tr w:rsidR="00566919" w14:paraId="48CF7831" w14:textId="77777777">
        <w:tc>
          <w:tcPr>
            <w:tcW w:w="1838" w:type="dxa"/>
          </w:tcPr>
          <w:p w14:paraId="0D6890F6" w14:textId="77777777" w:rsidR="00566919" w:rsidRDefault="00072F7A">
            <w:pPr>
              <w:spacing w:line="276" w:lineRule="auto"/>
              <w:rPr>
                <w:rFonts w:ascii="Palatino Linotype" w:eastAsia="Palatino Linotype" w:hAnsi="Palatino Linotype" w:cs="Palatino Linotype"/>
              </w:rPr>
            </w:pPr>
            <w:r>
              <w:rPr>
                <w:rFonts w:ascii="Palatino Linotype" w:eastAsia="Palatino Linotype" w:hAnsi="Palatino Linotype" w:cs="Palatino Linotype"/>
              </w:rPr>
              <w:lastRenderedPageBreak/>
              <w:t>b) Supuestos de clasificación.</w:t>
            </w:r>
          </w:p>
        </w:tc>
        <w:tc>
          <w:tcPr>
            <w:tcW w:w="6990" w:type="dxa"/>
          </w:tcPr>
          <w:p w14:paraId="7F8DF273" w14:textId="77777777" w:rsidR="00566919" w:rsidRDefault="00072F7A">
            <w:pPr>
              <w:spacing w:line="276"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Las disposiciones constitucionales y legales en la materia establecen los dos supuestos generales para clasificar la información: por reserva y por confidencialidad.</w:t>
            </w:r>
          </w:p>
          <w:p w14:paraId="039B11C1" w14:textId="77777777" w:rsidR="00566919" w:rsidRDefault="00566919">
            <w:pPr>
              <w:spacing w:line="276" w:lineRule="auto"/>
              <w:ind w:right="49"/>
              <w:jc w:val="both"/>
              <w:rPr>
                <w:rFonts w:ascii="Palatino Linotype" w:eastAsia="Palatino Linotype" w:hAnsi="Palatino Linotype" w:cs="Palatino Linotype"/>
              </w:rPr>
            </w:pPr>
          </w:p>
          <w:p w14:paraId="6F04C2D9" w14:textId="77777777" w:rsidR="00566919" w:rsidRDefault="00072F7A">
            <w:pPr>
              <w:spacing w:line="276"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24B3DF57" w14:textId="77777777" w:rsidR="00566919" w:rsidRDefault="00566919">
            <w:pPr>
              <w:spacing w:line="276" w:lineRule="auto"/>
              <w:ind w:right="49"/>
              <w:jc w:val="both"/>
              <w:rPr>
                <w:rFonts w:ascii="Palatino Linotype" w:eastAsia="Palatino Linotype" w:hAnsi="Palatino Linotype" w:cs="Palatino Linotype"/>
              </w:rPr>
            </w:pPr>
          </w:p>
          <w:p w14:paraId="238BE4A6" w14:textId="77777777" w:rsidR="00566919" w:rsidRDefault="00072F7A">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566919" w14:paraId="766356F8" w14:textId="77777777">
        <w:tc>
          <w:tcPr>
            <w:tcW w:w="1838" w:type="dxa"/>
          </w:tcPr>
          <w:p w14:paraId="5A42B901" w14:textId="77777777" w:rsidR="00566919" w:rsidRDefault="00072F7A">
            <w:pPr>
              <w:spacing w:line="276" w:lineRule="auto"/>
              <w:rPr>
                <w:rFonts w:ascii="Palatino Linotype" w:eastAsia="Palatino Linotype" w:hAnsi="Palatino Linotype" w:cs="Palatino Linotype"/>
              </w:rPr>
            </w:pPr>
            <w:r>
              <w:rPr>
                <w:rFonts w:ascii="Palatino Linotype" w:eastAsia="Palatino Linotype" w:hAnsi="Palatino Linotype" w:cs="Palatino Linotype"/>
              </w:rPr>
              <w:t>c) Formalidades para emitir el acuerdo de clasificación.</w:t>
            </w:r>
          </w:p>
        </w:tc>
        <w:tc>
          <w:tcPr>
            <w:tcW w:w="6990" w:type="dxa"/>
          </w:tcPr>
          <w:p w14:paraId="4CC046F6" w14:textId="77777777" w:rsidR="00566919" w:rsidRDefault="00072F7A">
            <w:pPr>
              <w:spacing w:line="276"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Comité de Transparencia, según lo dispuesto en los artículos cuenta con las facultades para aprobar, modificar o revocar la clasificación de la información que haya propuesto. </w:t>
            </w:r>
          </w:p>
          <w:p w14:paraId="076F1EEA" w14:textId="77777777" w:rsidR="00566919" w:rsidRDefault="00566919">
            <w:pPr>
              <w:spacing w:line="276" w:lineRule="auto"/>
              <w:ind w:right="49"/>
              <w:jc w:val="both"/>
              <w:rPr>
                <w:rFonts w:ascii="Palatino Linotype" w:eastAsia="Palatino Linotype" w:hAnsi="Palatino Linotype" w:cs="Palatino Linotype"/>
              </w:rPr>
            </w:pPr>
          </w:p>
          <w:p w14:paraId="4D01BECA" w14:textId="77777777" w:rsidR="00566919" w:rsidRDefault="00072F7A">
            <w:pPr>
              <w:spacing w:line="276"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necesario que </w:t>
            </w:r>
            <w:r>
              <w:rPr>
                <w:rFonts w:ascii="Palatino Linotype" w:eastAsia="Palatino Linotype" w:hAnsi="Palatino Linotype" w:cs="Palatino Linotype"/>
                <w:b/>
                <w:u w:val="single"/>
              </w:rPr>
              <w:t>el acto reúna con los requisitos elementales</w:t>
            </w:r>
            <w:r>
              <w:rPr>
                <w:rFonts w:ascii="Palatino Linotype" w:eastAsia="Palatino Linotype" w:hAnsi="Palatino Linotype" w:cs="Palatino Linotype"/>
              </w:rPr>
              <w:t>, entre ellos, que la autoridad que va a emitir el acto de autoridad sea la legalmente facultada para ello.</w:t>
            </w:r>
          </w:p>
          <w:p w14:paraId="570125AC" w14:textId="77777777" w:rsidR="00566919" w:rsidRDefault="00566919">
            <w:pPr>
              <w:spacing w:line="276" w:lineRule="auto"/>
              <w:ind w:right="49"/>
              <w:jc w:val="both"/>
              <w:rPr>
                <w:rFonts w:ascii="Palatino Linotype" w:eastAsia="Palatino Linotype" w:hAnsi="Palatino Linotype" w:cs="Palatino Linotype"/>
              </w:rPr>
            </w:pPr>
          </w:p>
          <w:p w14:paraId="620F0C9A" w14:textId="77777777" w:rsidR="00566919" w:rsidRDefault="00072F7A">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566919" w14:paraId="6726D5AD" w14:textId="77777777">
        <w:tc>
          <w:tcPr>
            <w:tcW w:w="1838" w:type="dxa"/>
          </w:tcPr>
          <w:p w14:paraId="5C0C5EEE" w14:textId="77777777" w:rsidR="00566919" w:rsidRDefault="00566919">
            <w:pPr>
              <w:spacing w:line="276" w:lineRule="auto"/>
              <w:rPr>
                <w:rFonts w:ascii="Palatino Linotype" w:eastAsia="Palatino Linotype" w:hAnsi="Palatino Linotype" w:cs="Palatino Linotype"/>
              </w:rPr>
            </w:pPr>
          </w:p>
          <w:p w14:paraId="61A2AD72" w14:textId="77777777" w:rsidR="00566919" w:rsidRDefault="00072F7A">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 Requisitos de fondo del acuerdo de clasificación. </w:t>
            </w:r>
          </w:p>
        </w:tc>
        <w:tc>
          <w:tcPr>
            <w:tcW w:w="6990" w:type="dxa"/>
          </w:tcPr>
          <w:p w14:paraId="38E4D837" w14:textId="77777777" w:rsidR="00566919" w:rsidRDefault="00072F7A">
            <w:pPr>
              <w:spacing w:line="276"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Pr>
                <w:rFonts w:ascii="Palatino Linotype" w:eastAsia="Palatino Linotype" w:hAnsi="Palatino Linotype" w:cs="Palatino Linotype"/>
                <w:b/>
              </w:rPr>
              <w:t>Sujetos Obligados</w:t>
            </w:r>
            <w:r>
              <w:rPr>
                <w:rFonts w:ascii="Palatino Linotype" w:eastAsia="Palatino Linotype" w:hAnsi="Palatino Linotype" w:cs="Palatino Linotype"/>
              </w:rPr>
              <w:t xml:space="preserve">, por lo que deberán fundar y motivar debidamente la clasificación. </w:t>
            </w:r>
          </w:p>
          <w:p w14:paraId="3E477BBD" w14:textId="77777777" w:rsidR="00566919" w:rsidRDefault="00566919">
            <w:pPr>
              <w:spacing w:line="276" w:lineRule="auto"/>
              <w:ind w:right="49"/>
              <w:jc w:val="both"/>
              <w:rPr>
                <w:rFonts w:ascii="Palatino Linotype" w:eastAsia="Palatino Linotype" w:hAnsi="Palatino Linotype" w:cs="Palatino Linotype"/>
              </w:rPr>
            </w:pPr>
          </w:p>
          <w:p w14:paraId="5762DF9E" w14:textId="77777777" w:rsidR="00566919" w:rsidRDefault="00072F7A">
            <w:pPr>
              <w:spacing w:line="276"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desprende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para una correcta </w:t>
            </w:r>
            <w:r>
              <w:rPr>
                <w:rFonts w:ascii="Palatino Linotype" w:eastAsia="Palatino Linotype" w:hAnsi="Palatino Linotype" w:cs="Palatino Linotype"/>
                <w:b/>
              </w:rPr>
              <w:t>clasificación total o parcial</w:t>
            </w:r>
            <w:r>
              <w:rPr>
                <w:rFonts w:ascii="Palatino Linotype" w:eastAsia="Palatino Linotype" w:hAnsi="Palatino Linotype" w:cs="Palatino Linotype"/>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729A810" w14:textId="77777777" w:rsidR="00566919" w:rsidRDefault="00566919">
            <w:pPr>
              <w:spacing w:line="276" w:lineRule="auto"/>
              <w:ind w:right="49"/>
              <w:jc w:val="both"/>
              <w:rPr>
                <w:rFonts w:ascii="Palatino Linotype" w:eastAsia="Palatino Linotype" w:hAnsi="Palatino Linotype" w:cs="Palatino Linotype"/>
              </w:rPr>
            </w:pPr>
          </w:p>
          <w:p w14:paraId="6421245C" w14:textId="77777777" w:rsidR="00566919" w:rsidRDefault="00072F7A">
            <w:pPr>
              <w:spacing w:line="276"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667CC040" w14:textId="77777777" w:rsidR="00566919" w:rsidRDefault="00566919">
            <w:pPr>
              <w:spacing w:line="276" w:lineRule="auto"/>
              <w:ind w:right="49"/>
              <w:jc w:val="both"/>
              <w:rPr>
                <w:rFonts w:ascii="Palatino Linotype" w:eastAsia="Palatino Linotype" w:hAnsi="Palatino Linotype" w:cs="Palatino Linotype"/>
              </w:rPr>
            </w:pPr>
          </w:p>
          <w:p w14:paraId="5AE8477E" w14:textId="77777777" w:rsidR="00566919" w:rsidRDefault="00072F7A">
            <w:pPr>
              <w:spacing w:line="276"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ese mismo sentido, el numeral trigésimo tercero fracción V de los Lineamientos Generales, precisa que para motivar la clasificación se deben acreditar las circunstancias de tiempo, modo y lugar.</w:t>
            </w:r>
          </w:p>
          <w:p w14:paraId="1C0B8A5D" w14:textId="77777777" w:rsidR="00566919" w:rsidRDefault="00566919">
            <w:pPr>
              <w:spacing w:line="276" w:lineRule="auto"/>
              <w:ind w:right="49"/>
              <w:jc w:val="both"/>
              <w:rPr>
                <w:rFonts w:ascii="Palatino Linotype" w:eastAsia="Palatino Linotype" w:hAnsi="Palatino Linotype" w:cs="Palatino Linotype"/>
              </w:rPr>
            </w:pPr>
          </w:p>
          <w:p w14:paraId="01C7C03F" w14:textId="77777777" w:rsidR="00566919" w:rsidRDefault="00072F7A">
            <w:pPr>
              <w:spacing w:line="276"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w:t>
            </w:r>
            <w:r>
              <w:rPr>
                <w:rFonts w:ascii="Palatino Linotype" w:eastAsia="Palatino Linotype" w:hAnsi="Palatino Linotype" w:cs="Palatino Linotype"/>
                <w:b/>
                <w:u w:val="single"/>
              </w:rPr>
              <w:t>para cada caso además de fundar y motivar</w:t>
            </w:r>
            <w:r>
              <w:rPr>
                <w:rFonts w:ascii="Palatino Linotype" w:eastAsia="Palatino Linotype" w:hAnsi="Palatino Linotype" w:cs="Palatino Linotype"/>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566919" w14:paraId="384659F5" w14:textId="77777777">
        <w:tc>
          <w:tcPr>
            <w:tcW w:w="1838" w:type="dxa"/>
          </w:tcPr>
          <w:p w14:paraId="57E02ECE" w14:textId="77777777" w:rsidR="00566919" w:rsidRDefault="00072F7A">
            <w:pPr>
              <w:spacing w:line="276"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 Condiciones especiales de la clasificación de la información como confidencial. </w:t>
            </w:r>
          </w:p>
          <w:p w14:paraId="4E708753" w14:textId="77777777" w:rsidR="00566919" w:rsidRDefault="00566919">
            <w:pPr>
              <w:spacing w:line="276" w:lineRule="auto"/>
              <w:rPr>
                <w:rFonts w:ascii="Palatino Linotype" w:eastAsia="Palatino Linotype" w:hAnsi="Palatino Linotype" w:cs="Palatino Linotype"/>
              </w:rPr>
            </w:pPr>
          </w:p>
        </w:tc>
        <w:tc>
          <w:tcPr>
            <w:tcW w:w="6990" w:type="dxa"/>
          </w:tcPr>
          <w:p w14:paraId="4E0469F9" w14:textId="77777777" w:rsidR="00566919" w:rsidRDefault="00072F7A">
            <w:pPr>
              <w:spacing w:line="276"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Los artículos 148 y 120 de la Ley Estatal y de la Ley General, respectivamente, establecen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aun tratándose de datos personales, se podrán proporcionar, incluso sin solicitar el consentimiento de su titular. </w:t>
            </w:r>
          </w:p>
          <w:p w14:paraId="1A6241BD" w14:textId="77777777" w:rsidR="00566919" w:rsidRDefault="00566919">
            <w:pPr>
              <w:spacing w:line="276" w:lineRule="auto"/>
              <w:ind w:right="49"/>
              <w:jc w:val="both"/>
              <w:rPr>
                <w:rFonts w:ascii="Palatino Linotype" w:eastAsia="Palatino Linotype" w:hAnsi="Palatino Linotype" w:cs="Palatino Linotype"/>
              </w:rPr>
            </w:pPr>
          </w:p>
          <w:p w14:paraId="46809FB0" w14:textId="77777777" w:rsidR="00566919" w:rsidRDefault="00072F7A">
            <w:pPr>
              <w:spacing w:line="276"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F7B0D56" w14:textId="77777777" w:rsidR="00566919" w:rsidRDefault="00566919">
            <w:pPr>
              <w:spacing w:line="276" w:lineRule="auto"/>
              <w:ind w:right="49"/>
              <w:jc w:val="both"/>
              <w:rPr>
                <w:rFonts w:ascii="Palatino Linotype" w:eastAsia="Palatino Linotype" w:hAnsi="Palatino Linotype" w:cs="Palatino Linotype"/>
              </w:rPr>
            </w:pPr>
          </w:p>
          <w:p w14:paraId="3EBB7362" w14:textId="77777777" w:rsidR="00566919" w:rsidRDefault="00072F7A">
            <w:pPr>
              <w:spacing w:line="276" w:lineRule="auto"/>
              <w:rPr>
                <w:rFonts w:ascii="Palatino Linotype" w:eastAsia="Palatino Linotype" w:hAnsi="Palatino Linotype" w:cs="Palatino Linotype"/>
              </w:rPr>
            </w:pPr>
            <w:r>
              <w:rPr>
                <w:rFonts w:ascii="Palatino Linotype" w:eastAsia="Palatino Linotype" w:hAnsi="Palatino Linotype" w:cs="Palatino Linotype"/>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7DF5E04B" w14:textId="77777777" w:rsidR="00566919" w:rsidRDefault="00072F7A">
      <w:pPr>
        <w:pStyle w:val="Ttulo2"/>
        <w:spacing w:before="0" w:line="360" w:lineRule="auto"/>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SEXTO. Decisión.</w:t>
      </w:r>
    </w:p>
    <w:p w14:paraId="5CAAAAB6"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1A63DF90" w14:textId="77777777" w:rsidR="00566919" w:rsidRDefault="00072F7A">
      <w:pPr>
        <w:numPr>
          <w:ilvl w:val="0"/>
          <w:numId w:val="6"/>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bookmarkStart w:id="11" w:name="_heading=h.3rdcrjn" w:colFirst="0" w:colLast="0"/>
      <w:bookmarkEnd w:id="11"/>
      <w:r>
        <w:rPr>
          <w:rFonts w:ascii="Palatino Linotype" w:eastAsia="Palatino Linotype" w:hAnsi="Palatino Linotype" w:cs="Palatino Linotype"/>
          <w:color w:val="000000"/>
        </w:rPr>
        <w:t xml:space="preserve">Dentro del presente estudio, se analizaron las atribuciones del Órgano Superior de Fiscalización del Estado de México, con lo que se estableció que este órgano, dependiente del Poder Legislativo, se encarga </w:t>
      </w:r>
      <w:proofErr w:type="gramStart"/>
      <w:r>
        <w:rPr>
          <w:rFonts w:ascii="Palatino Linotype" w:eastAsia="Palatino Linotype" w:hAnsi="Palatino Linotype" w:cs="Palatino Linotype"/>
          <w:color w:val="000000"/>
        </w:rPr>
        <w:t xml:space="preserve">de  </w:t>
      </w:r>
      <w:r>
        <w:rPr>
          <w:rFonts w:ascii="Palatino Linotype" w:eastAsia="Palatino Linotype" w:hAnsi="Palatino Linotype" w:cs="Palatino Linotype"/>
        </w:rPr>
        <w:t>de</w:t>
      </w:r>
      <w:proofErr w:type="gramEnd"/>
      <w:r>
        <w:rPr>
          <w:rFonts w:ascii="Palatino Linotype" w:eastAsia="Palatino Linotype" w:hAnsi="Palatino Linotype" w:cs="Palatino Linotype"/>
        </w:rPr>
        <w:t xml:space="preserve"> vigilar el uso de recursos públicos por parte de las entidades fiscalizables, a nivel estatal y municipal, con el </w:t>
      </w:r>
      <w:r>
        <w:rPr>
          <w:rFonts w:ascii="Palatino Linotype" w:eastAsia="Palatino Linotype" w:hAnsi="Palatino Linotype" w:cs="Palatino Linotype"/>
        </w:rPr>
        <w:lastRenderedPageBreak/>
        <w:t xml:space="preserve">objetivo de prevenir y sancionar posibles actos de corrupción. </w:t>
      </w:r>
      <w:r>
        <w:rPr>
          <w:rFonts w:ascii="Palatino Linotype" w:eastAsia="Palatino Linotype" w:hAnsi="Palatino Linotype" w:cs="Palatino Linotype"/>
          <w:color w:val="000000"/>
        </w:rPr>
        <w:t xml:space="preserve">De ahí, se identificó el Informe de Resultados del Ejercicio Fiscal 2022, de las Entidades Municipales; cuyo </w:t>
      </w:r>
      <w:r>
        <w:rPr>
          <w:rFonts w:ascii="Palatino Linotype" w:eastAsia="Palatino Linotype" w:hAnsi="Palatino Linotype" w:cs="Palatino Linotype"/>
          <w:i/>
          <w:color w:val="000000"/>
        </w:rPr>
        <w:t>Tomo I. Municipios</w:t>
      </w:r>
      <w:r>
        <w:rPr>
          <w:rFonts w:ascii="Palatino Linotype" w:eastAsia="Palatino Linotype" w:hAnsi="Palatino Linotype" w:cs="Palatino Linotype"/>
          <w:color w:val="000000"/>
        </w:rPr>
        <w:t>, Volumen 123</w:t>
      </w:r>
      <w:r>
        <w:rPr>
          <w:rFonts w:ascii="Palatino Linotype" w:eastAsia="Palatino Linotype" w:hAnsi="Palatino Linotype" w:cs="Palatino Linotype"/>
          <w:color w:val="000000"/>
          <w:vertAlign w:val="superscript"/>
        </w:rPr>
        <w:footnoteReference w:id="23"/>
      </w:r>
      <w:r>
        <w:rPr>
          <w:rFonts w:ascii="Palatino Linotype" w:eastAsia="Palatino Linotype" w:hAnsi="Palatino Linotype" w:cs="Palatino Linotype"/>
          <w:color w:val="000000"/>
        </w:rPr>
        <w:t xml:space="preserve">, corresponde al informe específico del Ayuntamiento de Zinacantepec, dentro del cual, el Órgano Superior de Fiscalización expuso 10 observaciones. </w:t>
      </w:r>
    </w:p>
    <w:p w14:paraId="048449D1"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62109ABC" w14:textId="77777777" w:rsidR="00566919" w:rsidRDefault="00072F7A">
      <w:pPr>
        <w:numPr>
          <w:ilvl w:val="0"/>
          <w:numId w:val="6"/>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las cosas, se concluyó que la Unidad de Transparencia no había turnado la solicitud de información a todas las áreas administrativas que, por la naturaleza de sus atribuciones, tuvieran competencia para poseer la información solicitada; por lo que se concluyó ordenar una nueva búsqueda de la información.</w:t>
      </w:r>
    </w:p>
    <w:p w14:paraId="320D06E6"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38CE6EE9" w14:textId="77777777" w:rsidR="00566919" w:rsidRDefault="00072F7A">
      <w:pPr>
        <w:numPr>
          <w:ilvl w:val="0"/>
          <w:numId w:val="6"/>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w:t>
      </w:r>
      <w:r>
        <w:rPr>
          <w:rFonts w:ascii="Palatino Linotype" w:eastAsia="Palatino Linotype" w:hAnsi="Palatino Linotype" w:cs="Palatino Linotype"/>
        </w:rPr>
        <w:t xml:space="preserve">lo tanto, en consecuencia y en mérito de lo expuesto en líneas anteriores, resultan fundadas las razones o motivos de inconformidad hechos valer por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dentro del recurso de revisión </w:t>
      </w:r>
      <w:r>
        <w:rPr>
          <w:rFonts w:ascii="Palatino Linotype" w:eastAsia="Palatino Linotype" w:hAnsi="Palatino Linotype" w:cs="Palatino Linotype"/>
          <w:b/>
        </w:rPr>
        <w:t>05658/INFOEM/IP/RR/2023</w:t>
      </w:r>
      <w:r>
        <w:rPr>
          <w:rFonts w:ascii="Palatino Linotype" w:eastAsia="Palatino Linotype" w:hAnsi="Palatino Linotype" w:cs="Palatino Linotype"/>
        </w:rPr>
        <w:t xml:space="preserve">; por ello, y con fundamento en la fracción III, del numeral 186 de la Ley de Transparencia y Acceso a la Información Pública del Estado de México y Municipios, se </w:t>
      </w:r>
      <w:r>
        <w:rPr>
          <w:rFonts w:ascii="Palatino Linotype" w:eastAsia="Palatino Linotype" w:hAnsi="Palatino Linotype" w:cs="Palatino Linotype"/>
          <w:b/>
        </w:rPr>
        <w:t>REVOCA</w:t>
      </w:r>
      <w:r>
        <w:rPr>
          <w:rFonts w:ascii="Palatino Linotype" w:eastAsia="Palatino Linotype" w:hAnsi="Palatino Linotype" w:cs="Palatino Linotype"/>
        </w:rPr>
        <w:t xml:space="preserve"> la respuesta a la solicitud de información número </w:t>
      </w:r>
      <w:r>
        <w:rPr>
          <w:rFonts w:ascii="Palatino Linotype" w:eastAsia="Palatino Linotype" w:hAnsi="Palatino Linotype" w:cs="Palatino Linotype"/>
          <w:b/>
        </w:rPr>
        <w:t>00722/ZINACANT/IP/2023</w:t>
      </w:r>
      <w:r>
        <w:rPr>
          <w:rFonts w:ascii="Palatino Linotype" w:eastAsia="Palatino Linotype" w:hAnsi="Palatino Linotype" w:cs="Palatino Linotype"/>
        </w:rPr>
        <w:t>.</w:t>
      </w:r>
    </w:p>
    <w:p w14:paraId="6281B3D0" w14:textId="77777777" w:rsidR="00566919" w:rsidRDefault="00566919">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p>
    <w:p w14:paraId="24DC243B" w14:textId="77777777" w:rsidR="00566919" w:rsidRDefault="00072F7A">
      <w:pPr>
        <w:numPr>
          <w:ilvl w:val="0"/>
          <w:numId w:val="6"/>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anteriormente expuesto y fundado, este </w:t>
      </w:r>
      <w:r>
        <w:rPr>
          <w:rFonts w:ascii="Palatino Linotype" w:eastAsia="Palatino Linotype" w:hAnsi="Palatino Linotype" w:cs="Palatino Linotype"/>
          <w:b/>
          <w:color w:val="000000"/>
        </w:rPr>
        <w:t>ÓRGANO GARANTE</w:t>
      </w:r>
      <w:r>
        <w:rPr>
          <w:rFonts w:ascii="Palatino Linotype" w:eastAsia="Palatino Linotype" w:hAnsi="Palatino Linotype" w:cs="Palatino Linotype"/>
          <w:color w:val="000000"/>
        </w:rPr>
        <w:t xml:space="preserve"> emite los siguientes: -------------------------------------------------------------------------------------------------------------------------------------------------------------------------------------------------------------------------------------------------------------------------------------------------------------------------</w:t>
      </w:r>
    </w:p>
    <w:p w14:paraId="2C66B3F7" w14:textId="77777777" w:rsidR="00566919" w:rsidRDefault="00566919">
      <w:pPr>
        <w:rPr>
          <w:rFonts w:ascii="Palatino Linotype" w:eastAsia="Palatino Linotype" w:hAnsi="Palatino Linotype" w:cs="Palatino Linotype"/>
          <w:color w:val="000000"/>
        </w:rPr>
      </w:pPr>
    </w:p>
    <w:p w14:paraId="7B12DDF9" w14:textId="77777777" w:rsidR="00566919" w:rsidRDefault="00072F7A">
      <w:pPr>
        <w:pStyle w:val="Ttulo1"/>
        <w:spacing w:before="0" w:line="360" w:lineRule="auto"/>
        <w:jc w:val="center"/>
        <w:rPr>
          <w:b/>
          <w:color w:val="000000"/>
        </w:rPr>
      </w:pPr>
      <w:bookmarkStart w:id="12" w:name="_heading=h.26in1rg" w:colFirst="0" w:colLast="0"/>
      <w:bookmarkEnd w:id="12"/>
      <w:r>
        <w:rPr>
          <w:b/>
          <w:color w:val="000000"/>
        </w:rPr>
        <w:lastRenderedPageBreak/>
        <w:t>R E S O L U T I V O S</w:t>
      </w:r>
    </w:p>
    <w:p w14:paraId="1DDA9218" w14:textId="77777777" w:rsidR="00566919" w:rsidRDefault="00566919">
      <w:pPr>
        <w:spacing w:line="360" w:lineRule="auto"/>
        <w:jc w:val="both"/>
        <w:rPr>
          <w:rFonts w:ascii="Palatino Linotype" w:eastAsia="Palatino Linotype" w:hAnsi="Palatino Linotype" w:cs="Palatino Linotype"/>
          <w:b/>
        </w:rPr>
      </w:pPr>
    </w:p>
    <w:p w14:paraId="65236720" w14:textId="77777777" w:rsidR="00566919" w:rsidRDefault="00072F7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PRIMERO</w:t>
      </w:r>
      <w:r>
        <w:rPr>
          <w:rFonts w:ascii="Palatino Linotype" w:eastAsia="Palatino Linotype" w:hAnsi="Palatino Linotype" w:cs="Palatino Linotype"/>
          <w:b/>
        </w:rPr>
        <w:t xml:space="preserve">. </w:t>
      </w:r>
      <w:r>
        <w:rPr>
          <w:rFonts w:ascii="Palatino Linotype" w:eastAsia="Palatino Linotype" w:hAnsi="Palatino Linotype" w:cs="Palatino Linotype"/>
        </w:rPr>
        <w:t>Resultan fundadas las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razones o motivos de inconformidad hechos valer en el recurso de revisión </w:t>
      </w:r>
      <w:r>
        <w:rPr>
          <w:rFonts w:ascii="Palatino Linotype" w:eastAsia="Palatino Linotype" w:hAnsi="Palatino Linotype" w:cs="Palatino Linotype"/>
          <w:b/>
        </w:rPr>
        <w:t xml:space="preserve">05658/INFOEM/IP/RR/2023 </w:t>
      </w:r>
      <w:r>
        <w:rPr>
          <w:rFonts w:ascii="Palatino Linotype" w:eastAsia="Palatino Linotype" w:hAnsi="Palatino Linotype" w:cs="Palatino Linotype"/>
        </w:rPr>
        <w:t>en términos de los</w:t>
      </w:r>
      <w:r>
        <w:rPr>
          <w:rFonts w:ascii="Palatino Linotype" w:eastAsia="Palatino Linotype" w:hAnsi="Palatino Linotype" w:cs="Palatino Linotype"/>
          <w:b/>
        </w:rPr>
        <w:t xml:space="preserve"> Considerandos</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CUARTO </w:t>
      </w:r>
      <w:r>
        <w:rPr>
          <w:rFonts w:ascii="Palatino Linotype" w:eastAsia="Palatino Linotype" w:hAnsi="Palatino Linotype" w:cs="Palatino Linotype"/>
        </w:rPr>
        <w:t>y</w:t>
      </w:r>
      <w:r>
        <w:rPr>
          <w:rFonts w:ascii="Palatino Linotype" w:eastAsia="Palatino Linotype" w:hAnsi="Palatino Linotype" w:cs="Palatino Linotype"/>
          <w:b/>
        </w:rPr>
        <w:t xml:space="preserve"> QUINTO</w:t>
      </w:r>
      <w:r>
        <w:rPr>
          <w:rFonts w:ascii="Palatino Linotype" w:eastAsia="Palatino Linotype" w:hAnsi="Palatino Linotype" w:cs="Palatino Linotype"/>
        </w:rPr>
        <w:t xml:space="preserve"> de la presente resolución.</w:t>
      </w:r>
    </w:p>
    <w:p w14:paraId="1A38309C" w14:textId="77777777" w:rsidR="00566919" w:rsidRDefault="00566919">
      <w:pPr>
        <w:spacing w:line="360" w:lineRule="auto"/>
        <w:jc w:val="both"/>
        <w:rPr>
          <w:rFonts w:ascii="Palatino Linotype" w:eastAsia="Palatino Linotype" w:hAnsi="Palatino Linotype" w:cs="Palatino Linotype"/>
          <w:b/>
        </w:rPr>
      </w:pPr>
    </w:p>
    <w:p w14:paraId="78AD9F6B" w14:textId="77777777" w:rsidR="00566919" w:rsidRDefault="00072F7A">
      <w:pPr>
        <w:spacing w:line="360" w:lineRule="auto"/>
        <w:jc w:val="both"/>
        <w:rPr>
          <w:rFonts w:ascii="Palatino Linotype" w:eastAsia="Palatino Linotype" w:hAnsi="Palatino Linotype" w:cs="Palatino Linotype"/>
        </w:rPr>
      </w:pPr>
      <w:bookmarkStart w:id="13" w:name="_heading=h.2s8eyo1" w:colFirst="0" w:colLast="0"/>
      <w:bookmarkEnd w:id="13"/>
      <w:r>
        <w:rPr>
          <w:rFonts w:ascii="Palatino Linotype" w:eastAsia="Palatino Linotype" w:hAnsi="Palatino Linotype" w:cs="Palatino Linotype"/>
          <w:b/>
          <w:sz w:val="28"/>
          <w:szCs w:val="28"/>
        </w:rPr>
        <w:t>SEGUNDO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REVOCA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Ayuntamiento de Zinacantepec</w:t>
      </w:r>
      <w:r>
        <w:rPr>
          <w:rFonts w:ascii="Palatino Linotype" w:eastAsia="Palatino Linotype" w:hAnsi="Palatino Linotype" w:cs="Palatino Linotype"/>
        </w:rPr>
        <w:t xml:space="preserve"> a la solicitud</w:t>
      </w:r>
      <w:r>
        <w:rPr>
          <w:rFonts w:ascii="Palatino Linotype" w:eastAsia="Palatino Linotype" w:hAnsi="Palatino Linotype" w:cs="Palatino Linotype"/>
          <w:b/>
        </w:rPr>
        <w:t xml:space="preserve"> 00722/ZINACANT/IP/2023</w:t>
      </w:r>
      <w:r>
        <w:rPr>
          <w:rFonts w:ascii="Palatino Linotype" w:eastAsia="Palatino Linotype" w:hAnsi="Palatino Linotype" w:cs="Palatino Linotype"/>
        </w:rPr>
        <w:t xml:space="preserve"> y se </w:t>
      </w:r>
      <w:r>
        <w:rPr>
          <w:rFonts w:ascii="Palatino Linotype" w:eastAsia="Palatino Linotype" w:hAnsi="Palatino Linotype" w:cs="Palatino Linotype"/>
          <w:b/>
        </w:rPr>
        <w:t>ORDENA</w:t>
      </w:r>
      <w:r>
        <w:rPr>
          <w:rFonts w:ascii="Palatino Linotype" w:eastAsia="Palatino Linotype" w:hAnsi="Palatino Linotype" w:cs="Palatino Linotype"/>
        </w:rPr>
        <w:t xml:space="preserve"> entregar, previa búsqueda exhaustiva y razonable, en versión pública de ser </w:t>
      </w:r>
      <w:proofErr w:type="gramStart"/>
      <w:r>
        <w:rPr>
          <w:rFonts w:ascii="Palatino Linotype" w:eastAsia="Palatino Linotype" w:hAnsi="Palatino Linotype" w:cs="Palatino Linotype"/>
        </w:rPr>
        <w:t>procedente,  la</w:t>
      </w:r>
      <w:proofErr w:type="gramEnd"/>
      <w:r>
        <w:rPr>
          <w:rFonts w:ascii="Palatino Linotype" w:eastAsia="Palatino Linotype" w:hAnsi="Palatino Linotype" w:cs="Palatino Linotype"/>
        </w:rPr>
        <w:t xml:space="preserve"> siguiente información:</w:t>
      </w:r>
    </w:p>
    <w:p w14:paraId="37C9C867" w14:textId="0F8AF569" w:rsidR="00566919" w:rsidRPr="00EC5CCF" w:rsidRDefault="00072F7A">
      <w:pPr>
        <w:numPr>
          <w:ilvl w:val="0"/>
          <w:numId w:val="3"/>
        </w:numPr>
        <w:pBdr>
          <w:top w:val="nil"/>
          <w:left w:val="nil"/>
          <w:bottom w:val="nil"/>
          <w:right w:val="nil"/>
          <w:between w:val="nil"/>
        </w:pBdr>
        <w:spacing w:line="360" w:lineRule="auto"/>
        <w:ind w:left="1134" w:right="6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Observaciones emitidas por el Órgano Superior de Fiscalización del Estado de México, que tuvo el ayuntamiento durante el ejercicio dos mil veintidós</w:t>
      </w:r>
      <w:r w:rsidR="00E50932" w:rsidRPr="00EC5CCF">
        <w:rPr>
          <w:rFonts w:ascii="Palatino Linotype" w:eastAsia="Palatino Linotype" w:hAnsi="Palatino Linotype" w:cs="Palatino Linotype"/>
          <w:b/>
          <w:color w:val="000000"/>
        </w:rPr>
        <w:t>, vigentes al treinta y uno (31) de julio de dos mil veintitrés</w:t>
      </w:r>
      <w:r w:rsidRPr="00EC5CCF">
        <w:rPr>
          <w:rFonts w:ascii="Palatino Linotype" w:eastAsia="Palatino Linotype" w:hAnsi="Palatino Linotype" w:cs="Palatino Linotype"/>
          <w:b/>
          <w:color w:val="000000"/>
        </w:rPr>
        <w:t>.</w:t>
      </w:r>
    </w:p>
    <w:p w14:paraId="5319ECE9" w14:textId="77777777" w:rsidR="00566919" w:rsidRDefault="00566919">
      <w:pPr>
        <w:spacing w:line="360" w:lineRule="auto"/>
        <w:jc w:val="both"/>
        <w:rPr>
          <w:rFonts w:ascii="Palatino Linotype" w:eastAsia="Palatino Linotype" w:hAnsi="Palatino Linotype" w:cs="Palatino Linotype"/>
          <w:b/>
        </w:rPr>
      </w:pPr>
      <w:bookmarkStart w:id="14" w:name="_heading=h.35nkun2" w:colFirst="0" w:colLast="0"/>
      <w:bookmarkEnd w:id="14"/>
    </w:p>
    <w:p w14:paraId="24A28A27" w14:textId="77777777" w:rsidR="00566919" w:rsidRDefault="00072F7A" w:rsidP="00BA320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w:t>
      </w:r>
    </w:p>
    <w:p w14:paraId="0A9AB60A" w14:textId="77777777" w:rsidR="00566919" w:rsidRDefault="00566919" w:rsidP="00BA3206">
      <w:pPr>
        <w:spacing w:line="360" w:lineRule="auto"/>
        <w:jc w:val="both"/>
        <w:rPr>
          <w:rFonts w:ascii="Palatino Linotype" w:eastAsia="Palatino Linotype" w:hAnsi="Palatino Linotype" w:cs="Palatino Linotype"/>
        </w:rPr>
      </w:pPr>
    </w:p>
    <w:p w14:paraId="6C465620" w14:textId="1F915709" w:rsidR="00566919" w:rsidRPr="00E50932" w:rsidRDefault="00072F7A" w:rsidP="00BA3206">
      <w:pPr>
        <w:spacing w:line="360" w:lineRule="auto"/>
        <w:jc w:val="both"/>
        <w:rPr>
          <w:rFonts w:ascii="Palatino Linotype" w:eastAsia="Palatino Linotype" w:hAnsi="Palatino Linotype" w:cs="Palatino Linotype"/>
        </w:rPr>
      </w:pPr>
      <w:r w:rsidRPr="00EC5CCF">
        <w:rPr>
          <w:rFonts w:ascii="Palatino Linotype" w:eastAsia="Palatino Linotype" w:hAnsi="Palatino Linotype" w:cs="Palatino Linotype"/>
        </w:rPr>
        <w:t xml:space="preserve">Por otro lado, si una vez realizada la búsqueda de la información, ésta no se localizara en sus archivos, </w:t>
      </w:r>
      <w:r w:rsidR="00E50932" w:rsidRPr="00EC5CCF">
        <w:rPr>
          <w:rFonts w:ascii="Palatino Linotype" w:eastAsia="Palatino Linotype" w:hAnsi="Palatino Linotype" w:cs="Palatino Linotype"/>
        </w:rPr>
        <w:t xml:space="preserve">el </w:t>
      </w:r>
      <w:r w:rsidR="00E50932" w:rsidRPr="00EC5CCF">
        <w:rPr>
          <w:rFonts w:ascii="Palatino Linotype" w:eastAsia="Palatino Linotype" w:hAnsi="Palatino Linotype" w:cs="Palatino Linotype"/>
          <w:b/>
          <w:bCs/>
        </w:rPr>
        <w:t>SUJETO OBLIGADO</w:t>
      </w:r>
      <w:r w:rsidR="00E50932" w:rsidRPr="00EC5CCF">
        <w:rPr>
          <w:rFonts w:ascii="Palatino Linotype" w:eastAsia="Palatino Linotype" w:hAnsi="Palatino Linotype" w:cs="Palatino Linotype"/>
        </w:rPr>
        <w:t xml:space="preserve"> deberá informar a la </w:t>
      </w:r>
      <w:r w:rsidR="00E50932" w:rsidRPr="00EC5CCF">
        <w:rPr>
          <w:rFonts w:ascii="Palatino Linotype" w:eastAsia="Palatino Linotype" w:hAnsi="Palatino Linotype" w:cs="Palatino Linotype"/>
          <w:b/>
          <w:bCs/>
        </w:rPr>
        <w:t>RECURRENTE</w:t>
      </w:r>
      <w:r w:rsidR="00E50932" w:rsidRPr="00EC5CCF">
        <w:rPr>
          <w:rFonts w:ascii="Palatino Linotype" w:eastAsia="Palatino Linotype" w:hAnsi="Palatino Linotype" w:cs="Palatino Linotype"/>
        </w:rPr>
        <w:t xml:space="preserve"> </w:t>
      </w:r>
      <w:r w:rsidR="00712C2D" w:rsidRPr="00EC5CCF">
        <w:rPr>
          <w:rFonts w:ascii="Palatino Linotype" w:eastAsia="Palatino Linotype" w:hAnsi="Palatino Linotype" w:cs="Palatino Linotype"/>
        </w:rPr>
        <w:t xml:space="preserve">sobre las razones que </w:t>
      </w:r>
      <w:r w:rsidRPr="00EC5CCF">
        <w:rPr>
          <w:rFonts w:ascii="Palatino Linotype" w:eastAsia="Palatino Linotype" w:hAnsi="Palatino Linotype" w:cs="Palatino Linotype"/>
        </w:rPr>
        <w:t>lo justifiquen de manera clara y precisa.</w:t>
      </w:r>
      <w:bookmarkStart w:id="15" w:name="_GoBack"/>
      <w:bookmarkEnd w:id="15"/>
    </w:p>
    <w:p w14:paraId="05CB6BE6" w14:textId="77777777" w:rsidR="00072F7A" w:rsidRDefault="00072F7A">
      <w:pPr>
        <w:spacing w:line="360" w:lineRule="auto"/>
        <w:jc w:val="both"/>
        <w:rPr>
          <w:rFonts w:ascii="Palatino Linotype" w:eastAsia="Palatino Linotype" w:hAnsi="Palatino Linotype" w:cs="Palatino Linotype"/>
        </w:rPr>
      </w:pPr>
    </w:p>
    <w:p w14:paraId="2F3D9E9C" w14:textId="77777777" w:rsidR="00566919" w:rsidRDefault="00072F7A">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TERCERO</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Notifíquese a la </w:t>
      </w:r>
      <w:r>
        <w:rPr>
          <w:rFonts w:ascii="Palatino Linotype" w:eastAsia="Palatino Linotype" w:hAnsi="Palatino Linotype" w:cs="Palatino Linotype"/>
          <w:color w:val="222222"/>
        </w:rPr>
        <w:t xml:space="preserve">Titular de la Unidad de Transparencia del </w:t>
      </w:r>
      <w:r>
        <w:rPr>
          <w:rFonts w:ascii="Palatino Linotype" w:eastAsia="Palatino Linotype" w:hAnsi="Palatino Linotype" w:cs="Palatino Linotype"/>
          <w:b/>
          <w:color w:val="222222"/>
        </w:rPr>
        <w:t>SUJETO OBLIGADO</w:t>
      </w:r>
      <w:r>
        <w:rPr>
          <w:rFonts w:ascii="Palatino Linotype" w:eastAsia="Palatino Linotype" w:hAnsi="Palatino Linotype" w:cs="Palatino Linotype"/>
          <w:color w:val="222222"/>
        </w:rPr>
        <w:t>, vía Sistema de Acceso a la Información Mexiquense (SAIMEX), la presente resolución,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9FA8E9A" w14:textId="77777777" w:rsidR="00566919" w:rsidRDefault="00566919">
      <w:pPr>
        <w:spacing w:line="360" w:lineRule="auto"/>
        <w:jc w:val="both"/>
        <w:rPr>
          <w:rFonts w:ascii="Palatino Linotype" w:eastAsia="Palatino Linotype" w:hAnsi="Palatino Linotype" w:cs="Palatino Linotype"/>
          <w:color w:val="000000"/>
        </w:rPr>
      </w:pPr>
    </w:p>
    <w:p w14:paraId="4C3D922C" w14:textId="77777777" w:rsidR="00566919" w:rsidRDefault="00072F7A">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CUARTO</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 manera fundada y motivada, podrá solicitar una ampliación de plazo para el cumplimiento de la presente resolución.</w:t>
      </w:r>
    </w:p>
    <w:p w14:paraId="711D6EDC" w14:textId="77777777" w:rsidR="00566919" w:rsidRDefault="00566919">
      <w:pPr>
        <w:spacing w:line="360" w:lineRule="auto"/>
        <w:jc w:val="both"/>
        <w:rPr>
          <w:rFonts w:ascii="Palatino Linotype" w:eastAsia="Palatino Linotype" w:hAnsi="Palatino Linotype" w:cs="Palatino Linotype"/>
          <w:color w:val="000000"/>
        </w:rPr>
      </w:pPr>
    </w:p>
    <w:p w14:paraId="1132D5B3" w14:textId="77777777" w:rsidR="00566919" w:rsidRDefault="00072F7A">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QUINTO</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Notifíquese a la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la presente resolución vía Sistema de Acceso a la Información Mexiquense (SAIMEX).</w:t>
      </w:r>
    </w:p>
    <w:p w14:paraId="663CFD88" w14:textId="77777777" w:rsidR="00566919" w:rsidRDefault="00566919">
      <w:pPr>
        <w:spacing w:line="360" w:lineRule="auto"/>
        <w:jc w:val="both"/>
        <w:rPr>
          <w:rFonts w:ascii="Palatino Linotype" w:eastAsia="Palatino Linotype" w:hAnsi="Palatino Linotype" w:cs="Palatino Linotype"/>
          <w:b/>
        </w:rPr>
      </w:pPr>
    </w:p>
    <w:p w14:paraId="4CD72B83" w14:textId="77777777" w:rsidR="00566919" w:rsidRDefault="00072F7A">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sz w:val="28"/>
          <w:szCs w:val="28"/>
        </w:rPr>
        <w:t>SEXTO</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Se hace del conocimiento de la </w:t>
      </w:r>
      <w:r>
        <w:rPr>
          <w:rFonts w:ascii="Palatino Linotype" w:eastAsia="Palatino Linotype" w:hAnsi="Palatino Linotype" w:cs="Palatino Linotype"/>
          <w:b/>
          <w:color w:val="000000"/>
        </w:rPr>
        <w:t>RECURRENTE</w:t>
      </w:r>
      <w:r>
        <w:rPr>
          <w:rFonts w:ascii="Palatino Linotype" w:eastAsia="Palatino Linotype" w:hAnsi="Palatino Linotype" w:cs="Palatino Linotype"/>
          <w:b/>
        </w:rPr>
        <w:t xml:space="preserve"> </w:t>
      </w:r>
      <w:r>
        <w:rPr>
          <w:rFonts w:ascii="Palatino Linotype" w:eastAsia="Palatino Linotype" w:hAnsi="Palatino Linotype" w:cs="Palatino Linotype"/>
          <w:color w:val="000000"/>
        </w:rPr>
        <w:t xml:space="preserve">que, de conformidad con lo establecido en el artículo 196 de la Ley de Transparencia y Acceso a la Información Pública del Estado de México y Municipios, en caso de que considere que la </w:t>
      </w:r>
      <w:r>
        <w:rPr>
          <w:rFonts w:ascii="Palatino Linotype" w:eastAsia="Palatino Linotype" w:hAnsi="Palatino Linotype" w:cs="Palatino Linotype"/>
          <w:color w:val="000000"/>
        </w:rPr>
        <w:lastRenderedPageBreak/>
        <w:t>resolución le cause algún perjuicio podrá impugnarla vía juicio de amparo en los términos de las Leyes aplicables.</w:t>
      </w:r>
    </w:p>
    <w:p w14:paraId="75AD2A03" w14:textId="77777777" w:rsidR="00566919" w:rsidRDefault="00566919">
      <w:pPr>
        <w:spacing w:line="360" w:lineRule="auto"/>
        <w:jc w:val="both"/>
        <w:rPr>
          <w:rFonts w:ascii="Palatino Linotype" w:eastAsia="Palatino Linotype" w:hAnsi="Palatino Linotype" w:cs="Palatino Linotype"/>
          <w:color w:val="000000"/>
        </w:rPr>
      </w:pPr>
    </w:p>
    <w:p w14:paraId="68B1D01A" w14:textId="77777777" w:rsidR="00680272" w:rsidRPr="00E37AF3" w:rsidRDefault="00680272" w:rsidP="00680272">
      <w:pPr>
        <w:spacing w:line="360" w:lineRule="auto"/>
        <w:ind w:firstLine="1"/>
        <w:jc w:val="both"/>
        <w:rPr>
          <w:rFonts w:ascii="Palatino Linotype" w:hAnsi="Palatino Linotype"/>
        </w:rPr>
      </w:pPr>
      <w:bookmarkStart w:id="16" w:name="_heading=h.1ksv4uv" w:colFirst="0" w:colLast="0"/>
      <w:bookmarkEnd w:id="16"/>
      <w:r w:rsidRPr="00E37AF3">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w:t>
      </w:r>
      <w:r>
        <w:rPr>
          <w:rFonts w:ascii="Palatino Linotype" w:hAnsi="Palatino Linotype"/>
        </w:rPr>
        <w:t>NOVENA</w:t>
      </w:r>
      <w:r w:rsidRPr="00E37AF3">
        <w:rPr>
          <w:rFonts w:ascii="Palatino Linotype" w:hAnsi="Palatino Linotype"/>
        </w:rPr>
        <w:t xml:space="preserve"> SESIÓN ORDINARIA CELEBRADA EL </w:t>
      </w:r>
      <w:r>
        <w:rPr>
          <w:rFonts w:ascii="Palatino Linotype" w:hAnsi="Palatino Linotype"/>
        </w:rPr>
        <w:t>VEINTIUNO</w:t>
      </w:r>
      <w:r w:rsidRPr="00E37AF3">
        <w:rPr>
          <w:rFonts w:ascii="Palatino Linotype" w:hAnsi="Palatino Linotype"/>
        </w:rPr>
        <w:t xml:space="preserve"> (</w:t>
      </w:r>
      <w:r>
        <w:rPr>
          <w:rFonts w:ascii="Palatino Linotype" w:hAnsi="Palatino Linotype"/>
        </w:rPr>
        <w:t>21</w:t>
      </w:r>
      <w:r w:rsidRPr="00E37AF3">
        <w:rPr>
          <w:rFonts w:ascii="Palatino Linotype" w:hAnsi="Palatino Linotype"/>
        </w:rPr>
        <w:t xml:space="preserve">) DE </w:t>
      </w:r>
      <w:r>
        <w:rPr>
          <w:rFonts w:ascii="Palatino Linotype" w:hAnsi="Palatino Linotype"/>
        </w:rPr>
        <w:t>AGOSTO</w:t>
      </w:r>
      <w:r w:rsidRPr="00E37AF3">
        <w:rPr>
          <w:rFonts w:ascii="Palatino Linotype" w:hAnsi="Palatino Linotype"/>
        </w:rPr>
        <w:t xml:space="preserve"> DE DOS MIL VEINTICUATRO, ANTE EL SECRETARIO TÉCNICO DEL PLENO ALEXIS TAPIA RAMÍREZ. </w:t>
      </w:r>
    </w:p>
    <w:p w14:paraId="0F31A4BC" w14:textId="748335BF" w:rsidR="00566919" w:rsidRDefault="00072F7A">
      <w:pPr>
        <w:spacing w:before="240" w:after="240" w:line="360" w:lineRule="auto"/>
        <w:jc w:val="both"/>
        <w:rPr>
          <w:rFonts w:ascii="Palatino Linotype" w:eastAsia="Palatino Linotype" w:hAnsi="Palatino Linotype" w:cs="Palatino Linotype"/>
        </w:rPr>
      </w:pPr>
      <w:r>
        <w:br w:type="page"/>
      </w:r>
    </w:p>
    <w:p w14:paraId="7E898C7F" w14:textId="77777777" w:rsidR="00566919" w:rsidRDefault="00566919">
      <w:pPr>
        <w:spacing w:before="240" w:after="240" w:line="360" w:lineRule="auto"/>
        <w:jc w:val="both"/>
        <w:rPr>
          <w:rFonts w:ascii="Palatino Linotype" w:eastAsia="Palatino Linotype" w:hAnsi="Palatino Linotype" w:cs="Palatino Linotype"/>
          <w:color w:val="000000"/>
        </w:rPr>
      </w:pPr>
    </w:p>
    <w:sectPr w:rsidR="00566919">
      <w:headerReference w:type="default" r:id="rId11"/>
      <w:footerReference w:type="default" r:id="rId12"/>
      <w:headerReference w:type="first" r:id="rId13"/>
      <w:footerReference w:type="first" r:id="rId14"/>
      <w:pgSz w:w="12240" w:h="15840"/>
      <w:pgMar w:top="2021"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3A1FEC" w14:textId="77777777" w:rsidR="00645779" w:rsidRDefault="00645779">
      <w:r>
        <w:separator/>
      </w:r>
    </w:p>
  </w:endnote>
  <w:endnote w:type="continuationSeparator" w:id="0">
    <w:p w14:paraId="52E304BD" w14:textId="77777777" w:rsidR="00645779" w:rsidRDefault="00645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3080CFD2-2F85-4FCC-9BF4-78E1FF3BE0F6}"/>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FA06AE35-E256-4155-B8CE-C22FD26B10C2}"/>
    <w:embedBold r:id="rId3" w:fontKey="{FB02CCCD-2ABF-4EA1-A437-D22B2643D9CB}"/>
    <w:embedItalic r:id="rId4" w:fontKey="{F3E99AB4-C606-4C47-B1E8-A66971C3BD7C}"/>
    <w:embedBoldItalic r:id="rId5" w:fontKey="{FBD959BC-1E7F-4CCA-B275-CB7DEE8301F3}"/>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F893336A-ABA3-49BD-8491-963EA36C5E28}"/>
    <w:embedBold r:id="rId7" w:fontKey="{43C647D1-9FB2-4E92-B4AD-7706A7A1C882}"/>
    <w:embedItalic r:id="rId8" w:fontKey="{99137124-59E8-4617-8FA2-BC8BF7974ED6}"/>
    <w:embedBoldItalic r:id="rId9" w:fontKey="{6159E169-A6DD-41E1-949D-98ED9CE0C636}"/>
  </w:font>
  <w:font w:name="Calibri">
    <w:panose1 w:val="020F0502020204030204"/>
    <w:charset w:val="00"/>
    <w:family w:val="swiss"/>
    <w:pitch w:val="variable"/>
    <w:sig w:usb0="E4002EFF" w:usb1="C200247B" w:usb2="00000009" w:usb3="00000000" w:csb0="000001FF" w:csb1="00000000"/>
    <w:embedRegular r:id="rId10" w:fontKey="{C4757787-AAA1-44D2-A5B4-EDE0F005F6C2}"/>
    <w:embedItalic r:id="rId11" w:fontKey="{7D893116-F973-472F-9D1E-257F675798EC}"/>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2" w:fontKey="{94E85693-B595-4E67-9DC6-C01756D22AC4}"/>
    <w:embedItalic r:id="rId13" w:fontKey="{391FAE57-644F-463D-B1B1-A2499F4C5D2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166CE" w14:textId="6150D35B" w:rsidR="00566919" w:rsidRDefault="00072F7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PAGE</w:instrText>
    </w:r>
    <w:r>
      <w:rPr>
        <w:rFonts w:ascii="Palatino Linotype" w:eastAsia="Palatino Linotype" w:hAnsi="Palatino Linotype" w:cs="Palatino Linotype"/>
        <w:b/>
        <w:color w:val="000000"/>
        <w:sz w:val="22"/>
        <w:szCs w:val="22"/>
      </w:rPr>
      <w:fldChar w:fldCharType="separate"/>
    </w:r>
    <w:r w:rsidR="00EC5CCF">
      <w:rPr>
        <w:rFonts w:ascii="Palatino Linotype" w:eastAsia="Palatino Linotype" w:hAnsi="Palatino Linotype" w:cs="Palatino Linotype"/>
        <w:b/>
        <w:noProof/>
        <w:color w:val="000000"/>
        <w:sz w:val="22"/>
        <w:szCs w:val="22"/>
      </w:rPr>
      <w:t>39</w:t>
    </w:r>
    <w:r>
      <w:rPr>
        <w:rFonts w:ascii="Palatino Linotype" w:eastAsia="Palatino Linotype" w:hAnsi="Palatino Linotype" w:cs="Palatino Linotype"/>
        <w:b/>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NUMPAGES</w:instrText>
    </w:r>
    <w:r>
      <w:rPr>
        <w:rFonts w:ascii="Palatino Linotype" w:eastAsia="Palatino Linotype" w:hAnsi="Palatino Linotype" w:cs="Palatino Linotype"/>
        <w:b/>
        <w:color w:val="000000"/>
        <w:sz w:val="22"/>
        <w:szCs w:val="22"/>
      </w:rPr>
      <w:fldChar w:fldCharType="separate"/>
    </w:r>
    <w:r w:rsidR="00EC5CCF">
      <w:rPr>
        <w:rFonts w:ascii="Palatino Linotype" w:eastAsia="Palatino Linotype" w:hAnsi="Palatino Linotype" w:cs="Palatino Linotype"/>
        <w:b/>
        <w:noProof/>
        <w:color w:val="000000"/>
        <w:sz w:val="22"/>
        <w:szCs w:val="22"/>
      </w:rPr>
      <w:t>40</w:t>
    </w:r>
    <w:r>
      <w:rPr>
        <w:rFonts w:ascii="Palatino Linotype" w:eastAsia="Palatino Linotype" w:hAnsi="Palatino Linotype" w:cs="Palatino Linotype"/>
        <w:b/>
        <w:color w:val="000000"/>
        <w:sz w:val="22"/>
        <w:szCs w:val="22"/>
      </w:rPr>
      <w:fldChar w:fldCharType="end"/>
    </w:r>
  </w:p>
  <w:p w14:paraId="4921ABDA" w14:textId="77777777" w:rsidR="00566919" w:rsidRDefault="00566919">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246CC" w14:textId="1E1FEFF1" w:rsidR="00566919" w:rsidRDefault="00072F7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EC5CCF">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EC5CCF">
      <w:rPr>
        <w:rFonts w:ascii="Palatino Linotype" w:eastAsia="Palatino Linotype" w:hAnsi="Palatino Linotype" w:cs="Palatino Linotype"/>
        <w:noProof/>
        <w:color w:val="000000"/>
        <w:sz w:val="22"/>
        <w:szCs w:val="22"/>
      </w:rPr>
      <w:t>40</w:t>
    </w:r>
    <w:r>
      <w:rPr>
        <w:rFonts w:ascii="Palatino Linotype" w:eastAsia="Palatino Linotype" w:hAnsi="Palatino Linotype" w:cs="Palatino Linotype"/>
        <w:color w:val="000000"/>
        <w:sz w:val="22"/>
        <w:szCs w:val="22"/>
      </w:rPr>
      <w:fldChar w:fldCharType="end"/>
    </w:r>
  </w:p>
  <w:p w14:paraId="0752E2A5" w14:textId="77777777" w:rsidR="00566919" w:rsidRDefault="00566919">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519903" w14:textId="77777777" w:rsidR="00645779" w:rsidRDefault="00645779">
      <w:r>
        <w:separator/>
      </w:r>
    </w:p>
  </w:footnote>
  <w:footnote w:type="continuationSeparator" w:id="0">
    <w:p w14:paraId="271E4AE4" w14:textId="77777777" w:rsidR="00645779" w:rsidRDefault="00645779">
      <w:r>
        <w:continuationSeparator/>
      </w:r>
    </w:p>
  </w:footnote>
  <w:footnote w:id="1">
    <w:p w14:paraId="6C98666B" w14:textId="77777777" w:rsidR="00566919" w:rsidRDefault="00072F7A">
      <w:pPr>
        <w:pBdr>
          <w:top w:val="nil"/>
          <w:left w:val="nil"/>
          <w:bottom w:val="nil"/>
          <w:right w:val="nil"/>
          <w:between w:val="nil"/>
        </w:pBdr>
        <w:rPr>
          <w:i/>
          <w:color w:val="000000"/>
          <w:sz w:val="20"/>
          <w:szCs w:val="20"/>
        </w:rPr>
      </w:pPr>
      <w:r>
        <w:rPr>
          <w:vertAlign w:val="superscript"/>
        </w:rPr>
        <w:footnoteRef/>
      </w:r>
      <w:r>
        <w:rPr>
          <w:color w:val="000000"/>
          <w:sz w:val="20"/>
          <w:szCs w:val="20"/>
        </w:rPr>
        <w:t xml:space="preserve"> “</w:t>
      </w:r>
      <w:r>
        <w:rPr>
          <w:b/>
          <w:i/>
          <w:color w:val="000000"/>
          <w:sz w:val="20"/>
          <w:szCs w:val="20"/>
        </w:rPr>
        <w:t>Artículo 163.</w:t>
      </w:r>
      <w:r>
        <w:rPr>
          <w:i/>
          <w:color w:val="000000"/>
          <w:sz w:val="20"/>
          <w:szCs w:val="20"/>
        </w:rPr>
        <w:t xml:space="preserve"> (…)</w:t>
      </w:r>
    </w:p>
    <w:p w14:paraId="2D9DFECC" w14:textId="77777777" w:rsidR="00566919" w:rsidRDefault="00566919">
      <w:pPr>
        <w:pBdr>
          <w:top w:val="nil"/>
          <w:left w:val="nil"/>
          <w:bottom w:val="nil"/>
          <w:right w:val="nil"/>
          <w:between w:val="nil"/>
        </w:pBdr>
        <w:rPr>
          <w:i/>
          <w:color w:val="000000"/>
          <w:sz w:val="20"/>
          <w:szCs w:val="20"/>
        </w:rPr>
      </w:pPr>
    </w:p>
    <w:p w14:paraId="2144AF8E" w14:textId="77777777" w:rsidR="00566919" w:rsidRDefault="00072F7A">
      <w:pPr>
        <w:pBdr>
          <w:top w:val="nil"/>
          <w:left w:val="nil"/>
          <w:bottom w:val="nil"/>
          <w:right w:val="nil"/>
          <w:between w:val="nil"/>
        </w:pBdr>
        <w:jc w:val="both"/>
        <w:rPr>
          <w:i/>
          <w:color w:val="000000"/>
          <w:sz w:val="20"/>
          <w:szCs w:val="20"/>
        </w:rPr>
      </w:pPr>
      <w:r>
        <w:rPr>
          <w:i/>
          <w:color w:val="000000"/>
          <w:sz w:val="20"/>
          <w:szCs w:val="20"/>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footnote>
  <w:footnote w:id="2">
    <w:p w14:paraId="630F8D16" w14:textId="77777777" w:rsidR="00566919" w:rsidRDefault="00072F7A">
      <w:pPr>
        <w:jc w:val="both"/>
        <w:rPr>
          <w:sz w:val="20"/>
          <w:szCs w:val="20"/>
        </w:rPr>
      </w:pPr>
      <w:r>
        <w:rPr>
          <w:vertAlign w:val="superscript"/>
        </w:rPr>
        <w:footnoteRef/>
      </w:r>
      <w:r>
        <w:t xml:space="preserve"> “</w:t>
      </w:r>
      <w:r>
        <w:rPr>
          <w:i/>
          <w:sz w:val="20"/>
          <w:szCs w:val="20"/>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sz w:val="20"/>
          <w:szCs w:val="20"/>
        </w:rPr>
        <w:t>”</w:t>
      </w:r>
    </w:p>
  </w:footnote>
  <w:footnote w:id="3">
    <w:p w14:paraId="66A46F2A" w14:textId="77777777" w:rsidR="00566919" w:rsidRDefault="00072F7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Consultable en el Semanario Judicial de la Federación y su gaceta, con el registro digital 2002351.</w:t>
      </w:r>
    </w:p>
  </w:footnote>
  <w:footnote w:id="4">
    <w:p w14:paraId="4D4986DB" w14:textId="77777777" w:rsidR="00566919" w:rsidRDefault="00072F7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Consultable en el Semanario Judicial de la Federación y su gaceta, con el registro digital 2002350.</w:t>
      </w:r>
    </w:p>
  </w:footnote>
  <w:footnote w:id="5">
    <w:p w14:paraId="18C76F48" w14:textId="77777777" w:rsidR="00566919" w:rsidRDefault="00072F7A">
      <w:pPr>
        <w:pBdr>
          <w:top w:val="nil"/>
          <w:left w:val="nil"/>
          <w:bottom w:val="nil"/>
          <w:right w:val="nil"/>
          <w:between w:val="nil"/>
        </w:pBdr>
        <w:jc w:val="both"/>
        <w:rPr>
          <w:i/>
          <w:color w:val="000000"/>
          <w:sz w:val="20"/>
          <w:szCs w:val="20"/>
        </w:rPr>
      </w:pPr>
      <w:r>
        <w:rPr>
          <w:vertAlign w:val="superscript"/>
        </w:rPr>
        <w:footnoteRef/>
      </w:r>
      <w:r>
        <w:rPr>
          <w:color w:val="000000"/>
          <w:sz w:val="20"/>
          <w:szCs w:val="20"/>
        </w:rPr>
        <w:t xml:space="preserve"> </w:t>
      </w:r>
      <w:r>
        <w:rPr>
          <w:i/>
          <w:color w:val="000000"/>
          <w:sz w:val="20"/>
          <w:szCs w:val="20"/>
        </w:rPr>
        <w:t>“</w:t>
      </w:r>
      <w:r>
        <w:rPr>
          <w:b/>
          <w:i/>
          <w:color w:val="000000"/>
          <w:sz w:val="20"/>
          <w:szCs w:val="20"/>
        </w:rPr>
        <w:t>Artículo 179.</w:t>
      </w:r>
      <w:r>
        <w:rPr>
          <w:i/>
          <w:color w:val="000000"/>
          <w:sz w:val="20"/>
          <w:szCs w:val="20"/>
        </w:rPr>
        <w:t xml:space="preserve"> El recurso de revisión es un medio de protección que la Ley otorga a los particulares, para hacer valer su derecho de acceso a la información pública, y procederá en contra de las siguientes causas:</w:t>
      </w:r>
    </w:p>
    <w:p w14:paraId="3604C9F7" w14:textId="77777777" w:rsidR="00566919" w:rsidRDefault="00072F7A">
      <w:pPr>
        <w:pBdr>
          <w:top w:val="nil"/>
          <w:left w:val="nil"/>
          <w:bottom w:val="nil"/>
          <w:right w:val="nil"/>
          <w:between w:val="nil"/>
        </w:pBdr>
        <w:jc w:val="both"/>
        <w:rPr>
          <w:i/>
          <w:color w:val="000000"/>
          <w:sz w:val="20"/>
          <w:szCs w:val="20"/>
        </w:rPr>
      </w:pPr>
      <w:r>
        <w:rPr>
          <w:b/>
          <w:i/>
          <w:color w:val="000000"/>
          <w:sz w:val="20"/>
          <w:szCs w:val="20"/>
        </w:rPr>
        <w:t>I.</w:t>
      </w:r>
      <w:r>
        <w:rPr>
          <w:i/>
          <w:color w:val="000000"/>
          <w:sz w:val="20"/>
          <w:szCs w:val="20"/>
        </w:rPr>
        <w:t xml:space="preserve"> La negativa a la información solicitada;</w:t>
      </w:r>
    </w:p>
    <w:p w14:paraId="70C4D408" w14:textId="77777777" w:rsidR="00566919" w:rsidRDefault="00072F7A">
      <w:pPr>
        <w:pBdr>
          <w:top w:val="nil"/>
          <w:left w:val="nil"/>
          <w:bottom w:val="nil"/>
          <w:right w:val="nil"/>
          <w:between w:val="nil"/>
        </w:pBdr>
        <w:jc w:val="both"/>
        <w:rPr>
          <w:i/>
          <w:color w:val="000000"/>
          <w:sz w:val="20"/>
          <w:szCs w:val="20"/>
        </w:rPr>
      </w:pPr>
      <w:r>
        <w:rPr>
          <w:i/>
          <w:color w:val="000000"/>
          <w:sz w:val="20"/>
          <w:szCs w:val="20"/>
        </w:rPr>
        <w:t>(...)</w:t>
      </w:r>
    </w:p>
    <w:p w14:paraId="4A0725CD" w14:textId="77777777" w:rsidR="00566919" w:rsidRDefault="00072F7A">
      <w:pPr>
        <w:pBdr>
          <w:top w:val="nil"/>
          <w:left w:val="nil"/>
          <w:bottom w:val="nil"/>
          <w:right w:val="nil"/>
          <w:between w:val="nil"/>
        </w:pBdr>
        <w:jc w:val="both"/>
        <w:rPr>
          <w:i/>
          <w:color w:val="000000"/>
          <w:sz w:val="20"/>
          <w:szCs w:val="20"/>
        </w:rPr>
      </w:pPr>
      <w:r>
        <w:rPr>
          <w:b/>
          <w:i/>
          <w:color w:val="000000"/>
          <w:sz w:val="20"/>
          <w:szCs w:val="20"/>
        </w:rPr>
        <w:t xml:space="preserve">XI. </w:t>
      </w:r>
      <w:r>
        <w:rPr>
          <w:i/>
          <w:color w:val="000000"/>
          <w:sz w:val="20"/>
          <w:szCs w:val="20"/>
        </w:rPr>
        <w:t>La falta de trámite a una solicitud;</w:t>
      </w:r>
    </w:p>
    <w:p w14:paraId="0F41FCB9" w14:textId="77777777" w:rsidR="00566919" w:rsidRDefault="00072F7A">
      <w:pPr>
        <w:pBdr>
          <w:top w:val="nil"/>
          <w:left w:val="nil"/>
          <w:bottom w:val="nil"/>
          <w:right w:val="nil"/>
          <w:between w:val="nil"/>
        </w:pBdr>
        <w:jc w:val="both"/>
        <w:rPr>
          <w:color w:val="000000"/>
          <w:sz w:val="20"/>
          <w:szCs w:val="20"/>
        </w:rPr>
      </w:pPr>
      <w:r>
        <w:rPr>
          <w:i/>
          <w:color w:val="000000"/>
          <w:sz w:val="20"/>
          <w:szCs w:val="20"/>
        </w:rPr>
        <w:t>(…)”</w:t>
      </w:r>
    </w:p>
  </w:footnote>
  <w:footnote w:id="6">
    <w:p w14:paraId="7188F11D" w14:textId="77777777" w:rsidR="00566919" w:rsidRDefault="00072F7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50, Ley de Transparencia y Acceso a la Información Pública del Estado de México y Municipios.</w:t>
      </w:r>
    </w:p>
  </w:footnote>
  <w:footnote w:id="7">
    <w:p w14:paraId="2D96D04F" w14:textId="77777777" w:rsidR="00566919" w:rsidRDefault="00072F7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51, Ídem.</w:t>
      </w:r>
    </w:p>
  </w:footnote>
  <w:footnote w:id="8">
    <w:p w14:paraId="0DC23A66" w14:textId="77777777" w:rsidR="00566919" w:rsidRDefault="00072F7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58, Ley de Transparencia y Acceso a la Información Pública del Estado de México y Municipios.</w:t>
      </w:r>
    </w:p>
  </w:footnote>
  <w:footnote w:id="9">
    <w:p w14:paraId="6F470A68" w14:textId="77777777" w:rsidR="00566919" w:rsidRDefault="00072F7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59, Ídem.</w:t>
      </w:r>
    </w:p>
  </w:footnote>
  <w:footnote w:id="10">
    <w:p w14:paraId="13673032" w14:textId="77777777" w:rsidR="00566919" w:rsidRDefault="00072F7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11">
    <w:p w14:paraId="78B09DBE" w14:textId="77777777" w:rsidR="00566919" w:rsidRDefault="00072F7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 Ley de Transparencia y Acceso a la Información Pública del Estado de México y Municipios.</w:t>
      </w:r>
    </w:p>
  </w:footnote>
  <w:footnote w:id="12">
    <w:p w14:paraId="2AA068FA" w14:textId="77777777" w:rsidR="00566919" w:rsidRDefault="00072F7A">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8"/>
          <w:szCs w:val="18"/>
        </w:rPr>
        <w:t xml:space="preserve">Ley de Transparencia y Acceso a la Información Pública del Estado de México y Municipios. </w:t>
      </w:r>
    </w:p>
    <w:p w14:paraId="66E80853" w14:textId="77777777" w:rsidR="00566919" w:rsidRDefault="00072F7A">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“Artículo </w:t>
      </w:r>
      <w:proofErr w:type="gramStart"/>
      <w:r>
        <w:rPr>
          <w:rFonts w:ascii="Palatino Linotype" w:eastAsia="Palatino Linotype" w:hAnsi="Palatino Linotype" w:cs="Palatino Linotype"/>
          <w:color w:val="000000"/>
          <w:sz w:val="18"/>
          <w:szCs w:val="18"/>
        </w:rPr>
        <w:t>9.(</w:t>
      </w:r>
      <w:proofErr w:type="gramEnd"/>
      <w:r>
        <w:rPr>
          <w:rFonts w:ascii="Palatino Linotype" w:eastAsia="Palatino Linotype" w:hAnsi="Palatino Linotype" w:cs="Palatino Linotype"/>
          <w:color w:val="000000"/>
          <w:sz w:val="18"/>
          <w:szCs w:val="18"/>
        </w:rPr>
        <w:t>…)</w:t>
      </w:r>
    </w:p>
    <w:p w14:paraId="6E943942" w14:textId="77777777" w:rsidR="00566919" w:rsidRDefault="00072F7A">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47658267" w14:textId="77777777" w:rsidR="00566919" w:rsidRDefault="00072F7A">
      <w:pPr>
        <w:pBdr>
          <w:top w:val="nil"/>
          <w:left w:val="nil"/>
          <w:bottom w:val="nil"/>
          <w:right w:val="nil"/>
          <w:between w:val="nil"/>
        </w:pBdr>
        <w:rPr>
          <w:color w:val="000000"/>
          <w:sz w:val="20"/>
          <w:szCs w:val="20"/>
        </w:rPr>
      </w:pPr>
      <w:r>
        <w:rPr>
          <w:color w:val="000000"/>
          <w:sz w:val="20"/>
          <w:szCs w:val="20"/>
        </w:rPr>
        <w:t>(…)”</w:t>
      </w:r>
    </w:p>
  </w:footnote>
  <w:footnote w:id="13">
    <w:p w14:paraId="1C4872C6" w14:textId="77777777" w:rsidR="00566919" w:rsidRDefault="00072F7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10, Ley de Fiscalización Superior del Estado de México.</w:t>
      </w:r>
    </w:p>
  </w:footnote>
  <w:footnote w:id="14">
    <w:p w14:paraId="2267E91A" w14:textId="77777777" w:rsidR="00566919" w:rsidRDefault="00072F7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13, Ídem.</w:t>
      </w:r>
    </w:p>
  </w:footnote>
  <w:footnote w:id="15">
    <w:p w14:paraId="076655C1" w14:textId="77777777" w:rsidR="00566919" w:rsidRDefault="00072F7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115, Constitución Política de los Estados Unidos Mexicanos.</w:t>
      </w:r>
    </w:p>
  </w:footnote>
  <w:footnote w:id="16">
    <w:p w14:paraId="7BF46F47" w14:textId="77777777" w:rsidR="00566919" w:rsidRDefault="00072F7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115, fracción I, Ídem.</w:t>
      </w:r>
    </w:p>
  </w:footnote>
  <w:footnote w:id="17">
    <w:p w14:paraId="6B5DF066" w14:textId="77777777" w:rsidR="00566919" w:rsidRDefault="00072F7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15, Ley Orgánica Municipal del Estado de México.</w:t>
      </w:r>
    </w:p>
  </w:footnote>
  <w:footnote w:id="18">
    <w:p w14:paraId="0DDC71C4" w14:textId="77777777" w:rsidR="00566919" w:rsidRDefault="00072F7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16, Ley Orgánica Municipal del Estado de México.</w:t>
      </w:r>
    </w:p>
  </w:footnote>
  <w:footnote w:id="19">
    <w:p w14:paraId="5D0537A8" w14:textId="77777777" w:rsidR="00566919" w:rsidRDefault="00072F7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Disponible en: https://www.zinacantepec.gob.mx/</w:t>
      </w:r>
    </w:p>
  </w:footnote>
  <w:footnote w:id="20">
    <w:p w14:paraId="2C34FE80" w14:textId="77777777" w:rsidR="00566919" w:rsidRDefault="00072F7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Disponible en: https://www.zinacantepec.gob.mx/cabildo.php</w:t>
      </w:r>
    </w:p>
  </w:footnote>
  <w:footnote w:id="21">
    <w:p w14:paraId="08143F82" w14:textId="77777777" w:rsidR="00566919" w:rsidRDefault="00072F7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Disponible en: https://www.osfem.gob.mx/informes/resultados/2022/municipios.html</w:t>
      </w:r>
    </w:p>
  </w:footnote>
  <w:footnote w:id="22">
    <w:p w14:paraId="5605DA7F" w14:textId="77777777" w:rsidR="00C375DB" w:rsidRDefault="00C375DB" w:rsidP="00C375DB">
      <w:pPr>
        <w:pStyle w:val="Textonotapie"/>
        <w:jc w:val="both"/>
        <w:rPr>
          <w:i/>
          <w:iCs/>
        </w:rPr>
      </w:pPr>
      <w:r w:rsidRPr="00C375DB">
        <w:rPr>
          <w:rStyle w:val="Refdenotaalpie"/>
          <w:i/>
          <w:iCs/>
        </w:rPr>
        <w:footnoteRef/>
      </w:r>
      <w:r w:rsidRPr="00C375DB">
        <w:rPr>
          <w:i/>
          <w:iCs/>
        </w:rPr>
        <w:t xml:space="preserve"> </w:t>
      </w:r>
      <w:r>
        <w:rPr>
          <w:i/>
          <w:iCs/>
        </w:rPr>
        <w:t>“</w:t>
      </w:r>
      <w:r w:rsidRPr="00C375DB">
        <w:rPr>
          <w:b/>
          <w:bCs/>
          <w:i/>
          <w:iCs/>
        </w:rPr>
        <w:t>Artículo 19.</w:t>
      </w:r>
      <w:r w:rsidRPr="00C375DB">
        <w:rPr>
          <w:i/>
          <w:iCs/>
        </w:rPr>
        <w:t xml:space="preserve"> </w:t>
      </w:r>
      <w:r>
        <w:rPr>
          <w:i/>
          <w:iCs/>
        </w:rPr>
        <w:t>(…)</w:t>
      </w:r>
    </w:p>
    <w:p w14:paraId="64729FD1" w14:textId="399C22D0" w:rsidR="00C375DB" w:rsidRDefault="00C375DB" w:rsidP="00C375DB">
      <w:pPr>
        <w:pStyle w:val="Textonotapie"/>
        <w:jc w:val="both"/>
        <w:rPr>
          <w:i/>
          <w:iCs/>
        </w:rPr>
      </w:pPr>
      <w:r w:rsidRPr="00C375DB">
        <w:rPr>
          <w:i/>
          <w:iCs/>
        </w:rPr>
        <w:t>En los casos en que ciertas facultades, competencias o funciones no se hayan ejercido, se debe motivar la respuesta en función de las causas que motiven tal circunstancia.</w:t>
      </w:r>
    </w:p>
    <w:p w14:paraId="601BB483" w14:textId="1D6E2186" w:rsidR="00C375DB" w:rsidRPr="00C375DB" w:rsidRDefault="00C375DB" w:rsidP="00C375DB">
      <w:pPr>
        <w:pStyle w:val="Textonotapie"/>
        <w:jc w:val="both"/>
        <w:rPr>
          <w:i/>
          <w:iCs/>
        </w:rPr>
      </w:pPr>
      <w:r>
        <w:rPr>
          <w:i/>
          <w:iCs/>
        </w:rPr>
        <w:t>(…)”</w:t>
      </w:r>
    </w:p>
  </w:footnote>
  <w:footnote w:id="23">
    <w:p w14:paraId="070F63D6" w14:textId="77777777" w:rsidR="00566919" w:rsidRDefault="00072F7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Disponible en: https://www.osfem.gob.mx/informes/resultados/2022/municipios.html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6EF81" w14:textId="77777777" w:rsidR="00566919" w:rsidRDefault="00072F7A">
    <w:pPr>
      <w:widowControl w:val="0"/>
      <w:pBdr>
        <w:top w:val="nil"/>
        <w:left w:val="nil"/>
        <w:bottom w:val="nil"/>
        <w:right w:val="nil"/>
        <w:between w:val="nil"/>
      </w:pBdr>
      <w:spacing w:line="276" w:lineRule="auto"/>
      <w:rPr>
        <w:color w:val="000000"/>
      </w:rPr>
    </w:pPr>
    <w:r>
      <w:rPr>
        <w:noProof/>
      </w:rPr>
      <w:drawing>
        <wp:anchor distT="0" distB="0" distL="0" distR="0" simplePos="0" relativeHeight="251657216" behindDoc="1" locked="0" layoutInCell="1" hidden="0" allowOverlap="1" wp14:anchorId="3AEEACDE" wp14:editId="716A99E3">
          <wp:simplePos x="0" y="0"/>
          <wp:positionH relativeFrom="column">
            <wp:posOffset>-1115204</wp:posOffset>
          </wp:positionH>
          <wp:positionV relativeFrom="paragraph">
            <wp:posOffset>-448007</wp:posOffset>
          </wp:positionV>
          <wp:extent cx="7694930" cy="10020300"/>
          <wp:effectExtent l="0" t="0" r="0" b="0"/>
          <wp:wrapNone/>
          <wp:docPr id="1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94930" cy="10020300"/>
                  </a:xfrm>
                  <a:prstGeom prst="rect">
                    <a:avLst/>
                  </a:prstGeom>
                  <a:ln/>
                </pic:spPr>
              </pic:pic>
            </a:graphicData>
          </a:graphic>
        </wp:anchor>
      </w:drawing>
    </w:r>
  </w:p>
  <w:tbl>
    <w:tblPr>
      <w:tblStyle w:val="a8"/>
      <w:tblW w:w="8175" w:type="dxa"/>
      <w:tblInd w:w="1590" w:type="dxa"/>
      <w:tblBorders>
        <w:top w:val="nil"/>
        <w:left w:val="nil"/>
        <w:bottom w:val="nil"/>
        <w:right w:val="nil"/>
        <w:insideH w:val="nil"/>
        <w:insideV w:val="nil"/>
      </w:tblBorders>
      <w:tblLayout w:type="fixed"/>
      <w:tblLook w:val="0400" w:firstRow="0" w:lastRow="0" w:firstColumn="0" w:lastColumn="0" w:noHBand="0" w:noVBand="1"/>
    </w:tblPr>
    <w:tblGrid>
      <w:gridCol w:w="3690"/>
      <w:gridCol w:w="4485"/>
    </w:tblGrid>
    <w:tr w:rsidR="00566919" w14:paraId="4737E226" w14:textId="77777777">
      <w:trPr>
        <w:trHeight w:val="138"/>
      </w:trPr>
      <w:tc>
        <w:tcPr>
          <w:tcW w:w="3690" w:type="dxa"/>
          <w:vAlign w:val="center"/>
        </w:tcPr>
        <w:p w14:paraId="6D0EE035" w14:textId="77777777" w:rsidR="00566919" w:rsidRDefault="00072F7A">
          <w:pPr>
            <w:ind w:right="34"/>
            <w:jc w:val="right"/>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4485" w:type="dxa"/>
          <w:vAlign w:val="center"/>
        </w:tcPr>
        <w:p w14:paraId="6EBC41DE" w14:textId="77777777" w:rsidR="00566919" w:rsidRDefault="00072F7A">
          <w:pPr>
            <w:pBdr>
              <w:top w:val="nil"/>
              <w:left w:val="nil"/>
              <w:bottom w:val="nil"/>
              <w:right w:val="nil"/>
              <w:between w:val="nil"/>
            </w:pBdr>
            <w:tabs>
              <w:tab w:val="center" w:pos="4252"/>
              <w:tab w:val="right" w:pos="8504"/>
            </w:tabs>
            <w:jc w:val="both"/>
            <w:rPr>
              <w:rFonts w:ascii="Palatino Linotype" w:eastAsia="Palatino Linotype" w:hAnsi="Palatino Linotype" w:cs="Palatino Linotype"/>
            </w:rPr>
          </w:pPr>
          <w:r>
            <w:rPr>
              <w:rFonts w:ascii="Palatino Linotype" w:eastAsia="Palatino Linotype" w:hAnsi="Palatino Linotype" w:cs="Palatino Linotype"/>
            </w:rPr>
            <w:t>05658/INFOEM/IP/RR/2023</w:t>
          </w:r>
        </w:p>
      </w:tc>
    </w:tr>
    <w:tr w:rsidR="00566919" w14:paraId="3CDC9F8F" w14:textId="77777777">
      <w:trPr>
        <w:trHeight w:val="233"/>
      </w:trPr>
      <w:tc>
        <w:tcPr>
          <w:tcW w:w="3690" w:type="dxa"/>
          <w:vAlign w:val="center"/>
        </w:tcPr>
        <w:p w14:paraId="45EBB96D" w14:textId="77777777" w:rsidR="00566919" w:rsidRDefault="00072F7A">
          <w:pPr>
            <w:ind w:right="3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485" w:type="dxa"/>
          <w:vAlign w:val="center"/>
        </w:tcPr>
        <w:p w14:paraId="7F355A78" w14:textId="77777777" w:rsidR="00566919" w:rsidRDefault="00072F7A">
          <w:pPr>
            <w:pBdr>
              <w:top w:val="nil"/>
              <w:left w:val="nil"/>
              <w:bottom w:val="nil"/>
              <w:right w:val="nil"/>
              <w:between w:val="nil"/>
            </w:pBdr>
            <w:tabs>
              <w:tab w:val="center" w:pos="4252"/>
              <w:tab w:val="right" w:pos="8504"/>
            </w:tabs>
            <w:rPr>
              <w:rFonts w:ascii="Palatino Linotype" w:eastAsia="Palatino Linotype" w:hAnsi="Palatino Linotype" w:cs="Palatino Linotype"/>
            </w:rPr>
          </w:pPr>
          <w:r>
            <w:rPr>
              <w:rFonts w:ascii="Palatino Linotype" w:eastAsia="Palatino Linotype" w:hAnsi="Palatino Linotype" w:cs="Palatino Linotype"/>
            </w:rPr>
            <w:t>Ayuntamiento de Zinacantepec</w:t>
          </w:r>
        </w:p>
      </w:tc>
    </w:tr>
    <w:tr w:rsidR="00566919" w14:paraId="390AE3F3" w14:textId="77777777">
      <w:trPr>
        <w:trHeight w:val="321"/>
      </w:trPr>
      <w:tc>
        <w:tcPr>
          <w:tcW w:w="3690" w:type="dxa"/>
          <w:vAlign w:val="center"/>
        </w:tcPr>
        <w:p w14:paraId="76E2156D" w14:textId="77777777" w:rsidR="00566919" w:rsidRDefault="00072F7A">
          <w:pPr>
            <w:ind w:right="34"/>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485" w:type="dxa"/>
          <w:vAlign w:val="center"/>
        </w:tcPr>
        <w:p w14:paraId="5A5CE6B0" w14:textId="77777777" w:rsidR="00566919" w:rsidRDefault="00072F7A">
          <w:pPr>
            <w:pBdr>
              <w:top w:val="nil"/>
              <w:left w:val="nil"/>
              <w:bottom w:val="nil"/>
              <w:right w:val="nil"/>
              <w:between w:val="nil"/>
            </w:pBdr>
            <w:tabs>
              <w:tab w:val="center" w:pos="4252"/>
              <w:tab w:val="right" w:pos="8504"/>
            </w:tabs>
            <w:rPr>
              <w:rFonts w:ascii="Palatino Linotype" w:eastAsia="Palatino Linotype" w:hAnsi="Palatino Linotype" w:cs="Palatino Linotype"/>
            </w:rPr>
          </w:pPr>
          <w:r>
            <w:rPr>
              <w:rFonts w:ascii="Palatino Linotype" w:eastAsia="Palatino Linotype" w:hAnsi="Palatino Linotype" w:cs="Palatino Linotype"/>
            </w:rPr>
            <w:t>María del Rosario Mejía Ayala</w:t>
          </w:r>
        </w:p>
      </w:tc>
    </w:tr>
  </w:tbl>
  <w:p w14:paraId="71D7BE56" w14:textId="77777777" w:rsidR="00566919" w:rsidRDefault="00566919">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22EDA" w14:textId="77777777" w:rsidR="00566919" w:rsidRDefault="00566919">
    <w:pPr>
      <w:widowControl w:val="0"/>
      <w:pBdr>
        <w:top w:val="nil"/>
        <w:left w:val="nil"/>
        <w:bottom w:val="nil"/>
        <w:right w:val="nil"/>
        <w:between w:val="nil"/>
      </w:pBdr>
      <w:spacing w:line="276" w:lineRule="auto"/>
      <w:rPr>
        <w:color w:val="000000"/>
        <w:sz w:val="20"/>
        <w:szCs w:val="20"/>
      </w:rPr>
    </w:pPr>
  </w:p>
  <w:tbl>
    <w:tblPr>
      <w:tblStyle w:val="a9"/>
      <w:tblW w:w="8340" w:type="dxa"/>
      <w:tblInd w:w="1590" w:type="dxa"/>
      <w:tblBorders>
        <w:top w:val="nil"/>
        <w:left w:val="nil"/>
        <w:bottom w:val="nil"/>
        <w:right w:val="nil"/>
        <w:insideH w:val="nil"/>
        <w:insideV w:val="nil"/>
      </w:tblBorders>
      <w:tblLayout w:type="fixed"/>
      <w:tblLook w:val="0400" w:firstRow="0" w:lastRow="0" w:firstColumn="0" w:lastColumn="0" w:noHBand="0" w:noVBand="1"/>
    </w:tblPr>
    <w:tblGrid>
      <w:gridCol w:w="3690"/>
      <w:gridCol w:w="4650"/>
    </w:tblGrid>
    <w:tr w:rsidR="00566919" w14:paraId="171C5EA9" w14:textId="77777777">
      <w:trPr>
        <w:trHeight w:val="138"/>
      </w:trPr>
      <w:tc>
        <w:tcPr>
          <w:tcW w:w="3690" w:type="dxa"/>
          <w:vAlign w:val="center"/>
        </w:tcPr>
        <w:p w14:paraId="66EC1C63" w14:textId="77777777" w:rsidR="00566919" w:rsidRDefault="00072F7A">
          <w:pPr>
            <w:jc w:val="right"/>
            <w:rPr>
              <w:rFonts w:ascii="Palatino Linotype" w:eastAsia="Palatino Linotype" w:hAnsi="Palatino Linotype" w:cs="Palatino Linotype"/>
              <w:b/>
            </w:rPr>
          </w:pPr>
          <w:r>
            <w:tab/>
          </w:r>
          <w:r>
            <w:rPr>
              <w:rFonts w:ascii="Palatino Linotype" w:eastAsia="Palatino Linotype" w:hAnsi="Palatino Linotype" w:cs="Palatino Linotype"/>
              <w:b/>
            </w:rPr>
            <w:t>RECURSO DE REVISIÓN:</w:t>
          </w:r>
        </w:p>
      </w:tc>
      <w:tc>
        <w:tcPr>
          <w:tcW w:w="4650" w:type="dxa"/>
          <w:vAlign w:val="center"/>
        </w:tcPr>
        <w:p w14:paraId="0B09EED7" w14:textId="77777777" w:rsidR="00566919" w:rsidRDefault="00072F7A">
          <w:pPr>
            <w:pBdr>
              <w:top w:val="nil"/>
              <w:left w:val="nil"/>
              <w:bottom w:val="nil"/>
              <w:right w:val="nil"/>
              <w:between w:val="nil"/>
            </w:pBdr>
            <w:tabs>
              <w:tab w:val="center" w:pos="4252"/>
              <w:tab w:val="right" w:pos="8504"/>
            </w:tabs>
            <w:rPr>
              <w:rFonts w:ascii="Palatino Linotype" w:eastAsia="Palatino Linotype" w:hAnsi="Palatino Linotype" w:cs="Palatino Linotype"/>
            </w:rPr>
          </w:pPr>
          <w:r>
            <w:rPr>
              <w:rFonts w:ascii="Palatino Linotype" w:eastAsia="Palatino Linotype" w:hAnsi="Palatino Linotype" w:cs="Palatino Linotype"/>
            </w:rPr>
            <w:t>05658/INFOEM/IP/RR/2023</w:t>
          </w:r>
        </w:p>
      </w:tc>
    </w:tr>
    <w:tr w:rsidR="00566919" w14:paraId="5F26539A" w14:textId="77777777">
      <w:trPr>
        <w:trHeight w:val="233"/>
      </w:trPr>
      <w:tc>
        <w:tcPr>
          <w:tcW w:w="3690" w:type="dxa"/>
          <w:vAlign w:val="center"/>
        </w:tcPr>
        <w:p w14:paraId="366847D8" w14:textId="77777777" w:rsidR="00566919" w:rsidRDefault="00072F7A">
          <w:pPr>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650" w:type="dxa"/>
        </w:tcPr>
        <w:p w14:paraId="59990A20" w14:textId="1A437187" w:rsidR="00566919" w:rsidRDefault="00566919">
          <w:pPr>
            <w:pBdr>
              <w:top w:val="nil"/>
              <w:left w:val="nil"/>
              <w:bottom w:val="nil"/>
              <w:right w:val="nil"/>
              <w:between w:val="nil"/>
            </w:pBdr>
            <w:tabs>
              <w:tab w:val="center" w:pos="4252"/>
              <w:tab w:val="right" w:pos="8504"/>
            </w:tabs>
            <w:rPr>
              <w:rFonts w:ascii="Palatino Linotype" w:eastAsia="Palatino Linotype" w:hAnsi="Palatino Linotype" w:cs="Palatino Linotype"/>
            </w:rPr>
          </w:pPr>
        </w:p>
      </w:tc>
    </w:tr>
    <w:tr w:rsidR="00566919" w14:paraId="2B2159C6" w14:textId="77777777">
      <w:trPr>
        <w:trHeight w:val="321"/>
      </w:trPr>
      <w:tc>
        <w:tcPr>
          <w:tcW w:w="3690" w:type="dxa"/>
          <w:vAlign w:val="center"/>
        </w:tcPr>
        <w:p w14:paraId="5C621CF3" w14:textId="77777777" w:rsidR="00566919" w:rsidRDefault="00072F7A">
          <w:pPr>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650" w:type="dxa"/>
          <w:vAlign w:val="center"/>
        </w:tcPr>
        <w:p w14:paraId="3AFD8698" w14:textId="77777777" w:rsidR="00566919" w:rsidRDefault="00072F7A">
          <w:pPr>
            <w:pBdr>
              <w:top w:val="nil"/>
              <w:left w:val="nil"/>
              <w:bottom w:val="nil"/>
              <w:right w:val="nil"/>
              <w:between w:val="nil"/>
            </w:pBdr>
            <w:tabs>
              <w:tab w:val="center" w:pos="4252"/>
              <w:tab w:val="right" w:pos="8504"/>
            </w:tabs>
            <w:rPr>
              <w:rFonts w:ascii="Palatino Linotype" w:eastAsia="Palatino Linotype" w:hAnsi="Palatino Linotype" w:cs="Palatino Linotype"/>
            </w:rPr>
          </w:pPr>
          <w:r>
            <w:rPr>
              <w:rFonts w:ascii="Palatino Linotype" w:eastAsia="Palatino Linotype" w:hAnsi="Palatino Linotype" w:cs="Palatino Linotype"/>
            </w:rPr>
            <w:t>Ayuntamiento de Zinacantepec</w:t>
          </w:r>
        </w:p>
      </w:tc>
    </w:tr>
    <w:tr w:rsidR="00566919" w14:paraId="68954BE3" w14:textId="77777777">
      <w:trPr>
        <w:trHeight w:val="321"/>
      </w:trPr>
      <w:tc>
        <w:tcPr>
          <w:tcW w:w="3690" w:type="dxa"/>
          <w:vAlign w:val="center"/>
        </w:tcPr>
        <w:p w14:paraId="397DD1A1" w14:textId="77777777" w:rsidR="00566919" w:rsidRDefault="00072F7A">
          <w:pPr>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650" w:type="dxa"/>
          <w:vAlign w:val="center"/>
        </w:tcPr>
        <w:p w14:paraId="2ADFD905" w14:textId="77777777" w:rsidR="00566919" w:rsidRDefault="00072F7A">
          <w:pPr>
            <w:pBdr>
              <w:top w:val="nil"/>
              <w:left w:val="nil"/>
              <w:bottom w:val="nil"/>
              <w:right w:val="nil"/>
              <w:between w:val="nil"/>
            </w:pBdr>
            <w:tabs>
              <w:tab w:val="center" w:pos="4252"/>
              <w:tab w:val="right" w:pos="8504"/>
            </w:tabs>
            <w:ind w:left="33"/>
            <w:rPr>
              <w:rFonts w:ascii="Palatino Linotype" w:eastAsia="Palatino Linotype" w:hAnsi="Palatino Linotype" w:cs="Palatino Linotype"/>
            </w:rPr>
          </w:pPr>
          <w:r>
            <w:rPr>
              <w:rFonts w:ascii="Palatino Linotype" w:eastAsia="Palatino Linotype" w:hAnsi="Palatino Linotype" w:cs="Palatino Linotype"/>
            </w:rPr>
            <w:t>María del Rosario Mejía Ayala</w:t>
          </w:r>
        </w:p>
      </w:tc>
    </w:tr>
  </w:tbl>
  <w:p w14:paraId="428D30B6" w14:textId="77777777" w:rsidR="00566919" w:rsidRDefault="00645779">
    <w:pPr>
      <w:pBdr>
        <w:top w:val="nil"/>
        <w:left w:val="nil"/>
        <w:bottom w:val="nil"/>
        <w:right w:val="nil"/>
        <w:between w:val="nil"/>
      </w:pBdr>
      <w:tabs>
        <w:tab w:val="center" w:pos="4252"/>
        <w:tab w:val="right" w:pos="8504"/>
        <w:tab w:val="left" w:pos="3103"/>
      </w:tabs>
      <w:rPr>
        <w:color w:val="000000"/>
      </w:rPr>
    </w:pPr>
    <w:r>
      <w:rPr>
        <w:noProof/>
        <w:color w:val="000000"/>
      </w:rPr>
      <w:pict w14:anchorId="219E80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100.1pt;margin-top:-124.35pt;width:663.5pt;height:12in;z-index:-251658240;mso-wrap-edited:f;mso-width-percent:0;mso-height-percent:0;mso-position-horizontal:absolute;mso-position-horizontal-relative:margin;mso-position-vertical:absolute;mso-position-vertical-relative:margin;mso-width-percent:0;mso-height-percent:0">
          <v:imagedata r:id="rId1" o:title="image2"/>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640708"/>
    <w:multiLevelType w:val="multilevel"/>
    <w:tmpl w:val="E1284D8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 w15:restartNumberingAfterBreak="0">
    <w:nsid w:val="23E07AED"/>
    <w:multiLevelType w:val="multilevel"/>
    <w:tmpl w:val="36D84F30"/>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upperRoman"/>
      <w:lvlText w:val="%2."/>
      <w:lvlJc w:val="right"/>
      <w:pPr>
        <w:ind w:left="1440" w:hanging="360"/>
      </w:pPr>
      <w:rPr>
        <w:b/>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AC33BCB"/>
    <w:multiLevelType w:val="multilevel"/>
    <w:tmpl w:val="5ABC769A"/>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upperRoman"/>
      <w:lvlText w:val="%2."/>
      <w:lvlJc w:val="right"/>
      <w:pPr>
        <w:ind w:left="1440" w:hanging="360"/>
      </w:pPr>
      <w:rPr>
        <w:b/>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7FA274B"/>
    <w:multiLevelType w:val="multilevel"/>
    <w:tmpl w:val="6418794A"/>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BE46776"/>
    <w:multiLevelType w:val="multilevel"/>
    <w:tmpl w:val="B9BE62DA"/>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upperRoman"/>
      <w:lvlText w:val="%2."/>
      <w:lvlJc w:val="righ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1F46BD3"/>
    <w:multiLevelType w:val="multilevel"/>
    <w:tmpl w:val="B698692C"/>
    <w:lvl w:ilvl="0">
      <w:start w:val="1"/>
      <w:numFmt w:val="upperRoman"/>
      <w:pStyle w:val="Listaconvietas2"/>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5"/>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919"/>
    <w:rsid w:val="0002038B"/>
    <w:rsid w:val="00072F7A"/>
    <w:rsid w:val="00362BDC"/>
    <w:rsid w:val="003655B8"/>
    <w:rsid w:val="00376D8F"/>
    <w:rsid w:val="004E0436"/>
    <w:rsid w:val="00566919"/>
    <w:rsid w:val="005A665E"/>
    <w:rsid w:val="00645779"/>
    <w:rsid w:val="006574A4"/>
    <w:rsid w:val="00680272"/>
    <w:rsid w:val="00712C2D"/>
    <w:rsid w:val="007D530B"/>
    <w:rsid w:val="008D0ED4"/>
    <w:rsid w:val="00975592"/>
    <w:rsid w:val="009C57D0"/>
    <w:rsid w:val="00BA066C"/>
    <w:rsid w:val="00BA3206"/>
    <w:rsid w:val="00C375DB"/>
    <w:rsid w:val="00C9754A"/>
    <w:rsid w:val="00DE764B"/>
    <w:rsid w:val="00E46435"/>
    <w:rsid w:val="00E50932"/>
    <w:rsid w:val="00EC5CCF"/>
    <w:rsid w:val="00EC79DA"/>
    <w:rsid w:val="00ED5153"/>
    <w:rsid w:val="00F137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8BAA026"/>
  <w15:docId w15:val="{2FF46899-3E79-3349-9A16-BDC32A0A4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EF77EE"/>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D12927"/>
    <w:pPr>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character" w:customStyle="1" w:styleId="TtuloCar">
    <w:name w:val="Título Car"/>
    <w:basedOn w:val="Fuentedeprrafopredeter"/>
    <w:link w:val="Ttul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 w:type="paragraph" w:customStyle="1" w:styleId="Textodeglobo1">
    <w:name w:val="Texto de globo1"/>
    <w:basedOn w:val="Normal"/>
    <w:next w:val="Textodeglobo"/>
    <w:uiPriority w:val="99"/>
    <w:semiHidden/>
    <w:unhideWhenUsed/>
    <w:rsid w:val="008A7F1F"/>
    <w:rPr>
      <w:rFonts w:ascii="Lucida Grande" w:eastAsiaTheme="minorHAnsi" w:hAnsi="Lucida Grande" w:cs="Lucida Grande"/>
      <w:sz w:val="18"/>
      <w:szCs w:val="18"/>
      <w:lang w:eastAsia="en-US"/>
    </w:rPr>
  </w:style>
  <w:style w:type="character" w:customStyle="1" w:styleId="Mencinsinresolver4">
    <w:name w:val="Mención sin resolver4"/>
    <w:basedOn w:val="Fuentedeprrafopredeter"/>
    <w:uiPriority w:val="99"/>
    <w:semiHidden/>
    <w:unhideWhenUsed/>
    <w:rsid w:val="0032264B"/>
    <w:rPr>
      <w:color w:val="605E5C"/>
      <w:shd w:val="clear" w:color="auto" w:fill="E1DFDD"/>
    </w:rPr>
  </w:style>
  <w:style w:type="character" w:customStyle="1" w:styleId="Ttulo4Car">
    <w:name w:val="Título 4 Car"/>
    <w:basedOn w:val="Fuentedeprrafopredeter"/>
    <w:link w:val="Ttulo4"/>
    <w:uiPriority w:val="9"/>
    <w:semiHidden/>
    <w:rsid w:val="00EF77EE"/>
    <w:rPr>
      <w:rFonts w:asciiTheme="majorHAnsi" w:eastAsiaTheme="majorEastAsia" w:hAnsiTheme="majorHAnsi" w:cstheme="majorBidi"/>
      <w:i/>
      <w:iCs/>
      <w:color w:val="365F91" w:themeColor="accent1" w:themeShade="BF"/>
      <w:lang w:val="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1"/>
    <w:rPr>
      <w:color w:val="000000"/>
      <w:sz w:val="22"/>
      <w:szCs w:val="22"/>
    </w:rPr>
    <w:tblPr>
      <w:tblStyleRowBandSize w:val="1"/>
      <w:tblStyleColBandSize w:val="1"/>
      <w:tblCellMar>
        <w:left w:w="108" w:type="dxa"/>
        <w:right w:w="108" w:type="dxa"/>
      </w:tblCellMar>
    </w:tblPr>
  </w:style>
  <w:style w:type="table" w:customStyle="1" w:styleId="a1">
    <w:basedOn w:val="TableNormal1"/>
    <w:rPr>
      <w:color w:val="000000"/>
      <w:sz w:val="22"/>
      <w:szCs w:val="22"/>
    </w:rPr>
    <w:tblPr>
      <w:tblStyleRowBandSize w:val="1"/>
      <w:tblStyleColBandSize w:val="1"/>
      <w:tblCellMar>
        <w:left w:w="108" w:type="dxa"/>
        <w:right w:w="108" w:type="dxa"/>
      </w:tblCellMar>
    </w:tblPr>
  </w:style>
  <w:style w:type="table" w:customStyle="1" w:styleId="a2">
    <w:basedOn w:val="TableNormal1"/>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3">
    <w:basedOn w:val="TableNormal1"/>
    <w:rPr>
      <w:color w:val="000000"/>
      <w:sz w:val="22"/>
      <w:szCs w:val="22"/>
    </w:rPr>
    <w:tblPr>
      <w:tblStyleRowBandSize w:val="1"/>
      <w:tblStyleColBandSize w:val="1"/>
      <w:tblCellMar>
        <w:left w:w="108" w:type="dxa"/>
        <w:right w:w="108" w:type="dxa"/>
      </w:tblCellMar>
    </w:tblPr>
  </w:style>
  <w:style w:type="table" w:customStyle="1" w:styleId="a4">
    <w:basedOn w:val="TableNormal1"/>
    <w:rPr>
      <w:color w:val="000000"/>
      <w:sz w:val="22"/>
      <w:szCs w:val="22"/>
    </w:rPr>
    <w:tblPr>
      <w:tblStyleRowBandSize w:val="1"/>
      <w:tblStyleColBandSize w:val="1"/>
      <w:tblCellMar>
        <w:left w:w="108" w:type="dxa"/>
        <w:right w:w="108" w:type="dxa"/>
      </w:tblCellMar>
    </w:tblPr>
  </w:style>
  <w:style w:type="table" w:customStyle="1" w:styleId="a5">
    <w:basedOn w:val="TableNormal1"/>
    <w:rPr>
      <w:color w:val="000000"/>
      <w:sz w:val="22"/>
      <w:szCs w:val="22"/>
    </w:rPr>
    <w:tblPr>
      <w:tblStyleRowBandSize w:val="1"/>
      <w:tblStyleColBandSize w:val="1"/>
      <w:tblCellMar>
        <w:left w:w="108" w:type="dxa"/>
        <w:right w:w="108" w:type="dxa"/>
      </w:tblCellMar>
    </w:tblPr>
  </w:style>
  <w:style w:type="table" w:customStyle="1" w:styleId="a6">
    <w:basedOn w:val="TableNormal1"/>
    <w:rPr>
      <w:color w:val="000000"/>
      <w:sz w:val="22"/>
      <w:szCs w:val="22"/>
    </w:rPr>
    <w:tblPr>
      <w:tblStyleRowBandSize w:val="1"/>
      <w:tblStyleColBandSize w:val="1"/>
      <w:tblCellMar>
        <w:left w:w="108" w:type="dxa"/>
        <w:right w:w="108" w:type="dxa"/>
      </w:tblCellMar>
    </w:tblPr>
  </w:style>
  <w:style w:type="paragraph" w:styleId="Textonotaalfinal">
    <w:name w:val="endnote text"/>
    <w:basedOn w:val="Normal"/>
    <w:link w:val="TextonotaalfinalCar"/>
    <w:uiPriority w:val="99"/>
    <w:semiHidden/>
    <w:unhideWhenUsed/>
    <w:rsid w:val="00C00D25"/>
    <w:rPr>
      <w:sz w:val="20"/>
      <w:szCs w:val="20"/>
    </w:rPr>
  </w:style>
  <w:style w:type="character" w:customStyle="1" w:styleId="TextonotaalfinalCar">
    <w:name w:val="Texto nota al final Car"/>
    <w:basedOn w:val="Fuentedeprrafopredeter"/>
    <w:link w:val="Textonotaalfinal"/>
    <w:uiPriority w:val="99"/>
    <w:semiHidden/>
    <w:rsid w:val="00C00D25"/>
    <w:rPr>
      <w:sz w:val="20"/>
      <w:szCs w:val="20"/>
    </w:rPr>
  </w:style>
  <w:style w:type="character" w:styleId="Refdenotaalfinal">
    <w:name w:val="endnote reference"/>
    <w:basedOn w:val="Fuentedeprrafopredeter"/>
    <w:uiPriority w:val="99"/>
    <w:semiHidden/>
    <w:unhideWhenUsed/>
    <w:rsid w:val="00C00D25"/>
    <w:rPr>
      <w:vertAlign w:val="superscript"/>
    </w:rPr>
  </w:style>
  <w:style w:type="table" w:customStyle="1" w:styleId="a7">
    <w:basedOn w:val="TableNormal0"/>
    <w:rPr>
      <w:color w:val="000000"/>
      <w:sz w:val="22"/>
      <w:szCs w:val="22"/>
    </w:rPr>
    <w:tblPr>
      <w:tblStyleRowBandSize w:val="1"/>
      <w:tblStyleColBandSize w:val="1"/>
      <w:tblCellMar>
        <w:left w:w="108" w:type="dxa"/>
        <w:right w:w="108" w:type="dxa"/>
      </w:tblCellMar>
    </w:tblPr>
  </w:style>
  <w:style w:type="table" w:customStyle="1" w:styleId="a8">
    <w:basedOn w:val="TableNormal0"/>
    <w:rPr>
      <w:color w:val="000000"/>
      <w:sz w:val="22"/>
      <w:szCs w:val="22"/>
    </w:rPr>
    <w:tblPr>
      <w:tblStyleRowBandSize w:val="1"/>
      <w:tblStyleColBandSize w:val="1"/>
      <w:tblCellMar>
        <w:left w:w="108" w:type="dxa"/>
        <w:right w:w="108" w:type="dxa"/>
      </w:tblCellMar>
    </w:tblPr>
  </w:style>
  <w:style w:type="table" w:customStyle="1" w:styleId="a9">
    <w:basedOn w:val="TableNormal0"/>
    <w:rPr>
      <w:color w:val="000000"/>
      <w:sz w:val="22"/>
      <w:szCs w:val="22"/>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v5mrpXUSVtrQUIvddMwqXAyVmQ==">CgMxLjAyCGguZ2pkZ3hzMgloLjMwajB6bGwyCWguMWZvYjl0ZTIOaC53ZWUydGtkMWVxM2wyCWguM3pueXNoNzIJaC4yZXQ5MnAwMghoLnR5amN3dDIJaC4zZHk2dmttMgloLjF0M2g1c2YyCWguNGQzNG9nODIJaC4xN2RwOHZ1MgloLjNyZGNyam4yCWguMjZpbjFyZzIJaC4yczhleW8xMgloLjM1bmt1bjIyCWguMWtzdjR1djgAciExZVZPSFpyUG05bDdEUWY0MDRYUXpLMFI4RWx4Z0JfZ0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8728647-35E9-444D-89CE-DCEB2389B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40</Pages>
  <Words>9245</Words>
  <Characters>50853</Characters>
  <Application>Microsoft Office Word</Application>
  <DocSecurity>0</DocSecurity>
  <Lines>423</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luisa</cp:lastModifiedBy>
  <cp:revision>20</cp:revision>
  <cp:lastPrinted>2024-08-23T04:27:00Z</cp:lastPrinted>
  <dcterms:created xsi:type="dcterms:W3CDTF">2024-08-09T18:08:00Z</dcterms:created>
  <dcterms:modified xsi:type="dcterms:W3CDTF">2024-08-23T04:27:00Z</dcterms:modified>
</cp:coreProperties>
</file>