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202C" w14:textId="22FD0016"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454D9C" w:rsidRPr="00B92276">
        <w:rPr>
          <w:rFonts w:ascii="Palatino Linotype" w:eastAsia="Palatino Linotype" w:hAnsi="Palatino Linotype" w:cs="Palatino Linotype"/>
        </w:rPr>
        <w:t xml:space="preserve">veintisiete de noviembre </w:t>
      </w:r>
      <w:r w:rsidRPr="00B92276">
        <w:rPr>
          <w:rFonts w:ascii="Palatino Linotype" w:eastAsia="Palatino Linotype" w:hAnsi="Palatino Linotype" w:cs="Palatino Linotype"/>
        </w:rPr>
        <w:t xml:space="preserve">de dos mil veinticuatro. </w:t>
      </w:r>
    </w:p>
    <w:p w14:paraId="1F3A28C1" w14:textId="77777777" w:rsidR="003248E0" w:rsidRPr="00B92276" w:rsidRDefault="003248E0">
      <w:pPr>
        <w:spacing w:after="0" w:line="360" w:lineRule="auto"/>
        <w:ind w:right="49"/>
        <w:jc w:val="center"/>
        <w:rPr>
          <w:rFonts w:ascii="Palatino Linotype" w:eastAsia="Palatino Linotype" w:hAnsi="Palatino Linotype" w:cs="Palatino Linotype"/>
        </w:rPr>
      </w:pPr>
    </w:p>
    <w:p w14:paraId="153A35D4" w14:textId="6B14F531"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b/>
        </w:rPr>
        <w:t xml:space="preserve">VISTOS </w:t>
      </w:r>
      <w:r w:rsidRPr="00B92276">
        <w:rPr>
          <w:rFonts w:ascii="Palatino Linotype" w:eastAsia="Palatino Linotype" w:hAnsi="Palatino Linotype" w:cs="Palatino Linotype"/>
        </w:rPr>
        <w:t xml:space="preserve">los expedientes relativos a los recursos de revisión </w:t>
      </w:r>
      <w:r w:rsidRPr="00B92276">
        <w:rPr>
          <w:rFonts w:ascii="Palatino Linotype" w:eastAsia="Palatino Linotype" w:hAnsi="Palatino Linotype" w:cs="Palatino Linotype"/>
          <w:b/>
        </w:rPr>
        <w:t>06354/INFOEM/IP/RR/2024</w:t>
      </w:r>
      <w:r w:rsidRPr="00B92276">
        <w:rPr>
          <w:rFonts w:ascii="Palatino Linotype" w:eastAsia="Palatino Linotype" w:hAnsi="Palatino Linotype" w:cs="Palatino Linotype"/>
        </w:rPr>
        <w:t>,</w:t>
      </w:r>
      <w:r w:rsidRPr="00B92276">
        <w:rPr>
          <w:rFonts w:ascii="Palatino Linotype" w:eastAsia="Palatino Linotype" w:hAnsi="Palatino Linotype" w:cs="Palatino Linotype"/>
          <w:b/>
        </w:rPr>
        <w:t xml:space="preserve"> 06355/INFOEM/IP/RR/2024, 06356/INFOEM/IP/RR/2024, 06358/INFOEM/IP/RR/2024, 06359/INFOEM/IP/RR/2024, 06360/INFOEM/IP/RR/2024, 06361/INFOEM/IP/RR/2024, 06362/INFOEM/IP/RR/2024, 06363/INFOEM/IP/RR/2024 y 06</w:t>
      </w:r>
      <w:r w:rsidR="005A7F06" w:rsidRPr="00B92276">
        <w:rPr>
          <w:rFonts w:ascii="Palatino Linotype" w:eastAsia="Palatino Linotype" w:hAnsi="Palatino Linotype" w:cs="Palatino Linotype"/>
          <w:b/>
        </w:rPr>
        <w:t>3</w:t>
      </w:r>
      <w:r w:rsidRPr="00B92276">
        <w:rPr>
          <w:rFonts w:ascii="Palatino Linotype" w:eastAsia="Palatino Linotype" w:hAnsi="Palatino Linotype" w:cs="Palatino Linotype"/>
          <w:b/>
        </w:rPr>
        <w:t xml:space="preserve">64/INFOEM/IP/RR/2024 acumulados, </w:t>
      </w:r>
      <w:r w:rsidRPr="00B92276">
        <w:rPr>
          <w:rFonts w:ascii="Palatino Linotype" w:eastAsia="Palatino Linotype" w:hAnsi="Palatino Linotype" w:cs="Palatino Linotype"/>
        </w:rPr>
        <w:t xml:space="preserve">interpuestos por </w:t>
      </w:r>
      <w:r w:rsidR="001F757D" w:rsidRPr="001F757D">
        <w:rPr>
          <w:rFonts w:ascii="Palatino Linotype" w:eastAsia="Palatino Linotype" w:hAnsi="Palatino Linotype" w:cs="Palatino Linotype"/>
          <w:b/>
        </w:rPr>
        <w:t>XXXXXXXXXX XXX XXXXX</w:t>
      </w:r>
      <w:r w:rsidRPr="00B92276">
        <w:rPr>
          <w:rFonts w:ascii="Palatino Linotype" w:eastAsia="Palatino Linotype" w:hAnsi="Palatino Linotype" w:cs="Palatino Linotype"/>
        </w:rPr>
        <w:t xml:space="preserve">, en lo sucesivo la parte </w:t>
      </w:r>
      <w:r w:rsidRPr="00B92276">
        <w:rPr>
          <w:rFonts w:ascii="Palatino Linotype" w:eastAsia="Palatino Linotype" w:hAnsi="Palatino Linotype" w:cs="Palatino Linotype"/>
          <w:b/>
        </w:rPr>
        <w:t>Recurrente</w:t>
      </w:r>
      <w:r w:rsidRPr="00B92276">
        <w:rPr>
          <w:rFonts w:ascii="Palatino Linotype" w:eastAsia="Palatino Linotype" w:hAnsi="Palatino Linotype" w:cs="Palatino Linotype"/>
        </w:rPr>
        <w:t xml:space="preserve">, en contra de la respuesta sus solicitudes de información por parte de la </w:t>
      </w:r>
      <w:r w:rsidRPr="00B92276">
        <w:rPr>
          <w:rFonts w:ascii="Palatino Linotype" w:eastAsia="Palatino Linotype" w:hAnsi="Palatino Linotype" w:cs="Palatino Linotype"/>
          <w:b/>
        </w:rPr>
        <w:t>Unidad de Asuntos Internos</w:t>
      </w:r>
      <w:r w:rsidRPr="00B92276">
        <w:rPr>
          <w:rFonts w:ascii="Palatino Linotype" w:eastAsia="Palatino Linotype" w:hAnsi="Palatino Linotype" w:cs="Palatino Linotype"/>
        </w:rPr>
        <w:t xml:space="preserve">, en lo sucesivo el </w:t>
      </w:r>
      <w:r w:rsidRPr="00B92276">
        <w:rPr>
          <w:rFonts w:ascii="Palatino Linotype" w:eastAsia="Palatino Linotype" w:hAnsi="Palatino Linotype" w:cs="Palatino Linotype"/>
          <w:b/>
        </w:rPr>
        <w:t xml:space="preserve">Sujeto Obligado; </w:t>
      </w:r>
      <w:r w:rsidRPr="00B92276">
        <w:rPr>
          <w:rFonts w:ascii="Palatino Linotype" w:eastAsia="Palatino Linotype" w:hAnsi="Palatino Linotype" w:cs="Palatino Linotype"/>
        </w:rPr>
        <w:t>se procede a dictar la presente resolución, con base en lo siguiente.</w:t>
      </w:r>
    </w:p>
    <w:p w14:paraId="752FC4F4" w14:textId="77777777" w:rsidR="003248E0" w:rsidRPr="00B92276" w:rsidRDefault="003248E0">
      <w:pPr>
        <w:spacing w:after="0" w:line="360" w:lineRule="auto"/>
        <w:ind w:right="49"/>
        <w:jc w:val="both"/>
        <w:rPr>
          <w:rFonts w:ascii="Palatino Linotype" w:eastAsia="Palatino Linotype" w:hAnsi="Palatino Linotype" w:cs="Palatino Linotype"/>
        </w:rPr>
      </w:pPr>
    </w:p>
    <w:p w14:paraId="44A3B4A9" w14:textId="77777777" w:rsidR="003248E0" w:rsidRPr="00B92276" w:rsidRDefault="002D080F">
      <w:pPr>
        <w:spacing w:after="0" w:line="360" w:lineRule="auto"/>
        <w:ind w:right="49"/>
        <w:jc w:val="center"/>
        <w:rPr>
          <w:rFonts w:ascii="Palatino Linotype" w:eastAsia="Palatino Linotype" w:hAnsi="Palatino Linotype" w:cs="Palatino Linotype"/>
          <w:b/>
        </w:rPr>
      </w:pPr>
      <w:r w:rsidRPr="00B92276">
        <w:rPr>
          <w:rFonts w:ascii="Palatino Linotype" w:eastAsia="Palatino Linotype" w:hAnsi="Palatino Linotype" w:cs="Palatino Linotype"/>
          <w:b/>
        </w:rPr>
        <w:t>I.</w:t>
      </w:r>
      <w:r w:rsidRPr="00B92276">
        <w:rPr>
          <w:rFonts w:ascii="Palatino Linotype" w:eastAsia="Palatino Linotype" w:hAnsi="Palatino Linotype" w:cs="Palatino Linotype"/>
          <w:b/>
        </w:rPr>
        <w:tab/>
        <w:t>A N T E C E D E N T E S</w:t>
      </w:r>
    </w:p>
    <w:p w14:paraId="57568026" w14:textId="77777777" w:rsidR="003248E0" w:rsidRPr="00B92276" w:rsidRDefault="003248E0">
      <w:pPr>
        <w:spacing w:after="0" w:line="360" w:lineRule="auto"/>
        <w:ind w:right="49"/>
        <w:jc w:val="both"/>
        <w:rPr>
          <w:rFonts w:ascii="Palatino Linotype" w:eastAsia="Palatino Linotype" w:hAnsi="Palatino Linotype" w:cs="Palatino Linotype"/>
        </w:rPr>
      </w:pPr>
    </w:p>
    <w:p w14:paraId="2C7F19F5"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t>1.</w:t>
      </w:r>
      <w:r w:rsidRPr="00B92276">
        <w:rPr>
          <w:rFonts w:ascii="Palatino Linotype" w:eastAsia="Palatino Linotype" w:hAnsi="Palatino Linotype" w:cs="Palatino Linotype"/>
        </w:rPr>
        <w:t xml:space="preserve"> </w:t>
      </w:r>
      <w:r w:rsidRPr="00B92276">
        <w:rPr>
          <w:rFonts w:ascii="Palatino Linotype" w:eastAsia="Palatino Linotype" w:hAnsi="Palatino Linotype" w:cs="Palatino Linotype"/>
          <w:b/>
        </w:rPr>
        <w:t xml:space="preserve">Solicitudes de Acceso a la Información. </w:t>
      </w:r>
      <w:r w:rsidRPr="00B92276">
        <w:rPr>
          <w:rFonts w:ascii="Palatino Linotype" w:eastAsia="Palatino Linotype" w:hAnsi="Palatino Linotype" w:cs="Palatino Linotype"/>
        </w:rPr>
        <w:t xml:space="preserve">El </w:t>
      </w:r>
      <w:r w:rsidRPr="00B92276">
        <w:rPr>
          <w:rFonts w:ascii="Palatino Linotype" w:eastAsia="Palatino Linotype" w:hAnsi="Palatino Linotype" w:cs="Palatino Linotype"/>
          <w:b/>
        </w:rPr>
        <w:t>dieciocho de septiembre de dos mil veinticuatro</w:t>
      </w:r>
      <w:r w:rsidRPr="00B92276">
        <w:rPr>
          <w:rFonts w:ascii="Palatino Linotype" w:eastAsia="Palatino Linotype" w:hAnsi="Palatino Linotype" w:cs="Palatino Linotype"/>
        </w:rPr>
        <w:t xml:space="preserve">, </w:t>
      </w:r>
      <w:r w:rsidRPr="00B92276">
        <w:rPr>
          <w:rFonts w:ascii="Palatino Linotype" w:eastAsia="Palatino Linotype" w:hAnsi="Palatino Linotype" w:cs="Palatino Linotype"/>
          <w:b/>
        </w:rPr>
        <w:t>la parte</w:t>
      </w:r>
      <w:r w:rsidRPr="00B92276">
        <w:rPr>
          <w:rFonts w:ascii="Palatino Linotype" w:eastAsia="Palatino Linotype" w:hAnsi="Palatino Linotype" w:cs="Palatino Linotype"/>
        </w:rPr>
        <w:t xml:space="preserve"> </w:t>
      </w:r>
      <w:r w:rsidRPr="00B92276">
        <w:rPr>
          <w:rFonts w:ascii="Palatino Linotype" w:eastAsia="Palatino Linotype" w:hAnsi="Palatino Linotype" w:cs="Palatino Linotype"/>
          <w:b/>
        </w:rPr>
        <w:t>Recurrente</w:t>
      </w:r>
      <w:r w:rsidRPr="00B92276">
        <w:rPr>
          <w:rFonts w:ascii="Palatino Linotype" w:eastAsia="Palatino Linotype" w:hAnsi="Palatino Linotype" w:cs="Palatino Linotype"/>
        </w:rPr>
        <w:t xml:space="preserve"> formuló solicitudes de acceso a información pública a través del </w:t>
      </w:r>
      <w:r w:rsidRPr="00B92276">
        <w:rPr>
          <w:rFonts w:ascii="Palatino Linotype" w:eastAsia="Palatino Linotype" w:hAnsi="Palatino Linotype" w:cs="Palatino Linotype"/>
          <w:b/>
        </w:rPr>
        <w:t>SAIMEX,</w:t>
      </w:r>
      <w:r w:rsidRPr="00B92276">
        <w:rPr>
          <w:rFonts w:ascii="Palatino Linotype" w:eastAsia="Palatino Linotype" w:hAnsi="Palatino Linotype" w:cs="Palatino Linotype"/>
        </w:rPr>
        <w:t xml:space="preserve"> en las que requirió lo siguiente:</w:t>
      </w:r>
    </w:p>
    <w:p w14:paraId="231391EA" w14:textId="77777777" w:rsidR="003248E0" w:rsidRPr="00B92276" w:rsidRDefault="003248E0">
      <w:pPr>
        <w:spacing w:after="0" w:line="360" w:lineRule="auto"/>
        <w:jc w:val="both"/>
        <w:rPr>
          <w:rFonts w:ascii="Palatino Linotype" w:eastAsia="Palatino Linotype" w:hAnsi="Palatino Linotype" w:cs="Palatino Linotype"/>
        </w:rPr>
      </w:pPr>
    </w:p>
    <w:tbl>
      <w:tblPr>
        <w:tblStyle w:val="af1"/>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6800"/>
      </w:tblGrid>
      <w:tr w:rsidR="00B92276" w:rsidRPr="00B92276" w14:paraId="42DCE2E2" w14:textId="77777777">
        <w:tc>
          <w:tcPr>
            <w:tcW w:w="2126" w:type="dxa"/>
            <w:shd w:val="clear" w:color="auto" w:fill="D9D9D9"/>
          </w:tcPr>
          <w:p w14:paraId="40D1838B" w14:textId="77777777" w:rsidR="003248E0" w:rsidRPr="00B92276" w:rsidRDefault="002D080F">
            <w:pPr>
              <w:jc w:val="both"/>
              <w:rPr>
                <w:rFonts w:ascii="Palatino Linotype" w:eastAsia="Palatino Linotype" w:hAnsi="Palatino Linotype" w:cs="Palatino Linotype"/>
                <w:b/>
                <w:i/>
                <w:sz w:val="20"/>
                <w:szCs w:val="20"/>
              </w:rPr>
            </w:pPr>
            <w:bookmarkStart w:id="0" w:name="_heading=h.1fob9te" w:colFirst="0" w:colLast="0"/>
            <w:bookmarkEnd w:id="0"/>
            <w:r w:rsidRPr="00B92276">
              <w:rPr>
                <w:rFonts w:ascii="Palatino Linotype" w:eastAsia="Palatino Linotype" w:hAnsi="Palatino Linotype" w:cs="Palatino Linotype"/>
                <w:b/>
                <w:i/>
                <w:sz w:val="20"/>
                <w:szCs w:val="20"/>
              </w:rPr>
              <w:t>Número de solicitud</w:t>
            </w:r>
          </w:p>
        </w:tc>
        <w:tc>
          <w:tcPr>
            <w:tcW w:w="6800" w:type="dxa"/>
            <w:shd w:val="clear" w:color="auto" w:fill="D9D9D9"/>
          </w:tcPr>
          <w:p w14:paraId="40B0348D" w14:textId="77777777" w:rsidR="003248E0" w:rsidRPr="00B92276" w:rsidRDefault="002D080F">
            <w:pPr>
              <w:jc w:val="center"/>
              <w:rPr>
                <w:rFonts w:ascii="Palatino Linotype" w:eastAsia="Palatino Linotype" w:hAnsi="Palatino Linotype" w:cs="Palatino Linotype"/>
                <w:b/>
                <w:i/>
                <w:sz w:val="20"/>
                <w:szCs w:val="20"/>
              </w:rPr>
            </w:pPr>
            <w:r w:rsidRPr="00B92276">
              <w:rPr>
                <w:rFonts w:ascii="Palatino Linotype" w:eastAsia="Palatino Linotype" w:hAnsi="Palatino Linotype" w:cs="Palatino Linotype"/>
                <w:b/>
                <w:i/>
                <w:sz w:val="20"/>
                <w:szCs w:val="20"/>
              </w:rPr>
              <w:t>Información requerida.</w:t>
            </w:r>
          </w:p>
        </w:tc>
      </w:tr>
      <w:tr w:rsidR="00B92276" w:rsidRPr="00B92276" w14:paraId="75261140" w14:textId="77777777">
        <w:trPr>
          <w:trHeight w:val="564"/>
        </w:trPr>
        <w:tc>
          <w:tcPr>
            <w:tcW w:w="2126" w:type="dxa"/>
          </w:tcPr>
          <w:p w14:paraId="2EF8D3E4" w14:textId="77777777" w:rsidR="003248E0" w:rsidRPr="00B92276" w:rsidRDefault="002D080F">
            <w:pPr>
              <w:jc w:val="both"/>
              <w:rPr>
                <w:rFonts w:ascii="Palatino Linotype" w:eastAsia="Palatino Linotype" w:hAnsi="Palatino Linotype" w:cs="Palatino Linotype"/>
                <w:b/>
                <w:i/>
                <w:sz w:val="20"/>
                <w:szCs w:val="20"/>
              </w:rPr>
            </w:pPr>
            <w:bookmarkStart w:id="1" w:name="_heading=h.3znysh7" w:colFirst="0" w:colLast="0"/>
            <w:bookmarkEnd w:id="1"/>
            <w:r w:rsidRPr="00B92276">
              <w:rPr>
                <w:rFonts w:ascii="Palatino Linotype" w:eastAsia="Palatino Linotype" w:hAnsi="Palatino Linotype" w:cs="Palatino Linotype"/>
                <w:b/>
                <w:sz w:val="20"/>
                <w:szCs w:val="20"/>
              </w:rPr>
              <w:t>00230/UAI/IP/2024</w:t>
            </w:r>
          </w:p>
        </w:tc>
        <w:tc>
          <w:tcPr>
            <w:tcW w:w="6800" w:type="dxa"/>
          </w:tcPr>
          <w:p w14:paraId="1AE598DD" w14:textId="77777777" w:rsidR="003248E0" w:rsidRPr="00B92276" w:rsidRDefault="002D080F">
            <w:pPr>
              <w:jc w:val="both"/>
              <w:rPr>
                <w:rFonts w:ascii="Palatino Linotype" w:eastAsia="Palatino Linotype" w:hAnsi="Palatino Linotype" w:cs="Palatino Linotype"/>
                <w:i/>
                <w:sz w:val="20"/>
                <w:szCs w:val="20"/>
              </w:rPr>
            </w:pPr>
            <w:r w:rsidRPr="00B92276">
              <w:rPr>
                <w:rFonts w:ascii="Palatino Linotype" w:eastAsia="Palatino Linotype" w:hAnsi="Palatino Linotype" w:cs="Palatino Linotype"/>
                <w:i/>
                <w:sz w:val="20"/>
                <w:szCs w:val="20"/>
              </w:rPr>
              <w:t xml:space="preserve">“VERSIÓN 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w:t>
            </w:r>
            <w:r w:rsidRPr="00B92276">
              <w:rPr>
                <w:rFonts w:ascii="Palatino Linotype" w:eastAsia="Palatino Linotype" w:hAnsi="Palatino Linotype" w:cs="Palatino Linotype"/>
                <w:i/>
                <w:sz w:val="20"/>
                <w:szCs w:val="20"/>
              </w:rPr>
              <w:lastRenderedPageBreak/>
              <w:t>DE DEPARTAMENTO Y PERSONAL COMISIONADO. DURANTE SEPTIEMBRE DE 2024” (sic)</w:t>
            </w:r>
          </w:p>
        </w:tc>
      </w:tr>
      <w:tr w:rsidR="00B92276" w:rsidRPr="00B92276" w14:paraId="511418AF" w14:textId="77777777">
        <w:tc>
          <w:tcPr>
            <w:tcW w:w="2126" w:type="dxa"/>
          </w:tcPr>
          <w:p w14:paraId="5070C294" w14:textId="77777777" w:rsidR="003248E0" w:rsidRPr="00B92276" w:rsidRDefault="002D080F">
            <w:pPr>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lastRenderedPageBreak/>
              <w:t>00229/UAI/IP/2024</w:t>
            </w:r>
          </w:p>
        </w:tc>
        <w:tc>
          <w:tcPr>
            <w:tcW w:w="6800" w:type="dxa"/>
          </w:tcPr>
          <w:p w14:paraId="10E58B0C" w14:textId="77777777" w:rsidR="003248E0" w:rsidRPr="00B92276" w:rsidRDefault="002D080F">
            <w:pPr>
              <w:jc w:val="both"/>
              <w:rPr>
                <w:rFonts w:ascii="Palatino Linotype" w:eastAsia="Palatino Linotype" w:hAnsi="Palatino Linotype" w:cs="Palatino Linotype"/>
                <w:i/>
                <w:sz w:val="20"/>
                <w:szCs w:val="20"/>
              </w:rPr>
            </w:pPr>
            <w:r w:rsidRPr="00B92276">
              <w:rPr>
                <w:rFonts w:ascii="Palatino Linotype" w:eastAsia="Palatino Linotype" w:hAnsi="Palatino Linotype" w:cs="Palatino Linotype"/>
                <w:i/>
                <w:sz w:val="20"/>
                <w:szCs w:val="20"/>
              </w:rPr>
              <w:t>“VERSIÓN 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DE DEPARTAMENTO Y PERSONAL COMISIONADO. DURANTE AGOSTO DE 2024”</w:t>
            </w:r>
            <w:r w:rsidRPr="00B92276">
              <w:rPr>
                <w:sz w:val="20"/>
                <w:szCs w:val="20"/>
              </w:rPr>
              <w:t xml:space="preserve"> </w:t>
            </w:r>
            <w:r w:rsidRPr="00B92276">
              <w:rPr>
                <w:rFonts w:ascii="Palatino Linotype" w:eastAsia="Palatino Linotype" w:hAnsi="Palatino Linotype" w:cs="Palatino Linotype"/>
                <w:i/>
                <w:sz w:val="20"/>
                <w:szCs w:val="20"/>
              </w:rPr>
              <w:t>(sic)</w:t>
            </w:r>
          </w:p>
        </w:tc>
      </w:tr>
      <w:tr w:rsidR="00B92276" w:rsidRPr="00B92276" w14:paraId="0EE27BBD" w14:textId="77777777">
        <w:tc>
          <w:tcPr>
            <w:tcW w:w="2126" w:type="dxa"/>
            <w:tcBorders>
              <w:top w:val="single" w:sz="4" w:space="0" w:color="000000"/>
              <w:left w:val="single" w:sz="4" w:space="0" w:color="000000"/>
              <w:bottom w:val="single" w:sz="4" w:space="0" w:color="000000"/>
              <w:right w:val="single" w:sz="4" w:space="0" w:color="000000"/>
            </w:tcBorders>
          </w:tcPr>
          <w:p w14:paraId="0B03DCCD" w14:textId="77777777" w:rsidR="003248E0" w:rsidRPr="00B92276" w:rsidRDefault="002D080F">
            <w:pPr>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00228/UAI/IP/2024</w:t>
            </w:r>
          </w:p>
        </w:tc>
        <w:tc>
          <w:tcPr>
            <w:tcW w:w="6800" w:type="dxa"/>
            <w:tcBorders>
              <w:top w:val="single" w:sz="4" w:space="0" w:color="000000"/>
              <w:left w:val="single" w:sz="4" w:space="0" w:color="000000"/>
              <w:bottom w:val="single" w:sz="4" w:space="0" w:color="000000"/>
              <w:right w:val="single" w:sz="4" w:space="0" w:color="000000"/>
            </w:tcBorders>
          </w:tcPr>
          <w:p w14:paraId="2E3A552D" w14:textId="77777777" w:rsidR="003248E0" w:rsidRPr="00B92276" w:rsidRDefault="002D080F">
            <w:pPr>
              <w:jc w:val="both"/>
              <w:rPr>
                <w:rFonts w:ascii="Palatino Linotype" w:eastAsia="Palatino Linotype" w:hAnsi="Palatino Linotype" w:cs="Palatino Linotype"/>
                <w:i/>
                <w:sz w:val="20"/>
                <w:szCs w:val="20"/>
              </w:rPr>
            </w:pPr>
            <w:r w:rsidRPr="00B92276">
              <w:rPr>
                <w:rFonts w:ascii="Palatino Linotype" w:eastAsia="Palatino Linotype" w:hAnsi="Palatino Linotype" w:cs="Palatino Linotype"/>
                <w:i/>
                <w:sz w:val="20"/>
                <w:szCs w:val="20"/>
              </w:rPr>
              <w:t>“VERSIÓN 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DE DEPARTAMENTO Y PERSONAL COMISIONADO. DURANTE JULIO DE 2024” (sic)</w:t>
            </w:r>
          </w:p>
        </w:tc>
      </w:tr>
      <w:tr w:rsidR="00B92276" w:rsidRPr="00B92276" w14:paraId="21F9C06F" w14:textId="77777777">
        <w:tc>
          <w:tcPr>
            <w:tcW w:w="2126" w:type="dxa"/>
            <w:tcBorders>
              <w:top w:val="single" w:sz="4" w:space="0" w:color="000000"/>
              <w:left w:val="single" w:sz="4" w:space="0" w:color="000000"/>
              <w:bottom w:val="single" w:sz="4" w:space="0" w:color="000000"/>
              <w:right w:val="single" w:sz="4" w:space="0" w:color="000000"/>
            </w:tcBorders>
          </w:tcPr>
          <w:p w14:paraId="21B1B3B7" w14:textId="77777777" w:rsidR="003248E0" w:rsidRPr="00B92276" w:rsidRDefault="002D080F">
            <w:pPr>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00227/UAI/IP/2024</w:t>
            </w:r>
          </w:p>
        </w:tc>
        <w:tc>
          <w:tcPr>
            <w:tcW w:w="6800" w:type="dxa"/>
            <w:tcBorders>
              <w:top w:val="single" w:sz="4" w:space="0" w:color="000000"/>
              <w:left w:val="single" w:sz="4" w:space="0" w:color="000000"/>
              <w:bottom w:val="single" w:sz="4" w:space="0" w:color="000000"/>
              <w:right w:val="single" w:sz="4" w:space="0" w:color="000000"/>
            </w:tcBorders>
          </w:tcPr>
          <w:p w14:paraId="394833D8" w14:textId="77777777" w:rsidR="003248E0" w:rsidRPr="00B92276" w:rsidRDefault="002D080F">
            <w:pPr>
              <w:jc w:val="both"/>
              <w:rPr>
                <w:rFonts w:ascii="Palatino Linotype" w:eastAsia="Palatino Linotype" w:hAnsi="Palatino Linotype" w:cs="Palatino Linotype"/>
                <w:i/>
                <w:sz w:val="20"/>
                <w:szCs w:val="20"/>
              </w:rPr>
            </w:pPr>
            <w:r w:rsidRPr="00B92276">
              <w:rPr>
                <w:rFonts w:ascii="Palatino Linotype" w:eastAsia="Palatino Linotype" w:hAnsi="Palatino Linotype" w:cs="Palatino Linotype"/>
                <w:i/>
                <w:sz w:val="20"/>
                <w:szCs w:val="20"/>
              </w:rPr>
              <w:t>“VERSIÓN 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DE DEPARTAMENTO Y PERSONAL COMISIONADO. DURANTE JUNIO DE 2024” (sic)</w:t>
            </w:r>
          </w:p>
        </w:tc>
      </w:tr>
      <w:tr w:rsidR="00B92276" w:rsidRPr="00B92276" w14:paraId="31196330" w14:textId="77777777">
        <w:tc>
          <w:tcPr>
            <w:tcW w:w="2126" w:type="dxa"/>
            <w:tcBorders>
              <w:top w:val="single" w:sz="4" w:space="0" w:color="000000"/>
              <w:left w:val="single" w:sz="4" w:space="0" w:color="000000"/>
              <w:bottom w:val="single" w:sz="4" w:space="0" w:color="000000"/>
              <w:right w:val="single" w:sz="4" w:space="0" w:color="000000"/>
            </w:tcBorders>
          </w:tcPr>
          <w:p w14:paraId="0558296F" w14:textId="77777777" w:rsidR="003248E0" w:rsidRPr="00B92276" w:rsidRDefault="002D080F">
            <w:pPr>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00226/UAI/IP/2024</w:t>
            </w:r>
          </w:p>
        </w:tc>
        <w:tc>
          <w:tcPr>
            <w:tcW w:w="6800" w:type="dxa"/>
            <w:tcBorders>
              <w:top w:val="single" w:sz="4" w:space="0" w:color="000000"/>
              <w:left w:val="single" w:sz="4" w:space="0" w:color="000000"/>
              <w:bottom w:val="single" w:sz="4" w:space="0" w:color="000000"/>
              <w:right w:val="single" w:sz="4" w:space="0" w:color="000000"/>
            </w:tcBorders>
          </w:tcPr>
          <w:p w14:paraId="223A4943" w14:textId="77777777" w:rsidR="003248E0" w:rsidRPr="00B92276" w:rsidRDefault="002D080F">
            <w:pPr>
              <w:jc w:val="both"/>
              <w:rPr>
                <w:rFonts w:ascii="Palatino Linotype" w:eastAsia="Palatino Linotype" w:hAnsi="Palatino Linotype" w:cs="Palatino Linotype"/>
                <w:i/>
                <w:sz w:val="20"/>
                <w:szCs w:val="20"/>
              </w:rPr>
            </w:pPr>
            <w:r w:rsidRPr="00B92276">
              <w:rPr>
                <w:rFonts w:ascii="Palatino Linotype" w:eastAsia="Palatino Linotype" w:hAnsi="Palatino Linotype" w:cs="Palatino Linotype"/>
                <w:i/>
                <w:sz w:val="20"/>
                <w:szCs w:val="20"/>
              </w:rPr>
              <w:t>“VERSIÓN 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DE DEPARTAMENTO Y PERSONAL COMISIONADO. DURANTE MAYO DE 2024” (sic)</w:t>
            </w:r>
          </w:p>
        </w:tc>
      </w:tr>
      <w:tr w:rsidR="00B92276" w:rsidRPr="00B92276" w14:paraId="76E92946" w14:textId="77777777">
        <w:tc>
          <w:tcPr>
            <w:tcW w:w="2126" w:type="dxa"/>
            <w:tcBorders>
              <w:top w:val="single" w:sz="4" w:space="0" w:color="000000"/>
              <w:left w:val="single" w:sz="4" w:space="0" w:color="000000"/>
              <w:bottom w:val="single" w:sz="4" w:space="0" w:color="000000"/>
              <w:right w:val="single" w:sz="4" w:space="0" w:color="000000"/>
            </w:tcBorders>
          </w:tcPr>
          <w:p w14:paraId="35FEE5BB" w14:textId="77777777" w:rsidR="003248E0" w:rsidRPr="00B92276" w:rsidRDefault="002D080F">
            <w:pPr>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00225/UAI/IP/2024</w:t>
            </w:r>
          </w:p>
        </w:tc>
        <w:tc>
          <w:tcPr>
            <w:tcW w:w="6800" w:type="dxa"/>
            <w:tcBorders>
              <w:top w:val="single" w:sz="4" w:space="0" w:color="000000"/>
              <w:left w:val="single" w:sz="4" w:space="0" w:color="000000"/>
              <w:bottom w:val="single" w:sz="4" w:space="0" w:color="000000"/>
              <w:right w:val="single" w:sz="4" w:space="0" w:color="000000"/>
            </w:tcBorders>
          </w:tcPr>
          <w:p w14:paraId="0EC000BE" w14:textId="77777777" w:rsidR="003248E0" w:rsidRPr="00B92276" w:rsidRDefault="002D080F">
            <w:pPr>
              <w:jc w:val="both"/>
              <w:rPr>
                <w:rFonts w:ascii="Palatino Linotype" w:eastAsia="Palatino Linotype" w:hAnsi="Palatino Linotype" w:cs="Palatino Linotype"/>
                <w:i/>
                <w:sz w:val="20"/>
                <w:szCs w:val="20"/>
              </w:rPr>
            </w:pPr>
            <w:r w:rsidRPr="00B92276">
              <w:rPr>
                <w:rFonts w:ascii="Palatino Linotype" w:eastAsia="Palatino Linotype" w:hAnsi="Palatino Linotype" w:cs="Palatino Linotype"/>
                <w:i/>
                <w:sz w:val="20"/>
                <w:szCs w:val="20"/>
              </w:rPr>
              <w:t xml:space="preserve">“VERSIÓN 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w:t>
            </w:r>
            <w:r w:rsidRPr="00B92276">
              <w:rPr>
                <w:rFonts w:ascii="Palatino Linotype" w:eastAsia="Palatino Linotype" w:hAnsi="Palatino Linotype" w:cs="Palatino Linotype"/>
                <w:i/>
                <w:sz w:val="20"/>
                <w:szCs w:val="20"/>
              </w:rPr>
              <w:lastRenderedPageBreak/>
              <w:t>DE DEPARTAMENTO Y PERSONAL COMISIONADO. DURANTE ABRIL DE 2024” (sic)</w:t>
            </w:r>
          </w:p>
        </w:tc>
      </w:tr>
      <w:tr w:rsidR="00B92276" w:rsidRPr="00B92276" w14:paraId="73308140" w14:textId="77777777">
        <w:tc>
          <w:tcPr>
            <w:tcW w:w="2126" w:type="dxa"/>
            <w:tcBorders>
              <w:top w:val="single" w:sz="4" w:space="0" w:color="000000"/>
              <w:left w:val="single" w:sz="4" w:space="0" w:color="000000"/>
              <w:bottom w:val="single" w:sz="4" w:space="0" w:color="000000"/>
              <w:right w:val="single" w:sz="4" w:space="0" w:color="000000"/>
            </w:tcBorders>
          </w:tcPr>
          <w:p w14:paraId="69E161BB" w14:textId="77777777" w:rsidR="003248E0" w:rsidRPr="00B92276" w:rsidRDefault="002D080F">
            <w:pPr>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lastRenderedPageBreak/>
              <w:t>00224/UAI/IP/2024</w:t>
            </w:r>
          </w:p>
        </w:tc>
        <w:tc>
          <w:tcPr>
            <w:tcW w:w="6800" w:type="dxa"/>
            <w:tcBorders>
              <w:top w:val="single" w:sz="4" w:space="0" w:color="000000"/>
              <w:left w:val="single" w:sz="4" w:space="0" w:color="000000"/>
              <w:bottom w:val="single" w:sz="4" w:space="0" w:color="000000"/>
              <w:right w:val="single" w:sz="4" w:space="0" w:color="000000"/>
            </w:tcBorders>
          </w:tcPr>
          <w:p w14:paraId="066F3427" w14:textId="77777777" w:rsidR="003248E0" w:rsidRPr="00B92276" w:rsidRDefault="002D080F">
            <w:pPr>
              <w:jc w:val="both"/>
              <w:rPr>
                <w:rFonts w:ascii="Palatino Linotype" w:eastAsia="Palatino Linotype" w:hAnsi="Palatino Linotype" w:cs="Palatino Linotype"/>
                <w:i/>
                <w:sz w:val="20"/>
                <w:szCs w:val="20"/>
              </w:rPr>
            </w:pPr>
            <w:r w:rsidRPr="00B92276">
              <w:rPr>
                <w:rFonts w:ascii="Palatino Linotype" w:eastAsia="Palatino Linotype" w:hAnsi="Palatino Linotype" w:cs="Palatino Linotype"/>
                <w:i/>
                <w:sz w:val="20"/>
                <w:szCs w:val="20"/>
              </w:rPr>
              <w:t>“VERSIÓN 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DE DEPARTAMENTO Y PERSONAL COMISIONADO. DURANTE MARZO DE 2024” (sic)</w:t>
            </w:r>
          </w:p>
        </w:tc>
      </w:tr>
      <w:tr w:rsidR="00B92276" w:rsidRPr="00B92276" w14:paraId="3567D158" w14:textId="77777777">
        <w:tc>
          <w:tcPr>
            <w:tcW w:w="2126" w:type="dxa"/>
            <w:tcBorders>
              <w:top w:val="single" w:sz="4" w:space="0" w:color="000000"/>
              <w:left w:val="single" w:sz="4" w:space="0" w:color="000000"/>
              <w:bottom w:val="single" w:sz="4" w:space="0" w:color="000000"/>
              <w:right w:val="single" w:sz="4" w:space="0" w:color="000000"/>
            </w:tcBorders>
          </w:tcPr>
          <w:p w14:paraId="26DB6039" w14:textId="77777777" w:rsidR="003248E0" w:rsidRPr="00B92276" w:rsidRDefault="002D080F">
            <w:pPr>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00223/UAI/IP/2024</w:t>
            </w:r>
          </w:p>
        </w:tc>
        <w:tc>
          <w:tcPr>
            <w:tcW w:w="6800" w:type="dxa"/>
            <w:tcBorders>
              <w:top w:val="single" w:sz="4" w:space="0" w:color="000000"/>
              <w:left w:val="single" w:sz="4" w:space="0" w:color="000000"/>
              <w:bottom w:val="single" w:sz="4" w:space="0" w:color="000000"/>
              <w:right w:val="single" w:sz="4" w:space="0" w:color="000000"/>
            </w:tcBorders>
          </w:tcPr>
          <w:p w14:paraId="49073ACE" w14:textId="77777777" w:rsidR="003248E0" w:rsidRPr="00B92276" w:rsidRDefault="002D080F">
            <w:pPr>
              <w:jc w:val="both"/>
              <w:rPr>
                <w:rFonts w:ascii="Palatino Linotype" w:eastAsia="Palatino Linotype" w:hAnsi="Palatino Linotype" w:cs="Palatino Linotype"/>
                <w:i/>
                <w:sz w:val="20"/>
                <w:szCs w:val="20"/>
              </w:rPr>
            </w:pPr>
            <w:r w:rsidRPr="00B92276">
              <w:rPr>
                <w:rFonts w:ascii="Palatino Linotype" w:eastAsia="Palatino Linotype" w:hAnsi="Palatino Linotype" w:cs="Palatino Linotype"/>
                <w:i/>
                <w:sz w:val="20"/>
                <w:szCs w:val="20"/>
              </w:rPr>
              <w:t>“VERSIÓN 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DE DEPARTAMENTO Y PERSONAL COMISIONADO. DURANTE FEBRERO DE 2024” (sic)</w:t>
            </w:r>
          </w:p>
        </w:tc>
      </w:tr>
      <w:tr w:rsidR="00B92276" w:rsidRPr="00B92276" w14:paraId="45AA3B06" w14:textId="77777777">
        <w:tc>
          <w:tcPr>
            <w:tcW w:w="2126" w:type="dxa"/>
            <w:tcBorders>
              <w:top w:val="single" w:sz="4" w:space="0" w:color="000000"/>
              <w:left w:val="single" w:sz="4" w:space="0" w:color="000000"/>
              <w:bottom w:val="single" w:sz="4" w:space="0" w:color="000000"/>
              <w:right w:val="single" w:sz="4" w:space="0" w:color="000000"/>
            </w:tcBorders>
          </w:tcPr>
          <w:p w14:paraId="6AD6F502" w14:textId="77777777" w:rsidR="003248E0" w:rsidRPr="00B92276" w:rsidRDefault="002D080F">
            <w:pPr>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00222/UAI/IP/2024</w:t>
            </w:r>
          </w:p>
        </w:tc>
        <w:tc>
          <w:tcPr>
            <w:tcW w:w="6800" w:type="dxa"/>
            <w:tcBorders>
              <w:top w:val="single" w:sz="4" w:space="0" w:color="000000"/>
              <w:left w:val="single" w:sz="4" w:space="0" w:color="000000"/>
              <w:bottom w:val="single" w:sz="4" w:space="0" w:color="000000"/>
              <w:right w:val="single" w:sz="4" w:space="0" w:color="000000"/>
            </w:tcBorders>
          </w:tcPr>
          <w:p w14:paraId="538237F9" w14:textId="77777777" w:rsidR="003248E0" w:rsidRPr="00B92276" w:rsidRDefault="002D080F">
            <w:pPr>
              <w:jc w:val="both"/>
              <w:rPr>
                <w:rFonts w:ascii="Palatino Linotype" w:eastAsia="Palatino Linotype" w:hAnsi="Palatino Linotype" w:cs="Palatino Linotype"/>
                <w:i/>
                <w:sz w:val="20"/>
                <w:szCs w:val="20"/>
              </w:rPr>
            </w:pPr>
            <w:r w:rsidRPr="00B92276">
              <w:rPr>
                <w:rFonts w:ascii="Palatino Linotype" w:eastAsia="Palatino Linotype" w:hAnsi="Palatino Linotype" w:cs="Palatino Linotype"/>
                <w:i/>
                <w:sz w:val="20"/>
                <w:szCs w:val="20"/>
              </w:rPr>
              <w:t>“VERSIÓN 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DE DEPARTAMENTO Y PERSONAL COMISIONADO. DURANTE ENERO DE 2024” (sic)</w:t>
            </w:r>
          </w:p>
        </w:tc>
      </w:tr>
      <w:tr w:rsidR="003248E0" w:rsidRPr="00B92276" w14:paraId="29BA30E3" w14:textId="77777777">
        <w:tc>
          <w:tcPr>
            <w:tcW w:w="2126" w:type="dxa"/>
            <w:tcBorders>
              <w:top w:val="single" w:sz="4" w:space="0" w:color="000000"/>
              <w:left w:val="single" w:sz="4" w:space="0" w:color="000000"/>
              <w:bottom w:val="single" w:sz="4" w:space="0" w:color="000000"/>
              <w:right w:val="single" w:sz="4" w:space="0" w:color="000000"/>
            </w:tcBorders>
          </w:tcPr>
          <w:p w14:paraId="2EA740C7" w14:textId="77777777" w:rsidR="003248E0" w:rsidRPr="00B92276" w:rsidRDefault="002D080F">
            <w:pPr>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00221/UAI/IP/2024</w:t>
            </w:r>
          </w:p>
        </w:tc>
        <w:tc>
          <w:tcPr>
            <w:tcW w:w="6800" w:type="dxa"/>
            <w:tcBorders>
              <w:top w:val="single" w:sz="4" w:space="0" w:color="000000"/>
              <w:left w:val="single" w:sz="4" w:space="0" w:color="000000"/>
              <w:bottom w:val="single" w:sz="4" w:space="0" w:color="000000"/>
              <w:right w:val="single" w:sz="4" w:space="0" w:color="000000"/>
            </w:tcBorders>
          </w:tcPr>
          <w:p w14:paraId="616CE5D6" w14:textId="77777777" w:rsidR="003248E0" w:rsidRPr="00B92276" w:rsidRDefault="002D080F">
            <w:pPr>
              <w:jc w:val="both"/>
              <w:rPr>
                <w:rFonts w:ascii="Palatino Linotype" w:eastAsia="Palatino Linotype" w:hAnsi="Palatino Linotype" w:cs="Palatino Linotype"/>
                <w:i/>
                <w:sz w:val="20"/>
                <w:szCs w:val="20"/>
              </w:rPr>
            </w:pPr>
            <w:r w:rsidRPr="00B92276">
              <w:rPr>
                <w:rFonts w:ascii="Palatino Linotype" w:eastAsia="Palatino Linotype" w:hAnsi="Palatino Linotype" w:cs="Palatino Linotype"/>
                <w:i/>
                <w:sz w:val="20"/>
                <w:szCs w:val="20"/>
              </w:rPr>
              <w:t>“PUBLICA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DE DEPARTAMENTO Y PERSONAL COMISIONADO.” (sic)</w:t>
            </w:r>
          </w:p>
        </w:tc>
      </w:tr>
    </w:tbl>
    <w:p w14:paraId="66F24EC0" w14:textId="77777777" w:rsidR="003248E0" w:rsidRPr="00B92276" w:rsidRDefault="003248E0">
      <w:pPr>
        <w:spacing w:after="0" w:line="360" w:lineRule="auto"/>
        <w:ind w:right="49"/>
        <w:jc w:val="both"/>
        <w:rPr>
          <w:rFonts w:ascii="Palatino Linotype" w:eastAsia="Palatino Linotype" w:hAnsi="Palatino Linotype" w:cs="Palatino Linotype"/>
          <w:b/>
        </w:rPr>
      </w:pPr>
    </w:p>
    <w:p w14:paraId="78C4173B"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b/>
        </w:rPr>
        <w:t>Modalidad elegida para la entrega de la información:</w:t>
      </w:r>
      <w:r w:rsidRPr="00B92276">
        <w:rPr>
          <w:rFonts w:ascii="Palatino Linotype" w:eastAsia="Palatino Linotype" w:hAnsi="Palatino Linotype" w:cs="Palatino Linotype"/>
        </w:rPr>
        <w:t xml:space="preserve"> a través del Sistema de Acceso a la Información Mexiquense (SAIMEX). </w:t>
      </w:r>
    </w:p>
    <w:p w14:paraId="15BC1977" w14:textId="77777777" w:rsidR="003248E0" w:rsidRPr="00B92276" w:rsidRDefault="003248E0">
      <w:pPr>
        <w:spacing w:after="0" w:line="360" w:lineRule="auto"/>
        <w:jc w:val="both"/>
        <w:rPr>
          <w:rFonts w:ascii="Palatino Linotype" w:eastAsia="Palatino Linotype" w:hAnsi="Palatino Linotype" w:cs="Palatino Linotype"/>
          <w:b/>
        </w:rPr>
      </w:pPr>
    </w:p>
    <w:p w14:paraId="6C29946A"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lastRenderedPageBreak/>
        <w:t xml:space="preserve">2. Prórroga. </w:t>
      </w:r>
      <w:r w:rsidRPr="00B92276">
        <w:rPr>
          <w:rFonts w:ascii="Palatino Linotype" w:eastAsia="Palatino Linotype" w:hAnsi="Palatino Linotype" w:cs="Palatino Linotype"/>
        </w:rPr>
        <w:t>El ocho de octubre de dos mil veinticuatro, el</w:t>
      </w:r>
      <w:r w:rsidRPr="00B92276">
        <w:rPr>
          <w:rFonts w:ascii="Palatino Linotype" w:eastAsia="Palatino Linotype" w:hAnsi="Palatino Linotype" w:cs="Palatino Linotype"/>
          <w:b/>
        </w:rPr>
        <w:t xml:space="preserve"> Sujeto Obligado </w:t>
      </w:r>
      <w:r w:rsidRPr="00B92276">
        <w:rPr>
          <w:rFonts w:ascii="Palatino Linotype" w:eastAsia="Palatino Linotype" w:hAnsi="Palatino Linotype" w:cs="Palatino Linotype"/>
        </w:rPr>
        <w:t>informó que el plazo de quince días hábiles para atender las solicitudes de información que dieron origen a los recursos de revisión que nos ocupan, fue prorrogado por siete días más en virtud de las siguientes razones:</w:t>
      </w:r>
    </w:p>
    <w:p w14:paraId="122F8A77" w14:textId="77777777" w:rsidR="003248E0" w:rsidRPr="00B92276" w:rsidRDefault="003248E0">
      <w:pPr>
        <w:spacing w:after="0" w:line="360" w:lineRule="auto"/>
        <w:jc w:val="both"/>
        <w:rPr>
          <w:rFonts w:ascii="Palatino Linotype" w:eastAsia="Palatino Linotype" w:hAnsi="Palatino Linotype" w:cs="Palatino Linotype"/>
        </w:rPr>
      </w:pPr>
    </w:p>
    <w:p w14:paraId="44DFB68B" w14:textId="77777777" w:rsidR="003248E0" w:rsidRPr="00B92276" w:rsidRDefault="002D080F">
      <w:pPr>
        <w:spacing w:after="0"/>
        <w:ind w:left="567" w:right="701"/>
        <w:jc w:val="both"/>
        <w:rPr>
          <w:rFonts w:ascii="Palatino Linotype" w:eastAsia="Palatino Linotype" w:hAnsi="Palatino Linotype" w:cs="Palatino Linotype"/>
          <w:i/>
        </w:rPr>
      </w:pPr>
      <w:r w:rsidRPr="00B92276">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Se aprueba la ampliación de plazo mediante el Acuerdo UAI/CT/ORDINARIA/2024/04/04[…]” (Sic)</w:t>
      </w:r>
    </w:p>
    <w:p w14:paraId="556ADEFE" w14:textId="77777777" w:rsidR="003248E0" w:rsidRPr="00B92276" w:rsidRDefault="003248E0">
      <w:pPr>
        <w:spacing w:after="0" w:line="360" w:lineRule="auto"/>
        <w:jc w:val="both"/>
        <w:rPr>
          <w:rFonts w:ascii="Palatino Linotype" w:eastAsia="Palatino Linotype" w:hAnsi="Palatino Linotype" w:cs="Palatino Linotype"/>
        </w:rPr>
      </w:pPr>
    </w:p>
    <w:p w14:paraId="7FF990B5"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A lo anterior, el </w:t>
      </w:r>
      <w:r w:rsidRPr="00B92276">
        <w:rPr>
          <w:rFonts w:ascii="Palatino Linotype" w:eastAsia="Palatino Linotype" w:hAnsi="Palatino Linotype" w:cs="Palatino Linotype"/>
          <w:b/>
        </w:rPr>
        <w:t xml:space="preserve">Sujeto Obligado </w:t>
      </w:r>
      <w:r w:rsidRPr="00B92276">
        <w:rPr>
          <w:rFonts w:ascii="Palatino Linotype" w:eastAsia="Palatino Linotype" w:hAnsi="Palatino Linotype" w:cs="Palatino Linotype"/>
        </w:rPr>
        <w:t>hizo entrega en los medios de impugnación que nos ocupa un oficio signado por el Titular de la Unidad de Transparencia, mediante el cual manifiesta que en fecha tres de octubre del año en curso el Comité de Transparencia emitió el Acuerdo UAI/CT/ORDINARIA/2024/04/04, mediante el cual aprobó la ampliación del plazo para dar respuesta.</w:t>
      </w:r>
    </w:p>
    <w:p w14:paraId="2431792D" w14:textId="77777777" w:rsidR="003248E0" w:rsidRPr="00B92276" w:rsidRDefault="003248E0">
      <w:pPr>
        <w:spacing w:after="0" w:line="360" w:lineRule="auto"/>
        <w:ind w:right="49"/>
        <w:jc w:val="both"/>
        <w:rPr>
          <w:rFonts w:ascii="Palatino Linotype" w:eastAsia="Palatino Linotype" w:hAnsi="Palatino Linotype" w:cs="Palatino Linotype"/>
        </w:rPr>
      </w:pPr>
    </w:p>
    <w:p w14:paraId="19026BC5"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De esta manera, como refiere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los expedientes </w:t>
      </w:r>
      <w:proofErr w:type="spellStart"/>
      <w:r w:rsidRPr="00B92276">
        <w:rPr>
          <w:rFonts w:ascii="Palatino Linotype" w:eastAsia="Palatino Linotype" w:hAnsi="Palatino Linotype" w:cs="Palatino Linotype"/>
        </w:rPr>
        <w:t>aperturados</w:t>
      </w:r>
      <w:proofErr w:type="spellEnd"/>
      <w:r w:rsidRPr="00B92276">
        <w:rPr>
          <w:rFonts w:ascii="Palatino Linotype" w:eastAsia="Palatino Linotype" w:hAnsi="Palatino Linotype" w:cs="Palatino Linotype"/>
        </w:rPr>
        <w:t xml:space="preserve"> con motivo de los recursos de revisión indicados, se advierte que </w:t>
      </w:r>
      <w:r w:rsidRPr="00B92276">
        <w:rPr>
          <w:rFonts w:ascii="Palatino Linotype" w:eastAsia="Palatino Linotype" w:hAnsi="Palatino Linotype" w:cs="Palatino Linotype"/>
          <w:b/>
        </w:rPr>
        <w:t>NO se observaron las formalidades que establece la Ley de la materia</w:t>
      </w:r>
      <w:r w:rsidRPr="00B92276">
        <w:rPr>
          <w:rFonts w:ascii="Palatino Linotype" w:eastAsia="Palatino Linotype" w:hAnsi="Palatino Linotype" w:cs="Palatino Linotype"/>
        </w:rPr>
        <w:t xml:space="preserve">, pues no se anexó el Acuerdo UAI/CT/ORDINARIA/2024/04/04, </w:t>
      </w:r>
      <w:r w:rsidRPr="00B92276">
        <w:rPr>
          <w:rFonts w:ascii="Palatino Linotype" w:eastAsia="Palatino Linotype" w:hAnsi="Palatino Linotype" w:cs="Palatino Linotype"/>
        </w:rPr>
        <w:lastRenderedPageBreak/>
        <w:t>mediante el cual el Comité de Transparencia aprobó la ampliación del plazo para dar respuesta.</w:t>
      </w:r>
    </w:p>
    <w:p w14:paraId="0CED35CB" w14:textId="77777777" w:rsidR="003248E0" w:rsidRPr="00B92276" w:rsidRDefault="003248E0">
      <w:pPr>
        <w:spacing w:after="0" w:line="360" w:lineRule="auto"/>
        <w:jc w:val="both"/>
        <w:rPr>
          <w:rFonts w:ascii="Palatino Linotype" w:eastAsia="Palatino Linotype" w:hAnsi="Palatino Linotype" w:cs="Palatino Linotype"/>
        </w:rPr>
      </w:pPr>
    </w:p>
    <w:p w14:paraId="03355C54" w14:textId="77777777" w:rsidR="003248E0" w:rsidRPr="00B92276" w:rsidRDefault="002D080F">
      <w:pPr>
        <w:widowControl w:val="0"/>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t>3.</w:t>
      </w:r>
      <w:r w:rsidRPr="00B92276">
        <w:rPr>
          <w:rFonts w:ascii="Palatino Linotype" w:eastAsia="Palatino Linotype" w:hAnsi="Palatino Linotype" w:cs="Palatino Linotype"/>
        </w:rPr>
        <w:t xml:space="preserve"> </w:t>
      </w:r>
      <w:r w:rsidRPr="00B92276">
        <w:rPr>
          <w:rFonts w:ascii="Palatino Linotype" w:eastAsia="Palatino Linotype" w:hAnsi="Palatino Linotype" w:cs="Palatino Linotype"/>
          <w:b/>
        </w:rPr>
        <w:t xml:space="preserve">Respuestas. </w:t>
      </w:r>
      <w:r w:rsidRPr="00B92276">
        <w:rPr>
          <w:rFonts w:ascii="Palatino Linotype" w:eastAsia="Palatino Linotype" w:hAnsi="Palatino Linotype" w:cs="Palatino Linotype"/>
        </w:rPr>
        <w:t xml:space="preserve">En fecha diecisiete de octubre de dos mil veinticuatro, el </w:t>
      </w:r>
      <w:r w:rsidRPr="00B92276">
        <w:rPr>
          <w:rFonts w:ascii="Palatino Linotype" w:eastAsia="Palatino Linotype" w:hAnsi="Palatino Linotype" w:cs="Palatino Linotype"/>
          <w:b/>
        </w:rPr>
        <w:t xml:space="preserve">Sujeto Obligado </w:t>
      </w:r>
      <w:r w:rsidRPr="00B92276">
        <w:rPr>
          <w:rFonts w:ascii="Palatino Linotype" w:eastAsia="Palatino Linotype" w:hAnsi="Palatino Linotype" w:cs="Palatino Linotype"/>
        </w:rPr>
        <w:t xml:space="preserve">notificó a la parte </w:t>
      </w:r>
      <w:r w:rsidRPr="00B92276">
        <w:rPr>
          <w:rFonts w:ascii="Palatino Linotype" w:eastAsia="Palatino Linotype" w:hAnsi="Palatino Linotype" w:cs="Palatino Linotype"/>
          <w:b/>
        </w:rPr>
        <w:t>Recurrente</w:t>
      </w:r>
      <w:r w:rsidRPr="00B92276">
        <w:rPr>
          <w:rFonts w:ascii="Palatino Linotype" w:eastAsia="Palatino Linotype" w:hAnsi="Palatino Linotype" w:cs="Palatino Linotype"/>
        </w:rPr>
        <w:t>, en la totalidad de los expedientes, las respuestas a sus solicitudes de información, en los términos siguientes:</w:t>
      </w:r>
    </w:p>
    <w:p w14:paraId="3123C31B" w14:textId="77777777" w:rsidR="003248E0" w:rsidRPr="00B92276" w:rsidRDefault="003248E0">
      <w:pPr>
        <w:widowControl w:val="0"/>
        <w:spacing w:after="0" w:line="360" w:lineRule="auto"/>
        <w:jc w:val="both"/>
        <w:rPr>
          <w:rFonts w:ascii="Palatino Linotype" w:eastAsia="Palatino Linotype" w:hAnsi="Palatino Linotype" w:cs="Palatino Linotype"/>
        </w:rPr>
      </w:pPr>
    </w:p>
    <w:tbl>
      <w:tblPr>
        <w:tblStyle w:val="af2"/>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B92276" w:rsidRPr="00B92276" w14:paraId="5F058557" w14:textId="77777777">
        <w:tc>
          <w:tcPr>
            <w:tcW w:w="3256" w:type="dxa"/>
            <w:shd w:val="clear" w:color="auto" w:fill="D9D9D9"/>
          </w:tcPr>
          <w:p w14:paraId="4400AC51" w14:textId="77777777" w:rsidR="003248E0" w:rsidRPr="00B92276" w:rsidRDefault="002D080F">
            <w:pPr>
              <w:jc w:val="center"/>
              <w:rPr>
                <w:rFonts w:ascii="Palatino Linotype" w:eastAsia="Palatino Linotype" w:hAnsi="Palatino Linotype" w:cs="Palatino Linotype"/>
                <w:b/>
                <w:i/>
                <w:sz w:val="20"/>
                <w:szCs w:val="20"/>
              </w:rPr>
            </w:pPr>
            <w:r w:rsidRPr="00B92276">
              <w:rPr>
                <w:rFonts w:ascii="Palatino Linotype" w:eastAsia="Palatino Linotype" w:hAnsi="Palatino Linotype" w:cs="Palatino Linotype"/>
                <w:b/>
                <w:i/>
                <w:sz w:val="20"/>
                <w:szCs w:val="20"/>
              </w:rPr>
              <w:t>Número de recurso de revisión</w:t>
            </w:r>
          </w:p>
        </w:tc>
        <w:tc>
          <w:tcPr>
            <w:tcW w:w="5670" w:type="dxa"/>
            <w:shd w:val="clear" w:color="auto" w:fill="D9D9D9"/>
          </w:tcPr>
          <w:p w14:paraId="68DF712C" w14:textId="77777777" w:rsidR="003248E0" w:rsidRPr="00B92276" w:rsidRDefault="002D080F">
            <w:pPr>
              <w:rPr>
                <w:rFonts w:ascii="Palatino Linotype" w:eastAsia="Palatino Linotype" w:hAnsi="Palatino Linotype" w:cs="Palatino Linotype"/>
                <w:b/>
                <w:i/>
                <w:sz w:val="20"/>
                <w:szCs w:val="20"/>
              </w:rPr>
            </w:pPr>
            <w:r w:rsidRPr="00B92276">
              <w:rPr>
                <w:rFonts w:ascii="Palatino Linotype" w:eastAsia="Palatino Linotype" w:hAnsi="Palatino Linotype" w:cs="Palatino Linotype"/>
                <w:b/>
                <w:i/>
                <w:sz w:val="20"/>
                <w:szCs w:val="20"/>
              </w:rPr>
              <w:t>Respuesta</w:t>
            </w:r>
          </w:p>
        </w:tc>
      </w:tr>
      <w:tr w:rsidR="00B92276" w:rsidRPr="00B92276" w14:paraId="69F133C1" w14:textId="77777777">
        <w:trPr>
          <w:trHeight w:val="262"/>
        </w:trPr>
        <w:tc>
          <w:tcPr>
            <w:tcW w:w="3256" w:type="dxa"/>
          </w:tcPr>
          <w:p w14:paraId="71D94B12" w14:textId="77777777" w:rsidR="003248E0" w:rsidRPr="00B92276" w:rsidRDefault="002D080F">
            <w:pPr>
              <w:jc w:val="center"/>
              <w:rPr>
                <w:rFonts w:ascii="Palatino Linotype" w:eastAsia="Palatino Linotype" w:hAnsi="Palatino Linotype" w:cs="Palatino Linotype"/>
                <w:b/>
                <w:i/>
                <w:sz w:val="20"/>
                <w:szCs w:val="20"/>
              </w:rPr>
            </w:pPr>
            <w:r w:rsidRPr="00B92276">
              <w:rPr>
                <w:rFonts w:ascii="Palatino Linotype" w:eastAsia="Palatino Linotype" w:hAnsi="Palatino Linotype" w:cs="Palatino Linotype"/>
                <w:b/>
                <w:sz w:val="20"/>
                <w:szCs w:val="20"/>
              </w:rPr>
              <w:t>06354/INFOEM/IP/RR/2024</w:t>
            </w:r>
          </w:p>
        </w:tc>
        <w:tc>
          <w:tcPr>
            <w:tcW w:w="5670" w:type="dxa"/>
            <w:vMerge w:val="restart"/>
          </w:tcPr>
          <w:p w14:paraId="3821E408" w14:textId="77777777" w:rsidR="003248E0" w:rsidRPr="00B92276" w:rsidRDefault="002D080F">
            <w:pP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Archivos Adjuntos</w:t>
            </w:r>
          </w:p>
          <w:p w14:paraId="0735CF5E" w14:textId="77777777" w:rsidR="003248E0" w:rsidRPr="00B92276" w:rsidRDefault="002D080F">
            <w:pPr>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sz w:val="20"/>
                <w:szCs w:val="20"/>
              </w:rPr>
              <w:t>En los medios de impugnación se remitieron:</w:t>
            </w:r>
          </w:p>
          <w:p w14:paraId="3660EF10" w14:textId="77777777" w:rsidR="003248E0" w:rsidRPr="00B92276" w:rsidRDefault="003248E0">
            <w:pPr>
              <w:rPr>
                <w:rFonts w:ascii="Palatino Linotype" w:eastAsia="Palatino Linotype" w:hAnsi="Palatino Linotype" w:cs="Palatino Linotype"/>
                <w:b/>
                <w:i/>
                <w:sz w:val="20"/>
                <w:szCs w:val="20"/>
              </w:rPr>
            </w:pPr>
          </w:p>
          <w:p w14:paraId="3FC00F35" w14:textId="77777777" w:rsidR="003248E0" w:rsidRPr="00B92276" w:rsidRDefault="002D080F">
            <w:pPr>
              <w:numPr>
                <w:ilvl w:val="0"/>
                <w:numId w:val="7"/>
              </w:numPr>
              <w:pBdr>
                <w:top w:val="nil"/>
                <w:left w:val="nil"/>
                <w:bottom w:val="nil"/>
                <w:right w:val="nil"/>
                <w:between w:val="nil"/>
              </w:pBdr>
              <w:spacing w:line="276"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sz w:val="20"/>
                <w:szCs w:val="20"/>
              </w:rPr>
              <w:t xml:space="preserve">Oficios del diecisiete octubre de dos mil veinticuatro, signados por el Titular de la Unidad de Transparencia, mediante el cual manifiesta que se turnó la solicitud a la Unidad de Apoyo Administrativo, la cual después de ser analizada mediante diverso oficio esta área solicitó someter a consideración del Comité de Transparencia la reserva de la información, ya que si bien se localizaron las fichas de reparación de todos los vehículos de la Unidad de Asuntos Jurídicos del periodo solicitado, de hacerse pública esa información pudiera ocasionar un perjuicio real y directo a los derechos del debido proceso llevado a cabo en las investigaciones relacionadas con procedimientos administrativos que no hayan quedado firmes, que actualizan el supuesto previsto en la fracción X del artículo 140 de la Ley de Transparencia Local. </w:t>
            </w:r>
          </w:p>
          <w:p w14:paraId="4614284A" w14:textId="77777777" w:rsidR="003248E0" w:rsidRPr="00B92276" w:rsidRDefault="003248E0">
            <w:pPr>
              <w:pBdr>
                <w:top w:val="nil"/>
                <w:left w:val="nil"/>
                <w:bottom w:val="nil"/>
                <w:right w:val="nil"/>
                <w:between w:val="nil"/>
              </w:pBdr>
              <w:spacing w:line="276" w:lineRule="auto"/>
              <w:ind w:left="360"/>
              <w:jc w:val="both"/>
              <w:rPr>
                <w:rFonts w:ascii="Palatino Linotype" w:eastAsia="Palatino Linotype" w:hAnsi="Palatino Linotype" w:cs="Palatino Linotype"/>
                <w:sz w:val="20"/>
                <w:szCs w:val="20"/>
              </w:rPr>
            </w:pPr>
          </w:p>
          <w:p w14:paraId="0E5A7607" w14:textId="77777777" w:rsidR="003248E0" w:rsidRPr="00B92276" w:rsidRDefault="002D080F">
            <w:pPr>
              <w:pBdr>
                <w:top w:val="nil"/>
                <w:left w:val="nil"/>
                <w:bottom w:val="nil"/>
                <w:right w:val="nil"/>
                <w:between w:val="nil"/>
              </w:pBdr>
              <w:spacing w:line="276" w:lineRule="auto"/>
              <w:ind w:left="360"/>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sz w:val="20"/>
                <w:szCs w:val="20"/>
              </w:rPr>
              <w:t>En tal virtud, en dicho oficio también se informó que mediante el acuerdo UAI/CT/ORDINARIA/2024/04/03, el Comité de Transparencia aprobó la clasificación de la información como reservada de manera total.</w:t>
            </w:r>
          </w:p>
          <w:p w14:paraId="3F6EA789" w14:textId="77777777" w:rsidR="003248E0" w:rsidRPr="00B92276" w:rsidRDefault="003248E0">
            <w:pPr>
              <w:pBdr>
                <w:top w:val="nil"/>
                <w:left w:val="nil"/>
                <w:bottom w:val="nil"/>
                <w:right w:val="nil"/>
                <w:between w:val="nil"/>
              </w:pBdr>
              <w:spacing w:line="276" w:lineRule="auto"/>
              <w:ind w:left="360"/>
              <w:jc w:val="both"/>
              <w:rPr>
                <w:rFonts w:ascii="Palatino Linotype" w:eastAsia="Palatino Linotype" w:hAnsi="Palatino Linotype" w:cs="Palatino Linotype"/>
                <w:sz w:val="20"/>
                <w:szCs w:val="20"/>
              </w:rPr>
            </w:pPr>
          </w:p>
          <w:p w14:paraId="131E0711" w14:textId="77777777" w:rsidR="003248E0" w:rsidRPr="00B92276" w:rsidRDefault="002D080F">
            <w:pPr>
              <w:numPr>
                <w:ilvl w:val="0"/>
                <w:numId w:val="7"/>
              </w:numPr>
              <w:spacing w:line="276"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sz w:val="20"/>
                <w:szCs w:val="20"/>
              </w:rPr>
              <w:lastRenderedPageBreak/>
              <w:t>Documento que consta de 12 fojas, las cuales corresponde a la Prueba de Daño, relacionada, entre otras, con la solicitud de información de nuestra atención, en donde se indica que las 57 fichas de reparación efectuadas de todos los vehículos asignados a la Unidad de Asuntos Internos, incluyendo los arrendados y prestados, de hacerse públicas se podría ocasionar un perjuicio real y directo a los derechos del debido proceso llevado a cabo en las investigaciones relacionadas con procedimientos administrativos que no han quedado firmes y que fueron sustanciados por ese sujeto obligado, lo cual actualiza la causal de reserva prevista en la fracción X del artículo 140 de la Ley de Transparencia Local.</w:t>
            </w:r>
          </w:p>
          <w:p w14:paraId="0201D7EB" w14:textId="77777777" w:rsidR="003248E0" w:rsidRPr="00B92276" w:rsidRDefault="003248E0">
            <w:pPr>
              <w:spacing w:line="276" w:lineRule="auto"/>
              <w:ind w:left="360"/>
              <w:jc w:val="both"/>
              <w:rPr>
                <w:rFonts w:ascii="Palatino Linotype" w:eastAsia="Palatino Linotype" w:hAnsi="Palatino Linotype" w:cs="Palatino Linotype"/>
                <w:sz w:val="20"/>
                <w:szCs w:val="20"/>
              </w:rPr>
            </w:pPr>
          </w:p>
          <w:p w14:paraId="1BC50374" w14:textId="77777777" w:rsidR="003248E0" w:rsidRPr="00B92276" w:rsidRDefault="002D080F">
            <w:pPr>
              <w:numPr>
                <w:ilvl w:val="0"/>
                <w:numId w:val="7"/>
              </w:numPr>
              <w:spacing w:line="276"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sz w:val="20"/>
                <w:szCs w:val="20"/>
              </w:rPr>
              <w:t>Acta número UAI-CT-ORD-04-2024, de la Cuarta Sesión Ordinaria 2024 del Comité de Transparencia, de fecha 03 de octubre de 2024, mediante la cual se aprueba la clasificación de la información como reservada la información requerida, entre otras, en la solicitud de información de nuestra atención, ya que lo requerido versa en información relacionada con la reparación de los vehículos que la Unidad de Asuntos Internos utiliza para llevar a cabo las investigaciones relacionadas a las quejas y denuncias presentadas por presuntas faltas administrativas, así como la ejecución de supervisores para vigilar el cumplimiento al régimen disciplinario de los integrantes de la Secretaría de Seguridad, cuya divulgación puede afectar la operación del ente obligado, lo cual actualiza la causal de reserva prevista en la fracción X del artículo 140 de la Ley de Transparencia Local, en relación con la fracción X del artículo 113 de la Ley General de Transparencia.</w:t>
            </w:r>
          </w:p>
          <w:p w14:paraId="70222BA4" w14:textId="77777777" w:rsidR="003248E0" w:rsidRPr="00B92276" w:rsidRDefault="003248E0">
            <w:pPr>
              <w:jc w:val="both"/>
              <w:rPr>
                <w:rFonts w:ascii="Palatino Linotype" w:eastAsia="Palatino Linotype" w:hAnsi="Palatino Linotype" w:cs="Palatino Linotype"/>
                <w:b/>
                <w:sz w:val="20"/>
                <w:szCs w:val="20"/>
              </w:rPr>
            </w:pPr>
          </w:p>
        </w:tc>
      </w:tr>
      <w:tr w:rsidR="00B92276" w:rsidRPr="00B92276" w14:paraId="3D478C25" w14:textId="77777777">
        <w:tc>
          <w:tcPr>
            <w:tcW w:w="3256" w:type="dxa"/>
          </w:tcPr>
          <w:p w14:paraId="655B52A5" w14:textId="77777777" w:rsidR="003248E0" w:rsidRPr="00B92276" w:rsidRDefault="002D080F">
            <w:pPr>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06355/INFOEM/IP/RR/2024</w:t>
            </w:r>
          </w:p>
        </w:tc>
        <w:tc>
          <w:tcPr>
            <w:tcW w:w="5670" w:type="dxa"/>
            <w:vMerge/>
          </w:tcPr>
          <w:p w14:paraId="7B7E747B" w14:textId="77777777" w:rsidR="003248E0" w:rsidRPr="00B92276" w:rsidRDefault="003248E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B92276" w:rsidRPr="00B92276" w14:paraId="6DDFA9AC" w14:textId="77777777">
        <w:tc>
          <w:tcPr>
            <w:tcW w:w="3256" w:type="dxa"/>
            <w:tcBorders>
              <w:top w:val="single" w:sz="4" w:space="0" w:color="000000"/>
              <w:left w:val="single" w:sz="4" w:space="0" w:color="000000"/>
              <w:bottom w:val="single" w:sz="4" w:space="0" w:color="000000"/>
            </w:tcBorders>
          </w:tcPr>
          <w:p w14:paraId="7CD82BD9" w14:textId="77777777" w:rsidR="003248E0" w:rsidRPr="00B92276" w:rsidRDefault="002D080F">
            <w:pPr>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06356/INFOEM/IP/RR/2024</w:t>
            </w:r>
          </w:p>
        </w:tc>
        <w:tc>
          <w:tcPr>
            <w:tcW w:w="5670" w:type="dxa"/>
            <w:vMerge/>
          </w:tcPr>
          <w:p w14:paraId="0C171DD2" w14:textId="77777777" w:rsidR="003248E0" w:rsidRPr="00B92276" w:rsidRDefault="003248E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B92276" w:rsidRPr="00B92276" w14:paraId="0632856C" w14:textId="77777777">
        <w:tc>
          <w:tcPr>
            <w:tcW w:w="3256" w:type="dxa"/>
            <w:tcBorders>
              <w:top w:val="single" w:sz="4" w:space="0" w:color="000000"/>
              <w:left w:val="single" w:sz="4" w:space="0" w:color="000000"/>
              <w:bottom w:val="single" w:sz="4" w:space="0" w:color="000000"/>
            </w:tcBorders>
          </w:tcPr>
          <w:p w14:paraId="387D2804" w14:textId="77777777" w:rsidR="003248E0" w:rsidRPr="00B92276" w:rsidRDefault="002D080F">
            <w:pPr>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06358/INFOEM/IP/RR/2024</w:t>
            </w:r>
          </w:p>
        </w:tc>
        <w:tc>
          <w:tcPr>
            <w:tcW w:w="5670" w:type="dxa"/>
            <w:vMerge/>
          </w:tcPr>
          <w:p w14:paraId="3474F6F3" w14:textId="77777777" w:rsidR="003248E0" w:rsidRPr="00B92276" w:rsidRDefault="003248E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B92276" w:rsidRPr="00B92276" w14:paraId="1B5FD887" w14:textId="77777777">
        <w:tc>
          <w:tcPr>
            <w:tcW w:w="3256" w:type="dxa"/>
            <w:tcBorders>
              <w:top w:val="single" w:sz="4" w:space="0" w:color="000000"/>
              <w:left w:val="single" w:sz="4" w:space="0" w:color="000000"/>
              <w:bottom w:val="single" w:sz="4" w:space="0" w:color="000000"/>
            </w:tcBorders>
          </w:tcPr>
          <w:p w14:paraId="5B353C1A" w14:textId="77777777" w:rsidR="003248E0" w:rsidRPr="00B92276" w:rsidRDefault="002D080F">
            <w:pPr>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06359/INFOEM/IP/RR/2024</w:t>
            </w:r>
          </w:p>
        </w:tc>
        <w:tc>
          <w:tcPr>
            <w:tcW w:w="5670" w:type="dxa"/>
            <w:vMerge/>
          </w:tcPr>
          <w:p w14:paraId="244F904E" w14:textId="77777777" w:rsidR="003248E0" w:rsidRPr="00B92276" w:rsidRDefault="003248E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B92276" w:rsidRPr="00B92276" w14:paraId="6807C204" w14:textId="77777777">
        <w:tc>
          <w:tcPr>
            <w:tcW w:w="3256" w:type="dxa"/>
            <w:tcBorders>
              <w:top w:val="single" w:sz="4" w:space="0" w:color="000000"/>
              <w:left w:val="single" w:sz="4" w:space="0" w:color="000000"/>
              <w:bottom w:val="single" w:sz="4" w:space="0" w:color="000000"/>
            </w:tcBorders>
          </w:tcPr>
          <w:p w14:paraId="470284DD" w14:textId="77777777" w:rsidR="003248E0" w:rsidRPr="00B92276" w:rsidRDefault="002D080F">
            <w:pPr>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06360/INFOEM/IP/RR/2024</w:t>
            </w:r>
          </w:p>
        </w:tc>
        <w:tc>
          <w:tcPr>
            <w:tcW w:w="5670" w:type="dxa"/>
            <w:vMerge/>
          </w:tcPr>
          <w:p w14:paraId="46AFF99C" w14:textId="77777777" w:rsidR="003248E0" w:rsidRPr="00B92276" w:rsidRDefault="003248E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B92276" w:rsidRPr="00B92276" w14:paraId="5B0C633E" w14:textId="77777777">
        <w:tc>
          <w:tcPr>
            <w:tcW w:w="3256" w:type="dxa"/>
            <w:tcBorders>
              <w:top w:val="single" w:sz="4" w:space="0" w:color="000000"/>
              <w:left w:val="single" w:sz="4" w:space="0" w:color="000000"/>
              <w:bottom w:val="single" w:sz="4" w:space="0" w:color="000000"/>
            </w:tcBorders>
          </w:tcPr>
          <w:p w14:paraId="0CAB0652" w14:textId="77777777" w:rsidR="003248E0" w:rsidRPr="00B92276" w:rsidRDefault="002D080F">
            <w:pPr>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06361/INFOEM/IP/RR/2024</w:t>
            </w:r>
          </w:p>
        </w:tc>
        <w:tc>
          <w:tcPr>
            <w:tcW w:w="5670" w:type="dxa"/>
            <w:vMerge/>
          </w:tcPr>
          <w:p w14:paraId="181E3CBA" w14:textId="77777777" w:rsidR="003248E0" w:rsidRPr="00B92276" w:rsidRDefault="003248E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B92276" w:rsidRPr="00B92276" w14:paraId="67420230" w14:textId="77777777">
        <w:tc>
          <w:tcPr>
            <w:tcW w:w="3256" w:type="dxa"/>
            <w:tcBorders>
              <w:top w:val="single" w:sz="4" w:space="0" w:color="000000"/>
              <w:left w:val="single" w:sz="4" w:space="0" w:color="000000"/>
              <w:bottom w:val="single" w:sz="4" w:space="0" w:color="000000"/>
            </w:tcBorders>
          </w:tcPr>
          <w:p w14:paraId="054819CB" w14:textId="77777777" w:rsidR="003248E0" w:rsidRPr="00B92276" w:rsidRDefault="002D080F">
            <w:pPr>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06362/INFOEM/IP/RR/2024</w:t>
            </w:r>
          </w:p>
        </w:tc>
        <w:tc>
          <w:tcPr>
            <w:tcW w:w="5670" w:type="dxa"/>
            <w:vMerge/>
          </w:tcPr>
          <w:p w14:paraId="3A12332C" w14:textId="77777777" w:rsidR="003248E0" w:rsidRPr="00B92276" w:rsidRDefault="003248E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B92276" w:rsidRPr="00B92276" w14:paraId="7B081910" w14:textId="77777777">
        <w:tc>
          <w:tcPr>
            <w:tcW w:w="3256" w:type="dxa"/>
            <w:tcBorders>
              <w:top w:val="single" w:sz="4" w:space="0" w:color="000000"/>
              <w:left w:val="single" w:sz="4" w:space="0" w:color="000000"/>
              <w:bottom w:val="single" w:sz="4" w:space="0" w:color="000000"/>
            </w:tcBorders>
          </w:tcPr>
          <w:p w14:paraId="6A5AD828" w14:textId="77777777" w:rsidR="003248E0" w:rsidRPr="00B92276" w:rsidRDefault="002D080F">
            <w:pPr>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06363/INFOEM/IP/RR/2024</w:t>
            </w:r>
          </w:p>
        </w:tc>
        <w:tc>
          <w:tcPr>
            <w:tcW w:w="5670" w:type="dxa"/>
            <w:vMerge/>
          </w:tcPr>
          <w:p w14:paraId="3A2365E0" w14:textId="77777777" w:rsidR="003248E0" w:rsidRPr="00B92276" w:rsidRDefault="003248E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3248E0" w:rsidRPr="00B92276" w14:paraId="5E309828" w14:textId="77777777">
        <w:tc>
          <w:tcPr>
            <w:tcW w:w="3256" w:type="dxa"/>
            <w:tcBorders>
              <w:top w:val="single" w:sz="4" w:space="0" w:color="000000"/>
              <w:left w:val="single" w:sz="4" w:space="0" w:color="000000"/>
              <w:bottom w:val="single" w:sz="4" w:space="0" w:color="000000"/>
            </w:tcBorders>
          </w:tcPr>
          <w:p w14:paraId="00B68117" w14:textId="77777777" w:rsidR="003248E0" w:rsidRPr="00B92276" w:rsidRDefault="002D080F">
            <w:pPr>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06364/INFOEM/IP/RR/2024</w:t>
            </w:r>
          </w:p>
        </w:tc>
        <w:tc>
          <w:tcPr>
            <w:tcW w:w="5670" w:type="dxa"/>
            <w:vMerge/>
          </w:tcPr>
          <w:p w14:paraId="7482EFA6" w14:textId="77777777" w:rsidR="003248E0" w:rsidRPr="00B92276" w:rsidRDefault="003248E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bl>
    <w:p w14:paraId="094A2EA5" w14:textId="77777777" w:rsidR="003248E0" w:rsidRPr="00B92276" w:rsidRDefault="003248E0">
      <w:pPr>
        <w:spacing w:after="0" w:line="360" w:lineRule="auto"/>
        <w:jc w:val="both"/>
        <w:rPr>
          <w:rFonts w:ascii="Palatino Linotype" w:eastAsia="Palatino Linotype" w:hAnsi="Palatino Linotype" w:cs="Palatino Linotype"/>
          <w:b/>
        </w:rPr>
      </w:pPr>
    </w:p>
    <w:p w14:paraId="7DEC29EF"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lastRenderedPageBreak/>
        <w:t xml:space="preserve">4. De los Recursos de Revisión. </w:t>
      </w:r>
      <w:r w:rsidRPr="00B92276">
        <w:rPr>
          <w:rFonts w:ascii="Palatino Linotype" w:eastAsia="Palatino Linotype" w:hAnsi="Palatino Linotype" w:cs="Palatino Linotype"/>
        </w:rPr>
        <w:t>Inconforme con las respuestas del</w:t>
      </w:r>
      <w:r w:rsidRPr="00B92276">
        <w:rPr>
          <w:rFonts w:ascii="Palatino Linotype" w:eastAsia="Palatino Linotype" w:hAnsi="Palatino Linotype" w:cs="Palatino Linotype"/>
          <w:b/>
        </w:rPr>
        <w:t xml:space="preserve"> Sujeto Obligado, </w:t>
      </w:r>
      <w:r w:rsidRPr="00B92276">
        <w:rPr>
          <w:rFonts w:ascii="Palatino Linotype" w:eastAsia="Palatino Linotype" w:hAnsi="Palatino Linotype" w:cs="Palatino Linotype"/>
        </w:rPr>
        <w:t xml:space="preserve">en fecha </w:t>
      </w:r>
      <w:r w:rsidRPr="00B92276">
        <w:rPr>
          <w:rFonts w:ascii="Palatino Linotype" w:eastAsia="Palatino Linotype" w:hAnsi="Palatino Linotype" w:cs="Palatino Linotype"/>
          <w:b/>
        </w:rPr>
        <w:t xml:space="preserve">dieciocho de octubre de dos mil veinticuatro, la parte Recurrente </w:t>
      </w:r>
      <w:r w:rsidRPr="00B92276">
        <w:rPr>
          <w:rFonts w:ascii="Palatino Linotype" w:eastAsia="Palatino Linotype" w:hAnsi="Palatino Linotype" w:cs="Palatino Linotype"/>
        </w:rPr>
        <w:t xml:space="preserve">interpuso los recursos de revisión indicados, en los cuales manifiesto como acto impugnado y motivos de inconformidad, en todos los casos lo siguiente: </w:t>
      </w:r>
    </w:p>
    <w:p w14:paraId="6811A64A" w14:textId="77777777" w:rsidR="003248E0" w:rsidRPr="00B92276" w:rsidRDefault="003248E0">
      <w:pPr>
        <w:spacing w:after="0" w:line="360" w:lineRule="auto"/>
        <w:jc w:val="both"/>
        <w:rPr>
          <w:rFonts w:ascii="Palatino Linotype" w:eastAsia="Palatino Linotype" w:hAnsi="Palatino Linotype" w:cs="Palatino Linotype"/>
          <w:b/>
        </w:rPr>
      </w:pPr>
    </w:p>
    <w:p w14:paraId="08255774" w14:textId="77777777" w:rsidR="003248E0" w:rsidRPr="00B92276" w:rsidRDefault="002D080F">
      <w:pPr>
        <w:numPr>
          <w:ilvl w:val="0"/>
          <w:numId w:val="8"/>
        </w:numPr>
        <w:pBdr>
          <w:top w:val="nil"/>
          <w:left w:val="nil"/>
          <w:bottom w:val="nil"/>
          <w:right w:val="nil"/>
          <w:between w:val="nil"/>
        </w:pBdr>
        <w:spacing w:after="0"/>
        <w:jc w:val="both"/>
        <w:rPr>
          <w:rFonts w:ascii="Palatino Linotype" w:eastAsia="Palatino Linotype" w:hAnsi="Palatino Linotype" w:cs="Palatino Linotype"/>
          <w:b/>
        </w:rPr>
      </w:pPr>
      <w:r w:rsidRPr="00B92276">
        <w:rPr>
          <w:rFonts w:ascii="Palatino Linotype" w:eastAsia="Palatino Linotype" w:hAnsi="Palatino Linotype" w:cs="Palatino Linotype"/>
          <w:b/>
        </w:rPr>
        <w:t xml:space="preserve">Acto Impugnado: </w:t>
      </w:r>
      <w:r w:rsidRPr="00B92276">
        <w:rPr>
          <w:rFonts w:ascii="Palatino Linotype" w:eastAsia="Palatino Linotype" w:hAnsi="Palatino Linotype" w:cs="Palatino Linotype"/>
        </w:rPr>
        <w:t>“</w:t>
      </w:r>
      <w:r w:rsidRPr="00B92276">
        <w:rPr>
          <w:rFonts w:ascii="Palatino Linotype" w:eastAsia="Palatino Linotype" w:hAnsi="Palatino Linotype" w:cs="Palatino Linotype"/>
          <w:i/>
        </w:rPr>
        <w:t>la declaración de reserva de información en virtud que si bien mediante la entrega pudieran contener datos personales, por lo que, resulta oportuno observar lo dispuesto en los artículos 3, fracciones IX, XX, XXI y XLV; 4, 51, 91, 137 y 143 de la Ley de Transparencia</w:t>
      </w:r>
      <w:r w:rsidRPr="00B92276">
        <w:rPr>
          <w:rFonts w:ascii="Palatino Linotype" w:eastAsia="Palatino Linotype" w:hAnsi="Palatino Linotype" w:cs="Palatino Linotype"/>
          <w:i/>
          <w:sz w:val="18"/>
          <w:szCs w:val="18"/>
        </w:rPr>
        <w:t xml:space="preserve"> </w:t>
      </w:r>
      <w:r w:rsidRPr="00B92276">
        <w:rPr>
          <w:rFonts w:ascii="Palatino Linotype" w:eastAsia="Palatino Linotype" w:hAnsi="Palatino Linotype" w:cs="Palatino Linotype"/>
          <w:i/>
        </w:rPr>
        <w:t>y Acceso a la Información Pública del Estado de México y Municipios publicada el día cuatro de mayo de dos mil dieciséis, en el periódico oficial del Gobierno del Estado de México "Gaceta del Gobierno",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(Sic)</w:t>
      </w:r>
    </w:p>
    <w:p w14:paraId="1B98A634" w14:textId="77777777" w:rsidR="003248E0" w:rsidRPr="00B92276" w:rsidRDefault="003248E0">
      <w:pPr>
        <w:pBdr>
          <w:top w:val="nil"/>
          <w:left w:val="nil"/>
          <w:bottom w:val="nil"/>
          <w:right w:val="nil"/>
          <w:between w:val="nil"/>
        </w:pBdr>
        <w:spacing w:after="0"/>
        <w:ind w:left="720"/>
        <w:jc w:val="both"/>
        <w:rPr>
          <w:rFonts w:ascii="Palatino Linotype" w:eastAsia="Palatino Linotype" w:hAnsi="Palatino Linotype" w:cs="Palatino Linotype"/>
          <w:b/>
        </w:rPr>
      </w:pPr>
    </w:p>
    <w:p w14:paraId="4A2CE10C" w14:textId="77777777" w:rsidR="003248E0" w:rsidRPr="00B92276" w:rsidRDefault="002D080F">
      <w:pPr>
        <w:numPr>
          <w:ilvl w:val="0"/>
          <w:numId w:val="8"/>
        </w:numPr>
        <w:pBdr>
          <w:top w:val="nil"/>
          <w:left w:val="nil"/>
          <w:bottom w:val="nil"/>
          <w:right w:val="nil"/>
          <w:between w:val="nil"/>
        </w:pBdr>
        <w:spacing w:after="0"/>
        <w:jc w:val="both"/>
        <w:rPr>
          <w:rFonts w:ascii="Palatino Linotype" w:eastAsia="Palatino Linotype" w:hAnsi="Palatino Linotype" w:cs="Palatino Linotype"/>
          <w:b/>
        </w:rPr>
      </w:pPr>
      <w:r w:rsidRPr="00B92276">
        <w:rPr>
          <w:rFonts w:ascii="Palatino Linotype" w:eastAsia="Palatino Linotype" w:hAnsi="Palatino Linotype" w:cs="Palatino Linotype"/>
          <w:b/>
        </w:rPr>
        <w:t>Motivos de inconformidad:</w:t>
      </w:r>
      <w:r w:rsidRPr="00B92276">
        <w:rPr>
          <w:rFonts w:ascii="Palatino Linotype" w:eastAsia="Palatino Linotype" w:hAnsi="Palatino Linotype" w:cs="Palatino Linotype"/>
          <w:i/>
          <w:sz w:val="18"/>
          <w:szCs w:val="18"/>
        </w:rPr>
        <w:t xml:space="preserve"> </w:t>
      </w:r>
      <w:r w:rsidRPr="00B92276">
        <w:rPr>
          <w:rFonts w:ascii="Palatino Linotype" w:eastAsia="Palatino Linotype" w:hAnsi="Palatino Linotype" w:cs="Palatino Linotype"/>
          <w:i/>
        </w:rPr>
        <w:t>“la declaración de reserva de información en virtud que si bien mediante la entrega pudieran contener datos personales, por lo que, resulta oportuno observar lo dispuesto en los artículos 3, fracciones IX, XX, XXI y XLV; 4, 51, 91, 137 y 143 de la Ley de Transparencia y Acceso a la Información Pública del Estado de México y Municipios publicada el día cuatro de mayo de dos mil dieciséis, en el periódico oficial del Gobierno del Estado de México "Gaceta del Gobierno",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(Sic)</w:t>
      </w:r>
    </w:p>
    <w:p w14:paraId="36C26021" w14:textId="77777777" w:rsidR="003248E0" w:rsidRPr="00B92276" w:rsidRDefault="003248E0">
      <w:pPr>
        <w:spacing w:after="0" w:line="360" w:lineRule="auto"/>
        <w:jc w:val="both"/>
        <w:rPr>
          <w:rFonts w:ascii="Palatino Linotype" w:eastAsia="Palatino Linotype" w:hAnsi="Palatino Linotype" w:cs="Palatino Linotype"/>
        </w:rPr>
      </w:pPr>
    </w:p>
    <w:p w14:paraId="59EE9280"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t xml:space="preserve">5. Turno. </w:t>
      </w:r>
      <w:r w:rsidRPr="00B92276">
        <w:rPr>
          <w:rFonts w:ascii="Palatino Linotype" w:eastAsia="Palatino Linotype" w:hAnsi="Palatino Linotype" w:cs="Palatino Linotype"/>
        </w:rPr>
        <w:t xml:space="preserve">De conformidad con el artículo 185 fracción I de la Ley Transparencia y Acceso a la Información Pública, los recursos de revisión número </w:t>
      </w:r>
      <w:r w:rsidRPr="00B92276">
        <w:rPr>
          <w:rFonts w:ascii="Palatino Linotype" w:eastAsia="Palatino Linotype" w:hAnsi="Palatino Linotype" w:cs="Palatino Linotype"/>
          <w:b/>
        </w:rPr>
        <w:t xml:space="preserve">06354/INFOEM/IP/RR/2024, 06359/INFOEM/IP/RR/2024 y 06364/INFOEM/IP/RR/2024  </w:t>
      </w:r>
      <w:r w:rsidRPr="00B92276">
        <w:rPr>
          <w:rFonts w:ascii="Palatino Linotype" w:eastAsia="Palatino Linotype" w:hAnsi="Palatino Linotype" w:cs="Palatino Linotype"/>
        </w:rPr>
        <w:t xml:space="preserve">fueron turnados a la Comisionada </w:t>
      </w:r>
      <w:r w:rsidRPr="00B92276">
        <w:rPr>
          <w:rFonts w:ascii="Palatino Linotype" w:eastAsia="Palatino Linotype" w:hAnsi="Palatino Linotype" w:cs="Palatino Linotype"/>
        </w:rPr>
        <w:lastRenderedPageBreak/>
        <w:t xml:space="preserve">Guadalupe Ramírez Peña; los recursos </w:t>
      </w:r>
      <w:r w:rsidRPr="00B92276">
        <w:rPr>
          <w:rFonts w:ascii="Palatino Linotype" w:eastAsia="Palatino Linotype" w:hAnsi="Palatino Linotype" w:cs="Palatino Linotype"/>
          <w:b/>
        </w:rPr>
        <w:t xml:space="preserve">06355/INFOEM/IP/RR/2024 y 06360/INFOEM/IP/RR/2024 </w:t>
      </w:r>
      <w:r w:rsidRPr="00B92276">
        <w:rPr>
          <w:rFonts w:ascii="Palatino Linotype" w:eastAsia="Palatino Linotype" w:hAnsi="Palatino Linotype" w:cs="Palatino Linotype"/>
        </w:rPr>
        <w:t xml:space="preserve">al Comisionado Presidente José Martínez Vilchis; los recursos </w:t>
      </w:r>
      <w:r w:rsidRPr="00B92276">
        <w:rPr>
          <w:rFonts w:ascii="Palatino Linotype" w:eastAsia="Palatino Linotype" w:hAnsi="Palatino Linotype" w:cs="Palatino Linotype"/>
          <w:b/>
        </w:rPr>
        <w:t>06356/INFOEM/IP/RR/2024  y 06361/INFOEM/IP/RR/2024</w:t>
      </w:r>
      <w:r w:rsidRPr="00B92276">
        <w:rPr>
          <w:rFonts w:ascii="Palatino Linotype" w:eastAsia="Palatino Linotype" w:hAnsi="Palatino Linotype" w:cs="Palatino Linotype"/>
        </w:rPr>
        <w:t xml:space="preserve">al Comisionado Luis Gustavo Parra Noriega; el recurso </w:t>
      </w:r>
      <w:r w:rsidRPr="00B92276">
        <w:rPr>
          <w:rFonts w:ascii="Palatino Linotype" w:eastAsia="Palatino Linotype" w:hAnsi="Palatino Linotype" w:cs="Palatino Linotype"/>
          <w:b/>
        </w:rPr>
        <w:t xml:space="preserve">06362/INFOEM/IP/RR/2024 </w:t>
      </w:r>
      <w:r w:rsidRPr="00B92276">
        <w:rPr>
          <w:rFonts w:ascii="Palatino Linotype" w:eastAsia="Palatino Linotype" w:hAnsi="Palatino Linotype" w:cs="Palatino Linotype"/>
        </w:rPr>
        <w:t xml:space="preserve">a la Comisionada Sharon Cristina Martínez Morales y los recursos </w:t>
      </w:r>
      <w:r w:rsidRPr="00B92276">
        <w:rPr>
          <w:rFonts w:ascii="Palatino Linotype" w:eastAsia="Palatino Linotype" w:hAnsi="Palatino Linotype" w:cs="Palatino Linotype"/>
          <w:b/>
        </w:rPr>
        <w:t xml:space="preserve">06358/INFOEM/IP/RR/2024 y 06363/INFOEM/IP/RR/2024 </w:t>
      </w:r>
      <w:r w:rsidRPr="00B92276">
        <w:rPr>
          <w:rFonts w:ascii="Palatino Linotype" w:eastAsia="Palatino Linotype" w:hAnsi="Palatino Linotype" w:cs="Palatino Linotype"/>
        </w:rPr>
        <w:t xml:space="preserve">a la Comisionada María del Rosario Mejía Ayala. </w:t>
      </w:r>
    </w:p>
    <w:p w14:paraId="30772167" w14:textId="77777777" w:rsidR="003248E0" w:rsidRPr="00B92276" w:rsidRDefault="003248E0">
      <w:pPr>
        <w:spacing w:after="0" w:line="360" w:lineRule="auto"/>
      </w:pPr>
    </w:p>
    <w:p w14:paraId="65492B48" w14:textId="77777777" w:rsidR="003248E0" w:rsidRPr="00B92276" w:rsidRDefault="002D080F">
      <w:pPr>
        <w:spacing w:after="0" w:line="360" w:lineRule="auto"/>
        <w:ind w:right="51"/>
        <w:jc w:val="both"/>
        <w:rPr>
          <w:rFonts w:ascii="Palatino Linotype" w:eastAsia="Palatino Linotype" w:hAnsi="Palatino Linotype" w:cs="Palatino Linotype"/>
          <w:sz w:val="24"/>
          <w:szCs w:val="24"/>
        </w:rPr>
      </w:pPr>
      <w:r w:rsidRPr="00B92276">
        <w:rPr>
          <w:rFonts w:ascii="Palatino Linotype" w:eastAsia="Palatino Linotype" w:hAnsi="Palatino Linotype" w:cs="Palatino Linotype"/>
          <w:b/>
        </w:rPr>
        <w:t xml:space="preserve">6. Admisión de los Recursos de Revisión. </w:t>
      </w:r>
      <w:r w:rsidRPr="00B92276">
        <w:rPr>
          <w:rFonts w:ascii="Palatino Linotype" w:eastAsia="Palatino Linotype" w:hAnsi="Palatino Linotype" w:cs="Palatino Linotype"/>
        </w:rPr>
        <w:t xml:space="preserve">En fecha veintiuno de octubre de dos mil veinticuatro, en términos de lo dispuesto en el artículo 185 fracciones I, II y IV de la Ley de Transparencia y Acceso a la Información Pública del Estado de México y Municipios, se admitieron a trámite el recurso de revisión </w:t>
      </w:r>
      <w:r w:rsidRPr="00B92276">
        <w:rPr>
          <w:rFonts w:ascii="Palatino Linotype" w:eastAsia="Palatino Linotype" w:hAnsi="Palatino Linotype" w:cs="Palatino Linotype"/>
          <w:b/>
        </w:rPr>
        <w:t>06362/INFOEM/IP/RR/2024;</w:t>
      </w:r>
      <w:r w:rsidRPr="00B92276">
        <w:rPr>
          <w:rFonts w:ascii="Palatino Linotype" w:eastAsia="Palatino Linotype" w:hAnsi="Palatino Linotype" w:cs="Palatino Linotype"/>
        </w:rPr>
        <w:t xml:space="preserve"> mediante acuerdo de fecha veintiuno de octubre de dos mil veinticuatro y notificado el veintidós de octubre de dos mil veinticuatro el recurso </w:t>
      </w:r>
      <w:r w:rsidRPr="00B92276">
        <w:rPr>
          <w:rFonts w:ascii="Palatino Linotype" w:eastAsia="Palatino Linotype" w:hAnsi="Palatino Linotype" w:cs="Palatino Linotype"/>
          <w:b/>
        </w:rPr>
        <w:t>06358/INFOEM/IP/RR/2024</w:t>
      </w:r>
      <w:r w:rsidRPr="00B92276">
        <w:rPr>
          <w:rFonts w:ascii="Palatino Linotype" w:eastAsia="Palatino Linotype" w:hAnsi="Palatino Linotype" w:cs="Palatino Linotype"/>
        </w:rPr>
        <w:t xml:space="preserve">; en fecha veintidós de octubre de dos mil veinticuatro los recursos de revisión </w:t>
      </w:r>
      <w:r w:rsidRPr="00B92276">
        <w:rPr>
          <w:rFonts w:ascii="Palatino Linotype" w:eastAsia="Palatino Linotype" w:hAnsi="Palatino Linotype" w:cs="Palatino Linotype"/>
          <w:b/>
        </w:rPr>
        <w:t>06354/INFOEM/IP/RR/2024, 06359/INFOEM/IP/RR/2024 y 06364/INFOEM/IP/RR/2024</w:t>
      </w:r>
      <w:r w:rsidRPr="00B92276">
        <w:rPr>
          <w:rFonts w:ascii="Palatino Linotype" w:eastAsia="Palatino Linotype" w:hAnsi="Palatino Linotype" w:cs="Palatino Linotype"/>
        </w:rPr>
        <w:t xml:space="preserve">; en fecha </w:t>
      </w:r>
      <w:r w:rsidRPr="00B92276">
        <w:rPr>
          <w:rFonts w:ascii="Palatino Linotype" w:eastAsia="Palatino Linotype" w:hAnsi="Palatino Linotype" w:cs="Palatino Linotype"/>
          <w:b/>
        </w:rPr>
        <w:t>veintitrés de octubre de dos mil veinticuatro</w:t>
      </w:r>
      <w:r w:rsidRPr="00B92276">
        <w:rPr>
          <w:rFonts w:ascii="Palatino Linotype" w:eastAsia="Palatino Linotype" w:hAnsi="Palatino Linotype" w:cs="Palatino Linotype"/>
        </w:rPr>
        <w:t xml:space="preserve"> los recursos </w:t>
      </w:r>
      <w:r w:rsidRPr="00B92276">
        <w:rPr>
          <w:rFonts w:ascii="Palatino Linotype" w:eastAsia="Palatino Linotype" w:hAnsi="Palatino Linotype" w:cs="Palatino Linotype"/>
          <w:b/>
        </w:rPr>
        <w:t>06355/INFOEM/IP/RR/2024, 06356/INFOEM/IP/RR/2024, 06360/INFOEM/IP/RR/2024 y 06361/INFOEM/IP/RR/2024</w:t>
      </w:r>
      <w:r w:rsidRPr="00B92276">
        <w:rPr>
          <w:rFonts w:ascii="Palatino Linotype" w:eastAsia="Palatino Linotype" w:hAnsi="Palatino Linotype" w:cs="Palatino Linotype"/>
        </w:rPr>
        <w:t>; y,</w:t>
      </w:r>
      <w:r w:rsidRPr="00B92276">
        <w:rPr>
          <w:rFonts w:ascii="Palatino Linotype" w:eastAsia="Palatino Linotype" w:hAnsi="Palatino Linotype" w:cs="Palatino Linotype"/>
          <w:b/>
        </w:rPr>
        <w:t xml:space="preserve"> </w:t>
      </w:r>
      <w:r w:rsidRPr="00B92276">
        <w:rPr>
          <w:rFonts w:ascii="Palatino Linotype" w:eastAsia="Palatino Linotype" w:hAnsi="Palatino Linotype" w:cs="Palatino Linotype"/>
        </w:rPr>
        <w:t xml:space="preserve">en fecha </w:t>
      </w:r>
      <w:r w:rsidRPr="00B92276">
        <w:rPr>
          <w:rFonts w:ascii="Palatino Linotype" w:eastAsia="Palatino Linotype" w:hAnsi="Palatino Linotype" w:cs="Palatino Linotype"/>
          <w:b/>
        </w:rPr>
        <w:t>veintinueve de octubre de dos mil veinticuatro</w:t>
      </w:r>
      <w:r w:rsidRPr="00B92276">
        <w:rPr>
          <w:rFonts w:ascii="Palatino Linotype" w:eastAsia="Palatino Linotype" w:hAnsi="Palatino Linotype" w:cs="Palatino Linotype"/>
        </w:rPr>
        <w:t xml:space="preserve"> el recursos </w:t>
      </w:r>
      <w:r w:rsidRPr="00B92276">
        <w:rPr>
          <w:rFonts w:ascii="Palatino Linotype" w:eastAsia="Palatino Linotype" w:hAnsi="Palatino Linotype" w:cs="Palatino Linotype"/>
          <w:b/>
        </w:rPr>
        <w:t>06363/INFOEM/IP/RR/2024</w:t>
      </w:r>
      <w:r w:rsidRPr="00B92276">
        <w:rPr>
          <w:rFonts w:ascii="Palatino Linotype" w:eastAsia="Palatino Linotype" w:hAnsi="Palatino Linotype" w:cs="Palatino Linotype"/>
        </w:rPr>
        <w:t xml:space="preserve">. </w:t>
      </w:r>
    </w:p>
    <w:p w14:paraId="430E5235" w14:textId="77777777" w:rsidR="003248E0" w:rsidRPr="00B92276" w:rsidRDefault="003248E0">
      <w:pPr>
        <w:spacing w:after="0" w:line="360" w:lineRule="auto"/>
        <w:jc w:val="both"/>
        <w:rPr>
          <w:rFonts w:ascii="Palatino Linotype" w:eastAsia="Palatino Linotype" w:hAnsi="Palatino Linotype" w:cs="Palatino Linotype"/>
          <w:b/>
        </w:rPr>
      </w:pPr>
    </w:p>
    <w:p w14:paraId="1774880F"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t>7. Manifestaciones.</w:t>
      </w:r>
      <w:r w:rsidRPr="00B92276">
        <w:rPr>
          <w:rFonts w:ascii="Palatino Linotype" w:eastAsia="Palatino Linotype" w:hAnsi="Palatino Linotype" w:cs="Palatino Linotype"/>
        </w:rPr>
        <w:t xml:space="preserve"> De las constancias que obran en el SAIMEX con motivo de los medios de impugnación de nuestra atención, se advierte que el </w:t>
      </w:r>
      <w:r w:rsidRPr="00B92276">
        <w:rPr>
          <w:rFonts w:ascii="Palatino Linotype" w:eastAsia="Palatino Linotype" w:hAnsi="Palatino Linotype" w:cs="Palatino Linotype"/>
          <w:b/>
        </w:rPr>
        <w:t xml:space="preserve">Sujeto Obligado </w:t>
      </w:r>
      <w:r w:rsidRPr="00B92276">
        <w:rPr>
          <w:rFonts w:ascii="Palatino Linotype" w:eastAsia="Palatino Linotype" w:hAnsi="Palatino Linotype" w:cs="Palatino Linotype"/>
        </w:rPr>
        <w:t xml:space="preserve">fue omiso en rendir su informe justificado y la </w:t>
      </w:r>
      <w:r w:rsidRPr="00B92276">
        <w:rPr>
          <w:rFonts w:ascii="Palatino Linotype" w:eastAsia="Palatino Linotype" w:hAnsi="Palatino Linotype" w:cs="Palatino Linotype"/>
          <w:b/>
        </w:rPr>
        <w:t xml:space="preserve">parte Recurrente </w:t>
      </w:r>
      <w:r w:rsidRPr="00B92276">
        <w:rPr>
          <w:rFonts w:ascii="Palatino Linotype" w:eastAsia="Palatino Linotype" w:hAnsi="Palatino Linotype" w:cs="Palatino Linotype"/>
        </w:rPr>
        <w:t>en hacer valer manifestaciones o alegatos que conforme a derecho resultaran procedentes, como se muestra a continuación:</w:t>
      </w:r>
    </w:p>
    <w:p w14:paraId="6C9461E4" w14:textId="77777777" w:rsidR="003248E0" w:rsidRPr="00B92276"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tbl>
      <w:tblPr>
        <w:tblStyle w:val="af3"/>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833"/>
      </w:tblGrid>
      <w:tr w:rsidR="00B92276" w:rsidRPr="00B92276" w14:paraId="1C2F2CF6" w14:textId="77777777">
        <w:tc>
          <w:tcPr>
            <w:tcW w:w="3222" w:type="dxa"/>
            <w:shd w:val="clear" w:color="auto" w:fill="D0CECE"/>
          </w:tcPr>
          <w:p w14:paraId="137C5BBF" w14:textId="77777777" w:rsidR="003248E0" w:rsidRPr="00B92276" w:rsidRDefault="002D080F">
            <w:pPr>
              <w:spacing w:after="0" w:line="360" w:lineRule="auto"/>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Recurso de Revisión</w:t>
            </w:r>
          </w:p>
        </w:tc>
        <w:tc>
          <w:tcPr>
            <w:tcW w:w="5833" w:type="dxa"/>
            <w:shd w:val="clear" w:color="auto" w:fill="D0CECE"/>
          </w:tcPr>
          <w:p w14:paraId="24D861DD" w14:textId="77777777" w:rsidR="003248E0" w:rsidRPr="00B92276" w:rsidRDefault="002D080F">
            <w:pPr>
              <w:spacing w:after="0" w:line="360" w:lineRule="auto"/>
              <w:jc w:val="center"/>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Informe Justificado</w:t>
            </w:r>
          </w:p>
        </w:tc>
      </w:tr>
      <w:tr w:rsidR="00B92276" w:rsidRPr="00B92276" w14:paraId="267C1F20" w14:textId="77777777">
        <w:tc>
          <w:tcPr>
            <w:tcW w:w="3222" w:type="dxa"/>
          </w:tcPr>
          <w:p w14:paraId="58DC8C64"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b/>
                <w:sz w:val="20"/>
                <w:szCs w:val="20"/>
              </w:rPr>
              <w:lastRenderedPageBreak/>
              <w:t>06354/INFOEM/IP/RR/2024</w:t>
            </w:r>
          </w:p>
        </w:tc>
        <w:tc>
          <w:tcPr>
            <w:tcW w:w="5833" w:type="dxa"/>
          </w:tcPr>
          <w:p w14:paraId="2002CCEB"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noProof/>
                <w:sz w:val="20"/>
                <w:szCs w:val="20"/>
                <w:lang w:eastAsia="es-MX"/>
              </w:rPr>
              <w:drawing>
                <wp:inline distT="0" distB="0" distL="0" distR="0" wp14:anchorId="5E96BAF8" wp14:editId="578FAFB5">
                  <wp:extent cx="3566795" cy="816610"/>
                  <wp:effectExtent l="0" t="0" r="0" b="0"/>
                  <wp:docPr id="195208250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566795" cy="816610"/>
                          </a:xfrm>
                          <a:prstGeom prst="rect">
                            <a:avLst/>
                          </a:prstGeom>
                          <a:ln/>
                        </pic:spPr>
                      </pic:pic>
                    </a:graphicData>
                  </a:graphic>
                </wp:inline>
              </w:drawing>
            </w:r>
          </w:p>
        </w:tc>
      </w:tr>
      <w:tr w:rsidR="00B92276" w:rsidRPr="00B92276" w14:paraId="79636789" w14:textId="77777777">
        <w:tc>
          <w:tcPr>
            <w:tcW w:w="3222" w:type="dxa"/>
          </w:tcPr>
          <w:p w14:paraId="02C2DA9B"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b/>
                <w:sz w:val="20"/>
                <w:szCs w:val="20"/>
              </w:rPr>
              <w:t>06355/INFOEM/IP/RR/2024</w:t>
            </w:r>
          </w:p>
        </w:tc>
        <w:tc>
          <w:tcPr>
            <w:tcW w:w="5833" w:type="dxa"/>
          </w:tcPr>
          <w:p w14:paraId="084926D5"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noProof/>
                <w:sz w:val="20"/>
                <w:szCs w:val="20"/>
                <w:lang w:eastAsia="es-MX"/>
              </w:rPr>
              <w:drawing>
                <wp:inline distT="0" distB="0" distL="0" distR="0" wp14:anchorId="3E549702" wp14:editId="4E3202EA">
                  <wp:extent cx="3566795" cy="846455"/>
                  <wp:effectExtent l="0" t="0" r="0" b="0"/>
                  <wp:docPr id="19520825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566795" cy="846455"/>
                          </a:xfrm>
                          <a:prstGeom prst="rect">
                            <a:avLst/>
                          </a:prstGeom>
                          <a:ln/>
                        </pic:spPr>
                      </pic:pic>
                    </a:graphicData>
                  </a:graphic>
                </wp:inline>
              </w:drawing>
            </w:r>
          </w:p>
        </w:tc>
      </w:tr>
      <w:tr w:rsidR="00B92276" w:rsidRPr="00B92276" w14:paraId="252750CE" w14:textId="77777777">
        <w:tc>
          <w:tcPr>
            <w:tcW w:w="3222" w:type="dxa"/>
          </w:tcPr>
          <w:p w14:paraId="7587DF67" w14:textId="77777777" w:rsidR="003248E0" w:rsidRPr="00B92276" w:rsidRDefault="002D080F">
            <w:pPr>
              <w:spacing w:after="0" w:line="360" w:lineRule="auto"/>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06356/INFOEM/IP/RR/2024</w:t>
            </w:r>
          </w:p>
        </w:tc>
        <w:tc>
          <w:tcPr>
            <w:tcW w:w="5833" w:type="dxa"/>
          </w:tcPr>
          <w:p w14:paraId="789271DE"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noProof/>
                <w:sz w:val="20"/>
                <w:szCs w:val="20"/>
                <w:lang w:eastAsia="es-MX"/>
              </w:rPr>
              <w:drawing>
                <wp:inline distT="0" distB="0" distL="0" distR="0" wp14:anchorId="6FA6A704" wp14:editId="676246C0">
                  <wp:extent cx="3566795" cy="843915"/>
                  <wp:effectExtent l="0" t="0" r="0" b="0"/>
                  <wp:docPr id="19520825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566795" cy="843915"/>
                          </a:xfrm>
                          <a:prstGeom prst="rect">
                            <a:avLst/>
                          </a:prstGeom>
                          <a:ln/>
                        </pic:spPr>
                      </pic:pic>
                    </a:graphicData>
                  </a:graphic>
                </wp:inline>
              </w:drawing>
            </w:r>
          </w:p>
        </w:tc>
      </w:tr>
      <w:tr w:rsidR="00B92276" w:rsidRPr="00B92276" w14:paraId="36AC2BE9" w14:textId="77777777">
        <w:tc>
          <w:tcPr>
            <w:tcW w:w="3222" w:type="dxa"/>
          </w:tcPr>
          <w:p w14:paraId="7053ABC0" w14:textId="77777777" w:rsidR="003248E0" w:rsidRPr="00B92276" w:rsidRDefault="002D080F">
            <w:pPr>
              <w:spacing w:after="0" w:line="360" w:lineRule="auto"/>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06358/INFOEM/IP/RR/2024</w:t>
            </w:r>
          </w:p>
        </w:tc>
        <w:tc>
          <w:tcPr>
            <w:tcW w:w="5833" w:type="dxa"/>
          </w:tcPr>
          <w:p w14:paraId="54F0D870"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noProof/>
                <w:sz w:val="20"/>
                <w:szCs w:val="20"/>
                <w:lang w:eastAsia="es-MX"/>
              </w:rPr>
              <w:drawing>
                <wp:inline distT="0" distB="0" distL="0" distR="0" wp14:anchorId="40412F28" wp14:editId="1FBAF197">
                  <wp:extent cx="3566795" cy="853440"/>
                  <wp:effectExtent l="0" t="0" r="0" b="0"/>
                  <wp:docPr id="19520825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566795" cy="853440"/>
                          </a:xfrm>
                          <a:prstGeom prst="rect">
                            <a:avLst/>
                          </a:prstGeom>
                          <a:ln/>
                        </pic:spPr>
                      </pic:pic>
                    </a:graphicData>
                  </a:graphic>
                </wp:inline>
              </w:drawing>
            </w:r>
          </w:p>
        </w:tc>
      </w:tr>
      <w:tr w:rsidR="00B92276" w:rsidRPr="00B92276" w14:paraId="0AB0E748" w14:textId="77777777">
        <w:tc>
          <w:tcPr>
            <w:tcW w:w="3222" w:type="dxa"/>
          </w:tcPr>
          <w:p w14:paraId="061D60B7" w14:textId="77777777" w:rsidR="003248E0" w:rsidRPr="00B92276" w:rsidRDefault="002D080F">
            <w:pPr>
              <w:spacing w:after="0" w:line="360" w:lineRule="auto"/>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06359/INFOEM/IP/RR/2024</w:t>
            </w:r>
          </w:p>
        </w:tc>
        <w:tc>
          <w:tcPr>
            <w:tcW w:w="5833" w:type="dxa"/>
          </w:tcPr>
          <w:p w14:paraId="30140281"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noProof/>
                <w:sz w:val="20"/>
                <w:szCs w:val="20"/>
                <w:lang w:eastAsia="es-MX"/>
              </w:rPr>
              <w:drawing>
                <wp:inline distT="0" distB="0" distL="0" distR="0" wp14:anchorId="61D30273" wp14:editId="7711D263">
                  <wp:extent cx="3566795" cy="843280"/>
                  <wp:effectExtent l="0" t="0" r="0" b="0"/>
                  <wp:docPr id="19520825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566795" cy="843280"/>
                          </a:xfrm>
                          <a:prstGeom prst="rect">
                            <a:avLst/>
                          </a:prstGeom>
                          <a:ln/>
                        </pic:spPr>
                      </pic:pic>
                    </a:graphicData>
                  </a:graphic>
                </wp:inline>
              </w:drawing>
            </w:r>
          </w:p>
        </w:tc>
      </w:tr>
      <w:tr w:rsidR="00B92276" w:rsidRPr="00B92276" w14:paraId="3F207343" w14:textId="77777777">
        <w:tc>
          <w:tcPr>
            <w:tcW w:w="3222" w:type="dxa"/>
          </w:tcPr>
          <w:p w14:paraId="3FA57585" w14:textId="77777777" w:rsidR="003248E0" w:rsidRPr="00B92276" w:rsidRDefault="002D080F">
            <w:pPr>
              <w:spacing w:after="0" w:line="360" w:lineRule="auto"/>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06360/INFOEM/IP/RR/2024</w:t>
            </w:r>
          </w:p>
        </w:tc>
        <w:tc>
          <w:tcPr>
            <w:tcW w:w="5833" w:type="dxa"/>
          </w:tcPr>
          <w:p w14:paraId="499A4A47"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noProof/>
                <w:sz w:val="20"/>
                <w:szCs w:val="20"/>
                <w:lang w:eastAsia="es-MX"/>
              </w:rPr>
              <w:drawing>
                <wp:inline distT="0" distB="0" distL="0" distR="0" wp14:anchorId="01C10D4A" wp14:editId="662783F5">
                  <wp:extent cx="3566795" cy="833120"/>
                  <wp:effectExtent l="0" t="0" r="0" b="0"/>
                  <wp:docPr id="19520825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566795" cy="833120"/>
                          </a:xfrm>
                          <a:prstGeom prst="rect">
                            <a:avLst/>
                          </a:prstGeom>
                          <a:ln/>
                        </pic:spPr>
                      </pic:pic>
                    </a:graphicData>
                  </a:graphic>
                </wp:inline>
              </w:drawing>
            </w:r>
          </w:p>
        </w:tc>
      </w:tr>
      <w:tr w:rsidR="00B92276" w:rsidRPr="00B92276" w14:paraId="2725BEE4" w14:textId="77777777">
        <w:tc>
          <w:tcPr>
            <w:tcW w:w="3222" w:type="dxa"/>
          </w:tcPr>
          <w:p w14:paraId="5AF2B9A4" w14:textId="77777777" w:rsidR="003248E0" w:rsidRPr="00B92276" w:rsidRDefault="002D080F">
            <w:pPr>
              <w:spacing w:after="0" w:line="360" w:lineRule="auto"/>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06361/INFOEM/IP/RR/2024</w:t>
            </w:r>
          </w:p>
        </w:tc>
        <w:tc>
          <w:tcPr>
            <w:tcW w:w="5833" w:type="dxa"/>
          </w:tcPr>
          <w:p w14:paraId="2CC89C6D"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noProof/>
                <w:sz w:val="20"/>
                <w:szCs w:val="20"/>
                <w:lang w:eastAsia="es-MX"/>
              </w:rPr>
              <w:drawing>
                <wp:inline distT="0" distB="0" distL="0" distR="0" wp14:anchorId="14FE3110" wp14:editId="76AD023C">
                  <wp:extent cx="3566795" cy="859790"/>
                  <wp:effectExtent l="0" t="0" r="0" b="0"/>
                  <wp:docPr id="19520825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566795" cy="859790"/>
                          </a:xfrm>
                          <a:prstGeom prst="rect">
                            <a:avLst/>
                          </a:prstGeom>
                          <a:ln/>
                        </pic:spPr>
                      </pic:pic>
                    </a:graphicData>
                  </a:graphic>
                </wp:inline>
              </w:drawing>
            </w:r>
          </w:p>
        </w:tc>
      </w:tr>
      <w:tr w:rsidR="00B92276" w:rsidRPr="00B92276" w14:paraId="6216A788" w14:textId="77777777">
        <w:tc>
          <w:tcPr>
            <w:tcW w:w="3222" w:type="dxa"/>
          </w:tcPr>
          <w:p w14:paraId="6E18FAA1" w14:textId="77777777" w:rsidR="003248E0" w:rsidRPr="00B92276" w:rsidRDefault="002D080F">
            <w:pPr>
              <w:spacing w:after="0" w:line="360" w:lineRule="auto"/>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lastRenderedPageBreak/>
              <w:t>06362/INFOEM/IP/RR/2024</w:t>
            </w:r>
          </w:p>
        </w:tc>
        <w:tc>
          <w:tcPr>
            <w:tcW w:w="5833" w:type="dxa"/>
          </w:tcPr>
          <w:p w14:paraId="4F53EF78"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noProof/>
                <w:sz w:val="20"/>
                <w:szCs w:val="20"/>
                <w:lang w:eastAsia="es-MX"/>
              </w:rPr>
              <w:drawing>
                <wp:inline distT="0" distB="0" distL="0" distR="0" wp14:anchorId="663BA650" wp14:editId="19684845">
                  <wp:extent cx="3566795" cy="846455"/>
                  <wp:effectExtent l="0" t="0" r="0" b="0"/>
                  <wp:docPr id="19520825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566795" cy="846455"/>
                          </a:xfrm>
                          <a:prstGeom prst="rect">
                            <a:avLst/>
                          </a:prstGeom>
                          <a:ln/>
                        </pic:spPr>
                      </pic:pic>
                    </a:graphicData>
                  </a:graphic>
                </wp:inline>
              </w:drawing>
            </w:r>
          </w:p>
        </w:tc>
      </w:tr>
      <w:tr w:rsidR="00B92276" w:rsidRPr="00B92276" w14:paraId="541E7B56" w14:textId="77777777">
        <w:tc>
          <w:tcPr>
            <w:tcW w:w="3222" w:type="dxa"/>
          </w:tcPr>
          <w:p w14:paraId="1A25FD8D" w14:textId="77777777" w:rsidR="003248E0" w:rsidRPr="00B92276" w:rsidRDefault="002D080F">
            <w:pPr>
              <w:spacing w:after="0" w:line="360" w:lineRule="auto"/>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06363/INFOEM/IP/RR/2024</w:t>
            </w:r>
          </w:p>
        </w:tc>
        <w:tc>
          <w:tcPr>
            <w:tcW w:w="5833" w:type="dxa"/>
          </w:tcPr>
          <w:p w14:paraId="3E7CC857"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noProof/>
                <w:sz w:val="20"/>
                <w:szCs w:val="20"/>
                <w:lang w:eastAsia="es-MX"/>
              </w:rPr>
              <w:drawing>
                <wp:inline distT="0" distB="0" distL="0" distR="0" wp14:anchorId="50A9468C" wp14:editId="09044DA4">
                  <wp:extent cx="3566795" cy="819785"/>
                  <wp:effectExtent l="0" t="0" r="0" b="0"/>
                  <wp:docPr id="19520825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566795" cy="819785"/>
                          </a:xfrm>
                          <a:prstGeom prst="rect">
                            <a:avLst/>
                          </a:prstGeom>
                          <a:ln/>
                        </pic:spPr>
                      </pic:pic>
                    </a:graphicData>
                  </a:graphic>
                </wp:inline>
              </w:drawing>
            </w:r>
          </w:p>
        </w:tc>
      </w:tr>
      <w:tr w:rsidR="003248E0" w:rsidRPr="00B92276" w14:paraId="5995A93B" w14:textId="77777777">
        <w:tc>
          <w:tcPr>
            <w:tcW w:w="3222" w:type="dxa"/>
          </w:tcPr>
          <w:p w14:paraId="306E61E4" w14:textId="77777777" w:rsidR="003248E0" w:rsidRPr="00B92276" w:rsidRDefault="002D080F">
            <w:pPr>
              <w:spacing w:after="0" w:line="360" w:lineRule="auto"/>
              <w:jc w:val="both"/>
              <w:rPr>
                <w:rFonts w:ascii="Palatino Linotype" w:eastAsia="Palatino Linotype" w:hAnsi="Palatino Linotype" w:cs="Palatino Linotype"/>
                <w:b/>
                <w:sz w:val="20"/>
                <w:szCs w:val="20"/>
              </w:rPr>
            </w:pPr>
            <w:r w:rsidRPr="00B92276">
              <w:rPr>
                <w:rFonts w:ascii="Palatino Linotype" w:eastAsia="Palatino Linotype" w:hAnsi="Palatino Linotype" w:cs="Palatino Linotype"/>
                <w:b/>
                <w:sz w:val="20"/>
                <w:szCs w:val="20"/>
              </w:rPr>
              <w:t>06364/INFOEM/IP/RR/2024</w:t>
            </w:r>
          </w:p>
        </w:tc>
        <w:tc>
          <w:tcPr>
            <w:tcW w:w="5833" w:type="dxa"/>
          </w:tcPr>
          <w:p w14:paraId="15AE44E4" w14:textId="77777777" w:rsidR="003248E0" w:rsidRPr="00B92276" w:rsidRDefault="002D080F">
            <w:pPr>
              <w:spacing w:after="0" w:line="360" w:lineRule="auto"/>
              <w:jc w:val="both"/>
              <w:rPr>
                <w:rFonts w:ascii="Palatino Linotype" w:eastAsia="Palatino Linotype" w:hAnsi="Palatino Linotype" w:cs="Palatino Linotype"/>
                <w:sz w:val="20"/>
                <w:szCs w:val="20"/>
              </w:rPr>
            </w:pPr>
            <w:r w:rsidRPr="00B92276">
              <w:rPr>
                <w:rFonts w:ascii="Palatino Linotype" w:eastAsia="Palatino Linotype" w:hAnsi="Palatino Linotype" w:cs="Palatino Linotype"/>
                <w:noProof/>
                <w:sz w:val="20"/>
                <w:szCs w:val="20"/>
                <w:lang w:eastAsia="es-MX"/>
              </w:rPr>
              <w:drawing>
                <wp:inline distT="0" distB="0" distL="0" distR="0" wp14:anchorId="05234BD2" wp14:editId="36207674">
                  <wp:extent cx="3566795" cy="871220"/>
                  <wp:effectExtent l="0" t="0" r="0" b="0"/>
                  <wp:docPr id="19520825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566795" cy="871220"/>
                          </a:xfrm>
                          <a:prstGeom prst="rect">
                            <a:avLst/>
                          </a:prstGeom>
                          <a:ln/>
                        </pic:spPr>
                      </pic:pic>
                    </a:graphicData>
                  </a:graphic>
                </wp:inline>
              </w:drawing>
            </w:r>
          </w:p>
        </w:tc>
      </w:tr>
    </w:tbl>
    <w:p w14:paraId="5D8A246F" w14:textId="77777777" w:rsidR="003248E0" w:rsidRPr="00B92276"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7A494A9" w14:textId="77777777" w:rsidR="003248E0" w:rsidRPr="00B92276"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FE7E52C" w14:textId="77777777" w:rsidR="003248E0" w:rsidRPr="00B92276" w:rsidRDefault="002D080F">
      <w:pPr>
        <w:pBdr>
          <w:top w:val="nil"/>
          <w:left w:val="nil"/>
          <w:bottom w:val="nil"/>
          <w:right w:val="nil"/>
          <w:between w:val="nil"/>
        </w:pBdr>
        <w:spacing w:after="0" w:line="360" w:lineRule="auto"/>
        <w:jc w:val="both"/>
      </w:pPr>
      <w:r w:rsidRPr="00B92276">
        <w:rPr>
          <w:rFonts w:ascii="Palatino Linotype" w:eastAsia="Palatino Linotype" w:hAnsi="Palatino Linotype" w:cs="Palatino Linotype"/>
          <w:b/>
        </w:rPr>
        <w:t xml:space="preserve">8. Acumulación de los recursos de revisión. </w:t>
      </w:r>
      <w:r w:rsidRPr="00B92276">
        <w:rPr>
          <w:rFonts w:ascii="Palatino Linotype" w:eastAsia="Palatino Linotype" w:hAnsi="Palatino Linotype" w:cs="Palatino Linotype"/>
        </w:rPr>
        <w:t xml:space="preserve">Al respecto cabe señalar, que el Pleno de este Instituto, en la </w:t>
      </w:r>
      <w:r w:rsidRPr="00B92276">
        <w:rPr>
          <w:rFonts w:ascii="Palatino Linotype" w:eastAsia="Palatino Linotype" w:hAnsi="Palatino Linotype" w:cs="Palatino Linotype"/>
          <w:b/>
        </w:rPr>
        <w:t xml:space="preserve">Trigésima Octava Sesión Ordinaria </w:t>
      </w:r>
      <w:r w:rsidRPr="00B92276">
        <w:rPr>
          <w:rFonts w:ascii="Palatino Linotype" w:eastAsia="Palatino Linotype" w:hAnsi="Palatino Linotype" w:cs="Palatino Linotype"/>
        </w:rPr>
        <w:t>celebrada el</w:t>
      </w:r>
      <w:r w:rsidRPr="00B92276">
        <w:rPr>
          <w:rFonts w:ascii="Palatino Linotype" w:eastAsia="Palatino Linotype" w:hAnsi="Palatino Linotype" w:cs="Palatino Linotype"/>
          <w:b/>
        </w:rPr>
        <w:t xml:space="preserve"> seis de noviembre de dos mil veinticuatro,</w:t>
      </w:r>
      <w:r w:rsidRPr="00B92276">
        <w:rPr>
          <w:rFonts w:ascii="Palatino Linotype" w:eastAsia="Palatino Linotype" w:hAnsi="Palatino Linotype" w:cs="Palatino Linotype"/>
        </w:rPr>
        <w:t xml:space="preserve"> ordenó la acumulación de los expedientes citados, a efecto de que la </w:t>
      </w:r>
      <w:r w:rsidRPr="00B92276">
        <w:rPr>
          <w:rFonts w:ascii="Palatino Linotype" w:eastAsia="Palatino Linotype" w:hAnsi="Palatino Linotype" w:cs="Palatino Linotype"/>
          <w:b/>
        </w:rPr>
        <w:t xml:space="preserve">Comisionada Guadalupe Ramírez Peña </w:t>
      </w:r>
      <w:r w:rsidRPr="00B92276">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1E4F914B" w14:textId="77777777" w:rsidR="003248E0" w:rsidRPr="00B92276"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92276">
        <w:rPr>
          <w:rFonts w:ascii="Palatino Linotype" w:eastAsia="Palatino Linotype" w:hAnsi="Palatino Linotype" w:cs="Palatino Linotype"/>
          <w:b/>
          <w:i/>
        </w:rPr>
        <w:t>Código de Procedimientos Administrativos del Estado de México</w:t>
      </w:r>
    </w:p>
    <w:p w14:paraId="6D85A895" w14:textId="77777777" w:rsidR="003248E0" w:rsidRPr="00B92276"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92276">
        <w:rPr>
          <w:rFonts w:ascii="Palatino Linotype" w:eastAsia="Palatino Linotype" w:hAnsi="Palatino Linotype" w:cs="Palatino Linotype"/>
          <w:b/>
          <w:i/>
        </w:rPr>
        <w:t>“Artículo 18.-</w:t>
      </w:r>
      <w:r w:rsidRPr="00B92276">
        <w:rPr>
          <w:rFonts w:ascii="Palatino Linotype" w:eastAsia="Palatino Linotype" w:hAnsi="Palatino Linotype" w:cs="Palatino Linotype"/>
          <w:i/>
        </w:rPr>
        <w:t xml:space="preserve"> </w:t>
      </w:r>
      <w:r w:rsidRPr="00B92276">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B92276">
        <w:rPr>
          <w:rFonts w:ascii="Palatino Linotype" w:eastAsia="Palatino Linotype" w:hAnsi="Palatino Linotype" w:cs="Palatino Linotype"/>
          <w:i/>
        </w:rPr>
        <w:t xml:space="preserve"> o a petición de parte, </w:t>
      </w:r>
      <w:r w:rsidRPr="00B92276">
        <w:rPr>
          <w:rFonts w:ascii="Palatino Linotype" w:eastAsia="Palatino Linotype" w:hAnsi="Palatino Linotype" w:cs="Palatino Linotype"/>
          <w:b/>
          <w:i/>
        </w:rPr>
        <w:t>cuando las partes</w:t>
      </w:r>
      <w:r w:rsidRPr="00B92276">
        <w:rPr>
          <w:rFonts w:ascii="Palatino Linotype" w:eastAsia="Palatino Linotype" w:hAnsi="Palatino Linotype" w:cs="Palatino Linotype"/>
          <w:i/>
        </w:rPr>
        <w:t xml:space="preserve"> o los actos administrativos sean iguales, se trate de actos conexos o </w:t>
      </w:r>
      <w:r w:rsidRPr="00B92276">
        <w:rPr>
          <w:rFonts w:ascii="Palatino Linotype" w:eastAsia="Palatino Linotype" w:hAnsi="Palatino Linotype" w:cs="Palatino Linotype"/>
          <w:b/>
          <w:i/>
        </w:rPr>
        <w:t xml:space="preserve">resulte conveniente el trámite unificado de los asuntos, para evitar la emisión de resoluciones </w:t>
      </w:r>
      <w:r w:rsidRPr="00B92276">
        <w:rPr>
          <w:rFonts w:ascii="Palatino Linotype" w:eastAsia="Palatino Linotype" w:hAnsi="Palatino Linotype" w:cs="Palatino Linotype"/>
          <w:b/>
          <w:i/>
        </w:rPr>
        <w:lastRenderedPageBreak/>
        <w:t>contradictorias</w:t>
      </w:r>
      <w:r w:rsidRPr="00B92276">
        <w:rPr>
          <w:rFonts w:ascii="Palatino Linotype" w:eastAsia="Palatino Linotype" w:hAnsi="Palatino Linotype" w:cs="Palatino Linotype"/>
          <w:i/>
        </w:rPr>
        <w:t>. La misma regla se aplicará, en lo conducente, para la separación de los expedientes.”</w:t>
      </w:r>
    </w:p>
    <w:p w14:paraId="3BA16121" w14:textId="77777777" w:rsidR="003248E0" w:rsidRPr="00B92276"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92276">
        <w:rPr>
          <w:rFonts w:ascii="Palatino Linotype" w:eastAsia="Palatino Linotype" w:hAnsi="Palatino Linotype" w:cs="Palatino Linotype"/>
          <w:b/>
          <w:i/>
        </w:rPr>
        <w:t>Ley de Transparencia y Acceso a la Información Pública del Estado de México y Municipios</w:t>
      </w:r>
    </w:p>
    <w:p w14:paraId="3917F259" w14:textId="77777777" w:rsidR="003248E0" w:rsidRPr="00B92276"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92276">
        <w:rPr>
          <w:rFonts w:ascii="Palatino Linotype" w:eastAsia="Palatino Linotype" w:hAnsi="Palatino Linotype" w:cs="Palatino Linotype"/>
          <w:b/>
          <w:i/>
        </w:rPr>
        <w:t>“Artículo 195.-</w:t>
      </w:r>
      <w:r w:rsidRPr="00B92276">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66182253" w14:textId="77777777" w:rsidR="00597FE6" w:rsidRPr="00B92276" w:rsidRDefault="00597FE6">
      <w:pPr>
        <w:spacing w:after="0" w:line="360" w:lineRule="auto"/>
        <w:ind w:right="49"/>
        <w:jc w:val="both"/>
        <w:rPr>
          <w:rFonts w:ascii="Palatino Linotype" w:eastAsia="Palatino Linotype" w:hAnsi="Palatino Linotype" w:cs="Palatino Linotype"/>
        </w:rPr>
      </w:pPr>
    </w:p>
    <w:p w14:paraId="66B9257C"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B92276">
        <w:rPr>
          <w:rFonts w:ascii="Palatino Linotype" w:eastAsia="Palatino Linotype" w:hAnsi="Palatino Linotype" w:cs="Palatino Linotype"/>
          <w:b/>
        </w:rPr>
        <w:t>Recurrente</w:t>
      </w:r>
      <w:r w:rsidRPr="00B92276">
        <w:rPr>
          <w:rFonts w:ascii="Palatino Linotype" w:eastAsia="Palatino Linotype" w:hAnsi="Palatino Linotype" w:cs="Palatino Linotype"/>
        </w:rPr>
        <w:t xml:space="preserve"> ante el mismo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67DFE820" w14:textId="77777777" w:rsidR="003248E0" w:rsidRPr="00B92276" w:rsidRDefault="002D080F">
      <w:pPr>
        <w:tabs>
          <w:tab w:val="left" w:pos="7170"/>
        </w:tabs>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ab/>
      </w:r>
    </w:p>
    <w:p w14:paraId="13D90AEA" w14:textId="1986DEA5" w:rsidR="003248E0" w:rsidRPr="00B92276" w:rsidRDefault="00597FE6">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t>9</w:t>
      </w:r>
      <w:r w:rsidR="002D080F" w:rsidRPr="00B92276">
        <w:rPr>
          <w:rFonts w:ascii="Palatino Linotype" w:eastAsia="Palatino Linotype" w:hAnsi="Palatino Linotype" w:cs="Palatino Linotype"/>
          <w:b/>
        </w:rPr>
        <w:t xml:space="preserve">. Cierre de Instrucción. </w:t>
      </w:r>
      <w:r w:rsidR="002D080F" w:rsidRPr="00B92276">
        <w:rPr>
          <w:rFonts w:ascii="Palatino Linotype" w:eastAsia="Palatino Linotype" w:hAnsi="Palatino Linotype" w:cs="Palatino Linotype"/>
        </w:rPr>
        <w:t xml:space="preserve">En fecha </w:t>
      </w:r>
      <w:r w:rsidR="002D080F" w:rsidRPr="00B92276">
        <w:rPr>
          <w:rFonts w:ascii="Palatino Linotype" w:eastAsia="Palatino Linotype" w:hAnsi="Palatino Linotype" w:cs="Palatino Linotype"/>
          <w:b/>
        </w:rPr>
        <w:t>diecinueve de</w:t>
      </w:r>
      <w:r w:rsidR="002D080F" w:rsidRPr="00B92276">
        <w:rPr>
          <w:rFonts w:ascii="Palatino Linotype" w:eastAsia="Palatino Linotype" w:hAnsi="Palatino Linotype" w:cs="Palatino Linotype"/>
        </w:rPr>
        <w:t xml:space="preserve"> </w:t>
      </w:r>
      <w:r w:rsidR="002D080F" w:rsidRPr="00B92276">
        <w:rPr>
          <w:rFonts w:ascii="Palatino Linotype" w:eastAsia="Palatino Linotype" w:hAnsi="Palatino Linotype" w:cs="Palatino Linotype"/>
          <w:b/>
        </w:rPr>
        <w:t xml:space="preserve">noviembre de dos mil veinticuatro, </w:t>
      </w:r>
      <w:r w:rsidR="002D080F" w:rsidRPr="00B92276">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08846D15" w14:textId="77777777" w:rsidR="003248E0" w:rsidRPr="00B92276"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5B596956" w14:textId="77777777" w:rsidR="003248E0" w:rsidRPr="00B92276" w:rsidRDefault="002D080F">
      <w:pPr>
        <w:spacing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102AF69D" w14:textId="77777777" w:rsidR="003248E0" w:rsidRPr="00B92276" w:rsidRDefault="002D080F">
      <w:pPr>
        <w:widowControl w:val="0"/>
        <w:spacing w:line="360" w:lineRule="auto"/>
        <w:jc w:val="center"/>
        <w:rPr>
          <w:rFonts w:ascii="Palatino Linotype" w:eastAsia="Palatino Linotype" w:hAnsi="Palatino Linotype" w:cs="Palatino Linotype"/>
          <w:b/>
        </w:rPr>
      </w:pPr>
      <w:r w:rsidRPr="00B92276">
        <w:rPr>
          <w:rFonts w:ascii="Palatino Linotype" w:eastAsia="Palatino Linotype" w:hAnsi="Palatino Linotype" w:cs="Palatino Linotype"/>
          <w:b/>
        </w:rPr>
        <w:t>II. C O N S I D E R A N D O S</w:t>
      </w:r>
    </w:p>
    <w:p w14:paraId="5B43ADDD"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t>Primero. Competencia.</w:t>
      </w:r>
      <w:r w:rsidRPr="00B9227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w:t>
      </w:r>
      <w:r w:rsidRPr="00B92276">
        <w:rPr>
          <w:rFonts w:ascii="Palatino Linotype" w:eastAsia="Palatino Linotype" w:hAnsi="Palatino Linotype" w:cs="Palatino Linotype"/>
        </w:rPr>
        <w:lastRenderedPageBreak/>
        <w:t>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4E71E667" w14:textId="77777777" w:rsidR="003248E0" w:rsidRPr="00B92276" w:rsidRDefault="003248E0">
      <w:pPr>
        <w:spacing w:after="0" w:line="360" w:lineRule="auto"/>
        <w:jc w:val="both"/>
        <w:rPr>
          <w:rFonts w:ascii="Palatino Linotype" w:eastAsia="Palatino Linotype" w:hAnsi="Palatino Linotype" w:cs="Palatino Linotype"/>
        </w:rPr>
      </w:pPr>
    </w:p>
    <w:p w14:paraId="02A0E593" w14:textId="77777777" w:rsidR="003248E0" w:rsidRPr="00B92276" w:rsidRDefault="002D080F">
      <w:pPr>
        <w:spacing w:after="0" w:line="360" w:lineRule="auto"/>
        <w:jc w:val="both"/>
        <w:rPr>
          <w:rFonts w:ascii="Palatino Linotype" w:eastAsia="Palatino Linotype" w:hAnsi="Palatino Linotype" w:cs="Palatino Linotype"/>
        </w:rPr>
      </w:pPr>
      <w:bookmarkStart w:id="2" w:name="_heading=h.q9a5pqst6so" w:colFirst="0" w:colLast="0"/>
      <w:bookmarkEnd w:id="2"/>
      <w:r w:rsidRPr="00B92276">
        <w:rPr>
          <w:rFonts w:ascii="Palatino Linotype" w:eastAsia="Palatino Linotype" w:hAnsi="Palatino Linotype" w:cs="Palatino Linotype"/>
          <w:b/>
        </w:rPr>
        <w:t>Segundo. Oportunidad y Procedibilidad de los Recursos de Revisión</w:t>
      </w:r>
      <w:r w:rsidRPr="00B92276">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93D7F2" w14:textId="77777777" w:rsidR="003248E0" w:rsidRPr="00B92276" w:rsidRDefault="003248E0">
      <w:pPr>
        <w:spacing w:after="0" w:line="360" w:lineRule="auto"/>
        <w:jc w:val="both"/>
        <w:rPr>
          <w:rFonts w:ascii="Palatino Linotype" w:eastAsia="Palatino Linotype" w:hAnsi="Palatino Linotype" w:cs="Palatino Linotype"/>
        </w:rPr>
      </w:pPr>
    </w:p>
    <w:p w14:paraId="4FD04AD0"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B92276">
        <w:rPr>
          <w:rFonts w:ascii="Palatino Linotype" w:eastAsia="Palatino Linotype" w:hAnsi="Palatino Linotype" w:cs="Palatino Linotype"/>
          <w:b/>
        </w:rPr>
        <w:t xml:space="preserve">Sujeto Obligado </w:t>
      </w:r>
      <w:r w:rsidRPr="00B92276">
        <w:rPr>
          <w:rFonts w:ascii="Palatino Linotype" w:eastAsia="Palatino Linotype" w:hAnsi="Palatino Linotype" w:cs="Palatino Linotype"/>
        </w:rPr>
        <w:t xml:space="preserve">remitió las respuestas a la solicitudes de información en fecha </w:t>
      </w:r>
      <w:r w:rsidRPr="00B92276">
        <w:rPr>
          <w:rFonts w:ascii="Palatino Linotype" w:eastAsia="Palatino Linotype" w:hAnsi="Palatino Linotype" w:cs="Palatino Linotype"/>
          <w:b/>
        </w:rPr>
        <w:t xml:space="preserve">diecisiete de octubre de dos mil veinticuatro, </w:t>
      </w:r>
      <w:r w:rsidRPr="00B92276">
        <w:rPr>
          <w:rFonts w:ascii="Palatino Linotype" w:eastAsia="Palatino Linotype" w:hAnsi="Palatino Linotype" w:cs="Palatino Linotype"/>
        </w:rPr>
        <w:t xml:space="preserve">mientras que los recursos de revisión interpuestos por la parte </w:t>
      </w:r>
      <w:r w:rsidRPr="00B92276">
        <w:rPr>
          <w:rFonts w:ascii="Palatino Linotype" w:eastAsia="Palatino Linotype" w:hAnsi="Palatino Linotype" w:cs="Palatino Linotype"/>
          <w:b/>
        </w:rPr>
        <w:t>Recurrente</w:t>
      </w:r>
      <w:r w:rsidRPr="00B92276">
        <w:rPr>
          <w:rFonts w:ascii="Palatino Linotype" w:eastAsia="Palatino Linotype" w:hAnsi="Palatino Linotype" w:cs="Palatino Linotype"/>
        </w:rPr>
        <w:t xml:space="preserve">, se tuvieron por presentados en fecha </w:t>
      </w:r>
      <w:r w:rsidRPr="00B92276">
        <w:rPr>
          <w:rFonts w:ascii="Palatino Linotype" w:eastAsia="Palatino Linotype" w:hAnsi="Palatino Linotype" w:cs="Palatino Linotype"/>
          <w:b/>
        </w:rPr>
        <w:t>dieciocho de octubre de dos mil veinticuatro</w:t>
      </w:r>
      <w:r w:rsidRPr="00B92276">
        <w:rPr>
          <w:rFonts w:ascii="Palatino Linotype" w:eastAsia="Palatino Linotype" w:hAnsi="Palatino Linotype" w:cs="Palatino Linotype"/>
        </w:rPr>
        <w:t xml:space="preserve">, esto es, al </w:t>
      </w:r>
      <w:r w:rsidRPr="00B92276">
        <w:rPr>
          <w:rFonts w:ascii="Palatino Linotype" w:eastAsia="Palatino Linotype" w:hAnsi="Palatino Linotype" w:cs="Palatino Linotype"/>
          <w:b/>
        </w:rPr>
        <w:t>primer</w:t>
      </w:r>
      <w:r w:rsidRPr="00B92276">
        <w:rPr>
          <w:rFonts w:ascii="Palatino Linotype" w:eastAsia="Palatino Linotype" w:hAnsi="Palatino Linotype" w:cs="Palatino Linotype"/>
        </w:rPr>
        <w:t xml:space="preserve"> día hábil siguiente a aquel en que se tuvo conocimiento de las respuestas impugnadas. En este sentido, se concluye que los presentes recursos de revisión se encuentran dentro de los márgenes temporales previstos en las disposiciones legales referidas.</w:t>
      </w:r>
    </w:p>
    <w:p w14:paraId="04D2ED8D" w14:textId="77777777" w:rsidR="003248E0" w:rsidRPr="00B92276" w:rsidRDefault="003248E0">
      <w:pPr>
        <w:spacing w:after="0" w:line="360" w:lineRule="auto"/>
        <w:jc w:val="both"/>
        <w:rPr>
          <w:rFonts w:ascii="Palatino Linotype" w:eastAsia="Palatino Linotype" w:hAnsi="Palatino Linotype" w:cs="Palatino Linotype"/>
        </w:rPr>
      </w:pPr>
    </w:p>
    <w:p w14:paraId="2AEFE17D"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lastRenderedPageBreak/>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4FAA32C7" w14:textId="77777777" w:rsidR="003248E0" w:rsidRPr="00B92276" w:rsidRDefault="003248E0">
      <w:pPr>
        <w:spacing w:after="0" w:line="360" w:lineRule="auto"/>
        <w:jc w:val="both"/>
        <w:rPr>
          <w:rFonts w:ascii="Palatino Linotype" w:eastAsia="Palatino Linotype" w:hAnsi="Palatino Linotype" w:cs="Palatino Linotype"/>
        </w:rPr>
      </w:pPr>
    </w:p>
    <w:p w14:paraId="4F6AE93D" w14:textId="0CAEF5BD"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A efecto de sustentar lo anterior, es de suma importancia mencionar </w:t>
      </w:r>
      <w:proofErr w:type="gramStart"/>
      <w:r w:rsidRPr="00B92276">
        <w:rPr>
          <w:rFonts w:ascii="Palatino Linotype" w:eastAsia="Palatino Linotype" w:hAnsi="Palatino Linotype" w:cs="Palatino Linotype"/>
        </w:rPr>
        <w:t>que</w:t>
      </w:r>
      <w:proofErr w:type="gramEnd"/>
      <w:r w:rsidRPr="00B92276">
        <w:rPr>
          <w:rFonts w:ascii="Palatino Linotype" w:eastAsia="Palatino Linotype" w:hAnsi="Palatino Linotype" w:cs="Palatino Linotype"/>
        </w:rPr>
        <w:t xml:space="preserve"> si bien la persona solicitante </w:t>
      </w:r>
      <w:r w:rsidRPr="00B92276">
        <w:rPr>
          <w:rFonts w:ascii="Palatino Linotype" w:eastAsia="Palatino Linotype" w:hAnsi="Palatino Linotype" w:cs="Palatino Linotype"/>
          <w:b/>
        </w:rPr>
        <w:t xml:space="preserve">proporcionó seudónimo, </w:t>
      </w:r>
      <w:r w:rsidRPr="00B92276">
        <w:rPr>
          <w:rFonts w:ascii="Palatino Linotype" w:eastAsia="Palatino Linotype" w:hAnsi="Palatino Linotype" w:cs="Palatino Linotype"/>
        </w:rPr>
        <w:t>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382A70B" w14:textId="77777777" w:rsidR="003248E0" w:rsidRPr="00B92276" w:rsidRDefault="003248E0">
      <w:pPr>
        <w:spacing w:after="0" w:line="360" w:lineRule="auto"/>
        <w:jc w:val="both"/>
        <w:rPr>
          <w:rFonts w:ascii="Palatino Linotype" w:eastAsia="Palatino Linotype" w:hAnsi="Palatino Linotype" w:cs="Palatino Linotype"/>
        </w:rPr>
      </w:pPr>
    </w:p>
    <w:p w14:paraId="564F41B0" w14:textId="77777777" w:rsidR="003248E0" w:rsidRPr="00B92276" w:rsidRDefault="002D080F">
      <w:pPr>
        <w:spacing w:after="0"/>
        <w:ind w:left="851"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r w:rsidRPr="00B92276">
        <w:rPr>
          <w:rFonts w:ascii="Palatino Linotype" w:eastAsia="Palatino Linotype" w:hAnsi="Palatino Linotype" w:cs="Palatino Linotype"/>
          <w:b/>
          <w:i/>
        </w:rPr>
        <w:t xml:space="preserve">Las solicitudes </w:t>
      </w:r>
      <w:r w:rsidRPr="00B92276">
        <w:rPr>
          <w:rFonts w:ascii="Palatino Linotype" w:eastAsia="Palatino Linotype" w:hAnsi="Palatino Linotype" w:cs="Palatino Linotype"/>
          <w:i/>
        </w:rPr>
        <w:t xml:space="preserve">anónimas, con nombre incompleto o </w:t>
      </w:r>
      <w:r w:rsidRPr="00B92276">
        <w:rPr>
          <w:rFonts w:ascii="Palatino Linotype" w:eastAsia="Palatino Linotype" w:hAnsi="Palatino Linotype" w:cs="Palatino Linotype"/>
          <w:b/>
          <w:i/>
        </w:rPr>
        <w:t>seudónimo serán procedentes para su trámite por parte del sujeto obligado ante quien se presente</w:t>
      </w:r>
      <w:r w:rsidRPr="00B92276">
        <w:rPr>
          <w:rFonts w:ascii="Palatino Linotype" w:eastAsia="Palatino Linotype" w:hAnsi="Palatino Linotype" w:cs="Palatino Linotype"/>
          <w:i/>
        </w:rPr>
        <w:t>. No podrá requerirse información adicional con motivo del nombre proporcionado por el solicitante."</w:t>
      </w:r>
    </w:p>
    <w:p w14:paraId="3997DDF8" w14:textId="77777777" w:rsidR="003248E0" w:rsidRPr="00B92276" w:rsidRDefault="003248E0">
      <w:pPr>
        <w:spacing w:after="0"/>
        <w:ind w:left="851" w:right="902"/>
        <w:jc w:val="both"/>
        <w:rPr>
          <w:rFonts w:ascii="Palatino Linotype" w:eastAsia="Palatino Linotype" w:hAnsi="Palatino Linotype" w:cs="Palatino Linotype"/>
        </w:rPr>
      </w:pPr>
    </w:p>
    <w:p w14:paraId="122B558D"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Finalmente, se advierte que resulta procedente la interposición de los recursos, según lo manifestado por la parte </w:t>
      </w:r>
      <w:r w:rsidRPr="00B92276">
        <w:rPr>
          <w:rFonts w:ascii="Palatino Linotype" w:eastAsia="Palatino Linotype" w:hAnsi="Palatino Linotype" w:cs="Palatino Linotype"/>
          <w:b/>
        </w:rPr>
        <w:t>Recurrente</w:t>
      </w:r>
      <w:r w:rsidRPr="00B92276">
        <w:rPr>
          <w:rFonts w:ascii="Palatino Linotype" w:eastAsia="Palatino Linotype" w:hAnsi="Palatino Linotype" w:cs="Palatino Linotype"/>
        </w:rPr>
        <w:t xml:space="preserve"> en sus motivos de inconformidad, de acuerdo con el artículo 179, fracción II del ordenamiento legal citado, que a la letra dice: </w:t>
      </w:r>
    </w:p>
    <w:p w14:paraId="237DCFA0" w14:textId="77777777" w:rsidR="003248E0" w:rsidRPr="00B92276" w:rsidRDefault="003248E0">
      <w:pPr>
        <w:spacing w:after="0" w:line="360" w:lineRule="auto"/>
        <w:jc w:val="both"/>
        <w:rPr>
          <w:rFonts w:ascii="Palatino Linotype" w:eastAsia="Palatino Linotype" w:hAnsi="Palatino Linotype" w:cs="Palatino Linotype"/>
        </w:rPr>
      </w:pPr>
    </w:p>
    <w:p w14:paraId="2C92F8F4" w14:textId="77777777" w:rsidR="003248E0" w:rsidRPr="00B92276" w:rsidRDefault="002D080F">
      <w:pPr>
        <w:spacing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r w:rsidRPr="00B92276">
        <w:rPr>
          <w:rFonts w:ascii="Palatino Linotype" w:eastAsia="Palatino Linotype" w:hAnsi="Palatino Linotype" w:cs="Palatino Linotype"/>
          <w:b/>
          <w:i/>
        </w:rPr>
        <w:t>Artículo 179.</w:t>
      </w:r>
      <w:r w:rsidRPr="00B92276">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D657B97" w14:textId="77777777" w:rsidR="003248E0" w:rsidRPr="00B92276" w:rsidRDefault="002D080F">
      <w:pPr>
        <w:spacing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p>
    <w:p w14:paraId="59430641" w14:textId="77777777" w:rsidR="003248E0" w:rsidRPr="00B92276" w:rsidRDefault="002D080F">
      <w:pPr>
        <w:pBdr>
          <w:top w:val="nil"/>
          <w:left w:val="nil"/>
          <w:bottom w:val="nil"/>
          <w:right w:val="nil"/>
          <w:between w:val="nil"/>
        </w:pBdr>
        <w:spacing w:after="0"/>
        <w:ind w:left="567" w:right="902"/>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t>II. La clasificación de la información;</w:t>
      </w:r>
    </w:p>
    <w:p w14:paraId="7B53C081" w14:textId="77777777" w:rsidR="003248E0" w:rsidRPr="00B92276" w:rsidRDefault="002D080F">
      <w:pPr>
        <w:pBdr>
          <w:top w:val="nil"/>
          <w:left w:val="nil"/>
          <w:bottom w:val="nil"/>
          <w:right w:val="nil"/>
          <w:between w:val="nil"/>
        </w:pBdr>
        <w:spacing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lastRenderedPageBreak/>
        <w:t xml:space="preserve"> […]”</w:t>
      </w:r>
    </w:p>
    <w:p w14:paraId="570D0D59" w14:textId="77777777" w:rsidR="003248E0" w:rsidRPr="00B92276" w:rsidRDefault="002D080F">
      <w:pPr>
        <w:pBdr>
          <w:top w:val="nil"/>
          <w:left w:val="nil"/>
          <w:bottom w:val="nil"/>
          <w:right w:val="nil"/>
          <w:between w:val="nil"/>
        </w:pBdr>
        <w:spacing w:after="0"/>
        <w:ind w:left="567" w:right="902"/>
        <w:jc w:val="right"/>
        <w:rPr>
          <w:rFonts w:ascii="Palatino Linotype" w:eastAsia="Palatino Linotype" w:hAnsi="Palatino Linotype" w:cs="Palatino Linotype"/>
          <w:i/>
        </w:rPr>
      </w:pPr>
      <w:r w:rsidRPr="00B92276">
        <w:rPr>
          <w:rFonts w:ascii="Palatino Linotype" w:eastAsia="Palatino Linotype" w:hAnsi="Palatino Linotype" w:cs="Palatino Linotype"/>
          <w:i/>
        </w:rPr>
        <w:t>(Énfasis añadido)</w:t>
      </w:r>
    </w:p>
    <w:p w14:paraId="2AC5EC2B" w14:textId="77777777" w:rsidR="003248E0" w:rsidRPr="00B92276"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602097D" w14:textId="77777777" w:rsidR="003248E0" w:rsidRPr="00B92276" w:rsidRDefault="002D080F">
      <w:pPr>
        <w:pBdr>
          <w:top w:val="nil"/>
          <w:left w:val="nil"/>
          <w:bottom w:val="nil"/>
          <w:right w:val="nil"/>
          <w:between w:val="nil"/>
        </w:pBd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b/>
        </w:rPr>
        <w:t>Tercero. Materia de la revisión.</w:t>
      </w:r>
      <w:r w:rsidRPr="00B92276">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w:t>
      </w:r>
      <w:r w:rsidRPr="00B92276">
        <w:rPr>
          <w:rFonts w:ascii="Palatino Linotype" w:eastAsia="Palatino Linotype" w:hAnsi="Palatino Linotype" w:cs="Palatino Linotype"/>
          <w:b/>
        </w:rPr>
        <w:t>verificar si las respuestas otorgadas por el Sujeto Obligado, son adecuadas y suficientes para satisfacer el derecho de acceso a la información pública de la parte Recurrente, o en su defecto, en caso de ser procedente, ordenar la entrega de información oportuna.</w:t>
      </w:r>
    </w:p>
    <w:p w14:paraId="1732A80D" w14:textId="77777777" w:rsidR="003248E0" w:rsidRPr="00B92276"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D65B193" w14:textId="77777777" w:rsidR="003248E0" w:rsidRPr="00B92276" w:rsidRDefault="002D080F">
      <w:p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t xml:space="preserve">Cuarto. Estudio de los recursos de revisión. </w:t>
      </w:r>
      <w:r w:rsidRPr="00B92276">
        <w:rPr>
          <w:rFonts w:ascii="Palatino Linotype" w:eastAsia="Palatino Linotype" w:hAnsi="Palatino Linotype" w:cs="Palatino Linotype"/>
        </w:rPr>
        <w:t xml:space="preserve">Antes de entrar al análisis de los pronunciamientos del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15A0662" w14:textId="77777777" w:rsidR="003248E0" w:rsidRPr="00B92276" w:rsidRDefault="003248E0">
      <w:pPr>
        <w:pBdr>
          <w:top w:val="nil"/>
          <w:left w:val="nil"/>
          <w:bottom w:val="nil"/>
          <w:right w:val="nil"/>
          <w:between w:val="nil"/>
        </w:pBdr>
        <w:spacing w:after="0" w:line="360" w:lineRule="auto"/>
        <w:jc w:val="both"/>
      </w:pPr>
    </w:p>
    <w:p w14:paraId="45B396FF" w14:textId="77777777" w:rsidR="003248E0" w:rsidRPr="00B92276" w:rsidRDefault="002D080F">
      <w:pPr>
        <w:pBdr>
          <w:top w:val="nil"/>
          <w:left w:val="nil"/>
          <w:bottom w:val="nil"/>
          <w:right w:val="nil"/>
          <w:between w:val="nil"/>
        </w:pBdr>
        <w:spacing w:after="0"/>
        <w:ind w:left="851" w:right="850"/>
        <w:jc w:val="both"/>
      </w:pPr>
      <w:r w:rsidRPr="00B92276">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B92276">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5B493B9" w14:textId="77777777" w:rsidR="003248E0" w:rsidRPr="00B92276" w:rsidRDefault="002D080F">
      <w:pPr>
        <w:pBdr>
          <w:top w:val="nil"/>
          <w:left w:val="nil"/>
          <w:bottom w:val="nil"/>
          <w:right w:val="nil"/>
          <w:between w:val="nil"/>
        </w:pBdr>
        <w:spacing w:after="0"/>
        <w:ind w:left="851" w:right="850"/>
        <w:jc w:val="both"/>
      </w:pPr>
      <w:r w:rsidRPr="00B92276">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B93E6F0" w14:textId="77777777" w:rsidR="003248E0" w:rsidRPr="00B92276" w:rsidRDefault="002D080F">
      <w:pPr>
        <w:pBdr>
          <w:top w:val="nil"/>
          <w:left w:val="nil"/>
          <w:bottom w:val="nil"/>
          <w:right w:val="nil"/>
          <w:between w:val="nil"/>
        </w:pBdr>
        <w:spacing w:after="0"/>
        <w:ind w:left="851" w:right="850"/>
        <w:jc w:val="both"/>
      </w:pPr>
      <w:r w:rsidRPr="00B92276">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B92276">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040F7103" w14:textId="77777777" w:rsidR="003248E0" w:rsidRPr="00B92276" w:rsidRDefault="002D080F">
      <w:pPr>
        <w:pBdr>
          <w:top w:val="nil"/>
          <w:left w:val="nil"/>
          <w:bottom w:val="nil"/>
          <w:right w:val="nil"/>
          <w:between w:val="nil"/>
        </w:pBdr>
        <w:spacing w:after="0"/>
        <w:ind w:left="851" w:right="850"/>
        <w:jc w:val="both"/>
      </w:pPr>
      <w:r w:rsidRPr="00B92276">
        <w:rPr>
          <w:rFonts w:ascii="Palatino Linotype" w:eastAsia="Palatino Linotype" w:hAnsi="Palatino Linotype" w:cs="Palatino Linotype"/>
          <w:i/>
        </w:rPr>
        <w:t>[…]</w:t>
      </w:r>
    </w:p>
    <w:p w14:paraId="5F6F422D" w14:textId="77777777" w:rsidR="003248E0" w:rsidRPr="00B92276" w:rsidRDefault="002D080F">
      <w:pPr>
        <w:pBdr>
          <w:top w:val="nil"/>
          <w:left w:val="nil"/>
          <w:bottom w:val="nil"/>
          <w:right w:val="nil"/>
          <w:between w:val="nil"/>
        </w:pBdr>
        <w:spacing w:after="0"/>
        <w:ind w:left="851" w:right="901"/>
        <w:jc w:val="both"/>
      </w:pPr>
      <w:r w:rsidRPr="00B92276">
        <w:rPr>
          <w:rFonts w:ascii="Palatino Linotype" w:eastAsia="Palatino Linotype" w:hAnsi="Palatino Linotype" w:cs="Palatino Linotype"/>
          <w:b/>
          <w:i/>
        </w:rPr>
        <w:t>“Artículo 6o.</w:t>
      </w:r>
    </w:p>
    <w:p w14:paraId="4A4A9A21" w14:textId="77777777" w:rsidR="003248E0" w:rsidRPr="00B92276" w:rsidRDefault="002D080F">
      <w:pPr>
        <w:pBdr>
          <w:top w:val="nil"/>
          <w:left w:val="nil"/>
          <w:bottom w:val="nil"/>
          <w:right w:val="nil"/>
          <w:between w:val="nil"/>
        </w:pBdr>
        <w:spacing w:after="0"/>
        <w:ind w:left="851" w:right="901"/>
        <w:jc w:val="both"/>
      </w:pPr>
      <w:r w:rsidRPr="00B92276">
        <w:rPr>
          <w:rFonts w:ascii="Palatino Linotype" w:eastAsia="Palatino Linotype" w:hAnsi="Palatino Linotype" w:cs="Palatino Linotype"/>
          <w:i/>
        </w:rPr>
        <w:t>[...]</w:t>
      </w:r>
    </w:p>
    <w:p w14:paraId="2B07BF67" w14:textId="77777777" w:rsidR="003248E0" w:rsidRPr="00B92276" w:rsidRDefault="002D080F">
      <w:pPr>
        <w:pBdr>
          <w:top w:val="nil"/>
          <w:left w:val="nil"/>
          <w:bottom w:val="nil"/>
          <w:right w:val="nil"/>
          <w:between w:val="nil"/>
        </w:pBdr>
        <w:spacing w:after="0"/>
        <w:ind w:left="851" w:right="851"/>
        <w:jc w:val="both"/>
      </w:pPr>
      <w:r w:rsidRPr="00B92276">
        <w:rPr>
          <w:rFonts w:ascii="Palatino Linotype" w:eastAsia="Palatino Linotype" w:hAnsi="Palatino Linotype" w:cs="Palatino Linotype"/>
          <w:b/>
          <w:i/>
        </w:rPr>
        <w:t xml:space="preserve">A. Para el ejercicio del derecho de acceso a la información, la Federación y </w:t>
      </w:r>
      <w:r w:rsidRPr="00B92276">
        <w:rPr>
          <w:rFonts w:ascii="Palatino Linotype" w:eastAsia="Palatino Linotype" w:hAnsi="Palatino Linotype" w:cs="Palatino Linotype"/>
          <w:b/>
          <w:i/>
          <w:u w:val="single"/>
        </w:rPr>
        <w:t>las entidades federativas</w:t>
      </w:r>
      <w:r w:rsidRPr="00B92276">
        <w:rPr>
          <w:rFonts w:ascii="Palatino Linotype" w:eastAsia="Palatino Linotype" w:hAnsi="Palatino Linotype" w:cs="Palatino Linotype"/>
          <w:b/>
          <w:i/>
        </w:rPr>
        <w:t>,</w:t>
      </w:r>
      <w:r w:rsidRPr="00B92276">
        <w:rPr>
          <w:rFonts w:ascii="Palatino Linotype" w:eastAsia="Palatino Linotype" w:hAnsi="Palatino Linotype" w:cs="Palatino Linotype"/>
          <w:i/>
        </w:rPr>
        <w:t xml:space="preserve"> en el ámbito de sus respectivas competencias, se regirán por los siguientes principios y bases:</w:t>
      </w:r>
    </w:p>
    <w:p w14:paraId="63469CF8" w14:textId="77777777" w:rsidR="003248E0" w:rsidRPr="00B92276" w:rsidRDefault="002D080F">
      <w:pPr>
        <w:pBdr>
          <w:top w:val="nil"/>
          <w:left w:val="nil"/>
          <w:bottom w:val="nil"/>
          <w:right w:val="nil"/>
          <w:between w:val="nil"/>
        </w:pBdr>
        <w:spacing w:after="0"/>
        <w:ind w:left="851" w:right="851"/>
        <w:jc w:val="both"/>
      </w:pPr>
      <w:r w:rsidRPr="00B92276">
        <w:rPr>
          <w:rFonts w:ascii="Palatino Linotype" w:eastAsia="Palatino Linotype" w:hAnsi="Palatino Linotype" w:cs="Palatino Linotype"/>
          <w:i/>
        </w:rPr>
        <w:t> </w:t>
      </w:r>
      <w:r w:rsidRPr="00B92276">
        <w:rPr>
          <w:rFonts w:ascii="Palatino Linotype" w:eastAsia="Palatino Linotype" w:hAnsi="Palatino Linotype" w:cs="Palatino Linotype"/>
          <w:b/>
          <w:i/>
        </w:rPr>
        <w:t xml:space="preserve">I. </w:t>
      </w:r>
      <w:r w:rsidRPr="00B92276">
        <w:rPr>
          <w:rFonts w:ascii="Palatino Linotype" w:eastAsia="Palatino Linotype" w:hAnsi="Palatino Linotype" w:cs="Palatino Linotype"/>
          <w:b/>
          <w:i/>
          <w:u w:val="single"/>
        </w:rPr>
        <w:t>Toda la información en posesión de cualquier autoridad, entidad, órgano y organismo de los Poderes</w:t>
      </w:r>
      <w:r w:rsidRPr="00B92276">
        <w:rPr>
          <w:rFonts w:ascii="Palatino Linotype" w:eastAsia="Palatino Linotype" w:hAnsi="Palatino Linotype" w:cs="Palatino Linotype"/>
          <w:i/>
        </w:rPr>
        <w:t xml:space="preserve"> Ejecutivo, Legislativo </w:t>
      </w:r>
      <w:r w:rsidRPr="00B92276">
        <w:rPr>
          <w:rFonts w:ascii="Palatino Linotype" w:eastAsia="Palatino Linotype" w:hAnsi="Palatino Linotype" w:cs="Palatino Linotype"/>
          <w:b/>
          <w:i/>
          <w:u w:val="single"/>
        </w:rPr>
        <w:t>y Judicial</w:t>
      </w:r>
      <w:r w:rsidRPr="00B92276">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92276">
        <w:rPr>
          <w:rFonts w:ascii="Palatino Linotype" w:eastAsia="Palatino Linotype" w:hAnsi="Palatino Linotype" w:cs="Palatino Linotype"/>
          <w:b/>
          <w:i/>
        </w:rPr>
        <w:t>es pública y sólo podrá ser reservada temporalmente por razones de interés público y seguridad nacional,</w:t>
      </w:r>
      <w:r w:rsidRPr="00B92276">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700CC08" w14:textId="77777777" w:rsidR="003248E0" w:rsidRPr="00B92276" w:rsidRDefault="002D080F">
      <w:pPr>
        <w:pBdr>
          <w:top w:val="nil"/>
          <w:left w:val="nil"/>
          <w:bottom w:val="nil"/>
          <w:right w:val="nil"/>
          <w:between w:val="nil"/>
        </w:pBdr>
        <w:spacing w:after="0"/>
        <w:ind w:left="851" w:right="851"/>
        <w:jc w:val="both"/>
      </w:pPr>
      <w:r w:rsidRPr="00B92276">
        <w:rPr>
          <w:rFonts w:ascii="Palatino Linotype" w:eastAsia="Palatino Linotype" w:hAnsi="Palatino Linotype" w:cs="Palatino Linotype"/>
          <w:i/>
        </w:rPr>
        <w:t> </w:t>
      </w:r>
      <w:r w:rsidRPr="00B92276">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4A024FF" w14:textId="77777777" w:rsidR="003248E0" w:rsidRPr="00B92276" w:rsidRDefault="002D080F">
      <w:pPr>
        <w:pBdr>
          <w:top w:val="nil"/>
          <w:left w:val="nil"/>
          <w:bottom w:val="nil"/>
          <w:right w:val="nil"/>
          <w:between w:val="nil"/>
        </w:pBdr>
        <w:spacing w:after="0"/>
        <w:ind w:left="851" w:right="851"/>
        <w:jc w:val="both"/>
      </w:pPr>
      <w:r w:rsidRPr="00B92276">
        <w:rPr>
          <w:rFonts w:ascii="Palatino Linotype" w:eastAsia="Palatino Linotype" w:hAnsi="Palatino Linotype" w:cs="Palatino Linotype"/>
          <w:i/>
        </w:rPr>
        <w:t> </w:t>
      </w:r>
      <w:r w:rsidRPr="00B92276">
        <w:rPr>
          <w:rFonts w:ascii="Palatino Linotype" w:eastAsia="Palatino Linotype" w:hAnsi="Palatino Linotype" w:cs="Palatino Linotype"/>
          <w:b/>
          <w:i/>
        </w:rPr>
        <w:t xml:space="preserve">III. </w:t>
      </w:r>
      <w:r w:rsidRPr="00B92276">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B92276">
        <w:rPr>
          <w:rFonts w:ascii="Palatino Linotype" w:eastAsia="Palatino Linotype" w:hAnsi="Palatino Linotype" w:cs="Palatino Linotype"/>
          <w:i/>
        </w:rPr>
        <w:t xml:space="preserve"> a sus datos personales o a la rectificación de éstos.</w:t>
      </w:r>
    </w:p>
    <w:p w14:paraId="6EB83F86" w14:textId="77777777" w:rsidR="003248E0" w:rsidRPr="00B92276" w:rsidRDefault="002D080F">
      <w:pPr>
        <w:pBdr>
          <w:top w:val="nil"/>
          <w:left w:val="nil"/>
          <w:bottom w:val="nil"/>
          <w:right w:val="nil"/>
          <w:between w:val="nil"/>
        </w:pBdr>
        <w:spacing w:after="0"/>
        <w:ind w:left="851" w:right="851"/>
        <w:jc w:val="both"/>
      </w:pPr>
      <w:r w:rsidRPr="00B92276">
        <w:rPr>
          <w:rFonts w:ascii="Palatino Linotype" w:eastAsia="Palatino Linotype" w:hAnsi="Palatino Linotype" w:cs="Palatino Linotype"/>
          <w:i/>
        </w:rPr>
        <w:t> </w:t>
      </w:r>
      <w:r w:rsidRPr="00B92276">
        <w:rPr>
          <w:rFonts w:ascii="Palatino Linotype" w:eastAsia="Palatino Linotype" w:hAnsi="Palatino Linotype" w:cs="Palatino Linotype"/>
          <w:b/>
          <w:i/>
        </w:rPr>
        <w:t xml:space="preserve">IV. </w:t>
      </w:r>
      <w:r w:rsidRPr="00B92276">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D69DF4F" w14:textId="77777777" w:rsidR="003248E0" w:rsidRPr="00B92276" w:rsidRDefault="002D080F">
      <w:pPr>
        <w:pBdr>
          <w:top w:val="nil"/>
          <w:left w:val="nil"/>
          <w:bottom w:val="nil"/>
          <w:right w:val="nil"/>
          <w:between w:val="nil"/>
        </w:pBdr>
        <w:spacing w:after="0"/>
        <w:ind w:left="851" w:right="851"/>
        <w:jc w:val="both"/>
      </w:pPr>
      <w:r w:rsidRPr="00B92276">
        <w:rPr>
          <w:rFonts w:ascii="Palatino Linotype" w:eastAsia="Palatino Linotype" w:hAnsi="Palatino Linotype" w:cs="Palatino Linotype"/>
          <w:b/>
          <w:i/>
        </w:rPr>
        <w:t xml:space="preserve">V. </w:t>
      </w:r>
      <w:r w:rsidRPr="00B92276">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w:t>
      </w:r>
      <w:r w:rsidRPr="00B92276">
        <w:rPr>
          <w:rFonts w:ascii="Palatino Linotype" w:eastAsia="Palatino Linotype" w:hAnsi="Palatino Linotype" w:cs="Palatino Linotype"/>
          <w:i/>
        </w:rPr>
        <w:lastRenderedPageBreak/>
        <w:t>disponibles, la información completa y actualizada sobre el ejercicio de los recursos públicos y los indicadores que permitan rendir cuenta del cumplimiento de sus objetivos y de los resultados obtenidos.</w:t>
      </w:r>
    </w:p>
    <w:p w14:paraId="51A89544" w14:textId="77777777" w:rsidR="003248E0" w:rsidRPr="00B92276" w:rsidRDefault="002D080F">
      <w:pPr>
        <w:pBdr>
          <w:top w:val="nil"/>
          <w:left w:val="nil"/>
          <w:bottom w:val="nil"/>
          <w:right w:val="nil"/>
          <w:between w:val="nil"/>
        </w:pBdr>
        <w:spacing w:after="0"/>
        <w:ind w:left="851" w:right="851"/>
        <w:jc w:val="both"/>
      </w:pPr>
      <w:r w:rsidRPr="00B92276">
        <w:rPr>
          <w:rFonts w:ascii="Palatino Linotype" w:eastAsia="Palatino Linotype" w:hAnsi="Palatino Linotype" w:cs="Palatino Linotype"/>
          <w:i/>
        </w:rPr>
        <w:t> </w:t>
      </w:r>
      <w:r w:rsidRPr="00B92276">
        <w:rPr>
          <w:rFonts w:ascii="Palatino Linotype" w:eastAsia="Palatino Linotype" w:hAnsi="Palatino Linotype" w:cs="Palatino Linotype"/>
          <w:b/>
          <w:i/>
        </w:rPr>
        <w:t xml:space="preserve">VI. </w:t>
      </w:r>
      <w:r w:rsidRPr="00B92276">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4B733B0D" w14:textId="77777777" w:rsidR="003248E0" w:rsidRPr="00B92276" w:rsidRDefault="002D080F">
      <w:pPr>
        <w:pBdr>
          <w:top w:val="nil"/>
          <w:left w:val="nil"/>
          <w:bottom w:val="nil"/>
          <w:right w:val="nil"/>
          <w:between w:val="nil"/>
        </w:pBdr>
        <w:spacing w:after="0"/>
        <w:ind w:left="851" w:right="851"/>
        <w:jc w:val="both"/>
      </w:pPr>
      <w:r w:rsidRPr="00B92276">
        <w:rPr>
          <w:rFonts w:ascii="Palatino Linotype" w:eastAsia="Palatino Linotype" w:hAnsi="Palatino Linotype" w:cs="Palatino Linotype"/>
          <w:i/>
        </w:rPr>
        <w:t> </w:t>
      </w:r>
      <w:r w:rsidRPr="00B92276">
        <w:rPr>
          <w:rFonts w:ascii="Palatino Linotype" w:eastAsia="Palatino Linotype" w:hAnsi="Palatino Linotype" w:cs="Palatino Linotype"/>
          <w:b/>
          <w:i/>
        </w:rPr>
        <w:t xml:space="preserve">VII. </w:t>
      </w:r>
      <w:r w:rsidRPr="00B92276">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EAD4A66" w14:textId="77777777" w:rsidR="003248E0" w:rsidRPr="00B92276" w:rsidRDefault="003248E0">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90BFB60" w14:textId="77777777" w:rsidR="003248E0" w:rsidRPr="00B92276" w:rsidRDefault="002D080F">
      <w:p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BB78749" w14:textId="77777777" w:rsidR="003248E0" w:rsidRPr="00B92276" w:rsidRDefault="003248E0">
      <w:pPr>
        <w:pBdr>
          <w:top w:val="nil"/>
          <w:left w:val="nil"/>
          <w:bottom w:val="nil"/>
          <w:right w:val="nil"/>
          <w:between w:val="nil"/>
        </w:pBdr>
        <w:spacing w:after="0" w:line="360" w:lineRule="auto"/>
        <w:jc w:val="both"/>
      </w:pPr>
    </w:p>
    <w:p w14:paraId="2ACDEDA3" w14:textId="77777777" w:rsidR="003248E0" w:rsidRPr="00B92276" w:rsidRDefault="002D080F">
      <w:pPr>
        <w:spacing w:after="0"/>
        <w:ind w:left="567" w:right="616"/>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r w:rsidRPr="00B92276">
        <w:rPr>
          <w:rFonts w:ascii="Palatino Linotype" w:eastAsia="Palatino Linotype" w:hAnsi="Palatino Linotype" w:cs="Palatino Linotype"/>
          <w:b/>
          <w:i/>
        </w:rPr>
        <w:t>Artículo 4</w:t>
      </w:r>
      <w:r w:rsidRPr="00B9227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225231" w14:textId="77777777" w:rsidR="003248E0" w:rsidRPr="00B92276" w:rsidRDefault="003248E0">
      <w:pPr>
        <w:spacing w:after="0"/>
        <w:ind w:left="567" w:right="616"/>
        <w:jc w:val="both"/>
        <w:rPr>
          <w:rFonts w:ascii="Palatino Linotype" w:eastAsia="Palatino Linotype" w:hAnsi="Palatino Linotype" w:cs="Palatino Linotype"/>
          <w:i/>
        </w:rPr>
      </w:pPr>
    </w:p>
    <w:p w14:paraId="74B802AE" w14:textId="77777777" w:rsidR="003248E0" w:rsidRPr="00B92276" w:rsidRDefault="002D080F">
      <w:pPr>
        <w:spacing w:after="0"/>
        <w:ind w:left="567" w:right="616"/>
        <w:jc w:val="both"/>
        <w:rPr>
          <w:rFonts w:ascii="Palatino Linotype" w:eastAsia="Palatino Linotype" w:hAnsi="Palatino Linotype" w:cs="Palatino Linotype"/>
          <w:i/>
        </w:rPr>
      </w:pPr>
      <w:r w:rsidRPr="00B92276">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92276">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w:t>
      </w:r>
      <w:r w:rsidRPr="00B92276">
        <w:rPr>
          <w:rFonts w:ascii="Palatino Linotype" w:eastAsia="Palatino Linotype" w:hAnsi="Palatino Linotype" w:cs="Palatino Linotype"/>
          <w:i/>
        </w:rPr>
        <w:lastRenderedPageBreak/>
        <w:t>como reservada temporalmente por razones de interés público, en los términos de las causas legítimas y estrictamente necesarias previstas por esta Ley.</w:t>
      </w:r>
    </w:p>
    <w:p w14:paraId="524BC818" w14:textId="77777777" w:rsidR="003248E0" w:rsidRPr="00B92276" w:rsidRDefault="003248E0">
      <w:pPr>
        <w:spacing w:after="0"/>
        <w:ind w:left="567" w:right="616"/>
        <w:jc w:val="both"/>
        <w:rPr>
          <w:rFonts w:ascii="Palatino Linotype" w:eastAsia="Palatino Linotype" w:hAnsi="Palatino Linotype" w:cs="Palatino Linotype"/>
          <w:i/>
        </w:rPr>
      </w:pPr>
    </w:p>
    <w:p w14:paraId="4048165D" w14:textId="77777777" w:rsidR="003248E0" w:rsidRPr="00B92276" w:rsidRDefault="002D080F">
      <w:pPr>
        <w:spacing w:after="0"/>
        <w:ind w:left="567" w:right="616"/>
        <w:jc w:val="both"/>
        <w:rPr>
          <w:rFonts w:ascii="Palatino Linotype" w:eastAsia="Palatino Linotype" w:hAnsi="Palatino Linotype" w:cs="Palatino Linotype"/>
          <w:i/>
        </w:rPr>
      </w:pPr>
      <w:r w:rsidRPr="00B92276">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B92276">
        <w:rPr>
          <w:rFonts w:ascii="Palatino Linotype" w:eastAsia="Palatino Linotype" w:hAnsi="Palatino Linotype" w:cs="Palatino Linotype"/>
          <w:i/>
        </w:rPr>
        <w:t>.”</w:t>
      </w:r>
    </w:p>
    <w:p w14:paraId="288EB8DD" w14:textId="77777777" w:rsidR="003248E0" w:rsidRPr="00B92276" w:rsidRDefault="003248E0">
      <w:pPr>
        <w:spacing w:after="0" w:line="360" w:lineRule="auto"/>
        <w:jc w:val="both"/>
        <w:rPr>
          <w:rFonts w:ascii="Palatino Linotype" w:eastAsia="Palatino Linotype" w:hAnsi="Palatino Linotype" w:cs="Palatino Linotype"/>
        </w:rPr>
      </w:pPr>
    </w:p>
    <w:p w14:paraId="0656D047"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B80ED0A" w14:textId="77777777" w:rsidR="003248E0" w:rsidRPr="00B92276" w:rsidRDefault="003248E0">
      <w:pPr>
        <w:spacing w:after="0" w:line="360" w:lineRule="auto"/>
        <w:jc w:val="both"/>
        <w:rPr>
          <w:rFonts w:ascii="Palatino Linotype" w:eastAsia="Palatino Linotype" w:hAnsi="Palatino Linotype" w:cs="Palatino Linotype"/>
        </w:rPr>
      </w:pPr>
    </w:p>
    <w:p w14:paraId="2C1269C8" w14:textId="77777777" w:rsidR="003248E0" w:rsidRPr="00B92276" w:rsidRDefault="002D080F">
      <w:pPr>
        <w:spacing w:after="0"/>
        <w:ind w:left="567" w:right="616"/>
        <w:jc w:val="both"/>
        <w:rPr>
          <w:rFonts w:ascii="Palatino Linotype" w:eastAsia="Palatino Linotype" w:hAnsi="Palatino Linotype" w:cs="Palatino Linotype"/>
          <w:i/>
        </w:rPr>
      </w:pPr>
      <w:r w:rsidRPr="00B92276">
        <w:rPr>
          <w:rFonts w:ascii="Palatino Linotype" w:eastAsia="Palatino Linotype" w:hAnsi="Palatino Linotype" w:cs="Palatino Linotype"/>
          <w:b/>
          <w:i/>
        </w:rPr>
        <w:t>“Artículo 12.-</w:t>
      </w:r>
      <w:r w:rsidRPr="00B9227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970ECA1" w14:textId="77777777" w:rsidR="003248E0" w:rsidRPr="00B92276" w:rsidRDefault="003248E0">
      <w:pPr>
        <w:spacing w:after="0"/>
        <w:ind w:left="567" w:right="616"/>
        <w:jc w:val="both"/>
        <w:rPr>
          <w:rFonts w:ascii="Palatino Linotype" w:eastAsia="Palatino Linotype" w:hAnsi="Palatino Linotype" w:cs="Palatino Linotype"/>
          <w:i/>
        </w:rPr>
      </w:pPr>
    </w:p>
    <w:p w14:paraId="5C32C78F" w14:textId="77777777" w:rsidR="003248E0" w:rsidRPr="00B92276" w:rsidRDefault="002D080F">
      <w:pPr>
        <w:spacing w:after="0"/>
        <w:ind w:left="567" w:right="616"/>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B92276">
        <w:rPr>
          <w:rFonts w:ascii="Palatino Linotype" w:eastAsia="Palatino Linotype" w:hAnsi="Palatino Linotype" w:cs="Palatino Linotype"/>
          <w:i/>
        </w:rPr>
        <w:t xml:space="preserve">. </w:t>
      </w:r>
      <w:r w:rsidRPr="00B92276">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231EA872" w14:textId="77777777" w:rsidR="003248E0" w:rsidRPr="00B92276" w:rsidRDefault="003248E0">
      <w:pPr>
        <w:spacing w:after="0" w:line="360" w:lineRule="auto"/>
        <w:ind w:left="567" w:right="616"/>
        <w:jc w:val="both"/>
        <w:rPr>
          <w:rFonts w:ascii="Palatino Linotype" w:eastAsia="Palatino Linotype" w:hAnsi="Palatino Linotype" w:cs="Palatino Linotype"/>
          <w:i/>
        </w:rPr>
      </w:pPr>
    </w:p>
    <w:p w14:paraId="6A30DBAD" w14:textId="77777777" w:rsidR="003248E0" w:rsidRPr="00B92276" w:rsidRDefault="002D080F">
      <w:pPr>
        <w:spacing w:after="0" w:line="360" w:lineRule="auto"/>
        <w:ind w:right="-93"/>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w:t>
      </w:r>
      <w:r w:rsidRPr="00B92276">
        <w:rPr>
          <w:rFonts w:ascii="Palatino Linotype" w:eastAsia="Palatino Linotype" w:hAnsi="Palatino Linotype" w:cs="Palatino Linotype"/>
        </w:rPr>
        <w:lastRenderedPageBreak/>
        <w:t>se concretaran a proporcionar la información solicitada que tengan en su poder en el estado que se encuentran, sin necesidad de concretarse al interés o términos específicos del solicitante.</w:t>
      </w:r>
    </w:p>
    <w:p w14:paraId="6F6879E0" w14:textId="77777777" w:rsidR="003248E0" w:rsidRPr="00B92276" w:rsidRDefault="003248E0">
      <w:pPr>
        <w:spacing w:after="0" w:line="360" w:lineRule="auto"/>
        <w:ind w:right="-93"/>
        <w:jc w:val="both"/>
        <w:rPr>
          <w:rFonts w:ascii="Palatino Linotype" w:eastAsia="Palatino Linotype" w:hAnsi="Palatino Linotype" w:cs="Palatino Linotype"/>
        </w:rPr>
      </w:pPr>
    </w:p>
    <w:p w14:paraId="16187426" w14:textId="77777777" w:rsidR="003248E0" w:rsidRPr="00B92276" w:rsidRDefault="002D080F">
      <w:pP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B92276">
        <w:rPr>
          <w:rFonts w:ascii="Palatino Linotype" w:eastAsia="Palatino Linotype" w:hAnsi="Palatino Linotype" w:cs="Palatino Linotype"/>
          <w:b/>
        </w:rPr>
        <w:t xml:space="preserve"> </w:t>
      </w:r>
    </w:p>
    <w:p w14:paraId="432C8D54" w14:textId="77777777" w:rsidR="003248E0" w:rsidRPr="00B92276" w:rsidRDefault="003248E0">
      <w:pPr>
        <w:spacing w:after="0" w:line="360" w:lineRule="auto"/>
        <w:jc w:val="both"/>
        <w:rPr>
          <w:rFonts w:ascii="Palatino Linotype" w:eastAsia="Palatino Linotype" w:hAnsi="Palatino Linotype" w:cs="Palatino Linotype"/>
          <w:b/>
        </w:rPr>
      </w:pPr>
    </w:p>
    <w:p w14:paraId="1F3699D9" w14:textId="77777777" w:rsidR="003248E0" w:rsidRPr="00B92276" w:rsidRDefault="002D080F">
      <w:pPr>
        <w:spacing w:after="0"/>
        <w:ind w:left="567" w:right="616"/>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r w:rsidRPr="00B92276">
        <w:rPr>
          <w:rFonts w:ascii="Palatino Linotype" w:eastAsia="Palatino Linotype" w:hAnsi="Palatino Linotype" w:cs="Palatino Linotype"/>
          <w:b/>
          <w:i/>
        </w:rPr>
        <w:t>No existe obligación de elaborar documentos ad hoc para atender las solicitudes de acceso a la información.</w:t>
      </w:r>
      <w:r w:rsidRPr="00B92276">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CB8D481" w14:textId="77777777" w:rsidR="003248E0" w:rsidRPr="00B92276" w:rsidRDefault="003248E0">
      <w:pPr>
        <w:spacing w:after="0" w:line="360" w:lineRule="auto"/>
        <w:ind w:right="-93"/>
        <w:jc w:val="both"/>
        <w:rPr>
          <w:rFonts w:ascii="Palatino Linotype" w:eastAsia="Palatino Linotype" w:hAnsi="Palatino Linotype" w:cs="Palatino Linotype"/>
        </w:rPr>
      </w:pPr>
    </w:p>
    <w:p w14:paraId="29BD14F5"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D9C867" w14:textId="77777777" w:rsidR="003248E0" w:rsidRPr="00B92276" w:rsidRDefault="003248E0">
      <w:pPr>
        <w:spacing w:after="0" w:line="360" w:lineRule="auto"/>
        <w:jc w:val="both"/>
        <w:rPr>
          <w:rFonts w:ascii="Palatino Linotype" w:eastAsia="Palatino Linotype" w:hAnsi="Palatino Linotype" w:cs="Palatino Linotype"/>
        </w:rPr>
      </w:pPr>
    </w:p>
    <w:p w14:paraId="1EEA099C"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w:t>
      </w:r>
      <w:r w:rsidRPr="00B92276">
        <w:rPr>
          <w:rFonts w:ascii="Palatino Linotype" w:eastAsia="Palatino Linotype" w:hAnsi="Palatino Linotype" w:cs="Palatino Linotype"/>
        </w:rPr>
        <w:lastRenderedPageBreak/>
        <w:t>Sujeto Obligado; como así se establece en la Ley de Transparencia y Acceso a la Información Pública del Estado de México y Municipios.</w:t>
      </w:r>
    </w:p>
    <w:p w14:paraId="137F789F" w14:textId="77777777" w:rsidR="003248E0" w:rsidRPr="00B92276" w:rsidRDefault="003248E0">
      <w:pPr>
        <w:spacing w:after="0" w:line="360" w:lineRule="auto"/>
        <w:ind w:right="49"/>
        <w:jc w:val="both"/>
        <w:rPr>
          <w:rFonts w:ascii="Palatino Linotype" w:eastAsia="Palatino Linotype" w:hAnsi="Palatino Linotype" w:cs="Palatino Linotype"/>
        </w:rPr>
      </w:pPr>
    </w:p>
    <w:p w14:paraId="1C43222A"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8253CA" w14:textId="77777777" w:rsidR="003248E0" w:rsidRPr="00B92276" w:rsidRDefault="003248E0">
      <w:pPr>
        <w:spacing w:after="0" w:line="360" w:lineRule="auto"/>
        <w:jc w:val="both"/>
        <w:rPr>
          <w:rFonts w:ascii="Palatino Linotype" w:eastAsia="Palatino Linotype" w:hAnsi="Palatino Linotype" w:cs="Palatino Linotype"/>
        </w:rPr>
      </w:pPr>
    </w:p>
    <w:p w14:paraId="60D53E81" w14:textId="77777777" w:rsidR="003248E0" w:rsidRPr="00B92276" w:rsidRDefault="002D080F">
      <w:pPr>
        <w:spacing w:after="0"/>
        <w:ind w:left="567" w:right="616"/>
        <w:jc w:val="both"/>
        <w:rPr>
          <w:rFonts w:ascii="Palatino Linotype" w:eastAsia="Palatino Linotype" w:hAnsi="Palatino Linotype" w:cs="Palatino Linotype"/>
          <w:b/>
          <w:i/>
        </w:rPr>
      </w:pPr>
      <w:r w:rsidRPr="00B92276">
        <w:rPr>
          <w:rFonts w:ascii="Palatino Linotype" w:eastAsia="Palatino Linotype" w:hAnsi="Palatino Linotype" w:cs="Palatino Linotype"/>
          <w:b/>
        </w:rPr>
        <w:t>“</w:t>
      </w:r>
      <w:r w:rsidRPr="00B92276">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B9227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CBB7B2" w14:textId="77777777" w:rsidR="003248E0" w:rsidRPr="00B92276" w:rsidRDefault="002D080F">
      <w:pPr>
        <w:spacing w:after="0"/>
        <w:ind w:left="567" w:right="616"/>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En </w:t>
      </w:r>
      <w:proofErr w:type="gramStart"/>
      <w:r w:rsidRPr="00B92276">
        <w:rPr>
          <w:rFonts w:ascii="Palatino Linotype" w:eastAsia="Palatino Linotype" w:hAnsi="Palatino Linotype" w:cs="Palatino Linotype"/>
          <w:i/>
        </w:rPr>
        <w:t>consecuencia</w:t>
      </w:r>
      <w:proofErr w:type="gramEnd"/>
      <w:r w:rsidRPr="00B92276">
        <w:rPr>
          <w:rFonts w:ascii="Palatino Linotype" w:eastAsia="Palatino Linotype" w:hAnsi="Palatino Linotype" w:cs="Palatino Linotype"/>
          <w:i/>
        </w:rPr>
        <w:t xml:space="preserve"> el acceso a la información se refiere a que se cumplan cualquiera de los siguientes tres supuestos:</w:t>
      </w:r>
    </w:p>
    <w:p w14:paraId="755329E3" w14:textId="77777777" w:rsidR="003248E0" w:rsidRPr="00B92276" w:rsidRDefault="002D080F">
      <w:pPr>
        <w:spacing w:after="0"/>
        <w:ind w:left="567" w:right="616"/>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1) Que se trate de información registrada en cualquier soporte documental, </w:t>
      </w:r>
      <w:proofErr w:type="gramStart"/>
      <w:r w:rsidRPr="00B92276">
        <w:rPr>
          <w:rFonts w:ascii="Palatino Linotype" w:eastAsia="Palatino Linotype" w:hAnsi="Palatino Linotype" w:cs="Palatino Linotype"/>
          <w:i/>
        </w:rPr>
        <w:t>que</w:t>
      </w:r>
      <w:proofErr w:type="gramEnd"/>
      <w:r w:rsidRPr="00B92276">
        <w:rPr>
          <w:rFonts w:ascii="Palatino Linotype" w:eastAsia="Palatino Linotype" w:hAnsi="Palatino Linotype" w:cs="Palatino Linotype"/>
          <w:i/>
        </w:rPr>
        <w:t xml:space="preserve"> en ejercicio de las atribuciones conferidas, sea generada por los Sujetos Obligados;</w:t>
      </w:r>
    </w:p>
    <w:p w14:paraId="127ADDD5" w14:textId="77777777" w:rsidR="003248E0" w:rsidRPr="00B92276" w:rsidRDefault="002D080F">
      <w:pPr>
        <w:spacing w:after="0"/>
        <w:ind w:left="567" w:right="616"/>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t xml:space="preserve">2) Que se trate de información registrada en cualquier soporte documental, </w:t>
      </w:r>
      <w:proofErr w:type="gramStart"/>
      <w:r w:rsidRPr="00B92276">
        <w:rPr>
          <w:rFonts w:ascii="Palatino Linotype" w:eastAsia="Palatino Linotype" w:hAnsi="Palatino Linotype" w:cs="Palatino Linotype"/>
          <w:b/>
          <w:i/>
        </w:rPr>
        <w:t>que</w:t>
      </w:r>
      <w:proofErr w:type="gramEnd"/>
      <w:r w:rsidRPr="00B92276">
        <w:rPr>
          <w:rFonts w:ascii="Palatino Linotype" w:eastAsia="Palatino Linotype" w:hAnsi="Palatino Linotype" w:cs="Palatino Linotype"/>
          <w:b/>
          <w:i/>
        </w:rPr>
        <w:t xml:space="preserve"> en ejercicio de las atribuciones conferidas, sea administrada por los Sujetos Obligados, y</w:t>
      </w:r>
    </w:p>
    <w:p w14:paraId="0E9CEB4E" w14:textId="77777777" w:rsidR="003248E0" w:rsidRPr="00B92276" w:rsidRDefault="002D080F">
      <w:pPr>
        <w:spacing w:after="0"/>
        <w:ind w:left="567" w:right="616"/>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t xml:space="preserve">3) Que se trate de información registrada en cualquier soporte documental, </w:t>
      </w:r>
      <w:proofErr w:type="gramStart"/>
      <w:r w:rsidRPr="00B92276">
        <w:rPr>
          <w:rFonts w:ascii="Palatino Linotype" w:eastAsia="Palatino Linotype" w:hAnsi="Palatino Linotype" w:cs="Palatino Linotype"/>
          <w:b/>
          <w:i/>
        </w:rPr>
        <w:t>que</w:t>
      </w:r>
      <w:proofErr w:type="gramEnd"/>
      <w:r w:rsidRPr="00B92276">
        <w:rPr>
          <w:rFonts w:ascii="Palatino Linotype" w:eastAsia="Palatino Linotype" w:hAnsi="Palatino Linotype" w:cs="Palatino Linotype"/>
          <w:b/>
          <w:i/>
        </w:rPr>
        <w:t xml:space="preserve"> en ejercicio de las atribuciones conferidas, se encuentre en posesión de los Sujetos Obligados.” </w:t>
      </w:r>
    </w:p>
    <w:p w14:paraId="34FBC848" w14:textId="77777777" w:rsidR="003248E0" w:rsidRPr="00B92276" w:rsidRDefault="003248E0">
      <w:pPr>
        <w:spacing w:after="0" w:line="360" w:lineRule="auto"/>
        <w:jc w:val="both"/>
        <w:rPr>
          <w:rFonts w:ascii="Palatino Linotype" w:eastAsia="Palatino Linotype" w:hAnsi="Palatino Linotype" w:cs="Palatino Linotype"/>
        </w:rPr>
      </w:pPr>
    </w:p>
    <w:p w14:paraId="3A3F4DCB"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lastRenderedPageBreak/>
        <w:t xml:space="preserve">De ahí que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92276">
        <w:rPr>
          <w:rFonts w:ascii="Palatino Linotype" w:eastAsia="Palatino Linotype" w:hAnsi="Palatino Linotype" w:cs="Palatino Linotype"/>
          <w:vertAlign w:val="superscript"/>
        </w:rPr>
        <w:footnoteReference w:id="1"/>
      </w:r>
      <w:r w:rsidRPr="00B92276">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92276">
        <w:rPr>
          <w:rFonts w:ascii="Palatino Linotype" w:eastAsia="Palatino Linotype" w:hAnsi="Palatino Linotype" w:cs="Palatino Linotype"/>
          <w:vertAlign w:val="superscript"/>
        </w:rPr>
        <w:footnoteReference w:id="2"/>
      </w:r>
      <w:r w:rsidRPr="00B92276">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29984435" w14:textId="77777777" w:rsidR="003248E0" w:rsidRPr="00B92276" w:rsidRDefault="003248E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17D6877" w14:textId="77777777" w:rsidR="003248E0" w:rsidRPr="00B92276" w:rsidRDefault="002D080F">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B92276">
        <w:rPr>
          <w:rFonts w:ascii="Palatino Linotype" w:eastAsia="Palatino Linotype" w:hAnsi="Palatino Linotype" w:cs="Palatino Linotype"/>
        </w:rPr>
        <w:t xml:space="preserve">Conviene iniciar el presente estudio señalando </w:t>
      </w:r>
      <w:proofErr w:type="gramStart"/>
      <w:r w:rsidRPr="00B92276">
        <w:rPr>
          <w:rFonts w:ascii="Palatino Linotype" w:eastAsia="Palatino Linotype" w:hAnsi="Palatino Linotype" w:cs="Palatino Linotype"/>
        </w:rPr>
        <w:t>que</w:t>
      </w:r>
      <w:proofErr w:type="gramEnd"/>
      <w:r w:rsidRPr="00B92276">
        <w:rPr>
          <w:rFonts w:ascii="Palatino Linotype" w:eastAsia="Palatino Linotype" w:hAnsi="Palatino Linotype" w:cs="Palatino Linotype"/>
        </w:rPr>
        <w:t xml:space="preserve"> del análisis a las solicitudes de información, se advierte que la persona solicitante requirió del </w:t>
      </w:r>
      <w:r w:rsidRPr="00B92276">
        <w:rPr>
          <w:rFonts w:ascii="Palatino Linotype" w:eastAsia="Palatino Linotype" w:hAnsi="Palatino Linotype" w:cs="Palatino Linotype"/>
          <w:b/>
        </w:rPr>
        <w:t>Sujeto Obligado, en versión pública lo siguiente:</w:t>
      </w:r>
    </w:p>
    <w:p w14:paraId="531D7472" w14:textId="77777777" w:rsidR="003248E0" w:rsidRPr="00B92276" w:rsidRDefault="003248E0">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14:paraId="2C0923BD" w14:textId="77777777" w:rsidR="003248E0" w:rsidRPr="00B92276" w:rsidRDefault="002D080F">
      <w:pPr>
        <w:numPr>
          <w:ilvl w:val="0"/>
          <w:numId w:val="7"/>
        </w:numPr>
        <w:pBdr>
          <w:top w:val="nil"/>
          <w:left w:val="nil"/>
          <w:bottom w:val="nil"/>
          <w:right w:val="nil"/>
          <w:between w:val="nil"/>
        </w:pBdr>
        <w:spacing w:after="0" w:line="360" w:lineRule="auto"/>
        <w:ind w:right="-150"/>
        <w:jc w:val="both"/>
        <w:rPr>
          <w:rFonts w:ascii="Palatino Linotype" w:eastAsia="Palatino Linotype" w:hAnsi="Palatino Linotype" w:cs="Palatino Linotype"/>
          <w:i/>
          <w:sz w:val="14"/>
          <w:szCs w:val="14"/>
        </w:rPr>
      </w:pPr>
      <w:r w:rsidRPr="00B92276">
        <w:rPr>
          <w:rFonts w:ascii="Palatino Linotype" w:eastAsia="Palatino Linotype" w:hAnsi="Palatino Linotype" w:cs="Palatino Linotype"/>
          <w:b/>
        </w:rPr>
        <w:t xml:space="preserve">Las fichas de reparaciones realizadas a todos los vehículos utilitarios, arrendados y prestados a la Unidad de Asuntos Internos, como patrullas, de tipo sedán, camionetas y motocicletas, asignados al Titular del ente público, </w:t>
      </w:r>
      <w:proofErr w:type="gramStart"/>
      <w:r w:rsidRPr="00B92276">
        <w:rPr>
          <w:rFonts w:ascii="Palatino Linotype" w:eastAsia="Palatino Linotype" w:hAnsi="Palatino Linotype" w:cs="Palatino Linotype"/>
          <w:b/>
        </w:rPr>
        <w:t>Directores</w:t>
      </w:r>
      <w:proofErr w:type="gramEnd"/>
      <w:r w:rsidRPr="00B92276">
        <w:rPr>
          <w:rFonts w:ascii="Palatino Linotype" w:eastAsia="Palatino Linotype" w:hAnsi="Palatino Linotype" w:cs="Palatino Linotype"/>
          <w:b/>
        </w:rPr>
        <w:t>, Jefes de Departamento y personal comisionado.</w:t>
      </w:r>
    </w:p>
    <w:p w14:paraId="75ACD9D5" w14:textId="77777777" w:rsidR="003248E0" w:rsidRPr="00B92276" w:rsidRDefault="003248E0">
      <w:pPr>
        <w:pBdr>
          <w:top w:val="nil"/>
          <w:left w:val="nil"/>
          <w:bottom w:val="nil"/>
          <w:right w:val="nil"/>
          <w:between w:val="nil"/>
        </w:pBdr>
        <w:spacing w:after="0" w:line="360" w:lineRule="auto"/>
        <w:ind w:left="360" w:right="-150"/>
        <w:jc w:val="both"/>
        <w:rPr>
          <w:rFonts w:ascii="Palatino Linotype" w:eastAsia="Palatino Linotype" w:hAnsi="Palatino Linotype" w:cs="Palatino Linotype"/>
          <w:i/>
          <w:sz w:val="14"/>
          <w:szCs w:val="14"/>
        </w:rPr>
      </w:pPr>
    </w:p>
    <w:p w14:paraId="032DA7DC"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En respuesta el </w:t>
      </w:r>
      <w:r w:rsidRPr="00B92276">
        <w:rPr>
          <w:rFonts w:ascii="Palatino Linotype" w:eastAsia="Palatino Linotype" w:hAnsi="Palatino Linotype" w:cs="Palatino Linotype"/>
          <w:b/>
        </w:rPr>
        <w:t xml:space="preserve">Sujeto Obligado </w:t>
      </w:r>
      <w:r w:rsidRPr="00B92276">
        <w:rPr>
          <w:rFonts w:ascii="Palatino Linotype" w:eastAsia="Palatino Linotype" w:hAnsi="Palatino Linotype" w:cs="Palatino Linotype"/>
        </w:rPr>
        <w:t xml:space="preserve">por conducto de la Unidad de Apoyo Administrativo, indicó que después de ser analizadas las solicitudes de información, requirió someter a consideración del Comité de Transparencia la reserva de la información, ya que </w:t>
      </w:r>
      <w:r w:rsidRPr="00B92276">
        <w:rPr>
          <w:rFonts w:ascii="Palatino Linotype" w:eastAsia="Palatino Linotype" w:hAnsi="Palatino Linotype" w:cs="Palatino Linotype"/>
          <w:b/>
          <w:u w:val="single"/>
        </w:rPr>
        <w:t>si bien se localizaron las fichas de reparación de todos los vehículos de la Unidad de Asuntos Jurídicos</w:t>
      </w:r>
      <w:r w:rsidRPr="00B92276">
        <w:rPr>
          <w:rFonts w:ascii="Palatino Linotype" w:eastAsia="Palatino Linotype" w:hAnsi="Palatino Linotype" w:cs="Palatino Linotype"/>
        </w:rPr>
        <w:t xml:space="preserve"> del periodo solicitado, de hacerse pública esa información pudiera ocasionar un perjuicio real y directo a los derechos del debido proceso llevado a cabo en las investigaciones relacionadas con procedimientos administrativos que no hayan quedado firmes, que actualizan el supuesto previsto en la fracción X del artículo 140 de la Ley de Transparencia y Acceso a la Información Pública del Estado de México y Municipios.</w:t>
      </w:r>
    </w:p>
    <w:p w14:paraId="098D508F" w14:textId="77777777" w:rsidR="003248E0" w:rsidRPr="00B92276" w:rsidRDefault="003248E0">
      <w:pPr>
        <w:spacing w:after="0" w:line="360" w:lineRule="auto"/>
        <w:jc w:val="both"/>
        <w:rPr>
          <w:rFonts w:ascii="Palatino Linotype" w:eastAsia="Palatino Linotype" w:hAnsi="Palatino Linotype" w:cs="Palatino Linotype"/>
        </w:rPr>
      </w:pPr>
    </w:p>
    <w:p w14:paraId="0D5822D2"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A lo anterior, se entregó el Acta número UAI-CT-ORD- 04-2024, de la Cuarta Sesión Ordinaria 2024 del Comité de Transparencia, de fecha 03 de octubre de 2024, mediante la cual se aprueba la clasificación de la información como reservada, ya que lo requerido versa en información relacionada con la reparación de los vehículos que la Unidad de Asuntos Internos utiliza para llevar a cabo las investigaciones relacionadas a las quejas y denuncias presentadas por presuntas faltas administrativas, así como la ejecución de supervisores para vigilar el cumplimiento al régimen disciplinario de los integrantes de la Secretaría de Seguridad, cuya divulgación puede afectar la operación del ente obligado, y actualiza la causal de reserva prevista en la fracción X del artículo 140 de la Ley de Transparencia Local, en relación con la fracción X del artículo 113 de la Ley General de Transparencia.</w:t>
      </w:r>
    </w:p>
    <w:p w14:paraId="093C847C" w14:textId="77777777" w:rsidR="003248E0" w:rsidRPr="00B92276" w:rsidRDefault="003248E0">
      <w:pPr>
        <w:spacing w:after="0" w:line="360" w:lineRule="auto"/>
        <w:jc w:val="both"/>
        <w:rPr>
          <w:rFonts w:ascii="Palatino Linotype" w:eastAsia="Palatino Linotype" w:hAnsi="Palatino Linotype" w:cs="Palatino Linotype"/>
        </w:rPr>
      </w:pPr>
    </w:p>
    <w:p w14:paraId="05E1CE60" w14:textId="6E3F1788"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Asimismo, se adjuntó un documento con la prueba de daño, en la que se indica que las 57 fichas de reparación efectuadas de todos los vehículos asignados a la Unidad de Asuntos Internos, incluyendo los arrendados y prestados, de hacerse públicas se podría ocasionar un perjuicio real y directo a los derechos del debido proceso llevado a cabo en las investigaciones </w:t>
      </w:r>
      <w:r w:rsidRPr="00B92276">
        <w:rPr>
          <w:rFonts w:ascii="Palatino Linotype" w:eastAsia="Palatino Linotype" w:hAnsi="Palatino Linotype" w:cs="Palatino Linotype"/>
        </w:rPr>
        <w:lastRenderedPageBreak/>
        <w:t>relacionadas con procedimientos administrativos que no han quedado firmes y que fueron sustanciados por ese sujeto obligado, lo cual actualiza la causal de reserva prevista en la fracción X del artículo 140 de la Ley de Transparencia Local.</w:t>
      </w:r>
    </w:p>
    <w:p w14:paraId="42B6E828"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Conocidas las </w:t>
      </w:r>
      <w:proofErr w:type="gramStart"/>
      <w:r w:rsidRPr="00B92276">
        <w:rPr>
          <w:rFonts w:ascii="Palatino Linotype" w:eastAsia="Palatino Linotype" w:hAnsi="Palatino Linotype" w:cs="Palatino Linotype"/>
        </w:rPr>
        <w:t>respuesta proporcionadas</w:t>
      </w:r>
      <w:proofErr w:type="gramEnd"/>
      <w:r w:rsidRPr="00B92276">
        <w:rPr>
          <w:rFonts w:ascii="Palatino Linotype" w:eastAsia="Palatino Linotype" w:hAnsi="Palatino Linotype" w:cs="Palatino Linotype"/>
        </w:rPr>
        <w:t>, el particular al no estar conforme con las mismas, promovió los recursos de revisión en los que se advierte que en todos los casos se adolece de la clasificación de la información.</w:t>
      </w:r>
    </w:p>
    <w:p w14:paraId="7DF5119B" w14:textId="77777777" w:rsidR="003248E0" w:rsidRPr="00B92276" w:rsidRDefault="003248E0">
      <w:pPr>
        <w:spacing w:after="0" w:line="360" w:lineRule="auto"/>
        <w:jc w:val="both"/>
        <w:rPr>
          <w:rFonts w:ascii="Palatino Linotype" w:eastAsia="Palatino Linotype" w:hAnsi="Palatino Linotype" w:cs="Palatino Linotype"/>
        </w:rPr>
      </w:pPr>
    </w:p>
    <w:p w14:paraId="3DB167A9"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Así las cosas, de las constancias que obran en el SAIMEX con motivo de los medios de impugnación de nuestra atención, se advierte que el </w:t>
      </w:r>
      <w:r w:rsidRPr="00B92276">
        <w:rPr>
          <w:rFonts w:ascii="Palatino Linotype" w:eastAsia="Palatino Linotype" w:hAnsi="Palatino Linotype" w:cs="Palatino Linotype"/>
          <w:b/>
        </w:rPr>
        <w:t xml:space="preserve">Sujeto Obligado </w:t>
      </w:r>
      <w:r w:rsidRPr="00B92276">
        <w:rPr>
          <w:rFonts w:ascii="Palatino Linotype" w:eastAsia="Palatino Linotype" w:hAnsi="Palatino Linotype" w:cs="Palatino Linotype"/>
        </w:rPr>
        <w:t xml:space="preserve">fue omiso en rendir su informe justificado y la </w:t>
      </w:r>
      <w:r w:rsidRPr="00B92276">
        <w:rPr>
          <w:rFonts w:ascii="Palatino Linotype" w:eastAsia="Palatino Linotype" w:hAnsi="Palatino Linotype" w:cs="Palatino Linotype"/>
          <w:b/>
        </w:rPr>
        <w:t xml:space="preserve">parte Recurrente </w:t>
      </w:r>
      <w:r w:rsidRPr="00B92276">
        <w:rPr>
          <w:rFonts w:ascii="Palatino Linotype" w:eastAsia="Palatino Linotype" w:hAnsi="Palatino Linotype" w:cs="Palatino Linotype"/>
        </w:rPr>
        <w:t>en hacer valer manifestaciones o alegatos que conforme a derecho resultaran procedentes.</w:t>
      </w:r>
    </w:p>
    <w:p w14:paraId="59E29E14" w14:textId="77777777" w:rsidR="003248E0" w:rsidRPr="00B92276" w:rsidRDefault="003248E0">
      <w:pPr>
        <w:spacing w:after="0" w:line="360" w:lineRule="auto"/>
        <w:jc w:val="both"/>
        <w:rPr>
          <w:rFonts w:ascii="Palatino Linotype" w:eastAsia="Palatino Linotype" w:hAnsi="Palatino Linotype" w:cs="Palatino Linotype"/>
        </w:rPr>
      </w:pPr>
    </w:p>
    <w:p w14:paraId="65D73D61"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Expuestas las posturas de las partes, es de indicar que en todos los medios de impugnación se precisó temporalidad, misma que versa respecto los </w:t>
      </w:r>
      <w:r w:rsidRPr="00B92276">
        <w:rPr>
          <w:rFonts w:ascii="Palatino Linotype" w:eastAsia="Palatino Linotype" w:hAnsi="Palatino Linotype" w:cs="Palatino Linotype"/>
          <w:b/>
          <w:u w:val="single"/>
        </w:rPr>
        <w:t>meses de enero a septiembre del ejercicio 2024;</w:t>
      </w:r>
      <w:r w:rsidRPr="00B92276">
        <w:rPr>
          <w:rFonts w:ascii="Palatino Linotype" w:eastAsia="Palatino Linotype" w:hAnsi="Palatino Linotype" w:cs="Palatino Linotype"/>
        </w:rPr>
        <w:t xml:space="preserve"> a excepción del recurso de revisión </w:t>
      </w:r>
      <w:r w:rsidRPr="00B92276">
        <w:rPr>
          <w:rFonts w:ascii="Palatino Linotype" w:eastAsia="Palatino Linotype" w:hAnsi="Palatino Linotype" w:cs="Palatino Linotype"/>
          <w:b/>
        </w:rPr>
        <w:t>06364/INFOEM/IP/RR/2024</w:t>
      </w:r>
      <w:r w:rsidRPr="00B92276">
        <w:rPr>
          <w:rFonts w:ascii="Palatino Linotype" w:eastAsia="Palatino Linotype" w:hAnsi="Palatino Linotype" w:cs="Palatino Linotype"/>
        </w:rPr>
        <w:t>, en el que el particular no señaló periodo respecto del cual solicitaba la misma, como se muestra:</w:t>
      </w:r>
    </w:p>
    <w:p w14:paraId="0D5AA375" w14:textId="77777777" w:rsidR="003248E0" w:rsidRPr="00B92276" w:rsidRDefault="003248E0">
      <w:pPr>
        <w:spacing w:after="0" w:line="360" w:lineRule="auto"/>
        <w:ind w:right="49"/>
        <w:jc w:val="both"/>
        <w:rPr>
          <w:rFonts w:ascii="Palatino Linotype" w:eastAsia="Palatino Linotype" w:hAnsi="Palatino Linotype" w:cs="Palatino Linotype"/>
        </w:rPr>
      </w:pPr>
    </w:p>
    <w:p w14:paraId="693D8496" w14:textId="77777777" w:rsidR="003248E0" w:rsidRPr="00B92276" w:rsidRDefault="002D080F">
      <w:pPr>
        <w:spacing w:after="0"/>
        <w:ind w:left="567" w:right="560"/>
        <w:jc w:val="both"/>
        <w:rPr>
          <w:rFonts w:ascii="Palatino Linotype" w:eastAsia="Palatino Linotype" w:hAnsi="Palatino Linotype" w:cs="Palatino Linotype"/>
        </w:rPr>
      </w:pPr>
      <w:r w:rsidRPr="00B92276">
        <w:rPr>
          <w:rFonts w:ascii="Palatino Linotype" w:eastAsia="Palatino Linotype" w:hAnsi="Palatino Linotype" w:cs="Palatino Linotype"/>
        </w:rPr>
        <w:t>“</w:t>
      </w:r>
      <w:r w:rsidRPr="00B92276">
        <w:rPr>
          <w:rFonts w:ascii="Palatino Linotype" w:eastAsia="Palatino Linotype" w:hAnsi="Palatino Linotype" w:cs="Palatino Linotype"/>
          <w:i/>
        </w:rPr>
        <w:t>PUBLICA DE LAS FICHAS DE REPARACIONES EFECTUADASVERSIÓN A TODOS LOS VEHÍCULOS TANTO UTILITARIOS COMO LAS TIPO PATRULLAS DESTINADOS, ARRENDADOS, PRESTADOS A LA UNIDAD DE ASUNTOS INTERNOS; TANTO VEHÍCULOS TIPO SEDÁN COMO CAMIONETAS Y MOTOCICLETAS DESTINADOS PARA TITULAR, DIRECTORES, JEFES DE DEPARTAMENTO Y PERSONAL COMISIONADO</w:t>
      </w:r>
      <w:r w:rsidRPr="00B92276">
        <w:rPr>
          <w:rFonts w:ascii="Palatino Linotype" w:eastAsia="Palatino Linotype" w:hAnsi="Palatino Linotype" w:cs="Palatino Linotype"/>
        </w:rPr>
        <w:t>” (Sic)</w:t>
      </w:r>
    </w:p>
    <w:p w14:paraId="78145A76" w14:textId="77777777" w:rsidR="003248E0" w:rsidRPr="00B92276" w:rsidRDefault="003248E0">
      <w:pPr>
        <w:spacing w:after="0" w:line="360" w:lineRule="auto"/>
        <w:ind w:right="49"/>
        <w:jc w:val="both"/>
        <w:rPr>
          <w:rFonts w:ascii="Palatino Linotype" w:eastAsia="Palatino Linotype" w:hAnsi="Palatino Linotype" w:cs="Palatino Linotype"/>
        </w:rPr>
      </w:pPr>
    </w:p>
    <w:p w14:paraId="3FDF5741" w14:textId="77777777" w:rsidR="003248E0" w:rsidRPr="00B92276" w:rsidRDefault="002D080F">
      <w:pPr>
        <w:spacing w:after="0" w:line="360" w:lineRule="auto"/>
        <w:ind w:right="49"/>
        <w:jc w:val="both"/>
        <w:rPr>
          <w:rFonts w:ascii="Times New Roman" w:hAnsi="Times New Roman"/>
        </w:rPr>
      </w:pPr>
      <w:r w:rsidRPr="00B92276">
        <w:rPr>
          <w:rFonts w:ascii="Palatino Linotype" w:eastAsia="Palatino Linotype" w:hAnsi="Palatino Linotype" w:cs="Palatino Linotype"/>
        </w:rPr>
        <w:t>Ante tal circunstancia, resulta aplicable el criterio de interpretación 03/19 emitido por el Instituto Nacional de Transparencia Acceso a la Información y Protección de Datos Personales, INAI, en el cual es del tenor literal siguiente:</w:t>
      </w:r>
    </w:p>
    <w:p w14:paraId="76233226" w14:textId="77777777" w:rsidR="003248E0" w:rsidRPr="00B92276" w:rsidRDefault="002D080F">
      <w:pPr>
        <w:spacing w:before="240" w:after="240"/>
        <w:ind w:left="851" w:right="900"/>
        <w:jc w:val="both"/>
        <w:rPr>
          <w:rFonts w:ascii="Times New Roman" w:hAnsi="Times New Roman"/>
          <w:sz w:val="24"/>
          <w:szCs w:val="24"/>
        </w:rPr>
      </w:pPr>
      <w:r w:rsidRPr="00B92276">
        <w:rPr>
          <w:rFonts w:ascii="Palatino Linotype" w:eastAsia="Palatino Linotype" w:hAnsi="Palatino Linotype" w:cs="Palatino Linotype"/>
          <w:i/>
        </w:rPr>
        <w:lastRenderedPageBreak/>
        <w:t>“</w:t>
      </w:r>
      <w:r w:rsidRPr="00B92276">
        <w:rPr>
          <w:rFonts w:ascii="Palatino Linotype" w:eastAsia="Palatino Linotype" w:hAnsi="Palatino Linotype" w:cs="Palatino Linotype"/>
          <w:b/>
          <w:i/>
        </w:rPr>
        <w:t>Periodo de búsqueda de la información</w:t>
      </w:r>
      <w:r w:rsidRPr="00B92276">
        <w:rPr>
          <w:rFonts w:ascii="Palatino Linotype" w:eastAsia="Palatino Linotype" w:hAnsi="Palatino Linotype" w:cs="Palatino Linotype"/>
          <w:i/>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3F47DE55"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De manera que, ante la omisión por parte de la solicitante, la información que, en su caso, sería susceptible de entrega, correspondería a la que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hubiera generado, administrado o poseído en el año inmediato anterior contado a partir de la fecha de presentación de la solicitud, es decir, del </w:t>
      </w:r>
      <w:r w:rsidRPr="00B92276">
        <w:rPr>
          <w:rFonts w:ascii="Palatino Linotype" w:eastAsia="Palatino Linotype" w:hAnsi="Palatino Linotype" w:cs="Palatino Linotype"/>
          <w:b/>
        </w:rPr>
        <w:t>dieciocho de septiembre de dos mil veintitrés al dieciocho de septiembre de dos mil veinticuatro</w:t>
      </w:r>
      <w:r w:rsidRPr="00B92276">
        <w:rPr>
          <w:rFonts w:ascii="Palatino Linotype" w:eastAsia="Palatino Linotype" w:hAnsi="Palatino Linotype" w:cs="Palatino Linotype"/>
        </w:rPr>
        <w:t xml:space="preserve">. </w:t>
      </w:r>
    </w:p>
    <w:p w14:paraId="43292664" w14:textId="77777777" w:rsidR="003248E0" w:rsidRPr="00B92276" w:rsidRDefault="003248E0">
      <w:pPr>
        <w:spacing w:after="0" w:line="360" w:lineRule="auto"/>
        <w:jc w:val="both"/>
        <w:rPr>
          <w:rFonts w:ascii="Palatino Linotype" w:eastAsia="Palatino Linotype" w:hAnsi="Palatino Linotype" w:cs="Palatino Linotype"/>
        </w:rPr>
      </w:pPr>
    </w:p>
    <w:p w14:paraId="1CB2970F"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Periodo el anterior, dentro del cual se contemplaría la indicada en los demás recursos de revisión –enero-septiembre de 2024-.</w:t>
      </w:r>
    </w:p>
    <w:p w14:paraId="0A59CDEE" w14:textId="77777777" w:rsidR="003248E0" w:rsidRPr="00B92276" w:rsidRDefault="003248E0">
      <w:pPr>
        <w:spacing w:after="0" w:line="360" w:lineRule="auto"/>
        <w:jc w:val="both"/>
        <w:rPr>
          <w:rFonts w:ascii="Palatino Linotype" w:eastAsia="Palatino Linotype" w:hAnsi="Palatino Linotype" w:cs="Palatino Linotype"/>
        </w:rPr>
      </w:pPr>
    </w:p>
    <w:p w14:paraId="323DCEC5"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Por tanto, para efectos del presente asunto, la información requerida versará en la generada, poseída y/o administrada por el </w:t>
      </w:r>
      <w:r w:rsidRPr="00B92276">
        <w:rPr>
          <w:rFonts w:ascii="Palatino Linotype" w:eastAsia="Palatino Linotype" w:hAnsi="Palatino Linotype" w:cs="Palatino Linotype"/>
          <w:b/>
        </w:rPr>
        <w:t xml:space="preserve">Sujeto Obligado </w:t>
      </w:r>
      <w:r w:rsidRPr="00B92276">
        <w:rPr>
          <w:rFonts w:ascii="Palatino Linotype" w:eastAsia="Palatino Linotype" w:hAnsi="Palatino Linotype" w:cs="Palatino Linotype"/>
        </w:rPr>
        <w:t xml:space="preserve">del </w:t>
      </w:r>
      <w:r w:rsidRPr="00B92276">
        <w:rPr>
          <w:rFonts w:ascii="Palatino Linotype" w:eastAsia="Palatino Linotype" w:hAnsi="Palatino Linotype" w:cs="Palatino Linotype"/>
          <w:b/>
        </w:rPr>
        <w:t>dieciocho de septiembre de dos mil veintitrés al dieciocho de septiembre de dos mil veinticuatro.</w:t>
      </w:r>
    </w:p>
    <w:p w14:paraId="083234F6" w14:textId="77777777" w:rsidR="003248E0" w:rsidRPr="00B92276" w:rsidRDefault="003248E0">
      <w:pPr>
        <w:spacing w:after="0" w:line="360" w:lineRule="auto"/>
        <w:ind w:right="49"/>
        <w:jc w:val="both"/>
        <w:rPr>
          <w:rFonts w:ascii="Palatino Linotype" w:eastAsia="Palatino Linotype" w:hAnsi="Palatino Linotype" w:cs="Palatino Linotype"/>
        </w:rPr>
      </w:pPr>
    </w:p>
    <w:p w14:paraId="0926693C"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Acotado lo anterior, con relación a lo requerido es de recordar que quien se pronunció fue la Unidad de Apoyo Administrativo, misma que conforme el artículo 14, fracción XI del Reglamento Interior de la Unidad de Asuntos Internos, tiene como atribución, verificar que se apliquen las políticas y procedimientos para la administración y prestación de servicios de mantenimiento, suministro de combustible y reparaciones al parque vehicular de la Unidad, como se muestra:</w:t>
      </w:r>
    </w:p>
    <w:p w14:paraId="219FC830" w14:textId="77777777" w:rsidR="003248E0" w:rsidRPr="00B92276" w:rsidRDefault="003248E0">
      <w:pPr>
        <w:spacing w:after="0"/>
        <w:ind w:right="560"/>
        <w:jc w:val="both"/>
        <w:rPr>
          <w:rFonts w:ascii="Palatino Linotype" w:eastAsia="Palatino Linotype" w:hAnsi="Palatino Linotype" w:cs="Palatino Linotype"/>
        </w:rPr>
      </w:pPr>
    </w:p>
    <w:p w14:paraId="09CFA56B" w14:textId="77777777" w:rsidR="003248E0" w:rsidRPr="00B92276" w:rsidRDefault="002D080F">
      <w:pPr>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i/>
        </w:rPr>
        <w:lastRenderedPageBreak/>
        <w:t>“Artículo 14. Corresponde a la Unidad de Apoyo Administrativo las atribuciones siguientes:</w:t>
      </w:r>
    </w:p>
    <w:p w14:paraId="7E09B463" w14:textId="77777777" w:rsidR="003248E0" w:rsidRPr="00B92276" w:rsidRDefault="002D080F">
      <w:pPr>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p>
    <w:p w14:paraId="555A34D9" w14:textId="77777777" w:rsidR="003248E0" w:rsidRPr="00B92276" w:rsidRDefault="002D080F">
      <w:pPr>
        <w:spacing w:after="0"/>
        <w:ind w:left="567" w:right="560"/>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t xml:space="preserve">XI. Verificar que se apliquen las políticas y procedimientos para la administración y prestación de servicios de mantenimiento, suministro de combustible y reparaciones al parque vehicular de la </w:t>
      </w:r>
      <w:proofErr w:type="gramStart"/>
      <w:r w:rsidRPr="00B92276">
        <w:rPr>
          <w:rFonts w:ascii="Palatino Linotype" w:eastAsia="Palatino Linotype" w:hAnsi="Palatino Linotype" w:cs="Palatino Linotype"/>
          <w:b/>
          <w:i/>
        </w:rPr>
        <w:t>Unidad.[</w:t>
      </w:r>
      <w:proofErr w:type="gramEnd"/>
      <w:r w:rsidRPr="00B92276">
        <w:rPr>
          <w:rFonts w:ascii="Palatino Linotype" w:eastAsia="Palatino Linotype" w:hAnsi="Palatino Linotype" w:cs="Palatino Linotype"/>
          <w:b/>
          <w:i/>
        </w:rPr>
        <w:t>…]”</w:t>
      </w:r>
    </w:p>
    <w:p w14:paraId="00AA3E7B" w14:textId="77777777" w:rsidR="003248E0" w:rsidRPr="00B92276" w:rsidRDefault="002D080F">
      <w:pPr>
        <w:spacing w:after="0"/>
        <w:ind w:left="567" w:right="560"/>
        <w:jc w:val="right"/>
        <w:rPr>
          <w:rFonts w:ascii="Palatino Linotype" w:eastAsia="Palatino Linotype" w:hAnsi="Palatino Linotype" w:cs="Palatino Linotype"/>
          <w:i/>
        </w:rPr>
      </w:pPr>
      <w:r w:rsidRPr="00B92276">
        <w:rPr>
          <w:rFonts w:ascii="Palatino Linotype" w:eastAsia="Palatino Linotype" w:hAnsi="Palatino Linotype" w:cs="Palatino Linotype"/>
          <w:i/>
        </w:rPr>
        <w:t>(Énfasis añadido)</w:t>
      </w:r>
    </w:p>
    <w:p w14:paraId="1E2B9967" w14:textId="77777777" w:rsidR="003248E0" w:rsidRPr="00B92276" w:rsidRDefault="003248E0">
      <w:pPr>
        <w:spacing w:after="0" w:line="360" w:lineRule="auto"/>
        <w:ind w:right="49"/>
        <w:jc w:val="both"/>
        <w:rPr>
          <w:rFonts w:ascii="Palatino Linotype" w:eastAsia="Palatino Linotype" w:hAnsi="Palatino Linotype" w:cs="Palatino Linotype"/>
        </w:rPr>
      </w:pPr>
    </w:p>
    <w:p w14:paraId="09A8B80C"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Situación la anterior, que se robustece con lo previsto en el Manual General de Organización de la Unidad de Asuntos Internos vigente, como se muestra:</w:t>
      </w:r>
    </w:p>
    <w:p w14:paraId="28A9691C" w14:textId="77777777" w:rsidR="003248E0" w:rsidRPr="00B92276" w:rsidRDefault="003248E0">
      <w:pPr>
        <w:spacing w:after="0"/>
        <w:ind w:left="567" w:right="560"/>
        <w:jc w:val="both"/>
        <w:rPr>
          <w:rFonts w:ascii="Palatino Linotype" w:eastAsia="Palatino Linotype" w:hAnsi="Palatino Linotype" w:cs="Palatino Linotype"/>
          <w:i/>
        </w:rPr>
      </w:pPr>
    </w:p>
    <w:p w14:paraId="0632109C" w14:textId="77777777" w:rsidR="003248E0" w:rsidRPr="00B92276" w:rsidRDefault="002D080F">
      <w:pPr>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i/>
        </w:rPr>
        <w:t>“206C0301000300S UNIDAD DE APOYO ADMINISTRATIVO</w:t>
      </w:r>
    </w:p>
    <w:p w14:paraId="49B3D9B2" w14:textId="77777777" w:rsidR="003248E0" w:rsidRPr="00B92276" w:rsidRDefault="002D080F">
      <w:pPr>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p>
    <w:p w14:paraId="13B35985" w14:textId="77777777" w:rsidR="003248E0" w:rsidRPr="00B92276" w:rsidRDefault="002D080F">
      <w:pPr>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i/>
        </w:rPr>
        <w:t>FUNCIONES:</w:t>
      </w:r>
    </w:p>
    <w:p w14:paraId="627E08FF" w14:textId="77777777" w:rsidR="003248E0" w:rsidRPr="00B92276" w:rsidRDefault="002D080F">
      <w:pPr>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p>
    <w:p w14:paraId="182C1BFF" w14:textId="77777777" w:rsidR="003248E0" w:rsidRPr="00B92276" w:rsidRDefault="002D080F">
      <w:pPr>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b/>
          <w:i/>
        </w:rPr>
        <w:t>− Llevar el control mediante bitácoras del mantenimiento del parque vehicular</w:t>
      </w:r>
      <w:r w:rsidRPr="00B92276">
        <w:rPr>
          <w:rFonts w:ascii="Palatino Linotype" w:eastAsia="Palatino Linotype" w:hAnsi="Palatino Linotype" w:cs="Palatino Linotype"/>
          <w:i/>
        </w:rPr>
        <w:t xml:space="preserve">, programar los pagos de tenencia y/o derechos, elaborar el programa anual de verificación y </w:t>
      </w:r>
      <w:r w:rsidRPr="00B92276">
        <w:rPr>
          <w:rFonts w:ascii="Palatino Linotype" w:eastAsia="Palatino Linotype" w:hAnsi="Palatino Linotype" w:cs="Palatino Linotype"/>
          <w:b/>
          <w:i/>
        </w:rPr>
        <w:t>fijar el procedimiento administrativo para su asignación, reparación</w:t>
      </w:r>
      <w:r w:rsidRPr="00B92276">
        <w:rPr>
          <w:rFonts w:ascii="Palatino Linotype" w:eastAsia="Palatino Linotype" w:hAnsi="Palatino Linotype" w:cs="Palatino Linotype"/>
          <w:i/>
        </w:rPr>
        <w:t>, suministro de combustibles y lubricantes, así como tramitar la documentación necesaria para su circulación.”</w:t>
      </w:r>
    </w:p>
    <w:p w14:paraId="6F3AB4B0" w14:textId="77777777" w:rsidR="003248E0" w:rsidRPr="00B92276" w:rsidRDefault="003248E0">
      <w:pPr>
        <w:spacing w:after="0"/>
        <w:ind w:left="567" w:right="560"/>
        <w:jc w:val="both"/>
        <w:rPr>
          <w:rFonts w:ascii="Palatino Linotype" w:eastAsia="Palatino Linotype" w:hAnsi="Palatino Linotype" w:cs="Palatino Linotype"/>
          <w:i/>
        </w:rPr>
      </w:pPr>
    </w:p>
    <w:p w14:paraId="3A32C6D7" w14:textId="77777777" w:rsidR="003248E0" w:rsidRPr="00B92276" w:rsidRDefault="002D080F">
      <w:pPr>
        <w:spacing w:after="0"/>
        <w:ind w:left="567" w:right="560"/>
        <w:jc w:val="right"/>
        <w:rPr>
          <w:rFonts w:ascii="Palatino Linotype" w:eastAsia="Palatino Linotype" w:hAnsi="Palatino Linotype" w:cs="Palatino Linotype"/>
          <w:i/>
        </w:rPr>
      </w:pPr>
      <w:r w:rsidRPr="00B92276">
        <w:rPr>
          <w:rFonts w:ascii="Palatino Linotype" w:eastAsia="Palatino Linotype" w:hAnsi="Palatino Linotype" w:cs="Palatino Linotype"/>
          <w:i/>
        </w:rPr>
        <w:t>(Énfasis añadido)</w:t>
      </w:r>
    </w:p>
    <w:p w14:paraId="4902E62B" w14:textId="77777777" w:rsidR="003248E0" w:rsidRPr="00B92276" w:rsidRDefault="003248E0">
      <w:pPr>
        <w:spacing w:after="0" w:line="360" w:lineRule="auto"/>
        <w:ind w:right="49"/>
        <w:jc w:val="both"/>
        <w:rPr>
          <w:rFonts w:ascii="Palatino Linotype" w:eastAsia="Palatino Linotype" w:hAnsi="Palatino Linotype" w:cs="Palatino Linotype"/>
        </w:rPr>
      </w:pPr>
    </w:p>
    <w:p w14:paraId="0F44E514" w14:textId="77777777" w:rsidR="003248E0" w:rsidRPr="00B92276" w:rsidRDefault="002D080F">
      <w:p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De lo anterior, se advierte que la Unidad de Apoyo Administrativo es la encargada de llevar el control </w:t>
      </w:r>
      <w:r w:rsidRPr="00B92276">
        <w:rPr>
          <w:rFonts w:ascii="Palatino Linotype" w:eastAsia="Palatino Linotype" w:hAnsi="Palatino Linotype" w:cs="Palatino Linotype"/>
          <w:u w:val="single"/>
        </w:rPr>
        <w:t>mediante bitácoras del mantenimiento</w:t>
      </w:r>
      <w:r w:rsidRPr="00B92276">
        <w:rPr>
          <w:rFonts w:ascii="Palatino Linotype" w:eastAsia="Palatino Linotype" w:hAnsi="Palatino Linotype" w:cs="Palatino Linotype"/>
        </w:rPr>
        <w:t xml:space="preserve"> del parque vehicular, así como, fijar el procedimiento administrativo para su asignación y reparación; por tanto, se advierte que quien se pronunció fue la unidad administrativa competente.</w:t>
      </w:r>
    </w:p>
    <w:p w14:paraId="6114E17E" w14:textId="77777777" w:rsidR="003248E0" w:rsidRPr="00B92276" w:rsidRDefault="003248E0">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91B8592" w14:textId="77777777" w:rsidR="003248E0" w:rsidRPr="00B92276" w:rsidRDefault="002D080F">
      <w:pPr>
        <w:pBdr>
          <w:top w:val="nil"/>
          <w:left w:val="nil"/>
          <w:bottom w:val="nil"/>
          <w:right w:val="nil"/>
          <w:between w:val="nil"/>
        </w:pBdr>
        <w:spacing w:after="0" w:line="360" w:lineRule="auto"/>
        <w:jc w:val="both"/>
      </w:pPr>
      <w:r w:rsidRPr="00B92276">
        <w:rPr>
          <w:rFonts w:ascii="Palatino Linotype" w:eastAsia="Palatino Linotype" w:hAnsi="Palatino Linotype" w:cs="Palatino Linotype"/>
        </w:rPr>
        <w:t xml:space="preserve">Por lo tanto, se tiene que en el caso se cumplió con el requisito de turnar la solicitud de información a las unidades administrativas que por sus atribuciones puedan contar con la </w:t>
      </w:r>
      <w:r w:rsidRPr="00B92276">
        <w:rPr>
          <w:rFonts w:ascii="Palatino Linotype" w:eastAsia="Palatino Linotype" w:hAnsi="Palatino Linotype" w:cs="Palatino Linotype"/>
        </w:rPr>
        <w:lastRenderedPageBreak/>
        <w:t>información requerida, conforme el procedimiento establecido en los artículos 151, 159, 160, 162, 163, 164, 165 y 166, de la Ley de Transparencia y Acceso a la Información Pública del Estado de México y Municipios, el cual es el siguiente:</w:t>
      </w:r>
    </w:p>
    <w:p w14:paraId="2FE03A56" w14:textId="77777777" w:rsidR="003248E0" w:rsidRPr="00B92276" w:rsidRDefault="003248E0">
      <w:pPr>
        <w:spacing w:after="0" w:line="360" w:lineRule="auto"/>
      </w:pPr>
    </w:p>
    <w:p w14:paraId="482AB84E" w14:textId="77777777" w:rsidR="003248E0" w:rsidRPr="00B92276" w:rsidRDefault="002D080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9ED519E" w14:textId="77777777" w:rsidR="003248E0" w:rsidRPr="00B92276" w:rsidRDefault="003248E0">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1060E69B" w14:textId="77777777" w:rsidR="003248E0" w:rsidRPr="00B92276" w:rsidRDefault="002D080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07B715E" w14:textId="77777777" w:rsidR="003248E0" w:rsidRPr="00B92276" w:rsidRDefault="003248E0">
      <w:pPr>
        <w:pBdr>
          <w:top w:val="nil"/>
          <w:left w:val="nil"/>
          <w:bottom w:val="nil"/>
          <w:right w:val="nil"/>
          <w:between w:val="nil"/>
        </w:pBdr>
        <w:spacing w:after="0" w:line="360" w:lineRule="auto"/>
        <w:ind w:left="720"/>
        <w:rPr>
          <w:rFonts w:ascii="Palatino Linotype" w:eastAsia="Palatino Linotype" w:hAnsi="Palatino Linotype" w:cs="Palatino Linotype"/>
        </w:rPr>
      </w:pPr>
    </w:p>
    <w:p w14:paraId="4AB911AB" w14:textId="77777777" w:rsidR="003248E0" w:rsidRPr="00B92276" w:rsidRDefault="002D080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B92276">
        <w:rPr>
          <w:rFonts w:ascii="Palatino Linotype" w:eastAsia="Palatino Linotype" w:hAnsi="Palatino Linotype" w:cs="Palatino Linotype"/>
          <w:b/>
        </w:rPr>
        <w:t>quince días, contados a partir del día siguiente a la presentación de ésta.</w:t>
      </w:r>
      <w:r w:rsidRPr="00B92276">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38E7A3F7" w14:textId="77777777" w:rsidR="003248E0" w:rsidRPr="00B92276" w:rsidRDefault="003248E0">
      <w:pPr>
        <w:pBdr>
          <w:top w:val="nil"/>
          <w:left w:val="nil"/>
          <w:bottom w:val="nil"/>
          <w:right w:val="nil"/>
          <w:between w:val="nil"/>
        </w:pBdr>
        <w:spacing w:after="0" w:line="360" w:lineRule="auto"/>
        <w:ind w:left="720"/>
        <w:rPr>
          <w:rFonts w:ascii="Palatino Linotype" w:eastAsia="Palatino Linotype" w:hAnsi="Palatino Linotype" w:cs="Palatino Linotype"/>
        </w:rPr>
      </w:pPr>
    </w:p>
    <w:p w14:paraId="298A0237" w14:textId="77777777" w:rsidR="003248E0" w:rsidRPr="00B92276" w:rsidRDefault="002D080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B92276">
        <w:rPr>
          <w:rFonts w:ascii="Palatino Linotype" w:eastAsia="Palatino Linotype" w:hAnsi="Palatino Linotype" w:cs="Palatino Linotype"/>
          <w:b/>
          <w:u w:val="single"/>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w:t>
      </w:r>
      <w:r w:rsidRPr="00B92276">
        <w:rPr>
          <w:rFonts w:ascii="Palatino Linotype" w:eastAsia="Palatino Linotype" w:hAnsi="Palatino Linotype" w:cs="Palatino Linotype"/>
          <w:b/>
          <w:u w:val="single"/>
        </w:rPr>
        <w:lastRenderedPageBreak/>
        <w:t>expresiones documentales que se encuentren en sus archivos o que estén constreñidos a elaborar;</w:t>
      </w:r>
    </w:p>
    <w:p w14:paraId="2E83B666" w14:textId="77777777" w:rsidR="003248E0" w:rsidRPr="00B92276" w:rsidRDefault="003248E0">
      <w:pPr>
        <w:pBdr>
          <w:top w:val="nil"/>
          <w:left w:val="nil"/>
          <w:bottom w:val="nil"/>
          <w:right w:val="nil"/>
          <w:between w:val="nil"/>
        </w:pBdr>
        <w:spacing w:after="0" w:line="360" w:lineRule="auto"/>
        <w:ind w:left="720"/>
        <w:rPr>
          <w:rFonts w:ascii="Palatino Linotype" w:eastAsia="Palatino Linotype" w:hAnsi="Palatino Linotype" w:cs="Palatino Linotype"/>
          <w:b/>
          <w:u w:val="single"/>
        </w:rPr>
      </w:pPr>
    </w:p>
    <w:p w14:paraId="0DF9264C" w14:textId="77777777" w:rsidR="003248E0" w:rsidRPr="00B92276" w:rsidRDefault="002D080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A3EF0C7" w14:textId="77777777" w:rsidR="003248E0" w:rsidRPr="00B92276" w:rsidRDefault="003248E0">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4BA7BA7D" w14:textId="77777777" w:rsidR="003248E0" w:rsidRPr="00B92276" w:rsidRDefault="002D080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CAA3016" w14:textId="77777777" w:rsidR="003248E0" w:rsidRPr="00B92276" w:rsidRDefault="003248E0">
      <w:pPr>
        <w:spacing w:after="0" w:line="360" w:lineRule="auto"/>
      </w:pPr>
    </w:p>
    <w:p w14:paraId="2803C4AA" w14:textId="77777777" w:rsidR="003248E0" w:rsidRPr="00B92276" w:rsidRDefault="002D080F">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B92276">
        <w:rPr>
          <w:rFonts w:ascii="Palatino Linotype" w:eastAsia="Palatino Linotype" w:hAnsi="Palatino Linotype" w:cs="Palatino Linotype"/>
        </w:rPr>
        <w:t xml:space="preserve">De esta manera, </w:t>
      </w:r>
      <w:r w:rsidRPr="00B92276">
        <w:rPr>
          <w:rFonts w:ascii="Palatino Linotype" w:eastAsia="Palatino Linotype" w:hAnsi="Palatino Linotype" w:cs="Palatino Linotype"/>
          <w:b/>
          <w:u w:val="single"/>
        </w:rPr>
        <w:t>el procedimiento de búsqueda de la información se tiene por atendido. </w:t>
      </w:r>
    </w:p>
    <w:p w14:paraId="339C6D39" w14:textId="77777777" w:rsidR="003248E0" w:rsidRPr="00B92276" w:rsidRDefault="003248E0">
      <w:pPr>
        <w:spacing w:after="0" w:line="360" w:lineRule="auto"/>
        <w:ind w:right="49"/>
        <w:jc w:val="both"/>
        <w:rPr>
          <w:rFonts w:ascii="Palatino Linotype" w:eastAsia="Palatino Linotype" w:hAnsi="Palatino Linotype" w:cs="Palatino Linotype"/>
        </w:rPr>
      </w:pPr>
    </w:p>
    <w:p w14:paraId="1316F7C8"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Dicho lo anterior, retomando la clasificación como información reservada que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realizó respecto de las</w:t>
      </w:r>
      <w:r w:rsidRPr="00B92276">
        <w:rPr>
          <w:rFonts w:ascii="Palatino Linotype" w:eastAsia="Palatino Linotype" w:hAnsi="Palatino Linotype" w:cs="Palatino Linotype"/>
          <w:u w:val="single"/>
        </w:rPr>
        <w:t xml:space="preserve"> </w:t>
      </w:r>
      <w:r w:rsidRPr="00B92276">
        <w:rPr>
          <w:rFonts w:ascii="Palatino Linotype" w:eastAsia="Palatino Linotype" w:hAnsi="Palatino Linotype" w:cs="Palatino Linotype"/>
          <w:b/>
          <w:u w:val="single"/>
        </w:rPr>
        <w:t>fichas de reparación de todos los vehículos de la Unidad de Asuntos Jurídicos</w:t>
      </w:r>
      <w:r w:rsidRPr="00B92276">
        <w:rPr>
          <w:rFonts w:ascii="Palatino Linotype" w:eastAsia="Palatino Linotype" w:hAnsi="Palatino Linotype" w:cs="Palatino Linotype"/>
        </w:rPr>
        <w:t xml:space="preserve"> del periodo solicitado; a criterio de este Órgano Garante conviene analizar la reserva de dicha información, partiendo de las siguientes consideraciones:</w:t>
      </w:r>
    </w:p>
    <w:p w14:paraId="732C5F7D" w14:textId="77777777" w:rsidR="003248E0" w:rsidRPr="00B92276" w:rsidRDefault="003248E0">
      <w:pPr>
        <w:spacing w:after="0" w:line="360" w:lineRule="auto"/>
        <w:jc w:val="both"/>
        <w:rPr>
          <w:rFonts w:ascii="Palatino Linotype" w:eastAsia="Palatino Linotype" w:hAnsi="Palatino Linotype" w:cs="Palatino Linotype"/>
        </w:rPr>
      </w:pPr>
    </w:p>
    <w:p w14:paraId="08582238" w14:textId="77777777" w:rsidR="003248E0" w:rsidRPr="00B92276" w:rsidRDefault="002D080F">
      <w:pP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rPr>
        <w:t xml:space="preserve">En principio, es de indicar que conforme al artículo 20 de la Ley de Transparencia y Acceso a la Información Pública del Estado de México y Municipios, </w:t>
      </w:r>
      <w:r w:rsidRPr="00B92276">
        <w:rPr>
          <w:rFonts w:ascii="Palatino Linotype" w:eastAsia="Palatino Linotype" w:hAnsi="Palatino Linotype" w:cs="Palatino Linotype"/>
          <w:b/>
        </w:rPr>
        <w:t xml:space="preserve">ante la negativa de acceso a la </w:t>
      </w:r>
      <w:r w:rsidRPr="00B92276">
        <w:rPr>
          <w:rFonts w:ascii="Palatino Linotype" w:eastAsia="Palatino Linotype" w:hAnsi="Palatino Linotype" w:cs="Palatino Linotype"/>
          <w:b/>
        </w:rPr>
        <w:lastRenderedPageBreak/>
        <w:t>información o su inexistencia, el sujeto obligado deberá demostrar que encuentra en alguna de las excepciones establecidas en la normatividad aplicable.</w:t>
      </w:r>
    </w:p>
    <w:p w14:paraId="38256FB9" w14:textId="77777777" w:rsidR="003248E0" w:rsidRPr="00B92276" w:rsidRDefault="003248E0">
      <w:pPr>
        <w:spacing w:after="0" w:line="360" w:lineRule="auto"/>
        <w:jc w:val="both"/>
        <w:rPr>
          <w:rFonts w:ascii="Palatino Linotype" w:eastAsia="Palatino Linotype" w:hAnsi="Palatino Linotype" w:cs="Palatino Linotype"/>
        </w:rPr>
      </w:pPr>
    </w:p>
    <w:p w14:paraId="0F3BDA96"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En ese sentido, según Trujillo, Humberto (2019), en el “Diccionario de Transparencia y Acceso a la Información Pública” (p. 201), </w:t>
      </w:r>
      <w:r w:rsidRPr="00B92276">
        <w:rPr>
          <w:rFonts w:ascii="Palatino Linotype" w:eastAsia="Palatino Linotype" w:hAnsi="Palatino Linotype" w:cs="Palatino Linotype"/>
          <w:b/>
        </w:rPr>
        <w:t xml:space="preserve">la negativa de acceso a la información </w:t>
      </w:r>
      <w:r w:rsidRPr="00B92276">
        <w:rPr>
          <w:rFonts w:ascii="Palatino Linotype" w:eastAsia="Palatino Linotype" w:hAnsi="Palatino Linotype" w:cs="Palatino Linotype"/>
        </w:rPr>
        <w:t xml:space="preserve">ocurre cuando de manera fundada y motivada, una autoridad la niega o la limita, por alguna de las siguientes razones: </w:t>
      </w:r>
    </w:p>
    <w:p w14:paraId="063D5FD2" w14:textId="77777777" w:rsidR="003248E0" w:rsidRPr="00B92276" w:rsidRDefault="003248E0">
      <w:pPr>
        <w:spacing w:after="0" w:line="360" w:lineRule="auto"/>
        <w:jc w:val="both"/>
        <w:rPr>
          <w:rFonts w:ascii="Palatino Linotype" w:eastAsia="Palatino Linotype" w:hAnsi="Palatino Linotype" w:cs="Palatino Linotype"/>
        </w:rPr>
      </w:pPr>
    </w:p>
    <w:p w14:paraId="7B91BF05" w14:textId="77777777" w:rsidR="003248E0" w:rsidRPr="00B92276" w:rsidRDefault="002D080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b/>
        </w:rPr>
        <w:t xml:space="preserve">La inexistencia de la información (p. 171): </w:t>
      </w:r>
      <w:r w:rsidRPr="00B92276">
        <w:rPr>
          <w:rFonts w:ascii="Palatino Linotype" w:eastAsia="Palatino Linotype" w:hAnsi="Palatino Linotype" w:cs="Palatino Linotype"/>
        </w:rPr>
        <w:t>Sucede cuando la información solicitada no se encuentra en los archivos públicos o clasificados de los entes sujetos a las Leyes de Transparencia.</w:t>
      </w:r>
    </w:p>
    <w:p w14:paraId="215A2AD0" w14:textId="77777777" w:rsidR="003248E0" w:rsidRPr="00B92276" w:rsidRDefault="002D080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b/>
        </w:rPr>
        <w:t xml:space="preserve">La incompetencia del Sujeto Obligado (p. 171): </w:t>
      </w:r>
      <w:r w:rsidRPr="00B92276">
        <w:rPr>
          <w:rFonts w:ascii="Palatino Linotype" w:eastAsia="Palatino Linotype" w:hAnsi="Palatino Linotype" w:cs="Palatino Linotype"/>
        </w:rPr>
        <w:t>Ocurre cuando el Sujeto Obligado carece de atribuciones para poseer la información peticionada.</w:t>
      </w:r>
    </w:p>
    <w:p w14:paraId="1B293B1E" w14:textId="77777777" w:rsidR="003248E0" w:rsidRPr="00B92276" w:rsidRDefault="002D080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b/>
        </w:rPr>
        <w:t xml:space="preserve">La clasificación de la información (p. 70): </w:t>
      </w:r>
      <w:r w:rsidRPr="00B92276">
        <w:rPr>
          <w:rFonts w:ascii="Palatino Linotype" w:eastAsia="Palatino Linotype" w:hAnsi="Palatino Linotype" w:cs="Palatino Linotype"/>
        </w:rPr>
        <w:t>Es el proceso o conjunto de acciones que realizan los sujetos obligados para establecer que determinada información se encuentra en alguno de los supuestos de reserva o confidencialidad establecidos en la legislación en materia de transparencia.</w:t>
      </w:r>
    </w:p>
    <w:p w14:paraId="17CDA14D" w14:textId="77777777" w:rsidR="003248E0" w:rsidRPr="00B92276" w:rsidRDefault="003248E0">
      <w:pPr>
        <w:spacing w:after="0" w:line="360" w:lineRule="auto"/>
        <w:jc w:val="both"/>
        <w:rPr>
          <w:rFonts w:ascii="Palatino Linotype" w:eastAsia="Palatino Linotype" w:hAnsi="Palatino Linotype" w:cs="Palatino Linotype"/>
        </w:rPr>
      </w:pPr>
    </w:p>
    <w:p w14:paraId="46B1D1AD" w14:textId="77777777" w:rsidR="003248E0" w:rsidRPr="00B92276" w:rsidRDefault="002D080F">
      <w:pP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rPr>
        <w:t xml:space="preserve">En ese orden de ideas y en atención a lo anterior, es de señalar que las excepciones al derecho de acceso a la información, consisten en que la documentación sea inexistente, </w:t>
      </w:r>
      <w:r w:rsidRPr="00B92276">
        <w:rPr>
          <w:rFonts w:ascii="Palatino Linotype" w:eastAsia="Palatino Linotype" w:hAnsi="Palatino Linotype" w:cs="Palatino Linotype"/>
          <w:b/>
        </w:rPr>
        <w:t>se encuentre clasificada</w:t>
      </w:r>
      <w:r w:rsidRPr="00B92276">
        <w:rPr>
          <w:rFonts w:ascii="Palatino Linotype" w:eastAsia="Palatino Linotype" w:hAnsi="Palatino Linotype" w:cs="Palatino Linotype"/>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B92276">
        <w:rPr>
          <w:rFonts w:ascii="Palatino Linotype" w:eastAsia="Palatino Linotype" w:hAnsi="Palatino Linotype" w:cs="Palatino Linotype"/>
          <w:b/>
        </w:rPr>
        <w:t>confidenciales o reservados.</w:t>
      </w:r>
    </w:p>
    <w:p w14:paraId="2EC5B75C" w14:textId="77777777" w:rsidR="003248E0" w:rsidRPr="00B92276" w:rsidRDefault="003248E0">
      <w:pPr>
        <w:spacing w:after="0" w:line="360" w:lineRule="auto"/>
        <w:jc w:val="both"/>
        <w:rPr>
          <w:rFonts w:ascii="Palatino Linotype" w:eastAsia="Palatino Linotype" w:hAnsi="Palatino Linotype" w:cs="Palatino Linotype"/>
          <w:b/>
        </w:rPr>
      </w:pPr>
    </w:p>
    <w:p w14:paraId="72181245"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lastRenderedPageBreak/>
        <w:t xml:space="preserve">Así, en los artículos 122, 128 y 130 de la Ley Transparencia y Acceso a la Información Pública del Estado de México y Municipios, se prevé que </w:t>
      </w:r>
      <w:r w:rsidRPr="00B92276">
        <w:rPr>
          <w:rFonts w:ascii="Palatino Linotype" w:eastAsia="Palatino Linotype" w:hAnsi="Palatino Linotype" w:cs="Palatino Linotype"/>
          <w:b/>
        </w:rPr>
        <w:t xml:space="preserve">la clasificación </w:t>
      </w:r>
      <w:r w:rsidRPr="00B92276">
        <w:rPr>
          <w:rFonts w:ascii="Palatino Linotype" w:eastAsia="Palatino Linotype" w:hAnsi="Palatino Linotype" w:cs="Palatino Linotype"/>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081D6B5" w14:textId="77777777" w:rsidR="003248E0" w:rsidRPr="00B92276" w:rsidRDefault="003248E0">
      <w:pPr>
        <w:spacing w:after="0" w:line="360" w:lineRule="auto"/>
        <w:jc w:val="both"/>
        <w:rPr>
          <w:rFonts w:ascii="Palatino Linotype" w:eastAsia="Palatino Linotype" w:hAnsi="Palatino Linotype" w:cs="Palatino Linotype"/>
        </w:rPr>
      </w:pPr>
    </w:p>
    <w:p w14:paraId="301697F9"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Por lo cual, en los casos en que se niegue el acceso a la información, por actualizarse alguno de los supuestos de clasificación, </w:t>
      </w:r>
      <w:r w:rsidRPr="00B92276">
        <w:rPr>
          <w:rFonts w:ascii="Palatino Linotype" w:eastAsia="Palatino Linotype" w:hAnsi="Palatino Linotype" w:cs="Palatino Linotype"/>
          <w:b/>
        </w:rPr>
        <w:t xml:space="preserve">el Comité de Transparencia deberá confirmar, modificar o revocar la decisión; </w:t>
      </w:r>
      <w:r w:rsidRPr="00B92276">
        <w:rPr>
          <w:rFonts w:ascii="Palatino Linotype" w:eastAsia="Palatino Linotype" w:hAnsi="Palatino Linotype" w:cs="Palatino Linotype"/>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6DD10A77" w14:textId="77777777" w:rsidR="003248E0" w:rsidRPr="00B92276" w:rsidRDefault="003248E0">
      <w:pPr>
        <w:spacing w:after="0" w:line="360" w:lineRule="auto"/>
        <w:jc w:val="both"/>
        <w:rPr>
          <w:rFonts w:ascii="Palatino Linotype" w:eastAsia="Palatino Linotype" w:hAnsi="Palatino Linotype" w:cs="Palatino Linotype"/>
        </w:rPr>
      </w:pPr>
    </w:p>
    <w:p w14:paraId="078B5D5D" w14:textId="77777777" w:rsidR="003248E0" w:rsidRPr="00B92276" w:rsidRDefault="002D080F">
      <w:pP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rPr>
        <w:t xml:space="preserve">Por su parte, según Bonifaz, Leticia (2016), en la “Ley General de Transparencia y Acceso a la Información Pública Comentada” (p. 342), la </w:t>
      </w:r>
      <w:r w:rsidRPr="00B92276">
        <w:rPr>
          <w:rFonts w:ascii="Palatino Linotype" w:eastAsia="Palatino Linotype" w:hAnsi="Palatino Linotype" w:cs="Palatino Linotype"/>
          <w:b/>
        </w:rPr>
        <w:t>clasificación de la información</w:t>
      </w:r>
      <w:r w:rsidRPr="00B92276">
        <w:rPr>
          <w:rFonts w:ascii="Palatino Linotype" w:eastAsia="Palatino Linotype" w:hAnsi="Palatino Linotype" w:cs="Palatino Linotype"/>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B92276">
        <w:rPr>
          <w:rFonts w:ascii="Palatino Linotype" w:eastAsia="Palatino Linotype" w:hAnsi="Palatino Linotype" w:cs="Palatino Linotype"/>
          <w:b/>
        </w:rPr>
        <w:t>de manera adecuada la negativa de información.</w:t>
      </w:r>
    </w:p>
    <w:p w14:paraId="08895C15" w14:textId="77777777" w:rsidR="003248E0" w:rsidRPr="00B92276" w:rsidRDefault="003248E0">
      <w:pPr>
        <w:spacing w:after="0" w:line="360" w:lineRule="auto"/>
        <w:jc w:val="both"/>
        <w:rPr>
          <w:rFonts w:ascii="Palatino Linotype" w:eastAsia="Palatino Linotype" w:hAnsi="Palatino Linotype" w:cs="Palatino Linotype"/>
          <w:b/>
        </w:rPr>
      </w:pPr>
    </w:p>
    <w:p w14:paraId="189E33F3"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Conforme a lo anterior, en el presente caso, el </w:t>
      </w:r>
      <w:r w:rsidRPr="00B92276">
        <w:rPr>
          <w:rFonts w:ascii="Palatino Linotype" w:eastAsia="Palatino Linotype" w:hAnsi="Palatino Linotype" w:cs="Palatino Linotype"/>
          <w:b/>
        </w:rPr>
        <w:t>Sujeto Obligado por conducto de la Dirección de Investigación y Supervisión,</w:t>
      </w:r>
      <w:r w:rsidRPr="00B92276">
        <w:rPr>
          <w:rFonts w:ascii="Palatino Linotype" w:eastAsia="Palatino Linotype" w:hAnsi="Palatino Linotype" w:cs="Palatino Linotype"/>
        </w:rPr>
        <w:t xml:space="preserve"> no señaló que era inexistente la información; al contrario, precisó que no podía proporcionarla al ser reservada; esto es, aludió a una clasificación; al respecto, el </w:t>
      </w:r>
      <w:r w:rsidRPr="00B92276">
        <w:rPr>
          <w:rFonts w:ascii="Palatino Linotype" w:eastAsia="Palatino Linotype" w:hAnsi="Palatino Linotype" w:cs="Palatino Linotype"/>
          <w:b/>
        </w:rPr>
        <w:t>Criterio 29/10</w:t>
      </w:r>
      <w:r w:rsidRPr="00B92276">
        <w:rPr>
          <w:rFonts w:ascii="Palatino Linotype" w:eastAsia="Palatino Linotype" w:hAnsi="Palatino Linotype" w:cs="Palatino Linotype"/>
        </w:rPr>
        <w:t>, emitido por el Pleno del entonces Instituto Federal de Acceso a la Información y Protección de Datos, precisa lo siguiente:</w:t>
      </w:r>
    </w:p>
    <w:p w14:paraId="083BAC1A" w14:textId="77777777" w:rsidR="003248E0" w:rsidRPr="00B92276" w:rsidRDefault="003248E0">
      <w:pPr>
        <w:spacing w:after="0" w:line="360" w:lineRule="auto"/>
        <w:jc w:val="both"/>
        <w:rPr>
          <w:rFonts w:ascii="Palatino Linotype" w:eastAsia="Palatino Linotype" w:hAnsi="Palatino Linotype" w:cs="Palatino Linotype"/>
        </w:rPr>
      </w:pPr>
    </w:p>
    <w:p w14:paraId="7446051C" w14:textId="77777777" w:rsidR="003248E0" w:rsidRPr="00B92276" w:rsidRDefault="002D080F">
      <w:pPr>
        <w:spacing w:after="0"/>
        <w:ind w:left="567" w:right="567"/>
        <w:jc w:val="both"/>
        <w:rPr>
          <w:rFonts w:ascii="Palatino Linotype" w:eastAsia="Palatino Linotype" w:hAnsi="Palatino Linotype" w:cs="Palatino Linotype"/>
          <w:i/>
        </w:rPr>
      </w:pPr>
      <w:r w:rsidRPr="00B92276">
        <w:rPr>
          <w:rFonts w:ascii="Palatino Linotype" w:eastAsia="Palatino Linotype" w:hAnsi="Palatino Linotype" w:cs="Palatino Linotype"/>
          <w:b/>
          <w:i/>
        </w:rPr>
        <w:t>“La clasificación y la inexistencia de información son conceptos que no pueden coexistir.</w:t>
      </w:r>
      <w:r w:rsidRPr="00B92276">
        <w:rPr>
          <w:rFonts w:ascii="Palatino Linotype" w:eastAsia="Palatino Linotype" w:hAnsi="Palatino Linotype" w:cs="Palatino Linotype"/>
          <w:i/>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sidRPr="00B92276">
        <w:rPr>
          <w:rFonts w:ascii="Palatino Linotype" w:eastAsia="Palatino Linotype" w:hAnsi="Palatino Linotype" w:cs="Palatino Linotype"/>
          <w:i/>
        </w:rPr>
        <w:t>contenida  en</w:t>
      </w:r>
      <w:proofErr w:type="gramEnd"/>
      <w:r w:rsidRPr="00B92276">
        <w:rPr>
          <w:rFonts w:ascii="Palatino Linotype" w:eastAsia="Palatino Linotype" w:hAnsi="Palatino Linotype" w:cs="Palatino Linotype"/>
          <w:i/>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D3EEEB2" w14:textId="77777777" w:rsidR="003248E0" w:rsidRPr="00B92276" w:rsidRDefault="003248E0">
      <w:pPr>
        <w:spacing w:after="0" w:line="360" w:lineRule="auto"/>
        <w:rPr>
          <w:rFonts w:ascii="Palatino Linotype" w:eastAsia="Palatino Linotype" w:hAnsi="Palatino Linotype" w:cs="Palatino Linotype"/>
        </w:rPr>
      </w:pPr>
    </w:p>
    <w:p w14:paraId="3257EF51" w14:textId="77777777" w:rsidR="003248E0" w:rsidRPr="00B92276" w:rsidRDefault="002D080F">
      <w:pPr>
        <w:spacing w:after="0" w:line="360" w:lineRule="auto"/>
        <w:jc w:val="both"/>
        <w:rPr>
          <w:rFonts w:ascii="Palatino Linotype" w:eastAsia="Palatino Linotype" w:hAnsi="Palatino Linotype" w:cs="Palatino Linotype"/>
          <w:b/>
          <w:u w:val="single"/>
        </w:rPr>
      </w:pPr>
      <w:r w:rsidRPr="00B92276">
        <w:rPr>
          <w:rFonts w:ascii="Palatino Linotype" w:eastAsia="Palatino Linotype" w:hAnsi="Palatino Linotype" w:cs="Palatino Linotype"/>
          <w:b/>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7284C94B" w14:textId="77777777" w:rsidR="003248E0" w:rsidRPr="00B92276" w:rsidRDefault="003248E0">
      <w:pPr>
        <w:spacing w:after="0" w:line="360" w:lineRule="auto"/>
        <w:jc w:val="both"/>
        <w:rPr>
          <w:rFonts w:ascii="Palatino Linotype" w:eastAsia="Palatino Linotype" w:hAnsi="Palatino Linotype" w:cs="Palatino Linotype"/>
        </w:rPr>
      </w:pPr>
    </w:p>
    <w:p w14:paraId="6B2B3E66"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Conforme a lo anterior, se negó el acceso a la información peticionada por la parte </w:t>
      </w:r>
      <w:r w:rsidRPr="00B92276">
        <w:rPr>
          <w:rFonts w:ascii="Palatino Linotype" w:eastAsia="Palatino Linotype" w:hAnsi="Palatino Linotype" w:cs="Palatino Linotype"/>
          <w:b/>
        </w:rPr>
        <w:t>Recurrente</w:t>
      </w:r>
      <w:r w:rsidRPr="00B92276">
        <w:rPr>
          <w:rFonts w:ascii="Palatino Linotype" w:eastAsia="Palatino Linotype" w:hAnsi="Palatino Linotype" w:cs="Palatino Linotype"/>
        </w:rPr>
        <w:t xml:space="preserve">, al considerar que estaba clasificada; tan es así, que proporcionó el Acta número UAI-CT-ORD- 04-2024, de la Cuarta Sesión Ordinaria 2024 del Comité de Transparencia, de fecha 03 de octubre de 2024, donde confirmó la clasificación de la información requerida como reservada, en términos del artículo 140, fracción X de la Ley de Transparencia y Acceso al a Información Pública del Estado de México y Municipios; como a continuación se muestra de la siguiente digitalización del Acta de mérito:  </w:t>
      </w:r>
    </w:p>
    <w:p w14:paraId="7505CE81" w14:textId="77777777" w:rsidR="003248E0" w:rsidRPr="00B92276" w:rsidRDefault="003248E0">
      <w:pPr>
        <w:spacing w:after="0" w:line="360" w:lineRule="auto"/>
        <w:jc w:val="center"/>
        <w:rPr>
          <w:rFonts w:ascii="Palatino Linotype" w:eastAsia="Palatino Linotype" w:hAnsi="Palatino Linotype" w:cs="Palatino Linotype"/>
        </w:rPr>
      </w:pPr>
    </w:p>
    <w:p w14:paraId="7AD02A03" w14:textId="77777777" w:rsidR="003248E0" w:rsidRPr="00B92276" w:rsidRDefault="002D080F">
      <w:pPr>
        <w:spacing w:after="0" w:line="360" w:lineRule="auto"/>
        <w:jc w:val="center"/>
        <w:rPr>
          <w:rFonts w:ascii="Palatino Linotype" w:eastAsia="Palatino Linotype" w:hAnsi="Palatino Linotype" w:cs="Palatino Linotype"/>
        </w:rPr>
      </w:pPr>
      <w:r w:rsidRPr="00B92276">
        <w:rPr>
          <w:rFonts w:ascii="Palatino Linotype" w:eastAsia="Palatino Linotype" w:hAnsi="Palatino Linotype" w:cs="Palatino Linotype"/>
          <w:noProof/>
          <w:lang w:eastAsia="es-MX"/>
        </w:rPr>
        <w:lastRenderedPageBreak/>
        <w:drawing>
          <wp:inline distT="0" distB="0" distL="0" distR="0" wp14:anchorId="166D1EB4" wp14:editId="733F9BB5">
            <wp:extent cx="4867958" cy="3115112"/>
            <wp:effectExtent l="3175" t="3175" r="3175" b="3175"/>
            <wp:docPr id="19520825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4867958" cy="3115112"/>
                    </a:xfrm>
                    <a:prstGeom prst="rect">
                      <a:avLst/>
                    </a:prstGeom>
                    <a:ln w="3175">
                      <a:solidFill>
                        <a:srgbClr val="000000"/>
                      </a:solidFill>
                      <a:prstDash val="solid"/>
                    </a:ln>
                  </pic:spPr>
                </pic:pic>
              </a:graphicData>
            </a:graphic>
          </wp:inline>
        </w:drawing>
      </w:r>
      <w:r w:rsidRPr="00B92276">
        <w:rPr>
          <w:rFonts w:ascii="Palatino Linotype" w:eastAsia="Palatino Linotype" w:hAnsi="Palatino Linotype" w:cs="Palatino Linotype"/>
        </w:rPr>
        <w:t xml:space="preserve"> </w:t>
      </w:r>
      <w:r w:rsidRPr="00B92276">
        <w:rPr>
          <w:noProof/>
          <w:lang w:eastAsia="es-MX"/>
        </w:rPr>
        <mc:AlternateContent>
          <mc:Choice Requires="wpg">
            <w:drawing>
              <wp:anchor distT="0" distB="0" distL="114300" distR="114300" simplePos="0" relativeHeight="251658240" behindDoc="0" locked="0" layoutInCell="1" hidden="0" allowOverlap="1" wp14:anchorId="6A45510F" wp14:editId="00439248">
                <wp:simplePos x="0" y="0"/>
                <wp:positionH relativeFrom="column">
                  <wp:posOffset>2184400</wp:posOffset>
                </wp:positionH>
                <wp:positionV relativeFrom="paragraph">
                  <wp:posOffset>787400</wp:posOffset>
                </wp:positionV>
                <wp:extent cx="3171825" cy="295275"/>
                <wp:effectExtent l="0" t="0" r="0" b="0"/>
                <wp:wrapNone/>
                <wp:docPr id="1952082503" name="Rectángulo 1952082503"/>
                <wp:cNvGraphicFramePr/>
                <a:graphic xmlns:a="http://schemas.openxmlformats.org/drawingml/2006/main">
                  <a:graphicData uri="http://schemas.microsoft.com/office/word/2010/wordprocessingShape">
                    <wps:wsp>
                      <wps:cNvSpPr/>
                      <wps:spPr>
                        <a:xfrm>
                          <a:off x="3769613" y="3641888"/>
                          <a:ext cx="3152775" cy="276225"/>
                        </a:xfrm>
                        <a:prstGeom prst="rect">
                          <a:avLst/>
                        </a:prstGeom>
                        <a:noFill/>
                        <a:ln w="19050" cap="flat" cmpd="sng">
                          <a:solidFill>
                            <a:srgbClr val="FF0000"/>
                          </a:solidFill>
                          <a:prstDash val="solid"/>
                          <a:miter lim="800000"/>
                          <a:headEnd type="none" w="sm" len="sm"/>
                          <a:tailEnd type="none" w="sm" len="sm"/>
                        </a:ln>
                      </wps:spPr>
                      <wps:txbx>
                        <w:txbxContent>
                          <w:p w14:paraId="6A726DF3" w14:textId="77777777" w:rsidR="003248E0" w:rsidRDefault="003248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2184400</wp:posOffset>
                </wp:positionH>
                <wp:positionV relativeFrom="paragraph">
                  <wp:posOffset>787400</wp:posOffset>
                </wp:positionV>
                <wp:extent cx="3171825" cy="295275"/>
                <wp:effectExtent b="0" l="0" r="0" t="0"/>
                <wp:wrapNone/>
                <wp:docPr id="1952082503"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3171825" cy="295275"/>
                        </a:xfrm>
                        <a:prstGeom prst="rect"/>
                        <a:ln/>
                      </pic:spPr>
                    </pic:pic>
                  </a:graphicData>
                </a:graphic>
              </wp:anchor>
            </w:drawing>
          </mc:Fallback>
        </mc:AlternateContent>
      </w:r>
    </w:p>
    <w:p w14:paraId="1EE8BEBC" w14:textId="77777777" w:rsidR="003248E0" w:rsidRPr="00B92276" w:rsidRDefault="003248E0">
      <w:pPr>
        <w:spacing w:after="0" w:line="360" w:lineRule="auto"/>
        <w:jc w:val="both"/>
        <w:rPr>
          <w:rFonts w:ascii="Palatino Linotype" w:eastAsia="Palatino Linotype" w:hAnsi="Palatino Linotype" w:cs="Palatino Linotype"/>
        </w:rPr>
      </w:pPr>
    </w:p>
    <w:p w14:paraId="61E9FFB2" w14:textId="77777777" w:rsidR="003248E0" w:rsidRPr="00B92276" w:rsidRDefault="002D080F">
      <w:pP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B92276">
        <w:rPr>
          <w:rFonts w:ascii="Palatino Linotype" w:eastAsia="Palatino Linotype" w:hAnsi="Palatino Linotype" w:cs="Palatino Linotype"/>
          <w:b/>
        </w:rPr>
        <w:t>análisis caso por caso.</w:t>
      </w:r>
    </w:p>
    <w:p w14:paraId="690341DA" w14:textId="77777777" w:rsidR="003248E0" w:rsidRPr="00B92276" w:rsidRDefault="003248E0">
      <w:pPr>
        <w:spacing w:after="0" w:line="360" w:lineRule="auto"/>
        <w:jc w:val="both"/>
        <w:rPr>
          <w:rFonts w:ascii="Palatino Linotype" w:eastAsia="Palatino Linotype" w:hAnsi="Palatino Linotype" w:cs="Palatino Linotype"/>
          <w:b/>
        </w:rPr>
      </w:pPr>
    </w:p>
    <w:p w14:paraId="3D024181"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Además, el artículo 131 de la Ley referida, así como el Quinto de los Lineamientos Generales, establecen que los sujetos obligados </w:t>
      </w:r>
      <w:r w:rsidRPr="00B92276">
        <w:rPr>
          <w:rFonts w:ascii="Palatino Linotype" w:eastAsia="Palatino Linotype" w:hAnsi="Palatino Linotype" w:cs="Palatino Linotype"/>
          <w:b/>
        </w:rPr>
        <w:t>deberán fundar y motivar</w:t>
      </w:r>
      <w:r w:rsidRPr="00B92276">
        <w:rPr>
          <w:rFonts w:ascii="Palatino Linotype" w:eastAsia="Palatino Linotype" w:hAnsi="Palatino Linotype" w:cs="Palatino Linotype"/>
        </w:rPr>
        <w:t xml:space="preserve"> debidamente la clasificación de la información.</w:t>
      </w:r>
    </w:p>
    <w:p w14:paraId="1A97CEA1" w14:textId="77777777" w:rsidR="003248E0" w:rsidRPr="00B92276" w:rsidRDefault="003248E0">
      <w:pPr>
        <w:spacing w:after="0" w:line="360" w:lineRule="auto"/>
        <w:jc w:val="both"/>
        <w:rPr>
          <w:rFonts w:ascii="Palatino Linotype" w:eastAsia="Palatino Linotype" w:hAnsi="Palatino Linotype" w:cs="Palatino Linotype"/>
        </w:rPr>
      </w:pPr>
    </w:p>
    <w:p w14:paraId="4CDEA505"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Al respecto, el Octavo de los Lineamientos Generales, precisa lo siguiente:</w:t>
      </w:r>
    </w:p>
    <w:p w14:paraId="146D82F1" w14:textId="77777777" w:rsidR="003248E0" w:rsidRPr="00B92276" w:rsidRDefault="003248E0">
      <w:pPr>
        <w:spacing w:after="0" w:line="360" w:lineRule="auto"/>
        <w:jc w:val="both"/>
        <w:rPr>
          <w:rFonts w:ascii="Palatino Linotype" w:eastAsia="Palatino Linotype" w:hAnsi="Palatino Linotype" w:cs="Palatino Linotype"/>
        </w:rPr>
      </w:pPr>
    </w:p>
    <w:p w14:paraId="48450E06" w14:textId="77777777" w:rsidR="003248E0" w:rsidRPr="00B92276" w:rsidRDefault="002D080F">
      <w:pPr>
        <w:numPr>
          <w:ilvl w:val="0"/>
          <w:numId w:val="3"/>
        </w:num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lastRenderedPageBreak/>
        <w:t>Para fundar la clasificación</w:t>
      </w:r>
      <w:r w:rsidRPr="00B92276">
        <w:rPr>
          <w:rFonts w:ascii="Palatino Linotype" w:eastAsia="Palatino Linotype" w:hAnsi="Palatino Linotype" w:cs="Palatino Linotype"/>
        </w:rPr>
        <w:t xml:space="preserve"> de la información se deberán señalar el artículo, fracción, inciso, párrafo o numeral de la Ley aplicable;</w:t>
      </w:r>
    </w:p>
    <w:p w14:paraId="1C37D80B" w14:textId="77777777" w:rsidR="003248E0" w:rsidRPr="00B92276" w:rsidRDefault="002D080F">
      <w:pPr>
        <w:numPr>
          <w:ilvl w:val="0"/>
          <w:numId w:val="3"/>
        </w:num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t>Para motivar la clasificación</w:t>
      </w:r>
      <w:r w:rsidRPr="00B92276">
        <w:rPr>
          <w:rFonts w:ascii="Palatino Linotype" w:eastAsia="Palatino Linotype" w:hAnsi="Palatino Linotype" w:cs="Palatino Linotype"/>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2567EC00" w14:textId="77777777" w:rsidR="003248E0" w:rsidRPr="00B92276" w:rsidRDefault="003248E0">
      <w:pPr>
        <w:pBdr>
          <w:top w:val="nil"/>
          <w:left w:val="nil"/>
          <w:bottom w:val="nil"/>
          <w:right w:val="nil"/>
          <w:between w:val="nil"/>
        </w:pBdr>
        <w:spacing w:after="0" w:line="360" w:lineRule="auto"/>
        <w:ind w:left="720"/>
        <w:rPr>
          <w:rFonts w:ascii="Palatino Linotype" w:eastAsia="Palatino Linotype" w:hAnsi="Palatino Linotype" w:cs="Palatino Linotype"/>
        </w:rPr>
      </w:pPr>
    </w:p>
    <w:p w14:paraId="1ED572DA"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7DA3C72B" w14:textId="77777777" w:rsidR="003248E0" w:rsidRPr="00B92276" w:rsidRDefault="003248E0">
      <w:pPr>
        <w:spacing w:after="0" w:line="360" w:lineRule="auto"/>
        <w:jc w:val="both"/>
        <w:rPr>
          <w:rFonts w:ascii="Palatino Linotype" w:eastAsia="Palatino Linotype" w:hAnsi="Palatino Linotype" w:cs="Palatino Linotype"/>
        </w:rPr>
      </w:pPr>
    </w:p>
    <w:p w14:paraId="0F1CC2BF" w14:textId="77777777" w:rsidR="003248E0" w:rsidRPr="00B92276" w:rsidRDefault="002D080F">
      <w:pPr>
        <w:spacing w:after="0"/>
        <w:ind w:left="567" w:right="567"/>
        <w:jc w:val="both"/>
        <w:rPr>
          <w:rFonts w:ascii="Palatino Linotype" w:eastAsia="Palatino Linotype" w:hAnsi="Palatino Linotype" w:cs="Palatino Linotype"/>
          <w:i/>
        </w:rPr>
      </w:pPr>
      <w:r w:rsidRPr="00B92276">
        <w:rPr>
          <w:rFonts w:ascii="Palatino Linotype" w:eastAsia="Palatino Linotype" w:hAnsi="Palatino Linotype" w:cs="Palatino Linotype"/>
          <w:b/>
          <w:i/>
        </w:rPr>
        <w:t xml:space="preserve">“FUNDAMENTACION Y MOTIVACION, CONCEPTO DE. </w:t>
      </w:r>
      <w:r w:rsidRPr="00B92276">
        <w:rPr>
          <w:rFonts w:ascii="Palatino Linotype" w:eastAsia="Palatino Linotype" w:hAnsi="Palatino Linotype" w:cs="Palatino Linotype"/>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5D67D21B" w14:textId="77777777" w:rsidR="003248E0" w:rsidRPr="00B92276" w:rsidRDefault="003248E0">
      <w:pPr>
        <w:spacing w:after="0"/>
        <w:ind w:left="567" w:right="567"/>
        <w:jc w:val="both"/>
        <w:rPr>
          <w:rFonts w:ascii="Palatino Linotype" w:eastAsia="Palatino Linotype" w:hAnsi="Palatino Linotype" w:cs="Palatino Linotype"/>
          <w:i/>
        </w:rPr>
      </w:pPr>
    </w:p>
    <w:p w14:paraId="72F442E7"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Conforme a lo anterior, se advierte lo siguiente:</w:t>
      </w:r>
    </w:p>
    <w:p w14:paraId="1FB783BE" w14:textId="77777777" w:rsidR="003248E0" w:rsidRPr="00B92276" w:rsidRDefault="003248E0">
      <w:pPr>
        <w:spacing w:after="0" w:line="360" w:lineRule="auto"/>
        <w:jc w:val="both"/>
        <w:rPr>
          <w:rFonts w:ascii="Palatino Linotype" w:eastAsia="Palatino Linotype" w:hAnsi="Palatino Linotype" w:cs="Palatino Linotype"/>
        </w:rPr>
      </w:pPr>
    </w:p>
    <w:p w14:paraId="5E45D22F" w14:textId="77777777" w:rsidR="003248E0" w:rsidRPr="00B92276" w:rsidRDefault="002D080F">
      <w:pPr>
        <w:numPr>
          <w:ilvl w:val="0"/>
          <w:numId w:val="9"/>
        </w:numP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b/>
        </w:rPr>
        <w:lastRenderedPageBreak/>
        <w:t xml:space="preserve">Fundamentación: </w:t>
      </w:r>
      <w:r w:rsidRPr="00B92276">
        <w:rPr>
          <w:rFonts w:ascii="Palatino Linotype" w:eastAsia="Palatino Linotype" w:hAnsi="Palatino Linotype" w:cs="Palatino Linotype"/>
        </w:rPr>
        <w:t>Obligación de la autoridad que emite un acto, para citar los preceptos legales, sustantivos y adjetivos, en que se apoye para la determinación tomada.</w:t>
      </w:r>
    </w:p>
    <w:p w14:paraId="379D3DD3" w14:textId="77777777" w:rsidR="003248E0" w:rsidRPr="00B92276" w:rsidRDefault="002D080F">
      <w:pPr>
        <w:numPr>
          <w:ilvl w:val="0"/>
          <w:numId w:val="9"/>
        </w:numP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b/>
        </w:rPr>
        <w:t xml:space="preserve">Motivación: </w:t>
      </w:r>
      <w:r w:rsidRPr="00B92276">
        <w:rPr>
          <w:rFonts w:ascii="Palatino Linotype" w:eastAsia="Palatino Linotype" w:hAnsi="Palatino Linotype" w:cs="Palatino Linotype"/>
        </w:rPr>
        <w:t>Razonamientos lógico-jurídicos sobre porque se consideró en el caso en concreto, que se ajusta a la hipótesis normativa.</w:t>
      </w:r>
    </w:p>
    <w:p w14:paraId="26599EF2" w14:textId="77777777" w:rsidR="003248E0" w:rsidRPr="00B92276" w:rsidRDefault="003248E0">
      <w:pPr>
        <w:spacing w:after="0" w:line="360" w:lineRule="auto"/>
        <w:jc w:val="both"/>
        <w:rPr>
          <w:rFonts w:ascii="Palatino Linotype" w:eastAsia="Palatino Linotype" w:hAnsi="Palatino Linotype" w:cs="Palatino Linotype"/>
        </w:rPr>
      </w:pPr>
    </w:p>
    <w:p w14:paraId="573374D7"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En ese orden de ideas, el Trigésimo tercero de los Lineamientos Generales, establece la forma en que se debe fundamentar y motivar la reserva de la información, es decir, a través de los siguientes pasos:</w:t>
      </w:r>
    </w:p>
    <w:p w14:paraId="6C164E85" w14:textId="77777777" w:rsidR="003248E0" w:rsidRPr="00B92276" w:rsidRDefault="003248E0">
      <w:pPr>
        <w:spacing w:after="0" w:line="360" w:lineRule="auto"/>
        <w:jc w:val="both"/>
        <w:rPr>
          <w:rFonts w:ascii="Palatino Linotype" w:eastAsia="Palatino Linotype" w:hAnsi="Palatino Linotype" w:cs="Palatino Linotype"/>
        </w:rPr>
      </w:pPr>
    </w:p>
    <w:p w14:paraId="2ECF2C2B" w14:textId="77777777" w:rsidR="003248E0" w:rsidRPr="00B92276" w:rsidRDefault="002D080F">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5CDE3E05" w14:textId="77777777" w:rsidR="003248E0" w:rsidRPr="00B92276" w:rsidRDefault="002D080F">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Se deberá demostrar que la publicidad de la información generaría un riesgo de perjuicio, que rebasa el interés público;</w:t>
      </w:r>
    </w:p>
    <w:p w14:paraId="54FE1BD5" w14:textId="77777777" w:rsidR="003248E0" w:rsidRPr="00B92276" w:rsidRDefault="002D080F">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Se acreditará el vínculo entre la difusión de la información y la afectación del interés jurídico tutelado;</w:t>
      </w:r>
    </w:p>
    <w:p w14:paraId="337EA84D" w14:textId="77777777" w:rsidR="003248E0" w:rsidRPr="00B92276" w:rsidRDefault="002D080F">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Se precisará las razones objetivas por las que la apertura de la información generaría una afectación, por medio del riesgo real, demostrable e identificable;</w:t>
      </w:r>
    </w:p>
    <w:p w14:paraId="1D0B575C" w14:textId="77777777" w:rsidR="003248E0" w:rsidRPr="00B92276" w:rsidRDefault="002D080F">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Se deberán señalar las circunstancias de modo, tiempo y lugar del daño, y</w:t>
      </w:r>
    </w:p>
    <w:p w14:paraId="57231F8A" w14:textId="77777777" w:rsidR="003248E0" w:rsidRPr="00B92276" w:rsidRDefault="002D080F">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Se elegirá la opción de excepción al acceso a la información que menos restrinja, la cual será adecuada y proporcional para la protección del interés público.</w:t>
      </w:r>
    </w:p>
    <w:p w14:paraId="797DD708" w14:textId="77777777" w:rsidR="003248E0" w:rsidRPr="00B92276" w:rsidRDefault="003248E0">
      <w:pPr>
        <w:spacing w:after="0" w:line="360" w:lineRule="auto"/>
        <w:jc w:val="both"/>
        <w:rPr>
          <w:rFonts w:ascii="Palatino Linotype" w:eastAsia="Palatino Linotype" w:hAnsi="Palatino Linotype" w:cs="Palatino Linotype"/>
        </w:rPr>
      </w:pPr>
    </w:p>
    <w:p w14:paraId="6BAF4F4E"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lastRenderedPageBreak/>
        <w:t xml:space="preserve">Ahora bien, toda vez que, el Comité de Transparencia reservó la información solicitada en apego a la fracción X del 140 de la Ley de Transparencia Local, se procede a analizar dicha causal, al tenor de lo siguiente: </w:t>
      </w:r>
    </w:p>
    <w:p w14:paraId="3F8257DA" w14:textId="77777777" w:rsidR="003248E0" w:rsidRPr="00B92276" w:rsidRDefault="003248E0">
      <w:pPr>
        <w:spacing w:after="0" w:line="360" w:lineRule="auto"/>
        <w:jc w:val="both"/>
        <w:rPr>
          <w:rFonts w:ascii="Palatino Linotype" w:eastAsia="Palatino Linotype" w:hAnsi="Palatino Linotype" w:cs="Palatino Linotype"/>
        </w:rPr>
      </w:pPr>
    </w:p>
    <w:p w14:paraId="06710B0F" w14:textId="77777777" w:rsidR="003248E0" w:rsidRPr="00B92276" w:rsidRDefault="002D080F">
      <w:pPr>
        <w:spacing w:after="0" w:line="360" w:lineRule="auto"/>
        <w:jc w:val="both"/>
        <w:rPr>
          <w:rFonts w:ascii="Palatino Linotype" w:eastAsia="Palatino Linotype" w:hAnsi="Palatino Linotype" w:cs="Palatino Linotype"/>
          <w:b/>
          <w:u w:val="single"/>
        </w:rPr>
      </w:pPr>
      <w:r w:rsidRPr="00B92276">
        <w:rPr>
          <w:rFonts w:ascii="Palatino Linotype" w:eastAsia="Palatino Linotype" w:hAnsi="Palatino Linotype" w:cs="Palatino Linotype"/>
        </w:rPr>
        <w:t xml:space="preserve">De acuerdo con lo que establece el artículo 140, fracción X, de la Ley de Transparencia y Acceso a la Información Pública del Estado de México y Municipios, </w:t>
      </w:r>
      <w:r w:rsidRPr="00B92276">
        <w:rPr>
          <w:rFonts w:ascii="Palatino Linotype" w:eastAsia="Palatino Linotype" w:hAnsi="Palatino Linotype" w:cs="Palatino Linotype"/>
          <w:b/>
          <w:u w:val="single"/>
        </w:rPr>
        <w:t>será información reservada, aquella en la que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9C1EF27" w14:textId="77777777" w:rsidR="003248E0" w:rsidRPr="00B92276" w:rsidRDefault="003248E0">
      <w:pPr>
        <w:spacing w:after="0" w:line="360" w:lineRule="auto"/>
        <w:jc w:val="both"/>
        <w:rPr>
          <w:rFonts w:ascii="Palatino Linotype" w:eastAsia="Palatino Linotype" w:hAnsi="Palatino Linotype" w:cs="Palatino Linotype"/>
        </w:rPr>
      </w:pPr>
    </w:p>
    <w:p w14:paraId="6000878E"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En ese sentido, los Lineamientos Generales prevén lo siguiente:</w:t>
      </w:r>
    </w:p>
    <w:p w14:paraId="0F5D2B01" w14:textId="77777777" w:rsidR="003248E0" w:rsidRPr="00B92276" w:rsidRDefault="003248E0">
      <w:pPr>
        <w:spacing w:after="0" w:line="360" w:lineRule="auto"/>
        <w:ind w:left="567" w:right="985"/>
        <w:jc w:val="both"/>
        <w:rPr>
          <w:rFonts w:ascii="Palatino Linotype" w:eastAsia="Palatino Linotype" w:hAnsi="Palatino Linotype" w:cs="Palatino Linotype"/>
          <w:b/>
          <w:i/>
        </w:rPr>
      </w:pPr>
    </w:p>
    <w:p w14:paraId="044785BB" w14:textId="77777777" w:rsidR="003248E0" w:rsidRPr="00B92276" w:rsidRDefault="002D080F">
      <w:pPr>
        <w:spacing w:after="0" w:line="360" w:lineRule="auto"/>
        <w:ind w:left="567" w:right="985"/>
        <w:jc w:val="both"/>
        <w:rPr>
          <w:rFonts w:ascii="Palatino Linotype" w:eastAsia="Palatino Linotype" w:hAnsi="Palatino Linotype" w:cs="Palatino Linotype"/>
          <w:i/>
        </w:rPr>
      </w:pPr>
      <w:r w:rsidRPr="00B92276">
        <w:rPr>
          <w:rFonts w:ascii="Palatino Linotype" w:eastAsia="Palatino Linotype" w:hAnsi="Palatino Linotype" w:cs="Palatino Linotype"/>
          <w:b/>
          <w:i/>
        </w:rPr>
        <w:t>“Vigésimo noveno.</w:t>
      </w:r>
      <w:r w:rsidRPr="00B92276">
        <w:rPr>
          <w:rFonts w:ascii="Palatino Linotype" w:eastAsia="Palatino Linotype" w:hAnsi="Palatino Linotype" w:cs="Palatino Linotype"/>
          <w:i/>
        </w:rPr>
        <w:t> De conformidad con el artículo 113, fracción X de la Ley General, podrá considerarse como información reservada, aquella que de divulgarse afecte el debido proceso al actualizarse los siguientes elementos:</w:t>
      </w:r>
    </w:p>
    <w:p w14:paraId="46E20B88" w14:textId="77777777" w:rsidR="003248E0" w:rsidRPr="00B92276" w:rsidRDefault="002D080F">
      <w:pPr>
        <w:spacing w:after="0" w:line="360" w:lineRule="auto"/>
        <w:ind w:left="567" w:right="985"/>
        <w:jc w:val="both"/>
        <w:rPr>
          <w:rFonts w:ascii="Palatino Linotype" w:eastAsia="Palatino Linotype" w:hAnsi="Palatino Linotype" w:cs="Palatino Linotype"/>
          <w:i/>
        </w:rPr>
      </w:pPr>
      <w:r w:rsidRPr="00B92276">
        <w:rPr>
          <w:rFonts w:ascii="Palatino Linotype" w:eastAsia="Palatino Linotype" w:hAnsi="Palatino Linotype" w:cs="Palatino Linotype"/>
          <w:b/>
          <w:i/>
        </w:rPr>
        <w:t>I.</w:t>
      </w:r>
      <w:r w:rsidRPr="00B92276">
        <w:rPr>
          <w:rFonts w:ascii="Palatino Linotype" w:eastAsia="Palatino Linotype" w:hAnsi="Palatino Linotype" w:cs="Palatino Linotype"/>
          <w:i/>
        </w:rPr>
        <w:t>        La existencia de un procedimiento judicial, administrativo o arbitral en trámite;</w:t>
      </w:r>
    </w:p>
    <w:p w14:paraId="68E14DE0" w14:textId="77777777" w:rsidR="003248E0" w:rsidRPr="00B92276" w:rsidRDefault="002D080F">
      <w:pPr>
        <w:spacing w:after="0" w:line="360" w:lineRule="auto"/>
        <w:ind w:left="567" w:right="985"/>
        <w:jc w:val="both"/>
        <w:rPr>
          <w:rFonts w:ascii="Palatino Linotype" w:eastAsia="Palatino Linotype" w:hAnsi="Palatino Linotype" w:cs="Palatino Linotype"/>
          <w:i/>
        </w:rPr>
      </w:pPr>
      <w:r w:rsidRPr="00B92276">
        <w:rPr>
          <w:rFonts w:ascii="Palatino Linotype" w:eastAsia="Palatino Linotype" w:hAnsi="Palatino Linotype" w:cs="Palatino Linotype"/>
          <w:b/>
          <w:i/>
        </w:rPr>
        <w:t>II.</w:t>
      </w:r>
      <w:r w:rsidRPr="00B92276">
        <w:rPr>
          <w:rFonts w:ascii="Palatino Linotype" w:eastAsia="Palatino Linotype" w:hAnsi="Palatino Linotype" w:cs="Palatino Linotype"/>
          <w:i/>
        </w:rPr>
        <w:t>       Que el sujeto obligado sea parte en ese procedimiento;</w:t>
      </w:r>
    </w:p>
    <w:p w14:paraId="267572AD" w14:textId="77777777" w:rsidR="003248E0" w:rsidRPr="00B92276" w:rsidRDefault="002D080F">
      <w:pPr>
        <w:spacing w:after="0" w:line="360" w:lineRule="auto"/>
        <w:ind w:left="567" w:right="985"/>
        <w:jc w:val="both"/>
        <w:rPr>
          <w:rFonts w:ascii="Palatino Linotype" w:eastAsia="Palatino Linotype" w:hAnsi="Palatino Linotype" w:cs="Palatino Linotype"/>
          <w:i/>
        </w:rPr>
      </w:pPr>
      <w:r w:rsidRPr="00B92276">
        <w:rPr>
          <w:rFonts w:ascii="Palatino Linotype" w:eastAsia="Palatino Linotype" w:hAnsi="Palatino Linotype" w:cs="Palatino Linotype"/>
          <w:b/>
          <w:i/>
        </w:rPr>
        <w:t>III.</w:t>
      </w:r>
      <w:r w:rsidRPr="00B92276">
        <w:rPr>
          <w:rFonts w:ascii="Palatino Linotype" w:eastAsia="Palatino Linotype" w:hAnsi="Palatino Linotype" w:cs="Palatino Linotype"/>
          <w:i/>
        </w:rPr>
        <w:t>      Que la información no sea conocida por la contraparte antes de la presentación de la misma en el proceso, y</w:t>
      </w:r>
    </w:p>
    <w:p w14:paraId="02BD2AB2" w14:textId="77777777" w:rsidR="003248E0" w:rsidRPr="00B92276" w:rsidRDefault="002D080F">
      <w:pPr>
        <w:spacing w:after="0" w:line="360" w:lineRule="auto"/>
        <w:ind w:left="567" w:right="985"/>
        <w:jc w:val="both"/>
        <w:rPr>
          <w:rFonts w:ascii="Palatino Linotype" w:eastAsia="Palatino Linotype" w:hAnsi="Palatino Linotype" w:cs="Palatino Linotype"/>
          <w:i/>
        </w:rPr>
      </w:pPr>
      <w:r w:rsidRPr="00B92276">
        <w:rPr>
          <w:rFonts w:ascii="Palatino Linotype" w:eastAsia="Palatino Linotype" w:hAnsi="Palatino Linotype" w:cs="Palatino Linotype"/>
          <w:b/>
          <w:i/>
        </w:rPr>
        <w:t>IV.</w:t>
      </w:r>
      <w:r w:rsidRPr="00B92276">
        <w:rPr>
          <w:rFonts w:ascii="Palatino Linotype" w:eastAsia="Palatino Linotype" w:hAnsi="Palatino Linotype" w:cs="Palatino Linotype"/>
          <w:i/>
        </w:rPr>
        <w:t>      Que con su divulgación se afecte la oportunidad de llevar a cabo alguna de las garantías del debido proceso.”</w:t>
      </w:r>
    </w:p>
    <w:p w14:paraId="2E1BABF5" w14:textId="77777777" w:rsidR="003248E0" w:rsidRPr="00B92276" w:rsidRDefault="003248E0">
      <w:pPr>
        <w:spacing w:after="0" w:line="360" w:lineRule="auto"/>
        <w:jc w:val="both"/>
        <w:rPr>
          <w:rFonts w:ascii="Palatino Linotype" w:eastAsia="Palatino Linotype" w:hAnsi="Palatino Linotype" w:cs="Palatino Linotype"/>
        </w:rPr>
      </w:pPr>
    </w:p>
    <w:p w14:paraId="76A09FCF"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De la normatividad citada, se desprende que el supuesto de clasificación invocado por el sujeto obligado, prevé que como información reservada podrá clasificarse aquella que de divulgarse </w:t>
      </w:r>
      <w:r w:rsidRPr="00B92276">
        <w:rPr>
          <w:rFonts w:ascii="Palatino Linotype" w:eastAsia="Palatino Linotype" w:hAnsi="Palatino Linotype" w:cs="Palatino Linotype"/>
        </w:rPr>
        <w:lastRenderedPageBreak/>
        <w:t>afecte el debido proceso, por lo cual, para considerar que se actualiza dicha causal es necesario que se configuren los siguientes elementos:</w:t>
      </w:r>
    </w:p>
    <w:p w14:paraId="0B1FB5D3" w14:textId="77777777" w:rsidR="003248E0" w:rsidRPr="00B92276" w:rsidRDefault="003248E0">
      <w:pPr>
        <w:spacing w:after="0" w:line="360" w:lineRule="auto"/>
        <w:jc w:val="both"/>
        <w:rPr>
          <w:rFonts w:ascii="Palatino Linotype" w:eastAsia="Palatino Linotype" w:hAnsi="Palatino Linotype" w:cs="Palatino Linotype"/>
        </w:rPr>
      </w:pPr>
    </w:p>
    <w:p w14:paraId="5A8F093C" w14:textId="77777777" w:rsidR="003248E0" w:rsidRPr="00B92276" w:rsidRDefault="002D080F">
      <w:pPr>
        <w:spacing w:after="0" w:line="360" w:lineRule="auto"/>
        <w:ind w:left="720"/>
        <w:jc w:val="both"/>
        <w:rPr>
          <w:rFonts w:ascii="Palatino Linotype" w:eastAsia="Palatino Linotype" w:hAnsi="Palatino Linotype" w:cs="Palatino Linotype"/>
        </w:rPr>
      </w:pPr>
      <w:r w:rsidRPr="00B92276">
        <w:rPr>
          <w:rFonts w:ascii="Palatino Linotype" w:eastAsia="Palatino Linotype" w:hAnsi="Palatino Linotype" w:cs="Palatino Linotype"/>
          <w:b/>
        </w:rPr>
        <w:t>I.</w:t>
      </w:r>
      <w:r w:rsidRPr="00B92276">
        <w:rPr>
          <w:rFonts w:ascii="Palatino Linotype" w:eastAsia="Palatino Linotype" w:hAnsi="Palatino Linotype" w:cs="Palatino Linotype"/>
        </w:rPr>
        <w:t>        La existencia de un procedimiento judicial, administrativo o arbitral en trámite;</w:t>
      </w:r>
    </w:p>
    <w:p w14:paraId="3C623BBB" w14:textId="77777777" w:rsidR="003248E0" w:rsidRPr="00B92276" w:rsidRDefault="002D080F">
      <w:pPr>
        <w:spacing w:after="0" w:line="360" w:lineRule="auto"/>
        <w:ind w:left="720"/>
        <w:jc w:val="both"/>
        <w:rPr>
          <w:rFonts w:ascii="Palatino Linotype" w:eastAsia="Palatino Linotype" w:hAnsi="Palatino Linotype" w:cs="Palatino Linotype"/>
        </w:rPr>
      </w:pPr>
      <w:r w:rsidRPr="00B92276">
        <w:rPr>
          <w:rFonts w:ascii="Palatino Linotype" w:eastAsia="Palatino Linotype" w:hAnsi="Palatino Linotype" w:cs="Palatino Linotype"/>
          <w:b/>
        </w:rPr>
        <w:t>II.</w:t>
      </w:r>
      <w:r w:rsidRPr="00B92276">
        <w:rPr>
          <w:rFonts w:ascii="Palatino Linotype" w:eastAsia="Palatino Linotype" w:hAnsi="Palatino Linotype" w:cs="Palatino Linotype"/>
        </w:rPr>
        <w:t>       Que el sujeto obligado sea parte en ese procedimiento;</w:t>
      </w:r>
    </w:p>
    <w:p w14:paraId="1F9A5538" w14:textId="77777777" w:rsidR="003248E0" w:rsidRPr="00B92276" w:rsidRDefault="002D080F">
      <w:pPr>
        <w:spacing w:after="0" w:line="360" w:lineRule="auto"/>
        <w:ind w:left="720"/>
        <w:jc w:val="both"/>
        <w:rPr>
          <w:rFonts w:ascii="Palatino Linotype" w:eastAsia="Palatino Linotype" w:hAnsi="Palatino Linotype" w:cs="Palatino Linotype"/>
        </w:rPr>
      </w:pPr>
      <w:r w:rsidRPr="00B92276">
        <w:rPr>
          <w:rFonts w:ascii="Palatino Linotype" w:eastAsia="Palatino Linotype" w:hAnsi="Palatino Linotype" w:cs="Palatino Linotype"/>
          <w:b/>
        </w:rPr>
        <w:t>III.</w:t>
      </w:r>
      <w:r w:rsidRPr="00B92276">
        <w:rPr>
          <w:rFonts w:ascii="Palatino Linotype" w:eastAsia="Palatino Linotype" w:hAnsi="Palatino Linotype" w:cs="Palatino Linotype"/>
        </w:rPr>
        <w:t>      Que la información no sea conocida por la contraparte antes de la presentación de la misma en el proceso, y</w:t>
      </w:r>
    </w:p>
    <w:p w14:paraId="7EC4087A" w14:textId="77777777" w:rsidR="003248E0" w:rsidRPr="00B92276" w:rsidRDefault="002D080F">
      <w:pPr>
        <w:spacing w:after="0" w:line="360" w:lineRule="auto"/>
        <w:ind w:left="720"/>
        <w:jc w:val="both"/>
        <w:rPr>
          <w:rFonts w:ascii="Palatino Linotype" w:eastAsia="Palatino Linotype" w:hAnsi="Palatino Linotype" w:cs="Palatino Linotype"/>
        </w:rPr>
      </w:pPr>
      <w:r w:rsidRPr="00B92276">
        <w:rPr>
          <w:rFonts w:ascii="Palatino Linotype" w:eastAsia="Palatino Linotype" w:hAnsi="Palatino Linotype" w:cs="Palatino Linotype"/>
          <w:b/>
        </w:rPr>
        <w:t>IV.</w:t>
      </w:r>
      <w:r w:rsidRPr="00B92276">
        <w:rPr>
          <w:rFonts w:ascii="Palatino Linotype" w:eastAsia="Palatino Linotype" w:hAnsi="Palatino Linotype" w:cs="Palatino Linotype"/>
        </w:rPr>
        <w:t>      Que con su divulgación se afecte la oportunidad de llevar a cabo alguna de las garantías del debido proceso.</w:t>
      </w:r>
    </w:p>
    <w:p w14:paraId="418626EF" w14:textId="77777777" w:rsidR="003248E0" w:rsidRPr="00B92276" w:rsidRDefault="003248E0">
      <w:pPr>
        <w:spacing w:after="0" w:line="360" w:lineRule="auto"/>
        <w:jc w:val="both"/>
        <w:rPr>
          <w:rFonts w:ascii="Palatino Linotype" w:eastAsia="Palatino Linotype" w:hAnsi="Palatino Linotype" w:cs="Palatino Linotype"/>
        </w:rPr>
      </w:pPr>
    </w:p>
    <w:p w14:paraId="529066FB"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Con base en lo expuesto, se advierte que la información susceptible de clasificarse como reservada bajo el supuesto aludido por el sujeto obligado, es aquella cuya difusión</w:t>
      </w:r>
      <w:r w:rsidRPr="00B92276">
        <w:t xml:space="preserve"> </w:t>
      </w:r>
      <w:r w:rsidRPr="00B92276">
        <w:rPr>
          <w:rFonts w:ascii="Palatino Linotype" w:eastAsia="Palatino Linotype" w:hAnsi="Palatino Linotype" w:cs="Palatino Linotype"/>
        </w:rPr>
        <w:t xml:space="preserve">afecte el debido proceso, ante la existencia de un procedimiento judicial, administrativo o arbitral en trámite, en donde el Sujeto Obligado es parte. </w:t>
      </w:r>
    </w:p>
    <w:p w14:paraId="08CB81F4" w14:textId="77777777" w:rsidR="003248E0" w:rsidRPr="00B92276" w:rsidRDefault="003248E0">
      <w:pPr>
        <w:spacing w:after="0" w:line="360" w:lineRule="auto"/>
        <w:jc w:val="both"/>
        <w:rPr>
          <w:rFonts w:ascii="Palatino Linotype" w:eastAsia="Palatino Linotype" w:hAnsi="Palatino Linotype" w:cs="Palatino Linotype"/>
        </w:rPr>
      </w:pPr>
    </w:p>
    <w:p w14:paraId="02452E28"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Por lo cual, se procede analizar cada uno de los requisitos señalados en los Lineamientos Generales, con la finalidad de verificar si se configura la hipótesis de reserva en estudio:</w:t>
      </w:r>
    </w:p>
    <w:p w14:paraId="33087712" w14:textId="77777777" w:rsidR="003248E0" w:rsidRPr="00B92276" w:rsidRDefault="003248E0">
      <w:pPr>
        <w:spacing w:after="0" w:line="360" w:lineRule="auto"/>
        <w:jc w:val="both"/>
        <w:rPr>
          <w:rFonts w:ascii="Palatino Linotype" w:eastAsia="Palatino Linotype" w:hAnsi="Palatino Linotype" w:cs="Palatino Linotype"/>
        </w:rPr>
      </w:pPr>
    </w:p>
    <w:p w14:paraId="66CCAC67" w14:textId="77777777" w:rsidR="003248E0" w:rsidRPr="00B92276" w:rsidRDefault="002D080F">
      <w:pPr>
        <w:numPr>
          <w:ilvl w:val="0"/>
          <w:numId w:val="11"/>
        </w:numP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b/>
        </w:rPr>
        <w:t>La existencia de un procedimiento judicial, administrativo o arbitral en trámite.</w:t>
      </w:r>
    </w:p>
    <w:p w14:paraId="54FEEB78" w14:textId="77777777" w:rsidR="003248E0" w:rsidRPr="00B92276" w:rsidRDefault="003248E0">
      <w:pPr>
        <w:spacing w:after="0" w:line="360" w:lineRule="auto"/>
        <w:jc w:val="both"/>
        <w:rPr>
          <w:rFonts w:ascii="Palatino Linotype" w:eastAsia="Palatino Linotype" w:hAnsi="Palatino Linotype" w:cs="Palatino Linotype"/>
          <w:b/>
        </w:rPr>
      </w:pPr>
    </w:p>
    <w:p w14:paraId="529C44B1"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Al respecto, en el presente caso,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indicó las 57 fichas de reparación efectuadas de todos los vehículos asignados a la Unidad de Asuntos Internos, incluyendo los arrendados y prestados en el periodo requerido, se clasificaban como información reservada ya que</w:t>
      </w:r>
      <w:r w:rsidRPr="00B92276">
        <w:t xml:space="preserve"> </w:t>
      </w:r>
      <w:r w:rsidRPr="00B92276">
        <w:rPr>
          <w:rFonts w:ascii="Palatino Linotype" w:eastAsia="Palatino Linotype" w:hAnsi="Palatino Linotype" w:cs="Palatino Linotype"/>
        </w:rPr>
        <w:t xml:space="preserve">de hacerse públicas se podría ocasionar un perjuicio real y directo a los derechos del debido proceso llevado a cabo en las investigaciones relacionadas con procedimientos </w:t>
      </w:r>
      <w:r w:rsidRPr="00B92276">
        <w:rPr>
          <w:rFonts w:ascii="Palatino Linotype" w:eastAsia="Palatino Linotype" w:hAnsi="Palatino Linotype" w:cs="Palatino Linotype"/>
        </w:rPr>
        <w:lastRenderedPageBreak/>
        <w:t>administrativos que no han quedado firmes y que fueron sustanciados por ese sujeto obligado, lo cual actualiza la causal de reserva prevista en la fracción X del artículo 140 de la Ley de Transparencia Local.</w:t>
      </w:r>
    </w:p>
    <w:p w14:paraId="50041BEF" w14:textId="77777777" w:rsidR="003248E0" w:rsidRPr="00B92276" w:rsidRDefault="003248E0">
      <w:pPr>
        <w:spacing w:after="0" w:line="360" w:lineRule="auto"/>
        <w:jc w:val="both"/>
        <w:rPr>
          <w:rFonts w:ascii="Palatino Linotype" w:eastAsia="Palatino Linotype" w:hAnsi="Palatino Linotype" w:cs="Palatino Linotype"/>
        </w:rPr>
      </w:pPr>
    </w:p>
    <w:p w14:paraId="48B06D4D"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Asimismo, se indica que dicha información se encontraba relacionada con la reparación de los vehículos que la Unidad de Asuntos Internos utiliza para llevar a cabo las investigaciones relacionadas a las quejas y denuncias presentadas por presuntas faltas administrativas, así como la ejecución de supervisores para vigilar el cumplimiento al régimen disciplinario de los integrantes de la Secretaría de Seguridad.</w:t>
      </w:r>
    </w:p>
    <w:p w14:paraId="3F9ABA77" w14:textId="77777777" w:rsidR="003248E0" w:rsidRPr="00B92276" w:rsidRDefault="003248E0">
      <w:pPr>
        <w:spacing w:after="0" w:line="360" w:lineRule="auto"/>
        <w:jc w:val="both"/>
        <w:rPr>
          <w:rFonts w:ascii="Palatino Linotype" w:eastAsia="Palatino Linotype" w:hAnsi="Palatino Linotype" w:cs="Palatino Linotype"/>
        </w:rPr>
      </w:pPr>
    </w:p>
    <w:p w14:paraId="2DF0389B"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En ese sentido, en el presente asunto se advierte que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no acreditó fehacientemente que las fichas de reparación requeridas tuvieran relación directa con los procedimientos que se desahogan y tampoco proporcionó elementos detallados que permitieran acreditar la existencia de procedimientos en trámite, como pudiera ser el número de radicación de los procedimientos, la etapa en la que se encuentra cada uno de ellos, o bien, que las fichas de reparación fueran constancias propias del mismo. </w:t>
      </w:r>
    </w:p>
    <w:p w14:paraId="73B84FD2" w14:textId="77777777" w:rsidR="003248E0" w:rsidRPr="00B92276" w:rsidRDefault="003248E0">
      <w:pPr>
        <w:spacing w:after="0" w:line="360" w:lineRule="auto"/>
        <w:jc w:val="both"/>
        <w:rPr>
          <w:rFonts w:ascii="Palatino Linotype" w:eastAsia="Palatino Linotype" w:hAnsi="Palatino Linotype" w:cs="Palatino Linotype"/>
        </w:rPr>
      </w:pPr>
    </w:p>
    <w:p w14:paraId="00DB305E"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Es así que, la simple referencia del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respecto de la información se relaciona con procedimientos en trámite, no basta para acreditar la existencia de un procedimiento judicial, administrativo o arbitral en proceso y, por ende, no se actualiza la primera hipótesis. </w:t>
      </w:r>
    </w:p>
    <w:p w14:paraId="73DB2A09" w14:textId="77777777" w:rsidR="003248E0" w:rsidRPr="00B92276" w:rsidRDefault="003248E0">
      <w:pPr>
        <w:spacing w:after="0" w:line="360" w:lineRule="auto"/>
        <w:jc w:val="both"/>
        <w:rPr>
          <w:rFonts w:ascii="Palatino Linotype" w:eastAsia="Palatino Linotype" w:hAnsi="Palatino Linotype" w:cs="Palatino Linotype"/>
        </w:rPr>
      </w:pPr>
    </w:p>
    <w:p w14:paraId="39E89BB3"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Aunado a que de la motivación que precisa el Sujeto Obligado por la que procede la reserva de la información, se advierte que existe contradicción, ya que además de indicar que la información se relaciona con procedimientos administrativos en contra de servidores públicos que no han quedado firmes, refiere que la reserva es porque es respecto de reparaciones de </w:t>
      </w:r>
      <w:r w:rsidRPr="00B92276">
        <w:rPr>
          <w:rFonts w:ascii="Palatino Linotype" w:eastAsia="Palatino Linotype" w:hAnsi="Palatino Linotype" w:cs="Palatino Linotype"/>
        </w:rPr>
        <w:lastRenderedPageBreak/>
        <w:t>vehículos que se utilizan para investigaciones sobre quejas y denuncias por faltas administrativas de servidores públicos.</w:t>
      </w:r>
    </w:p>
    <w:p w14:paraId="2BA9EDC8" w14:textId="77777777" w:rsidR="003248E0" w:rsidRPr="00B92276" w:rsidRDefault="003248E0">
      <w:pPr>
        <w:spacing w:after="0" w:line="360" w:lineRule="auto"/>
        <w:jc w:val="both"/>
        <w:rPr>
          <w:rFonts w:ascii="Palatino Linotype" w:eastAsia="Palatino Linotype" w:hAnsi="Palatino Linotype" w:cs="Palatino Linotype"/>
        </w:rPr>
      </w:pPr>
    </w:p>
    <w:p w14:paraId="3113DDA3"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De lo anterior, se advierte que la reserva también se pretende realizar por el simple hecho de que es sobre vehículos que se utilizan por el personal para las diligencias de investigación en procedimientos por presuntas faltas administrativas, lo cual tampoco acredita la existencia de dichos procedimientos administrativos en trámite, ni el cumplimiento de la presente hipótesis.</w:t>
      </w:r>
    </w:p>
    <w:p w14:paraId="622A70BB" w14:textId="77777777" w:rsidR="003248E0" w:rsidRPr="00B92276" w:rsidRDefault="003248E0">
      <w:pPr>
        <w:spacing w:after="0" w:line="360" w:lineRule="auto"/>
        <w:jc w:val="both"/>
        <w:rPr>
          <w:rFonts w:ascii="Palatino Linotype" w:eastAsia="Palatino Linotype" w:hAnsi="Palatino Linotype" w:cs="Palatino Linotype"/>
        </w:rPr>
      </w:pPr>
    </w:p>
    <w:p w14:paraId="1133B0D2" w14:textId="77777777" w:rsidR="003248E0" w:rsidRPr="00B92276" w:rsidRDefault="002D080F">
      <w:pPr>
        <w:numPr>
          <w:ilvl w:val="0"/>
          <w:numId w:val="11"/>
        </w:numPr>
        <w:pBdr>
          <w:top w:val="nil"/>
          <w:left w:val="nil"/>
          <w:bottom w:val="nil"/>
          <w:right w:val="nil"/>
          <w:between w:val="nil"/>
        </w:pBdr>
        <w:spacing w:after="0" w:line="360" w:lineRule="auto"/>
        <w:rPr>
          <w:rFonts w:ascii="Palatino Linotype" w:eastAsia="Palatino Linotype" w:hAnsi="Palatino Linotype" w:cs="Palatino Linotype"/>
          <w:b/>
        </w:rPr>
      </w:pPr>
      <w:r w:rsidRPr="00B92276">
        <w:rPr>
          <w:rFonts w:ascii="Palatino Linotype" w:eastAsia="Palatino Linotype" w:hAnsi="Palatino Linotype" w:cs="Palatino Linotype"/>
          <w:b/>
        </w:rPr>
        <w:t>Que el sujeto obligado sea parte en ese procedimiento:</w:t>
      </w:r>
    </w:p>
    <w:p w14:paraId="07131793"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 </w:t>
      </w:r>
    </w:p>
    <w:p w14:paraId="027C071F"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Ahora bien, en el presente caso,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señaló que, era parte dentro de los procedimientos de responsabilidad administrativa como autoridad investigadora, cuya actividad jurisdiccional inicia al momento de la presentación de una queja o denuncia en contra de los integrantes de la Secretaría de Seguridad del Estado de México, o bien, de oficio de acuerdo con las acciones y estrategias de investigación y las técnicas de inspección y supervisión, además que refiere que se encuentra recabando todas las pruebas y elementos de convicción que le hagan determinar dentro del ámbito de su competencia si se solicita el inicio del procedimiento administrativo a la Comisión de Honor y Justicia o se informa al Órgano Interno de Control la existencia de una probable responsabilidad administrativa, con motivo de quejas o denuncias en contra de los integrantes de la Secretaría de Seguridad del Estado de México.</w:t>
      </w:r>
    </w:p>
    <w:p w14:paraId="6B29E3E3" w14:textId="77777777" w:rsidR="003248E0" w:rsidRPr="00B92276" w:rsidRDefault="003248E0">
      <w:pPr>
        <w:spacing w:after="0" w:line="360" w:lineRule="auto"/>
        <w:jc w:val="both"/>
        <w:rPr>
          <w:rFonts w:ascii="Palatino Linotype" w:eastAsia="Palatino Linotype" w:hAnsi="Palatino Linotype" w:cs="Palatino Linotype"/>
        </w:rPr>
      </w:pPr>
    </w:p>
    <w:p w14:paraId="41185B13"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No obstante, como anteriormente se refirió,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no acreditó fehacientemente que las fichas de reparaciones de los vehículos de la Unidad de Asuntos Internos tuvieran relación directa con los procedimientos que se desahogan o incluso de su existencia, razón por </w:t>
      </w:r>
      <w:r w:rsidRPr="00B92276">
        <w:rPr>
          <w:rFonts w:ascii="Palatino Linotype" w:eastAsia="Palatino Linotype" w:hAnsi="Palatino Linotype" w:cs="Palatino Linotype"/>
        </w:rPr>
        <w:lastRenderedPageBreak/>
        <w:t>la que, en el presente caso, tampoco se puede determinar que en todos los expedientes que se encuentren en trámite obren las fichas de reparación requeridas, así como, que sea parte del procedimiento; por lo que no se acredita el cumplimiento de dicho requisito.</w:t>
      </w:r>
    </w:p>
    <w:p w14:paraId="5E6ACFFA" w14:textId="77777777" w:rsidR="003248E0" w:rsidRPr="00B92276" w:rsidRDefault="003248E0">
      <w:pPr>
        <w:spacing w:after="0" w:line="360" w:lineRule="auto"/>
        <w:jc w:val="both"/>
        <w:rPr>
          <w:rFonts w:ascii="Palatino Linotype" w:eastAsia="Palatino Linotype" w:hAnsi="Palatino Linotype" w:cs="Palatino Linotype"/>
        </w:rPr>
      </w:pPr>
    </w:p>
    <w:p w14:paraId="42B98F20" w14:textId="77777777" w:rsidR="003248E0" w:rsidRPr="00B92276" w:rsidRDefault="002D080F">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b/>
        </w:rPr>
        <w:t>Que la información no sea conocida por la contraparte antes de la presentación de la misma en el proceso.</w:t>
      </w:r>
    </w:p>
    <w:p w14:paraId="63B48847"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 </w:t>
      </w:r>
    </w:p>
    <w:p w14:paraId="1FDCFAD7"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Al respecto, el Sujeto Obligado en la referida Acta del Comité de Transparencia, indicó que no se podía dar a conocer la información requerida porque vulneraría el debido proceso en los procedimientos que no están firmes; situación que no acredita el cumplimiento de dicho requisito, ya que no se demuestra el tipo de información que obra las fichas de reparación requeridas y las razones por las que no puede ser conocida por la hoy parte </w:t>
      </w:r>
      <w:r w:rsidRPr="00B92276">
        <w:rPr>
          <w:rFonts w:ascii="Palatino Linotype" w:eastAsia="Palatino Linotype" w:hAnsi="Palatino Linotype" w:cs="Palatino Linotype"/>
          <w:b/>
        </w:rPr>
        <w:t>Recurrente</w:t>
      </w:r>
      <w:r w:rsidRPr="00B92276">
        <w:rPr>
          <w:rFonts w:ascii="Palatino Linotype" w:eastAsia="Palatino Linotype" w:hAnsi="Palatino Linotype" w:cs="Palatino Linotype"/>
        </w:rPr>
        <w:t xml:space="preserve">. </w:t>
      </w:r>
    </w:p>
    <w:p w14:paraId="7B8FC4EC" w14:textId="77777777" w:rsidR="003248E0" w:rsidRPr="00B92276" w:rsidRDefault="003248E0">
      <w:pPr>
        <w:spacing w:after="0" w:line="360" w:lineRule="auto"/>
        <w:jc w:val="both"/>
        <w:rPr>
          <w:rFonts w:ascii="Palatino Linotype" w:eastAsia="Palatino Linotype" w:hAnsi="Palatino Linotype" w:cs="Palatino Linotype"/>
        </w:rPr>
      </w:pPr>
    </w:p>
    <w:p w14:paraId="55828220" w14:textId="77777777" w:rsidR="003248E0" w:rsidRPr="00B92276" w:rsidRDefault="002D080F">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b/>
        </w:rPr>
        <w:t>Que la información con su divulgación se afecte la oportunidad de llevar a cabo alguna de las garantías del debido proceso.</w:t>
      </w:r>
    </w:p>
    <w:p w14:paraId="0AC6F127" w14:textId="77777777" w:rsidR="003248E0" w:rsidRPr="00B92276" w:rsidRDefault="003248E0">
      <w:pPr>
        <w:spacing w:after="0" w:line="360" w:lineRule="auto"/>
        <w:jc w:val="both"/>
        <w:rPr>
          <w:rFonts w:ascii="Palatino Linotype" w:eastAsia="Palatino Linotype" w:hAnsi="Palatino Linotype" w:cs="Palatino Linotype"/>
        </w:rPr>
      </w:pPr>
    </w:p>
    <w:p w14:paraId="0D1E0B63"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Sobre dicho requisito, el </w:t>
      </w:r>
      <w:r w:rsidRPr="00B92276">
        <w:rPr>
          <w:rFonts w:ascii="Palatino Linotype" w:eastAsia="Palatino Linotype" w:hAnsi="Palatino Linotype" w:cs="Palatino Linotype"/>
          <w:b/>
        </w:rPr>
        <w:t xml:space="preserve">Sujeto Obligado </w:t>
      </w:r>
      <w:r w:rsidRPr="00B92276">
        <w:rPr>
          <w:rFonts w:ascii="Palatino Linotype" w:eastAsia="Palatino Linotype" w:hAnsi="Palatino Linotype" w:cs="Palatino Linotype"/>
        </w:rPr>
        <w:t>fue omiso en indicar la razón por la que la divulgación de la información afectaría la oportunidad de llevar a cabo alguna de las garantías del debido proceso.</w:t>
      </w:r>
    </w:p>
    <w:p w14:paraId="54A77A81" w14:textId="77777777" w:rsidR="003248E0" w:rsidRPr="00B92276" w:rsidRDefault="003248E0">
      <w:pPr>
        <w:spacing w:after="0" w:line="360" w:lineRule="auto"/>
        <w:jc w:val="both"/>
        <w:rPr>
          <w:rFonts w:ascii="Palatino Linotype" w:eastAsia="Palatino Linotype" w:hAnsi="Palatino Linotype" w:cs="Palatino Linotype"/>
        </w:rPr>
      </w:pPr>
    </w:p>
    <w:p w14:paraId="381380C7"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Respecto lo anterior, es de recordar que el debido proceso es el derecho que tiene toda persona para ejercer su defensa y ser oída dentro de un procedimiento, con las debidas oportunidades y dentro de un plazo razonable, por la autoridad competente previo al reconocimiento o restricción de sus derechos y obligaciones.</w:t>
      </w:r>
    </w:p>
    <w:p w14:paraId="5F402AEE" w14:textId="77777777" w:rsidR="003248E0" w:rsidRPr="00B92276" w:rsidRDefault="003248E0">
      <w:pPr>
        <w:spacing w:after="0" w:line="360" w:lineRule="auto"/>
        <w:jc w:val="both"/>
        <w:rPr>
          <w:rFonts w:ascii="Palatino Linotype" w:eastAsia="Palatino Linotype" w:hAnsi="Palatino Linotype" w:cs="Palatino Linotype"/>
        </w:rPr>
      </w:pPr>
    </w:p>
    <w:p w14:paraId="3BBBE818"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lastRenderedPageBreak/>
        <w:t>Por tales circunstancias, se considera que en el caso no se acredita la reserva de la información bajo la causal analizada, por el incumplimiento a los requisitos para que proceda.</w:t>
      </w:r>
    </w:p>
    <w:p w14:paraId="32C3AF52" w14:textId="77777777" w:rsidR="003248E0" w:rsidRPr="00B92276" w:rsidRDefault="003248E0">
      <w:pPr>
        <w:spacing w:after="0" w:line="360" w:lineRule="auto"/>
        <w:jc w:val="both"/>
        <w:rPr>
          <w:rFonts w:ascii="Palatino Linotype" w:eastAsia="Palatino Linotype" w:hAnsi="Palatino Linotype" w:cs="Palatino Linotype"/>
        </w:rPr>
      </w:pPr>
    </w:p>
    <w:p w14:paraId="1829A506" w14:textId="77777777" w:rsidR="003248E0" w:rsidRPr="00B92276" w:rsidRDefault="002D080F">
      <w:pPr>
        <w:tabs>
          <w:tab w:val="left" w:pos="4962"/>
        </w:tabs>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Por otro lado, cabe traer a colación el artículo 141 de la Ley de Transparencia y Acceso a la Información Pública del Estado de México y Municipios, establece que las causales de reserva se deberán fundar y motivar, a través de la aplicación de la prueba de daño establecida en el artículo 129 de dicho ordenamiento, que se debe justificar de la siguiente manera:</w:t>
      </w:r>
    </w:p>
    <w:p w14:paraId="10AC8E8E" w14:textId="77777777" w:rsidR="003248E0" w:rsidRPr="00B92276" w:rsidRDefault="003248E0">
      <w:pPr>
        <w:tabs>
          <w:tab w:val="left" w:pos="4962"/>
        </w:tabs>
        <w:spacing w:after="0" w:line="360" w:lineRule="auto"/>
        <w:jc w:val="both"/>
        <w:rPr>
          <w:rFonts w:ascii="Palatino Linotype" w:eastAsia="Palatino Linotype" w:hAnsi="Palatino Linotype" w:cs="Palatino Linotype"/>
        </w:rPr>
      </w:pPr>
    </w:p>
    <w:p w14:paraId="46E599FA" w14:textId="77777777" w:rsidR="003248E0" w:rsidRPr="00B92276" w:rsidRDefault="002D080F">
      <w:pPr>
        <w:numPr>
          <w:ilvl w:val="0"/>
          <w:numId w:val="1"/>
        </w:numPr>
        <w:tabs>
          <w:tab w:val="left" w:pos="4962"/>
        </w:tabs>
        <w:spacing w:after="0" w:line="360" w:lineRule="auto"/>
        <w:ind w:left="851" w:hanging="437"/>
        <w:jc w:val="both"/>
        <w:rPr>
          <w:rFonts w:ascii="Palatino Linotype" w:eastAsia="Palatino Linotype" w:hAnsi="Palatino Linotype" w:cs="Palatino Linotype"/>
        </w:rPr>
      </w:pPr>
      <w:r w:rsidRPr="00B92276">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7150F518" w14:textId="77777777" w:rsidR="003248E0" w:rsidRPr="00B92276" w:rsidRDefault="002D080F">
      <w:pPr>
        <w:numPr>
          <w:ilvl w:val="0"/>
          <w:numId w:val="1"/>
        </w:numPr>
        <w:tabs>
          <w:tab w:val="left" w:pos="4962"/>
        </w:tabs>
        <w:spacing w:after="0" w:line="360" w:lineRule="auto"/>
        <w:ind w:left="851" w:hanging="437"/>
        <w:jc w:val="both"/>
        <w:rPr>
          <w:rFonts w:ascii="Palatino Linotype" w:eastAsia="Palatino Linotype" w:hAnsi="Palatino Linotype" w:cs="Palatino Linotype"/>
        </w:rPr>
      </w:pPr>
      <w:r w:rsidRPr="00B92276">
        <w:rPr>
          <w:rFonts w:ascii="Palatino Linotype" w:eastAsia="Palatino Linotype" w:hAnsi="Palatino Linotype" w:cs="Palatino Linotype"/>
        </w:rPr>
        <w:t>El riesgo de perjuicio supera el interés público general de que se difunda.</w:t>
      </w:r>
    </w:p>
    <w:p w14:paraId="49D77B6D" w14:textId="77777777" w:rsidR="003248E0" w:rsidRPr="00B92276" w:rsidRDefault="002D080F">
      <w:pPr>
        <w:numPr>
          <w:ilvl w:val="0"/>
          <w:numId w:val="1"/>
        </w:numPr>
        <w:tabs>
          <w:tab w:val="left" w:pos="4962"/>
        </w:tabs>
        <w:spacing w:after="0" w:line="360" w:lineRule="auto"/>
        <w:ind w:left="851" w:hanging="437"/>
        <w:jc w:val="both"/>
        <w:rPr>
          <w:rFonts w:ascii="Palatino Linotype" w:eastAsia="Palatino Linotype" w:hAnsi="Palatino Linotype" w:cs="Palatino Linotype"/>
        </w:rPr>
      </w:pPr>
      <w:r w:rsidRPr="00B92276">
        <w:rPr>
          <w:rFonts w:ascii="Palatino Linotype" w:eastAsia="Palatino Linotype" w:hAnsi="Palatino Linotype" w:cs="Palatino Linotype"/>
        </w:rPr>
        <w:t>Que la limitación se adecua al principio de proporcionalidad y representa el medio menos restrictivo disponible para evitar el perjuicio.</w:t>
      </w:r>
    </w:p>
    <w:p w14:paraId="6AA6D90A" w14:textId="77777777" w:rsidR="003248E0" w:rsidRPr="00B92276" w:rsidRDefault="003248E0">
      <w:pPr>
        <w:spacing w:after="0" w:line="360" w:lineRule="auto"/>
        <w:jc w:val="both"/>
        <w:rPr>
          <w:rFonts w:ascii="Palatino Linotype" w:eastAsia="Palatino Linotype" w:hAnsi="Palatino Linotype" w:cs="Palatino Linotype"/>
        </w:rPr>
      </w:pPr>
    </w:p>
    <w:p w14:paraId="1DE149AC"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A mayor abundamiento, se analizará el Acta del Comité de Transparencia y su prueba de daño, a fin de establecer si esta cumple con las formalidades exigidas por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y 141, de la Ley de Transparencia y Acceso a la Información Pública del Estado de México y Municipios, se analizará lo siguiente: </w:t>
      </w:r>
    </w:p>
    <w:p w14:paraId="66D41AAE" w14:textId="77777777" w:rsidR="003248E0" w:rsidRPr="00B92276" w:rsidRDefault="003248E0">
      <w:pPr>
        <w:spacing w:after="0" w:line="360" w:lineRule="auto"/>
        <w:jc w:val="both"/>
        <w:rPr>
          <w:rFonts w:ascii="Palatino Linotype" w:eastAsia="Palatino Linotype" w:hAnsi="Palatino Linotype" w:cs="Palatino Linotype"/>
          <w:sz w:val="24"/>
          <w:szCs w:val="24"/>
        </w:rPr>
      </w:pPr>
    </w:p>
    <w:tbl>
      <w:tblPr>
        <w:tblStyle w:val="a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245"/>
        <w:gridCol w:w="2170"/>
      </w:tblGrid>
      <w:tr w:rsidR="00B92276" w:rsidRPr="00B92276" w14:paraId="6B4EE89B"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1225A3E5" w14:textId="77777777" w:rsidR="003248E0" w:rsidRPr="00B92276" w:rsidRDefault="002D080F">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sz w:val="18"/>
                <w:szCs w:val="18"/>
              </w:rPr>
              <w:t>Elementos del acuerdo de clasificación</w:t>
            </w:r>
          </w:p>
        </w:tc>
        <w:tc>
          <w:tcPr>
            <w:tcW w:w="5245" w:type="dxa"/>
            <w:tcBorders>
              <w:top w:val="single" w:sz="4" w:space="0" w:color="000000"/>
              <w:left w:val="single" w:sz="4" w:space="0" w:color="000000"/>
              <w:bottom w:val="single" w:sz="4" w:space="0" w:color="000000"/>
              <w:right w:val="single" w:sz="4" w:space="0" w:color="000000"/>
            </w:tcBorders>
            <w:shd w:val="clear" w:color="auto" w:fill="7B7B7B"/>
          </w:tcPr>
          <w:p w14:paraId="490D4183" w14:textId="77777777" w:rsidR="003248E0" w:rsidRPr="00B92276" w:rsidRDefault="002D080F">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rPr>
              <w:t>Contenido</w:t>
            </w:r>
          </w:p>
        </w:tc>
        <w:tc>
          <w:tcPr>
            <w:tcW w:w="2170" w:type="dxa"/>
            <w:tcBorders>
              <w:top w:val="single" w:sz="4" w:space="0" w:color="000000"/>
              <w:left w:val="single" w:sz="4" w:space="0" w:color="000000"/>
              <w:bottom w:val="single" w:sz="4" w:space="0" w:color="000000"/>
              <w:right w:val="single" w:sz="4" w:space="0" w:color="000000"/>
            </w:tcBorders>
            <w:shd w:val="clear" w:color="auto" w:fill="7B7B7B"/>
          </w:tcPr>
          <w:p w14:paraId="1C9716B5" w14:textId="77777777" w:rsidR="003248E0" w:rsidRPr="00B92276" w:rsidRDefault="002D080F">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rPr>
              <w:t>Cumple</w:t>
            </w:r>
          </w:p>
        </w:tc>
      </w:tr>
      <w:tr w:rsidR="00B92276" w:rsidRPr="00B92276" w14:paraId="52C257FE" w14:textId="77777777">
        <w:tc>
          <w:tcPr>
            <w:tcW w:w="1413" w:type="dxa"/>
            <w:tcBorders>
              <w:top w:val="single" w:sz="4" w:space="0" w:color="000000"/>
              <w:left w:val="single" w:sz="4" w:space="0" w:color="000000"/>
              <w:bottom w:val="single" w:sz="4" w:space="0" w:color="000000"/>
              <w:right w:val="single" w:sz="4" w:space="0" w:color="000000"/>
            </w:tcBorders>
          </w:tcPr>
          <w:p w14:paraId="4D3E6DC1" w14:textId="77777777" w:rsidR="003248E0" w:rsidRPr="00B92276" w:rsidRDefault="002D080F">
            <w:pPr>
              <w:spacing w:after="0"/>
              <w:jc w:val="center"/>
              <w:rPr>
                <w:rFonts w:ascii="Palatino Linotype" w:eastAsia="Palatino Linotype" w:hAnsi="Palatino Linotype" w:cs="Palatino Linotype"/>
                <w:sz w:val="18"/>
                <w:szCs w:val="18"/>
              </w:rPr>
            </w:pPr>
            <w:r w:rsidRPr="00B92276">
              <w:rPr>
                <w:rFonts w:ascii="Palatino Linotype" w:eastAsia="Palatino Linotype" w:hAnsi="Palatino Linotype" w:cs="Palatino Linotype"/>
                <w:b/>
                <w:sz w:val="18"/>
                <w:szCs w:val="18"/>
              </w:rPr>
              <w:lastRenderedPageBreak/>
              <w:t>Número de folio de la solicitud</w:t>
            </w:r>
          </w:p>
        </w:tc>
        <w:tc>
          <w:tcPr>
            <w:tcW w:w="5245" w:type="dxa"/>
            <w:tcBorders>
              <w:top w:val="single" w:sz="4" w:space="0" w:color="000000"/>
              <w:left w:val="single" w:sz="4" w:space="0" w:color="000000"/>
              <w:bottom w:val="single" w:sz="4" w:space="0" w:color="000000"/>
              <w:right w:val="single" w:sz="4" w:space="0" w:color="000000"/>
            </w:tcBorders>
          </w:tcPr>
          <w:p w14:paraId="6F057115" w14:textId="77777777" w:rsidR="003248E0" w:rsidRPr="00B92276" w:rsidRDefault="002D080F">
            <w:pPr>
              <w:spacing w:after="0"/>
            </w:pPr>
            <w:r w:rsidRPr="00B92276">
              <w:rPr>
                <w:noProof/>
                <w:lang w:eastAsia="es-MX"/>
              </w:rPr>
              <w:drawing>
                <wp:inline distT="0" distB="0" distL="0" distR="0" wp14:anchorId="3B4F81DD" wp14:editId="7435CD7B">
                  <wp:extent cx="2781688" cy="419158"/>
                  <wp:effectExtent l="0" t="0" r="0" b="0"/>
                  <wp:docPr id="19520825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781688" cy="419158"/>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3ED02904" w14:textId="77777777" w:rsidR="003248E0" w:rsidRPr="00B92276" w:rsidRDefault="002D080F">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rPr>
              <w:t>Sí</w:t>
            </w:r>
          </w:p>
        </w:tc>
      </w:tr>
      <w:tr w:rsidR="00B92276" w:rsidRPr="00B92276" w14:paraId="207FBAD1" w14:textId="77777777">
        <w:tc>
          <w:tcPr>
            <w:tcW w:w="1413" w:type="dxa"/>
            <w:tcBorders>
              <w:top w:val="single" w:sz="4" w:space="0" w:color="000000"/>
              <w:left w:val="single" w:sz="4" w:space="0" w:color="000000"/>
              <w:bottom w:val="single" w:sz="4" w:space="0" w:color="000000"/>
              <w:right w:val="single" w:sz="4" w:space="0" w:color="000000"/>
            </w:tcBorders>
          </w:tcPr>
          <w:p w14:paraId="04B68770" w14:textId="77777777" w:rsidR="003248E0" w:rsidRPr="00B92276" w:rsidRDefault="002D080F">
            <w:pPr>
              <w:spacing w:after="0"/>
              <w:jc w:val="center"/>
              <w:rPr>
                <w:rFonts w:ascii="Palatino Linotype" w:eastAsia="Palatino Linotype" w:hAnsi="Palatino Linotype" w:cs="Palatino Linotype"/>
                <w:sz w:val="18"/>
                <w:szCs w:val="18"/>
              </w:rPr>
            </w:pPr>
            <w:r w:rsidRPr="00B92276">
              <w:rPr>
                <w:rFonts w:ascii="Palatino Linotype" w:eastAsia="Palatino Linotype" w:hAnsi="Palatino Linotype" w:cs="Palatino Linotype"/>
                <w:b/>
                <w:sz w:val="18"/>
                <w:szCs w:val="18"/>
              </w:rPr>
              <w:t>Referencia de la información solicitada</w:t>
            </w:r>
          </w:p>
        </w:tc>
        <w:tc>
          <w:tcPr>
            <w:tcW w:w="5245" w:type="dxa"/>
            <w:tcBorders>
              <w:top w:val="single" w:sz="4" w:space="0" w:color="000000"/>
              <w:left w:val="single" w:sz="4" w:space="0" w:color="000000"/>
              <w:bottom w:val="single" w:sz="4" w:space="0" w:color="000000"/>
              <w:right w:val="single" w:sz="4" w:space="0" w:color="000000"/>
            </w:tcBorders>
          </w:tcPr>
          <w:p w14:paraId="69769732" w14:textId="77777777" w:rsidR="003248E0" w:rsidRPr="00B92276" w:rsidRDefault="002D080F">
            <w:pPr>
              <w:spacing w:after="0"/>
              <w:jc w:val="center"/>
              <w:rPr>
                <w:rFonts w:ascii="Palatino Linotype" w:eastAsia="Palatino Linotype" w:hAnsi="Palatino Linotype" w:cs="Palatino Linotype"/>
              </w:rPr>
            </w:pPr>
            <w:r w:rsidRPr="00B92276">
              <w:rPr>
                <w:rFonts w:ascii="Palatino Linotype" w:eastAsia="Palatino Linotype" w:hAnsi="Palatino Linotype" w:cs="Palatino Linotype"/>
                <w:noProof/>
                <w:lang w:eastAsia="es-MX"/>
              </w:rPr>
              <w:drawing>
                <wp:inline distT="0" distB="0" distL="0" distR="0" wp14:anchorId="4F18D9E0" wp14:editId="076B3953">
                  <wp:extent cx="2029110" cy="1467056"/>
                  <wp:effectExtent l="0" t="0" r="0" b="0"/>
                  <wp:docPr id="19520825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2029110" cy="1467056"/>
                          </a:xfrm>
                          <a:prstGeom prst="rect">
                            <a:avLst/>
                          </a:prstGeom>
                          <a:ln/>
                        </pic:spPr>
                      </pic:pic>
                    </a:graphicData>
                  </a:graphic>
                </wp:inline>
              </w:drawing>
            </w:r>
          </w:p>
          <w:p w14:paraId="05934C42" w14:textId="77777777" w:rsidR="003248E0" w:rsidRPr="00B92276" w:rsidRDefault="002D080F">
            <w:pPr>
              <w:spacing w:after="0"/>
              <w:jc w:val="both"/>
              <w:rPr>
                <w:rFonts w:ascii="Palatino Linotype" w:eastAsia="Palatino Linotype" w:hAnsi="Palatino Linotype" w:cs="Palatino Linotype"/>
              </w:rPr>
            </w:pPr>
            <w:r w:rsidRPr="00B92276">
              <w:rPr>
                <w:rFonts w:ascii="Palatino Linotype" w:eastAsia="Palatino Linotype" w:hAnsi="Palatino Linotype" w:cs="Palatino Linotype"/>
              </w:rPr>
              <w:t>Asimismo, se citan las temporalidades respecto de las que se solicitaron los oficios.</w:t>
            </w:r>
          </w:p>
        </w:tc>
        <w:tc>
          <w:tcPr>
            <w:tcW w:w="2170" w:type="dxa"/>
            <w:tcBorders>
              <w:top w:val="single" w:sz="4" w:space="0" w:color="000000"/>
              <w:left w:val="single" w:sz="4" w:space="0" w:color="000000"/>
              <w:bottom w:val="single" w:sz="4" w:space="0" w:color="000000"/>
              <w:right w:val="single" w:sz="4" w:space="0" w:color="000000"/>
            </w:tcBorders>
          </w:tcPr>
          <w:p w14:paraId="7EE13373" w14:textId="77777777" w:rsidR="003248E0" w:rsidRPr="00B92276" w:rsidRDefault="002D080F">
            <w:pPr>
              <w:spacing w:after="0"/>
              <w:jc w:val="center"/>
              <w:rPr>
                <w:rFonts w:ascii="Palatino Linotype" w:eastAsia="Palatino Linotype" w:hAnsi="Palatino Linotype" w:cs="Palatino Linotype"/>
                <w:sz w:val="18"/>
                <w:szCs w:val="18"/>
              </w:rPr>
            </w:pPr>
            <w:r w:rsidRPr="00B92276">
              <w:rPr>
                <w:rFonts w:ascii="Palatino Linotype" w:eastAsia="Palatino Linotype" w:hAnsi="Palatino Linotype" w:cs="Palatino Linotype"/>
                <w:b/>
              </w:rPr>
              <w:t>Sí</w:t>
            </w:r>
          </w:p>
        </w:tc>
      </w:tr>
      <w:tr w:rsidR="00B92276" w:rsidRPr="00B92276" w14:paraId="799D5450" w14:textId="77777777">
        <w:tc>
          <w:tcPr>
            <w:tcW w:w="1413" w:type="dxa"/>
            <w:tcBorders>
              <w:top w:val="single" w:sz="4" w:space="0" w:color="000000"/>
              <w:left w:val="single" w:sz="4" w:space="0" w:color="000000"/>
              <w:bottom w:val="single" w:sz="4" w:space="0" w:color="000000"/>
              <w:right w:val="single" w:sz="4" w:space="0" w:color="000000"/>
            </w:tcBorders>
          </w:tcPr>
          <w:p w14:paraId="5F2E96F3" w14:textId="77777777" w:rsidR="003248E0" w:rsidRPr="00B92276" w:rsidRDefault="002D080F">
            <w:pPr>
              <w:spacing w:after="0"/>
              <w:jc w:val="center"/>
              <w:rPr>
                <w:rFonts w:ascii="Palatino Linotype" w:eastAsia="Palatino Linotype" w:hAnsi="Palatino Linotype" w:cs="Palatino Linotype"/>
                <w:sz w:val="18"/>
                <w:szCs w:val="18"/>
              </w:rPr>
            </w:pPr>
            <w:r w:rsidRPr="00B92276">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245" w:type="dxa"/>
            <w:tcBorders>
              <w:top w:val="single" w:sz="4" w:space="0" w:color="000000"/>
              <w:left w:val="single" w:sz="4" w:space="0" w:color="000000"/>
              <w:bottom w:val="single" w:sz="4" w:space="0" w:color="000000"/>
              <w:right w:val="single" w:sz="4" w:space="0" w:color="000000"/>
            </w:tcBorders>
          </w:tcPr>
          <w:p w14:paraId="1961DCDE" w14:textId="77777777" w:rsidR="003248E0" w:rsidRPr="00B92276" w:rsidRDefault="003248E0">
            <w:pPr>
              <w:spacing w:after="0"/>
              <w:jc w:val="center"/>
            </w:pPr>
          </w:p>
          <w:p w14:paraId="5A62FC66" w14:textId="77777777" w:rsidR="003248E0" w:rsidRPr="00B92276" w:rsidRDefault="002D080F">
            <w:pPr>
              <w:spacing w:after="0"/>
              <w:jc w:val="center"/>
            </w:pPr>
            <w:r w:rsidRPr="00B92276">
              <w:rPr>
                <w:noProof/>
                <w:lang w:eastAsia="es-MX"/>
              </w:rPr>
              <w:drawing>
                <wp:inline distT="0" distB="0" distL="0" distR="0" wp14:anchorId="3782DB8D" wp14:editId="322D851E">
                  <wp:extent cx="2869901" cy="1305324"/>
                  <wp:effectExtent l="0" t="0" r="0" b="0"/>
                  <wp:docPr id="19520825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869901" cy="1305324"/>
                          </a:xfrm>
                          <a:prstGeom prst="rect">
                            <a:avLst/>
                          </a:prstGeom>
                          <a:ln/>
                        </pic:spPr>
                      </pic:pic>
                    </a:graphicData>
                  </a:graphic>
                </wp:inline>
              </w:drawing>
            </w:r>
          </w:p>
          <w:p w14:paraId="2279C766" w14:textId="77777777" w:rsidR="003248E0" w:rsidRPr="00B92276" w:rsidRDefault="003248E0">
            <w:pPr>
              <w:spacing w:after="0"/>
            </w:pPr>
          </w:p>
        </w:tc>
        <w:tc>
          <w:tcPr>
            <w:tcW w:w="2170" w:type="dxa"/>
            <w:tcBorders>
              <w:top w:val="single" w:sz="4" w:space="0" w:color="000000"/>
              <w:left w:val="single" w:sz="4" w:space="0" w:color="000000"/>
              <w:bottom w:val="single" w:sz="4" w:space="0" w:color="000000"/>
              <w:right w:val="single" w:sz="4" w:space="0" w:color="000000"/>
            </w:tcBorders>
          </w:tcPr>
          <w:p w14:paraId="34E34E93" w14:textId="77777777" w:rsidR="003248E0" w:rsidRPr="00B92276" w:rsidRDefault="002D080F">
            <w:pPr>
              <w:spacing w:after="0"/>
              <w:jc w:val="center"/>
              <w:rPr>
                <w:rFonts w:ascii="Palatino Linotype" w:eastAsia="Palatino Linotype" w:hAnsi="Palatino Linotype" w:cs="Palatino Linotype"/>
                <w:b/>
                <w:sz w:val="18"/>
                <w:szCs w:val="18"/>
              </w:rPr>
            </w:pPr>
            <w:r w:rsidRPr="00B92276">
              <w:rPr>
                <w:rFonts w:ascii="Palatino Linotype" w:eastAsia="Palatino Linotype" w:hAnsi="Palatino Linotype" w:cs="Palatino Linotype"/>
                <w:b/>
                <w:sz w:val="18"/>
                <w:szCs w:val="18"/>
              </w:rPr>
              <w:t>Parcialmente</w:t>
            </w:r>
          </w:p>
          <w:p w14:paraId="0F4A31ED" w14:textId="77777777" w:rsidR="003248E0" w:rsidRPr="00B92276" w:rsidRDefault="003248E0">
            <w:pPr>
              <w:spacing w:after="0"/>
              <w:jc w:val="center"/>
              <w:rPr>
                <w:rFonts w:ascii="Palatino Linotype" w:eastAsia="Palatino Linotype" w:hAnsi="Palatino Linotype" w:cs="Palatino Linotype"/>
                <w:b/>
                <w:sz w:val="18"/>
                <w:szCs w:val="18"/>
              </w:rPr>
            </w:pPr>
          </w:p>
          <w:p w14:paraId="2C6A0061" w14:textId="77777777" w:rsidR="003248E0" w:rsidRPr="00B92276" w:rsidRDefault="002D080F">
            <w:pPr>
              <w:spacing w:after="0"/>
              <w:jc w:val="both"/>
              <w:rPr>
                <w:rFonts w:ascii="Palatino Linotype" w:eastAsia="Palatino Linotype" w:hAnsi="Palatino Linotype" w:cs="Palatino Linotype"/>
                <w:sz w:val="18"/>
                <w:szCs w:val="18"/>
              </w:rPr>
            </w:pPr>
            <w:r w:rsidRPr="00B92276">
              <w:rPr>
                <w:rFonts w:ascii="Palatino Linotype" w:eastAsia="Palatino Linotype" w:hAnsi="Palatino Linotype" w:cs="Palatino Linotype"/>
                <w:sz w:val="18"/>
                <w:szCs w:val="18"/>
              </w:rPr>
              <w:t>En virtud de que, si bien el Sujeto Obligado señaló la causal que consideraba aplicable de conformidad con el artículo 140, fracción X de La Ley de Transparencia Local, en relación con la fracción X del artículo 113 de la Ley General de Transparencia, vinculándola con el Lineamiento vigésimo noveno; como se analizó no procedía la causal de reserva por la que el sujeto obligado clasificó la información.</w:t>
            </w:r>
          </w:p>
        </w:tc>
      </w:tr>
      <w:tr w:rsidR="00B92276" w:rsidRPr="00B92276" w14:paraId="25BEEE24" w14:textId="77777777">
        <w:tc>
          <w:tcPr>
            <w:tcW w:w="1413" w:type="dxa"/>
            <w:tcBorders>
              <w:top w:val="single" w:sz="4" w:space="0" w:color="000000"/>
              <w:left w:val="single" w:sz="4" w:space="0" w:color="000000"/>
              <w:bottom w:val="single" w:sz="4" w:space="0" w:color="000000"/>
              <w:right w:val="single" w:sz="4" w:space="0" w:color="000000"/>
            </w:tcBorders>
          </w:tcPr>
          <w:p w14:paraId="23B8816B" w14:textId="77777777" w:rsidR="003248E0" w:rsidRPr="00B92276" w:rsidRDefault="002D080F">
            <w:pPr>
              <w:spacing w:after="0"/>
              <w:jc w:val="center"/>
              <w:rPr>
                <w:rFonts w:ascii="Palatino Linotype" w:eastAsia="Palatino Linotype" w:hAnsi="Palatino Linotype" w:cs="Palatino Linotype"/>
                <w:sz w:val="18"/>
                <w:szCs w:val="18"/>
              </w:rPr>
            </w:pPr>
            <w:r w:rsidRPr="00B92276">
              <w:rPr>
                <w:rFonts w:ascii="Palatino Linotype" w:eastAsia="Palatino Linotype" w:hAnsi="Palatino Linotype" w:cs="Palatino Linotype"/>
                <w:b/>
                <w:sz w:val="18"/>
                <w:szCs w:val="18"/>
              </w:rPr>
              <w:lastRenderedPageBreak/>
              <w:t>Fundamento y Motivación Legal</w:t>
            </w:r>
          </w:p>
        </w:tc>
        <w:tc>
          <w:tcPr>
            <w:tcW w:w="5245" w:type="dxa"/>
            <w:tcBorders>
              <w:top w:val="single" w:sz="4" w:space="0" w:color="000000"/>
              <w:left w:val="single" w:sz="4" w:space="0" w:color="000000"/>
              <w:bottom w:val="single" w:sz="4" w:space="0" w:color="000000"/>
              <w:right w:val="single" w:sz="4" w:space="0" w:color="000000"/>
            </w:tcBorders>
          </w:tcPr>
          <w:p w14:paraId="78499F30" w14:textId="77777777" w:rsidR="003248E0" w:rsidRPr="00B92276" w:rsidRDefault="002D080F">
            <w:pPr>
              <w:spacing w:after="0"/>
              <w:jc w:val="center"/>
            </w:pPr>
            <w:r w:rsidRPr="00B92276">
              <w:rPr>
                <w:noProof/>
                <w:lang w:eastAsia="es-MX"/>
              </w:rPr>
              <w:drawing>
                <wp:inline distT="0" distB="0" distL="0" distR="0" wp14:anchorId="1758A206" wp14:editId="3E4C76A7">
                  <wp:extent cx="2448267" cy="1619476"/>
                  <wp:effectExtent l="0" t="0" r="0" b="0"/>
                  <wp:docPr id="19520825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448267" cy="1619476"/>
                          </a:xfrm>
                          <a:prstGeom prst="rect">
                            <a:avLst/>
                          </a:prstGeom>
                          <a:ln/>
                        </pic:spPr>
                      </pic:pic>
                    </a:graphicData>
                  </a:graphic>
                </wp:inline>
              </w:drawing>
            </w:r>
          </w:p>
          <w:p w14:paraId="3B6CF2EB" w14:textId="77777777" w:rsidR="003248E0" w:rsidRPr="00B92276" w:rsidRDefault="003248E0">
            <w:pPr>
              <w:spacing w:after="0"/>
            </w:pPr>
          </w:p>
        </w:tc>
        <w:tc>
          <w:tcPr>
            <w:tcW w:w="2170" w:type="dxa"/>
            <w:tcBorders>
              <w:top w:val="single" w:sz="4" w:space="0" w:color="000000"/>
              <w:left w:val="single" w:sz="4" w:space="0" w:color="000000"/>
              <w:bottom w:val="single" w:sz="4" w:space="0" w:color="000000"/>
              <w:right w:val="single" w:sz="4" w:space="0" w:color="000000"/>
            </w:tcBorders>
          </w:tcPr>
          <w:p w14:paraId="5DAFEC39" w14:textId="77777777" w:rsidR="003248E0" w:rsidRPr="00B92276" w:rsidRDefault="002D080F">
            <w:pPr>
              <w:spacing w:after="0"/>
              <w:jc w:val="center"/>
              <w:rPr>
                <w:rFonts w:ascii="Palatino Linotype" w:eastAsia="Palatino Linotype" w:hAnsi="Palatino Linotype" w:cs="Palatino Linotype"/>
                <w:b/>
                <w:sz w:val="18"/>
                <w:szCs w:val="18"/>
              </w:rPr>
            </w:pPr>
            <w:r w:rsidRPr="00B92276">
              <w:rPr>
                <w:rFonts w:ascii="Palatino Linotype" w:eastAsia="Palatino Linotype" w:hAnsi="Palatino Linotype" w:cs="Palatino Linotype"/>
                <w:b/>
                <w:sz w:val="18"/>
                <w:szCs w:val="18"/>
              </w:rPr>
              <w:t xml:space="preserve">NO </w:t>
            </w:r>
          </w:p>
          <w:p w14:paraId="41063228" w14:textId="77777777" w:rsidR="003248E0" w:rsidRPr="00B92276" w:rsidRDefault="002D080F">
            <w:pPr>
              <w:spacing w:after="0"/>
              <w:jc w:val="both"/>
              <w:rPr>
                <w:rFonts w:ascii="Palatino Linotype" w:eastAsia="Palatino Linotype" w:hAnsi="Palatino Linotype" w:cs="Palatino Linotype"/>
                <w:sz w:val="18"/>
                <w:szCs w:val="18"/>
              </w:rPr>
            </w:pPr>
            <w:proofErr w:type="gramStart"/>
            <w:r w:rsidRPr="00B92276">
              <w:rPr>
                <w:rFonts w:ascii="Palatino Linotype" w:eastAsia="Palatino Linotype" w:hAnsi="Palatino Linotype" w:cs="Palatino Linotype"/>
                <w:sz w:val="18"/>
                <w:szCs w:val="18"/>
              </w:rPr>
              <w:t>Ya que</w:t>
            </w:r>
            <w:proofErr w:type="gramEnd"/>
            <w:r w:rsidRPr="00B92276">
              <w:rPr>
                <w:rFonts w:ascii="Palatino Linotype" w:eastAsia="Palatino Linotype" w:hAnsi="Palatino Linotype" w:cs="Palatino Linotype"/>
                <w:sz w:val="18"/>
                <w:szCs w:val="18"/>
              </w:rPr>
              <w:t xml:space="preserve"> si bien el </w:t>
            </w:r>
            <w:r w:rsidRPr="00B92276">
              <w:rPr>
                <w:rFonts w:ascii="Palatino Linotype" w:eastAsia="Palatino Linotype" w:hAnsi="Palatino Linotype" w:cs="Palatino Linotype"/>
                <w:b/>
                <w:sz w:val="18"/>
                <w:szCs w:val="18"/>
              </w:rPr>
              <w:t>Sujeto Obligado</w:t>
            </w:r>
            <w:r w:rsidRPr="00B92276">
              <w:rPr>
                <w:rFonts w:ascii="Palatino Linotype" w:eastAsia="Palatino Linotype" w:hAnsi="Palatino Linotype" w:cs="Palatino Linotype"/>
                <w:sz w:val="18"/>
                <w:szCs w:val="18"/>
              </w:rPr>
              <w:t xml:space="preserve"> indicó el precepto legal que contenía el supuesto de reserva que a su consideración se actualizó, atendiendo la naturaleza de la información y la motivación del ente obligado, no procedía la causal por la que se clasificó la información.</w:t>
            </w:r>
          </w:p>
        </w:tc>
      </w:tr>
      <w:tr w:rsidR="00B92276" w:rsidRPr="00B92276" w14:paraId="2A94A698" w14:textId="77777777">
        <w:tc>
          <w:tcPr>
            <w:tcW w:w="1413" w:type="dxa"/>
            <w:tcBorders>
              <w:top w:val="single" w:sz="4" w:space="0" w:color="000000"/>
              <w:left w:val="single" w:sz="4" w:space="0" w:color="000000"/>
              <w:bottom w:val="single" w:sz="4" w:space="0" w:color="000000"/>
              <w:right w:val="single" w:sz="4" w:space="0" w:color="000000"/>
            </w:tcBorders>
          </w:tcPr>
          <w:p w14:paraId="28C2AB1A" w14:textId="77777777" w:rsidR="003248E0" w:rsidRPr="00B92276" w:rsidRDefault="002D080F">
            <w:pPr>
              <w:spacing w:after="0"/>
              <w:rPr>
                <w:rFonts w:ascii="Palatino Linotype" w:eastAsia="Palatino Linotype" w:hAnsi="Palatino Linotype" w:cs="Palatino Linotype"/>
                <w:b/>
                <w:sz w:val="16"/>
                <w:szCs w:val="16"/>
              </w:rPr>
            </w:pPr>
            <w:r w:rsidRPr="00B92276">
              <w:rPr>
                <w:rFonts w:ascii="Palatino Linotype" w:eastAsia="Palatino Linotype" w:hAnsi="Palatino Linotype" w:cs="Palatino Linotype"/>
                <w:b/>
                <w:sz w:val="16"/>
                <w:szCs w:val="16"/>
              </w:rPr>
              <w:t>Conexión entre los fundamentos y motivos que dieron origen a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4F2ADDFC" w14:textId="77777777" w:rsidR="003248E0" w:rsidRPr="00B92276" w:rsidRDefault="003248E0">
            <w:pPr>
              <w:spacing w:after="0"/>
            </w:pPr>
          </w:p>
          <w:p w14:paraId="3A92E8B6" w14:textId="77777777" w:rsidR="003248E0" w:rsidRPr="00B92276" w:rsidRDefault="002D080F">
            <w:pPr>
              <w:spacing w:after="0"/>
            </w:pPr>
            <w:r w:rsidRPr="00B92276">
              <w:rPr>
                <w:noProof/>
                <w:lang w:eastAsia="es-MX"/>
              </w:rPr>
              <w:drawing>
                <wp:inline distT="0" distB="0" distL="0" distR="0" wp14:anchorId="1670C088" wp14:editId="7E96EF67">
                  <wp:extent cx="3193415" cy="955040"/>
                  <wp:effectExtent l="0" t="0" r="0" b="0"/>
                  <wp:docPr id="19520825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3193415" cy="955040"/>
                          </a:xfrm>
                          <a:prstGeom prst="rect">
                            <a:avLst/>
                          </a:prstGeom>
                          <a:ln/>
                        </pic:spPr>
                      </pic:pic>
                    </a:graphicData>
                  </a:graphic>
                </wp:inline>
              </w:drawing>
            </w:r>
          </w:p>
          <w:p w14:paraId="30F651A1" w14:textId="77777777" w:rsidR="003248E0" w:rsidRPr="00B92276" w:rsidRDefault="002D080F">
            <w:pPr>
              <w:spacing w:after="0"/>
            </w:pPr>
            <w:r w:rsidRPr="00B92276">
              <w:rPr>
                <w:noProof/>
                <w:lang w:eastAsia="es-MX"/>
              </w:rPr>
              <w:drawing>
                <wp:inline distT="0" distB="0" distL="0" distR="0" wp14:anchorId="7F6B45FD" wp14:editId="5168F99D">
                  <wp:extent cx="3193415" cy="372745"/>
                  <wp:effectExtent l="0" t="0" r="0" b="0"/>
                  <wp:docPr id="19520825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93415" cy="372745"/>
                          </a:xfrm>
                          <a:prstGeom prst="rect">
                            <a:avLst/>
                          </a:prstGeom>
                          <a:ln/>
                        </pic:spPr>
                      </pic:pic>
                    </a:graphicData>
                  </a:graphic>
                </wp:inline>
              </w:drawing>
            </w:r>
          </w:p>
          <w:p w14:paraId="74A65A36" w14:textId="77777777" w:rsidR="003248E0" w:rsidRPr="00B92276" w:rsidRDefault="003248E0">
            <w:pPr>
              <w:spacing w:after="0"/>
            </w:pPr>
          </w:p>
        </w:tc>
        <w:tc>
          <w:tcPr>
            <w:tcW w:w="2170" w:type="dxa"/>
            <w:tcBorders>
              <w:top w:val="single" w:sz="4" w:space="0" w:color="000000"/>
              <w:left w:val="single" w:sz="4" w:space="0" w:color="000000"/>
              <w:bottom w:val="single" w:sz="4" w:space="0" w:color="000000"/>
              <w:right w:val="single" w:sz="4" w:space="0" w:color="000000"/>
            </w:tcBorders>
          </w:tcPr>
          <w:p w14:paraId="2CDFC9D2" w14:textId="77777777" w:rsidR="003248E0" w:rsidRPr="00B92276" w:rsidRDefault="002D080F">
            <w:pPr>
              <w:spacing w:after="0"/>
              <w:jc w:val="center"/>
              <w:rPr>
                <w:rFonts w:ascii="Palatino Linotype" w:eastAsia="Palatino Linotype" w:hAnsi="Palatino Linotype" w:cs="Palatino Linotype"/>
                <w:b/>
                <w:sz w:val="18"/>
                <w:szCs w:val="18"/>
              </w:rPr>
            </w:pPr>
            <w:r w:rsidRPr="00B92276">
              <w:rPr>
                <w:rFonts w:ascii="Palatino Linotype" w:eastAsia="Palatino Linotype" w:hAnsi="Palatino Linotype" w:cs="Palatino Linotype"/>
                <w:b/>
                <w:sz w:val="18"/>
                <w:szCs w:val="18"/>
              </w:rPr>
              <w:t>NO</w:t>
            </w:r>
          </w:p>
          <w:p w14:paraId="204E4F0A" w14:textId="77777777" w:rsidR="003248E0" w:rsidRPr="00B92276" w:rsidRDefault="002D080F">
            <w:pPr>
              <w:spacing w:after="0"/>
              <w:jc w:val="both"/>
              <w:rPr>
                <w:rFonts w:ascii="Palatino Linotype" w:eastAsia="Palatino Linotype" w:hAnsi="Palatino Linotype" w:cs="Palatino Linotype"/>
                <w:sz w:val="18"/>
                <w:szCs w:val="18"/>
              </w:rPr>
            </w:pPr>
            <w:r w:rsidRPr="00B92276">
              <w:rPr>
                <w:rFonts w:ascii="Palatino Linotype" w:eastAsia="Palatino Linotype" w:hAnsi="Palatino Linotype" w:cs="Palatino Linotype"/>
                <w:sz w:val="18"/>
                <w:szCs w:val="18"/>
              </w:rPr>
              <w:t xml:space="preserve">No hay conexidad entre los motivos y fundamentos por los que se reservó la información. </w:t>
            </w:r>
          </w:p>
          <w:p w14:paraId="773AECA0" w14:textId="77777777" w:rsidR="003248E0" w:rsidRPr="00B92276" w:rsidRDefault="003248E0">
            <w:pPr>
              <w:spacing w:after="0"/>
              <w:jc w:val="both"/>
              <w:rPr>
                <w:rFonts w:ascii="Palatino Linotype" w:eastAsia="Palatino Linotype" w:hAnsi="Palatino Linotype" w:cs="Palatino Linotype"/>
              </w:rPr>
            </w:pPr>
          </w:p>
        </w:tc>
      </w:tr>
      <w:tr w:rsidR="00B92276" w:rsidRPr="00B92276" w14:paraId="461FBBA9"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23C7E16C" w14:textId="77777777" w:rsidR="003248E0" w:rsidRPr="00B92276" w:rsidRDefault="002D080F">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rPr>
              <w:t>Elementos de la prueba de daño</w:t>
            </w:r>
          </w:p>
        </w:tc>
      </w:tr>
      <w:tr w:rsidR="00B92276" w:rsidRPr="00B92276" w14:paraId="3DB3DC45" w14:textId="77777777">
        <w:tc>
          <w:tcPr>
            <w:tcW w:w="1413" w:type="dxa"/>
            <w:tcBorders>
              <w:top w:val="single" w:sz="4" w:space="0" w:color="000000"/>
              <w:left w:val="single" w:sz="4" w:space="0" w:color="000000"/>
              <w:bottom w:val="single" w:sz="4" w:space="0" w:color="000000"/>
              <w:right w:val="single" w:sz="4" w:space="0" w:color="000000"/>
            </w:tcBorders>
          </w:tcPr>
          <w:p w14:paraId="4A6F0A8D" w14:textId="77777777" w:rsidR="003248E0" w:rsidRPr="00B92276" w:rsidRDefault="002D080F">
            <w:pPr>
              <w:spacing w:after="0" w:line="256" w:lineRule="auto"/>
              <w:jc w:val="center"/>
              <w:rPr>
                <w:rFonts w:ascii="Palatino Linotype" w:eastAsia="Palatino Linotype" w:hAnsi="Palatino Linotype" w:cs="Palatino Linotype"/>
                <w:b/>
                <w:sz w:val="16"/>
                <w:szCs w:val="16"/>
              </w:rPr>
            </w:pPr>
            <w:r w:rsidRPr="00B92276">
              <w:rPr>
                <w:rFonts w:ascii="Palatino Linotype" w:eastAsia="Palatino Linotype" w:hAnsi="Palatino Linotype" w:cs="Palatino Linotype"/>
                <w:b/>
                <w:sz w:val="16"/>
                <w:szCs w:val="16"/>
              </w:rPr>
              <w:t>Riesgo Real, Demostrable e Identificable</w:t>
            </w:r>
          </w:p>
          <w:p w14:paraId="20F499FE" w14:textId="77777777" w:rsidR="003248E0" w:rsidRPr="00B92276" w:rsidRDefault="002D080F">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sz w:val="16"/>
                <w:szCs w:val="16"/>
              </w:rPr>
              <w:t>(Modo, Tiempo y Lugar)</w:t>
            </w:r>
          </w:p>
        </w:tc>
        <w:tc>
          <w:tcPr>
            <w:tcW w:w="5245" w:type="dxa"/>
            <w:tcBorders>
              <w:top w:val="single" w:sz="4" w:space="0" w:color="000000"/>
              <w:left w:val="single" w:sz="4" w:space="0" w:color="000000"/>
              <w:bottom w:val="single" w:sz="4" w:space="0" w:color="000000"/>
              <w:right w:val="single" w:sz="4" w:space="0" w:color="000000"/>
            </w:tcBorders>
          </w:tcPr>
          <w:p w14:paraId="62C465C9" w14:textId="77777777" w:rsidR="003248E0" w:rsidRPr="00B92276" w:rsidRDefault="003248E0">
            <w:pPr>
              <w:spacing w:after="0"/>
            </w:pPr>
          </w:p>
          <w:p w14:paraId="2381B8EC" w14:textId="77777777" w:rsidR="003248E0" w:rsidRPr="00B92276" w:rsidRDefault="002D080F">
            <w:pPr>
              <w:spacing w:after="0"/>
            </w:pPr>
            <w:r w:rsidRPr="00B92276">
              <w:rPr>
                <w:noProof/>
                <w:lang w:eastAsia="es-MX"/>
              </w:rPr>
              <w:drawing>
                <wp:inline distT="0" distB="0" distL="0" distR="0" wp14:anchorId="433CDBDE" wp14:editId="10CBB9B4">
                  <wp:extent cx="3193415" cy="594360"/>
                  <wp:effectExtent l="0" t="0" r="0" b="0"/>
                  <wp:docPr id="19520825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193415" cy="594360"/>
                          </a:xfrm>
                          <a:prstGeom prst="rect">
                            <a:avLst/>
                          </a:prstGeom>
                          <a:ln/>
                        </pic:spPr>
                      </pic:pic>
                    </a:graphicData>
                  </a:graphic>
                </wp:inline>
              </w:drawing>
            </w:r>
          </w:p>
          <w:p w14:paraId="429FF499" w14:textId="77777777" w:rsidR="003248E0" w:rsidRPr="00B92276" w:rsidRDefault="002D080F">
            <w:pPr>
              <w:spacing w:after="0"/>
              <w:rPr>
                <w:rFonts w:ascii="Palatino Linotype" w:eastAsia="Palatino Linotype" w:hAnsi="Palatino Linotype" w:cs="Palatino Linotype"/>
                <w:b/>
              </w:rPr>
            </w:pPr>
            <w:r w:rsidRPr="00B92276">
              <w:rPr>
                <w:rFonts w:ascii="Palatino Linotype" w:eastAsia="Palatino Linotype" w:hAnsi="Palatino Linotype" w:cs="Palatino Linotype"/>
                <w:b/>
                <w:noProof/>
                <w:lang w:eastAsia="es-MX"/>
              </w:rPr>
              <w:lastRenderedPageBreak/>
              <w:drawing>
                <wp:inline distT="0" distB="0" distL="0" distR="0" wp14:anchorId="729FF100" wp14:editId="7CED7931">
                  <wp:extent cx="3193415" cy="2161540"/>
                  <wp:effectExtent l="0" t="0" r="0" b="0"/>
                  <wp:docPr id="19520825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3193415" cy="2161540"/>
                          </a:xfrm>
                          <a:prstGeom prst="rect">
                            <a:avLst/>
                          </a:prstGeom>
                          <a:ln/>
                        </pic:spPr>
                      </pic:pic>
                    </a:graphicData>
                  </a:graphic>
                </wp:inline>
              </w:drawing>
            </w:r>
          </w:p>
          <w:p w14:paraId="0D777AA3" w14:textId="77777777" w:rsidR="003248E0" w:rsidRPr="00B92276" w:rsidRDefault="003248E0">
            <w:pPr>
              <w:spacing w:after="0"/>
              <w:rPr>
                <w:rFonts w:ascii="Palatino Linotype" w:eastAsia="Palatino Linotype" w:hAnsi="Palatino Linotype" w:cs="Palatino Linotype"/>
                <w:b/>
              </w:rPr>
            </w:pPr>
          </w:p>
          <w:p w14:paraId="3BA865A7" w14:textId="77777777" w:rsidR="003248E0" w:rsidRPr="00B92276" w:rsidRDefault="002D080F">
            <w:pPr>
              <w:spacing w:after="0"/>
              <w:rPr>
                <w:rFonts w:ascii="Palatino Linotype" w:eastAsia="Palatino Linotype" w:hAnsi="Palatino Linotype" w:cs="Palatino Linotype"/>
                <w:b/>
              </w:rPr>
            </w:pPr>
            <w:r w:rsidRPr="00B92276">
              <w:rPr>
                <w:rFonts w:ascii="Palatino Linotype" w:eastAsia="Palatino Linotype" w:hAnsi="Palatino Linotype" w:cs="Palatino Linotype"/>
                <w:b/>
                <w:noProof/>
                <w:lang w:eastAsia="es-MX"/>
              </w:rPr>
              <w:drawing>
                <wp:inline distT="0" distB="0" distL="0" distR="0" wp14:anchorId="3D4F5818" wp14:editId="27F35DF9">
                  <wp:extent cx="3193415" cy="2573020"/>
                  <wp:effectExtent l="0" t="0" r="0" b="0"/>
                  <wp:docPr id="19520825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3193415" cy="2573020"/>
                          </a:xfrm>
                          <a:prstGeom prst="rect">
                            <a:avLst/>
                          </a:prstGeom>
                          <a:ln/>
                        </pic:spPr>
                      </pic:pic>
                    </a:graphicData>
                  </a:graphic>
                </wp:inline>
              </w:drawing>
            </w:r>
          </w:p>
          <w:p w14:paraId="4650987A" w14:textId="77777777" w:rsidR="003248E0" w:rsidRPr="00B92276" w:rsidRDefault="002D080F">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noProof/>
                <w:lang w:eastAsia="es-MX"/>
              </w:rPr>
              <w:drawing>
                <wp:inline distT="0" distB="0" distL="0" distR="0" wp14:anchorId="3E68D759" wp14:editId="571A4C85">
                  <wp:extent cx="3193415" cy="1627505"/>
                  <wp:effectExtent l="0" t="0" r="0" b="0"/>
                  <wp:docPr id="19520825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193415" cy="1627505"/>
                          </a:xfrm>
                          <a:prstGeom prst="rect">
                            <a:avLst/>
                          </a:prstGeom>
                          <a:ln/>
                        </pic:spPr>
                      </pic:pic>
                    </a:graphicData>
                  </a:graphic>
                </wp:inline>
              </w:drawing>
            </w:r>
          </w:p>
          <w:p w14:paraId="1CF64DE0" w14:textId="77777777" w:rsidR="003248E0" w:rsidRPr="00B92276" w:rsidRDefault="003248E0">
            <w:pPr>
              <w:spacing w:after="0"/>
              <w:jc w:val="center"/>
              <w:rPr>
                <w:rFonts w:ascii="Palatino Linotype" w:eastAsia="Palatino Linotype" w:hAnsi="Palatino Linotype" w:cs="Palatino Linotype"/>
                <w:b/>
              </w:rPr>
            </w:pPr>
          </w:p>
          <w:p w14:paraId="30163DC7" w14:textId="77777777" w:rsidR="003248E0" w:rsidRPr="00B92276" w:rsidRDefault="003248E0">
            <w:pPr>
              <w:spacing w:after="0"/>
              <w:rPr>
                <w:rFonts w:ascii="Palatino Linotype" w:eastAsia="Palatino Linotype" w:hAnsi="Palatino Linotype" w:cs="Palatino Linotype"/>
                <w:b/>
              </w:rPr>
            </w:pPr>
          </w:p>
          <w:p w14:paraId="604CC5FF" w14:textId="77777777" w:rsidR="003248E0" w:rsidRPr="00B92276" w:rsidRDefault="002D080F">
            <w:pPr>
              <w:tabs>
                <w:tab w:val="left" w:pos="2610"/>
                <w:tab w:val="center" w:pos="2798"/>
              </w:tabs>
              <w:spacing w:after="0"/>
              <w:rPr>
                <w:rFonts w:ascii="Palatino Linotype" w:eastAsia="Palatino Linotype" w:hAnsi="Palatino Linotype" w:cs="Palatino Linotype"/>
                <w:b/>
              </w:rPr>
            </w:pPr>
            <w:r w:rsidRPr="00B92276">
              <w:rPr>
                <w:rFonts w:ascii="Palatino Linotype" w:eastAsia="Palatino Linotype" w:hAnsi="Palatino Linotype" w:cs="Palatino Linotype"/>
                <w:b/>
              </w:rPr>
              <w:lastRenderedPageBreak/>
              <w:tab/>
            </w:r>
          </w:p>
        </w:tc>
        <w:tc>
          <w:tcPr>
            <w:tcW w:w="2170" w:type="dxa"/>
            <w:tcBorders>
              <w:top w:val="single" w:sz="4" w:space="0" w:color="000000"/>
              <w:left w:val="single" w:sz="4" w:space="0" w:color="000000"/>
              <w:bottom w:val="single" w:sz="4" w:space="0" w:color="000000"/>
              <w:right w:val="single" w:sz="4" w:space="0" w:color="000000"/>
            </w:tcBorders>
          </w:tcPr>
          <w:p w14:paraId="7C54A525" w14:textId="77777777" w:rsidR="003248E0" w:rsidRPr="00B92276" w:rsidRDefault="002D080F">
            <w:pPr>
              <w:spacing w:after="0"/>
              <w:jc w:val="center"/>
              <w:rPr>
                <w:rFonts w:ascii="Palatino Linotype" w:eastAsia="Palatino Linotype" w:hAnsi="Palatino Linotype" w:cs="Palatino Linotype"/>
                <w:b/>
                <w:sz w:val="18"/>
                <w:szCs w:val="18"/>
              </w:rPr>
            </w:pPr>
            <w:r w:rsidRPr="00B92276">
              <w:rPr>
                <w:rFonts w:ascii="Palatino Linotype" w:eastAsia="Palatino Linotype" w:hAnsi="Palatino Linotype" w:cs="Palatino Linotype"/>
                <w:b/>
                <w:sz w:val="18"/>
                <w:szCs w:val="18"/>
              </w:rPr>
              <w:lastRenderedPageBreak/>
              <w:t>NO</w:t>
            </w:r>
          </w:p>
          <w:p w14:paraId="565070A7" w14:textId="77777777" w:rsidR="003248E0" w:rsidRPr="00B92276" w:rsidRDefault="002D080F">
            <w:pPr>
              <w:spacing w:after="0"/>
              <w:jc w:val="both"/>
              <w:rPr>
                <w:rFonts w:ascii="Palatino Linotype" w:eastAsia="Palatino Linotype" w:hAnsi="Palatino Linotype" w:cs="Palatino Linotype"/>
                <w:sz w:val="18"/>
                <w:szCs w:val="18"/>
              </w:rPr>
            </w:pPr>
            <w:r w:rsidRPr="00B92276">
              <w:rPr>
                <w:rFonts w:ascii="Palatino Linotype" w:eastAsia="Palatino Linotype" w:hAnsi="Palatino Linotype" w:cs="Palatino Linotype"/>
                <w:sz w:val="18"/>
                <w:szCs w:val="18"/>
              </w:rPr>
              <w:t>Debido a que no se exponen los argumentos tendientes a demostrar el</w:t>
            </w:r>
            <w:r w:rsidRPr="00B92276">
              <w:rPr>
                <w:sz w:val="24"/>
                <w:szCs w:val="24"/>
              </w:rPr>
              <w:t xml:space="preserve"> </w:t>
            </w:r>
            <w:r w:rsidRPr="00B92276">
              <w:rPr>
                <w:rFonts w:ascii="Palatino Linotype" w:eastAsia="Palatino Linotype" w:hAnsi="Palatino Linotype" w:cs="Palatino Linotype"/>
                <w:sz w:val="18"/>
                <w:szCs w:val="18"/>
              </w:rPr>
              <w:t xml:space="preserve">Riesgo Real, Demostrable e Identificable, que existe al hacer la entrega de la información, ni se acreditan las circunstancias de modo, tiempo y lugar del daño. </w:t>
            </w:r>
          </w:p>
          <w:p w14:paraId="66FEAC61" w14:textId="77777777" w:rsidR="003248E0" w:rsidRPr="00B92276" w:rsidRDefault="003248E0">
            <w:pPr>
              <w:spacing w:after="0"/>
              <w:jc w:val="center"/>
              <w:rPr>
                <w:rFonts w:ascii="Palatino Linotype" w:eastAsia="Palatino Linotype" w:hAnsi="Palatino Linotype" w:cs="Palatino Linotype"/>
                <w:b/>
                <w:sz w:val="16"/>
                <w:szCs w:val="16"/>
              </w:rPr>
            </w:pPr>
          </w:p>
          <w:p w14:paraId="5327ECCA" w14:textId="77777777" w:rsidR="003248E0" w:rsidRPr="00B92276" w:rsidRDefault="003248E0">
            <w:pPr>
              <w:spacing w:after="0"/>
              <w:jc w:val="center"/>
              <w:rPr>
                <w:rFonts w:ascii="Palatino Linotype" w:eastAsia="Palatino Linotype" w:hAnsi="Palatino Linotype" w:cs="Palatino Linotype"/>
                <w:sz w:val="18"/>
                <w:szCs w:val="18"/>
              </w:rPr>
            </w:pPr>
          </w:p>
        </w:tc>
      </w:tr>
      <w:tr w:rsidR="00B92276" w:rsidRPr="00B92276" w14:paraId="15C9FE67" w14:textId="77777777">
        <w:tc>
          <w:tcPr>
            <w:tcW w:w="1413" w:type="dxa"/>
            <w:tcBorders>
              <w:top w:val="single" w:sz="4" w:space="0" w:color="000000"/>
              <w:left w:val="single" w:sz="4" w:space="0" w:color="000000"/>
              <w:bottom w:val="single" w:sz="4" w:space="0" w:color="000000"/>
              <w:right w:val="single" w:sz="4" w:space="0" w:color="000000"/>
            </w:tcBorders>
          </w:tcPr>
          <w:p w14:paraId="38162992" w14:textId="77777777" w:rsidR="003248E0" w:rsidRPr="00B92276" w:rsidRDefault="002D080F">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sz w:val="16"/>
                <w:szCs w:val="16"/>
              </w:rPr>
              <w:lastRenderedPageBreak/>
              <w:t>Temporalidad de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45458C19" w14:textId="05C2716C" w:rsidR="003248E0" w:rsidRPr="00B92276" w:rsidRDefault="007B3FC5">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noProof/>
                <w:lang w:eastAsia="es-MX"/>
              </w:rPr>
              <w:drawing>
                <wp:inline distT="0" distB="0" distL="0" distR="0" wp14:anchorId="0F85E094" wp14:editId="010BA385">
                  <wp:extent cx="3184525" cy="381000"/>
                  <wp:effectExtent l="19050" t="19050" r="158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84525" cy="381000"/>
                          </a:xfrm>
                          <a:prstGeom prst="rect">
                            <a:avLst/>
                          </a:prstGeom>
                          <a:ln w="3175">
                            <a:solidFill>
                              <a:schemeClr val="tx1"/>
                            </a:solidFill>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181C6E8E" w14:textId="458B561C" w:rsidR="003248E0" w:rsidRPr="00B92276" w:rsidRDefault="007B3FC5">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rPr>
              <w:t>Sí</w:t>
            </w:r>
          </w:p>
        </w:tc>
      </w:tr>
      <w:tr w:rsidR="003248E0" w:rsidRPr="00B92276" w14:paraId="5A3B77A6" w14:textId="77777777">
        <w:tc>
          <w:tcPr>
            <w:tcW w:w="1413" w:type="dxa"/>
            <w:tcBorders>
              <w:top w:val="single" w:sz="4" w:space="0" w:color="000000"/>
              <w:left w:val="single" w:sz="4" w:space="0" w:color="000000"/>
              <w:bottom w:val="single" w:sz="4" w:space="0" w:color="000000"/>
              <w:right w:val="single" w:sz="4" w:space="0" w:color="000000"/>
            </w:tcBorders>
          </w:tcPr>
          <w:p w14:paraId="01316D78" w14:textId="77777777" w:rsidR="003248E0" w:rsidRPr="00B92276" w:rsidRDefault="002D080F">
            <w:pPr>
              <w:spacing w:after="0"/>
              <w:jc w:val="center"/>
              <w:rPr>
                <w:rFonts w:ascii="Palatino Linotype" w:eastAsia="Palatino Linotype" w:hAnsi="Palatino Linotype" w:cs="Palatino Linotype"/>
                <w:b/>
              </w:rPr>
            </w:pPr>
            <w:r w:rsidRPr="00B92276">
              <w:rPr>
                <w:rFonts w:ascii="Palatino Linotype" w:eastAsia="Palatino Linotype" w:hAnsi="Palatino Linotype" w:cs="Palatino Linotype"/>
                <w:b/>
                <w:sz w:val="16"/>
                <w:szCs w:val="16"/>
              </w:rPr>
              <w:t>Autoridades competentes.</w:t>
            </w:r>
          </w:p>
        </w:tc>
        <w:tc>
          <w:tcPr>
            <w:tcW w:w="5245" w:type="dxa"/>
            <w:tcBorders>
              <w:top w:val="single" w:sz="4" w:space="0" w:color="000000"/>
              <w:left w:val="single" w:sz="4" w:space="0" w:color="000000"/>
              <w:bottom w:val="single" w:sz="4" w:space="0" w:color="000000"/>
              <w:right w:val="single" w:sz="4" w:space="0" w:color="000000"/>
            </w:tcBorders>
          </w:tcPr>
          <w:p w14:paraId="604142F9" w14:textId="77777777" w:rsidR="003248E0" w:rsidRPr="00B92276" w:rsidRDefault="003248E0">
            <w:pPr>
              <w:spacing w:after="0"/>
              <w:jc w:val="center"/>
            </w:pPr>
          </w:p>
          <w:p w14:paraId="42B33502" w14:textId="77777777" w:rsidR="003248E0" w:rsidRPr="00B92276" w:rsidRDefault="002D080F">
            <w:pPr>
              <w:spacing w:after="0"/>
              <w:jc w:val="center"/>
            </w:pPr>
            <w:r w:rsidRPr="00B92276">
              <w:rPr>
                <w:noProof/>
                <w:lang w:eastAsia="es-MX"/>
              </w:rPr>
              <w:drawing>
                <wp:inline distT="0" distB="0" distL="0" distR="0" wp14:anchorId="26F66655" wp14:editId="55C08074">
                  <wp:extent cx="3193415" cy="2800350"/>
                  <wp:effectExtent l="0" t="0" r="0" b="0"/>
                  <wp:docPr id="19520825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193415" cy="2800350"/>
                          </a:xfrm>
                          <a:prstGeom prst="rect">
                            <a:avLst/>
                          </a:prstGeom>
                          <a:ln/>
                        </pic:spPr>
                      </pic:pic>
                    </a:graphicData>
                  </a:graphic>
                </wp:inline>
              </w:drawing>
            </w:r>
          </w:p>
          <w:p w14:paraId="700557E7" w14:textId="77777777" w:rsidR="003248E0" w:rsidRPr="00B92276" w:rsidRDefault="003248E0">
            <w:pPr>
              <w:spacing w:after="0"/>
              <w:jc w:val="center"/>
            </w:pPr>
          </w:p>
        </w:tc>
        <w:tc>
          <w:tcPr>
            <w:tcW w:w="2170" w:type="dxa"/>
            <w:tcBorders>
              <w:top w:val="single" w:sz="4" w:space="0" w:color="000000"/>
              <w:left w:val="single" w:sz="4" w:space="0" w:color="000000"/>
              <w:bottom w:val="single" w:sz="4" w:space="0" w:color="000000"/>
              <w:right w:val="single" w:sz="4" w:space="0" w:color="000000"/>
            </w:tcBorders>
          </w:tcPr>
          <w:p w14:paraId="180A3261" w14:textId="77777777" w:rsidR="003248E0" w:rsidRPr="00B92276" w:rsidRDefault="002D080F">
            <w:pPr>
              <w:spacing w:after="0"/>
              <w:jc w:val="center"/>
              <w:rPr>
                <w:rFonts w:ascii="Palatino Linotype" w:eastAsia="Palatino Linotype" w:hAnsi="Palatino Linotype" w:cs="Palatino Linotype"/>
                <w:sz w:val="18"/>
                <w:szCs w:val="18"/>
              </w:rPr>
            </w:pPr>
            <w:r w:rsidRPr="00B92276">
              <w:rPr>
                <w:rFonts w:ascii="Palatino Linotype" w:eastAsia="Palatino Linotype" w:hAnsi="Palatino Linotype" w:cs="Palatino Linotype"/>
                <w:b/>
              </w:rPr>
              <w:t>Sí</w:t>
            </w:r>
          </w:p>
        </w:tc>
      </w:tr>
    </w:tbl>
    <w:p w14:paraId="3669EEED" w14:textId="77777777" w:rsidR="003248E0" w:rsidRPr="00B92276" w:rsidRDefault="003248E0">
      <w:pPr>
        <w:spacing w:after="0" w:line="360" w:lineRule="auto"/>
        <w:jc w:val="both"/>
        <w:rPr>
          <w:rFonts w:ascii="Palatino Linotype" w:eastAsia="Palatino Linotype" w:hAnsi="Palatino Linotype" w:cs="Palatino Linotype"/>
          <w:sz w:val="24"/>
          <w:szCs w:val="24"/>
        </w:rPr>
      </w:pPr>
    </w:p>
    <w:p w14:paraId="18FFC8DA"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De lo anterior, el Sujeto Obligado, si bien, a través del acuerdo emitido por su Comité de Transparencia realizó la prueba de daño; </w:t>
      </w:r>
      <w:r w:rsidRPr="00B92276">
        <w:rPr>
          <w:rFonts w:ascii="Palatino Linotype" w:eastAsia="Palatino Linotype" w:hAnsi="Palatino Linotype" w:cs="Palatino Linotype"/>
          <w:b/>
          <w:u w:val="single"/>
        </w:rPr>
        <w:t>no acreditó cabalmente las razones por las cuales la entrega de la información generaría una afectación a los procedimientos de responsabilidades administrativas que refiere aún no han quedado firmes;</w:t>
      </w:r>
      <w:r w:rsidRPr="00B92276">
        <w:rPr>
          <w:rFonts w:ascii="Palatino Linotype" w:eastAsia="Palatino Linotype" w:hAnsi="Palatino Linotype" w:cs="Palatino Linotype"/>
          <w:b/>
        </w:rPr>
        <w:t xml:space="preserve"> </w:t>
      </w:r>
      <w:r w:rsidRPr="00B92276">
        <w:rPr>
          <w:rFonts w:ascii="Palatino Linotype" w:eastAsia="Palatino Linotype" w:hAnsi="Palatino Linotype" w:cs="Palatino Linotype"/>
        </w:rPr>
        <w:t xml:space="preserve">además que no se encuentra debidamente fundado y motivado. </w:t>
      </w:r>
    </w:p>
    <w:p w14:paraId="27C90300" w14:textId="77777777" w:rsidR="003248E0" w:rsidRPr="00B92276" w:rsidRDefault="003248E0">
      <w:pPr>
        <w:tabs>
          <w:tab w:val="left" w:pos="4962"/>
        </w:tabs>
        <w:spacing w:after="0" w:line="360" w:lineRule="auto"/>
        <w:jc w:val="both"/>
        <w:rPr>
          <w:rFonts w:ascii="Palatino Linotype" w:eastAsia="Palatino Linotype" w:hAnsi="Palatino Linotype" w:cs="Palatino Linotype"/>
        </w:rPr>
      </w:pPr>
    </w:p>
    <w:p w14:paraId="6584EC7E"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Es de agregar que,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tiene el deber de motivar la clasificación, señalando las circunstancias de modo, tiempo y lugar del daño, que acrediten el vínculo entre la difusión de la información y la afectación al interés público, desarrollando esta parte en la prueba de daño correspondiente; </w:t>
      </w:r>
      <w:r w:rsidRPr="00B92276">
        <w:rPr>
          <w:rFonts w:ascii="Palatino Linotype" w:eastAsia="Palatino Linotype" w:hAnsi="Palatino Linotype" w:cs="Palatino Linotype"/>
          <w:b/>
          <w:u w:val="single"/>
        </w:rPr>
        <w:t>situación que tampoco se cumplió</w:t>
      </w:r>
      <w:r w:rsidRPr="00B92276">
        <w:rPr>
          <w:rFonts w:ascii="Palatino Linotype" w:eastAsia="Palatino Linotype" w:hAnsi="Palatino Linotype" w:cs="Palatino Linotype"/>
        </w:rPr>
        <w:t xml:space="preserve">, pues sólo se indicó que la información </w:t>
      </w:r>
      <w:r w:rsidRPr="00B92276">
        <w:rPr>
          <w:rFonts w:ascii="Palatino Linotype" w:eastAsia="Palatino Linotype" w:hAnsi="Palatino Linotype" w:cs="Palatino Linotype"/>
        </w:rPr>
        <w:lastRenderedPageBreak/>
        <w:t>podría generar un menoscabo en el debido proceso, las estrategias de investigación, técnicas de inspección y supervisión.</w:t>
      </w:r>
    </w:p>
    <w:p w14:paraId="37718147" w14:textId="77777777" w:rsidR="003248E0" w:rsidRPr="00B92276" w:rsidRDefault="003248E0">
      <w:pPr>
        <w:spacing w:after="0" w:line="360" w:lineRule="auto"/>
        <w:jc w:val="both"/>
        <w:rPr>
          <w:rFonts w:ascii="Palatino Linotype" w:eastAsia="Palatino Linotype" w:hAnsi="Palatino Linotype" w:cs="Palatino Linotype"/>
        </w:rPr>
      </w:pPr>
    </w:p>
    <w:p w14:paraId="18796307"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Por tanto, al no llevarse a cabo la ponderación de los intereses en conflicto tendientes a demostrar que la publicidad generaría un daño, bajo el análisis de dichos factores, no de demuestra el daño que generaría la entrega de la información.</w:t>
      </w:r>
    </w:p>
    <w:p w14:paraId="03D8BC0B" w14:textId="77777777" w:rsidR="003248E0" w:rsidRPr="00B92276" w:rsidRDefault="003248E0">
      <w:pPr>
        <w:tabs>
          <w:tab w:val="left" w:pos="4962"/>
        </w:tabs>
        <w:spacing w:after="0" w:line="360" w:lineRule="auto"/>
        <w:jc w:val="both"/>
        <w:rPr>
          <w:rFonts w:ascii="Palatino Linotype" w:eastAsia="Palatino Linotype" w:hAnsi="Palatino Linotype" w:cs="Palatino Linotype"/>
        </w:rPr>
      </w:pPr>
    </w:p>
    <w:p w14:paraId="2CB2A3D3" w14:textId="77777777" w:rsidR="003248E0" w:rsidRPr="00B92276" w:rsidRDefault="002D080F">
      <w:pPr>
        <w:tabs>
          <w:tab w:val="left" w:pos="4962"/>
        </w:tabs>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De esta manera, no procede la reserva de la información requerida.</w:t>
      </w:r>
    </w:p>
    <w:p w14:paraId="5C43A779" w14:textId="77777777" w:rsidR="003248E0" w:rsidRPr="00B92276" w:rsidRDefault="003248E0">
      <w:pPr>
        <w:tabs>
          <w:tab w:val="left" w:pos="4962"/>
        </w:tabs>
        <w:spacing w:after="0" w:line="360" w:lineRule="auto"/>
        <w:jc w:val="both"/>
        <w:rPr>
          <w:rFonts w:ascii="Palatino Linotype" w:eastAsia="Palatino Linotype" w:hAnsi="Palatino Linotype" w:cs="Palatino Linotype"/>
        </w:rPr>
      </w:pPr>
    </w:p>
    <w:p w14:paraId="2A7CB449" w14:textId="77777777" w:rsidR="003248E0" w:rsidRPr="00B92276" w:rsidRDefault="002D080F">
      <w:pPr>
        <w:tabs>
          <w:tab w:val="left" w:pos="4962"/>
        </w:tabs>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No </w:t>
      </w:r>
      <w:proofErr w:type="gramStart"/>
      <w:r w:rsidRPr="00B92276">
        <w:rPr>
          <w:rFonts w:ascii="Palatino Linotype" w:eastAsia="Palatino Linotype" w:hAnsi="Palatino Linotype" w:cs="Palatino Linotype"/>
        </w:rPr>
        <w:t>obstante</w:t>
      </w:r>
      <w:proofErr w:type="gramEnd"/>
      <w:r w:rsidRPr="00B92276">
        <w:rPr>
          <w:rFonts w:ascii="Palatino Linotype" w:eastAsia="Palatino Linotype" w:hAnsi="Palatino Linotype" w:cs="Palatino Linotype"/>
        </w:rPr>
        <w:t xml:space="preserve"> lo anterior, cabe recordar que la reserva de la información, la hizo el </w:t>
      </w:r>
      <w:r w:rsidRPr="00B92276">
        <w:rPr>
          <w:rFonts w:ascii="Palatino Linotype" w:eastAsia="Palatino Linotype" w:hAnsi="Palatino Linotype" w:cs="Palatino Linotype"/>
          <w:b/>
        </w:rPr>
        <w:t xml:space="preserve">Sujeto Obligado </w:t>
      </w:r>
      <w:r w:rsidRPr="00B92276">
        <w:rPr>
          <w:rFonts w:ascii="Palatino Linotype" w:eastAsia="Palatino Linotype" w:hAnsi="Palatino Linotype" w:cs="Palatino Linotype"/>
        </w:rPr>
        <w:t>respecto de fichas de reparación de vehículos de la Unidad de Asuntos Internos, arrendados y prestados, destinados al Titular del ente obligado, Directores, Jefes de Departamento y personal comisionado; sin especificar si dentro de dichos vehículos se contemplaban patrullas, así como vehículos modelo sedán, camionetas y motocicletas.</w:t>
      </w:r>
    </w:p>
    <w:p w14:paraId="0D1D1A82" w14:textId="77777777" w:rsidR="003248E0" w:rsidRPr="00B92276" w:rsidRDefault="003248E0">
      <w:pPr>
        <w:tabs>
          <w:tab w:val="left" w:pos="4962"/>
        </w:tabs>
        <w:spacing w:after="0" w:line="360" w:lineRule="auto"/>
        <w:jc w:val="both"/>
        <w:rPr>
          <w:rFonts w:ascii="Palatino Linotype" w:eastAsia="Palatino Linotype" w:hAnsi="Palatino Linotype" w:cs="Palatino Linotype"/>
        </w:rPr>
      </w:pPr>
    </w:p>
    <w:p w14:paraId="308E935E" w14:textId="77777777" w:rsidR="003248E0" w:rsidRPr="00B92276" w:rsidRDefault="002D080F">
      <w:pPr>
        <w:tabs>
          <w:tab w:val="left" w:pos="4962"/>
        </w:tabs>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Por lo que, en lo concerniente a las patrullas, del análisis al Reglamento Interior de la Unidad de Asuntos Internos no se advierte que tenga atribuciones el Sujeto Obligado para llevar a cabo patrullajes mediante su parque vehicular, pues dicha atribución, a nivel Estatal, de la Secretaría de Seguridad, por conducto de la Coordinación de Grupos Tácticos y la</w:t>
      </w:r>
      <w:r w:rsidRPr="00B92276">
        <w:t xml:space="preserve"> </w:t>
      </w:r>
      <w:r w:rsidRPr="00B92276">
        <w:rPr>
          <w:rFonts w:ascii="Palatino Linotype" w:eastAsia="Palatino Linotype" w:hAnsi="Palatino Linotype" w:cs="Palatino Linotype"/>
        </w:rPr>
        <w:t>Dirección General de Policía de Género, como lo disponen los artículos 26 fracción IX, y el 27, fracción II, de su Reglamento Interior, a saber:</w:t>
      </w:r>
    </w:p>
    <w:p w14:paraId="68B84215" w14:textId="77777777" w:rsidR="003248E0" w:rsidRPr="00B92276" w:rsidRDefault="003248E0">
      <w:pPr>
        <w:tabs>
          <w:tab w:val="left" w:pos="4962"/>
        </w:tabs>
        <w:spacing w:after="0" w:line="360" w:lineRule="auto"/>
        <w:jc w:val="both"/>
        <w:rPr>
          <w:rFonts w:ascii="Palatino Linotype" w:eastAsia="Palatino Linotype" w:hAnsi="Palatino Linotype" w:cs="Palatino Linotype"/>
        </w:rPr>
      </w:pPr>
    </w:p>
    <w:p w14:paraId="7FCBFDA9" w14:textId="77777777" w:rsidR="003248E0" w:rsidRPr="00B92276" w:rsidRDefault="002D080F">
      <w:pPr>
        <w:tabs>
          <w:tab w:val="left" w:pos="4962"/>
        </w:tabs>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i/>
        </w:rPr>
        <w:t>“Artículo 26. Corresponden a la Dirección General de Policía de Género las atribuciones siguientes:</w:t>
      </w:r>
      <w:r w:rsidRPr="00B92276">
        <w:rPr>
          <w:rFonts w:ascii="Palatino Linotype" w:eastAsia="Palatino Linotype" w:hAnsi="Palatino Linotype" w:cs="Palatino Linotype"/>
          <w:i/>
        </w:rPr>
        <w:br/>
        <w:t>[…]</w:t>
      </w:r>
    </w:p>
    <w:p w14:paraId="4FCF3B06" w14:textId="77777777" w:rsidR="003248E0" w:rsidRPr="00B92276" w:rsidRDefault="002D080F">
      <w:pPr>
        <w:tabs>
          <w:tab w:val="left" w:pos="4962"/>
        </w:tabs>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i/>
        </w:rPr>
        <w:lastRenderedPageBreak/>
        <w:t xml:space="preserve">IX. Proponer y establecer dentro del ámbito de su competencia la georreferenciación para la </w:t>
      </w:r>
      <w:r w:rsidRPr="00B92276">
        <w:rPr>
          <w:rFonts w:ascii="Palatino Linotype" w:eastAsia="Palatino Linotype" w:hAnsi="Palatino Linotype" w:cs="Palatino Linotype"/>
          <w:b/>
          <w:i/>
        </w:rPr>
        <w:t>implementación de patrullajes</w:t>
      </w:r>
      <w:r w:rsidRPr="00B92276">
        <w:rPr>
          <w:rFonts w:ascii="Palatino Linotype" w:eastAsia="Palatino Linotype" w:hAnsi="Palatino Linotype" w:cs="Palatino Linotype"/>
          <w:i/>
        </w:rPr>
        <w:t xml:space="preserve"> en las zonas, cuadrantes y colonias con mayor índice delictivo en materia de género, atendiendo su capacidad </w:t>
      </w:r>
      <w:proofErr w:type="gramStart"/>
      <w:r w:rsidRPr="00B92276">
        <w:rPr>
          <w:rFonts w:ascii="Palatino Linotype" w:eastAsia="Palatino Linotype" w:hAnsi="Palatino Linotype" w:cs="Palatino Linotype"/>
          <w:i/>
        </w:rPr>
        <w:t>operativa;[</w:t>
      </w:r>
      <w:proofErr w:type="gramEnd"/>
      <w:r w:rsidRPr="00B92276">
        <w:rPr>
          <w:rFonts w:ascii="Palatino Linotype" w:eastAsia="Palatino Linotype" w:hAnsi="Palatino Linotype" w:cs="Palatino Linotype"/>
          <w:i/>
        </w:rPr>
        <w:t>…]”</w:t>
      </w:r>
    </w:p>
    <w:p w14:paraId="5C182DF8" w14:textId="77777777" w:rsidR="003248E0" w:rsidRPr="00B92276" w:rsidRDefault="003248E0">
      <w:pPr>
        <w:tabs>
          <w:tab w:val="left" w:pos="4962"/>
        </w:tabs>
        <w:spacing w:after="0"/>
        <w:ind w:left="567" w:right="560"/>
        <w:jc w:val="both"/>
        <w:rPr>
          <w:rFonts w:ascii="Palatino Linotype" w:eastAsia="Palatino Linotype" w:hAnsi="Palatino Linotype" w:cs="Palatino Linotype"/>
          <w:i/>
        </w:rPr>
      </w:pPr>
    </w:p>
    <w:p w14:paraId="26A8664D" w14:textId="77777777" w:rsidR="003248E0" w:rsidRPr="00B92276" w:rsidRDefault="002D080F">
      <w:pPr>
        <w:tabs>
          <w:tab w:val="left" w:pos="4962"/>
        </w:tabs>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“Artículo 27. Corresponden a la Coordinación de Grupos Tácticos las atribuciones siguientes: </w:t>
      </w:r>
    </w:p>
    <w:p w14:paraId="25695E55" w14:textId="77777777" w:rsidR="003248E0" w:rsidRPr="00B92276" w:rsidRDefault="002D080F">
      <w:pPr>
        <w:tabs>
          <w:tab w:val="left" w:pos="4962"/>
        </w:tabs>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p>
    <w:p w14:paraId="5654ABDC" w14:textId="77777777" w:rsidR="003248E0" w:rsidRPr="00B92276" w:rsidRDefault="002D080F">
      <w:pPr>
        <w:tabs>
          <w:tab w:val="left" w:pos="4962"/>
        </w:tabs>
        <w:spacing w:after="0"/>
        <w:ind w:left="567" w:right="560"/>
        <w:jc w:val="both"/>
        <w:rPr>
          <w:rFonts w:ascii="Palatino Linotype" w:eastAsia="Palatino Linotype" w:hAnsi="Palatino Linotype" w:cs="Palatino Linotype"/>
          <w:i/>
        </w:rPr>
      </w:pPr>
      <w:r w:rsidRPr="00B92276">
        <w:rPr>
          <w:rFonts w:ascii="Palatino Linotype" w:eastAsia="Palatino Linotype" w:hAnsi="Palatino Linotype" w:cs="Palatino Linotype"/>
          <w:b/>
          <w:i/>
        </w:rPr>
        <w:t>II. Realizar patrullajes de cuadrantes</w:t>
      </w:r>
      <w:r w:rsidRPr="00B92276">
        <w:rPr>
          <w:rFonts w:ascii="Palatino Linotype" w:eastAsia="Palatino Linotype" w:hAnsi="Palatino Linotype" w:cs="Palatino Linotype"/>
          <w:i/>
        </w:rPr>
        <w:t>, en coordinación con los tres niveles de gobierno, con enfoque a las áreas de mayor índice delictivo; […]”</w:t>
      </w:r>
    </w:p>
    <w:p w14:paraId="0951ED9E" w14:textId="77777777" w:rsidR="003248E0" w:rsidRPr="00B92276" w:rsidRDefault="003248E0">
      <w:pPr>
        <w:tabs>
          <w:tab w:val="left" w:pos="4962"/>
        </w:tabs>
        <w:spacing w:after="0"/>
        <w:ind w:left="567" w:right="560"/>
        <w:jc w:val="both"/>
        <w:rPr>
          <w:rFonts w:ascii="Palatino Linotype" w:eastAsia="Palatino Linotype" w:hAnsi="Palatino Linotype" w:cs="Palatino Linotype"/>
          <w:i/>
        </w:rPr>
      </w:pPr>
    </w:p>
    <w:p w14:paraId="27157FF2" w14:textId="77777777" w:rsidR="003248E0" w:rsidRPr="00B92276" w:rsidRDefault="002D080F">
      <w:pPr>
        <w:tabs>
          <w:tab w:val="left" w:pos="4962"/>
        </w:tabs>
        <w:spacing w:after="0"/>
        <w:ind w:left="567" w:right="560"/>
        <w:jc w:val="right"/>
        <w:rPr>
          <w:rFonts w:ascii="Palatino Linotype" w:eastAsia="Palatino Linotype" w:hAnsi="Palatino Linotype" w:cs="Palatino Linotype"/>
          <w:i/>
        </w:rPr>
      </w:pPr>
      <w:r w:rsidRPr="00B92276">
        <w:rPr>
          <w:rFonts w:ascii="Palatino Linotype" w:eastAsia="Palatino Linotype" w:hAnsi="Palatino Linotype" w:cs="Palatino Linotype"/>
          <w:i/>
        </w:rPr>
        <w:t>(Énfasis añadido)</w:t>
      </w:r>
    </w:p>
    <w:p w14:paraId="7EDA2D91" w14:textId="77777777" w:rsidR="003248E0" w:rsidRPr="00B92276" w:rsidRDefault="003248E0">
      <w:pPr>
        <w:tabs>
          <w:tab w:val="left" w:pos="4962"/>
        </w:tabs>
        <w:spacing w:after="0" w:line="360" w:lineRule="auto"/>
        <w:jc w:val="both"/>
        <w:rPr>
          <w:rFonts w:ascii="Palatino Linotype" w:eastAsia="Palatino Linotype" w:hAnsi="Palatino Linotype" w:cs="Palatino Linotype"/>
        </w:rPr>
      </w:pPr>
    </w:p>
    <w:p w14:paraId="13131EE5"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De esta manera, es que no procede ordenarse fichas de reparación de patrullas, porque no se advierte fuente obligacional para que el Sujeto Obligado cuente con vehículos destinados al patrullaje.</w:t>
      </w:r>
    </w:p>
    <w:p w14:paraId="5F94FD66" w14:textId="77777777" w:rsidR="003248E0" w:rsidRPr="00B92276" w:rsidRDefault="003248E0">
      <w:pPr>
        <w:spacing w:after="0" w:line="360" w:lineRule="auto"/>
        <w:ind w:right="49"/>
        <w:jc w:val="both"/>
        <w:rPr>
          <w:rFonts w:ascii="Palatino Linotype" w:eastAsia="Palatino Linotype" w:hAnsi="Palatino Linotype" w:cs="Palatino Linotype"/>
        </w:rPr>
      </w:pPr>
    </w:p>
    <w:p w14:paraId="71CA1375"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Ahora, de la respuesta del servidor público habilitado competente tampoco se desprende que hiciera referencia a que los vehículos prestados y arrendados de los que hizo la reserva de las fichas de reparación eran sobre vehículos modelo sedán, camionetas o motocicletas; por lo que, procede ordenar la entrega de la información bajo los siguientes términos:</w:t>
      </w:r>
    </w:p>
    <w:p w14:paraId="705974CC" w14:textId="77777777" w:rsidR="003248E0" w:rsidRPr="00B92276" w:rsidRDefault="003248E0">
      <w:pPr>
        <w:spacing w:after="0" w:line="360" w:lineRule="auto"/>
        <w:ind w:right="49"/>
        <w:jc w:val="both"/>
        <w:rPr>
          <w:rFonts w:ascii="Palatino Linotype" w:eastAsia="Palatino Linotype" w:hAnsi="Palatino Linotype" w:cs="Palatino Linotype"/>
        </w:rPr>
      </w:pPr>
    </w:p>
    <w:p w14:paraId="32E2BBB5" w14:textId="4D9440E6" w:rsidR="003248E0" w:rsidRPr="00B92276" w:rsidRDefault="002D080F">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B92276">
        <w:rPr>
          <w:rFonts w:ascii="Palatino Linotype" w:eastAsia="Palatino Linotype" w:hAnsi="Palatino Linotype" w:cs="Palatino Linotype"/>
          <w:b/>
        </w:rPr>
        <w:t xml:space="preserve">De ser procedente en versión pública, las fichas de reparaciones realizadas a los vehículos </w:t>
      </w:r>
      <w:r w:rsidR="00454D9C" w:rsidRPr="00B92276">
        <w:rPr>
          <w:rFonts w:ascii="Palatino Linotype" w:eastAsia="Palatino Linotype" w:hAnsi="Palatino Linotype" w:cs="Palatino Linotype"/>
          <w:b/>
        </w:rPr>
        <w:t xml:space="preserve">destinados, </w:t>
      </w:r>
      <w:r w:rsidRPr="00B92276">
        <w:rPr>
          <w:rFonts w:ascii="Palatino Linotype" w:eastAsia="Palatino Linotype" w:hAnsi="Palatino Linotype" w:cs="Palatino Linotype"/>
          <w:b/>
        </w:rPr>
        <w:t xml:space="preserve">arrendados y prestados de la Unidad de Asuntos Internos, particularmente los modelo sedán, así como, camionetas y/o motocicletas, que hubieran sido asignados al Titular del ente público, </w:t>
      </w:r>
      <w:proofErr w:type="gramStart"/>
      <w:r w:rsidRPr="00B92276">
        <w:rPr>
          <w:rFonts w:ascii="Palatino Linotype" w:eastAsia="Palatino Linotype" w:hAnsi="Palatino Linotype" w:cs="Palatino Linotype"/>
          <w:b/>
        </w:rPr>
        <w:t>Directores</w:t>
      </w:r>
      <w:proofErr w:type="gramEnd"/>
      <w:r w:rsidRPr="00B92276">
        <w:rPr>
          <w:rFonts w:ascii="Palatino Linotype" w:eastAsia="Palatino Linotype" w:hAnsi="Palatino Linotype" w:cs="Palatino Linotype"/>
          <w:b/>
        </w:rPr>
        <w:t>, Jefes de Departamento y personal comisionado, del periodo comprendido del dieciocho de septiembre de dos mil veintitrés al dieciocho de septiembre de dos mil veinticuatro.</w:t>
      </w:r>
    </w:p>
    <w:p w14:paraId="3F47E380" w14:textId="77777777" w:rsidR="003248E0" w:rsidRPr="00B92276" w:rsidRDefault="003248E0">
      <w:pPr>
        <w:spacing w:after="0" w:line="360" w:lineRule="auto"/>
        <w:ind w:right="49"/>
        <w:jc w:val="both"/>
        <w:rPr>
          <w:rFonts w:ascii="Palatino Linotype" w:eastAsia="Palatino Linotype" w:hAnsi="Palatino Linotype" w:cs="Palatino Linotype"/>
        </w:rPr>
      </w:pPr>
    </w:p>
    <w:p w14:paraId="43EF69AF" w14:textId="77777777" w:rsidR="003248E0" w:rsidRPr="00B92276" w:rsidRDefault="003248E0">
      <w:pPr>
        <w:spacing w:after="0" w:line="360" w:lineRule="auto"/>
        <w:ind w:right="49"/>
        <w:jc w:val="both"/>
        <w:rPr>
          <w:rFonts w:ascii="Palatino Linotype" w:eastAsia="Palatino Linotype" w:hAnsi="Palatino Linotype" w:cs="Palatino Linotype"/>
        </w:rPr>
      </w:pPr>
    </w:p>
    <w:p w14:paraId="52B643A7" w14:textId="77777777" w:rsidR="003248E0" w:rsidRPr="00B92276" w:rsidRDefault="002D080F">
      <w:pPr>
        <w:spacing w:after="0" w:line="360" w:lineRule="auto"/>
        <w:ind w:right="49"/>
        <w:jc w:val="both"/>
        <w:rPr>
          <w:rFonts w:ascii="Palatino Linotype" w:eastAsia="Palatino Linotype" w:hAnsi="Palatino Linotype" w:cs="Palatino Linotype"/>
        </w:rPr>
      </w:pPr>
      <w:bookmarkStart w:id="3" w:name="_heading=h.30j0zll" w:colFirst="0" w:colLast="0"/>
      <w:bookmarkEnd w:id="3"/>
      <w:r w:rsidRPr="00B92276">
        <w:rPr>
          <w:rFonts w:ascii="Palatino Linotype" w:eastAsia="Palatino Linotype" w:hAnsi="Palatino Linotype" w:cs="Palatino Linotype"/>
          <w:b/>
        </w:rPr>
        <w:t xml:space="preserve">Quinto. Versión Pública. </w:t>
      </w:r>
      <w:r w:rsidRPr="00B92276">
        <w:rPr>
          <w:rFonts w:ascii="Palatino Linotype" w:eastAsia="Palatino Linotype" w:hAnsi="Palatino Linotype" w:cs="Palatino Linotype"/>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54E38C8" w14:textId="77777777" w:rsidR="003248E0" w:rsidRPr="00B92276" w:rsidRDefault="003248E0">
      <w:pPr>
        <w:spacing w:after="0" w:line="360" w:lineRule="auto"/>
        <w:ind w:right="49"/>
        <w:jc w:val="both"/>
        <w:rPr>
          <w:rFonts w:ascii="Palatino Linotype" w:eastAsia="Palatino Linotype" w:hAnsi="Palatino Linotype" w:cs="Palatino Linotype"/>
        </w:rPr>
      </w:pPr>
    </w:p>
    <w:p w14:paraId="14E525B4"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35E42416"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r w:rsidRPr="00B92276">
        <w:rPr>
          <w:rFonts w:ascii="Palatino Linotype" w:eastAsia="Palatino Linotype" w:hAnsi="Palatino Linotype" w:cs="Palatino Linotype"/>
          <w:b/>
          <w:i/>
        </w:rPr>
        <w:t>Artículo 3</w:t>
      </w:r>
      <w:r w:rsidRPr="00B92276">
        <w:rPr>
          <w:rFonts w:ascii="Palatino Linotype" w:eastAsia="Palatino Linotype" w:hAnsi="Palatino Linotype" w:cs="Palatino Linotype"/>
          <w:i/>
        </w:rPr>
        <w:t>. Para los efectos de la presente Ley se entenderá por:</w:t>
      </w:r>
    </w:p>
    <w:p w14:paraId="0C493497"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p>
    <w:p w14:paraId="6F733B1A"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IX. Datos personales:</w:t>
      </w:r>
      <w:r w:rsidRPr="00B92276">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32AF41C4"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XX. Información clasificada</w:t>
      </w:r>
      <w:r w:rsidRPr="00B92276">
        <w:rPr>
          <w:rFonts w:ascii="Palatino Linotype" w:eastAsia="Palatino Linotype" w:hAnsi="Palatino Linotype" w:cs="Palatino Linotype"/>
          <w:i/>
        </w:rPr>
        <w:t>: Aquella considerada por la presente Ley como reservada o confidencial;</w:t>
      </w:r>
    </w:p>
    <w:p w14:paraId="087AD6A5"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XXI. Información confidencial:</w:t>
      </w:r>
      <w:r w:rsidRPr="00B92276">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B8934A2"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lastRenderedPageBreak/>
        <w:t>XLV. Versión pública:</w:t>
      </w:r>
      <w:r w:rsidRPr="00B92276">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9B509A4"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p>
    <w:p w14:paraId="013F8384"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 xml:space="preserve">Artículo 91. </w:t>
      </w:r>
      <w:r w:rsidRPr="00B92276">
        <w:rPr>
          <w:rFonts w:ascii="Palatino Linotype" w:eastAsia="Palatino Linotype" w:hAnsi="Palatino Linotype" w:cs="Palatino Linotype"/>
          <w:i/>
        </w:rPr>
        <w:t>El acceso a la información pública será restringido excepcionalmente, cuando ésta sea clasificada como reservada o confidencial.</w:t>
      </w:r>
    </w:p>
    <w:p w14:paraId="7CA5157F"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 xml:space="preserve">Artículo 132. </w:t>
      </w:r>
      <w:r w:rsidRPr="00B92276">
        <w:rPr>
          <w:rFonts w:ascii="Palatino Linotype" w:eastAsia="Palatino Linotype" w:hAnsi="Palatino Linotype" w:cs="Palatino Linotype"/>
          <w:i/>
        </w:rPr>
        <w:t>La clasificación de la información se llevará a cabo en el momento en que:</w:t>
      </w:r>
    </w:p>
    <w:p w14:paraId="6436B254"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I</w:t>
      </w:r>
      <w:r w:rsidRPr="00B92276">
        <w:rPr>
          <w:rFonts w:ascii="Palatino Linotype" w:eastAsia="Palatino Linotype" w:hAnsi="Palatino Linotype" w:cs="Palatino Linotype"/>
          <w:i/>
        </w:rPr>
        <w:t>. Se reciba una solicitud de acceso a la información;</w:t>
      </w:r>
    </w:p>
    <w:p w14:paraId="21643C39"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II</w:t>
      </w:r>
      <w:r w:rsidRPr="00B92276">
        <w:rPr>
          <w:rFonts w:ascii="Palatino Linotype" w:eastAsia="Palatino Linotype" w:hAnsi="Palatino Linotype" w:cs="Palatino Linotype"/>
          <w:i/>
        </w:rPr>
        <w:t>. Se determine mediante resolución de autoridad competente; o</w:t>
      </w:r>
    </w:p>
    <w:p w14:paraId="1D672C47"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III</w:t>
      </w:r>
      <w:r w:rsidRPr="00B92276">
        <w:rPr>
          <w:rFonts w:ascii="Palatino Linotype" w:eastAsia="Palatino Linotype" w:hAnsi="Palatino Linotype" w:cs="Palatino Linotype"/>
          <w:i/>
        </w:rPr>
        <w:t>. Se generen versiones públicas para dar cumplimiento a las obligaciones de transparencia previstas en esta Ley.</w:t>
      </w:r>
    </w:p>
    <w:p w14:paraId="1A1A63E8"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p>
    <w:p w14:paraId="01777308"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Artículo 143</w:t>
      </w:r>
      <w:r w:rsidRPr="00B92276">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E84B2C6"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I.</w:t>
      </w:r>
      <w:r w:rsidRPr="00B92276">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23CB50F7"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II.</w:t>
      </w:r>
      <w:r w:rsidRPr="00B92276">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9EDDC69"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III</w:t>
      </w:r>
      <w:r w:rsidRPr="00B92276">
        <w:rPr>
          <w:rFonts w:ascii="Palatino Linotype" w:eastAsia="Palatino Linotype" w:hAnsi="Palatino Linotype" w:cs="Palatino Linotype"/>
          <w:i/>
        </w:rPr>
        <w:t>. La que presenten los particulares a los sujetos obligados, de conformidad con lo dispuesto por las leyes o los tratados internacionales.</w:t>
      </w:r>
    </w:p>
    <w:p w14:paraId="452D8954"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7EFA258B" w14:textId="77777777" w:rsidR="003248E0" w:rsidRPr="00B92276" w:rsidRDefault="002D080F">
      <w:pPr>
        <w:spacing w:before="120" w:after="0"/>
        <w:ind w:left="567"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D7F3104" w14:textId="77777777" w:rsidR="003248E0" w:rsidRPr="00B92276" w:rsidRDefault="003248E0">
      <w:pPr>
        <w:spacing w:after="0" w:line="360" w:lineRule="auto"/>
        <w:jc w:val="both"/>
        <w:rPr>
          <w:rFonts w:ascii="Palatino Linotype" w:eastAsia="Palatino Linotype" w:hAnsi="Palatino Linotype" w:cs="Palatino Linotype"/>
        </w:rPr>
      </w:pPr>
    </w:p>
    <w:p w14:paraId="73885977"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50DD2377" w14:textId="77777777" w:rsidR="003248E0" w:rsidRPr="00B92276" w:rsidRDefault="003248E0">
      <w:pPr>
        <w:spacing w:after="0" w:line="360" w:lineRule="auto"/>
        <w:jc w:val="both"/>
        <w:rPr>
          <w:rFonts w:ascii="Palatino Linotype" w:eastAsia="Palatino Linotype" w:hAnsi="Palatino Linotype" w:cs="Palatino Linotype"/>
        </w:rPr>
      </w:pPr>
    </w:p>
    <w:p w14:paraId="4EA66206"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siendo estas las siguientes:</w:t>
      </w:r>
    </w:p>
    <w:p w14:paraId="600B5931" w14:textId="77777777" w:rsidR="003248E0" w:rsidRPr="00B92276" w:rsidRDefault="003248E0">
      <w:pPr>
        <w:spacing w:line="360" w:lineRule="auto"/>
        <w:jc w:val="both"/>
        <w:rPr>
          <w:rFonts w:ascii="Palatino Linotype" w:eastAsia="Palatino Linotype" w:hAnsi="Palatino Linotype" w:cs="Palatino Linotype"/>
        </w:rPr>
      </w:pPr>
    </w:p>
    <w:p w14:paraId="2E69A4EA" w14:textId="77777777" w:rsidR="003248E0" w:rsidRPr="00B92276" w:rsidRDefault="002D080F">
      <w:pPr>
        <w:ind w:left="567"/>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“CAPÍTULO VIII </w:t>
      </w:r>
    </w:p>
    <w:p w14:paraId="25E85F01" w14:textId="77777777" w:rsidR="003248E0" w:rsidRPr="00B92276" w:rsidRDefault="002D080F">
      <w:pPr>
        <w:ind w:left="567"/>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DE LOS ELEMENTOS PARA LA CLASIFICACIÓN </w:t>
      </w:r>
    </w:p>
    <w:p w14:paraId="5E917377"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b/>
          <w:i/>
        </w:rPr>
        <w:t xml:space="preserve">Quincuagésimo. </w:t>
      </w:r>
      <w:r w:rsidRPr="00B92276">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078EB9"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b/>
          <w:i/>
        </w:rPr>
        <w:t xml:space="preserve">Quincuagésimo primero. </w:t>
      </w:r>
      <w:r w:rsidRPr="00B92276">
        <w:rPr>
          <w:rFonts w:ascii="Palatino Linotype" w:eastAsia="Palatino Linotype" w:hAnsi="Palatino Linotype" w:cs="Palatino Linotype"/>
          <w:i/>
        </w:rPr>
        <w:t xml:space="preserve">Toda acta del Comité de Transparencia deberá contener: </w:t>
      </w:r>
    </w:p>
    <w:p w14:paraId="75FB17A9"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I. El número de sesión y fecha; </w:t>
      </w:r>
    </w:p>
    <w:p w14:paraId="3CC7A109"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II. El nombre del área que solicitó la clasificación de información; </w:t>
      </w:r>
    </w:p>
    <w:p w14:paraId="5179ACA9"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III. La fundamentación legal y motivación correspondiente; </w:t>
      </w:r>
    </w:p>
    <w:p w14:paraId="43E1B9CB"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i/>
        </w:rPr>
        <w:lastRenderedPageBreak/>
        <w:t xml:space="preserve">IV. La resolución o resoluciones aprobadas; y </w:t>
      </w:r>
    </w:p>
    <w:p w14:paraId="45A177E3"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V. La rúbrica o firma digital de cada integrante del Comité de Transparencia. </w:t>
      </w:r>
    </w:p>
    <w:p w14:paraId="5E8122D1"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p>
    <w:p w14:paraId="1B21A696" w14:textId="77777777" w:rsidR="003248E0" w:rsidRPr="00B92276" w:rsidRDefault="002D080F">
      <w:pPr>
        <w:ind w:left="567" w:right="900"/>
        <w:jc w:val="both"/>
        <w:rPr>
          <w:rFonts w:ascii="Palatino Linotype" w:eastAsia="Palatino Linotype" w:hAnsi="Palatino Linotype" w:cs="Palatino Linotype"/>
          <w:b/>
          <w:i/>
          <w:u w:val="single"/>
        </w:rPr>
      </w:pPr>
      <w:r w:rsidRPr="00B92276">
        <w:rPr>
          <w:rFonts w:ascii="Palatino Linotype" w:eastAsia="Palatino Linotype" w:hAnsi="Palatino Linotype" w:cs="Palatino Linotype"/>
          <w:i/>
        </w:rPr>
        <w:t xml:space="preserve">En los casos de resoluciones del Comité de Transparencia en las que se </w:t>
      </w:r>
      <w:r w:rsidRPr="00B92276">
        <w:rPr>
          <w:rFonts w:ascii="Palatino Linotype" w:eastAsia="Palatino Linotype" w:hAnsi="Palatino Linotype" w:cs="Palatino Linotype"/>
          <w:b/>
          <w:i/>
          <w:u w:val="single"/>
        </w:rPr>
        <w:t>confirme la clasificación de información confidencial solo se deberán de identificar los tipos de datos protegidos, de conformidad con el lineamiento trigésimo octavo.</w:t>
      </w:r>
    </w:p>
    <w:p w14:paraId="7500893A" w14:textId="77777777" w:rsidR="003248E0" w:rsidRPr="00B92276" w:rsidRDefault="002D080F">
      <w:pPr>
        <w:ind w:left="567" w:right="900"/>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t xml:space="preserve">Quincuagésimo segundo. </w:t>
      </w:r>
      <w:r w:rsidRPr="00B92276">
        <w:rPr>
          <w:rFonts w:ascii="Palatino Linotype" w:eastAsia="Palatino Linotype" w:hAnsi="Palatino Linotype" w:cs="Palatino Linotype"/>
          <w:i/>
        </w:rPr>
        <w:t xml:space="preserve">Para la clasificación y elaboración de versiones públicas de documentos que contengan información clasificada como reservada o </w:t>
      </w:r>
      <w:r w:rsidRPr="00B92276">
        <w:rPr>
          <w:rFonts w:ascii="Palatino Linotype" w:eastAsia="Palatino Linotype" w:hAnsi="Palatino Linotype" w:cs="Palatino Linotype"/>
          <w:b/>
          <w:i/>
        </w:rPr>
        <w:t>confidencial,</w:t>
      </w:r>
      <w:r w:rsidRPr="00B92276">
        <w:rPr>
          <w:rFonts w:ascii="Palatino Linotype" w:eastAsia="Palatino Linotype" w:hAnsi="Palatino Linotype" w:cs="Palatino Linotype"/>
          <w:i/>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309D73E0"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23733151" w14:textId="77777777" w:rsidR="003248E0" w:rsidRPr="00B92276" w:rsidRDefault="002D080F">
      <w:pPr>
        <w:ind w:left="567" w:right="900"/>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t xml:space="preserve">I. Fijar la fecha en que se elaboró la versión pública y la fecha en la cual el Comité de Transparencia confirmó dicha versión; </w:t>
      </w:r>
    </w:p>
    <w:p w14:paraId="1537BB35" w14:textId="77777777" w:rsidR="003248E0" w:rsidRPr="00B92276" w:rsidRDefault="002D080F">
      <w:pPr>
        <w:ind w:left="567" w:right="900"/>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t xml:space="preserve">II. Señalar dentro del documento el tipo de información confidencial que fue testada en cada caso específico, de conformidad con el lineamiento trigésimo octavo; y </w:t>
      </w:r>
    </w:p>
    <w:p w14:paraId="16159E5F" w14:textId="77777777" w:rsidR="003248E0" w:rsidRPr="00B92276" w:rsidRDefault="002D080F">
      <w:pPr>
        <w:ind w:left="567" w:right="900"/>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t xml:space="preserve">III. Señalar las personas o instancias autorizadas a acceder a la información clasificada. </w:t>
      </w:r>
    </w:p>
    <w:p w14:paraId="56696C3D"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En los documentos de difusión electrónica, señalar en la primera hoja y en el nombre del archivo, que la versión pública corresponde a un documento que contiene </w:t>
      </w:r>
      <w:r w:rsidRPr="00B92276">
        <w:rPr>
          <w:rFonts w:ascii="Palatino Linotype" w:eastAsia="Palatino Linotype" w:hAnsi="Palatino Linotype" w:cs="Palatino Linotype"/>
          <w:b/>
          <w:i/>
          <w:u w:val="single"/>
        </w:rPr>
        <w:t>información confidencial.</w:t>
      </w:r>
      <w:r w:rsidRPr="00B92276">
        <w:rPr>
          <w:rFonts w:ascii="Palatino Linotype" w:eastAsia="Palatino Linotype" w:hAnsi="Palatino Linotype" w:cs="Palatino Linotype"/>
          <w:i/>
        </w:rPr>
        <w:t xml:space="preserve"> </w:t>
      </w:r>
    </w:p>
    <w:p w14:paraId="256A562D" w14:textId="77777777" w:rsidR="003248E0" w:rsidRPr="00B92276" w:rsidRDefault="002D080F">
      <w:pPr>
        <w:ind w:left="567" w:right="900"/>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t>[…]</w:t>
      </w:r>
    </w:p>
    <w:p w14:paraId="7B78B30B" w14:textId="77777777" w:rsidR="003248E0" w:rsidRPr="00B92276" w:rsidRDefault="002D080F">
      <w:pPr>
        <w:ind w:left="567" w:right="900"/>
        <w:jc w:val="both"/>
        <w:rPr>
          <w:rFonts w:ascii="Palatino Linotype" w:eastAsia="Palatino Linotype" w:hAnsi="Palatino Linotype" w:cs="Palatino Linotype"/>
          <w:b/>
          <w:i/>
        </w:rPr>
      </w:pPr>
      <w:r w:rsidRPr="00B92276">
        <w:rPr>
          <w:rFonts w:ascii="Palatino Linotype" w:eastAsia="Palatino Linotype" w:hAnsi="Palatino Linotype" w:cs="Palatino Linotype"/>
          <w:b/>
          <w:i/>
        </w:rPr>
        <w:lastRenderedPageBreak/>
        <w:t xml:space="preserve">Quincuagésimo cuarto. </w:t>
      </w:r>
      <w:r w:rsidRPr="00B92276">
        <w:rPr>
          <w:rFonts w:ascii="Palatino Linotype" w:eastAsia="Palatino Linotype" w:hAnsi="Palatino Linotype" w:cs="Palatino Linotype"/>
          <w:i/>
        </w:rPr>
        <w:t xml:space="preserve">Cuando el Comité de Transparencia confirme la clasificación de documentos reservados y/o </w:t>
      </w:r>
      <w:r w:rsidRPr="00B92276">
        <w:rPr>
          <w:rFonts w:ascii="Palatino Linotype" w:eastAsia="Palatino Linotype" w:hAnsi="Palatino Linotype" w:cs="Palatino Linotype"/>
          <w:b/>
          <w:i/>
        </w:rPr>
        <w:t>confidenciales</w:t>
      </w:r>
      <w:r w:rsidRPr="00B92276">
        <w:rPr>
          <w:rFonts w:ascii="Palatino Linotype" w:eastAsia="Palatino Linotype" w:hAnsi="Palatino Linotype" w:cs="Palatino Linotype"/>
          <w:i/>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92276">
        <w:rPr>
          <w:rFonts w:ascii="Palatino Linotype" w:eastAsia="Palatino Linotype" w:hAnsi="Palatino Linotype" w:cs="Palatino Linotype"/>
          <w:b/>
          <w:i/>
        </w:rPr>
        <w:t xml:space="preserve"> </w:t>
      </w:r>
    </w:p>
    <w:p w14:paraId="60799DC3" w14:textId="77777777" w:rsidR="003248E0" w:rsidRPr="00B92276" w:rsidRDefault="002D080F">
      <w:pPr>
        <w:ind w:left="567" w:right="900"/>
        <w:jc w:val="both"/>
        <w:rPr>
          <w:rFonts w:ascii="Palatino Linotype" w:eastAsia="Palatino Linotype" w:hAnsi="Palatino Linotype" w:cs="Palatino Linotype"/>
          <w:i/>
        </w:rPr>
      </w:pPr>
      <w:r w:rsidRPr="00B92276">
        <w:rPr>
          <w:rFonts w:ascii="Palatino Linotype" w:eastAsia="Palatino Linotype" w:hAnsi="Palatino Linotype" w:cs="Palatino Linotype"/>
          <w:b/>
          <w:i/>
        </w:rPr>
        <w:t xml:space="preserve">Quincuagésimo quinto. </w:t>
      </w:r>
      <w:r w:rsidRPr="00B92276">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B92276">
        <w:rPr>
          <w:rFonts w:ascii="Palatino Linotype" w:eastAsia="Palatino Linotype" w:hAnsi="Palatino Linotype" w:cs="Palatino Linotype"/>
          <w:i/>
        </w:rPr>
        <w:t>testado</w:t>
      </w:r>
      <w:proofErr w:type="spellEnd"/>
      <w:r w:rsidRPr="00B92276">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34A629EB" w14:textId="77777777" w:rsidR="003248E0" w:rsidRPr="00B92276" w:rsidRDefault="002D080F">
      <w:pPr>
        <w:spacing w:before="240" w:after="24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Asimismo, deberá observar los Lineamientos Quincuagésimo sexto, Quincuagésimo séptimo y Quincuagésimo octavo, establecen lo siguiente:</w:t>
      </w:r>
    </w:p>
    <w:p w14:paraId="65A2DB4F" w14:textId="77777777" w:rsidR="003248E0" w:rsidRPr="00B92276" w:rsidRDefault="002D080F">
      <w:pPr>
        <w:ind w:left="851"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t>“</w:t>
      </w:r>
      <w:r w:rsidRPr="00B92276">
        <w:rPr>
          <w:rFonts w:ascii="Palatino Linotype" w:eastAsia="Palatino Linotype" w:hAnsi="Palatino Linotype" w:cs="Palatino Linotype"/>
          <w:b/>
          <w:i/>
        </w:rPr>
        <w:t>Quincuagésimo sexto</w:t>
      </w:r>
      <w:r w:rsidRPr="00B92276">
        <w:rPr>
          <w:rFonts w:ascii="Palatino Linotype" w:eastAsia="Palatino Linotype" w:hAnsi="Palatino Linotype" w:cs="Palatino Linotype"/>
          <w:i/>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3C455B8" w14:textId="77777777" w:rsidR="003248E0" w:rsidRPr="00B92276" w:rsidRDefault="002D080F">
      <w:pPr>
        <w:ind w:left="851"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Quincuagésimo séptimo</w:t>
      </w:r>
      <w:r w:rsidRPr="00B92276">
        <w:rPr>
          <w:rFonts w:ascii="Palatino Linotype" w:eastAsia="Palatino Linotype" w:hAnsi="Palatino Linotype" w:cs="Palatino Linotype"/>
          <w:i/>
        </w:rPr>
        <w:t xml:space="preserve">. Se considera, en principio, como información pública y no podrá omitirse de las versiones públicas la siguiente: </w:t>
      </w:r>
    </w:p>
    <w:p w14:paraId="0E193C87" w14:textId="77777777" w:rsidR="003248E0" w:rsidRPr="00B92276" w:rsidRDefault="002D080F">
      <w:pPr>
        <w:ind w:left="851"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I</w:t>
      </w:r>
      <w:r w:rsidRPr="00B92276">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7933C1DC" w14:textId="77777777" w:rsidR="003248E0" w:rsidRPr="00B92276" w:rsidRDefault="002D080F">
      <w:pPr>
        <w:ind w:left="851"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II.</w:t>
      </w:r>
      <w:r w:rsidRPr="00B92276">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51A10550" w14:textId="77777777" w:rsidR="003248E0" w:rsidRPr="00B92276" w:rsidRDefault="002D080F">
      <w:pPr>
        <w:ind w:left="851"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III</w:t>
      </w:r>
      <w:r w:rsidRPr="00B92276">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955B996" w14:textId="77777777" w:rsidR="003248E0" w:rsidRPr="00B92276" w:rsidRDefault="002D080F">
      <w:pPr>
        <w:ind w:left="851" w:right="902"/>
        <w:jc w:val="both"/>
        <w:rPr>
          <w:rFonts w:ascii="Palatino Linotype" w:eastAsia="Palatino Linotype" w:hAnsi="Palatino Linotype" w:cs="Palatino Linotype"/>
          <w:i/>
        </w:rPr>
      </w:pPr>
      <w:r w:rsidRPr="00B92276">
        <w:rPr>
          <w:rFonts w:ascii="Palatino Linotype" w:eastAsia="Palatino Linotype" w:hAnsi="Palatino Linotype" w:cs="Palatino Linotype"/>
          <w:i/>
        </w:rPr>
        <w:lastRenderedPageBreak/>
        <w:t xml:space="preserve">Lo anterior, siempre y cuando no se acredite alguna causal de clasificación, prevista en las leyes o en los tratados internacionales suscritas por el Estado mexicano.  </w:t>
      </w:r>
    </w:p>
    <w:p w14:paraId="58BD7C11" w14:textId="77777777" w:rsidR="003248E0" w:rsidRPr="00B92276" w:rsidRDefault="002D080F">
      <w:pPr>
        <w:ind w:left="851" w:right="902"/>
        <w:jc w:val="both"/>
        <w:rPr>
          <w:rFonts w:ascii="Palatino Linotype" w:eastAsia="Palatino Linotype" w:hAnsi="Palatino Linotype" w:cs="Palatino Linotype"/>
          <w:i/>
        </w:rPr>
      </w:pPr>
      <w:r w:rsidRPr="00B92276">
        <w:rPr>
          <w:rFonts w:ascii="Palatino Linotype" w:eastAsia="Palatino Linotype" w:hAnsi="Palatino Linotype" w:cs="Palatino Linotype"/>
          <w:b/>
          <w:i/>
        </w:rPr>
        <w:t>Quincuagésimo octavo</w:t>
      </w:r>
      <w:r w:rsidRPr="00B92276">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784D8A70" w14:textId="77777777" w:rsidR="003248E0" w:rsidRPr="00B92276" w:rsidRDefault="003248E0">
      <w:pPr>
        <w:spacing w:line="360" w:lineRule="auto"/>
        <w:jc w:val="both"/>
        <w:rPr>
          <w:rFonts w:ascii="Palatino Linotype" w:eastAsia="Palatino Linotype" w:hAnsi="Palatino Linotype" w:cs="Palatino Linotype"/>
        </w:rPr>
      </w:pPr>
    </w:p>
    <w:p w14:paraId="51C4EAF7" w14:textId="77777777" w:rsidR="003248E0" w:rsidRPr="00B92276" w:rsidRDefault="002D080F">
      <w:pPr>
        <w:spacing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A76DE60" w14:textId="77777777" w:rsidR="003248E0" w:rsidRPr="00B92276" w:rsidRDefault="002D080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t>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0D3DB7C9" w14:textId="77777777" w:rsidR="003248E0" w:rsidRPr="00B92276" w:rsidRDefault="002D080F">
      <w:pPr>
        <w:numPr>
          <w:ilvl w:val="0"/>
          <w:numId w:val="5"/>
        </w:num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B92276">
        <w:rPr>
          <w:rFonts w:ascii="Palatino Linotype" w:eastAsia="Palatino Linotype" w:hAnsi="Palatino Linotype" w:cs="Palatino Linotype"/>
          <w:b/>
        </w:rPr>
        <w:t>R E S U E L V E:</w:t>
      </w:r>
    </w:p>
    <w:p w14:paraId="13C04242" w14:textId="77777777" w:rsidR="003248E0" w:rsidRPr="00B92276" w:rsidRDefault="003248E0">
      <w:pPr>
        <w:pBdr>
          <w:top w:val="nil"/>
          <w:left w:val="nil"/>
          <w:bottom w:val="nil"/>
          <w:right w:val="nil"/>
          <w:between w:val="nil"/>
        </w:pBdr>
        <w:spacing w:after="0" w:line="360" w:lineRule="auto"/>
        <w:ind w:left="1080"/>
        <w:rPr>
          <w:rFonts w:ascii="Palatino Linotype" w:eastAsia="Palatino Linotype" w:hAnsi="Palatino Linotype" w:cs="Palatino Linotype"/>
          <w:b/>
        </w:rPr>
      </w:pPr>
    </w:p>
    <w:p w14:paraId="51BAA635" w14:textId="02765E8F" w:rsidR="003248E0" w:rsidRPr="00B92276" w:rsidRDefault="002D080F">
      <w:pPr>
        <w:spacing w:after="0" w:line="360" w:lineRule="auto"/>
        <w:jc w:val="both"/>
        <w:rPr>
          <w:rFonts w:ascii="Palatino Linotype" w:eastAsia="Palatino Linotype" w:hAnsi="Palatino Linotype" w:cs="Palatino Linotype"/>
          <w:b/>
        </w:rPr>
      </w:pPr>
      <w:r w:rsidRPr="00B92276">
        <w:rPr>
          <w:rFonts w:ascii="Palatino Linotype" w:eastAsia="Palatino Linotype" w:hAnsi="Palatino Linotype" w:cs="Palatino Linotype"/>
          <w:b/>
        </w:rPr>
        <w:lastRenderedPageBreak/>
        <w:t xml:space="preserve">Primero. </w:t>
      </w:r>
      <w:r w:rsidRPr="00B92276">
        <w:rPr>
          <w:rFonts w:ascii="Palatino Linotype" w:eastAsia="Palatino Linotype" w:hAnsi="Palatino Linotype" w:cs="Palatino Linotype"/>
        </w:rPr>
        <w:t>Resultan</w:t>
      </w:r>
      <w:r w:rsidRPr="00B92276">
        <w:rPr>
          <w:rFonts w:ascii="Palatino Linotype" w:eastAsia="Palatino Linotype" w:hAnsi="Palatino Linotype" w:cs="Palatino Linotype"/>
          <w:b/>
        </w:rPr>
        <w:t xml:space="preserve"> fundados</w:t>
      </w:r>
      <w:r w:rsidRPr="00B92276">
        <w:rPr>
          <w:rFonts w:ascii="Palatino Linotype" w:eastAsia="Palatino Linotype" w:hAnsi="Palatino Linotype" w:cs="Palatino Linotype"/>
        </w:rPr>
        <w:t xml:space="preserve"> los motivos de inconformidad hechos valer por la parte </w:t>
      </w:r>
      <w:r w:rsidRPr="00B92276">
        <w:rPr>
          <w:rFonts w:ascii="Palatino Linotype" w:eastAsia="Palatino Linotype" w:hAnsi="Palatino Linotype" w:cs="Palatino Linotype"/>
          <w:b/>
        </w:rPr>
        <w:t xml:space="preserve">Recurrente </w:t>
      </w:r>
      <w:r w:rsidRPr="00B92276">
        <w:rPr>
          <w:rFonts w:ascii="Palatino Linotype" w:eastAsia="Palatino Linotype" w:hAnsi="Palatino Linotype" w:cs="Palatino Linotype"/>
        </w:rPr>
        <w:t xml:space="preserve">en los recursos de revisión </w:t>
      </w:r>
      <w:r w:rsidRPr="00B92276">
        <w:rPr>
          <w:rFonts w:ascii="Palatino Linotype" w:eastAsia="Palatino Linotype" w:hAnsi="Palatino Linotype" w:cs="Palatino Linotype"/>
          <w:b/>
        </w:rPr>
        <w:t>06354/INFOEM/IP/RR/2024</w:t>
      </w:r>
      <w:r w:rsidRPr="00B92276">
        <w:rPr>
          <w:rFonts w:ascii="Palatino Linotype" w:eastAsia="Palatino Linotype" w:hAnsi="Palatino Linotype" w:cs="Palatino Linotype"/>
        </w:rPr>
        <w:t>,</w:t>
      </w:r>
      <w:r w:rsidRPr="00B92276">
        <w:rPr>
          <w:rFonts w:ascii="Palatino Linotype" w:eastAsia="Palatino Linotype" w:hAnsi="Palatino Linotype" w:cs="Palatino Linotype"/>
          <w:b/>
        </w:rPr>
        <w:t xml:space="preserve"> 06355/INFOEM/IP/RR/2024, 06356/INFOEM/IP/RR/2024, 06358/INFOEM/IP/RR/2024, 06359/INFOEM/IP/RR/2024, 06360/INFOEM/IP/RR/2024, 06361/INFOEM/IP/RR/2024, 06362/INFOEM/IP/RR/2024, 06363/INFOEM/IP/RR/2024 y 06</w:t>
      </w:r>
      <w:r w:rsidR="005A7F06" w:rsidRPr="00B92276">
        <w:rPr>
          <w:rFonts w:ascii="Palatino Linotype" w:eastAsia="Palatino Linotype" w:hAnsi="Palatino Linotype" w:cs="Palatino Linotype"/>
          <w:b/>
        </w:rPr>
        <w:t>3</w:t>
      </w:r>
      <w:r w:rsidRPr="00B92276">
        <w:rPr>
          <w:rFonts w:ascii="Palatino Linotype" w:eastAsia="Palatino Linotype" w:hAnsi="Palatino Linotype" w:cs="Palatino Linotype"/>
          <w:b/>
        </w:rPr>
        <w:t xml:space="preserve">64/INFOEM/IP/RR/2024 acumulados, </w:t>
      </w:r>
      <w:r w:rsidRPr="00B92276">
        <w:rPr>
          <w:rFonts w:ascii="Palatino Linotype" w:eastAsia="Palatino Linotype" w:hAnsi="Palatino Linotype" w:cs="Palatino Linotype"/>
        </w:rPr>
        <w:t xml:space="preserve">por lo que, en términos del Considerando </w:t>
      </w:r>
      <w:r w:rsidRPr="00B92276">
        <w:rPr>
          <w:rFonts w:ascii="Palatino Linotype" w:eastAsia="Palatino Linotype" w:hAnsi="Palatino Linotype" w:cs="Palatino Linotype"/>
          <w:b/>
        </w:rPr>
        <w:t>Cuarto</w:t>
      </w:r>
      <w:r w:rsidRPr="00B92276">
        <w:rPr>
          <w:rFonts w:ascii="Palatino Linotype" w:eastAsia="Palatino Linotype" w:hAnsi="Palatino Linotype" w:cs="Palatino Linotype"/>
        </w:rPr>
        <w:t xml:space="preserve"> de la presente resolución, se</w:t>
      </w:r>
      <w:r w:rsidRPr="00B92276">
        <w:rPr>
          <w:rFonts w:ascii="Palatino Linotype" w:eastAsia="Palatino Linotype" w:hAnsi="Palatino Linotype" w:cs="Palatino Linotype"/>
          <w:b/>
        </w:rPr>
        <w:t xml:space="preserve"> Revocan </w:t>
      </w:r>
      <w:r w:rsidRPr="00B92276">
        <w:rPr>
          <w:rFonts w:ascii="Palatino Linotype" w:eastAsia="Palatino Linotype" w:hAnsi="Palatino Linotype" w:cs="Palatino Linotype"/>
        </w:rPr>
        <w:t>las respuestas</w:t>
      </w:r>
      <w:r w:rsidRPr="00B92276">
        <w:rPr>
          <w:rFonts w:ascii="Palatino Linotype" w:eastAsia="Palatino Linotype" w:hAnsi="Palatino Linotype" w:cs="Palatino Linotype"/>
          <w:b/>
        </w:rPr>
        <w:t xml:space="preserve"> </w:t>
      </w:r>
      <w:r w:rsidRPr="00B92276">
        <w:rPr>
          <w:rFonts w:ascii="Palatino Linotype" w:eastAsia="Palatino Linotype" w:hAnsi="Palatino Linotype" w:cs="Palatino Linotype"/>
        </w:rPr>
        <w:t xml:space="preserve">del </w:t>
      </w:r>
      <w:r w:rsidRPr="00B92276">
        <w:rPr>
          <w:rFonts w:ascii="Palatino Linotype" w:eastAsia="Palatino Linotype" w:hAnsi="Palatino Linotype" w:cs="Palatino Linotype"/>
          <w:b/>
        </w:rPr>
        <w:t>Sujeto Obligado.</w:t>
      </w:r>
    </w:p>
    <w:p w14:paraId="00871CFE" w14:textId="77777777" w:rsidR="003248E0" w:rsidRPr="00B92276" w:rsidRDefault="003248E0">
      <w:pPr>
        <w:spacing w:after="0" w:line="360" w:lineRule="auto"/>
        <w:jc w:val="both"/>
        <w:rPr>
          <w:rFonts w:ascii="Palatino Linotype" w:eastAsia="Palatino Linotype" w:hAnsi="Palatino Linotype" w:cs="Palatino Linotype"/>
          <w:b/>
        </w:rPr>
      </w:pPr>
    </w:p>
    <w:p w14:paraId="5A6FF8AA" w14:textId="77777777" w:rsidR="003248E0" w:rsidRPr="00B92276" w:rsidRDefault="002D080F">
      <w:pPr>
        <w:spacing w:after="0" w:line="360" w:lineRule="auto"/>
        <w:jc w:val="both"/>
        <w:rPr>
          <w:rFonts w:ascii="Palatino Linotype" w:eastAsia="Palatino Linotype" w:hAnsi="Palatino Linotype" w:cs="Palatino Linotype"/>
        </w:rPr>
      </w:pPr>
      <w:bookmarkStart w:id="4" w:name="_heading=h.2et92p0" w:colFirst="0" w:colLast="0"/>
      <w:bookmarkEnd w:id="4"/>
      <w:r w:rsidRPr="00B92276">
        <w:rPr>
          <w:rFonts w:ascii="Palatino Linotype" w:eastAsia="Palatino Linotype" w:hAnsi="Palatino Linotype" w:cs="Palatino Linotype"/>
          <w:b/>
        </w:rPr>
        <w:t xml:space="preserve">Segundo. </w:t>
      </w:r>
      <w:r w:rsidRPr="00B92276">
        <w:rPr>
          <w:rFonts w:ascii="Palatino Linotype" w:eastAsia="Palatino Linotype" w:hAnsi="Palatino Linotype" w:cs="Palatino Linotype"/>
        </w:rPr>
        <w:t xml:space="preserve">Se </w:t>
      </w:r>
      <w:r w:rsidRPr="00B92276">
        <w:rPr>
          <w:rFonts w:ascii="Palatino Linotype" w:eastAsia="Palatino Linotype" w:hAnsi="Palatino Linotype" w:cs="Palatino Linotype"/>
          <w:b/>
        </w:rPr>
        <w:t>Ordena</w:t>
      </w:r>
      <w:r w:rsidRPr="00B92276">
        <w:rPr>
          <w:rFonts w:ascii="Palatino Linotype" w:eastAsia="Palatino Linotype" w:hAnsi="Palatino Linotype" w:cs="Palatino Linotype"/>
        </w:rPr>
        <w:t xml:space="preserve"> al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en términos de los Considerandos </w:t>
      </w:r>
      <w:r w:rsidRPr="00B92276">
        <w:rPr>
          <w:rFonts w:ascii="Palatino Linotype" w:eastAsia="Palatino Linotype" w:hAnsi="Palatino Linotype" w:cs="Palatino Linotype"/>
          <w:b/>
        </w:rPr>
        <w:t xml:space="preserve">Cuarto y Quinto </w:t>
      </w:r>
      <w:r w:rsidRPr="00B92276">
        <w:rPr>
          <w:rFonts w:ascii="Palatino Linotype" w:eastAsia="Palatino Linotype" w:hAnsi="Palatino Linotype" w:cs="Palatino Linotype"/>
        </w:rPr>
        <w:t xml:space="preserve">de esta resolución, </w:t>
      </w:r>
      <w:r w:rsidRPr="00B92276">
        <w:rPr>
          <w:rFonts w:ascii="Palatino Linotype" w:eastAsia="Palatino Linotype" w:hAnsi="Palatino Linotype" w:cs="Palatino Linotype"/>
          <w:b/>
        </w:rPr>
        <w:t xml:space="preserve">haga entrega vía Sistema de Acceso a la Información Mexiquense (SAIMEX), </w:t>
      </w:r>
      <w:r w:rsidRPr="00B92276">
        <w:rPr>
          <w:rFonts w:ascii="Palatino Linotype" w:eastAsia="Palatino Linotype" w:hAnsi="Palatino Linotype" w:cs="Palatino Linotype"/>
        </w:rPr>
        <w:t>de ser procedente en versión pública,</w:t>
      </w:r>
      <w:r w:rsidRPr="00B92276">
        <w:t xml:space="preserve"> </w:t>
      </w:r>
      <w:r w:rsidRPr="00B92276">
        <w:rPr>
          <w:rFonts w:ascii="Palatino Linotype" w:eastAsia="Palatino Linotype" w:hAnsi="Palatino Linotype" w:cs="Palatino Linotype"/>
        </w:rPr>
        <w:t>lo siguiente:</w:t>
      </w:r>
    </w:p>
    <w:p w14:paraId="14A37B09" w14:textId="77777777" w:rsidR="003248E0" w:rsidRPr="00B92276" w:rsidRDefault="003248E0">
      <w:pPr>
        <w:spacing w:after="0" w:line="360" w:lineRule="auto"/>
        <w:jc w:val="both"/>
        <w:rPr>
          <w:rFonts w:ascii="Palatino Linotype" w:eastAsia="Palatino Linotype" w:hAnsi="Palatino Linotype" w:cs="Palatino Linotype"/>
        </w:rPr>
      </w:pPr>
    </w:p>
    <w:p w14:paraId="5EB3CF13" w14:textId="7E802134" w:rsidR="003248E0" w:rsidRPr="00B92276" w:rsidRDefault="002D080F">
      <w:pPr>
        <w:numPr>
          <w:ilvl w:val="0"/>
          <w:numId w:val="7"/>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B92276">
        <w:rPr>
          <w:rFonts w:ascii="Palatino Linotype" w:eastAsia="Palatino Linotype" w:hAnsi="Palatino Linotype" w:cs="Palatino Linotype"/>
          <w:b/>
        </w:rPr>
        <w:t xml:space="preserve">Las fichas de reparaciones realizadas a los vehículos </w:t>
      </w:r>
      <w:r w:rsidR="00454D9C" w:rsidRPr="00B92276">
        <w:rPr>
          <w:rFonts w:ascii="Palatino Linotype" w:eastAsia="Palatino Linotype" w:hAnsi="Palatino Linotype" w:cs="Palatino Linotype"/>
          <w:b/>
        </w:rPr>
        <w:t xml:space="preserve">destinados, </w:t>
      </w:r>
      <w:r w:rsidRPr="00B92276">
        <w:rPr>
          <w:rFonts w:ascii="Palatino Linotype" w:eastAsia="Palatino Linotype" w:hAnsi="Palatino Linotype" w:cs="Palatino Linotype"/>
          <w:b/>
        </w:rPr>
        <w:t xml:space="preserve">arrendados y prestados de la Unidad de Asuntos Internos, particularmente los modelo sedán, así como, camionetas y/o motocicletas, que hubieran sido asignados al Titular del ente público, </w:t>
      </w:r>
      <w:proofErr w:type="gramStart"/>
      <w:r w:rsidRPr="00B92276">
        <w:rPr>
          <w:rFonts w:ascii="Palatino Linotype" w:eastAsia="Palatino Linotype" w:hAnsi="Palatino Linotype" w:cs="Palatino Linotype"/>
          <w:b/>
        </w:rPr>
        <w:t>Directores</w:t>
      </w:r>
      <w:proofErr w:type="gramEnd"/>
      <w:r w:rsidRPr="00B92276">
        <w:rPr>
          <w:rFonts w:ascii="Palatino Linotype" w:eastAsia="Palatino Linotype" w:hAnsi="Palatino Linotype" w:cs="Palatino Linotype"/>
          <w:b/>
        </w:rPr>
        <w:t>, Jefes de Departamento y personal comisionado, del periodo comprendido del dieciocho de septiembre de dos mil veintitrés al dieciocho de septiembre de dos mil veinticuatro</w:t>
      </w:r>
    </w:p>
    <w:p w14:paraId="331BFEB2" w14:textId="77777777" w:rsidR="003248E0" w:rsidRPr="00B92276" w:rsidRDefault="003248E0">
      <w:pPr>
        <w:pBdr>
          <w:top w:val="nil"/>
          <w:left w:val="nil"/>
          <w:bottom w:val="nil"/>
          <w:right w:val="nil"/>
          <w:between w:val="nil"/>
        </w:pBdr>
        <w:spacing w:after="0"/>
        <w:ind w:left="284" w:right="49"/>
        <w:jc w:val="both"/>
        <w:rPr>
          <w:rFonts w:ascii="Palatino Linotype" w:eastAsia="Palatino Linotype" w:hAnsi="Palatino Linotype" w:cs="Palatino Linotype"/>
          <w:b/>
        </w:rPr>
      </w:pPr>
    </w:p>
    <w:p w14:paraId="5406B0A1" w14:textId="77777777" w:rsidR="003248E0" w:rsidRPr="00B92276" w:rsidRDefault="002D080F">
      <w:pPr>
        <w:pBdr>
          <w:top w:val="nil"/>
          <w:left w:val="nil"/>
          <w:bottom w:val="nil"/>
          <w:right w:val="nil"/>
          <w:between w:val="nil"/>
        </w:pBdr>
        <w:spacing w:after="0"/>
        <w:ind w:left="284" w:right="49"/>
        <w:jc w:val="both"/>
        <w:rPr>
          <w:rFonts w:ascii="Palatino Linotype" w:eastAsia="Palatino Linotype" w:hAnsi="Palatino Linotype" w:cs="Palatino Linotype"/>
          <w:i/>
        </w:rPr>
      </w:pPr>
      <w:r w:rsidRPr="00B92276">
        <w:rPr>
          <w:rFonts w:ascii="Palatino Linotype" w:eastAsia="Palatino Linotype" w:hAnsi="Palatino Linotype" w:cs="Palatino Linotype"/>
          <w:i/>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B92276">
        <w:rPr>
          <w:rFonts w:ascii="Palatino Linotype" w:eastAsia="Palatino Linotype" w:hAnsi="Palatino Linotype" w:cs="Palatino Linotype"/>
          <w:b/>
          <w:i/>
        </w:rPr>
        <w:t>la parte Recurrente</w:t>
      </w:r>
      <w:r w:rsidRPr="00B92276">
        <w:rPr>
          <w:rFonts w:ascii="Palatino Linotype" w:eastAsia="Palatino Linotype" w:hAnsi="Palatino Linotype" w:cs="Palatino Linotype"/>
          <w:i/>
        </w:rPr>
        <w:t>, mismo que igualmente hará de su conocimiento.</w:t>
      </w:r>
    </w:p>
    <w:p w14:paraId="1FB2F2A6" w14:textId="77777777" w:rsidR="003248E0" w:rsidRPr="00B92276" w:rsidRDefault="003248E0">
      <w:pPr>
        <w:pBdr>
          <w:top w:val="nil"/>
          <w:left w:val="nil"/>
          <w:bottom w:val="nil"/>
          <w:right w:val="nil"/>
          <w:between w:val="nil"/>
        </w:pBdr>
        <w:spacing w:after="0"/>
        <w:ind w:left="284" w:right="49"/>
        <w:jc w:val="both"/>
        <w:rPr>
          <w:rFonts w:ascii="Palatino Linotype" w:eastAsia="Palatino Linotype" w:hAnsi="Palatino Linotype" w:cs="Palatino Linotype"/>
          <w:i/>
        </w:rPr>
      </w:pPr>
    </w:p>
    <w:p w14:paraId="2F137BD5" w14:textId="77777777" w:rsidR="003248E0" w:rsidRPr="00B92276" w:rsidRDefault="003248E0">
      <w:pPr>
        <w:pBdr>
          <w:top w:val="nil"/>
          <w:left w:val="nil"/>
          <w:bottom w:val="nil"/>
          <w:right w:val="nil"/>
          <w:between w:val="nil"/>
        </w:pBdr>
        <w:spacing w:after="0"/>
        <w:ind w:left="284" w:right="49"/>
        <w:jc w:val="both"/>
        <w:rPr>
          <w:rFonts w:ascii="Palatino Linotype" w:eastAsia="Palatino Linotype" w:hAnsi="Palatino Linotype" w:cs="Palatino Linotype"/>
          <w:i/>
        </w:rPr>
      </w:pPr>
    </w:p>
    <w:p w14:paraId="198276B1" w14:textId="77777777"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b/>
        </w:rPr>
        <w:lastRenderedPageBreak/>
        <w:t xml:space="preserve">Tercero. Notifíquese, </w:t>
      </w:r>
      <w:r w:rsidRPr="00B92276">
        <w:rPr>
          <w:rFonts w:ascii="Palatino Linotype" w:eastAsia="Palatino Linotype" w:hAnsi="Palatino Linotype" w:cs="Palatino Linotype"/>
        </w:rPr>
        <w:t xml:space="preserve">vía </w:t>
      </w:r>
      <w:r w:rsidRPr="00B92276">
        <w:rPr>
          <w:rFonts w:ascii="Palatino Linotype" w:eastAsia="Palatino Linotype" w:hAnsi="Palatino Linotype" w:cs="Palatino Linotype"/>
          <w:b/>
        </w:rPr>
        <w:t>SAIMEX</w:t>
      </w:r>
      <w:r w:rsidRPr="00B92276">
        <w:rPr>
          <w:rFonts w:ascii="Palatino Linotype" w:eastAsia="Palatino Linotype" w:hAnsi="Palatino Linotype" w:cs="Palatino Linotype"/>
        </w:rPr>
        <w:t xml:space="preserve">, al Titular de la Unidad de Transparencia del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1035C0" w14:textId="77777777" w:rsidR="003248E0" w:rsidRPr="00B92276" w:rsidRDefault="003248E0">
      <w:pPr>
        <w:spacing w:after="0" w:line="360" w:lineRule="auto"/>
        <w:jc w:val="both"/>
        <w:rPr>
          <w:rFonts w:ascii="Palatino Linotype" w:eastAsia="Palatino Linotype" w:hAnsi="Palatino Linotype" w:cs="Palatino Linotype"/>
        </w:rPr>
      </w:pPr>
    </w:p>
    <w:p w14:paraId="31EACB3C"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b/>
        </w:rPr>
        <w:t>Cuarto.</w:t>
      </w:r>
      <w:r w:rsidRPr="00B92276">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B92276">
        <w:rPr>
          <w:rFonts w:ascii="Palatino Linotype" w:eastAsia="Palatino Linotype" w:hAnsi="Palatino Linotype" w:cs="Palatino Linotype"/>
          <w:b/>
        </w:rPr>
        <w:t>Sujeto Obligado</w:t>
      </w:r>
      <w:r w:rsidRPr="00B92276">
        <w:rPr>
          <w:rFonts w:ascii="Palatino Linotype" w:eastAsia="Palatino Linotype" w:hAnsi="Palatino Linotype" w:cs="Palatino Linotype"/>
        </w:rPr>
        <w:t xml:space="preserve"> de manera fundada y motivada, podrá solicitar una ampliación de plazo para el cumplimiento de la presente resolución.</w:t>
      </w:r>
    </w:p>
    <w:p w14:paraId="17839763" w14:textId="77777777" w:rsidR="003248E0" w:rsidRPr="00B92276" w:rsidRDefault="003248E0">
      <w:pPr>
        <w:spacing w:after="0" w:line="360" w:lineRule="auto"/>
        <w:ind w:right="49"/>
        <w:jc w:val="both"/>
        <w:rPr>
          <w:rFonts w:ascii="Palatino Linotype" w:eastAsia="Palatino Linotype" w:hAnsi="Palatino Linotype" w:cs="Palatino Linotype"/>
        </w:rPr>
      </w:pPr>
    </w:p>
    <w:p w14:paraId="2E537B98" w14:textId="77777777" w:rsidR="003248E0" w:rsidRPr="00B92276" w:rsidRDefault="002D080F">
      <w:pPr>
        <w:spacing w:after="0" w:line="360" w:lineRule="auto"/>
        <w:ind w:right="49"/>
        <w:jc w:val="both"/>
        <w:rPr>
          <w:rFonts w:ascii="Palatino Linotype" w:eastAsia="Palatino Linotype" w:hAnsi="Palatino Linotype" w:cs="Palatino Linotype"/>
        </w:rPr>
      </w:pPr>
      <w:r w:rsidRPr="00B92276">
        <w:rPr>
          <w:rFonts w:ascii="Palatino Linotype" w:eastAsia="Palatino Linotype" w:hAnsi="Palatino Linotype" w:cs="Palatino Linotype"/>
          <w:b/>
        </w:rPr>
        <w:t xml:space="preserve">Quinto. Notifíquese </w:t>
      </w:r>
      <w:r w:rsidRPr="00B92276">
        <w:rPr>
          <w:rFonts w:ascii="Palatino Linotype" w:eastAsia="Palatino Linotype" w:hAnsi="Palatino Linotype" w:cs="Palatino Linotype"/>
        </w:rPr>
        <w:t>vía SAIMEX</w:t>
      </w:r>
      <w:r w:rsidRPr="00B92276">
        <w:rPr>
          <w:rFonts w:ascii="Palatino Linotype" w:eastAsia="Palatino Linotype" w:hAnsi="Palatino Linotype" w:cs="Palatino Linotype"/>
          <w:b/>
        </w:rPr>
        <w:t xml:space="preserve">, </w:t>
      </w:r>
      <w:r w:rsidRPr="00B92276">
        <w:rPr>
          <w:rFonts w:ascii="Palatino Linotype" w:eastAsia="Palatino Linotype" w:hAnsi="Palatino Linotype" w:cs="Palatino Linotype"/>
        </w:rPr>
        <w:t xml:space="preserve">la presente resolución a la parte </w:t>
      </w:r>
      <w:r w:rsidRPr="00B92276">
        <w:rPr>
          <w:rFonts w:ascii="Palatino Linotype" w:eastAsia="Palatino Linotype" w:hAnsi="Palatino Linotype" w:cs="Palatino Linotype"/>
          <w:b/>
        </w:rPr>
        <w:t>Recurrente</w:t>
      </w:r>
      <w:r w:rsidRPr="00B92276">
        <w:rPr>
          <w:rFonts w:ascii="Palatino Linotype" w:eastAsia="Palatino Linotype" w:hAnsi="Palatino Linotype" w:cs="Palatino Linotype"/>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53B94CC3" w14:textId="77777777" w:rsidR="003248E0" w:rsidRPr="00B92276" w:rsidRDefault="003248E0">
      <w:pPr>
        <w:spacing w:after="0" w:line="360" w:lineRule="auto"/>
        <w:ind w:right="49"/>
        <w:jc w:val="both"/>
        <w:rPr>
          <w:rFonts w:ascii="Palatino Linotype" w:eastAsia="Palatino Linotype" w:hAnsi="Palatino Linotype" w:cs="Palatino Linotype"/>
        </w:rPr>
      </w:pPr>
    </w:p>
    <w:p w14:paraId="13AA1D07" w14:textId="77777777" w:rsidR="00B92276" w:rsidRPr="00B92276" w:rsidRDefault="00B92276">
      <w:pPr>
        <w:spacing w:after="0" w:line="360" w:lineRule="auto"/>
        <w:ind w:right="49"/>
        <w:jc w:val="both"/>
        <w:rPr>
          <w:rFonts w:ascii="Palatino Linotype" w:eastAsia="Palatino Linotype" w:hAnsi="Palatino Linotype" w:cs="Palatino Linotype"/>
        </w:rPr>
      </w:pPr>
    </w:p>
    <w:p w14:paraId="00284FEB" w14:textId="77777777" w:rsidR="00B92276" w:rsidRPr="00B92276" w:rsidRDefault="00B92276">
      <w:pPr>
        <w:spacing w:after="0" w:line="360" w:lineRule="auto"/>
        <w:ind w:right="49"/>
        <w:jc w:val="both"/>
        <w:rPr>
          <w:rFonts w:ascii="Palatino Linotype" w:eastAsia="Palatino Linotype" w:hAnsi="Palatino Linotype" w:cs="Palatino Linotype"/>
        </w:rPr>
      </w:pPr>
    </w:p>
    <w:p w14:paraId="258E8A98" w14:textId="77777777" w:rsidR="00B92276" w:rsidRPr="00B92276" w:rsidRDefault="00B92276">
      <w:pPr>
        <w:spacing w:after="0" w:line="360" w:lineRule="auto"/>
        <w:ind w:right="49"/>
        <w:jc w:val="both"/>
        <w:rPr>
          <w:rFonts w:ascii="Palatino Linotype" w:eastAsia="Palatino Linotype" w:hAnsi="Palatino Linotype" w:cs="Palatino Linotype"/>
        </w:rPr>
      </w:pPr>
    </w:p>
    <w:p w14:paraId="6867A0BD" w14:textId="77777777" w:rsidR="00B92276" w:rsidRPr="00B92276" w:rsidRDefault="00B92276">
      <w:pPr>
        <w:spacing w:after="0" w:line="360" w:lineRule="auto"/>
        <w:ind w:right="49"/>
        <w:jc w:val="both"/>
        <w:rPr>
          <w:rFonts w:ascii="Palatino Linotype" w:eastAsia="Palatino Linotype" w:hAnsi="Palatino Linotype" w:cs="Palatino Linotype"/>
        </w:rPr>
      </w:pPr>
    </w:p>
    <w:p w14:paraId="06C2A6D1" w14:textId="3DC86DC9" w:rsidR="003248E0" w:rsidRPr="00B92276" w:rsidRDefault="002D080F">
      <w:pPr>
        <w:spacing w:after="0" w:line="360" w:lineRule="auto"/>
        <w:jc w:val="both"/>
        <w:rPr>
          <w:rFonts w:ascii="Palatino Linotype" w:eastAsia="Palatino Linotype" w:hAnsi="Palatino Linotype" w:cs="Palatino Linotype"/>
        </w:rPr>
      </w:pPr>
      <w:r w:rsidRPr="00B92276">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54400E" w:rsidRPr="00B92276">
        <w:rPr>
          <w:rFonts w:ascii="Palatino Linotype" w:eastAsia="Palatino Linotype" w:hAnsi="Palatino Linotype" w:cs="Palatino Linotype"/>
        </w:rPr>
        <w:t xml:space="preserve"> (EMITIENDO VOTO PARTICULAR)</w:t>
      </w:r>
      <w:r w:rsidRPr="00B92276">
        <w:rPr>
          <w:rFonts w:ascii="Palatino Linotype" w:eastAsia="Palatino Linotype" w:hAnsi="Palatino Linotype" w:cs="Palatino Linotype"/>
        </w:rPr>
        <w:t xml:space="preserve">; EN LA CUADRAGÉSIMA PRIMERA SESIÓN ORDINARIA, CELEBRADA EL VEINTISIETE DE NOVIEMBRE DE DOS MIL VEINTICUATRO, ANTE EL SECRETARIO TÉCNICO DEL PLENO ALEXIS TAPIA RAMÍREZ. </w:t>
      </w:r>
    </w:p>
    <w:p w14:paraId="74864876" w14:textId="77777777" w:rsidR="003248E0" w:rsidRPr="00B92276"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737492B"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EFEC633"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5F065942"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19B24CD"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7DF8E90"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66CE5BC"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3AB61259"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5EAAAE2"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46AA960A"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94AD3E1"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66AF14D6"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65BF3520"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365EF3A"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89785C6"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57F3C097"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3D303B85"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E682EE9"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DDC996D"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2F6E34F"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47B1927"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180C3A3" w14:textId="77777777" w:rsidR="00B302F5" w:rsidRPr="00B92276"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sectPr w:rsidR="00B302F5" w:rsidRPr="00B92276">
      <w:headerReference w:type="default" r:id="rId32"/>
      <w:footerReference w:type="default" r:id="rId33"/>
      <w:headerReference w:type="first" r:id="rId34"/>
      <w:footerReference w:type="first" r:id="rId3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0B803" w14:textId="77777777" w:rsidR="00A92795" w:rsidRDefault="00A92795">
      <w:pPr>
        <w:spacing w:after="0" w:line="240" w:lineRule="auto"/>
      </w:pPr>
      <w:r>
        <w:separator/>
      </w:r>
    </w:p>
  </w:endnote>
  <w:endnote w:type="continuationSeparator" w:id="0">
    <w:p w14:paraId="13F0C927" w14:textId="77777777" w:rsidR="00A92795" w:rsidRDefault="00A9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D9797F8F-8FAB-4425-A568-194103F0DCA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24612FE-52A8-4D8E-92C8-D1AD72F3A385}"/>
    <w:embedBold r:id="rId3" w:fontKey="{C4082641-2EF2-4CC9-82F6-94EDDDB920E6}"/>
  </w:font>
  <w:font w:name="Georgia">
    <w:panose1 w:val="02040502050405020303"/>
    <w:charset w:val="00"/>
    <w:family w:val="roman"/>
    <w:pitch w:val="variable"/>
    <w:sig w:usb0="00000287" w:usb1="00000000" w:usb2="00000000" w:usb3="00000000" w:csb0="0000009F" w:csb1="00000000"/>
    <w:embedRegular r:id="rId4" w:fontKey="{CD371E15-F02E-4A9E-B640-95E466B9FCBD}"/>
    <w:embedItalic r:id="rId5" w:fontKey="{1D0018D4-B085-47B2-A894-9F2C9C9DCC74}"/>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6" w:fontKey="{C432B32A-C406-4F65-9F06-AC220F0224B8}"/>
    <w:embedBold r:id="rId7" w:fontKey="{4EDBC2B4-C918-4964-BABF-92A9F13EA327}"/>
    <w:embedItalic r:id="rId8" w:fontKey="{ED6C12E8-AB87-4FCF-B739-F1E8BB9BB7A4}"/>
    <w:embedBoldItalic r:id="rId9" w:fontKey="{2D634E65-5F10-479B-BAC6-DA76AE434972}"/>
  </w:font>
  <w:font w:name="Cambria">
    <w:panose1 w:val="02040503050406030204"/>
    <w:charset w:val="00"/>
    <w:family w:val="roman"/>
    <w:pitch w:val="variable"/>
    <w:sig w:usb0="E00006FF" w:usb1="420024FF" w:usb2="02000000" w:usb3="00000000" w:csb0="0000019F" w:csb1="00000000"/>
    <w:embedRegular r:id="rId10" w:fontKey="{359CC184-3537-4037-986C-BEB7FB524CDA}"/>
  </w:font>
  <w:font w:name="Calibri Light">
    <w:panose1 w:val="020F0302020204030204"/>
    <w:charset w:val="00"/>
    <w:family w:val="swiss"/>
    <w:pitch w:val="variable"/>
    <w:sig w:usb0="E4002EFF" w:usb1="C200247B" w:usb2="00000009" w:usb3="00000000" w:csb0="000001FF" w:csb1="00000000"/>
    <w:embedRegular r:id="rId11" w:fontKey="{7852E36E-60A5-4261-8890-75855163F8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C2AB" w14:textId="77777777" w:rsidR="003248E0" w:rsidRDefault="002D080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7443B">
      <w:rPr>
        <w:b/>
        <w:noProof/>
        <w:color w:val="000000"/>
        <w:sz w:val="24"/>
        <w:szCs w:val="24"/>
      </w:rPr>
      <w:t>54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7443B">
      <w:rPr>
        <w:b/>
        <w:noProof/>
        <w:color w:val="000000"/>
        <w:sz w:val="24"/>
        <w:szCs w:val="24"/>
      </w:rPr>
      <w:t>54</w:t>
    </w:r>
    <w:r>
      <w:rPr>
        <w:b/>
        <w:color w:val="000000"/>
        <w:sz w:val="24"/>
        <w:szCs w:val="24"/>
      </w:rPr>
      <w:fldChar w:fldCharType="end"/>
    </w:r>
  </w:p>
  <w:p w14:paraId="618BDA2F" w14:textId="77777777" w:rsidR="003248E0" w:rsidRDefault="003248E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A9F8" w14:textId="77777777" w:rsidR="003248E0" w:rsidRDefault="002D080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7443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7443B">
      <w:rPr>
        <w:b/>
        <w:noProof/>
        <w:color w:val="000000"/>
        <w:sz w:val="24"/>
        <w:szCs w:val="24"/>
      </w:rPr>
      <w:t>54</w:t>
    </w:r>
    <w:r>
      <w:rPr>
        <w:b/>
        <w:color w:val="000000"/>
        <w:sz w:val="24"/>
        <w:szCs w:val="24"/>
      </w:rPr>
      <w:fldChar w:fldCharType="end"/>
    </w:r>
  </w:p>
  <w:p w14:paraId="110D94FE" w14:textId="77777777" w:rsidR="003248E0" w:rsidRDefault="003248E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B84B6" w14:textId="77777777" w:rsidR="00A92795" w:rsidRDefault="00A92795">
      <w:pPr>
        <w:spacing w:after="0" w:line="240" w:lineRule="auto"/>
      </w:pPr>
      <w:r>
        <w:separator/>
      </w:r>
    </w:p>
  </w:footnote>
  <w:footnote w:type="continuationSeparator" w:id="0">
    <w:p w14:paraId="1F192513" w14:textId="77777777" w:rsidR="00A92795" w:rsidRDefault="00A92795">
      <w:pPr>
        <w:spacing w:after="0" w:line="240" w:lineRule="auto"/>
      </w:pPr>
      <w:r>
        <w:continuationSeparator/>
      </w:r>
    </w:p>
  </w:footnote>
  <w:footnote w:id="1">
    <w:p w14:paraId="050178F4" w14:textId="77777777" w:rsidR="003248E0" w:rsidRDefault="002D080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489E8C8" w14:textId="77777777" w:rsidR="003248E0" w:rsidRDefault="002D080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3B56" w14:textId="77777777" w:rsidR="003248E0" w:rsidRDefault="002D080F">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57F6A162" wp14:editId="2B9A1FFE">
          <wp:simplePos x="0" y="0"/>
          <wp:positionH relativeFrom="column">
            <wp:posOffset>-717546</wp:posOffset>
          </wp:positionH>
          <wp:positionV relativeFrom="paragraph">
            <wp:posOffset>-250186</wp:posOffset>
          </wp:positionV>
          <wp:extent cx="7809876" cy="10165823"/>
          <wp:effectExtent l="0" t="0" r="0" b="0"/>
          <wp:wrapNone/>
          <wp:docPr id="1952082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3248E0" w14:paraId="3F49DA1C" w14:textId="77777777">
      <w:tc>
        <w:tcPr>
          <w:tcW w:w="2551" w:type="dxa"/>
          <w:vAlign w:val="center"/>
        </w:tcPr>
        <w:p w14:paraId="6B4A0C62" w14:textId="77777777" w:rsidR="003248E0" w:rsidRDefault="002D08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12CA0A02" w14:textId="77777777" w:rsidR="003248E0" w:rsidRDefault="003248E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6BEEB2AF" w14:textId="77777777" w:rsidR="003248E0" w:rsidRDefault="002D08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06354/INFOEM/IP/RR/2024 y acumulados</w:t>
          </w:r>
        </w:p>
      </w:tc>
    </w:tr>
    <w:tr w:rsidR="003248E0" w14:paraId="339FCE90" w14:textId="77777777">
      <w:trPr>
        <w:trHeight w:val="217"/>
      </w:trPr>
      <w:tc>
        <w:tcPr>
          <w:tcW w:w="2551" w:type="dxa"/>
          <w:vAlign w:val="center"/>
        </w:tcPr>
        <w:p w14:paraId="0F414BA7" w14:textId="77777777" w:rsidR="003248E0" w:rsidRDefault="002D08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6FFF339" w14:textId="77777777" w:rsidR="003248E0" w:rsidRDefault="003248E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422BC55" w14:textId="77777777" w:rsidR="003248E0" w:rsidRDefault="002D080F">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Unidad de Asuntos Internos</w:t>
          </w:r>
        </w:p>
      </w:tc>
    </w:tr>
    <w:tr w:rsidR="003248E0" w14:paraId="47E422A6" w14:textId="77777777">
      <w:tc>
        <w:tcPr>
          <w:tcW w:w="2551" w:type="dxa"/>
          <w:vAlign w:val="center"/>
        </w:tcPr>
        <w:p w14:paraId="14C4414F" w14:textId="77777777" w:rsidR="003248E0" w:rsidRDefault="002D08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80A22C1" w14:textId="77777777" w:rsidR="003248E0" w:rsidRDefault="002D08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61220A9" w14:textId="77777777" w:rsidR="003248E0" w:rsidRDefault="003248E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6CA2" w14:textId="77777777" w:rsidR="003248E0" w:rsidRDefault="002D080F">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52CA229F" wp14:editId="2F9F1550">
          <wp:simplePos x="0" y="0"/>
          <wp:positionH relativeFrom="column">
            <wp:posOffset>-725801</wp:posOffset>
          </wp:positionH>
          <wp:positionV relativeFrom="paragraph">
            <wp:posOffset>-29839</wp:posOffset>
          </wp:positionV>
          <wp:extent cx="7809865" cy="10165715"/>
          <wp:effectExtent l="0" t="0" r="0" b="0"/>
          <wp:wrapNone/>
          <wp:docPr id="19520825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3248E0" w14:paraId="4BA18623" w14:textId="77777777">
      <w:tc>
        <w:tcPr>
          <w:tcW w:w="2551" w:type="dxa"/>
          <w:vAlign w:val="center"/>
        </w:tcPr>
        <w:p w14:paraId="41B769A7" w14:textId="77777777" w:rsidR="003248E0" w:rsidRDefault="002D08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345D0D9A" w14:textId="77777777" w:rsidR="003248E0" w:rsidRDefault="003248E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70DF8FEE" w14:textId="77777777" w:rsidR="003248E0" w:rsidRDefault="002D08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06354/INFOEM/IP/RR/2024 y acumulados</w:t>
          </w:r>
        </w:p>
      </w:tc>
    </w:tr>
    <w:tr w:rsidR="003248E0" w14:paraId="614C2A24" w14:textId="77777777">
      <w:tc>
        <w:tcPr>
          <w:tcW w:w="2551" w:type="dxa"/>
          <w:vAlign w:val="center"/>
        </w:tcPr>
        <w:p w14:paraId="0EA3BD1E" w14:textId="77777777" w:rsidR="003248E0" w:rsidRDefault="002D08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A9AD78E" w14:textId="48C7E946" w:rsidR="003248E0" w:rsidRDefault="001F757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XXXXXXXXXX XXX XXXXX</w:t>
          </w:r>
        </w:p>
      </w:tc>
    </w:tr>
    <w:tr w:rsidR="003248E0" w14:paraId="10FA2042" w14:textId="77777777">
      <w:trPr>
        <w:trHeight w:val="152"/>
      </w:trPr>
      <w:tc>
        <w:tcPr>
          <w:tcW w:w="2551" w:type="dxa"/>
          <w:vAlign w:val="center"/>
        </w:tcPr>
        <w:p w14:paraId="41F992D3" w14:textId="77777777" w:rsidR="003248E0" w:rsidRDefault="002D080F">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E828A23" w14:textId="77777777" w:rsidR="003248E0" w:rsidRDefault="002D080F">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bookmarkStart w:id="5" w:name="_heading=h.tyjcwt" w:colFirst="0" w:colLast="0"/>
          <w:bookmarkEnd w:id="5"/>
          <w:r>
            <w:rPr>
              <w:rFonts w:ascii="Palatino Linotype" w:eastAsia="Palatino Linotype" w:hAnsi="Palatino Linotype" w:cs="Palatino Linotype"/>
              <w:b/>
              <w:color w:val="000000"/>
            </w:rPr>
            <w:t xml:space="preserve">Unidad de Asuntos Internos </w:t>
          </w:r>
        </w:p>
      </w:tc>
    </w:tr>
    <w:tr w:rsidR="003248E0" w14:paraId="0E375935" w14:textId="77777777">
      <w:tc>
        <w:tcPr>
          <w:tcW w:w="2551" w:type="dxa"/>
          <w:vAlign w:val="center"/>
        </w:tcPr>
        <w:p w14:paraId="66B438A6" w14:textId="77777777" w:rsidR="003248E0" w:rsidRDefault="002D08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AEE2CBF" w14:textId="77777777" w:rsidR="003248E0" w:rsidRDefault="002D08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C65F41B" w14:textId="77777777" w:rsidR="003248E0" w:rsidRDefault="002D080F">
    <w:pPr>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3954"/>
    <w:multiLevelType w:val="multilevel"/>
    <w:tmpl w:val="FC62C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C6BF4"/>
    <w:multiLevelType w:val="multilevel"/>
    <w:tmpl w:val="9C1EA94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A419D5"/>
    <w:multiLevelType w:val="multilevel"/>
    <w:tmpl w:val="8B6EA69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1A5F585D"/>
    <w:multiLevelType w:val="multilevel"/>
    <w:tmpl w:val="866200BA"/>
    <w:lvl w:ilvl="0">
      <w:start w:val="2"/>
      <w:numFmt w:val="bullet"/>
      <w:lvlText w:val="●"/>
      <w:lvlJc w:val="left"/>
      <w:pPr>
        <w:ind w:left="360" w:hanging="360"/>
      </w:pPr>
      <w:rPr>
        <w:rFonts w:ascii="Noto Sans Symbols" w:eastAsia="Noto Sans Symbols" w:hAnsi="Noto Sans Symbols" w:cs="Noto Sans Symbols"/>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3C31D98"/>
    <w:multiLevelType w:val="multilevel"/>
    <w:tmpl w:val="1116C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EA48C0"/>
    <w:multiLevelType w:val="multilevel"/>
    <w:tmpl w:val="8266E0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C508F2"/>
    <w:multiLevelType w:val="multilevel"/>
    <w:tmpl w:val="AF18C8E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1F787B"/>
    <w:multiLevelType w:val="multilevel"/>
    <w:tmpl w:val="A76A329E"/>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49478EA"/>
    <w:multiLevelType w:val="multilevel"/>
    <w:tmpl w:val="08B0A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677E64"/>
    <w:multiLevelType w:val="multilevel"/>
    <w:tmpl w:val="0B1455E0"/>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815E02"/>
    <w:multiLevelType w:val="multilevel"/>
    <w:tmpl w:val="95988E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6"/>
  </w:num>
  <w:num w:numId="2">
    <w:abstractNumId w:val="8"/>
  </w:num>
  <w:num w:numId="3">
    <w:abstractNumId w:val="4"/>
  </w:num>
  <w:num w:numId="4">
    <w:abstractNumId w:val="2"/>
  </w:num>
  <w:num w:numId="5">
    <w:abstractNumId w:val="1"/>
  </w:num>
  <w:num w:numId="6">
    <w:abstractNumId w:val="3"/>
  </w:num>
  <w:num w:numId="7">
    <w:abstractNumId w:val="7"/>
  </w:num>
  <w:num w:numId="8">
    <w:abstractNumId w:val="5"/>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8E0"/>
    <w:rsid w:val="000B1F4D"/>
    <w:rsid w:val="00172D79"/>
    <w:rsid w:val="001E2284"/>
    <w:rsid w:val="001F757D"/>
    <w:rsid w:val="00203BAB"/>
    <w:rsid w:val="002D080F"/>
    <w:rsid w:val="003248E0"/>
    <w:rsid w:val="00401836"/>
    <w:rsid w:val="00454D9C"/>
    <w:rsid w:val="005102CE"/>
    <w:rsid w:val="0054400E"/>
    <w:rsid w:val="00580EEC"/>
    <w:rsid w:val="00597FE6"/>
    <w:rsid w:val="005A7F06"/>
    <w:rsid w:val="005C0062"/>
    <w:rsid w:val="005F0720"/>
    <w:rsid w:val="0069498E"/>
    <w:rsid w:val="006A45B7"/>
    <w:rsid w:val="007B3FC5"/>
    <w:rsid w:val="00826B2C"/>
    <w:rsid w:val="009004AA"/>
    <w:rsid w:val="00A92795"/>
    <w:rsid w:val="00B302F5"/>
    <w:rsid w:val="00B92276"/>
    <w:rsid w:val="00C46724"/>
    <w:rsid w:val="00F744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AC147"/>
  <w15:docId w15:val="{6F6E4796-5EDB-1F46-9470-9C6E7052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37"/>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pPr>
      <w:spacing w:after="0" w:line="240" w:lineRule="auto"/>
    </w:pPr>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7">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8">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9">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b">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c">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1">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2">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6">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24.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5YQ8NeB7SvCshwvUS7DPXxf20w==">CgMxLjAyCWguMWZvYjl0ZTIJaC4zem55c2g3Mg1oLnE5YTVwcXN0NnNvMgloLjMwajB6bGwyCWguMzBqMHpsbDIJaC4yZXQ5MnAwMghoLnR5amN3dDgAciExLTEwYkZwblhXTng3T0VxNWRBV3ZMVlUzZmxFcng2X1A=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12715</Words>
  <Characters>69938</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2024-11-29T18:15:00Z</cp:lastPrinted>
  <dcterms:created xsi:type="dcterms:W3CDTF">2024-12-06T18:21:00Z</dcterms:created>
  <dcterms:modified xsi:type="dcterms:W3CDTF">2024-12-06T18:21:00Z</dcterms:modified>
</cp:coreProperties>
</file>