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A338B" w14:textId="77777777" w:rsidR="00215C5E" w:rsidRDefault="00215C5E">
      <w:pPr>
        <w:widowControl w:val="0"/>
        <w:pBdr>
          <w:top w:val="nil"/>
          <w:left w:val="nil"/>
          <w:bottom w:val="nil"/>
          <w:right w:val="nil"/>
          <w:between w:val="nil"/>
        </w:pBdr>
        <w:spacing w:line="276" w:lineRule="auto"/>
      </w:pPr>
    </w:p>
    <w:p w14:paraId="71484451" w14:textId="77777777" w:rsidR="00215C5E" w:rsidRDefault="001B7427">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de fecha veintiocho (28) de agosto de dos mil veinticuatro.</w:t>
      </w:r>
    </w:p>
    <w:p w14:paraId="7C71DC0C" w14:textId="598327F1" w:rsidR="00215C5E" w:rsidRDefault="001B7427">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VISTO el</w:t>
      </w:r>
      <w:r>
        <w:rPr>
          <w:rFonts w:ascii="Palatino Linotype" w:eastAsia="Palatino Linotype" w:hAnsi="Palatino Linotype" w:cs="Palatino Linotype"/>
          <w:color w:val="000000"/>
          <w:sz w:val="24"/>
          <w:szCs w:val="24"/>
        </w:rPr>
        <w:t xml:space="preserve"> expediente electrónico formado con motivo del recurso de revisión </w:t>
      </w:r>
      <w:r>
        <w:rPr>
          <w:rFonts w:ascii="Palatino Linotype" w:eastAsia="Palatino Linotype" w:hAnsi="Palatino Linotype" w:cs="Palatino Linotype"/>
          <w:b/>
          <w:color w:val="000000"/>
          <w:sz w:val="24"/>
          <w:szCs w:val="24"/>
        </w:rPr>
        <w:t xml:space="preserve">00128/INFOEM/IP/RR/2024, </w:t>
      </w:r>
      <w:r>
        <w:rPr>
          <w:rFonts w:ascii="Palatino Linotype" w:eastAsia="Palatino Linotype" w:hAnsi="Palatino Linotype" w:cs="Palatino Linotype"/>
          <w:color w:val="000000"/>
          <w:sz w:val="24"/>
          <w:szCs w:val="24"/>
        </w:rPr>
        <w:t>promovido por un usuario que se regis</w:t>
      </w:r>
      <w:r>
        <w:rPr>
          <w:rFonts w:ascii="Palatino Linotype" w:eastAsia="Palatino Linotype" w:hAnsi="Palatino Linotype" w:cs="Palatino Linotype"/>
          <w:sz w:val="24"/>
          <w:szCs w:val="24"/>
        </w:rPr>
        <w:t xml:space="preserve">tró </w:t>
      </w:r>
      <w:proofErr w:type="gramStart"/>
      <w:r>
        <w:rPr>
          <w:rFonts w:ascii="Palatino Linotype" w:eastAsia="Palatino Linotype" w:hAnsi="Palatino Linotype" w:cs="Palatino Linotype"/>
          <w:sz w:val="24"/>
          <w:szCs w:val="24"/>
        </w:rPr>
        <w:t xml:space="preserve">como </w:t>
      </w:r>
      <w:r>
        <w:rPr>
          <w:rFonts w:ascii="Palatino Linotype" w:eastAsia="Palatino Linotype" w:hAnsi="Palatino Linotype" w:cs="Palatino Linotype"/>
          <w:color w:val="000000"/>
          <w:sz w:val="24"/>
          <w:szCs w:val="24"/>
        </w:rPr>
        <w:t xml:space="preserve"> </w:t>
      </w:r>
      <w:r w:rsidR="009D6A90">
        <w:rPr>
          <w:rFonts w:ascii="Palatino Linotype" w:eastAsia="Palatino Linotype" w:hAnsi="Palatino Linotype" w:cs="Palatino Linotype"/>
          <w:b/>
          <w:color w:val="000000"/>
          <w:sz w:val="24"/>
          <w:szCs w:val="24"/>
        </w:rPr>
        <w:t>XXX</w:t>
      </w:r>
      <w:proofErr w:type="gramEnd"/>
      <w:r w:rsidR="009D6A90">
        <w:rPr>
          <w:rFonts w:ascii="Palatino Linotype" w:eastAsia="Palatino Linotype" w:hAnsi="Palatino Linotype" w:cs="Palatino Linotype"/>
          <w:b/>
          <w:color w:val="000000"/>
          <w:sz w:val="24"/>
          <w:szCs w:val="24"/>
        </w:rPr>
        <w:t xml:space="preserve"> </w:t>
      </w:r>
      <w:proofErr w:type="spellStart"/>
      <w:r w:rsidR="009D6A90">
        <w:rPr>
          <w:rFonts w:ascii="Palatino Linotype" w:eastAsia="Palatino Linotype" w:hAnsi="Palatino Linotype" w:cs="Palatino Linotype"/>
          <w:b/>
          <w:color w:val="000000"/>
          <w:sz w:val="24"/>
          <w:szCs w:val="24"/>
        </w:rPr>
        <w:t>XXX</w:t>
      </w:r>
      <w:proofErr w:type="spellEnd"/>
      <w:r>
        <w:rPr>
          <w:rFonts w:ascii="Palatino Linotype" w:eastAsia="Palatino Linotype" w:hAnsi="Palatino Linotype" w:cs="Palatino Linotype"/>
          <w:b/>
          <w:color w:val="000000"/>
          <w:sz w:val="24"/>
          <w:szCs w:val="24"/>
        </w:rPr>
        <w:t>,</w:t>
      </w:r>
      <w:r>
        <w:rPr>
          <w:rFonts w:ascii="Palatino Linotype" w:eastAsia="Palatino Linotype" w:hAnsi="Palatino Linotype" w:cs="Palatino Linotype"/>
          <w:color w:val="000000"/>
          <w:sz w:val="24"/>
          <w:szCs w:val="24"/>
        </w:rPr>
        <w:t xml:space="preserve"> en su calidad de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en contra de la respuesta del </w:t>
      </w:r>
      <w:r>
        <w:rPr>
          <w:rFonts w:ascii="Palatino Linotype" w:eastAsia="Palatino Linotype" w:hAnsi="Palatino Linotype" w:cs="Palatino Linotype"/>
          <w:b/>
          <w:color w:val="000000"/>
          <w:sz w:val="24"/>
          <w:szCs w:val="24"/>
        </w:rPr>
        <w:t>Ayuntamiento de Cuautitlán Izcalli</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en lo sucesivo el</w:t>
      </w:r>
      <w:r>
        <w:rPr>
          <w:rFonts w:ascii="Palatino Linotype" w:eastAsia="Palatino Linotype" w:hAnsi="Palatino Linotype" w:cs="Palatino Linotype"/>
          <w:b/>
          <w:color w:val="000000"/>
          <w:sz w:val="24"/>
          <w:szCs w:val="24"/>
        </w:rPr>
        <w:t xml:space="preserve"> SUJETO OBLIGADO, </w:t>
      </w:r>
      <w:r>
        <w:rPr>
          <w:rFonts w:ascii="Palatino Linotype" w:eastAsia="Palatino Linotype" w:hAnsi="Palatino Linotype" w:cs="Palatino Linotype"/>
          <w:color w:val="000000"/>
          <w:sz w:val="24"/>
          <w:szCs w:val="24"/>
        </w:rPr>
        <w:t>se procede a dictar la presente resolución, con base en los siguientes:</w:t>
      </w:r>
    </w:p>
    <w:p w14:paraId="3713A5AE" w14:textId="77777777" w:rsidR="00215C5E" w:rsidRDefault="001B7427">
      <w:pPr>
        <w:pStyle w:val="Ttulo1"/>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 N T E C E D E N T E S</w:t>
      </w:r>
    </w:p>
    <w:p w14:paraId="07C7DEA7" w14:textId="77777777" w:rsidR="00215C5E" w:rsidRDefault="00215C5E">
      <w:pPr>
        <w:rPr>
          <w:sz w:val="24"/>
          <w:szCs w:val="24"/>
        </w:rPr>
      </w:pPr>
    </w:p>
    <w:p w14:paraId="19B5695D" w14:textId="77777777" w:rsidR="00215C5E" w:rsidRDefault="00215C5E">
      <w:pPr>
        <w:rPr>
          <w:rFonts w:ascii="Palatino Linotype" w:eastAsia="Palatino Linotype" w:hAnsi="Palatino Linotype" w:cs="Palatino Linotype"/>
          <w:sz w:val="24"/>
          <w:szCs w:val="24"/>
        </w:rPr>
      </w:pPr>
    </w:p>
    <w:p w14:paraId="5F97CD34" w14:textId="77777777" w:rsidR="00215C5E" w:rsidRDefault="001B7427">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El seis (6) de diciembre de dos mil veintitrés, </w:t>
      </w:r>
      <w:r>
        <w:rPr>
          <w:rFonts w:ascii="Palatino Linotype" w:eastAsia="Palatino Linotype" w:hAnsi="Palatino Linotype" w:cs="Palatino Linotype"/>
          <w:b/>
          <w:color w:val="000000"/>
          <w:sz w:val="24"/>
          <w:szCs w:val="24"/>
        </w:rPr>
        <w:t xml:space="preserve">EL RECURRENTE </w:t>
      </w:r>
      <w:r>
        <w:rPr>
          <w:rFonts w:ascii="Palatino Linotype" w:eastAsia="Palatino Linotype" w:hAnsi="Palatino Linotype" w:cs="Palatino Linotype"/>
          <w:color w:val="000000"/>
          <w:sz w:val="24"/>
          <w:szCs w:val="24"/>
        </w:rPr>
        <w:t>presentó</w:t>
      </w:r>
      <w:r>
        <w:rPr>
          <w:rFonts w:ascii="Palatino Linotype" w:eastAsia="Palatino Linotype" w:hAnsi="Palatino Linotype" w:cs="Palatino Linotype"/>
          <w:b/>
          <w:color w:val="000000"/>
          <w:sz w:val="24"/>
          <w:szCs w:val="24"/>
        </w:rPr>
        <w:t>,</w:t>
      </w:r>
      <w:r>
        <w:rPr>
          <w:rFonts w:ascii="Palatino Linotype" w:eastAsia="Palatino Linotype" w:hAnsi="Palatino Linotype" w:cs="Palatino Linotype"/>
          <w:color w:val="000000"/>
          <w:sz w:val="24"/>
          <w:szCs w:val="24"/>
        </w:rPr>
        <w:t xml:space="preserve"> ante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vía Sistema de Acceso a la Información Mexiquense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xml:space="preserve">, la solicitud de información pública registrada con el número </w:t>
      </w:r>
      <w:r>
        <w:rPr>
          <w:rFonts w:ascii="Palatino Linotype" w:eastAsia="Palatino Linotype" w:hAnsi="Palatino Linotype" w:cs="Palatino Linotype"/>
          <w:b/>
          <w:color w:val="000000"/>
          <w:sz w:val="24"/>
          <w:szCs w:val="24"/>
        </w:rPr>
        <w:t>00825/CUAUTIZC/IP/2023</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en la que</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color w:val="000000"/>
          <w:sz w:val="24"/>
          <w:szCs w:val="24"/>
        </w:rPr>
        <w:t>solicitó lo siguiente:</w:t>
      </w:r>
    </w:p>
    <w:p w14:paraId="5DA83B7A" w14:textId="77777777" w:rsidR="00215C5E" w:rsidRDefault="00215C5E">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19FE8D44" w14:textId="77777777" w:rsidR="00215C5E" w:rsidRDefault="001B7427">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“solicito la </w:t>
      </w:r>
      <w:proofErr w:type="spellStart"/>
      <w:r>
        <w:rPr>
          <w:rFonts w:ascii="Palatino Linotype" w:eastAsia="Palatino Linotype" w:hAnsi="Palatino Linotype" w:cs="Palatino Linotype"/>
          <w:i/>
          <w:color w:val="000000"/>
          <w:sz w:val="24"/>
          <w:szCs w:val="24"/>
        </w:rPr>
        <w:t>dispersion</w:t>
      </w:r>
      <w:proofErr w:type="spellEnd"/>
      <w:r>
        <w:rPr>
          <w:rFonts w:ascii="Palatino Linotype" w:eastAsia="Palatino Linotype" w:hAnsi="Palatino Linotype" w:cs="Palatino Linotype"/>
          <w:i/>
          <w:color w:val="000000"/>
          <w:sz w:val="24"/>
          <w:szCs w:val="24"/>
        </w:rPr>
        <w:t xml:space="preserve"> de </w:t>
      </w:r>
      <w:proofErr w:type="spellStart"/>
      <w:r>
        <w:rPr>
          <w:rFonts w:ascii="Palatino Linotype" w:eastAsia="Palatino Linotype" w:hAnsi="Palatino Linotype" w:cs="Palatino Linotype"/>
          <w:i/>
          <w:color w:val="000000"/>
          <w:sz w:val="24"/>
          <w:szCs w:val="24"/>
        </w:rPr>
        <w:t>nomina</w:t>
      </w:r>
      <w:proofErr w:type="spellEnd"/>
      <w:r>
        <w:rPr>
          <w:rFonts w:ascii="Palatino Linotype" w:eastAsia="Palatino Linotype" w:hAnsi="Palatino Linotype" w:cs="Palatino Linotype"/>
          <w:i/>
          <w:color w:val="000000"/>
          <w:sz w:val="24"/>
          <w:szCs w:val="24"/>
        </w:rPr>
        <w:t xml:space="preserve"> </w:t>
      </w:r>
      <w:r w:rsidRPr="00B038D2">
        <w:rPr>
          <w:rFonts w:ascii="Palatino Linotype" w:eastAsia="Palatino Linotype" w:hAnsi="Palatino Linotype" w:cs="Palatino Linotype"/>
          <w:i/>
          <w:color w:val="000000"/>
          <w:sz w:val="24"/>
          <w:szCs w:val="24"/>
        </w:rPr>
        <w:t xml:space="preserve">de </w:t>
      </w:r>
      <w:proofErr w:type="spellStart"/>
      <w:r w:rsidRPr="00B038D2">
        <w:rPr>
          <w:rFonts w:ascii="Palatino Linotype" w:eastAsia="Palatino Linotype" w:hAnsi="Palatino Linotype" w:cs="Palatino Linotype"/>
          <w:i/>
          <w:color w:val="000000"/>
          <w:sz w:val="24"/>
          <w:szCs w:val="24"/>
        </w:rPr>
        <w:t>mavici</w:t>
      </w:r>
      <w:proofErr w:type="spellEnd"/>
      <w:r w:rsidRPr="00B038D2">
        <w:rPr>
          <w:rFonts w:ascii="Palatino Linotype" w:eastAsia="Palatino Linotype" w:hAnsi="Palatino Linotype" w:cs="Palatino Linotype"/>
          <w:i/>
          <w:color w:val="000000"/>
          <w:sz w:val="24"/>
          <w:szCs w:val="24"/>
        </w:rPr>
        <w:t xml:space="preserve"> de la</w:t>
      </w:r>
      <w:r>
        <w:rPr>
          <w:rFonts w:ascii="Palatino Linotype" w:eastAsia="Palatino Linotype" w:hAnsi="Palatino Linotype" w:cs="Palatino Linotype"/>
          <w:i/>
          <w:color w:val="000000"/>
          <w:sz w:val="24"/>
          <w:szCs w:val="24"/>
        </w:rPr>
        <w:t xml:space="preserve"> </w:t>
      </w:r>
      <w:proofErr w:type="spellStart"/>
      <w:r>
        <w:rPr>
          <w:rFonts w:ascii="Palatino Linotype" w:eastAsia="Palatino Linotype" w:hAnsi="Palatino Linotype" w:cs="Palatino Linotype"/>
          <w:i/>
          <w:color w:val="000000"/>
          <w:sz w:val="24"/>
          <w:szCs w:val="24"/>
        </w:rPr>
        <w:t>ultima</w:t>
      </w:r>
      <w:proofErr w:type="spellEnd"/>
      <w:r>
        <w:rPr>
          <w:rFonts w:ascii="Palatino Linotype" w:eastAsia="Palatino Linotype" w:hAnsi="Palatino Linotype" w:cs="Palatino Linotype"/>
          <w:i/>
          <w:color w:val="000000"/>
          <w:sz w:val="24"/>
          <w:szCs w:val="24"/>
        </w:rPr>
        <w:t xml:space="preserve"> quincena de noviembre y la primera quincena de enero 2023, </w:t>
      </w:r>
      <w:proofErr w:type="spellStart"/>
      <w:r>
        <w:rPr>
          <w:rFonts w:ascii="Palatino Linotype" w:eastAsia="Palatino Linotype" w:hAnsi="Palatino Linotype" w:cs="Palatino Linotype"/>
          <w:i/>
          <w:color w:val="000000"/>
          <w:sz w:val="24"/>
          <w:szCs w:val="24"/>
        </w:rPr>
        <w:t>asi</w:t>
      </w:r>
      <w:proofErr w:type="spellEnd"/>
      <w:r>
        <w:rPr>
          <w:rFonts w:ascii="Palatino Linotype" w:eastAsia="Palatino Linotype" w:hAnsi="Palatino Linotype" w:cs="Palatino Linotype"/>
          <w:i/>
          <w:color w:val="000000"/>
          <w:sz w:val="24"/>
          <w:szCs w:val="24"/>
        </w:rPr>
        <w:t xml:space="preserve"> como los estados de cuenta bancarios utilizados para tal </w:t>
      </w:r>
      <w:proofErr w:type="spellStart"/>
      <w:r>
        <w:rPr>
          <w:rFonts w:ascii="Palatino Linotype" w:eastAsia="Palatino Linotype" w:hAnsi="Palatino Linotype" w:cs="Palatino Linotype"/>
          <w:i/>
          <w:color w:val="000000"/>
          <w:sz w:val="24"/>
          <w:szCs w:val="24"/>
        </w:rPr>
        <w:t>dispersion</w:t>
      </w:r>
      <w:proofErr w:type="spellEnd"/>
      <w:r>
        <w:rPr>
          <w:rFonts w:ascii="Palatino Linotype" w:eastAsia="Palatino Linotype" w:hAnsi="Palatino Linotype" w:cs="Palatino Linotype"/>
          <w:i/>
          <w:color w:val="000000"/>
          <w:sz w:val="24"/>
          <w:szCs w:val="24"/>
        </w:rPr>
        <w:t>”</w:t>
      </w:r>
    </w:p>
    <w:p w14:paraId="557E2A4A" w14:textId="77777777" w:rsidR="00215C5E" w:rsidRDefault="00215C5E">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4"/>
          <w:szCs w:val="24"/>
        </w:rPr>
      </w:pPr>
    </w:p>
    <w:p w14:paraId="642948C0" w14:textId="77777777" w:rsidR="00215C5E" w:rsidRDefault="001B7427">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lastRenderedPageBreak/>
        <w:t xml:space="preserve">Señaló como modalidad de entrega de la información a través del </w:t>
      </w:r>
      <w:r>
        <w:rPr>
          <w:rFonts w:ascii="Palatino Linotype" w:eastAsia="Palatino Linotype" w:hAnsi="Palatino Linotype" w:cs="Palatino Linotype"/>
          <w:b/>
          <w:color w:val="000000"/>
          <w:sz w:val="24"/>
          <w:szCs w:val="24"/>
        </w:rPr>
        <w:t>SAIMEX.</w:t>
      </w:r>
    </w:p>
    <w:p w14:paraId="1ED8CEDC" w14:textId="77777777" w:rsidR="00215C5E" w:rsidRDefault="00215C5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7E8490FB" w14:textId="77777777" w:rsidR="00215C5E" w:rsidRDefault="001B7427">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El dieciséis (16) de enero de dos mil veinticuatro dio respuesta a la solicitud, en los siguientes términos:</w:t>
      </w:r>
    </w:p>
    <w:p w14:paraId="3EBADCD4" w14:textId="77777777" w:rsidR="00215C5E" w:rsidRDefault="001B7427">
      <w:pPr>
        <w:spacing w:line="360" w:lineRule="auto"/>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1B67D5F" w14:textId="77777777" w:rsidR="00215C5E" w:rsidRDefault="001B7427">
      <w:pPr>
        <w:spacing w:line="360" w:lineRule="auto"/>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Por medio del presente y con fundamento en los artículos 3, 11, 40, 41, 46, 53 fracciones II, V y VI y demás relativos y aplicables de la Ley de Transparencia y Acceso a la Información Pública del Estado de México y Municipios, así como el numeral TREINTA Y OCHO inciso d), de sus Lineamientos para la recepción, trámite y resolución de las solicitudes de acceso a la información, así como de los Recursos de Revisión que deberán de observar los Sujetos Obligados por la Ley de Transparencia y Acceso a la Información Pública del Estado de México y Municipios; ANEXO EL OFICIO DE RESPUESTA QUE A SU SOLICITUD LE ENTREGA LA, (1) MANTENIMIENTO DE VIALIDADES DE CUAUTITLÁN IZCALLI 1” Reciba un cordial saludo, asimismo en atención a la solicitud de información que fue recibida por la Coordinación de Transparencia en fecha 06 DE DICIEMBRE DEL AÑO DOS MIL VEINTITRÉS, la cual fue registrada vía Internet, mediante el Sistema de Acceso a la Información Mexiquense (SAIMEX), bajo el folio 00825CUAUTIZC/IP/2023, la que a la letra señala; “solicito la </w:t>
      </w:r>
      <w:proofErr w:type="spellStart"/>
      <w:r>
        <w:rPr>
          <w:rFonts w:ascii="Palatino Linotype" w:eastAsia="Palatino Linotype" w:hAnsi="Palatino Linotype" w:cs="Palatino Linotype"/>
          <w:i/>
          <w:sz w:val="22"/>
          <w:szCs w:val="22"/>
        </w:rPr>
        <w:t>dispersion</w:t>
      </w:r>
      <w:proofErr w:type="spellEnd"/>
      <w:r>
        <w:rPr>
          <w:rFonts w:ascii="Palatino Linotype" w:eastAsia="Palatino Linotype" w:hAnsi="Palatino Linotype" w:cs="Palatino Linotype"/>
          <w:i/>
          <w:sz w:val="22"/>
          <w:szCs w:val="22"/>
        </w:rPr>
        <w:t xml:space="preserve"> de </w:t>
      </w:r>
      <w:proofErr w:type="spellStart"/>
      <w:r>
        <w:rPr>
          <w:rFonts w:ascii="Palatino Linotype" w:eastAsia="Palatino Linotype" w:hAnsi="Palatino Linotype" w:cs="Palatino Linotype"/>
          <w:i/>
          <w:sz w:val="22"/>
          <w:szCs w:val="22"/>
        </w:rPr>
        <w:t>nomina</w:t>
      </w:r>
      <w:proofErr w:type="spellEnd"/>
      <w:r>
        <w:rPr>
          <w:rFonts w:ascii="Palatino Linotype" w:eastAsia="Palatino Linotype" w:hAnsi="Palatino Linotype" w:cs="Palatino Linotype"/>
          <w:i/>
          <w:sz w:val="22"/>
          <w:szCs w:val="22"/>
        </w:rPr>
        <w:t xml:space="preserve"> de </w:t>
      </w:r>
      <w:proofErr w:type="spellStart"/>
      <w:r>
        <w:rPr>
          <w:rFonts w:ascii="Palatino Linotype" w:eastAsia="Palatino Linotype" w:hAnsi="Palatino Linotype" w:cs="Palatino Linotype"/>
          <w:i/>
          <w:sz w:val="22"/>
          <w:szCs w:val="22"/>
        </w:rPr>
        <w:t>mavici</w:t>
      </w:r>
      <w:proofErr w:type="spellEnd"/>
      <w:r>
        <w:rPr>
          <w:rFonts w:ascii="Palatino Linotype" w:eastAsia="Palatino Linotype" w:hAnsi="Palatino Linotype" w:cs="Palatino Linotype"/>
          <w:i/>
          <w:sz w:val="22"/>
          <w:szCs w:val="22"/>
        </w:rPr>
        <w:t xml:space="preserve"> de la </w:t>
      </w:r>
      <w:proofErr w:type="spellStart"/>
      <w:r>
        <w:rPr>
          <w:rFonts w:ascii="Palatino Linotype" w:eastAsia="Palatino Linotype" w:hAnsi="Palatino Linotype" w:cs="Palatino Linotype"/>
          <w:i/>
          <w:sz w:val="22"/>
          <w:szCs w:val="22"/>
        </w:rPr>
        <w:t>ultima</w:t>
      </w:r>
      <w:proofErr w:type="spellEnd"/>
      <w:r>
        <w:rPr>
          <w:rFonts w:ascii="Palatino Linotype" w:eastAsia="Palatino Linotype" w:hAnsi="Palatino Linotype" w:cs="Palatino Linotype"/>
          <w:i/>
          <w:sz w:val="22"/>
          <w:szCs w:val="22"/>
        </w:rPr>
        <w:t xml:space="preserve"> quincena de noviembre y la primera quincena de enero 2023, </w:t>
      </w:r>
      <w:proofErr w:type="spellStart"/>
      <w:r>
        <w:rPr>
          <w:rFonts w:ascii="Palatino Linotype" w:eastAsia="Palatino Linotype" w:hAnsi="Palatino Linotype" w:cs="Palatino Linotype"/>
          <w:i/>
          <w:sz w:val="22"/>
          <w:szCs w:val="22"/>
        </w:rPr>
        <w:t>asi</w:t>
      </w:r>
      <w:proofErr w:type="spellEnd"/>
      <w:r>
        <w:rPr>
          <w:rFonts w:ascii="Palatino Linotype" w:eastAsia="Palatino Linotype" w:hAnsi="Palatino Linotype" w:cs="Palatino Linotype"/>
          <w:i/>
          <w:sz w:val="22"/>
          <w:szCs w:val="22"/>
        </w:rPr>
        <w:t xml:space="preserve"> como los estados de cuenta bancarios utilizados para tal </w:t>
      </w:r>
      <w:proofErr w:type="spellStart"/>
      <w:r>
        <w:rPr>
          <w:rFonts w:ascii="Palatino Linotype" w:eastAsia="Palatino Linotype" w:hAnsi="Palatino Linotype" w:cs="Palatino Linotype"/>
          <w:i/>
          <w:sz w:val="22"/>
          <w:szCs w:val="22"/>
        </w:rPr>
        <w:t>dispersion</w:t>
      </w:r>
      <w:proofErr w:type="spellEnd"/>
      <w:r>
        <w:rPr>
          <w:rFonts w:ascii="Palatino Linotype" w:eastAsia="Palatino Linotype" w:hAnsi="Palatino Linotype" w:cs="Palatino Linotype"/>
          <w:i/>
          <w:sz w:val="22"/>
          <w:szCs w:val="22"/>
        </w:rPr>
        <w:t xml:space="preserve">” (SIC) Al respecto, me permito informar que, atendiendo a la formulación, contenido y literalidad de la información solicitada, Con fundamento en el párrafo segundo del artículo 12 de la LEY DE TRANSPARENCIA Y ACCESO </w:t>
      </w:r>
      <w:r>
        <w:rPr>
          <w:rFonts w:ascii="Palatino Linotype" w:eastAsia="Palatino Linotype" w:hAnsi="Palatino Linotype" w:cs="Palatino Linotype"/>
          <w:i/>
          <w:sz w:val="22"/>
          <w:szCs w:val="22"/>
        </w:rPr>
        <w:lastRenderedPageBreak/>
        <w:t xml:space="preserve">A LA INFORMACIÓN PÚBLICA DEL ESTADO DE MÉXICO Y MUNICIPIOS, mismo que a la letra señala: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Le informo que derivado de una búsqueda realizada en los archivos que obran en esta Dirección General, no se localizó “… la </w:t>
      </w:r>
      <w:proofErr w:type="spellStart"/>
      <w:r>
        <w:rPr>
          <w:rFonts w:ascii="Palatino Linotype" w:eastAsia="Palatino Linotype" w:hAnsi="Palatino Linotype" w:cs="Palatino Linotype"/>
          <w:i/>
          <w:sz w:val="22"/>
          <w:szCs w:val="22"/>
        </w:rPr>
        <w:t>dispersion</w:t>
      </w:r>
      <w:proofErr w:type="spellEnd"/>
      <w:r>
        <w:rPr>
          <w:rFonts w:ascii="Palatino Linotype" w:eastAsia="Palatino Linotype" w:hAnsi="Palatino Linotype" w:cs="Palatino Linotype"/>
          <w:i/>
          <w:sz w:val="22"/>
          <w:szCs w:val="22"/>
        </w:rPr>
        <w:t xml:space="preserve"> de </w:t>
      </w:r>
      <w:proofErr w:type="spellStart"/>
      <w:r>
        <w:rPr>
          <w:rFonts w:ascii="Palatino Linotype" w:eastAsia="Palatino Linotype" w:hAnsi="Palatino Linotype" w:cs="Palatino Linotype"/>
          <w:i/>
          <w:sz w:val="22"/>
          <w:szCs w:val="22"/>
        </w:rPr>
        <w:t>nomina</w:t>
      </w:r>
      <w:proofErr w:type="spellEnd"/>
      <w:r>
        <w:rPr>
          <w:rFonts w:ascii="Palatino Linotype" w:eastAsia="Palatino Linotype" w:hAnsi="Palatino Linotype" w:cs="Palatino Linotype"/>
          <w:i/>
          <w:sz w:val="22"/>
          <w:szCs w:val="22"/>
        </w:rPr>
        <w:t xml:space="preserve"> de </w:t>
      </w:r>
      <w:proofErr w:type="spellStart"/>
      <w:r>
        <w:rPr>
          <w:rFonts w:ascii="Palatino Linotype" w:eastAsia="Palatino Linotype" w:hAnsi="Palatino Linotype" w:cs="Palatino Linotype"/>
          <w:i/>
          <w:sz w:val="22"/>
          <w:szCs w:val="22"/>
        </w:rPr>
        <w:t>mavici</w:t>
      </w:r>
      <w:proofErr w:type="spellEnd"/>
      <w:r>
        <w:rPr>
          <w:rFonts w:ascii="Palatino Linotype" w:eastAsia="Palatino Linotype" w:hAnsi="Palatino Linotype" w:cs="Palatino Linotype"/>
          <w:i/>
          <w:sz w:val="22"/>
          <w:szCs w:val="22"/>
        </w:rPr>
        <w:t xml:space="preserve"> de la </w:t>
      </w:r>
      <w:proofErr w:type="spellStart"/>
      <w:r>
        <w:rPr>
          <w:rFonts w:ascii="Palatino Linotype" w:eastAsia="Palatino Linotype" w:hAnsi="Palatino Linotype" w:cs="Palatino Linotype"/>
          <w:i/>
          <w:sz w:val="22"/>
          <w:szCs w:val="22"/>
        </w:rPr>
        <w:t>ultima</w:t>
      </w:r>
      <w:proofErr w:type="spellEnd"/>
      <w:r>
        <w:rPr>
          <w:rFonts w:ascii="Palatino Linotype" w:eastAsia="Palatino Linotype" w:hAnsi="Palatino Linotype" w:cs="Palatino Linotype"/>
          <w:i/>
          <w:sz w:val="22"/>
          <w:szCs w:val="22"/>
        </w:rPr>
        <w:t xml:space="preserve"> quincena de noviembre y la primera quincena de enero 2023, </w:t>
      </w:r>
      <w:proofErr w:type="spellStart"/>
      <w:r>
        <w:rPr>
          <w:rFonts w:ascii="Palatino Linotype" w:eastAsia="Palatino Linotype" w:hAnsi="Palatino Linotype" w:cs="Palatino Linotype"/>
          <w:i/>
          <w:sz w:val="22"/>
          <w:szCs w:val="22"/>
        </w:rPr>
        <w:t>asi</w:t>
      </w:r>
      <w:proofErr w:type="spellEnd"/>
      <w:r>
        <w:rPr>
          <w:rFonts w:ascii="Palatino Linotype" w:eastAsia="Palatino Linotype" w:hAnsi="Palatino Linotype" w:cs="Palatino Linotype"/>
          <w:i/>
          <w:sz w:val="22"/>
          <w:szCs w:val="22"/>
        </w:rPr>
        <w:t xml:space="preserve"> como los estados de cuenta bancarios utilizados para tal </w:t>
      </w:r>
      <w:proofErr w:type="spellStart"/>
      <w:r>
        <w:rPr>
          <w:rFonts w:ascii="Palatino Linotype" w:eastAsia="Palatino Linotype" w:hAnsi="Palatino Linotype" w:cs="Palatino Linotype"/>
          <w:i/>
          <w:sz w:val="22"/>
          <w:szCs w:val="22"/>
        </w:rPr>
        <w:t>dispersion</w:t>
      </w:r>
      <w:proofErr w:type="spellEnd"/>
      <w:r>
        <w:rPr>
          <w:rFonts w:ascii="Palatino Linotype" w:eastAsia="Palatino Linotype" w:hAnsi="Palatino Linotype" w:cs="Palatino Linotype"/>
          <w:i/>
          <w:sz w:val="22"/>
          <w:szCs w:val="22"/>
        </w:rPr>
        <w:t xml:space="preserve">” (SIC) En ese sentido, tratándose de solicitudes genéricas, es decir en las que no se describa específicamente los documentos, resulta aplicable el siguiente criterio: CRITERIO 03/17 emitido por el pleno del INAI. “No existe obligación de elaborar documentos ad hoc para atender las solicitudes de acceso a la información.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w:t>
      </w:r>
      <w:proofErr w:type="spellStart"/>
      <w:r>
        <w:rPr>
          <w:rFonts w:ascii="Palatino Linotype" w:eastAsia="Palatino Linotype" w:hAnsi="Palatino Linotype" w:cs="Palatino Linotype"/>
          <w:i/>
          <w:sz w:val="22"/>
          <w:szCs w:val="22"/>
        </w:rPr>
        <w:t>información.”Y</w:t>
      </w:r>
      <w:proofErr w:type="spellEnd"/>
      <w:r>
        <w:rPr>
          <w:rFonts w:ascii="Palatino Linotype" w:eastAsia="Palatino Linotype" w:hAnsi="Palatino Linotype" w:cs="Palatino Linotype"/>
          <w:i/>
          <w:sz w:val="22"/>
          <w:szCs w:val="22"/>
        </w:rPr>
        <w:t xml:space="preserve"> No obstante lo anterior, se le informa al peticionario que la información pública de oficio que detenta este Organismo puede Y ser consultada en el portal https://ipomex.org.mx, mismo que se encuentra a disposición de cualquier persona de conformidad con el </w:t>
      </w:r>
      <w:proofErr w:type="spellStart"/>
      <w:r>
        <w:rPr>
          <w:rFonts w:ascii="Palatino Linotype" w:eastAsia="Palatino Linotype" w:hAnsi="Palatino Linotype" w:cs="Palatino Linotype"/>
          <w:i/>
          <w:sz w:val="22"/>
          <w:szCs w:val="22"/>
        </w:rPr>
        <w:lastRenderedPageBreak/>
        <w:t>articulo</w:t>
      </w:r>
      <w:proofErr w:type="spellEnd"/>
      <w:r>
        <w:rPr>
          <w:rFonts w:ascii="Palatino Linotype" w:eastAsia="Palatino Linotype" w:hAnsi="Palatino Linotype" w:cs="Palatino Linotype"/>
          <w:i/>
          <w:sz w:val="22"/>
          <w:szCs w:val="22"/>
        </w:rPr>
        <w:t xml:space="preserve"> 92 de la LEY DE TRANSPARENCIA ACCESO A LA INFORMACIÓN PÚBLICA DEL ESTADO DE MÉXICO MUNICIPIOS Sin más por el momento, agradezco la atención brindada al presente. Atentamente Ing. Héctor Santiago López Carrillo Director General del Organismo Público Descentralizado de Carácter Municipal para el Mantenimiento de Vialidades de Cuautitlán Izcalli. “(SIC) De lo anteriormente expuesto y fundado a Usted, en términos de los artículos 11, 41, 46 y demás aplicables de la Ley de Transparencia y Acceso a la Información Pública del Estado de México y Municipios, a Usted pido se sirva tener a esta Coordinación de Transparencia por notificada en tiempo y forma la contestación a su solicitud de acceso a la información para los efectos legales correspondientes, a través del sistema denominado SAIMEX.</w:t>
      </w:r>
    </w:p>
    <w:p w14:paraId="70F45C82" w14:textId="77777777" w:rsidR="00215C5E" w:rsidRDefault="001B7427">
      <w:pPr>
        <w:spacing w:line="360" w:lineRule="auto"/>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p w14:paraId="698DCD80" w14:textId="77777777" w:rsidR="00215C5E" w:rsidRDefault="001B7427">
      <w:pPr>
        <w:spacing w:line="360" w:lineRule="auto"/>
        <w:ind w:left="567" w:right="822"/>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 xml:space="preserve">LIC. MARÍA ISABEL CISNEROS MÁRQUEZ” (sic) </w:t>
      </w:r>
    </w:p>
    <w:p w14:paraId="0011A575" w14:textId="77777777" w:rsidR="00215C5E" w:rsidRDefault="00215C5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400539F1" w14:textId="77777777" w:rsidR="00215C5E" w:rsidRDefault="001B7427">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El Sujeto Obligado adjuntó a la respuesta el documento electrónico siguiente:</w:t>
      </w:r>
    </w:p>
    <w:p w14:paraId="238CB47C" w14:textId="77777777" w:rsidR="00215C5E" w:rsidRDefault="001B7427">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00825.pdf: </w:t>
      </w:r>
      <w:r>
        <w:rPr>
          <w:rFonts w:ascii="Palatino Linotype" w:eastAsia="Palatino Linotype" w:hAnsi="Palatino Linotype" w:cs="Palatino Linotype"/>
          <w:color w:val="000000"/>
          <w:sz w:val="22"/>
          <w:szCs w:val="22"/>
        </w:rPr>
        <w:t xml:space="preserve">Oficio signado por el Director General del Organismo Público Descentralizado de Carácter Municipal para el Mantenimiento de Vialidades en el que señaló que no tienen obligación de generar documentos ad hoc para la atención de las solicitudes, además indicó que la información pública de oficio puede ser consultada en el IPOMEX, señalando </w:t>
      </w:r>
      <w:r>
        <w:rPr>
          <w:rFonts w:ascii="Palatino Linotype" w:eastAsia="Palatino Linotype" w:hAnsi="Palatino Linotype" w:cs="Palatino Linotype"/>
          <w:sz w:val="22"/>
          <w:szCs w:val="22"/>
        </w:rPr>
        <w:t>la dirección</w:t>
      </w:r>
      <w:r>
        <w:rPr>
          <w:rFonts w:ascii="Palatino Linotype" w:eastAsia="Palatino Linotype" w:hAnsi="Palatino Linotype" w:cs="Palatino Linotype"/>
          <w:color w:val="000000"/>
          <w:sz w:val="22"/>
          <w:szCs w:val="22"/>
        </w:rPr>
        <w:t xml:space="preserve"> electrónica del sitio oficial.</w:t>
      </w:r>
    </w:p>
    <w:p w14:paraId="67F4C9AB" w14:textId="77777777" w:rsidR="00215C5E" w:rsidRDefault="00215C5E">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sz w:val="24"/>
          <w:szCs w:val="24"/>
        </w:rPr>
      </w:pPr>
    </w:p>
    <w:p w14:paraId="34E9900B" w14:textId="77777777" w:rsidR="00215C5E" w:rsidRDefault="001B7427">
      <w:pPr>
        <w:numPr>
          <w:ilvl w:val="0"/>
          <w:numId w:val="8"/>
        </w:numPr>
        <w:pBdr>
          <w:top w:val="nil"/>
          <w:left w:val="nil"/>
          <w:bottom w:val="nil"/>
          <w:right w:val="nil"/>
          <w:between w:val="nil"/>
        </w:pBdr>
        <w:spacing w:line="360" w:lineRule="auto"/>
        <w:ind w:left="0" w:firstLine="0"/>
        <w:jc w:val="both"/>
        <w:rPr>
          <w:color w:val="000000"/>
        </w:rPr>
      </w:pPr>
      <w:bookmarkStart w:id="1" w:name="_heading=h.30j0zll" w:colFirst="0" w:colLast="0"/>
      <w:bookmarkEnd w:id="1"/>
      <w:r>
        <w:rPr>
          <w:rFonts w:ascii="Palatino Linotype" w:eastAsia="Palatino Linotype" w:hAnsi="Palatino Linotype" w:cs="Palatino Linotype"/>
          <w:color w:val="000000"/>
          <w:sz w:val="24"/>
          <w:szCs w:val="24"/>
        </w:rPr>
        <w:t xml:space="preserve">El dieciséis (16) de enero de dos mil veinticuatro, </w:t>
      </w:r>
      <w:r>
        <w:rPr>
          <w:rFonts w:ascii="Palatino Linotype" w:eastAsia="Palatino Linotype" w:hAnsi="Palatino Linotype" w:cs="Palatino Linotype"/>
          <w:b/>
          <w:color w:val="000000"/>
          <w:sz w:val="24"/>
          <w:szCs w:val="24"/>
        </w:rPr>
        <w:t>EL RECURRENTE</w:t>
      </w:r>
      <w:r>
        <w:rPr>
          <w:rFonts w:ascii="Palatino Linotype" w:eastAsia="Palatino Linotype" w:hAnsi="Palatino Linotype" w:cs="Palatino Linotype"/>
          <w:color w:val="000000"/>
          <w:sz w:val="24"/>
          <w:szCs w:val="24"/>
        </w:rPr>
        <w:t xml:space="preserve"> interpuso el recurso de revisión, en contra de la respuesta y señaló como:</w:t>
      </w:r>
    </w:p>
    <w:p w14:paraId="7F47D78D" w14:textId="77777777" w:rsidR="00215C5E" w:rsidRDefault="001B7427">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“RESPUESTA” (sic)</w:t>
      </w:r>
    </w:p>
    <w:p w14:paraId="02252919" w14:textId="77777777" w:rsidR="00215C5E" w:rsidRDefault="001B7427">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lastRenderedPageBreak/>
        <w:t>Motivos o razones de inconformidad: “</w:t>
      </w:r>
      <w:r>
        <w:rPr>
          <w:rFonts w:ascii="Palatino Linotype" w:eastAsia="Palatino Linotype" w:hAnsi="Palatino Linotype" w:cs="Palatino Linotype"/>
          <w:color w:val="000000"/>
          <w:sz w:val="22"/>
          <w:szCs w:val="22"/>
        </w:rPr>
        <w:t>NIEGAN LA INFORMACION DOLOSAMENTE ADEMAS EXPONEN ARGUMENTOS TAN INFANTILES QUE NO SABEN COMO FUNDAR NI MOTIVAR. REQUIERO LO SOLICTADO</w:t>
      </w:r>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i/>
          <w:color w:val="000000"/>
          <w:sz w:val="22"/>
          <w:szCs w:val="22"/>
        </w:rPr>
        <w:t xml:space="preserve"> (sic)</w:t>
      </w:r>
    </w:p>
    <w:p w14:paraId="66A654B5" w14:textId="77777777" w:rsidR="00215C5E" w:rsidRDefault="00215C5E">
      <w:pPr>
        <w:spacing w:line="360" w:lineRule="auto"/>
        <w:jc w:val="both"/>
        <w:rPr>
          <w:rFonts w:ascii="Palatino Linotype" w:eastAsia="Palatino Linotype" w:hAnsi="Palatino Linotype" w:cs="Palatino Linotype"/>
          <w:i/>
          <w:sz w:val="24"/>
          <w:szCs w:val="24"/>
        </w:rPr>
      </w:pPr>
    </w:p>
    <w:p w14:paraId="160C9F8A" w14:textId="77777777" w:rsidR="00215C5E" w:rsidRDefault="001B7427">
      <w:pPr>
        <w:numPr>
          <w:ilvl w:val="0"/>
          <w:numId w:val="8"/>
        </w:numPr>
        <w:pBdr>
          <w:top w:val="nil"/>
          <w:left w:val="nil"/>
          <w:bottom w:val="nil"/>
          <w:right w:val="nil"/>
          <w:between w:val="nil"/>
        </w:pBdr>
        <w:spacing w:before="240" w:line="360" w:lineRule="auto"/>
        <w:ind w:left="0" w:firstLine="0"/>
        <w:jc w:val="both"/>
        <w:rPr>
          <w:color w:val="000000"/>
        </w:rPr>
      </w:pPr>
      <w:r>
        <w:rPr>
          <w:rFonts w:ascii="Palatino Linotype" w:eastAsia="Palatino Linotype" w:hAnsi="Palatino Linotype" w:cs="Palatino Linotype"/>
          <w:color w:val="000000"/>
          <w:sz w:val="24"/>
          <w:szCs w:val="24"/>
        </w:rPr>
        <w:t xml:space="preserve">Se registró el recurso revisión bajo el número de expediente al rubro indicado, asimismo con fundamento en lo dispuesto por el artículo 185 fracción I de la </w:t>
      </w:r>
      <w:r>
        <w:rPr>
          <w:rFonts w:ascii="Palatino Linotype" w:eastAsia="Palatino Linotype" w:hAnsi="Palatino Linotype" w:cs="Palatino Linotype"/>
          <w:b/>
          <w:color w:val="000000"/>
          <w:sz w:val="24"/>
          <w:szCs w:val="24"/>
        </w:rPr>
        <w:t xml:space="preserve">Ley de Transparencia y Acceso a la Información Pública del Estado de México y Municipios </w:t>
      </w:r>
      <w:r>
        <w:rPr>
          <w:rFonts w:ascii="Palatino Linotype" w:eastAsia="Palatino Linotype" w:hAnsi="Palatino Linotype" w:cs="Palatino Linotype"/>
          <w:color w:val="000000"/>
          <w:sz w:val="24"/>
          <w:szCs w:val="24"/>
        </w:rPr>
        <w:t xml:space="preserve">se </w:t>
      </w:r>
      <w:r>
        <w:rPr>
          <w:rFonts w:ascii="Palatino Linotype" w:eastAsia="Palatino Linotype" w:hAnsi="Palatino Linotype" w:cs="Palatino Linotype"/>
          <w:sz w:val="24"/>
          <w:szCs w:val="24"/>
        </w:rPr>
        <w:t>turna</w:t>
      </w:r>
      <w:r>
        <w:rPr>
          <w:rFonts w:ascii="Palatino Linotype" w:eastAsia="Palatino Linotype" w:hAnsi="Palatino Linotype" w:cs="Palatino Linotype"/>
          <w:color w:val="000000"/>
          <w:sz w:val="24"/>
          <w:szCs w:val="24"/>
        </w:rPr>
        <w:t xml:space="preserve"> a la </w:t>
      </w:r>
      <w:r>
        <w:rPr>
          <w:rFonts w:ascii="Palatino Linotype" w:eastAsia="Palatino Linotype" w:hAnsi="Palatino Linotype" w:cs="Palatino Linotype"/>
          <w:b/>
          <w:color w:val="000000"/>
          <w:sz w:val="24"/>
          <w:szCs w:val="24"/>
        </w:rPr>
        <w:t xml:space="preserve">Comisionada María del Rosario Mejía Ayala, </w:t>
      </w:r>
      <w:r>
        <w:rPr>
          <w:rFonts w:ascii="Palatino Linotype" w:eastAsia="Palatino Linotype" w:hAnsi="Palatino Linotype" w:cs="Palatino Linotype"/>
          <w:sz w:val="24"/>
          <w:szCs w:val="24"/>
        </w:rPr>
        <w:t>para</w:t>
      </w:r>
      <w:r>
        <w:rPr>
          <w:rFonts w:ascii="Palatino Linotype" w:eastAsia="Palatino Linotype" w:hAnsi="Palatino Linotype" w:cs="Palatino Linotype"/>
          <w:color w:val="000000"/>
          <w:sz w:val="24"/>
          <w:szCs w:val="24"/>
        </w:rPr>
        <w:t xml:space="preserve"> su análisis.</w:t>
      </w:r>
    </w:p>
    <w:p w14:paraId="7D513E4E" w14:textId="77777777" w:rsidR="00215C5E" w:rsidRDefault="00215C5E">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0D039FC" w14:textId="77777777" w:rsidR="00215C5E" w:rsidRDefault="001B7427">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acuerdo de admisión de fecha dieciocho (18) de enero de dos mil veinticuatro, puso a disposición de las partes el expediente electrónico vía </w:t>
      </w:r>
      <w:r>
        <w:rPr>
          <w:rFonts w:ascii="Palatino Linotype" w:eastAsia="Palatino Linotype" w:hAnsi="Palatino Linotype" w:cs="Palatino Linotype"/>
          <w:b/>
          <w:color w:val="000000"/>
          <w:sz w:val="24"/>
          <w:szCs w:val="24"/>
        </w:rPr>
        <w:t xml:space="preserve">SAIMEX </w:t>
      </w:r>
      <w:r>
        <w:rPr>
          <w:rFonts w:ascii="Palatino Linotype" w:eastAsia="Palatino Linotype" w:hAnsi="Palatino Linotype" w:cs="Palatino Linotype"/>
          <w:color w:val="000000"/>
          <w:sz w:val="24"/>
          <w:szCs w:val="24"/>
        </w:rPr>
        <w:t xml:space="preserve">a efecto de que en un plazo máximo de siete días </w:t>
      </w:r>
      <w:r>
        <w:rPr>
          <w:rFonts w:ascii="Palatino Linotype" w:eastAsia="Palatino Linotype" w:hAnsi="Palatino Linotype" w:cs="Palatino Linotype"/>
          <w:sz w:val="24"/>
          <w:szCs w:val="24"/>
        </w:rPr>
        <w:t>manifestara</w:t>
      </w:r>
      <w:r>
        <w:rPr>
          <w:rFonts w:ascii="Palatino Linotype" w:eastAsia="Palatino Linotype" w:hAnsi="Palatino Linotype" w:cs="Palatino Linotype"/>
          <w:color w:val="000000"/>
          <w:sz w:val="24"/>
          <w:szCs w:val="24"/>
        </w:rPr>
        <w:t xml:space="preserve"> lo que a derecho </w:t>
      </w:r>
      <w:r>
        <w:rPr>
          <w:rFonts w:ascii="Palatino Linotype" w:eastAsia="Palatino Linotype" w:hAnsi="Palatino Linotype" w:cs="Palatino Linotype"/>
          <w:sz w:val="24"/>
          <w:szCs w:val="24"/>
        </w:rPr>
        <w:t>conviniera</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ofreciera</w:t>
      </w:r>
      <w:r>
        <w:rPr>
          <w:rFonts w:ascii="Palatino Linotype" w:eastAsia="Palatino Linotype" w:hAnsi="Palatino Linotype" w:cs="Palatino Linotype"/>
          <w:color w:val="000000"/>
          <w:sz w:val="24"/>
          <w:szCs w:val="24"/>
        </w:rPr>
        <w:t xml:space="preserve"> pruebas y alegatos según corresponda al caso concreto, de esta forma para que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presentará</w:t>
      </w:r>
      <w:r>
        <w:rPr>
          <w:rFonts w:ascii="Palatino Linotype" w:eastAsia="Palatino Linotype" w:hAnsi="Palatino Linotype" w:cs="Palatino Linotype"/>
          <w:color w:val="000000"/>
          <w:sz w:val="24"/>
          <w:szCs w:val="24"/>
        </w:rPr>
        <w:t xml:space="preserve"> el informe justificado procedente.</w:t>
      </w:r>
    </w:p>
    <w:p w14:paraId="3F4D57EE" w14:textId="77777777" w:rsidR="00215C5E" w:rsidRDefault="00215C5E">
      <w:pPr>
        <w:pBdr>
          <w:top w:val="nil"/>
          <w:left w:val="nil"/>
          <w:bottom w:val="nil"/>
          <w:right w:val="nil"/>
          <w:between w:val="nil"/>
        </w:pBdr>
        <w:ind w:left="720"/>
        <w:rPr>
          <w:rFonts w:ascii="Palatino Linotype" w:eastAsia="Palatino Linotype" w:hAnsi="Palatino Linotype" w:cs="Palatino Linotype"/>
          <w:i/>
          <w:color w:val="000000"/>
          <w:sz w:val="24"/>
          <w:szCs w:val="24"/>
        </w:rPr>
      </w:pPr>
    </w:p>
    <w:p w14:paraId="15332812" w14:textId="77777777" w:rsidR="00215C5E" w:rsidRDefault="001B7427">
      <w:pPr>
        <w:numPr>
          <w:ilvl w:val="0"/>
          <w:numId w:val="8"/>
        </w:numPr>
        <w:tabs>
          <w:tab w:val="left" w:pos="284"/>
        </w:tabs>
        <w:spacing w:before="240" w:after="240" w:line="360" w:lineRule="auto"/>
        <w:ind w:left="0" w:firstLine="0"/>
        <w:jc w:val="both"/>
        <w:rPr>
          <w:color w:val="000000"/>
        </w:rPr>
      </w:pP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el veinticinco (25) de enero de dos mil veinticuatro, el cual se puso a la vista del Recurrente el veintiuno (21) de agosto de dos mil veinticuatro; sin embargo, se describe su contenido medular, siendo el siguiente:</w:t>
      </w:r>
    </w:p>
    <w:p w14:paraId="6694EF83" w14:textId="77777777" w:rsidR="00215C5E" w:rsidRDefault="001B7427">
      <w:pPr>
        <w:numPr>
          <w:ilvl w:val="0"/>
          <w:numId w:val="5"/>
        </w:numPr>
        <w:pBdr>
          <w:top w:val="nil"/>
          <w:left w:val="nil"/>
          <w:bottom w:val="nil"/>
          <w:right w:val="nil"/>
          <w:between w:val="nil"/>
        </w:pBdr>
        <w:tabs>
          <w:tab w:val="left" w:pos="284"/>
        </w:tabs>
        <w:spacing w:before="240" w:line="360" w:lineRule="auto"/>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lastRenderedPageBreak/>
        <w:t xml:space="preserve">Leyvig086.pdf: </w:t>
      </w:r>
      <w:r>
        <w:rPr>
          <w:rFonts w:ascii="Palatino Linotype" w:eastAsia="Palatino Linotype" w:hAnsi="Palatino Linotype" w:cs="Palatino Linotype"/>
          <w:color w:val="000000"/>
          <w:sz w:val="22"/>
          <w:szCs w:val="22"/>
        </w:rPr>
        <w:t>Contiene la Ley que Crea el Organismo Público Descentralizado de Carácter Municipal para el Mantenimiento de Vialidades de Cuautitlán Izcalli (MAVICI)</w:t>
      </w:r>
      <w:r>
        <w:rPr>
          <w:rFonts w:ascii="Palatino Linotype" w:eastAsia="Palatino Linotype" w:hAnsi="Palatino Linotype" w:cs="Palatino Linotype"/>
          <w:b/>
          <w:color w:val="000000"/>
          <w:sz w:val="22"/>
          <w:szCs w:val="22"/>
        </w:rPr>
        <w:t xml:space="preserve"> </w:t>
      </w:r>
    </w:p>
    <w:p w14:paraId="7AB55E89" w14:textId="77777777" w:rsidR="00215C5E" w:rsidRDefault="001B7427">
      <w:pPr>
        <w:numPr>
          <w:ilvl w:val="0"/>
          <w:numId w:val="5"/>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INFORME JUSTIFICADO RR 128.pdf: </w:t>
      </w:r>
      <w:r>
        <w:rPr>
          <w:rFonts w:ascii="Palatino Linotype" w:eastAsia="Palatino Linotype" w:hAnsi="Palatino Linotype" w:cs="Palatino Linotype"/>
          <w:color w:val="000000"/>
          <w:sz w:val="22"/>
          <w:szCs w:val="22"/>
        </w:rPr>
        <w:t>Documento signado por el Director General del Sujeto Obligado en el que ratifica la respuesta inicial, en el sentido de que no se tiene la obligación de generar documentos ad hoc.</w:t>
      </w:r>
    </w:p>
    <w:p w14:paraId="1AF8A7D5" w14:textId="77777777" w:rsidR="00215C5E" w:rsidRDefault="001B7427">
      <w:pPr>
        <w:numPr>
          <w:ilvl w:val="0"/>
          <w:numId w:val="5"/>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 xml:space="preserve">GACETA-120.pdf: </w:t>
      </w:r>
      <w:r>
        <w:rPr>
          <w:rFonts w:ascii="Palatino Linotype" w:eastAsia="Palatino Linotype" w:hAnsi="Palatino Linotype" w:cs="Palatino Linotype"/>
          <w:color w:val="000000"/>
          <w:sz w:val="22"/>
          <w:szCs w:val="22"/>
        </w:rPr>
        <w:t>Contiene el reglamento interno del Organismo Público Descentralizado de Carácter Municipal para el Mantenimiento de Vialidades de Cuautitlán Izcalli (MAVICI).</w:t>
      </w:r>
    </w:p>
    <w:p w14:paraId="504B45CF" w14:textId="77777777" w:rsidR="00215C5E" w:rsidRDefault="00215C5E">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b/>
          <w:i/>
          <w:color w:val="000000"/>
          <w:sz w:val="24"/>
          <w:szCs w:val="24"/>
        </w:rPr>
      </w:pPr>
    </w:p>
    <w:p w14:paraId="72C1EF36" w14:textId="77777777" w:rsidR="00215C5E" w:rsidRDefault="001B7427">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El diecinueve (19) de marzo de dos mil veinticuatro, la Comisionada Ponente notificó el acuerdo de ampliación para emitir resolución.</w:t>
      </w:r>
    </w:p>
    <w:p w14:paraId="1502E2BB" w14:textId="77777777" w:rsidR="00215C5E" w:rsidRDefault="00215C5E">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2AC0DA01" w14:textId="77777777" w:rsidR="00215C5E" w:rsidRDefault="001B7427">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El veintisiete (27) de agosto de dos mil veinticuatro se notificó el acuerdo mediante el cual se decretó el cierre de instrucción.</w:t>
      </w:r>
    </w:p>
    <w:p w14:paraId="43782970" w14:textId="77777777" w:rsidR="00215C5E" w:rsidRDefault="00215C5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73DA75B1" w14:textId="77777777" w:rsidR="00215C5E" w:rsidRDefault="001B7427">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14:paraId="1EE1F67F" w14:textId="77777777" w:rsidR="00215C5E" w:rsidRDefault="00215C5E">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DBA2EE4" w14:textId="77777777" w:rsidR="00215C5E" w:rsidRDefault="001B7427">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AA5C8FA" w14:textId="77777777" w:rsidR="00215C5E" w:rsidRDefault="00215C5E">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51C0B17" w14:textId="77777777" w:rsidR="00215C5E" w:rsidRDefault="001B7427">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FE25D41" w14:textId="77777777" w:rsidR="00215C5E" w:rsidRDefault="00215C5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1A204FAC" w14:textId="77777777" w:rsidR="00215C5E" w:rsidRDefault="001B7427">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49D30C8" w14:textId="77777777" w:rsidR="00215C5E" w:rsidRDefault="00215C5E">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7D654471" w14:textId="77777777" w:rsidR="00215C5E" w:rsidRDefault="001B7427">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30FF9073" w14:textId="77777777" w:rsidR="00215C5E" w:rsidRDefault="001B7427">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14:paraId="575546BF" w14:textId="77777777" w:rsidR="00215C5E" w:rsidRDefault="001B7427">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b)     Actividad Procesal del interesado: Acciones u omisiones del interesado.</w:t>
      </w:r>
    </w:p>
    <w:p w14:paraId="7D87E559" w14:textId="77777777" w:rsidR="00215C5E" w:rsidRDefault="001B7427">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c) </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617690F9" w14:textId="77777777" w:rsidR="00215C5E" w:rsidRDefault="001B7427">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14:paraId="1CA49439" w14:textId="77777777" w:rsidR="00215C5E" w:rsidRDefault="00215C5E">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70D71A88" w14:textId="77777777" w:rsidR="00215C5E" w:rsidRDefault="001B7427">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721CCB8" w14:textId="77777777" w:rsidR="00215C5E" w:rsidRDefault="00215C5E">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6B76551" w14:textId="77777777" w:rsidR="00215C5E" w:rsidRDefault="001B7427">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Argumento que encuentra sustento en la jurisprudencia P./J. 32/92 emitida por el Pleno de la Suprema Corte de Justicia de la Nación </w:t>
      </w:r>
      <w:r>
        <w:rPr>
          <w:rFonts w:ascii="Palatino Linotype" w:eastAsia="Palatino Linotype" w:hAnsi="Palatino Linotype" w:cs="Palatino Linotype"/>
          <w:sz w:val="24"/>
          <w:szCs w:val="24"/>
        </w:rPr>
        <w:t>del rubro</w:t>
      </w:r>
      <w:r>
        <w:rPr>
          <w:rFonts w:ascii="Palatino Linotype" w:eastAsia="Palatino Linotype" w:hAnsi="Palatino Linotype" w:cs="Palatino Linotype"/>
          <w:color w:val="000000"/>
          <w:sz w:val="24"/>
          <w:szCs w:val="24"/>
        </w:rPr>
        <w:t xml:space="preserve"> “TÉRMINOS PROCESALES. PARA DETERMINAR SI UN FUNCIONARIO JUDICIAL ACTUÓ INDEBIDAMENTE POR NO RESPETARLOS SE DEBE ATENDER AL PRESUPUESTO QUE CONSIDERÓ EL LEGISLADOR AL FIJARLOS Y LAS CARACTERÍSTICAS DEL CASO.”, visible en la Gaceta del </w:t>
      </w:r>
      <w:r>
        <w:rPr>
          <w:rFonts w:ascii="Palatino Linotype" w:eastAsia="Palatino Linotype" w:hAnsi="Palatino Linotype" w:cs="Palatino Linotype"/>
          <w:sz w:val="24"/>
          <w:szCs w:val="24"/>
        </w:rPr>
        <w:t>Semanario</w:t>
      </w:r>
      <w:r>
        <w:rPr>
          <w:rFonts w:ascii="Palatino Linotype" w:eastAsia="Palatino Linotype" w:hAnsi="Palatino Linotype" w:cs="Palatino Linotype"/>
          <w:color w:val="000000"/>
          <w:sz w:val="24"/>
          <w:szCs w:val="24"/>
        </w:rPr>
        <w:t xml:space="preserve"> Judicial de la Federación con el registro digital 205635.</w:t>
      </w:r>
    </w:p>
    <w:p w14:paraId="34B6B04A" w14:textId="77777777" w:rsidR="00215C5E" w:rsidRDefault="00215C5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5F95D4E2" w14:textId="77777777" w:rsidR="00215C5E" w:rsidRDefault="001B7427">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w:t>
      </w:r>
      <w:r>
        <w:rPr>
          <w:rFonts w:ascii="Palatino Linotype" w:eastAsia="Palatino Linotype" w:hAnsi="Palatino Linotype" w:cs="Palatino Linotype"/>
          <w:color w:val="000000"/>
          <w:sz w:val="24"/>
          <w:szCs w:val="24"/>
        </w:rPr>
        <w:lastRenderedPageBreak/>
        <w:t>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214BF51" w14:textId="77777777" w:rsidR="00215C5E" w:rsidRDefault="00215C5E">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40FC3867" w14:textId="77777777" w:rsidR="00215C5E" w:rsidRDefault="001B7427">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14:paraId="270CA72E" w14:textId="77777777" w:rsidR="00215C5E" w:rsidRDefault="001B7427">
      <w:pPr>
        <w:pBdr>
          <w:top w:val="nil"/>
          <w:left w:val="nil"/>
          <w:bottom w:val="nil"/>
          <w:right w:val="nil"/>
          <w:between w:val="nil"/>
        </w:pBdr>
        <w:spacing w:line="360" w:lineRule="auto"/>
        <w:ind w:lef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Seminario Judicial de la Federación y su gaceta, con el registro digital 2002351.</w:t>
      </w:r>
    </w:p>
    <w:p w14:paraId="2B76486F" w14:textId="77777777" w:rsidR="00215C5E" w:rsidRDefault="001B7427">
      <w:pPr>
        <w:pBdr>
          <w:top w:val="nil"/>
          <w:left w:val="nil"/>
          <w:bottom w:val="nil"/>
          <w:right w:val="nil"/>
          <w:between w:val="nil"/>
        </w:pBdr>
        <w:spacing w:line="360" w:lineRule="auto"/>
        <w:ind w:lef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14:paraId="73C5910E" w14:textId="77777777" w:rsidR="00215C5E" w:rsidRDefault="00215C5E">
      <w:pPr>
        <w:pBdr>
          <w:top w:val="nil"/>
          <w:left w:val="nil"/>
          <w:bottom w:val="nil"/>
          <w:right w:val="nil"/>
          <w:between w:val="nil"/>
        </w:pBdr>
        <w:spacing w:line="360" w:lineRule="auto"/>
        <w:ind w:left="708"/>
        <w:jc w:val="both"/>
        <w:rPr>
          <w:rFonts w:ascii="Palatino Linotype" w:eastAsia="Palatino Linotype" w:hAnsi="Palatino Linotype" w:cs="Palatino Linotype"/>
          <w:color w:val="000000"/>
          <w:sz w:val="24"/>
          <w:szCs w:val="24"/>
        </w:rPr>
      </w:pPr>
    </w:p>
    <w:p w14:paraId="7D5AB1E8" w14:textId="77777777" w:rsidR="00215C5E" w:rsidRDefault="001B7427">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14:paraId="1B67F9CF" w14:textId="77777777" w:rsidR="00215C5E" w:rsidRDefault="001B7427">
      <w:pPr>
        <w:pStyle w:val="Ttulo1"/>
        <w:jc w:val="center"/>
        <w:rPr>
          <w:rFonts w:ascii="Palatino Linotype" w:eastAsia="Palatino Linotype" w:hAnsi="Palatino Linotype" w:cs="Palatino Linotype"/>
          <w:b/>
          <w:color w:val="000000"/>
          <w:sz w:val="24"/>
          <w:szCs w:val="24"/>
        </w:rPr>
      </w:pPr>
      <w:bookmarkStart w:id="2" w:name="_heading=h.1fob9te" w:colFirst="0" w:colLast="0"/>
      <w:bookmarkEnd w:id="2"/>
      <w:r>
        <w:rPr>
          <w:rFonts w:ascii="Palatino Linotype" w:eastAsia="Palatino Linotype" w:hAnsi="Palatino Linotype" w:cs="Palatino Linotype"/>
          <w:b/>
          <w:color w:val="000000"/>
          <w:sz w:val="24"/>
          <w:szCs w:val="24"/>
        </w:rPr>
        <w:t xml:space="preserve">C O N S I D E R A N D O </w:t>
      </w:r>
    </w:p>
    <w:p w14:paraId="7EE73CA8" w14:textId="77777777" w:rsidR="00215C5E" w:rsidRDefault="00215C5E">
      <w:pPr>
        <w:rPr>
          <w:rFonts w:ascii="Palatino Linotype" w:eastAsia="Palatino Linotype" w:hAnsi="Palatino Linotype" w:cs="Palatino Linotype"/>
          <w:sz w:val="24"/>
          <w:szCs w:val="24"/>
        </w:rPr>
      </w:pPr>
    </w:p>
    <w:p w14:paraId="080EFDA8" w14:textId="77777777" w:rsidR="00215C5E" w:rsidRDefault="001B7427">
      <w:pPr>
        <w:pStyle w:val="Ttulo2"/>
        <w:rPr>
          <w:rFonts w:ascii="Palatino Linotype" w:eastAsia="Palatino Linotype" w:hAnsi="Palatino Linotype" w:cs="Palatino Linotype"/>
          <w:b/>
          <w:color w:val="000000"/>
          <w:sz w:val="24"/>
          <w:szCs w:val="24"/>
        </w:rPr>
      </w:pPr>
      <w:bookmarkStart w:id="3" w:name="_heading=h.3znysh7" w:colFirst="0" w:colLast="0"/>
      <w:bookmarkEnd w:id="3"/>
      <w:r>
        <w:rPr>
          <w:rFonts w:ascii="Palatino Linotype" w:eastAsia="Palatino Linotype" w:hAnsi="Palatino Linotype" w:cs="Palatino Linotype"/>
          <w:b/>
          <w:color w:val="000000"/>
          <w:sz w:val="24"/>
          <w:szCs w:val="24"/>
        </w:rPr>
        <w:lastRenderedPageBreak/>
        <w:t>PRIMERO. De la competencia</w:t>
      </w:r>
    </w:p>
    <w:p w14:paraId="4225DCFD" w14:textId="77777777" w:rsidR="00215C5E" w:rsidRDefault="001B7427">
      <w:pPr>
        <w:numPr>
          <w:ilvl w:val="0"/>
          <w:numId w:val="8"/>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Pr>
          <w:rFonts w:ascii="Palatino Linotype" w:eastAsia="Palatino Linotype" w:hAnsi="Palatino Linotype" w:cs="Palatino Linotype"/>
          <w:b/>
          <w:color w:val="000000"/>
          <w:sz w:val="24"/>
          <w:szCs w:val="24"/>
        </w:rPr>
        <w:t>Constitución Política de los Estados Unidos Mexicanos</w:t>
      </w:r>
      <w:r>
        <w:rPr>
          <w:rFonts w:ascii="Palatino Linotype" w:eastAsia="Palatino Linotype" w:hAnsi="Palatino Linotype" w:cs="Palatino Linotype"/>
          <w:color w:val="000000"/>
          <w:sz w:val="24"/>
          <w:szCs w:val="24"/>
        </w:rPr>
        <w:t xml:space="preserve">; 5, párrafos </w:t>
      </w:r>
      <w:r>
        <w:rPr>
          <w:rFonts w:ascii="Palatino Linotype" w:eastAsia="Palatino Linotype" w:hAnsi="Palatino Linotype" w:cs="Palatino Linotype"/>
          <w:color w:val="222222"/>
          <w:sz w:val="24"/>
          <w:szCs w:val="24"/>
        </w:rPr>
        <w:t>trigésimo segundo, trigésimo tercero y trigésimo cuarto fracciones</w:t>
      </w:r>
      <w:r>
        <w:rPr>
          <w:rFonts w:ascii="Palatino Linotype" w:eastAsia="Palatino Linotype" w:hAnsi="Palatino Linotype" w:cs="Palatino Linotype"/>
          <w:color w:val="000000"/>
          <w:sz w:val="24"/>
          <w:szCs w:val="24"/>
        </w:rPr>
        <w:t xml:space="preserve"> IV y V de la </w:t>
      </w:r>
      <w:r>
        <w:rPr>
          <w:rFonts w:ascii="Palatino Linotype" w:eastAsia="Palatino Linotype" w:hAnsi="Palatino Linotype" w:cs="Palatino Linotype"/>
          <w:b/>
          <w:color w:val="000000"/>
          <w:sz w:val="24"/>
          <w:szCs w:val="24"/>
        </w:rPr>
        <w:t>Constitución Política del Estado Libre y Soberano de México</w:t>
      </w:r>
      <w:r>
        <w:rPr>
          <w:rFonts w:ascii="Palatino Linotype" w:eastAsia="Palatino Linotype" w:hAnsi="Palatino Linotype" w:cs="Palatino Linotype"/>
          <w:color w:val="000000"/>
          <w:sz w:val="24"/>
          <w:szCs w:val="24"/>
        </w:rPr>
        <w:t xml:space="preserve">; artículos 1, 2 fracción II, 13, 29, 36 fracciones I y II, 176, 178, 179, 181 párrafo tercero y 185 de la </w:t>
      </w:r>
      <w:r>
        <w:rPr>
          <w:rFonts w:ascii="Palatino Linotype" w:eastAsia="Palatino Linotype" w:hAnsi="Palatino Linotype" w:cs="Palatino Linotype"/>
          <w:b/>
          <w:color w:val="000000"/>
          <w:sz w:val="24"/>
          <w:szCs w:val="24"/>
        </w:rPr>
        <w:t>Ley de Transparencia y Acceso a la Información Pública del Estado de México y Municipios</w:t>
      </w:r>
      <w:r>
        <w:rPr>
          <w:rFonts w:ascii="Palatino Linotype" w:eastAsia="Palatino Linotype" w:hAnsi="Palatino Linotype" w:cs="Palatino Linotype"/>
          <w:color w:val="000000"/>
          <w:sz w:val="24"/>
          <w:szCs w:val="24"/>
        </w:rPr>
        <w:t xml:space="preserve">; y 7, 9 fracciones I y XXIII, y 11 del </w:t>
      </w:r>
      <w:r>
        <w:rPr>
          <w:rFonts w:ascii="Palatino Linotype" w:eastAsia="Palatino Linotype" w:hAnsi="Palatino Linotype" w:cs="Palatino Linotype"/>
          <w:b/>
          <w:color w:val="000000"/>
          <w:sz w:val="24"/>
          <w:szCs w:val="24"/>
        </w:rPr>
        <w:t>Reglamento Interior del Instituto de Transparencia, Acceso a la Información Pública y Protección de Datos Personales del Estado de México y Municipios</w:t>
      </w:r>
      <w:r>
        <w:rPr>
          <w:rFonts w:ascii="Palatino Linotype" w:eastAsia="Palatino Linotype" w:hAnsi="Palatino Linotype" w:cs="Palatino Linotype"/>
          <w:color w:val="000000"/>
          <w:sz w:val="24"/>
          <w:szCs w:val="24"/>
        </w:rPr>
        <w:t>.</w:t>
      </w:r>
    </w:p>
    <w:p w14:paraId="419BB046" w14:textId="77777777" w:rsidR="00215C5E" w:rsidRDefault="00215C5E">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sz w:val="24"/>
          <w:szCs w:val="24"/>
        </w:rPr>
      </w:pPr>
    </w:p>
    <w:p w14:paraId="0CC64985" w14:textId="77777777" w:rsidR="00215C5E" w:rsidRDefault="001B7427">
      <w:pPr>
        <w:pStyle w:val="Ttulo2"/>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SEGUNDO. De la oportunidad y procedencia.</w:t>
      </w:r>
    </w:p>
    <w:p w14:paraId="2DFF2FDC" w14:textId="77777777" w:rsidR="00215C5E" w:rsidRDefault="001B7427">
      <w:pPr>
        <w:numPr>
          <w:ilvl w:val="0"/>
          <w:numId w:val="8"/>
        </w:numPr>
        <w:pBdr>
          <w:top w:val="nil"/>
          <w:left w:val="nil"/>
          <w:bottom w:val="nil"/>
          <w:right w:val="nil"/>
          <w:between w:val="nil"/>
        </w:pBdr>
        <w:tabs>
          <w:tab w:val="left" w:pos="426"/>
        </w:tabs>
        <w:spacing w:line="360" w:lineRule="auto"/>
        <w:ind w:left="0" w:right="49" w:firstLine="0"/>
        <w:jc w:val="both"/>
        <w:rPr>
          <w:color w:val="000000"/>
        </w:rPr>
      </w:pPr>
      <w:bookmarkStart w:id="5" w:name="_heading=h.tyjcwt" w:colFirst="0" w:colLast="0"/>
      <w:bookmarkEnd w:id="5"/>
      <w:r>
        <w:rPr>
          <w:rFonts w:ascii="Palatino Linotype" w:eastAsia="Palatino Linotype" w:hAnsi="Palatino Linotype" w:cs="Palatino Linotype"/>
          <w:color w:val="000000"/>
          <w:sz w:val="24"/>
          <w:szCs w:val="24"/>
        </w:rPr>
        <w:t xml:space="preserve">El medio de impugnación fue presentado a través del SAIMEX en el formato previamente aprobado para tal efecto y dentro del plazo legal de quince días hábiles otorgados; siendo así que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entregó respuesta el dieciséis (16) de enero de dos mil veinticuatro, de tal forma que el plazo para interponer el recurso de revisión transcurrió del diecisiete (17) de enero al siete (7) de febrero de dos mil veinticuatro, el recurso de revisión fue interpuesto el dieciséis (16) de enero de dos mil veinticuatro, éste se encuentra dentro de los márgenes temporales previstos en el artículo 178 de la Ley de Transparencia y Acceso a la Información Pública del Estado de México y Municipios</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vigente. </w:t>
      </w:r>
    </w:p>
    <w:p w14:paraId="31DBDBC5" w14:textId="77777777" w:rsidR="00215C5E" w:rsidRDefault="00215C5E">
      <w:pPr>
        <w:tabs>
          <w:tab w:val="left" w:pos="426"/>
        </w:tabs>
        <w:spacing w:line="360" w:lineRule="auto"/>
        <w:ind w:right="49"/>
        <w:jc w:val="both"/>
        <w:rPr>
          <w:rFonts w:ascii="Palatino Linotype" w:eastAsia="Palatino Linotype" w:hAnsi="Palatino Linotype" w:cs="Palatino Linotype"/>
          <w:color w:val="000000"/>
          <w:sz w:val="24"/>
          <w:szCs w:val="24"/>
        </w:rPr>
      </w:pPr>
    </w:p>
    <w:p w14:paraId="5A8AEE08" w14:textId="77777777" w:rsidR="00215C5E" w:rsidRDefault="001B7427">
      <w:pPr>
        <w:numPr>
          <w:ilvl w:val="0"/>
          <w:numId w:val="8"/>
        </w:numPr>
        <w:pBdr>
          <w:top w:val="nil"/>
          <w:left w:val="nil"/>
          <w:bottom w:val="nil"/>
          <w:right w:val="nil"/>
          <w:between w:val="nil"/>
        </w:pBdr>
        <w:tabs>
          <w:tab w:val="left" w:pos="426"/>
        </w:tabs>
        <w:spacing w:line="360" w:lineRule="auto"/>
        <w:ind w:left="0" w:right="49" w:firstLine="0"/>
        <w:jc w:val="both"/>
        <w:rPr>
          <w:color w:val="000000"/>
        </w:rPr>
      </w:pPr>
      <w:r>
        <w:rPr>
          <w:rFonts w:ascii="Palatino Linotype" w:eastAsia="Palatino Linotype" w:hAnsi="Palatino Linotype" w:cs="Palatino Linotype"/>
          <w:color w:val="000000"/>
          <w:sz w:val="24"/>
          <w:szCs w:val="24"/>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1EDA7E1A" w14:textId="77777777" w:rsidR="00215C5E" w:rsidRDefault="001B7427">
      <w:pPr>
        <w:pStyle w:val="Ttulo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TERCERO. Planteamiento de la Litis </w:t>
      </w:r>
    </w:p>
    <w:p w14:paraId="3F247314" w14:textId="77777777" w:rsidR="00215C5E" w:rsidRDefault="001B7427">
      <w:pPr>
        <w:numPr>
          <w:ilvl w:val="0"/>
          <w:numId w:val="8"/>
        </w:numPr>
        <w:pBdr>
          <w:top w:val="nil"/>
          <w:left w:val="nil"/>
          <w:bottom w:val="nil"/>
          <w:right w:val="nil"/>
          <w:between w:val="nil"/>
        </w:pBdr>
        <w:spacing w:before="240" w:line="360" w:lineRule="auto"/>
        <w:ind w:left="0" w:right="49" w:firstLine="0"/>
        <w:jc w:val="both"/>
        <w:rPr>
          <w:color w:val="000000"/>
        </w:rPr>
      </w:pPr>
      <w:r>
        <w:rPr>
          <w:rFonts w:ascii="Palatino Linotype" w:eastAsia="Palatino Linotype" w:hAnsi="Palatino Linotype" w:cs="Palatino Linotype"/>
          <w:color w:val="000000"/>
          <w:sz w:val="24"/>
          <w:szCs w:val="24"/>
        </w:rPr>
        <w:t>El recurrente solicitó la siguiente información:</w:t>
      </w:r>
    </w:p>
    <w:p w14:paraId="745F929D" w14:textId="77777777" w:rsidR="00215C5E" w:rsidRDefault="001B7427">
      <w:pPr>
        <w:numPr>
          <w:ilvl w:val="0"/>
          <w:numId w:val="5"/>
        </w:numPr>
        <w:pBdr>
          <w:top w:val="nil"/>
          <w:left w:val="nil"/>
          <w:bottom w:val="nil"/>
          <w:right w:val="nil"/>
          <w:between w:val="nil"/>
        </w:pBdr>
        <w:tabs>
          <w:tab w:val="left" w:pos="284"/>
        </w:tabs>
        <w:spacing w:line="360" w:lineRule="auto"/>
        <w:ind w:lef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Dispersión de la nómina del Organismo Público Descentralizado de Carácter Municipal para el Mantenimiento de Vialidades de Cuautitlán Izcalli (MAVICI) de la primera quincena de enero y la segunda quincena de noviembre de 2023, así como los estados de cuenta bancarios utilizados</w:t>
      </w:r>
    </w:p>
    <w:p w14:paraId="118894C3" w14:textId="77777777" w:rsidR="00215C5E" w:rsidRDefault="00215C5E">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sz w:val="22"/>
          <w:szCs w:val="22"/>
        </w:rPr>
      </w:pPr>
    </w:p>
    <w:p w14:paraId="3FBFBCE7" w14:textId="77777777" w:rsidR="00215C5E" w:rsidRDefault="001B7427">
      <w:pPr>
        <w:numPr>
          <w:ilvl w:val="0"/>
          <w:numId w:val="8"/>
        </w:numPr>
        <w:pBdr>
          <w:top w:val="nil"/>
          <w:left w:val="nil"/>
          <w:bottom w:val="nil"/>
          <w:right w:val="nil"/>
          <w:between w:val="nil"/>
        </w:pBdr>
        <w:spacing w:after="240" w:line="360" w:lineRule="auto"/>
        <w:ind w:left="0" w:firstLine="0"/>
        <w:jc w:val="both"/>
        <w:rPr>
          <w:color w:val="000000"/>
        </w:rPr>
      </w:pPr>
      <w:r>
        <w:rPr>
          <w:rFonts w:ascii="Palatino Linotype" w:eastAsia="Palatino Linotype" w:hAnsi="Palatino Linotype" w:cs="Palatino Linotype"/>
          <w:color w:val="000000"/>
          <w:sz w:val="24"/>
          <w:szCs w:val="24"/>
        </w:rPr>
        <w:t>El Sujeto Obligado refirió que no existe la obligación de generar documentos ad hoc, además de que la información pública de oficio puede ser consultada en la página del IPOMEX, remitiendo la dirección electrónica correspondiente.</w:t>
      </w:r>
    </w:p>
    <w:p w14:paraId="39BECF5F" w14:textId="77777777" w:rsidR="00215C5E" w:rsidRDefault="001B7427">
      <w:pPr>
        <w:numPr>
          <w:ilvl w:val="0"/>
          <w:numId w:val="8"/>
        </w:numPr>
        <w:tabs>
          <w:tab w:val="left" w:pos="284"/>
        </w:tabs>
        <w:spacing w:before="240" w:line="360" w:lineRule="auto"/>
        <w:ind w:left="0" w:firstLine="0"/>
        <w:jc w:val="both"/>
      </w:pPr>
      <w:r>
        <w:rPr>
          <w:rFonts w:ascii="Palatino Linotype" w:eastAsia="Palatino Linotype" w:hAnsi="Palatino Linotype" w:cs="Palatino Linotype"/>
          <w:sz w:val="24"/>
          <w:szCs w:val="24"/>
        </w:rPr>
        <w:t>El Recurrente se inconformó por la negativa de la información.</w:t>
      </w:r>
    </w:p>
    <w:p w14:paraId="6826471A" w14:textId="77777777" w:rsidR="00215C5E" w:rsidRDefault="00215C5E">
      <w:pPr>
        <w:tabs>
          <w:tab w:val="left" w:pos="284"/>
        </w:tabs>
        <w:spacing w:line="360" w:lineRule="auto"/>
        <w:jc w:val="both"/>
        <w:rPr>
          <w:rFonts w:ascii="Palatino Linotype" w:eastAsia="Palatino Linotype" w:hAnsi="Palatino Linotype" w:cs="Palatino Linotype"/>
          <w:sz w:val="24"/>
          <w:szCs w:val="24"/>
        </w:rPr>
      </w:pPr>
    </w:p>
    <w:p w14:paraId="1F829740" w14:textId="77777777" w:rsidR="00215C5E" w:rsidRDefault="001B7427">
      <w:pPr>
        <w:numPr>
          <w:ilvl w:val="0"/>
          <w:numId w:val="8"/>
        </w:numPr>
        <w:tabs>
          <w:tab w:val="left" w:pos="284"/>
        </w:tabs>
        <w:spacing w:line="360" w:lineRule="auto"/>
        <w:ind w:left="0" w:firstLine="0"/>
        <w:jc w:val="both"/>
      </w:pPr>
      <w:r>
        <w:rPr>
          <w:rFonts w:ascii="Palatino Linotype" w:eastAsia="Palatino Linotype" w:hAnsi="Palatino Linotype" w:cs="Palatino Linotype"/>
          <w:sz w:val="24"/>
          <w:szCs w:val="24"/>
        </w:rPr>
        <w:t>Por lo tanto, el presente recurso de revisión se circunscribe en determinar si se actualiza las causales de procedencia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contenidas en el artículo 179 fracciones I, relativo </w:t>
      </w:r>
      <w:r>
        <w:rPr>
          <w:rFonts w:ascii="Palatino Linotype" w:eastAsia="Palatino Linotype" w:hAnsi="Palatino Linotype" w:cs="Palatino Linotype"/>
          <w:sz w:val="24"/>
          <w:szCs w:val="24"/>
        </w:rPr>
        <w:lastRenderedPageBreak/>
        <w:t xml:space="preserve">a la negativa de la información, de la </w:t>
      </w:r>
      <w:r>
        <w:rPr>
          <w:rFonts w:ascii="Palatino Linotype" w:eastAsia="Palatino Linotype" w:hAnsi="Palatino Linotype" w:cs="Palatino Linotype"/>
          <w:b/>
          <w:sz w:val="24"/>
          <w:szCs w:val="24"/>
        </w:rPr>
        <w:t>Ley de Transparencia y Acceso a la Información Pública del Estado de México y Municipios</w:t>
      </w:r>
      <w:r>
        <w:rPr>
          <w:rFonts w:ascii="Palatino Linotype" w:eastAsia="Palatino Linotype" w:hAnsi="Palatino Linotype" w:cs="Palatino Linotype"/>
          <w:sz w:val="24"/>
          <w:szCs w:val="24"/>
        </w:rPr>
        <w:t>.</w:t>
      </w:r>
    </w:p>
    <w:p w14:paraId="6FF12DD1" w14:textId="77777777" w:rsidR="00215C5E" w:rsidRDefault="00215C5E">
      <w:pPr>
        <w:tabs>
          <w:tab w:val="left" w:pos="426"/>
        </w:tabs>
        <w:spacing w:line="360" w:lineRule="auto"/>
        <w:ind w:left="567" w:right="616"/>
        <w:jc w:val="both"/>
        <w:rPr>
          <w:rFonts w:ascii="Palatino Linotype" w:eastAsia="Palatino Linotype" w:hAnsi="Palatino Linotype" w:cs="Palatino Linotype"/>
          <w:i/>
          <w:color w:val="000000"/>
          <w:sz w:val="24"/>
          <w:szCs w:val="24"/>
        </w:rPr>
      </w:pPr>
    </w:p>
    <w:p w14:paraId="12779447" w14:textId="77777777" w:rsidR="00215C5E" w:rsidRDefault="001B7427">
      <w:pPr>
        <w:pStyle w:val="Ttulo2"/>
        <w:tabs>
          <w:tab w:val="left" w:pos="426"/>
        </w:tabs>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CUARTO. Estudio y Resolución del asunto.</w:t>
      </w:r>
    </w:p>
    <w:p w14:paraId="10802A42" w14:textId="77777777" w:rsidR="00215C5E" w:rsidRDefault="001B7427">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I. De la atención a la solicitud de información.</w:t>
      </w:r>
    </w:p>
    <w:p w14:paraId="1FE1DDE0" w14:textId="77777777" w:rsidR="00215C5E" w:rsidRDefault="001B7427">
      <w:pPr>
        <w:pStyle w:val="Ttulo2"/>
        <w:numPr>
          <w:ilvl w:val="1"/>
          <w:numId w:val="8"/>
        </w:numPr>
        <w:spacing w:line="259" w:lineRule="auto"/>
        <w:ind w:left="993" w:hanging="360"/>
        <w:rPr>
          <w:rFonts w:ascii="Palatino Linotype" w:eastAsia="Palatino Linotype" w:hAnsi="Palatino Linotype" w:cs="Palatino Linotype"/>
          <w:b/>
          <w:color w:val="000000"/>
        </w:rPr>
      </w:pPr>
      <w:bookmarkStart w:id="8" w:name="_heading=h.4d34og8" w:colFirst="0" w:colLast="0"/>
      <w:bookmarkEnd w:id="8"/>
      <w:r>
        <w:rPr>
          <w:rFonts w:ascii="Palatino Linotype" w:eastAsia="Palatino Linotype" w:hAnsi="Palatino Linotype" w:cs="Palatino Linotype"/>
          <w:b/>
          <w:color w:val="000000"/>
          <w:sz w:val="24"/>
          <w:szCs w:val="24"/>
        </w:rPr>
        <w:t>De la fuente obligacional</w:t>
      </w:r>
    </w:p>
    <w:p w14:paraId="3709A12F" w14:textId="77777777" w:rsidR="00215C5E" w:rsidRDefault="001B7427">
      <w:pPr>
        <w:numPr>
          <w:ilvl w:val="0"/>
          <w:numId w:val="8"/>
        </w:numPr>
        <w:spacing w:line="360" w:lineRule="auto"/>
        <w:ind w:left="0" w:right="34" w:firstLine="0"/>
        <w:jc w:val="both"/>
      </w:pPr>
      <w:r>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Pr>
          <w:rFonts w:ascii="Palatino Linotype" w:eastAsia="Palatino Linotype" w:hAnsi="Palatino Linotype" w:cs="Palatino Linotype"/>
          <w:b/>
          <w:color w:val="000000"/>
          <w:sz w:val="24"/>
          <w:szCs w:val="24"/>
        </w:rPr>
        <w:t xml:space="preserve">Constitución Política de los Estados Unidos Mexicanos </w:t>
      </w:r>
      <w:r>
        <w:rPr>
          <w:rFonts w:ascii="Palatino Linotype" w:eastAsia="Palatino Linotype" w:hAnsi="Palatino Linotype" w:cs="Palatino Linotype"/>
          <w:color w:val="000000"/>
          <w:sz w:val="24"/>
          <w:szCs w:val="24"/>
        </w:rPr>
        <w:t xml:space="preserve">al señalar la obligación de “promover, </w:t>
      </w:r>
      <w:r>
        <w:rPr>
          <w:rFonts w:ascii="Palatino Linotype" w:eastAsia="Palatino Linotype" w:hAnsi="Palatino Linotype" w:cs="Palatino Linotype"/>
          <w:b/>
          <w:color w:val="000000"/>
          <w:sz w:val="24"/>
          <w:szCs w:val="24"/>
        </w:rPr>
        <w:t>respetar</w:t>
      </w:r>
      <w:r>
        <w:rPr>
          <w:rFonts w:ascii="Palatino Linotype" w:eastAsia="Palatino Linotype" w:hAnsi="Palatino Linotype" w:cs="Palatino Linotype"/>
          <w:color w:val="000000"/>
          <w:sz w:val="24"/>
          <w:szCs w:val="24"/>
        </w:rPr>
        <w:t xml:space="preserve">, proteger y </w:t>
      </w:r>
      <w:r>
        <w:rPr>
          <w:rFonts w:ascii="Palatino Linotype" w:eastAsia="Palatino Linotype" w:hAnsi="Palatino Linotype" w:cs="Palatino Linotype"/>
          <w:b/>
          <w:color w:val="000000"/>
          <w:sz w:val="24"/>
          <w:szCs w:val="24"/>
        </w:rPr>
        <w:t>garantizar</w:t>
      </w:r>
      <w:r>
        <w:rPr>
          <w:rFonts w:ascii="Palatino Linotype" w:eastAsia="Palatino Linotype" w:hAnsi="Palatino Linotype" w:cs="Palatino Linotype"/>
          <w:color w:val="000000"/>
          <w:sz w:val="24"/>
          <w:szCs w:val="24"/>
        </w:rPr>
        <w:t xml:space="preserve"> los derechos humanos”, entre los cuales se encuentra dicho derecho. </w:t>
      </w:r>
    </w:p>
    <w:p w14:paraId="07795481" w14:textId="77777777" w:rsidR="00215C5E" w:rsidRDefault="00215C5E">
      <w:pPr>
        <w:tabs>
          <w:tab w:val="left" w:pos="284"/>
        </w:tabs>
        <w:spacing w:line="360" w:lineRule="auto"/>
        <w:ind w:right="49"/>
        <w:jc w:val="both"/>
        <w:rPr>
          <w:rFonts w:ascii="Palatino Linotype" w:eastAsia="Palatino Linotype" w:hAnsi="Palatino Linotype" w:cs="Palatino Linotype"/>
          <w:color w:val="000000"/>
          <w:sz w:val="24"/>
          <w:szCs w:val="24"/>
        </w:rPr>
      </w:pPr>
    </w:p>
    <w:p w14:paraId="54AB96D4" w14:textId="77777777" w:rsidR="00215C5E" w:rsidRDefault="001B7427">
      <w:pPr>
        <w:numPr>
          <w:ilvl w:val="0"/>
          <w:numId w:val="8"/>
        </w:numPr>
        <w:tabs>
          <w:tab w:val="left" w:pos="284"/>
        </w:tabs>
        <w:spacing w:line="360" w:lineRule="auto"/>
        <w:ind w:left="0" w:firstLine="0"/>
        <w:jc w:val="both"/>
      </w:pPr>
      <w:r>
        <w:rPr>
          <w:rFonts w:ascii="Palatino Linotype" w:eastAsia="Palatino Linotype" w:hAnsi="Palatino Linotype" w:cs="Palatino Linotype"/>
          <w:sz w:val="24"/>
          <w:szCs w:val="24"/>
        </w:rPr>
        <w:t xml:space="preserve">Definiendo el Derecho de Acceso a la Información Pública como: </w:t>
      </w:r>
      <w:r>
        <w:rPr>
          <w:rFonts w:ascii="Palatino Linotype" w:eastAsia="Palatino Linotype" w:hAnsi="Palatino Linotype" w:cs="Palatino Linotype"/>
          <w:i/>
          <w:color w:val="000000"/>
          <w:sz w:val="24"/>
          <w:szCs w:val="24"/>
        </w:rPr>
        <w:t>La igualdad de oportunidades para recibir, buscar e impartir información</w:t>
      </w:r>
      <w:r>
        <w:rPr>
          <w:rFonts w:ascii="Palatino Linotype" w:eastAsia="Palatino Linotype" w:hAnsi="Palatino Linotype" w:cs="Palatino Linotype"/>
          <w:i/>
          <w:color w:val="000000"/>
          <w:sz w:val="24"/>
          <w:szCs w:val="24"/>
          <w:vertAlign w:val="superscript"/>
        </w:rPr>
        <w:footnoteReference w:id="1"/>
      </w:r>
      <w:r>
        <w:rPr>
          <w:rFonts w:ascii="Palatino Linotype" w:eastAsia="Palatino Linotype" w:hAnsi="Palatino Linotype" w:cs="Palatino Linotype"/>
          <w:i/>
          <w:color w:val="000000"/>
          <w:sz w:val="24"/>
          <w:szCs w:val="24"/>
        </w:rPr>
        <w:t xml:space="preserve">en posesión de cualquier autoridad, entidad, órgano y organismo de los poderes Ejecutivo, Legislativo y Judicial, órganos </w:t>
      </w:r>
      <w:r>
        <w:rPr>
          <w:rFonts w:ascii="Palatino Linotype" w:eastAsia="Palatino Linotype" w:hAnsi="Palatino Linotype" w:cs="Palatino Linotype"/>
          <w:i/>
          <w:color w:val="000000"/>
          <w:sz w:val="24"/>
          <w:szCs w:val="24"/>
        </w:rPr>
        <w:lastRenderedPageBreak/>
        <w:t>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color w:val="000000"/>
          <w:sz w:val="24"/>
          <w:szCs w:val="24"/>
          <w:vertAlign w:val="superscript"/>
        </w:rPr>
        <w:footnoteReference w:id="2"/>
      </w:r>
      <w:r>
        <w:rPr>
          <w:rFonts w:ascii="Palatino Linotype" w:eastAsia="Palatino Linotype" w:hAnsi="Palatino Linotype" w:cs="Palatino Linotype"/>
          <w:color w:val="000000"/>
          <w:sz w:val="24"/>
          <w:szCs w:val="24"/>
        </w:rPr>
        <w:t>que se constituye como una herramienta fundamental para ejercer</w:t>
      </w:r>
      <w:r>
        <w:rPr>
          <w:rFonts w:ascii="Palatino Linotype" w:eastAsia="Palatino Linotype" w:hAnsi="Palatino Linotype" w:cs="Palatino Linotype"/>
          <w:i/>
          <w:color w:val="000000"/>
          <w:sz w:val="24"/>
          <w:szCs w:val="24"/>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color w:val="000000"/>
          <w:sz w:val="24"/>
          <w:szCs w:val="24"/>
          <w:vertAlign w:val="superscript"/>
        </w:rPr>
        <w:footnoteReference w:id="3"/>
      </w:r>
      <w:r>
        <w:rPr>
          <w:rFonts w:ascii="Palatino Linotype" w:eastAsia="Palatino Linotype" w:hAnsi="Palatino Linotype" w:cs="Palatino Linotype"/>
          <w:color w:val="000000"/>
          <w:sz w:val="24"/>
          <w:szCs w:val="24"/>
        </w:rPr>
        <w:t>fomentando</w:t>
      </w:r>
      <w:r>
        <w:rPr>
          <w:rFonts w:ascii="Palatino Linotype" w:eastAsia="Palatino Linotype" w:hAnsi="Palatino Linotype" w:cs="Palatino Linotype"/>
          <w:i/>
          <w:color w:val="000000"/>
          <w:sz w:val="24"/>
          <w:szCs w:val="24"/>
        </w:rPr>
        <w:t xml:space="preserve"> la transparencia de las actividades estatales y </w:t>
      </w:r>
      <w:r>
        <w:rPr>
          <w:rFonts w:ascii="Palatino Linotype" w:eastAsia="Palatino Linotype" w:hAnsi="Palatino Linotype" w:cs="Palatino Linotype"/>
          <w:color w:val="000000"/>
          <w:sz w:val="24"/>
          <w:szCs w:val="24"/>
        </w:rPr>
        <w:t>promoviendo</w:t>
      </w:r>
      <w:r>
        <w:rPr>
          <w:rFonts w:ascii="Palatino Linotype" w:eastAsia="Palatino Linotype" w:hAnsi="Palatino Linotype" w:cs="Palatino Linotype"/>
          <w:i/>
          <w:color w:val="000000"/>
          <w:sz w:val="24"/>
          <w:szCs w:val="24"/>
        </w:rPr>
        <w:t xml:space="preserve"> la responsabilidad de los funcionarios sobre su gestión pública,</w:t>
      </w:r>
      <w:r>
        <w:rPr>
          <w:rFonts w:ascii="Palatino Linotype" w:eastAsia="Palatino Linotype" w:hAnsi="Palatino Linotype" w:cs="Palatino Linotype"/>
          <w:i/>
          <w:color w:val="000000"/>
          <w:sz w:val="24"/>
          <w:szCs w:val="24"/>
          <w:vertAlign w:val="superscript"/>
        </w:rPr>
        <w:footnoteReference w:id="4"/>
      </w:r>
      <w:r>
        <w:rPr>
          <w:rFonts w:ascii="Palatino Linotype" w:eastAsia="Palatino Linotype" w:hAnsi="Palatino Linotype" w:cs="Palatino Linotype"/>
          <w:color w:val="000000"/>
          <w:sz w:val="24"/>
          <w:szCs w:val="24"/>
        </w:rPr>
        <w:t>que permite</w:t>
      </w:r>
      <w:r>
        <w:rPr>
          <w:rFonts w:ascii="Palatino Linotype" w:eastAsia="Palatino Linotype" w:hAnsi="Palatino Linotype" w:cs="Palatino Linotype"/>
          <w:i/>
          <w:color w:val="000000"/>
          <w:sz w:val="24"/>
          <w:szCs w:val="24"/>
        </w:rPr>
        <w:t xml:space="preserve"> saber qué están haciendo los gobiernos por sus pueblos, sin lo cual la verdad languidecería y la participación en el gobierno permanecería fragmentada.</w:t>
      </w:r>
    </w:p>
    <w:p w14:paraId="55C6252C" w14:textId="77777777" w:rsidR="00215C5E" w:rsidRDefault="00215C5E">
      <w:pPr>
        <w:tabs>
          <w:tab w:val="left" w:pos="284"/>
        </w:tabs>
        <w:rPr>
          <w:rFonts w:ascii="Palatino Linotype" w:eastAsia="Palatino Linotype" w:hAnsi="Palatino Linotype" w:cs="Palatino Linotype"/>
          <w:sz w:val="24"/>
          <w:szCs w:val="24"/>
        </w:rPr>
      </w:pPr>
    </w:p>
    <w:p w14:paraId="2D8CE0E0" w14:textId="77777777" w:rsidR="00215C5E" w:rsidRDefault="001B7427">
      <w:pPr>
        <w:numPr>
          <w:ilvl w:val="0"/>
          <w:numId w:val="8"/>
        </w:numPr>
        <w:tabs>
          <w:tab w:val="left" w:pos="284"/>
        </w:tabs>
        <w:spacing w:line="360" w:lineRule="auto"/>
        <w:ind w:left="0" w:firstLine="0"/>
        <w:jc w:val="both"/>
      </w:pPr>
      <w:r>
        <w:rPr>
          <w:rFonts w:ascii="Palatino Linotype" w:eastAsia="Palatino Linotype" w:hAnsi="Palatino Linotype" w:cs="Palatino Linotype"/>
          <w:sz w:val="24"/>
          <w:szCs w:val="24"/>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109BCDB1" w14:textId="77777777" w:rsidR="00215C5E" w:rsidRDefault="001B7427">
      <w:pPr>
        <w:tabs>
          <w:tab w:val="left" w:pos="284"/>
        </w:tabs>
        <w:spacing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 </w:t>
      </w:r>
    </w:p>
    <w:p w14:paraId="442EAA62" w14:textId="77777777" w:rsidR="00215C5E" w:rsidRDefault="001B7427">
      <w:pPr>
        <w:numPr>
          <w:ilvl w:val="0"/>
          <w:numId w:val="8"/>
        </w:numPr>
        <w:tabs>
          <w:tab w:val="left" w:pos="284"/>
        </w:tabs>
        <w:spacing w:line="360" w:lineRule="auto"/>
        <w:ind w:left="0" w:firstLine="0"/>
        <w:jc w:val="both"/>
      </w:pPr>
      <w:r>
        <w:rPr>
          <w:rFonts w:ascii="Palatino Linotype" w:eastAsia="Palatino Linotype" w:hAnsi="Palatino Linotype" w:cs="Palatino Linotype"/>
          <w:sz w:val="24"/>
          <w:szCs w:val="24"/>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Pr>
          <w:rFonts w:ascii="Palatino Linotype" w:eastAsia="Palatino Linotype" w:hAnsi="Palatino Linotype" w:cs="Palatino Linotype"/>
          <w:i/>
          <w:sz w:val="24"/>
          <w:szCs w:val="24"/>
        </w:rPr>
        <w:t xml:space="preserve">por los principios de simplicidad, rapidez gratuidad del procedimiento, auxilio y orientación a </w:t>
      </w:r>
      <w:r>
        <w:rPr>
          <w:rFonts w:ascii="Palatino Linotype" w:eastAsia="Palatino Linotype" w:hAnsi="Palatino Linotype" w:cs="Palatino Linotype"/>
          <w:i/>
          <w:sz w:val="24"/>
          <w:szCs w:val="24"/>
        </w:rPr>
        <w:lastRenderedPageBreak/>
        <w:t>los particulares</w:t>
      </w:r>
      <w:r>
        <w:rPr>
          <w:rFonts w:ascii="Palatino Linotype" w:eastAsia="Palatino Linotype" w:hAnsi="Palatino Linotype" w:cs="Palatino Linotype"/>
          <w:sz w:val="24"/>
          <w:szCs w:val="24"/>
        </w:rPr>
        <w:t xml:space="preserve">, contemplando el derecho de las personas con discapacidad y hablantes de lengua indígena. </w:t>
      </w:r>
    </w:p>
    <w:p w14:paraId="4D4B5C73" w14:textId="77777777" w:rsidR="00215C5E" w:rsidRDefault="00215C5E">
      <w:pPr>
        <w:tabs>
          <w:tab w:val="left" w:pos="284"/>
        </w:tabs>
        <w:spacing w:line="360" w:lineRule="auto"/>
        <w:jc w:val="both"/>
        <w:rPr>
          <w:rFonts w:ascii="Palatino Linotype" w:eastAsia="Palatino Linotype" w:hAnsi="Palatino Linotype" w:cs="Palatino Linotype"/>
          <w:sz w:val="24"/>
          <w:szCs w:val="24"/>
        </w:rPr>
      </w:pPr>
    </w:p>
    <w:p w14:paraId="5F26825D" w14:textId="77777777" w:rsidR="00215C5E" w:rsidRDefault="001B7427">
      <w:pPr>
        <w:numPr>
          <w:ilvl w:val="0"/>
          <w:numId w:val="8"/>
        </w:numPr>
        <w:tabs>
          <w:tab w:val="left" w:pos="284"/>
        </w:tabs>
        <w:spacing w:line="360" w:lineRule="auto"/>
        <w:ind w:left="0" w:firstLine="0"/>
        <w:jc w:val="both"/>
      </w:pPr>
      <w:r>
        <w:rPr>
          <w:rFonts w:ascii="Palatino Linotype" w:eastAsia="Palatino Linotype" w:hAnsi="Palatino Linotype" w:cs="Palatino Linotype"/>
          <w:sz w:val="24"/>
          <w:szCs w:val="24"/>
        </w:rPr>
        <w:t xml:space="preserve">Es así que la </w:t>
      </w:r>
      <w:r>
        <w:rPr>
          <w:rFonts w:ascii="Palatino Linotype" w:eastAsia="Palatino Linotype" w:hAnsi="Palatino Linotype" w:cs="Palatino Linotype"/>
          <w:b/>
          <w:sz w:val="24"/>
          <w:szCs w:val="24"/>
        </w:rPr>
        <w:t xml:space="preserve">Ley de Transparencia y Acceso a la Información Pública del Estado de México y Municipios, </w:t>
      </w:r>
      <w:r>
        <w:rPr>
          <w:rFonts w:ascii="Palatino Linotype" w:eastAsia="Palatino Linotype" w:hAnsi="Palatino Linotype" w:cs="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establece que </w:t>
      </w:r>
      <w:r>
        <w:rPr>
          <w:rFonts w:ascii="Palatino Linotype" w:eastAsia="Palatino Linotype" w:hAnsi="Palatino Linotype" w:cs="Palatino Linotype"/>
          <w:b/>
          <w:i/>
          <w:sz w:val="24"/>
          <w:szCs w:val="24"/>
          <w:u w:val="single"/>
        </w:rPr>
        <w:t>el recurso de revisión es la garantía secundaria</w:t>
      </w:r>
      <w:r>
        <w:rPr>
          <w:rFonts w:ascii="Palatino Linotype" w:eastAsia="Palatino Linotype" w:hAnsi="Palatino Linotype" w:cs="Palatino Linotype"/>
          <w:b/>
          <w:i/>
          <w:sz w:val="24"/>
          <w:szCs w:val="24"/>
        </w:rPr>
        <w:t xml:space="preserve"> mediante la cual se pretende reparar cualquier posible afectación al derecho de acceso a la información pública</w:t>
      </w:r>
      <w:r>
        <w:rPr>
          <w:rFonts w:ascii="Palatino Linotype" w:eastAsia="Palatino Linotype" w:hAnsi="Palatino Linotype" w:cs="Palatino Linotype"/>
          <w:b/>
          <w:sz w:val="24"/>
          <w:szCs w:val="24"/>
        </w:rPr>
        <w:t>, s</w:t>
      </w:r>
      <w:r>
        <w:rPr>
          <w:rFonts w:ascii="Palatino Linotype" w:eastAsia="Palatino Linotype" w:hAnsi="Palatino Linotype" w:cs="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63641AC6" w14:textId="77777777" w:rsidR="00215C5E" w:rsidRDefault="00215C5E">
      <w:pPr>
        <w:tabs>
          <w:tab w:val="left" w:pos="284"/>
        </w:tabs>
        <w:rPr>
          <w:rFonts w:ascii="Palatino Linotype" w:eastAsia="Palatino Linotype" w:hAnsi="Palatino Linotype" w:cs="Palatino Linotype"/>
          <w:sz w:val="24"/>
          <w:szCs w:val="24"/>
        </w:rPr>
      </w:pPr>
    </w:p>
    <w:p w14:paraId="12641AD7" w14:textId="77777777" w:rsidR="00215C5E" w:rsidRDefault="001B7427">
      <w:pPr>
        <w:numPr>
          <w:ilvl w:val="0"/>
          <w:numId w:val="8"/>
        </w:numPr>
        <w:tabs>
          <w:tab w:val="left" w:pos="284"/>
        </w:tabs>
        <w:spacing w:after="240" w:line="360" w:lineRule="auto"/>
        <w:ind w:left="0" w:firstLine="0"/>
        <w:jc w:val="both"/>
      </w:pPr>
      <w:r>
        <w:rPr>
          <w:rFonts w:ascii="Palatino Linotype" w:eastAsia="Palatino Linotype" w:hAnsi="Palatino Linotype" w:cs="Palatino Linotype"/>
          <w:sz w:val="24"/>
          <w:szCs w:val="24"/>
        </w:rPr>
        <w:t xml:space="preserve">Establecido lo anterior, resulta evidente que las razones o motivos de inconformidad hechos valer en el recurso de revisión resultan </w:t>
      </w:r>
      <w:r>
        <w:rPr>
          <w:rFonts w:ascii="Palatino Linotype" w:eastAsia="Palatino Linotype" w:hAnsi="Palatino Linotype" w:cs="Palatino Linotype"/>
          <w:b/>
          <w:sz w:val="24"/>
          <w:szCs w:val="24"/>
        </w:rPr>
        <w:t>fundadas y procedentes</w:t>
      </w:r>
      <w:r>
        <w:rPr>
          <w:rFonts w:ascii="Palatino Linotype" w:eastAsia="Palatino Linotype" w:hAnsi="Palatino Linotype" w:cs="Palatino Linotype"/>
          <w:sz w:val="24"/>
          <w:szCs w:val="24"/>
        </w:rPr>
        <w:t xml:space="preserve">, debido a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proporcionó información que no corresponde con lo solicitado.</w:t>
      </w:r>
    </w:p>
    <w:p w14:paraId="256655B7" w14:textId="77777777" w:rsidR="00215C5E" w:rsidRDefault="001B7427">
      <w:pPr>
        <w:numPr>
          <w:ilvl w:val="0"/>
          <w:numId w:val="8"/>
        </w:numPr>
        <w:pBdr>
          <w:top w:val="nil"/>
          <w:left w:val="nil"/>
          <w:bottom w:val="nil"/>
          <w:right w:val="nil"/>
          <w:between w:val="nil"/>
        </w:pBdr>
        <w:spacing w:before="240" w:line="360" w:lineRule="auto"/>
        <w:ind w:left="0" w:firstLine="0"/>
        <w:jc w:val="both"/>
        <w:rPr>
          <w:color w:val="000000"/>
        </w:rPr>
      </w:pPr>
      <w:r>
        <w:rPr>
          <w:rFonts w:ascii="Palatino Linotype" w:eastAsia="Palatino Linotype" w:hAnsi="Palatino Linotype" w:cs="Palatino Linotype"/>
          <w:color w:val="000000"/>
          <w:sz w:val="24"/>
          <w:szCs w:val="24"/>
        </w:rPr>
        <w:t xml:space="preserve">Ahora bien,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w:t>
      </w:r>
      <w:r>
        <w:rPr>
          <w:rFonts w:ascii="Palatino Linotype" w:eastAsia="Palatino Linotype" w:hAnsi="Palatino Linotype" w:cs="Palatino Linotype"/>
          <w:color w:val="000000"/>
          <w:sz w:val="24"/>
          <w:szCs w:val="24"/>
        </w:rPr>
        <w:lastRenderedPageBreak/>
        <w:t>Oficial del Gobierno del Estado Libre y Soberano de México “Gaceta del Gobierno” el diecinueve de octubre de dos mil once, cuyo rubro y texto dispone:</w:t>
      </w:r>
    </w:p>
    <w:p w14:paraId="61F31C61" w14:textId="77777777" w:rsidR="00215C5E" w:rsidRDefault="001B7427">
      <w:pPr>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“CRITERIO 0002-11</w:t>
      </w:r>
    </w:p>
    <w:p w14:paraId="46949958" w14:textId="77777777" w:rsidR="00215C5E" w:rsidRDefault="001B7427">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INFORMACIÓN PÚBLICA, CONCEPTO DE, EN MATERIA DE TRANSPARENCIA. INTERPRETACIÓN TEMÁTICA DE LOS ARTÍCULOS 2, FRACCIÓN V, XV, Y XVI, 3, 4,11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DCB9238" w14:textId="77777777" w:rsidR="00215C5E" w:rsidRDefault="001B7427">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15B5529A" w14:textId="77777777" w:rsidR="00215C5E" w:rsidRDefault="001B7427">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682E92C5" w14:textId="77777777" w:rsidR="00215C5E" w:rsidRDefault="001B7427">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5DC16B94" w14:textId="77777777" w:rsidR="00215C5E" w:rsidRDefault="001B7427">
      <w:pP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 encuentre en posesión de los Sujetos Obligados.”</w:t>
      </w:r>
    </w:p>
    <w:p w14:paraId="6048E8B3" w14:textId="77777777" w:rsidR="00215C5E" w:rsidRDefault="00215C5E">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4"/>
          <w:szCs w:val="24"/>
        </w:rPr>
      </w:pPr>
    </w:p>
    <w:p w14:paraId="6814165B" w14:textId="77777777" w:rsidR="00215C5E" w:rsidRDefault="001B7427">
      <w:pPr>
        <w:numPr>
          <w:ilvl w:val="0"/>
          <w:numId w:val="8"/>
        </w:numPr>
        <w:pBdr>
          <w:top w:val="nil"/>
          <w:left w:val="nil"/>
          <w:bottom w:val="nil"/>
          <w:right w:val="nil"/>
          <w:between w:val="nil"/>
        </w:pBdr>
        <w:tabs>
          <w:tab w:val="left" w:pos="851"/>
        </w:tabs>
        <w:spacing w:after="240" w:line="360" w:lineRule="auto"/>
        <w:ind w:left="0" w:right="49" w:firstLine="0"/>
        <w:jc w:val="both"/>
        <w:rPr>
          <w:color w:val="000000"/>
        </w:rPr>
      </w:pPr>
      <w:r>
        <w:rPr>
          <w:rFonts w:ascii="Palatino Linotype" w:eastAsia="Palatino Linotype" w:hAnsi="Palatino Linotype" w:cs="Palatino Linotype"/>
          <w:color w:val="000000"/>
          <w:sz w:val="24"/>
          <w:szCs w:val="24"/>
        </w:rPr>
        <w:t>El derecho de acceso a la información encuentra su materia elemental en los documentos, y la Ley de Transparencia local nos brinda el siguiente concepto, para darnos un mejor panorama:</w:t>
      </w:r>
    </w:p>
    <w:p w14:paraId="65AAA082" w14:textId="77777777" w:rsidR="00215C5E" w:rsidRDefault="001B7427">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XI. Documento: </w:t>
      </w:r>
      <w:r>
        <w:rPr>
          <w:rFonts w:ascii="Palatino Linotype" w:eastAsia="Palatino Linotype" w:hAnsi="Palatino Linotype" w:cs="Palatino Linotype"/>
          <w:i/>
          <w:sz w:val="22"/>
          <w:szCs w:val="22"/>
        </w:rPr>
        <w:t xml:space="preserve">Los expedientes, reportes, estudios, actas, resoluciones, </w:t>
      </w:r>
      <w:r>
        <w:rPr>
          <w:rFonts w:ascii="Palatino Linotype" w:eastAsia="Palatino Linotype" w:hAnsi="Palatino Linotype" w:cs="Palatino Linotype"/>
          <w:b/>
          <w:i/>
          <w:sz w:val="22"/>
          <w:szCs w:val="22"/>
        </w:rPr>
        <w:t>oficios,</w:t>
      </w:r>
      <w:r>
        <w:rPr>
          <w:rFonts w:ascii="Palatino Linotype" w:eastAsia="Palatino Linotype" w:hAnsi="Palatino Linotype" w:cs="Palatino Linotype"/>
          <w:i/>
          <w:sz w:val="22"/>
          <w:szCs w:val="22"/>
        </w:rPr>
        <w:t xml:space="preserve"> correspondencia, acuerdos, directivas, directrices, circulares, contratos, convenios, instructivos, notas, memorandos, estadísticas o bien, </w:t>
      </w:r>
      <w:r>
        <w:rPr>
          <w:rFonts w:ascii="Palatino Linotype" w:eastAsia="Palatino Linotype" w:hAnsi="Palatino Linotype" w:cs="Palatino Linotype"/>
          <w:b/>
          <w:i/>
          <w:sz w:val="22"/>
          <w:szCs w:val="22"/>
        </w:rPr>
        <w:t>cualquier otro registro</w:t>
      </w:r>
      <w:r>
        <w:rPr>
          <w:rFonts w:ascii="Palatino Linotype" w:eastAsia="Palatino Linotype" w:hAnsi="Palatino Linotype" w:cs="Palatino Linotype"/>
          <w:i/>
          <w:sz w:val="22"/>
          <w:szCs w:val="22"/>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5DDC9A4E" w14:textId="77777777" w:rsidR="00215C5E" w:rsidRDefault="00215C5E">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4"/>
          <w:szCs w:val="24"/>
        </w:rPr>
      </w:pPr>
    </w:p>
    <w:p w14:paraId="73187E92" w14:textId="77777777" w:rsidR="00215C5E" w:rsidRDefault="001B7427">
      <w:pPr>
        <w:numPr>
          <w:ilvl w:val="0"/>
          <w:numId w:val="8"/>
        </w:numPr>
        <w:pBdr>
          <w:top w:val="nil"/>
          <w:left w:val="nil"/>
          <w:bottom w:val="nil"/>
          <w:right w:val="nil"/>
          <w:between w:val="nil"/>
        </w:pBdr>
        <w:tabs>
          <w:tab w:val="left" w:pos="851"/>
        </w:tabs>
        <w:spacing w:line="360" w:lineRule="auto"/>
        <w:ind w:left="0" w:right="49" w:firstLine="0"/>
        <w:jc w:val="both"/>
        <w:rPr>
          <w:color w:val="000000"/>
        </w:rPr>
      </w:pPr>
      <w:r>
        <w:rPr>
          <w:rFonts w:ascii="Palatino Linotype" w:eastAsia="Palatino Linotype" w:hAnsi="Palatino Linotype" w:cs="Palatino Linotype"/>
          <w:color w:val="000000"/>
          <w:sz w:val="24"/>
          <w:szCs w:val="24"/>
        </w:rPr>
        <w:lastRenderedPageBreak/>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0DBC97E2" w14:textId="77777777" w:rsidR="00215C5E" w:rsidRDefault="00215C5E">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171B81DC" w14:textId="77777777" w:rsidR="00215C5E" w:rsidRDefault="001B7427">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Pr>
          <w:rFonts w:ascii="Palatino Linotype" w:eastAsia="Palatino Linotype" w:hAnsi="Palatino Linotype" w:cs="Palatino Linotype"/>
          <w:b/>
          <w:color w:val="000000"/>
          <w:sz w:val="24"/>
          <w:szCs w:val="24"/>
        </w:rPr>
        <w:t>los Sujetos Obligados deberán documentar todo acto que se derive del ejercicio de sus facultades, competencias o funciones,</w:t>
      </w:r>
      <w:r>
        <w:rPr>
          <w:rFonts w:ascii="Palatino Linotype" w:eastAsia="Palatino Linotype" w:hAnsi="Palatino Linotype" w:cs="Palatino Linotype"/>
          <w:color w:val="000000"/>
          <w:sz w:val="24"/>
          <w:szCs w:val="24"/>
        </w:rPr>
        <w:t xml:space="preserve"> considerando desde su origen la eventual publicidad y reutilización de la información que generen, posean o administren.</w:t>
      </w:r>
    </w:p>
    <w:p w14:paraId="155196B6" w14:textId="77777777" w:rsidR="00215C5E" w:rsidRDefault="00215C5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760F8A06" w14:textId="77777777" w:rsidR="00215C5E" w:rsidRDefault="001B7427">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Además, debemos tomar en cuenta los artículos 4 y 12, de la Ley de Transparencia y Acceso a la Información Pública del Estado de México y Municipios, los cuales establecen lo siguiente:</w:t>
      </w:r>
    </w:p>
    <w:p w14:paraId="4D2EF413" w14:textId="77777777" w:rsidR="00215C5E" w:rsidRDefault="001B7427">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4. </w:t>
      </w:r>
      <w:r>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1D566C53" w14:textId="77777777" w:rsidR="00215C5E" w:rsidRDefault="00215C5E">
      <w:pPr>
        <w:ind w:left="567" w:right="567"/>
        <w:jc w:val="both"/>
        <w:rPr>
          <w:rFonts w:ascii="Palatino Linotype" w:eastAsia="Palatino Linotype" w:hAnsi="Palatino Linotype" w:cs="Palatino Linotype"/>
          <w:i/>
          <w:sz w:val="22"/>
          <w:szCs w:val="22"/>
        </w:rPr>
      </w:pPr>
    </w:p>
    <w:p w14:paraId="17866374" w14:textId="77777777" w:rsidR="00215C5E" w:rsidRDefault="001B7427">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w:t>
      </w:r>
      <w:r>
        <w:rPr>
          <w:rFonts w:ascii="Palatino Linotype" w:eastAsia="Palatino Linotype" w:hAnsi="Palatino Linotype" w:cs="Palatino Linotype"/>
          <w:i/>
          <w:sz w:val="22"/>
          <w:szCs w:val="22"/>
        </w:rPr>
        <w:lastRenderedPageBreak/>
        <w:t>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9A20E91" w14:textId="77777777" w:rsidR="00215C5E" w:rsidRDefault="00215C5E">
      <w:pPr>
        <w:ind w:left="567" w:right="567"/>
        <w:jc w:val="both"/>
        <w:rPr>
          <w:rFonts w:ascii="Palatino Linotype" w:eastAsia="Palatino Linotype" w:hAnsi="Palatino Linotype" w:cs="Palatino Linotype"/>
          <w:i/>
          <w:sz w:val="22"/>
          <w:szCs w:val="22"/>
        </w:rPr>
      </w:pPr>
    </w:p>
    <w:p w14:paraId="791597B4" w14:textId="77777777" w:rsidR="00215C5E" w:rsidRDefault="001B7427">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4C69DC16" w14:textId="77777777" w:rsidR="00215C5E" w:rsidRDefault="00215C5E">
      <w:pPr>
        <w:ind w:left="567" w:right="567"/>
        <w:jc w:val="both"/>
        <w:rPr>
          <w:rFonts w:ascii="Palatino Linotype" w:eastAsia="Palatino Linotype" w:hAnsi="Palatino Linotype" w:cs="Palatino Linotype"/>
          <w:i/>
          <w:color w:val="000000"/>
          <w:sz w:val="22"/>
          <w:szCs w:val="22"/>
        </w:rPr>
      </w:pPr>
    </w:p>
    <w:p w14:paraId="142D1009" w14:textId="77777777" w:rsidR="00215C5E" w:rsidRDefault="001B7427">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12. </w:t>
      </w:r>
      <w:r>
        <w:rPr>
          <w:rFonts w:ascii="Palatino Linotype" w:eastAsia="Palatino Linotype" w:hAnsi="Palatino Linotype" w:cs="Palatino Linotype"/>
          <w:i/>
          <w:sz w:val="22"/>
          <w:szCs w:val="22"/>
        </w:rPr>
        <w:t xml:space="preserve">Quienes generen, recopilen, administren, manejen, procesen, archiven o conserven información pública serán responsables de la misma en los términos de las disposiciones jurídicas aplicables. </w:t>
      </w:r>
    </w:p>
    <w:p w14:paraId="1FCCED28" w14:textId="77777777" w:rsidR="00215C5E" w:rsidRDefault="00215C5E">
      <w:pPr>
        <w:ind w:left="567" w:right="567"/>
        <w:jc w:val="both"/>
        <w:rPr>
          <w:rFonts w:ascii="Palatino Linotype" w:eastAsia="Palatino Linotype" w:hAnsi="Palatino Linotype" w:cs="Palatino Linotype"/>
          <w:i/>
          <w:sz w:val="22"/>
          <w:szCs w:val="22"/>
        </w:rPr>
      </w:pPr>
    </w:p>
    <w:p w14:paraId="13B2E0BD" w14:textId="77777777" w:rsidR="00215C5E" w:rsidRDefault="001B7427">
      <w:pPr>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w:t>
      </w:r>
      <w:r>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506477E5" w14:textId="77777777" w:rsidR="00215C5E" w:rsidRDefault="00215C5E">
      <w:pPr>
        <w:spacing w:line="360" w:lineRule="auto"/>
        <w:ind w:left="567" w:right="567"/>
        <w:jc w:val="both"/>
        <w:rPr>
          <w:rFonts w:ascii="Palatino Linotype" w:eastAsia="Palatino Linotype" w:hAnsi="Palatino Linotype" w:cs="Palatino Linotype"/>
          <w:i/>
          <w:sz w:val="24"/>
          <w:szCs w:val="24"/>
        </w:rPr>
      </w:pPr>
    </w:p>
    <w:p w14:paraId="39585FBD" w14:textId="77777777" w:rsidR="00215C5E" w:rsidRDefault="001B7427">
      <w:pPr>
        <w:numPr>
          <w:ilvl w:val="0"/>
          <w:numId w:val="8"/>
        </w:numPr>
        <w:pBdr>
          <w:top w:val="nil"/>
          <w:left w:val="nil"/>
          <w:bottom w:val="nil"/>
          <w:right w:val="nil"/>
          <w:between w:val="nil"/>
        </w:pBdr>
        <w:tabs>
          <w:tab w:val="left" w:pos="851"/>
        </w:tabs>
        <w:spacing w:line="360" w:lineRule="auto"/>
        <w:ind w:left="0" w:right="49" w:firstLine="0"/>
        <w:jc w:val="both"/>
        <w:rPr>
          <w:color w:val="000000"/>
        </w:rPr>
      </w:pPr>
      <w:r>
        <w:rPr>
          <w:rFonts w:ascii="Palatino Linotype" w:eastAsia="Palatino Linotype" w:hAnsi="Palatino Linotype" w:cs="Palatino Linotype"/>
          <w:color w:val="000000"/>
          <w:sz w:val="24"/>
          <w:szCs w:val="24"/>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Pr>
          <w:rFonts w:ascii="Palatino Linotype" w:eastAsia="Palatino Linotype" w:hAnsi="Palatino Linotype" w:cs="Palatino Linotype"/>
          <w:color w:val="000000"/>
          <w:sz w:val="24"/>
          <w:szCs w:val="24"/>
          <w:vertAlign w:val="superscript"/>
        </w:rPr>
        <w:footnoteReference w:id="5"/>
      </w:r>
      <w:r>
        <w:rPr>
          <w:rFonts w:ascii="Palatino Linotype" w:eastAsia="Palatino Linotype" w:hAnsi="Palatino Linotype" w:cs="Palatino Linotype"/>
          <w:color w:val="000000"/>
          <w:sz w:val="24"/>
          <w:szCs w:val="24"/>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0E5D9D72" w14:textId="77777777" w:rsidR="00215C5E" w:rsidRDefault="00215C5E">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4"/>
          <w:szCs w:val="24"/>
        </w:rPr>
      </w:pPr>
    </w:p>
    <w:p w14:paraId="386DD257" w14:textId="77777777" w:rsidR="00215C5E" w:rsidRDefault="001B7427">
      <w:pPr>
        <w:numPr>
          <w:ilvl w:val="0"/>
          <w:numId w:val="8"/>
        </w:numPr>
        <w:pBdr>
          <w:top w:val="nil"/>
          <w:left w:val="nil"/>
          <w:bottom w:val="nil"/>
          <w:right w:val="nil"/>
          <w:between w:val="nil"/>
        </w:pBdr>
        <w:tabs>
          <w:tab w:val="left" w:pos="851"/>
        </w:tabs>
        <w:spacing w:line="360" w:lineRule="auto"/>
        <w:ind w:left="0" w:right="49" w:firstLine="0"/>
        <w:jc w:val="both"/>
        <w:rPr>
          <w:color w:val="000000"/>
        </w:rPr>
      </w:pPr>
      <w:r>
        <w:rPr>
          <w:rFonts w:ascii="Palatino Linotype" w:eastAsia="Palatino Linotype" w:hAnsi="Palatino Linotype" w:cs="Palatino Linotype"/>
          <w:color w:val="000000"/>
          <w:sz w:val="24"/>
          <w:szCs w:val="24"/>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682B28B9" w14:textId="77777777" w:rsidR="00215C5E" w:rsidRDefault="001B7427">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5AC6283B" w14:textId="77777777" w:rsidR="00215C5E" w:rsidRDefault="00215C5E">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sz w:val="22"/>
          <w:szCs w:val="22"/>
        </w:rPr>
      </w:pPr>
    </w:p>
    <w:p w14:paraId="7F025644" w14:textId="77777777" w:rsidR="00215C5E" w:rsidRDefault="001B7427">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CUARTO TRIBUNAL COLEGIADO EN MATERIA ADMINISTRATIVA DEL PRIMER CIRCUITO. </w:t>
      </w:r>
    </w:p>
    <w:p w14:paraId="17B4720E" w14:textId="77777777" w:rsidR="00215C5E" w:rsidRDefault="00215C5E">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sz w:val="22"/>
          <w:szCs w:val="22"/>
        </w:rPr>
      </w:pPr>
    </w:p>
    <w:p w14:paraId="0088469A" w14:textId="77777777" w:rsidR="00215C5E" w:rsidRDefault="001B7427">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Amparo en revisión 257/2012. Ruth Corona Muñoz. 6 de diciembre de 2012. Unanimidad de votos. Ponente: Jean Claude Tron Petit. Secretaria: Mayra Susana Martínez López.</w:t>
      </w:r>
    </w:p>
    <w:p w14:paraId="07092850" w14:textId="77777777" w:rsidR="00215C5E" w:rsidRDefault="001B7427">
      <w:pPr>
        <w:numPr>
          <w:ilvl w:val="0"/>
          <w:numId w:val="8"/>
        </w:numPr>
        <w:pBdr>
          <w:top w:val="nil"/>
          <w:left w:val="nil"/>
          <w:bottom w:val="nil"/>
          <w:right w:val="nil"/>
          <w:between w:val="nil"/>
        </w:pBdr>
        <w:tabs>
          <w:tab w:val="left" w:pos="851"/>
        </w:tabs>
        <w:spacing w:line="360" w:lineRule="auto"/>
        <w:ind w:left="0" w:right="49" w:firstLine="0"/>
        <w:jc w:val="both"/>
        <w:rPr>
          <w:color w:val="000000"/>
        </w:rPr>
      </w:pPr>
      <w:r>
        <w:rPr>
          <w:rFonts w:ascii="Palatino Linotype" w:eastAsia="Palatino Linotype" w:hAnsi="Palatino Linotype" w:cs="Palatino Linotype"/>
          <w:color w:val="000000"/>
          <w:sz w:val="24"/>
          <w:szCs w:val="24"/>
        </w:rPr>
        <w:lastRenderedPageBreak/>
        <w:t xml:space="preserve">Como se ha señalado, los Sujetos Obligados deberán proporcionar toda la información que se encuentre en su posesión bajo los estándares más altos de transparencia y máxima publicidad. </w:t>
      </w:r>
    </w:p>
    <w:p w14:paraId="055C388B" w14:textId="77777777" w:rsidR="00215C5E" w:rsidRDefault="00215C5E">
      <w:pPr>
        <w:tabs>
          <w:tab w:val="left" w:pos="851"/>
        </w:tabs>
        <w:spacing w:line="360" w:lineRule="auto"/>
        <w:ind w:right="49"/>
        <w:jc w:val="both"/>
        <w:rPr>
          <w:rFonts w:ascii="Palatino Linotype" w:eastAsia="Palatino Linotype" w:hAnsi="Palatino Linotype" w:cs="Palatino Linotype"/>
          <w:sz w:val="24"/>
          <w:szCs w:val="24"/>
        </w:rPr>
      </w:pPr>
    </w:p>
    <w:p w14:paraId="3DF1E34E" w14:textId="77777777" w:rsidR="00215C5E" w:rsidRDefault="001B7427">
      <w:pPr>
        <w:numPr>
          <w:ilvl w:val="0"/>
          <w:numId w:val="8"/>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sz w:val="24"/>
          <w:szCs w:val="24"/>
        </w:rPr>
        <w:t>Es pertinente enfatizar lo que respecto al derecho de acceso a la información pública, refiere el artículo 6° de la Constitución Política de los Estados Unidos Mexicanos, que en su parte conducente señala:</w:t>
      </w:r>
    </w:p>
    <w:p w14:paraId="03AA0F61" w14:textId="77777777" w:rsidR="00215C5E" w:rsidRDefault="001B7427">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6o.</w:t>
      </w:r>
      <w:r>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Pr>
          <w:rFonts w:ascii="Palatino Linotype" w:eastAsia="Palatino Linotype" w:hAnsi="Palatino Linotype" w:cs="Palatino Linotype"/>
          <w:b/>
          <w:i/>
          <w:sz w:val="22"/>
          <w:szCs w:val="22"/>
        </w:rPr>
        <w:t>El derecho a la información será garantizado por el Estado.</w:t>
      </w:r>
      <w:r>
        <w:rPr>
          <w:rFonts w:ascii="Palatino Linotype" w:eastAsia="Palatino Linotype" w:hAnsi="Palatino Linotype" w:cs="Palatino Linotype"/>
          <w:i/>
          <w:sz w:val="22"/>
          <w:szCs w:val="22"/>
        </w:rPr>
        <w:t xml:space="preserve"> </w:t>
      </w:r>
    </w:p>
    <w:p w14:paraId="2E1CA48D" w14:textId="77777777" w:rsidR="00215C5E" w:rsidRDefault="00215C5E">
      <w:pPr>
        <w:ind w:left="567" w:right="567"/>
        <w:jc w:val="both"/>
        <w:rPr>
          <w:rFonts w:ascii="Palatino Linotype" w:eastAsia="Palatino Linotype" w:hAnsi="Palatino Linotype" w:cs="Palatino Linotype"/>
          <w:i/>
          <w:sz w:val="22"/>
          <w:szCs w:val="22"/>
        </w:rPr>
      </w:pPr>
    </w:p>
    <w:p w14:paraId="1BE1846D" w14:textId="77777777" w:rsidR="00215C5E" w:rsidRDefault="001B7427">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 persona tiene derecho al libre acceso a información plural y oportuna, así como a buscar, recibir y difundir información e ideas de toda índole por cualquier medio de expresión.</w:t>
      </w:r>
    </w:p>
    <w:p w14:paraId="35A1FCD9" w14:textId="77777777" w:rsidR="00215C5E" w:rsidRDefault="00215C5E">
      <w:pPr>
        <w:ind w:left="567" w:right="567"/>
        <w:jc w:val="both"/>
        <w:rPr>
          <w:rFonts w:ascii="Palatino Linotype" w:eastAsia="Palatino Linotype" w:hAnsi="Palatino Linotype" w:cs="Palatino Linotype"/>
          <w:i/>
          <w:sz w:val="22"/>
          <w:szCs w:val="22"/>
        </w:rPr>
      </w:pPr>
    </w:p>
    <w:p w14:paraId="226DF3F7" w14:textId="77777777" w:rsidR="00215C5E" w:rsidRDefault="001B7427">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14:paraId="6F350A1E" w14:textId="77777777" w:rsidR="00215C5E" w:rsidRDefault="00215C5E">
      <w:pPr>
        <w:ind w:left="567" w:right="567"/>
        <w:jc w:val="both"/>
        <w:rPr>
          <w:rFonts w:ascii="Palatino Linotype" w:eastAsia="Palatino Linotype" w:hAnsi="Palatino Linotype" w:cs="Palatino Linotype"/>
          <w:i/>
          <w:sz w:val="22"/>
          <w:szCs w:val="22"/>
        </w:rPr>
      </w:pPr>
    </w:p>
    <w:p w14:paraId="60D2145C" w14:textId="77777777" w:rsidR="00215C5E" w:rsidRDefault="001B7427">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14:paraId="76640A2D" w14:textId="77777777" w:rsidR="00215C5E" w:rsidRDefault="00215C5E">
      <w:pPr>
        <w:ind w:left="567" w:right="567"/>
        <w:jc w:val="both"/>
        <w:rPr>
          <w:rFonts w:ascii="Palatino Linotype" w:eastAsia="Palatino Linotype" w:hAnsi="Palatino Linotype" w:cs="Palatino Linotype"/>
          <w:b/>
          <w:i/>
          <w:sz w:val="22"/>
          <w:szCs w:val="22"/>
        </w:rPr>
      </w:pPr>
    </w:p>
    <w:p w14:paraId="76E74ABE" w14:textId="77777777" w:rsidR="00215C5E" w:rsidRDefault="001B7427">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Toda la información en posesión de</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cualquier 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En la interpretación de este derecho deberá prevalecer el principio de máxima publicidad. </w:t>
      </w:r>
      <w:r>
        <w:rPr>
          <w:rFonts w:ascii="Palatino Linotype" w:eastAsia="Palatino Linotype" w:hAnsi="Palatino Linotype" w:cs="Palatino Linotype"/>
          <w:b/>
          <w:i/>
          <w:sz w:val="22"/>
          <w:szCs w:val="22"/>
        </w:rPr>
        <w:t xml:space="preserve">Los sujetos obligados deberán documentar todo acto que derive del ejercicio de sus </w:t>
      </w:r>
      <w:r>
        <w:rPr>
          <w:rFonts w:ascii="Palatino Linotype" w:eastAsia="Palatino Linotype" w:hAnsi="Palatino Linotype" w:cs="Palatino Linotype"/>
          <w:b/>
          <w:i/>
          <w:sz w:val="22"/>
          <w:szCs w:val="22"/>
        </w:rPr>
        <w:lastRenderedPageBreak/>
        <w:t>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222B5888" w14:textId="77777777" w:rsidR="00215C5E" w:rsidRDefault="00215C5E">
      <w:pPr>
        <w:ind w:left="567" w:right="567"/>
        <w:jc w:val="both"/>
        <w:rPr>
          <w:rFonts w:ascii="Palatino Linotype" w:eastAsia="Palatino Linotype" w:hAnsi="Palatino Linotype" w:cs="Palatino Linotype"/>
          <w:i/>
          <w:sz w:val="22"/>
          <w:szCs w:val="22"/>
        </w:rPr>
      </w:pPr>
    </w:p>
    <w:p w14:paraId="73F01678" w14:textId="77777777" w:rsidR="00215C5E" w:rsidRDefault="001B7427">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La información que se refiere a la vida privada y los datos personales será protegida en los términos y con las excepciones que fijen las leyes.</w:t>
      </w:r>
    </w:p>
    <w:p w14:paraId="5C9AFB38" w14:textId="77777777" w:rsidR="00215C5E" w:rsidRDefault="00215C5E">
      <w:pPr>
        <w:ind w:left="567" w:right="567"/>
        <w:jc w:val="both"/>
        <w:rPr>
          <w:rFonts w:ascii="Palatino Linotype" w:eastAsia="Palatino Linotype" w:hAnsi="Palatino Linotype" w:cs="Palatino Linotype"/>
          <w:i/>
          <w:sz w:val="22"/>
          <w:szCs w:val="22"/>
        </w:rPr>
      </w:pPr>
    </w:p>
    <w:p w14:paraId="40A47679" w14:textId="77777777" w:rsidR="00215C5E" w:rsidRDefault="001B7427">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14:paraId="0061E5B7" w14:textId="77777777" w:rsidR="00215C5E" w:rsidRDefault="00215C5E">
      <w:pPr>
        <w:ind w:left="567" w:right="567"/>
        <w:jc w:val="both"/>
        <w:rPr>
          <w:rFonts w:ascii="Palatino Linotype" w:eastAsia="Palatino Linotype" w:hAnsi="Palatino Linotype" w:cs="Palatino Linotype"/>
          <w:i/>
          <w:sz w:val="22"/>
          <w:szCs w:val="22"/>
        </w:rPr>
      </w:pPr>
    </w:p>
    <w:p w14:paraId="46B64438" w14:textId="77777777" w:rsidR="00215C5E" w:rsidRDefault="001B7427">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Se establecerán mecanismos de acceso a la información y procedimientos de revisión expeditos que se sustanciarán ante los organismos autónomos especializados e imparciales que establece esta Constitución.</w:t>
      </w:r>
    </w:p>
    <w:p w14:paraId="5963EEA9" w14:textId="77777777" w:rsidR="00215C5E" w:rsidRDefault="00215C5E">
      <w:pPr>
        <w:ind w:left="567" w:right="567"/>
        <w:jc w:val="both"/>
        <w:rPr>
          <w:rFonts w:ascii="Palatino Linotype" w:eastAsia="Palatino Linotype" w:hAnsi="Palatino Linotype" w:cs="Palatino Linotype"/>
          <w:b/>
          <w:i/>
          <w:sz w:val="22"/>
          <w:szCs w:val="22"/>
        </w:rPr>
      </w:pPr>
    </w:p>
    <w:p w14:paraId="69C7BB35" w14:textId="77777777" w:rsidR="00215C5E" w:rsidRDefault="001B7427">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 Los sujetos obligados deberán preservar sus documentos en archivos administrativos actualizados y publicarán, a través de los medios electrónicos disponibles</w:t>
      </w:r>
      <w:r>
        <w:rPr>
          <w:rFonts w:ascii="Palatino Linotype" w:eastAsia="Palatino Linotype" w:hAnsi="Palatino Linotype" w:cs="Palatino Linotype"/>
          <w:i/>
          <w:sz w:val="22"/>
          <w:szCs w:val="22"/>
        </w:rPr>
        <w:t>, la información completa y actualizada sobre el ejercicio de los recursos públicos y los indicadores que permitan rendir cuenta del cumplimiento de sus objetivos y de los resultados obtenidos.</w:t>
      </w:r>
    </w:p>
    <w:p w14:paraId="2E65DD16" w14:textId="77777777" w:rsidR="00215C5E" w:rsidRDefault="00215C5E">
      <w:pPr>
        <w:ind w:left="567" w:right="567"/>
        <w:jc w:val="both"/>
        <w:rPr>
          <w:rFonts w:ascii="Palatino Linotype" w:eastAsia="Palatino Linotype" w:hAnsi="Palatino Linotype" w:cs="Palatino Linotype"/>
          <w:i/>
          <w:sz w:val="22"/>
          <w:szCs w:val="22"/>
        </w:rPr>
      </w:pPr>
    </w:p>
    <w:p w14:paraId="14DF6000" w14:textId="77777777" w:rsidR="00215C5E" w:rsidRDefault="001B7427">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Las leyes determinarán la manera en que los sujetos obligados deberán hacer pública la información relativa a los recursos públicos que entreguen a personas físicas o morales.</w:t>
      </w:r>
    </w:p>
    <w:p w14:paraId="58728CA8" w14:textId="77777777" w:rsidR="00215C5E" w:rsidRDefault="00215C5E">
      <w:pPr>
        <w:ind w:left="567" w:right="567"/>
        <w:jc w:val="both"/>
        <w:rPr>
          <w:rFonts w:ascii="Palatino Linotype" w:eastAsia="Palatino Linotype" w:hAnsi="Palatino Linotype" w:cs="Palatino Linotype"/>
          <w:i/>
          <w:sz w:val="22"/>
          <w:szCs w:val="22"/>
        </w:rPr>
      </w:pPr>
    </w:p>
    <w:p w14:paraId="3D8AECC3" w14:textId="77777777" w:rsidR="00215C5E" w:rsidRDefault="001B7427">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La inobservancia a las disposiciones en materia de acceso a la información pública será sancionada en los términos que dispongan las leyes.</w:t>
      </w:r>
    </w:p>
    <w:p w14:paraId="15A9C59E" w14:textId="77777777" w:rsidR="00215C5E" w:rsidRDefault="00215C5E">
      <w:pPr>
        <w:ind w:left="567" w:right="567"/>
        <w:jc w:val="both"/>
        <w:rPr>
          <w:rFonts w:ascii="Palatino Linotype" w:eastAsia="Palatino Linotype" w:hAnsi="Palatino Linotype" w:cs="Palatino Linotype"/>
          <w:i/>
          <w:sz w:val="22"/>
          <w:szCs w:val="22"/>
        </w:rPr>
      </w:pPr>
    </w:p>
    <w:p w14:paraId="2D0EEA88" w14:textId="77777777" w:rsidR="00215C5E" w:rsidRDefault="001B7427">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30483CB9" w14:textId="77777777" w:rsidR="00215C5E" w:rsidRDefault="001B7427">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E4E4C76" w14:textId="77777777" w:rsidR="00215C5E" w:rsidRDefault="001B7427">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ley establecerá aquella información que se considere reservada o confidencial.”</w:t>
      </w:r>
    </w:p>
    <w:p w14:paraId="7CD8411A" w14:textId="77777777" w:rsidR="00215C5E" w:rsidRDefault="00215C5E">
      <w:pPr>
        <w:ind w:left="567" w:right="567"/>
        <w:jc w:val="both"/>
        <w:rPr>
          <w:rFonts w:ascii="Palatino Linotype" w:eastAsia="Palatino Linotype" w:hAnsi="Palatino Linotype" w:cs="Palatino Linotype"/>
          <w:i/>
          <w:sz w:val="22"/>
          <w:szCs w:val="22"/>
        </w:rPr>
      </w:pPr>
    </w:p>
    <w:p w14:paraId="0F46746A" w14:textId="77777777" w:rsidR="00215C5E" w:rsidRDefault="001B7427">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1CECC4A0" w14:textId="77777777" w:rsidR="00215C5E" w:rsidRDefault="00215C5E">
      <w:pPr>
        <w:spacing w:line="360" w:lineRule="auto"/>
        <w:ind w:left="709" w:right="757"/>
        <w:jc w:val="both"/>
        <w:rPr>
          <w:rFonts w:ascii="Palatino Linotype" w:eastAsia="Palatino Linotype" w:hAnsi="Palatino Linotype" w:cs="Palatino Linotype"/>
          <w:sz w:val="24"/>
          <w:szCs w:val="24"/>
        </w:rPr>
      </w:pPr>
    </w:p>
    <w:p w14:paraId="423FF7DB" w14:textId="77777777" w:rsidR="00215C5E" w:rsidRDefault="001B7427">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lastRenderedPageBreak/>
        <w:t>Por su parte, la Constitución Política del Estado Libre y Soberano de México, en su artículo 5°, dispone en su parte conducente, lo siguiente:</w:t>
      </w:r>
    </w:p>
    <w:p w14:paraId="2B145C35" w14:textId="77777777" w:rsidR="00215C5E" w:rsidRDefault="001B7427">
      <w:pPr>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“Artículo 5. … </w:t>
      </w:r>
    </w:p>
    <w:p w14:paraId="47223A51" w14:textId="77777777" w:rsidR="00215C5E" w:rsidRDefault="001B7427">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El derecho a la información será garantizado por el Estado</w:t>
      </w:r>
      <w:r>
        <w:rPr>
          <w:rFonts w:ascii="Palatino Linotype" w:eastAsia="Palatino Linotype" w:hAnsi="Palatino Linotype" w:cs="Palatino Linotype"/>
          <w:i/>
          <w:sz w:val="22"/>
          <w:szCs w:val="22"/>
        </w:rPr>
        <w:t xml:space="preserve">. La ley establecerá las previsiones que permitan asegurar la protección, el respeto y la difusión de este derecho. </w:t>
      </w:r>
    </w:p>
    <w:p w14:paraId="0723FFD5" w14:textId="77777777" w:rsidR="00215C5E" w:rsidRDefault="001B7427">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0B1A5005" w14:textId="77777777" w:rsidR="00215C5E" w:rsidRDefault="00215C5E">
      <w:pPr>
        <w:ind w:left="567" w:right="567"/>
        <w:jc w:val="both"/>
        <w:rPr>
          <w:rFonts w:ascii="Palatino Linotype" w:eastAsia="Palatino Linotype" w:hAnsi="Palatino Linotype" w:cs="Palatino Linotype"/>
          <w:i/>
          <w:sz w:val="22"/>
          <w:szCs w:val="22"/>
        </w:rPr>
      </w:pPr>
    </w:p>
    <w:p w14:paraId="0B7C87CB" w14:textId="77777777" w:rsidR="00215C5E" w:rsidRDefault="001B7427">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Este derecho se regirá por los principios y bases siguientes:</w:t>
      </w:r>
    </w:p>
    <w:p w14:paraId="43721E29" w14:textId="77777777" w:rsidR="00215C5E" w:rsidRDefault="00215C5E">
      <w:pPr>
        <w:ind w:left="567" w:right="567"/>
        <w:jc w:val="both"/>
        <w:rPr>
          <w:rFonts w:ascii="Palatino Linotype" w:eastAsia="Palatino Linotype" w:hAnsi="Palatino Linotype" w:cs="Palatino Linotype"/>
          <w:b/>
          <w:i/>
          <w:sz w:val="22"/>
          <w:szCs w:val="22"/>
        </w:rPr>
      </w:pPr>
    </w:p>
    <w:p w14:paraId="0BFBD334" w14:textId="77777777" w:rsidR="00215C5E" w:rsidRDefault="001B7427">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Toda la información en posesión </w:t>
      </w:r>
      <w:r>
        <w:rPr>
          <w:rFonts w:ascii="Palatino Linotype" w:eastAsia="Palatino Linotype" w:hAnsi="Palatino Linotype" w:cs="Palatino Linotype"/>
          <w:i/>
          <w:sz w:val="22"/>
          <w:szCs w:val="22"/>
        </w:rPr>
        <w:t xml:space="preserve">de cualquier autoridad, entidad, órgano y organismos de los Poderes Ejecutivo, Legislativo y Judicial, órganos autónomos, partidos políticos, fideicomisos y fondos públicos estatales y municipales, así como </w:t>
      </w:r>
      <w:r>
        <w:rPr>
          <w:rFonts w:ascii="Palatino Linotype" w:eastAsia="Palatino Linotype" w:hAnsi="Palatino Linotype" w:cs="Palatino Linotype"/>
          <w:b/>
          <w:i/>
          <w:sz w:val="22"/>
          <w:szCs w:val="22"/>
        </w:rPr>
        <w:t>del gobierno y de la administración pública municipal y sus organismos descentralizados</w:t>
      </w:r>
      <w:r>
        <w:rPr>
          <w:rFonts w:ascii="Palatino Linotype" w:eastAsia="Palatino Linotype" w:hAnsi="Palatino Linotype" w:cs="Palatino Linotype"/>
          <w:i/>
          <w:sz w:val="22"/>
          <w:szCs w:val="22"/>
        </w:rPr>
        <w:t xml:space="preserve">,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6E2303B" w14:textId="77777777" w:rsidR="00215C5E" w:rsidRDefault="00215C5E">
      <w:pPr>
        <w:ind w:left="567" w:right="567"/>
        <w:jc w:val="both"/>
        <w:rPr>
          <w:rFonts w:ascii="Palatino Linotype" w:eastAsia="Palatino Linotype" w:hAnsi="Palatino Linotype" w:cs="Palatino Linotype"/>
          <w:i/>
          <w:sz w:val="22"/>
          <w:szCs w:val="22"/>
        </w:rPr>
      </w:pPr>
    </w:p>
    <w:p w14:paraId="3E612612" w14:textId="77777777" w:rsidR="00215C5E" w:rsidRDefault="001B7427">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La información referente a la intimidad de la vida privada y la imagen de las personas será protegida a través de un marco jurídico rígido de tratamiento y manejo de datos personales, con las excepciones que establezca la ley reglamentaria.</w:t>
      </w:r>
    </w:p>
    <w:p w14:paraId="2FFE43D3" w14:textId="77777777" w:rsidR="00215C5E" w:rsidRDefault="00215C5E">
      <w:pPr>
        <w:ind w:left="567" w:right="567"/>
        <w:jc w:val="both"/>
        <w:rPr>
          <w:rFonts w:ascii="Palatino Linotype" w:eastAsia="Palatino Linotype" w:hAnsi="Palatino Linotype" w:cs="Palatino Linotype"/>
          <w:i/>
          <w:sz w:val="22"/>
          <w:szCs w:val="22"/>
        </w:rPr>
      </w:pPr>
    </w:p>
    <w:p w14:paraId="487CD3D6" w14:textId="77777777" w:rsidR="00215C5E" w:rsidRDefault="001B7427">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14:paraId="77D79EF1" w14:textId="77777777" w:rsidR="00215C5E" w:rsidRDefault="00215C5E">
      <w:pPr>
        <w:ind w:left="567" w:right="567"/>
        <w:jc w:val="both"/>
        <w:rPr>
          <w:rFonts w:ascii="Palatino Linotype" w:eastAsia="Palatino Linotype" w:hAnsi="Palatino Linotype" w:cs="Palatino Linotype"/>
          <w:i/>
          <w:sz w:val="22"/>
          <w:szCs w:val="22"/>
        </w:rPr>
      </w:pPr>
    </w:p>
    <w:p w14:paraId="25F97A77" w14:textId="77777777" w:rsidR="00215C5E" w:rsidRDefault="001B7427">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IV. Se establecerán mecanismos de acceso a la información y procedimientos de revisión expeditos que se sustanciarán ante el organismo autónomo especializado e imparcial que establece esta Constitución.</w:t>
      </w:r>
    </w:p>
    <w:p w14:paraId="6EDBE4E5" w14:textId="77777777" w:rsidR="00215C5E" w:rsidRDefault="00215C5E">
      <w:pPr>
        <w:ind w:left="567" w:right="567"/>
        <w:jc w:val="both"/>
        <w:rPr>
          <w:rFonts w:ascii="Palatino Linotype" w:eastAsia="Palatino Linotype" w:hAnsi="Palatino Linotype" w:cs="Palatino Linotype"/>
          <w:i/>
          <w:sz w:val="22"/>
          <w:szCs w:val="22"/>
        </w:rPr>
      </w:pPr>
    </w:p>
    <w:p w14:paraId="04E911D7" w14:textId="77777777" w:rsidR="00215C5E" w:rsidRDefault="001B7427">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7C5E2744" w14:textId="77777777" w:rsidR="00215C5E" w:rsidRDefault="00215C5E">
      <w:pPr>
        <w:ind w:left="567" w:right="567"/>
        <w:jc w:val="both"/>
        <w:rPr>
          <w:rFonts w:ascii="Palatino Linotype" w:eastAsia="Palatino Linotype" w:hAnsi="Palatino Linotype" w:cs="Palatino Linotype"/>
          <w:b/>
          <w:i/>
          <w:sz w:val="22"/>
          <w:szCs w:val="22"/>
        </w:rPr>
      </w:pPr>
    </w:p>
    <w:p w14:paraId="43154474" w14:textId="77777777" w:rsidR="00215C5E" w:rsidRDefault="001B7427">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 Los sujetos obligados deberán preservar sus documentos en archivos administrativos actualizados y publicarán, a través de los medios electrónicos disponibles, la información completa y actualizada sobre el ejercicio de los recursos públicos</w:t>
      </w:r>
      <w:r>
        <w:rPr>
          <w:rFonts w:ascii="Palatino Linotype" w:eastAsia="Palatino Linotype" w:hAnsi="Palatino Linotype" w:cs="Palatino Linotype"/>
          <w:i/>
          <w:sz w:val="22"/>
          <w:szCs w:val="22"/>
        </w:rPr>
        <w:t xml:space="preserve"> y los indicadores que permitan rendir cuenta del cumplimiento de sus objetivos y los resultados obtenidos.</w:t>
      </w:r>
    </w:p>
    <w:p w14:paraId="21EFED96" w14:textId="77777777" w:rsidR="00215C5E" w:rsidRDefault="00215C5E">
      <w:pPr>
        <w:ind w:left="567" w:right="567"/>
        <w:jc w:val="both"/>
        <w:rPr>
          <w:rFonts w:ascii="Palatino Linotype" w:eastAsia="Palatino Linotype" w:hAnsi="Palatino Linotype" w:cs="Palatino Linotype"/>
          <w:i/>
          <w:sz w:val="22"/>
          <w:szCs w:val="22"/>
        </w:rPr>
      </w:pPr>
    </w:p>
    <w:p w14:paraId="0C7A45FF" w14:textId="77777777" w:rsidR="00215C5E" w:rsidRDefault="001B7427">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La ley reglamentaria, determinará la manera en que los sujetos obligados deberán hacer pública la información relativa a los recursos públicos que entreguen a personas físicas o jurídicas colectivas.”</w:t>
      </w:r>
    </w:p>
    <w:p w14:paraId="49DC0B72" w14:textId="77777777" w:rsidR="00215C5E" w:rsidRDefault="00215C5E">
      <w:pPr>
        <w:ind w:left="567" w:right="567"/>
        <w:jc w:val="both"/>
        <w:rPr>
          <w:rFonts w:ascii="Palatino Linotype" w:eastAsia="Palatino Linotype" w:hAnsi="Palatino Linotype" w:cs="Palatino Linotype"/>
          <w:sz w:val="22"/>
          <w:szCs w:val="22"/>
        </w:rPr>
      </w:pPr>
    </w:p>
    <w:p w14:paraId="19AFFD04" w14:textId="77777777" w:rsidR="00215C5E" w:rsidRDefault="001B7427">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0F8A4BD0" w14:textId="77777777" w:rsidR="00215C5E" w:rsidRDefault="00215C5E">
      <w:pPr>
        <w:spacing w:line="360" w:lineRule="auto"/>
        <w:ind w:left="567" w:right="567"/>
        <w:jc w:val="both"/>
        <w:rPr>
          <w:rFonts w:ascii="Palatino Linotype" w:eastAsia="Palatino Linotype" w:hAnsi="Palatino Linotype" w:cs="Palatino Linotype"/>
          <w:sz w:val="24"/>
          <w:szCs w:val="24"/>
        </w:rPr>
      </w:pPr>
    </w:p>
    <w:p w14:paraId="478B175F" w14:textId="77777777" w:rsidR="00215C5E" w:rsidRDefault="001B7427">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Adicional, tenemos que la Ley de Transparencia y Acceso a la Información Pública del Estado de México y Municipios, prevé en su artículo 23 fracción I, lo siguiente:</w:t>
      </w:r>
    </w:p>
    <w:p w14:paraId="3E0C62D1" w14:textId="77777777" w:rsidR="00215C5E" w:rsidRDefault="001B7427">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Pr>
          <w:rFonts w:ascii="Palatino Linotype" w:eastAsia="Palatino Linotype" w:hAnsi="Palatino Linotype" w:cs="Palatino Linotype"/>
          <w:i/>
          <w:sz w:val="22"/>
          <w:szCs w:val="22"/>
        </w:rPr>
        <w:t>:</w:t>
      </w:r>
    </w:p>
    <w:p w14:paraId="7C37B474" w14:textId="77777777" w:rsidR="00215C5E" w:rsidRDefault="001B7427">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012BFC1" w14:textId="77777777" w:rsidR="00215C5E" w:rsidRDefault="001B7427">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El Poder Ejecutivo del Estado de México, las dependencias, organismos auxiliares, órganos, entidades, fideicomisos y fondos públicos, así como la Fiscalía General de Justicia del Estado de México; </w:t>
      </w:r>
    </w:p>
    <w:p w14:paraId="6A52FB18" w14:textId="77777777" w:rsidR="00215C5E" w:rsidRDefault="001B7427">
      <w:pPr>
        <w:ind w:left="567" w:right="82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p>
    <w:p w14:paraId="0C77B977" w14:textId="77777777" w:rsidR="00215C5E" w:rsidRDefault="001B7427">
      <w:pPr>
        <w:ind w:left="567" w:right="82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Los sujetos obligados deberán hacer pública toda aquella información relativa a los montos y las personas a quienes entreguen, por cualquier motivo, recursos públicos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así como</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informes que dichas personas les entreguen sobre el uso y destino de dichos recursos.</w:t>
      </w:r>
    </w:p>
    <w:p w14:paraId="6812C100" w14:textId="77777777" w:rsidR="00215C5E" w:rsidRDefault="00215C5E">
      <w:pPr>
        <w:ind w:left="567" w:right="822"/>
        <w:jc w:val="both"/>
        <w:rPr>
          <w:rFonts w:ascii="Palatino Linotype" w:eastAsia="Palatino Linotype" w:hAnsi="Palatino Linotype" w:cs="Palatino Linotype"/>
          <w:b/>
          <w:i/>
          <w:sz w:val="22"/>
          <w:szCs w:val="22"/>
        </w:rPr>
      </w:pPr>
    </w:p>
    <w:p w14:paraId="328314BD" w14:textId="77777777" w:rsidR="00215C5E" w:rsidRDefault="001B7427">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p>
    <w:p w14:paraId="69BF542D" w14:textId="77777777" w:rsidR="00215C5E" w:rsidRDefault="001B7427">
      <w:pPr>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6C0D210E" w14:textId="77777777" w:rsidR="00215C5E" w:rsidRDefault="00215C5E">
      <w:pPr>
        <w:spacing w:line="360" w:lineRule="auto"/>
        <w:jc w:val="both"/>
        <w:rPr>
          <w:rFonts w:ascii="Palatino Linotype" w:eastAsia="Palatino Linotype" w:hAnsi="Palatino Linotype" w:cs="Palatino Linotype"/>
          <w:sz w:val="24"/>
          <w:szCs w:val="24"/>
        </w:rPr>
      </w:pPr>
    </w:p>
    <w:p w14:paraId="4EBA06B4" w14:textId="77777777" w:rsidR="00215C5E" w:rsidRDefault="001B7427">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51A00187" w14:textId="77777777" w:rsidR="00215C5E" w:rsidRDefault="00215C5E">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02678598" w14:textId="77777777" w:rsidR="00215C5E" w:rsidRDefault="001B7427">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Por lo anterior, es de referir que,</w:t>
      </w:r>
      <w:r>
        <w:rPr>
          <w:rFonts w:ascii="Palatino Linotype" w:eastAsia="Palatino Linotype" w:hAnsi="Palatino Linotype" w:cs="Palatino Linotype"/>
          <w:b/>
          <w:color w:val="000000"/>
          <w:sz w:val="24"/>
          <w:szCs w:val="24"/>
        </w:rPr>
        <w:t xml:space="preserve"> el Ayuntamiento de Cuautitlán Izcalli</w:t>
      </w:r>
      <w:r>
        <w:rPr>
          <w:rFonts w:ascii="Palatino Linotype" w:eastAsia="Palatino Linotype" w:hAnsi="Palatino Linotype" w:cs="Palatino Linotype"/>
          <w:color w:val="000000"/>
          <w:sz w:val="24"/>
          <w:szCs w:val="24"/>
        </w:rPr>
        <w:t>, al ser un Sujeto Obligado comprendido por la Legislación Local en materia de Transparencia, se encuentra obligado a hacer pública toda aquella información que genere, administre o posea.</w:t>
      </w:r>
    </w:p>
    <w:p w14:paraId="587CBAC2" w14:textId="77777777" w:rsidR="00215C5E" w:rsidRDefault="00215C5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44159A91" w14:textId="77777777" w:rsidR="00215C5E" w:rsidRDefault="00215C5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0BD78159" w14:textId="77777777" w:rsidR="00215C5E" w:rsidRDefault="001B742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sz w:val="24"/>
          <w:szCs w:val="24"/>
        </w:rPr>
      </w:pPr>
      <w:bookmarkStart w:id="9" w:name="_heading=h.2s8eyo1" w:colFirst="0" w:colLast="0"/>
      <w:bookmarkEnd w:id="9"/>
      <w:r>
        <w:rPr>
          <w:rFonts w:ascii="Palatino Linotype" w:eastAsia="Palatino Linotype" w:hAnsi="Palatino Linotype" w:cs="Palatino Linotype"/>
          <w:b/>
          <w:color w:val="000000"/>
          <w:sz w:val="24"/>
          <w:szCs w:val="24"/>
        </w:rPr>
        <w:t xml:space="preserve">II. De la dispersión de nómina. </w:t>
      </w:r>
    </w:p>
    <w:p w14:paraId="6589F08C" w14:textId="77777777" w:rsidR="00215C5E" w:rsidRDefault="001B7427">
      <w:pPr>
        <w:numPr>
          <w:ilvl w:val="0"/>
          <w:numId w:val="8"/>
        </w:numPr>
        <w:pBdr>
          <w:top w:val="nil"/>
          <w:left w:val="nil"/>
          <w:bottom w:val="nil"/>
          <w:right w:val="nil"/>
          <w:between w:val="nil"/>
        </w:pBdr>
        <w:tabs>
          <w:tab w:val="left" w:pos="567"/>
        </w:tabs>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Derivado de la naturaleza de la información requerida, es necesario traer a colación la </w:t>
      </w:r>
      <w:r>
        <w:rPr>
          <w:rFonts w:ascii="Palatino Linotype" w:eastAsia="Palatino Linotype" w:hAnsi="Palatino Linotype" w:cs="Palatino Linotype"/>
          <w:sz w:val="24"/>
          <w:szCs w:val="24"/>
        </w:rPr>
        <w:t>Ley</w:t>
      </w:r>
      <w:r>
        <w:rPr>
          <w:rFonts w:ascii="Palatino Linotype" w:eastAsia="Palatino Linotype" w:hAnsi="Palatino Linotype" w:cs="Palatino Linotype"/>
          <w:color w:val="000000"/>
          <w:sz w:val="24"/>
          <w:szCs w:val="24"/>
        </w:rPr>
        <w:t xml:space="preserve"> de Fiscalización Superior del Estado de México, la cual señala lo siguiente:</w:t>
      </w:r>
    </w:p>
    <w:p w14:paraId="77DE140E" w14:textId="77777777" w:rsidR="00215C5E" w:rsidRDefault="00215C5E">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4"/>
          <w:szCs w:val="24"/>
        </w:rPr>
      </w:pPr>
    </w:p>
    <w:p w14:paraId="1DB45E31" w14:textId="77777777" w:rsidR="00215C5E" w:rsidRDefault="001B7427">
      <w:pPr>
        <w:spacing w:before="240"/>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 xml:space="preserve">“Artículo 4. </w:t>
      </w:r>
      <w:r>
        <w:rPr>
          <w:rFonts w:ascii="Palatino Linotype" w:eastAsia="Palatino Linotype" w:hAnsi="Palatino Linotype" w:cs="Palatino Linotype"/>
          <w:i/>
          <w:sz w:val="22"/>
          <w:szCs w:val="22"/>
        </w:rPr>
        <w:t>Son sujetos de fiscalización:</w:t>
      </w:r>
    </w:p>
    <w:p w14:paraId="2B8E3014" w14:textId="77777777" w:rsidR="00215C5E" w:rsidRDefault="001B7427">
      <w:pPr>
        <w:ind w:left="851" w:right="851"/>
        <w:jc w:val="both"/>
        <w:rPr>
          <w:i/>
          <w:sz w:val="22"/>
          <w:szCs w:val="22"/>
        </w:rPr>
      </w:pPr>
      <w:r>
        <w:rPr>
          <w:rFonts w:ascii="Palatino Linotype" w:eastAsia="Palatino Linotype" w:hAnsi="Palatino Linotype" w:cs="Palatino Linotype"/>
          <w:i/>
          <w:sz w:val="22"/>
          <w:szCs w:val="22"/>
        </w:rPr>
        <w:t>…</w:t>
      </w:r>
    </w:p>
    <w:p w14:paraId="08D7448A" w14:textId="77777777" w:rsidR="00215C5E" w:rsidRDefault="001B7427">
      <w:pPr>
        <w:numPr>
          <w:ilvl w:val="0"/>
          <w:numId w:val="3"/>
        </w:numPr>
        <w:spacing w:before="240" w:after="160"/>
        <w:ind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municipios del Estado de México</w:t>
      </w:r>
    </w:p>
    <w:p w14:paraId="456D0A5F" w14:textId="77777777" w:rsidR="00215C5E" w:rsidRDefault="001B7427">
      <w:pPr>
        <w:spacing w:before="240" w:after="160"/>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333A6BF" w14:textId="77777777" w:rsidR="00215C5E" w:rsidRDefault="00215C5E">
      <w:pPr>
        <w:spacing w:before="240" w:after="160"/>
        <w:ind w:left="1571" w:right="851"/>
        <w:jc w:val="both"/>
        <w:rPr>
          <w:rFonts w:ascii="Palatino Linotype" w:eastAsia="Palatino Linotype" w:hAnsi="Palatino Linotype" w:cs="Palatino Linotype"/>
          <w:i/>
          <w:sz w:val="22"/>
          <w:szCs w:val="22"/>
        </w:rPr>
      </w:pPr>
    </w:p>
    <w:p w14:paraId="6F90A4C2" w14:textId="77777777" w:rsidR="00215C5E" w:rsidRDefault="001B7427">
      <w:pPr>
        <w:spacing w:line="360" w:lineRule="auto"/>
        <w:ind w:left="851" w:right="851"/>
        <w:jc w:val="both"/>
        <w:rPr>
          <w:i/>
          <w:sz w:val="22"/>
          <w:szCs w:val="22"/>
        </w:rPr>
      </w:pPr>
      <w:r>
        <w:rPr>
          <w:rFonts w:ascii="Palatino Linotype" w:eastAsia="Palatino Linotype" w:hAnsi="Palatino Linotype" w:cs="Palatino Linotype"/>
          <w:b/>
          <w:i/>
          <w:sz w:val="22"/>
          <w:szCs w:val="22"/>
        </w:rPr>
        <w:t xml:space="preserve">“Artículo 8. </w:t>
      </w:r>
      <w:r>
        <w:rPr>
          <w:rFonts w:ascii="Palatino Linotype" w:eastAsia="Palatino Linotype" w:hAnsi="Palatino Linotype" w:cs="Palatino Linotype"/>
          <w:i/>
          <w:sz w:val="22"/>
          <w:szCs w:val="22"/>
        </w:rPr>
        <w:t>El Órgano Superior tendrá las siguientes atribuciones:</w:t>
      </w:r>
    </w:p>
    <w:p w14:paraId="1B0D893D" w14:textId="77777777" w:rsidR="00215C5E" w:rsidRDefault="001B7427">
      <w:pPr>
        <w:spacing w:line="360" w:lineRule="auto"/>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1569CC8" w14:textId="77777777" w:rsidR="00215C5E" w:rsidRDefault="001B7427">
      <w:pPr>
        <w:spacing w:line="360" w:lineRule="auto"/>
        <w:ind w:left="851"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XI. Establecer los lineamientos</w:t>
      </w:r>
      <w:r>
        <w:rPr>
          <w:rFonts w:ascii="Palatino Linotype" w:eastAsia="Palatino Linotype" w:hAnsi="Palatino Linotype" w:cs="Palatino Linotype"/>
          <w:i/>
          <w:sz w:val="22"/>
          <w:szCs w:val="22"/>
        </w:rPr>
        <w:t xml:space="preserve">, criterios, procedimientos, métodos y sistemas </w:t>
      </w:r>
      <w:r>
        <w:rPr>
          <w:rFonts w:ascii="Palatino Linotype" w:eastAsia="Palatino Linotype" w:hAnsi="Palatino Linotype" w:cs="Palatino Linotype"/>
          <w:b/>
          <w:i/>
          <w:sz w:val="22"/>
          <w:szCs w:val="22"/>
        </w:rPr>
        <w:t>para las acciones de control y evaluación, necesarios para la fiscalización de las cuentas públicas y los informes trimestrales</w:t>
      </w:r>
      <w:r>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 (</w:t>
      </w:r>
      <w:r>
        <w:rPr>
          <w:rFonts w:ascii="Palatino Linotype" w:eastAsia="Palatino Linotype" w:hAnsi="Palatino Linotype" w:cs="Palatino Linotype"/>
          <w:i/>
          <w:sz w:val="22"/>
          <w:szCs w:val="22"/>
        </w:rPr>
        <w:t>Sic)</w:t>
      </w:r>
    </w:p>
    <w:p w14:paraId="22C9AAA1" w14:textId="77777777" w:rsidR="00215C5E" w:rsidRDefault="00215C5E">
      <w:pPr>
        <w:spacing w:before="240" w:after="160"/>
        <w:ind w:right="851"/>
        <w:jc w:val="both"/>
        <w:rPr>
          <w:rFonts w:ascii="Palatino Linotype" w:eastAsia="Palatino Linotype" w:hAnsi="Palatino Linotype" w:cs="Palatino Linotype"/>
          <w:i/>
          <w:sz w:val="24"/>
          <w:szCs w:val="24"/>
        </w:rPr>
      </w:pPr>
    </w:p>
    <w:p w14:paraId="2DA3B3A3" w14:textId="77777777" w:rsidR="00215C5E" w:rsidRDefault="001B7427">
      <w:pPr>
        <w:numPr>
          <w:ilvl w:val="0"/>
          <w:numId w:val="8"/>
        </w:numPr>
        <w:pBdr>
          <w:top w:val="nil"/>
          <w:left w:val="nil"/>
          <w:bottom w:val="nil"/>
          <w:right w:val="nil"/>
          <w:between w:val="nil"/>
        </w:pBdr>
        <w:tabs>
          <w:tab w:val="left" w:pos="567"/>
        </w:tabs>
        <w:spacing w:line="360" w:lineRule="auto"/>
        <w:ind w:left="0" w:firstLine="0"/>
        <w:jc w:val="both"/>
        <w:rPr>
          <w:color w:val="000000"/>
        </w:rPr>
      </w:pPr>
      <w:r>
        <w:rPr>
          <w:rFonts w:ascii="Palatino Linotype" w:eastAsia="Palatino Linotype" w:hAnsi="Palatino Linotype" w:cs="Palatino Linotype"/>
          <w:color w:val="000000"/>
          <w:sz w:val="24"/>
          <w:szCs w:val="24"/>
        </w:rPr>
        <w:t>Por su parte, el Código Financiero del Estado de México y Municipios, en el artículo 350 indica lo siguiente:</w:t>
      </w:r>
    </w:p>
    <w:p w14:paraId="7C2F4330" w14:textId="77777777" w:rsidR="00215C5E" w:rsidRDefault="001B7427">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350.- La Secretaría y las tesorerías enviarán al Órgano Superior, de manera trimestral, dentro de los primeros veinte días hábiles posteriores al término del trimestre que se informa, para su análisis, la siguiente información:  </w:t>
      </w:r>
    </w:p>
    <w:p w14:paraId="3C317383" w14:textId="77777777" w:rsidR="00215C5E" w:rsidRDefault="001B7427">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Patrimonial.  </w:t>
      </w:r>
    </w:p>
    <w:p w14:paraId="502931CB" w14:textId="77777777" w:rsidR="00215C5E" w:rsidRDefault="001B7427">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Presupuestal.  </w:t>
      </w:r>
    </w:p>
    <w:p w14:paraId="57682458" w14:textId="77777777" w:rsidR="00215C5E" w:rsidRDefault="001B7427">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De la obra pública.  </w:t>
      </w:r>
    </w:p>
    <w:p w14:paraId="51471783" w14:textId="77777777" w:rsidR="00215C5E" w:rsidRDefault="001B7427">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IV. De nómina.  </w:t>
      </w:r>
    </w:p>
    <w:p w14:paraId="2F5DEABC" w14:textId="77777777" w:rsidR="00215C5E" w:rsidRDefault="001B7427">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Avance del cumplimiento del Plan de Desarrollo del Estado de México.  </w:t>
      </w:r>
    </w:p>
    <w:p w14:paraId="41030896" w14:textId="77777777" w:rsidR="00215C5E" w:rsidRDefault="00215C5E">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4"/>
          <w:szCs w:val="24"/>
        </w:rPr>
      </w:pPr>
    </w:p>
    <w:p w14:paraId="2C6D379D" w14:textId="77777777" w:rsidR="00215C5E" w:rsidRDefault="001B7427">
      <w:pPr>
        <w:numPr>
          <w:ilvl w:val="0"/>
          <w:numId w:val="8"/>
        </w:numPr>
        <w:pBdr>
          <w:top w:val="nil"/>
          <w:left w:val="nil"/>
          <w:bottom w:val="nil"/>
          <w:right w:val="nil"/>
          <w:between w:val="nil"/>
        </w:pBdr>
        <w:tabs>
          <w:tab w:val="left" w:pos="567"/>
        </w:tabs>
        <w:spacing w:line="360" w:lineRule="auto"/>
        <w:ind w:left="0" w:firstLine="0"/>
        <w:jc w:val="both"/>
        <w:rPr>
          <w:color w:val="000000"/>
        </w:rPr>
      </w:pPr>
      <w:r>
        <w:rPr>
          <w:rFonts w:ascii="Palatino Linotype" w:eastAsia="Palatino Linotype" w:hAnsi="Palatino Linotype" w:cs="Palatino Linotype"/>
          <w:color w:val="000000"/>
          <w:sz w:val="24"/>
          <w:szCs w:val="24"/>
        </w:rPr>
        <w:lastRenderedPageBreak/>
        <w:t>En el mismo sentido, la Ley Orgánica de la Administración Pública Municipal del Estado de México contiene lo siguiente:</w:t>
      </w:r>
    </w:p>
    <w:p w14:paraId="74FB42B2" w14:textId="77777777" w:rsidR="00215C5E" w:rsidRDefault="001B7427">
      <w:pPr>
        <w:pBdr>
          <w:top w:val="nil"/>
          <w:left w:val="nil"/>
          <w:bottom w:val="nil"/>
          <w:right w:val="nil"/>
          <w:between w:val="nil"/>
        </w:pBdr>
        <w:spacing w:line="360" w:lineRule="auto"/>
        <w:ind w:left="851" w:right="851"/>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TITULO IV</w:t>
      </w:r>
    </w:p>
    <w:p w14:paraId="663A9D80" w14:textId="77777777" w:rsidR="00215C5E" w:rsidRDefault="001B7427">
      <w:pPr>
        <w:pBdr>
          <w:top w:val="nil"/>
          <w:left w:val="nil"/>
          <w:bottom w:val="nil"/>
          <w:right w:val="nil"/>
          <w:between w:val="nil"/>
        </w:pBdr>
        <w:spacing w:line="360" w:lineRule="auto"/>
        <w:ind w:left="851" w:right="851"/>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Régimen Administrativo</w:t>
      </w:r>
    </w:p>
    <w:p w14:paraId="71B914A2" w14:textId="77777777" w:rsidR="00215C5E" w:rsidRDefault="001B7427">
      <w:pPr>
        <w:pBdr>
          <w:top w:val="nil"/>
          <w:left w:val="nil"/>
          <w:bottom w:val="nil"/>
          <w:right w:val="nil"/>
          <w:between w:val="nil"/>
        </w:pBdr>
        <w:spacing w:line="360" w:lineRule="auto"/>
        <w:ind w:left="851" w:right="851"/>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sz w:val="22"/>
          <w:szCs w:val="22"/>
        </w:rPr>
        <w:t>CAPÍTULO</w:t>
      </w:r>
      <w:r>
        <w:rPr>
          <w:rFonts w:ascii="Palatino Linotype" w:eastAsia="Palatino Linotype" w:hAnsi="Palatino Linotype" w:cs="Palatino Linotype"/>
          <w:b/>
          <w:i/>
          <w:color w:val="000000"/>
          <w:sz w:val="22"/>
          <w:szCs w:val="22"/>
        </w:rPr>
        <w:t xml:space="preserve"> SEGUNDO</w:t>
      </w:r>
    </w:p>
    <w:p w14:paraId="64598296" w14:textId="77777777" w:rsidR="00215C5E" w:rsidRDefault="001B7427">
      <w:pPr>
        <w:pBdr>
          <w:top w:val="nil"/>
          <w:left w:val="nil"/>
          <w:bottom w:val="nil"/>
          <w:right w:val="nil"/>
          <w:between w:val="nil"/>
        </w:pBdr>
        <w:spacing w:line="360" w:lineRule="auto"/>
        <w:ind w:left="851" w:right="851"/>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De la Tesorería Municipal</w:t>
      </w:r>
    </w:p>
    <w:p w14:paraId="58F39885" w14:textId="77777777" w:rsidR="00215C5E" w:rsidRDefault="001B7427">
      <w:pPr>
        <w:pBdr>
          <w:top w:val="nil"/>
          <w:left w:val="nil"/>
          <w:bottom w:val="nil"/>
          <w:right w:val="nil"/>
          <w:between w:val="nil"/>
        </w:pBdr>
        <w:spacing w:line="360" w:lineRule="auto"/>
        <w:ind w:left="851"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95.- Son atribuciones del tesorero municipal:</w:t>
      </w:r>
    </w:p>
    <w:p w14:paraId="142F12F7" w14:textId="77777777" w:rsidR="00215C5E" w:rsidRDefault="001B7427">
      <w:pPr>
        <w:pBdr>
          <w:top w:val="nil"/>
          <w:left w:val="nil"/>
          <w:bottom w:val="nil"/>
          <w:right w:val="nil"/>
          <w:between w:val="nil"/>
        </w:pBdr>
        <w:spacing w:line="360" w:lineRule="auto"/>
        <w:ind w:left="851"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Administrar la hacienda pública municipal, de conformidad con las disposiciones legales aplicables;</w:t>
      </w:r>
    </w:p>
    <w:p w14:paraId="6CF74FBD" w14:textId="77777777" w:rsidR="00215C5E" w:rsidRDefault="001B7427">
      <w:pPr>
        <w:pBdr>
          <w:top w:val="nil"/>
          <w:left w:val="nil"/>
          <w:bottom w:val="nil"/>
          <w:right w:val="nil"/>
          <w:between w:val="nil"/>
        </w:pBdr>
        <w:spacing w:line="360" w:lineRule="auto"/>
        <w:ind w:left="851"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66BB06D6" w14:textId="77777777" w:rsidR="00215C5E" w:rsidRDefault="00215C5E">
      <w:pPr>
        <w:tabs>
          <w:tab w:val="left" w:pos="567"/>
        </w:tabs>
        <w:spacing w:line="360" w:lineRule="auto"/>
        <w:jc w:val="both"/>
        <w:rPr>
          <w:rFonts w:ascii="Palatino Linotype" w:eastAsia="Palatino Linotype" w:hAnsi="Palatino Linotype" w:cs="Palatino Linotype"/>
          <w:sz w:val="22"/>
          <w:szCs w:val="22"/>
        </w:rPr>
      </w:pPr>
    </w:p>
    <w:p w14:paraId="30021F47" w14:textId="77777777" w:rsidR="00215C5E" w:rsidRDefault="001B7427">
      <w:pPr>
        <w:numPr>
          <w:ilvl w:val="0"/>
          <w:numId w:val="8"/>
        </w:numPr>
        <w:pBdr>
          <w:top w:val="nil"/>
          <w:left w:val="nil"/>
          <w:bottom w:val="nil"/>
          <w:right w:val="nil"/>
          <w:between w:val="nil"/>
        </w:pBdr>
        <w:tabs>
          <w:tab w:val="left" w:pos="567"/>
        </w:tabs>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De la interpretación sistemática y progresiva de los preceptos legales, se desprende que, los entes fiscalizables, entre los que se encuentran los ayuntamientos, deben remitir informes al OSFEM de forma trimestral, en los que se incluirá información patrimonial, presupuestal, de obra pública y de nómina, para tal efecto, la autoridad fiscalizadora emitirá los lineamientos base. </w:t>
      </w:r>
    </w:p>
    <w:p w14:paraId="5C76B0F8" w14:textId="77777777" w:rsidR="00215C5E" w:rsidRDefault="00215C5E">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4"/>
          <w:szCs w:val="24"/>
        </w:rPr>
      </w:pPr>
    </w:p>
    <w:p w14:paraId="5070138D" w14:textId="77777777" w:rsidR="00215C5E" w:rsidRDefault="001B7427">
      <w:pPr>
        <w:numPr>
          <w:ilvl w:val="0"/>
          <w:numId w:val="8"/>
        </w:numPr>
        <w:pBdr>
          <w:top w:val="nil"/>
          <w:left w:val="nil"/>
          <w:bottom w:val="nil"/>
          <w:right w:val="nil"/>
          <w:between w:val="nil"/>
        </w:pBdr>
        <w:tabs>
          <w:tab w:val="left" w:pos="567"/>
        </w:tabs>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Derivado de la temporalidad de la solicitud, es necesario traer a contexto el </w:t>
      </w:r>
      <w:r>
        <w:rPr>
          <w:rFonts w:ascii="Palatino Linotype" w:eastAsia="Palatino Linotype" w:hAnsi="Palatino Linotype" w:cs="Palatino Linotype"/>
          <w:b/>
          <w:color w:val="000000"/>
          <w:sz w:val="24"/>
          <w:szCs w:val="24"/>
        </w:rPr>
        <w:t>acuerdo 05/2023, por el que se emiten los lineamientos, fechas de capacitación y calendarización para la integración, envío y entrega de los informes trimestrales del ejercicio fiscal 2023 de las entidades fiscalizables del Estado de México</w:t>
      </w:r>
      <w:r>
        <w:rPr>
          <w:rFonts w:ascii="Palatino Linotype" w:eastAsia="Palatino Linotype" w:hAnsi="Palatino Linotype" w:cs="Palatino Linotype"/>
          <w:color w:val="000000"/>
          <w:sz w:val="24"/>
          <w:szCs w:val="24"/>
        </w:rPr>
        <w:t>, publicado en el veintiuno de abril de dos mil veintitrés, en el periódico oficial, Gaceta de Gobierno, en el cual se contiene lo siguiente:</w:t>
      </w:r>
    </w:p>
    <w:p w14:paraId="76AAF2EB" w14:textId="77777777" w:rsidR="00215C5E" w:rsidRDefault="001B7427">
      <w:pPr>
        <w:pBdr>
          <w:top w:val="nil"/>
          <w:left w:val="nil"/>
          <w:bottom w:val="nil"/>
          <w:right w:val="nil"/>
          <w:between w:val="nil"/>
        </w:pBdr>
        <w:rPr>
          <w:rFonts w:ascii="Palatino Linotype" w:eastAsia="Palatino Linotype" w:hAnsi="Palatino Linotype" w:cs="Palatino Linotype"/>
          <w:color w:val="000000"/>
          <w:sz w:val="24"/>
          <w:szCs w:val="24"/>
        </w:rPr>
      </w:pPr>
      <w:r>
        <w:rPr>
          <w:rFonts w:ascii="Palatino Linotype" w:eastAsia="Palatino Linotype" w:hAnsi="Palatino Linotype" w:cs="Palatino Linotype"/>
          <w:noProof/>
          <w:color w:val="000000"/>
          <w:sz w:val="24"/>
          <w:szCs w:val="24"/>
          <w:lang w:eastAsia="es-MX"/>
        </w:rPr>
        <w:lastRenderedPageBreak/>
        <w:drawing>
          <wp:inline distT="0" distB="0" distL="0" distR="0" wp14:anchorId="2435658C" wp14:editId="2F85730C">
            <wp:extent cx="5394248" cy="5308957"/>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394248" cy="5308957"/>
                    </a:xfrm>
                    <a:prstGeom prst="rect">
                      <a:avLst/>
                    </a:prstGeom>
                    <a:ln/>
                  </pic:spPr>
                </pic:pic>
              </a:graphicData>
            </a:graphic>
          </wp:inline>
        </w:drawing>
      </w:r>
    </w:p>
    <w:p w14:paraId="17361464" w14:textId="77777777" w:rsidR="00215C5E" w:rsidRDefault="00215C5E">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4"/>
          <w:szCs w:val="24"/>
        </w:rPr>
      </w:pPr>
    </w:p>
    <w:p w14:paraId="10B8ECEA" w14:textId="77777777" w:rsidR="00215C5E" w:rsidRDefault="00215C5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21658368" w14:textId="77777777" w:rsidR="00215C5E" w:rsidRDefault="00215C5E">
      <w:pPr>
        <w:tabs>
          <w:tab w:val="left" w:pos="567"/>
        </w:tabs>
        <w:spacing w:line="360" w:lineRule="auto"/>
        <w:jc w:val="both"/>
        <w:rPr>
          <w:rFonts w:ascii="Palatino Linotype" w:eastAsia="Palatino Linotype" w:hAnsi="Palatino Linotype" w:cs="Palatino Linotype"/>
          <w:sz w:val="24"/>
          <w:szCs w:val="24"/>
        </w:rPr>
      </w:pPr>
    </w:p>
    <w:p w14:paraId="4E6F01AD" w14:textId="77777777" w:rsidR="00215C5E" w:rsidRDefault="001B7427">
      <w:pPr>
        <w:numPr>
          <w:ilvl w:val="0"/>
          <w:numId w:val="8"/>
        </w:numPr>
        <w:pBdr>
          <w:top w:val="nil"/>
          <w:left w:val="nil"/>
          <w:bottom w:val="nil"/>
          <w:right w:val="nil"/>
          <w:between w:val="nil"/>
        </w:pBdr>
        <w:tabs>
          <w:tab w:val="left" w:pos="567"/>
        </w:tabs>
        <w:spacing w:line="360" w:lineRule="auto"/>
        <w:ind w:left="0" w:firstLine="0"/>
        <w:jc w:val="both"/>
        <w:rPr>
          <w:color w:val="000000"/>
        </w:rPr>
      </w:pPr>
      <w:r>
        <w:rPr>
          <w:rFonts w:ascii="Palatino Linotype" w:eastAsia="Palatino Linotype" w:hAnsi="Palatino Linotype" w:cs="Palatino Linotype"/>
          <w:color w:val="000000"/>
          <w:sz w:val="24"/>
          <w:szCs w:val="24"/>
        </w:rPr>
        <w:t>En este caso, nos enfocaremos en el módulo 4, información administrativa, el cual, para el caso de los Municipios se muestra el matriz de documentos siguiente:</w:t>
      </w:r>
    </w:p>
    <w:p w14:paraId="13A01BF9" w14:textId="77777777" w:rsidR="00215C5E" w:rsidRDefault="001B7427">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noProof/>
          <w:color w:val="000000"/>
          <w:sz w:val="24"/>
          <w:szCs w:val="24"/>
          <w:lang w:eastAsia="es-MX"/>
        </w:rPr>
        <w:lastRenderedPageBreak/>
        <w:drawing>
          <wp:inline distT="0" distB="0" distL="0" distR="0" wp14:anchorId="2D9B4CE8" wp14:editId="39E226F0">
            <wp:extent cx="5742940" cy="481457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42940" cy="4814570"/>
                    </a:xfrm>
                    <a:prstGeom prst="rect">
                      <a:avLst/>
                    </a:prstGeom>
                    <a:ln/>
                  </pic:spPr>
                </pic:pic>
              </a:graphicData>
            </a:graphic>
          </wp:inline>
        </w:drawing>
      </w:r>
    </w:p>
    <w:p w14:paraId="005DD5EF" w14:textId="77777777" w:rsidR="00215C5E" w:rsidRDefault="00215C5E">
      <w:pPr>
        <w:tabs>
          <w:tab w:val="left" w:pos="567"/>
        </w:tabs>
        <w:spacing w:line="360" w:lineRule="auto"/>
        <w:jc w:val="both"/>
        <w:rPr>
          <w:rFonts w:ascii="Palatino Linotype" w:eastAsia="Palatino Linotype" w:hAnsi="Palatino Linotype" w:cs="Palatino Linotype"/>
          <w:sz w:val="24"/>
          <w:szCs w:val="24"/>
        </w:rPr>
      </w:pPr>
    </w:p>
    <w:p w14:paraId="2AE4E753" w14:textId="77777777" w:rsidR="00215C5E" w:rsidRDefault="001B7427">
      <w:pPr>
        <w:numPr>
          <w:ilvl w:val="0"/>
          <w:numId w:val="8"/>
        </w:numPr>
        <w:pBdr>
          <w:top w:val="nil"/>
          <w:left w:val="nil"/>
          <w:bottom w:val="nil"/>
          <w:right w:val="nil"/>
          <w:between w:val="nil"/>
        </w:pBdr>
        <w:tabs>
          <w:tab w:val="left" w:pos="567"/>
        </w:tabs>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Tal y como se aprecia, el módulo 4, del informe trimestral contempla el comprobante bancario de la dispersión de nómina, el cual se genera de manera quincenal. </w:t>
      </w:r>
    </w:p>
    <w:p w14:paraId="2A8B2928" w14:textId="77777777" w:rsidR="00215C5E" w:rsidRDefault="00215C5E">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4"/>
          <w:szCs w:val="24"/>
        </w:rPr>
      </w:pPr>
    </w:p>
    <w:p w14:paraId="37B6A8C4" w14:textId="77777777" w:rsidR="00215C5E" w:rsidRDefault="001B7427">
      <w:pPr>
        <w:numPr>
          <w:ilvl w:val="0"/>
          <w:numId w:val="8"/>
        </w:numPr>
        <w:pBdr>
          <w:top w:val="nil"/>
          <w:left w:val="nil"/>
          <w:bottom w:val="nil"/>
          <w:right w:val="nil"/>
          <w:between w:val="nil"/>
        </w:pBdr>
        <w:tabs>
          <w:tab w:val="left" w:pos="567"/>
        </w:tabs>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Entonces, al ser un documento que integra el informe trimestral que deben remitir los entes fiscalizables al Órgano Superior de Fiscalización, se determina que la </w:t>
      </w:r>
      <w:r>
        <w:rPr>
          <w:rFonts w:ascii="Palatino Linotype" w:eastAsia="Palatino Linotype" w:hAnsi="Palatino Linotype" w:cs="Palatino Linotype"/>
          <w:color w:val="000000"/>
          <w:sz w:val="24"/>
          <w:szCs w:val="24"/>
        </w:rPr>
        <w:lastRenderedPageBreak/>
        <w:t>información debe obrar en los archivos del Sujeto Obligado, por consiguiente, se ORDENA poner a disposición del particular los documentos donde conste la dispersión de nómina del Organismo Público Descentralizado de Carácter Municipal para el Mantenimiento de Vialidades de Cuautitlán Izcalli (MAVICI).</w:t>
      </w:r>
    </w:p>
    <w:p w14:paraId="75753ABF" w14:textId="77777777" w:rsidR="00215C5E" w:rsidRDefault="00215C5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2D5B9F88" w14:textId="77777777" w:rsidR="00215C5E" w:rsidRDefault="001B7427">
      <w:pPr>
        <w:numPr>
          <w:ilvl w:val="0"/>
          <w:numId w:val="8"/>
        </w:numPr>
        <w:pBdr>
          <w:top w:val="nil"/>
          <w:left w:val="nil"/>
          <w:bottom w:val="nil"/>
          <w:right w:val="nil"/>
          <w:between w:val="nil"/>
        </w:pBdr>
        <w:tabs>
          <w:tab w:val="left" w:pos="567"/>
        </w:tabs>
        <w:spacing w:line="360" w:lineRule="auto"/>
        <w:ind w:left="0" w:right="49" w:firstLine="0"/>
        <w:jc w:val="both"/>
        <w:rPr>
          <w:color w:val="000000"/>
          <w:highlight w:val="white"/>
        </w:rPr>
      </w:pPr>
      <w:r>
        <w:rPr>
          <w:rFonts w:ascii="Palatino Linotype" w:eastAsia="Palatino Linotype" w:hAnsi="Palatino Linotype" w:cs="Palatino Linotype"/>
          <w:color w:val="000000"/>
          <w:sz w:val="24"/>
          <w:szCs w:val="24"/>
          <w:highlight w:val="white"/>
        </w:rPr>
        <w:t xml:space="preserve">Ahora bien, por lo que corresponde a los estados de cuenta, debemos partir de lo que se entiende por cuenta bancaria, según el Glosario de Definiciones del Banco de México:  </w:t>
      </w:r>
    </w:p>
    <w:p w14:paraId="2F03FED9" w14:textId="77777777" w:rsidR="00215C5E" w:rsidRDefault="001B7427">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Cuenta.- Registros contables a cargo o abono que identifican las operaciones realizadas por un cliente con una entidad, relacionadas con un Contrato de adhesión de una operación activa o pasiva.</w:t>
      </w:r>
    </w:p>
    <w:p w14:paraId="47548786" w14:textId="77777777" w:rsidR="00215C5E" w:rsidRDefault="00215C5E">
      <w:pPr>
        <w:pBdr>
          <w:top w:val="nil"/>
          <w:left w:val="nil"/>
          <w:bottom w:val="nil"/>
          <w:right w:val="nil"/>
          <w:between w:val="nil"/>
        </w:pBdr>
        <w:tabs>
          <w:tab w:val="left" w:pos="2880"/>
        </w:tabs>
        <w:spacing w:line="360" w:lineRule="auto"/>
        <w:ind w:left="567" w:right="567"/>
        <w:jc w:val="both"/>
        <w:rPr>
          <w:rFonts w:ascii="Palatino Linotype" w:eastAsia="Palatino Linotype" w:hAnsi="Palatino Linotype" w:cs="Palatino Linotype"/>
          <w:i/>
          <w:color w:val="000000"/>
          <w:sz w:val="22"/>
          <w:szCs w:val="22"/>
        </w:rPr>
      </w:pPr>
    </w:p>
    <w:p w14:paraId="10DFFE78" w14:textId="77777777" w:rsidR="00215C5E" w:rsidRDefault="001B7427">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Cuenta básica.- Cuenta de depósito bancario de dinero a la vista sin comisiones que las instituciones de crédito están obligadas a ofrecer en los términos y condiciones que establece el Banco de México. La disposición establece una cuenta de nómina y otra para el público general y especifican los servicios mínimos que deben comprender como es el contar con tarjeta de débito.</w:t>
      </w:r>
    </w:p>
    <w:p w14:paraId="7C31EC73" w14:textId="77777777" w:rsidR="00215C5E" w:rsidRDefault="00215C5E">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sz w:val="24"/>
          <w:szCs w:val="24"/>
        </w:rPr>
      </w:pPr>
    </w:p>
    <w:p w14:paraId="2248F416" w14:textId="77777777" w:rsidR="00215C5E" w:rsidRDefault="001B7427">
      <w:pPr>
        <w:numPr>
          <w:ilvl w:val="0"/>
          <w:numId w:val="8"/>
        </w:numPr>
        <w:pBdr>
          <w:top w:val="nil"/>
          <w:left w:val="nil"/>
          <w:bottom w:val="nil"/>
          <w:right w:val="nil"/>
          <w:between w:val="nil"/>
        </w:pBdr>
        <w:spacing w:line="360" w:lineRule="auto"/>
        <w:ind w:left="0" w:right="49" w:firstLine="0"/>
        <w:jc w:val="both"/>
        <w:rPr>
          <w:color w:val="000000"/>
        </w:rPr>
      </w:pPr>
      <w:r>
        <w:rPr>
          <w:rFonts w:ascii="Palatino Linotype" w:eastAsia="Palatino Linotype" w:hAnsi="Palatino Linotype" w:cs="Palatino Linotype"/>
          <w:color w:val="000000"/>
          <w:sz w:val="24"/>
          <w:szCs w:val="24"/>
        </w:rPr>
        <w:t xml:space="preserve">Es así, que se puede determinar que una cuenta bancaria, es un </w:t>
      </w:r>
      <w:r>
        <w:rPr>
          <w:rFonts w:ascii="Palatino Linotype" w:eastAsia="Palatino Linotype" w:hAnsi="Palatino Linotype" w:cs="Palatino Linotype"/>
          <w:b/>
          <w:color w:val="000000"/>
          <w:sz w:val="24"/>
          <w:szCs w:val="24"/>
        </w:rPr>
        <w:t>contrato financiero</w:t>
      </w:r>
      <w:r>
        <w:rPr>
          <w:rFonts w:ascii="Palatino Linotype" w:eastAsia="Palatino Linotype" w:hAnsi="Palatino Linotype" w:cs="Palatino Linotype"/>
          <w:color w:val="000000"/>
          <w:sz w:val="24"/>
          <w:szCs w:val="24"/>
        </w:rPr>
        <w:t xml:space="preserve"> con una entidad bancaria mediante la cual se llevan a cabo registros contables de cargo o abono de las operaciones realizadas por un cliente.</w:t>
      </w:r>
    </w:p>
    <w:p w14:paraId="63C8B0A7" w14:textId="77777777" w:rsidR="00215C5E" w:rsidRDefault="00215C5E">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4"/>
          <w:szCs w:val="24"/>
        </w:rPr>
      </w:pPr>
    </w:p>
    <w:p w14:paraId="252DED82" w14:textId="77777777" w:rsidR="00215C5E" w:rsidRDefault="001B7427">
      <w:pPr>
        <w:numPr>
          <w:ilvl w:val="0"/>
          <w:numId w:val="8"/>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sz w:val="24"/>
          <w:szCs w:val="24"/>
        </w:rPr>
        <w:lastRenderedPageBreak/>
        <w:t xml:space="preserve">En ese sentido, es importante hacer referencia a los establecido en el numeral 23 de  Lineamientos de Control Financiero y Administrativo para la Entidades Fiscalizables Municipales del Estado de México, que en relación a este rubro señala: </w:t>
      </w:r>
    </w:p>
    <w:p w14:paraId="6DFD4AD9" w14:textId="77777777" w:rsidR="00215C5E" w:rsidRDefault="00215C5E">
      <w:pPr>
        <w:pBdr>
          <w:top w:val="nil"/>
          <w:left w:val="nil"/>
          <w:bottom w:val="nil"/>
          <w:right w:val="nil"/>
          <w:between w:val="nil"/>
        </w:pBdr>
        <w:ind w:left="720"/>
        <w:rPr>
          <w:rFonts w:ascii="Palatino Linotype" w:eastAsia="Palatino Linotype" w:hAnsi="Palatino Linotype" w:cs="Palatino Linotype"/>
          <w:b/>
          <w:color w:val="000000"/>
          <w:sz w:val="24"/>
          <w:szCs w:val="24"/>
          <w:u w:val="single"/>
        </w:rPr>
      </w:pPr>
    </w:p>
    <w:p w14:paraId="292D50A2" w14:textId="77777777" w:rsidR="00215C5E" w:rsidRDefault="001B7427">
      <w:pPr>
        <w:pBdr>
          <w:top w:val="nil"/>
          <w:left w:val="nil"/>
          <w:bottom w:val="nil"/>
          <w:right w:val="nil"/>
          <w:between w:val="nil"/>
        </w:pBdr>
        <w:spacing w:line="360" w:lineRule="auto"/>
        <w:ind w:left="851"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23.</w:t>
      </w:r>
      <w:r>
        <w:rPr>
          <w:rFonts w:ascii="Palatino Linotype" w:eastAsia="Palatino Linotype" w:hAnsi="Palatino Linotype" w:cs="Palatino Linotype"/>
          <w:i/>
          <w:color w:val="000000"/>
          <w:sz w:val="22"/>
          <w:szCs w:val="22"/>
        </w:rPr>
        <w:t xml:space="preserve"> El presidente y tesorero o equivalente deberán </w:t>
      </w:r>
      <w:proofErr w:type="spellStart"/>
      <w:r>
        <w:rPr>
          <w:rFonts w:ascii="Palatino Linotype" w:eastAsia="Palatino Linotype" w:hAnsi="Palatino Linotype" w:cs="Palatino Linotype"/>
          <w:i/>
          <w:color w:val="000000"/>
          <w:sz w:val="22"/>
          <w:szCs w:val="22"/>
        </w:rPr>
        <w:t>aperturar</w:t>
      </w:r>
      <w:proofErr w:type="spellEnd"/>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u w:val="single"/>
        </w:rPr>
        <w:t>cuentas bancarias</w:t>
      </w:r>
      <w:r>
        <w:rPr>
          <w:rFonts w:ascii="Palatino Linotype" w:eastAsia="Palatino Linotype" w:hAnsi="Palatino Linotype" w:cs="Palatino Linotype"/>
          <w:i/>
          <w:color w:val="000000"/>
          <w:sz w:val="22"/>
          <w:szCs w:val="22"/>
        </w:rPr>
        <w:t xml:space="preserve"> como personas jurídicas colectivas con fines no lucrativos o entes gubernamentales con firmas </w:t>
      </w:r>
      <w:r>
        <w:rPr>
          <w:rFonts w:ascii="Palatino Linotype" w:eastAsia="Palatino Linotype" w:hAnsi="Palatino Linotype" w:cs="Palatino Linotype"/>
          <w:b/>
          <w:i/>
          <w:color w:val="000000"/>
          <w:sz w:val="22"/>
          <w:szCs w:val="22"/>
          <w:u w:val="single"/>
        </w:rPr>
        <w:t>mancomunadas</w:t>
      </w:r>
      <w:r>
        <w:rPr>
          <w:rFonts w:ascii="Palatino Linotype" w:eastAsia="Palatino Linotype" w:hAnsi="Palatino Linotype" w:cs="Palatino Linotype"/>
          <w:i/>
          <w:color w:val="000000"/>
          <w:sz w:val="22"/>
          <w:szCs w:val="22"/>
        </w:rPr>
        <w:t xml:space="preserve">, a nombre de la entidad fiscalizable municipal, en el nombre del programa o recurso y el </w:t>
      </w:r>
      <w:r>
        <w:rPr>
          <w:rFonts w:ascii="Palatino Linotype" w:eastAsia="Palatino Linotype" w:hAnsi="Palatino Linotype" w:cs="Palatino Linotype"/>
          <w:b/>
          <w:i/>
          <w:color w:val="000000"/>
          <w:sz w:val="22"/>
          <w:szCs w:val="22"/>
          <w:u w:val="single"/>
        </w:rPr>
        <w:t>contrato respectivo</w:t>
      </w:r>
      <w:r>
        <w:rPr>
          <w:rFonts w:ascii="Palatino Linotype" w:eastAsia="Palatino Linotype" w:hAnsi="Palatino Linotype" w:cs="Palatino Linotype"/>
          <w:i/>
          <w:color w:val="000000"/>
          <w:sz w:val="22"/>
          <w:szCs w:val="22"/>
        </w:rPr>
        <w:t xml:space="preserve"> por cada uno de los recursos federales, estatales o municipales.”   </w:t>
      </w:r>
    </w:p>
    <w:p w14:paraId="4A7B1C9C" w14:textId="77777777" w:rsidR="00215C5E" w:rsidRDefault="00215C5E">
      <w:pPr>
        <w:pBdr>
          <w:top w:val="nil"/>
          <w:left w:val="nil"/>
          <w:bottom w:val="nil"/>
          <w:right w:val="nil"/>
          <w:between w:val="nil"/>
        </w:pBdr>
        <w:ind w:left="720"/>
        <w:rPr>
          <w:rFonts w:ascii="Palatino Linotype" w:eastAsia="Palatino Linotype" w:hAnsi="Palatino Linotype" w:cs="Palatino Linotype"/>
          <w:b/>
          <w:color w:val="000000"/>
          <w:sz w:val="24"/>
          <w:szCs w:val="24"/>
          <w:u w:val="single"/>
        </w:rPr>
      </w:pPr>
    </w:p>
    <w:p w14:paraId="70056AA1" w14:textId="77777777" w:rsidR="00215C5E" w:rsidRDefault="001B7427">
      <w:pPr>
        <w:numPr>
          <w:ilvl w:val="0"/>
          <w:numId w:val="8"/>
        </w:numPr>
        <w:pBdr>
          <w:top w:val="nil"/>
          <w:left w:val="nil"/>
          <w:bottom w:val="nil"/>
          <w:right w:val="nil"/>
          <w:between w:val="nil"/>
        </w:pBdr>
        <w:spacing w:line="360" w:lineRule="auto"/>
        <w:ind w:left="0" w:right="49" w:firstLine="0"/>
        <w:jc w:val="both"/>
        <w:rPr>
          <w:color w:val="000000"/>
        </w:rPr>
      </w:pPr>
      <w:r>
        <w:rPr>
          <w:rFonts w:ascii="Palatino Linotype" w:eastAsia="Palatino Linotype" w:hAnsi="Palatino Linotype" w:cs="Palatino Linotype"/>
          <w:color w:val="000000"/>
          <w:sz w:val="24"/>
          <w:szCs w:val="24"/>
        </w:rPr>
        <w:t xml:space="preserve">Por lo anterior, se deduce que 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tiene la obligación y responsabilidad de solicitar los servicios de la  Institución Bancaria que prefiera con el objeto de </w:t>
      </w:r>
      <w:r>
        <w:rPr>
          <w:rFonts w:ascii="Palatino Linotype" w:eastAsia="Palatino Linotype" w:hAnsi="Palatino Linotype" w:cs="Palatino Linotype"/>
          <w:b/>
          <w:color w:val="000000"/>
          <w:sz w:val="24"/>
          <w:szCs w:val="24"/>
          <w:u w:val="single"/>
        </w:rPr>
        <w:t>contratar</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la apertura de cuentas bancarias por cada uno de los programas o recursos federales, estatales o municipales; por ende la información solicitada por el particular</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es generada, administrada.</w:t>
      </w:r>
    </w:p>
    <w:p w14:paraId="1AD89A27" w14:textId="77777777" w:rsidR="00215C5E" w:rsidRDefault="00215C5E">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4"/>
          <w:szCs w:val="24"/>
        </w:rPr>
      </w:pPr>
    </w:p>
    <w:p w14:paraId="029E80CB" w14:textId="77777777" w:rsidR="00215C5E" w:rsidRDefault="001B7427">
      <w:pPr>
        <w:numPr>
          <w:ilvl w:val="0"/>
          <w:numId w:val="8"/>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sz w:val="24"/>
          <w:szCs w:val="24"/>
        </w:rPr>
        <w:t xml:space="preserve">No Obstante, el </w:t>
      </w:r>
      <w:r>
        <w:rPr>
          <w:rFonts w:ascii="Palatino Linotype" w:eastAsia="Palatino Linotype" w:hAnsi="Palatino Linotype" w:cs="Palatino Linotype"/>
          <w:b/>
          <w:color w:val="000000"/>
          <w:sz w:val="24"/>
          <w:szCs w:val="24"/>
        </w:rPr>
        <w:t>Código Civil Federal</w:t>
      </w:r>
      <w:r>
        <w:rPr>
          <w:rFonts w:ascii="Palatino Linotype" w:eastAsia="Palatino Linotype" w:hAnsi="Palatino Linotype" w:cs="Palatino Linotype"/>
          <w:color w:val="000000"/>
          <w:sz w:val="24"/>
          <w:szCs w:val="24"/>
        </w:rPr>
        <w:t xml:space="preserve"> correlativamente al </w:t>
      </w:r>
      <w:r>
        <w:rPr>
          <w:rFonts w:ascii="Palatino Linotype" w:eastAsia="Palatino Linotype" w:hAnsi="Palatino Linotype" w:cs="Palatino Linotype"/>
          <w:b/>
          <w:color w:val="000000"/>
          <w:sz w:val="24"/>
          <w:szCs w:val="24"/>
        </w:rPr>
        <w:t xml:space="preserve">Código Civil del Estado de México </w:t>
      </w:r>
      <w:r>
        <w:rPr>
          <w:rFonts w:ascii="Palatino Linotype" w:eastAsia="Palatino Linotype" w:hAnsi="Palatino Linotype" w:cs="Palatino Linotype"/>
          <w:color w:val="000000"/>
          <w:sz w:val="24"/>
          <w:szCs w:val="24"/>
        </w:rPr>
        <w:t>en sus artículos 1792 y 7.30 respectivamente conceptualizan al convenio como: “</w:t>
      </w:r>
      <w:r>
        <w:rPr>
          <w:rFonts w:ascii="Palatino Linotype" w:eastAsia="Palatino Linotype" w:hAnsi="Palatino Linotype" w:cs="Palatino Linotype"/>
          <w:i/>
          <w:color w:val="000000"/>
          <w:sz w:val="24"/>
          <w:szCs w:val="24"/>
        </w:rPr>
        <w:t>el acuerdo de dos o más personas para crear, transferir, modificar o extinguir obligaciones</w:t>
      </w:r>
      <w:r>
        <w:rPr>
          <w:rFonts w:ascii="Palatino Linotype" w:eastAsia="Palatino Linotype" w:hAnsi="Palatino Linotype" w:cs="Palatino Linotype"/>
          <w:color w:val="000000"/>
          <w:sz w:val="24"/>
          <w:szCs w:val="24"/>
        </w:rPr>
        <w:t>”, así mismo dichos ordenamientos jurídicos en sus artículos 1793 y 7.31 definen a los contratos como “</w:t>
      </w:r>
      <w:r>
        <w:rPr>
          <w:rFonts w:ascii="Palatino Linotype" w:eastAsia="Palatino Linotype" w:hAnsi="Palatino Linotype" w:cs="Palatino Linotype"/>
          <w:i/>
          <w:color w:val="000000"/>
          <w:sz w:val="24"/>
          <w:szCs w:val="24"/>
        </w:rPr>
        <w:t>convenios que producen o transfieren las obligaciones y derechos</w:t>
      </w:r>
      <w:r>
        <w:rPr>
          <w:rFonts w:ascii="Palatino Linotype" w:eastAsia="Palatino Linotype" w:hAnsi="Palatino Linotype" w:cs="Palatino Linotype"/>
          <w:color w:val="000000"/>
          <w:sz w:val="24"/>
          <w:szCs w:val="24"/>
        </w:rPr>
        <w:t>”.</w:t>
      </w:r>
    </w:p>
    <w:p w14:paraId="15BFAF2F" w14:textId="77777777" w:rsidR="00215C5E" w:rsidRDefault="00215C5E">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75B063D5" w14:textId="77777777" w:rsidR="00215C5E" w:rsidRDefault="001B7427">
      <w:pPr>
        <w:numPr>
          <w:ilvl w:val="0"/>
          <w:numId w:val="8"/>
        </w:numPr>
        <w:pBdr>
          <w:top w:val="nil"/>
          <w:left w:val="nil"/>
          <w:bottom w:val="nil"/>
          <w:right w:val="nil"/>
          <w:between w:val="nil"/>
        </w:pBdr>
        <w:spacing w:line="360" w:lineRule="auto"/>
        <w:ind w:left="0" w:right="49" w:firstLine="0"/>
        <w:jc w:val="both"/>
        <w:rPr>
          <w:color w:val="000000"/>
        </w:rPr>
      </w:pPr>
      <w:r>
        <w:rPr>
          <w:rFonts w:ascii="Palatino Linotype" w:eastAsia="Palatino Linotype" w:hAnsi="Palatino Linotype" w:cs="Palatino Linotype"/>
          <w:color w:val="000000"/>
          <w:sz w:val="24"/>
          <w:szCs w:val="24"/>
        </w:rPr>
        <w:lastRenderedPageBreak/>
        <w:t xml:space="preserve">Así mismo no se omite señalar que los contratos a que se refiere el párrafo anterior no tendrán validez si únicamente se encuentra manifiesta la voluntad de uno de los contratantes -en el presente caso- ya sea el Ayuntamiento o bien el proveedor o prestador de servicios, de conformidad con el artículo 7.33 del </w:t>
      </w:r>
      <w:r>
        <w:rPr>
          <w:rFonts w:ascii="Palatino Linotype" w:eastAsia="Palatino Linotype" w:hAnsi="Palatino Linotype" w:cs="Palatino Linotype"/>
          <w:b/>
          <w:color w:val="000000"/>
          <w:sz w:val="24"/>
          <w:szCs w:val="24"/>
        </w:rPr>
        <w:t>Código Civil del Estado de México</w:t>
      </w:r>
      <w:r>
        <w:rPr>
          <w:rFonts w:ascii="Palatino Linotype" w:eastAsia="Palatino Linotype" w:hAnsi="Palatino Linotype" w:cs="Palatino Linotype"/>
          <w:color w:val="000000"/>
          <w:sz w:val="24"/>
          <w:szCs w:val="24"/>
        </w:rPr>
        <w:t xml:space="preserve"> que a la letra señala:</w:t>
      </w:r>
    </w:p>
    <w:p w14:paraId="0AF2D758" w14:textId="77777777" w:rsidR="00215C5E" w:rsidRDefault="001B7427">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7.33.- La validez y el cumplimiento de los contratos no pueden dejarse a la voluntad de uno de los contratantes.</w:t>
      </w:r>
    </w:p>
    <w:p w14:paraId="213C1347" w14:textId="77777777" w:rsidR="00215C5E" w:rsidRDefault="00215C5E">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sz w:val="24"/>
          <w:szCs w:val="24"/>
        </w:rPr>
      </w:pPr>
    </w:p>
    <w:p w14:paraId="18BC4923" w14:textId="77777777" w:rsidR="00215C5E" w:rsidRDefault="001B7427">
      <w:pPr>
        <w:numPr>
          <w:ilvl w:val="0"/>
          <w:numId w:val="8"/>
        </w:numPr>
        <w:pBdr>
          <w:top w:val="nil"/>
          <w:left w:val="nil"/>
          <w:bottom w:val="nil"/>
          <w:right w:val="nil"/>
          <w:between w:val="nil"/>
        </w:pBdr>
        <w:spacing w:line="360" w:lineRule="auto"/>
        <w:ind w:left="0" w:right="49" w:firstLine="0"/>
        <w:jc w:val="both"/>
        <w:rPr>
          <w:color w:val="000000"/>
        </w:rPr>
      </w:pPr>
      <w:r>
        <w:rPr>
          <w:rFonts w:ascii="Palatino Linotype" w:eastAsia="Palatino Linotype" w:hAnsi="Palatino Linotype" w:cs="Palatino Linotype"/>
          <w:color w:val="000000"/>
          <w:sz w:val="24"/>
          <w:szCs w:val="24"/>
        </w:rPr>
        <w:t xml:space="preserve">Ahora bien, el contrato bancario puede definirse como aquellos acuerdos de voluntades por los que se crean, modifican o extinguen las relaciones jurídicas derivadas de operaciones bancarias. </w:t>
      </w:r>
    </w:p>
    <w:p w14:paraId="0A4E7BFD" w14:textId="77777777" w:rsidR="00215C5E" w:rsidRDefault="00215C5E">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4"/>
          <w:szCs w:val="24"/>
        </w:rPr>
      </w:pPr>
    </w:p>
    <w:p w14:paraId="7FF75C31" w14:textId="77777777" w:rsidR="00215C5E" w:rsidRDefault="001B7427">
      <w:pPr>
        <w:numPr>
          <w:ilvl w:val="0"/>
          <w:numId w:val="8"/>
        </w:numPr>
        <w:pBdr>
          <w:top w:val="nil"/>
          <w:left w:val="nil"/>
          <w:bottom w:val="nil"/>
          <w:right w:val="nil"/>
          <w:between w:val="nil"/>
        </w:pBdr>
        <w:spacing w:line="360" w:lineRule="auto"/>
        <w:ind w:left="0" w:right="49" w:firstLine="0"/>
        <w:jc w:val="both"/>
        <w:rPr>
          <w:color w:val="000000"/>
        </w:rPr>
      </w:pPr>
      <w:r>
        <w:rPr>
          <w:rFonts w:ascii="Palatino Linotype" w:eastAsia="Palatino Linotype" w:hAnsi="Palatino Linotype" w:cs="Palatino Linotype"/>
          <w:color w:val="000000"/>
          <w:sz w:val="24"/>
          <w:szCs w:val="24"/>
        </w:rPr>
        <w:t xml:space="preserve">En este sentido, es indudable el hecho de que 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tiene la obligación de </w:t>
      </w:r>
      <w:proofErr w:type="spellStart"/>
      <w:r>
        <w:rPr>
          <w:rFonts w:ascii="Palatino Linotype" w:eastAsia="Palatino Linotype" w:hAnsi="Palatino Linotype" w:cs="Palatino Linotype"/>
          <w:color w:val="000000"/>
          <w:sz w:val="24"/>
          <w:szCs w:val="24"/>
        </w:rPr>
        <w:t>aperturar</w:t>
      </w:r>
      <w:proofErr w:type="spellEnd"/>
      <w:r>
        <w:rPr>
          <w:rFonts w:ascii="Palatino Linotype" w:eastAsia="Palatino Linotype" w:hAnsi="Palatino Linotype" w:cs="Palatino Linotype"/>
          <w:color w:val="000000"/>
          <w:sz w:val="24"/>
          <w:szCs w:val="24"/>
        </w:rPr>
        <w:t xml:space="preserve"> cuentas bancarias a efecto de que le sean depositados recursos del orden federal, estatal y para los ingresos propios del Municipio, cuantas bancarias que se </w:t>
      </w:r>
      <w:proofErr w:type="spellStart"/>
      <w:r>
        <w:rPr>
          <w:rFonts w:ascii="Palatino Linotype" w:eastAsia="Palatino Linotype" w:hAnsi="Palatino Linotype" w:cs="Palatino Linotype"/>
          <w:color w:val="000000"/>
          <w:sz w:val="24"/>
          <w:szCs w:val="24"/>
        </w:rPr>
        <w:t>aperturan</w:t>
      </w:r>
      <w:proofErr w:type="spellEnd"/>
      <w:r>
        <w:rPr>
          <w:rFonts w:ascii="Palatino Linotype" w:eastAsia="Palatino Linotype" w:hAnsi="Palatino Linotype" w:cs="Palatino Linotype"/>
          <w:color w:val="000000"/>
          <w:sz w:val="24"/>
          <w:szCs w:val="24"/>
        </w:rPr>
        <w:t xml:space="preserve"> a partir de la celebración de contratos de los cuales como se ha dicho se puede obtener la denominación de la Institución Bancaria y un número de cuenta, entre otra información.</w:t>
      </w:r>
    </w:p>
    <w:p w14:paraId="4F98C859" w14:textId="77777777" w:rsidR="00215C5E" w:rsidRDefault="00215C5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334AE49C" w14:textId="77777777" w:rsidR="00215C5E" w:rsidRDefault="001B7427">
      <w:pPr>
        <w:numPr>
          <w:ilvl w:val="0"/>
          <w:numId w:val="8"/>
        </w:numPr>
        <w:pBdr>
          <w:top w:val="nil"/>
          <w:left w:val="nil"/>
          <w:bottom w:val="nil"/>
          <w:right w:val="nil"/>
          <w:between w:val="nil"/>
        </w:pBdr>
        <w:spacing w:line="360" w:lineRule="auto"/>
        <w:ind w:left="0" w:right="49" w:firstLine="0"/>
        <w:jc w:val="both"/>
        <w:rPr>
          <w:color w:val="000000"/>
        </w:rPr>
      </w:pPr>
      <w:r>
        <w:rPr>
          <w:rFonts w:ascii="Palatino Linotype" w:eastAsia="Palatino Linotype" w:hAnsi="Palatino Linotype" w:cs="Palatino Linotype"/>
          <w:color w:val="000000"/>
          <w:sz w:val="24"/>
          <w:szCs w:val="24"/>
        </w:rPr>
        <w:t xml:space="preserve">Ahora bien, por lo que corresponde al Estado de Cuenta,  el artículo 2°, fracción III, de la Ley General de Títulos y Operaciones de Crédito establece que los actos y las operaciones que regula esta Ley General, se regirán por los </w:t>
      </w:r>
      <w:r>
        <w:rPr>
          <w:rFonts w:ascii="Palatino Linotype" w:eastAsia="Palatino Linotype" w:hAnsi="Palatino Linotype" w:cs="Palatino Linotype"/>
          <w:b/>
          <w:color w:val="000000"/>
          <w:sz w:val="24"/>
          <w:szCs w:val="24"/>
        </w:rPr>
        <w:t xml:space="preserve">usos bancarios y </w:t>
      </w:r>
      <w:r>
        <w:rPr>
          <w:rFonts w:ascii="Palatino Linotype" w:eastAsia="Palatino Linotype" w:hAnsi="Palatino Linotype" w:cs="Palatino Linotype"/>
          <w:b/>
          <w:color w:val="000000"/>
          <w:sz w:val="24"/>
          <w:szCs w:val="24"/>
        </w:rPr>
        <w:lastRenderedPageBreak/>
        <w:t>mercantiles</w:t>
      </w:r>
      <w:r>
        <w:rPr>
          <w:rFonts w:ascii="Palatino Linotype" w:eastAsia="Palatino Linotype" w:hAnsi="Palatino Linotype" w:cs="Palatino Linotype"/>
          <w:color w:val="000000"/>
          <w:sz w:val="24"/>
          <w:szCs w:val="24"/>
        </w:rPr>
        <w:t>, es así que, a manera de contextualización el estado de cuenta se definen como:</w:t>
      </w:r>
    </w:p>
    <w:p w14:paraId="5B310C30" w14:textId="77777777" w:rsidR="00215C5E" w:rsidRDefault="00215C5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03AD6D46" w14:textId="77777777" w:rsidR="00215C5E" w:rsidRDefault="001B7427">
      <w:pPr>
        <w:numPr>
          <w:ilvl w:val="0"/>
          <w:numId w:val="6"/>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Estado de cuenta:</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color w:val="000000"/>
          <w:sz w:val="22"/>
          <w:szCs w:val="22"/>
          <w:u w:val="single"/>
        </w:rPr>
        <w:t>Un estado de cuenta bancario es un documento oficial, generalmente mensual, emitido por la institución bancaria con la que tiene la cuenta. Este documento contiene todos los movimientos de la cuenta realizados en el mes, además de contener datos como número de cuenta, de tarjeta, saldo al corte, fecha de pago, monto mínimo a pagar, tasa de interés, en caso de ser tarjeta de crédito, entre otros datos relevantes y confidenciales para el usuario.</w:t>
      </w:r>
    </w:p>
    <w:p w14:paraId="2F45D61F" w14:textId="77777777" w:rsidR="00215C5E" w:rsidRDefault="00215C5E">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4"/>
          <w:szCs w:val="24"/>
        </w:rPr>
      </w:pPr>
    </w:p>
    <w:p w14:paraId="253425E0" w14:textId="77777777" w:rsidR="00215C5E" w:rsidRDefault="00215C5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5C9DC835" w14:textId="77777777" w:rsidR="00215C5E" w:rsidRDefault="001B7427">
      <w:pPr>
        <w:numPr>
          <w:ilvl w:val="0"/>
          <w:numId w:val="8"/>
        </w:numPr>
        <w:pBdr>
          <w:top w:val="nil"/>
          <w:left w:val="nil"/>
          <w:bottom w:val="nil"/>
          <w:right w:val="nil"/>
          <w:between w:val="nil"/>
        </w:pBdr>
        <w:spacing w:line="360" w:lineRule="auto"/>
        <w:ind w:left="0" w:right="49" w:firstLine="0"/>
        <w:jc w:val="both"/>
        <w:rPr>
          <w:color w:val="000000"/>
        </w:rPr>
      </w:pPr>
      <w:r>
        <w:rPr>
          <w:rFonts w:ascii="Palatino Linotype" w:eastAsia="Palatino Linotype" w:hAnsi="Palatino Linotype" w:cs="Palatino Linotype"/>
          <w:color w:val="000000"/>
          <w:sz w:val="24"/>
          <w:szCs w:val="24"/>
        </w:rPr>
        <w:t xml:space="preserve">Derivado de lo anterior, se considera que el estado de cuenta bancaria y la CLABE interbancaria, del Municipio se encuentra asociado a su patrimonio, entendiendo éste como el conjunto de bienes, fondos, derechos, obligaciones, etc. </w:t>
      </w:r>
      <w:r>
        <w:rPr>
          <w:rFonts w:ascii="Palatino Linotype" w:eastAsia="Palatino Linotype" w:hAnsi="Palatino Linotype" w:cs="Palatino Linotype"/>
          <w:sz w:val="24"/>
          <w:szCs w:val="24"/>
        </w:rPr>
        <w:t>Por</w:t>
      </w:r>
      <w:r>
        <w:rPr>
          <w:rFonts w:ascii="Palatino Linotype" w:eastAsia="Palatino Linotype" w:hAnsi="Palatino Linotype" w:cs="Palatino Linotype"/>
          <w:color w:val="000000"/>
          <w:sz w:val="24"/>
          <w:szCs w:val="24"/>
        </w:rPr>
        <w:t xml:space="preserve"> tanto, se trata de información de dominio público, además de que el Municipio de Chiautla cuenta con personalidad jurídica y patrimonio propios, autonomía de decisión técnica, operativa y administrativa en términos de la Ley Orgánica Municipal.</w:t>
      </w:r>
    </w:p>
    <w:p w14:paraId="2C167E2F" w14:textId="77777777" w:rsidR="00215C5E" w:rsidRDefault="00215C5E">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4"/>
          <w:szCs w:val="24"/>
        </w:rPr>
      </w:pPr>
    </w:p>
    <w:p w14:paraId="75F39E3F" w14:textId="77777777" w:rsidR="00215C5E" w:rsidRDefault="001B7427">
      <w:pPr>
        <w:numPr>
          <w:ilvl w:val="0"/>
          <w:numId w:val="8"/>
        </w:numPr>
        <w:pBdr>
          <w:top w:val="nil"/>
          <w:left w:val="nil"/>
          <w:bottom w:val="nil"/>
          <w:right w:val="nil"/>
          <w:between w:val="nil"/>
        </w:pBdr>
        <w:spacing w:line="360" w:lineRule="auto"/>
        <w:ind w:left="0" w:right="49" w:firstLine="0"/>
        <w:jc w:val="both"/>
        <w:rPr>
          <w:color w:val="000000"/>
        </w:rPr>
      </w:pPr>
      <w:r>
        <w:rPr>
          <w:rFonts w:ascii="Palatino Linotype" w:eastAsia="Palatino Linotype" w:hAnsi="Palatino Linotype" w:cs="Palatino Linotype"/>
          <w:color w:val="000000"/>
          <w:sz w:val="24"/>
          <w:szCs w:val="24"/>
        </w:rPr>
        <w:t>Por su parte los LINEAMIENTOS DE CONTROL FINANCIERO Y ADMINISTRATIVO PARA LAS ENTIDADES FISCALIZABLES MUNICIPALES DEL ESTADO DE MÉXICO, publicados en la Gaceta de Gobierno en fecha 11 de julio de 2013 establecen lo siguiente:</w:t>
      </w:r>
    </w:p>
    <w:p w14:paraId="1E0ADA8A" w14:textId="77777777" w:rsidR="00215C5E" w:rsidRDefault="00215C5E">
      <w:pPr>
        <w:tabs>
          <w:tab w:val="left" w:pos="7938"/>
        </w:tabs>
        <w:spacing w:line="360" w:lineRule="auto"/>
        <w:jc w:val="both"/>
        <w:rPr>
          <w:rFonts w:ascii="Palatino Linotype" w:eastAsia="Palatino Linotype" w:hAnsi="Palatino Linotype" w:cs="Palatino Linotype"/>
          <w:sz w:val="24"/>
          <w:szCs w:val="24"/>
        </w:rPr>
      </w:pPr>
    </w:p>
    <w:p w14:paraId="216E9928" w14:textId="77777777" w:rsidR="00215C5E" w:rsidRDefault="001B7427">
      <w:pPr>
        <w:tabs>
          <w:tab w:val="left" w:pos="7938"/>
        </w:tabs>
        <w:spacing w:line="360" w:lineRule="auto"/>
        <w:ind w:left="851"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lastRenderedPageBreak/>
        <w:t>“</w:t>
      </w:r>
      <w:r>
        <w:rPr>
          <w:rFonts w:ascii="Palatino Linotype" w:eastAsia="Palatino Linotype" w:hAnsi="Palatino Linotype" w:cs="Palatino Linotype"/>
          <w:i/>
          <w:sz w:val="22"/>
          <w:szCs w:val="22"/>
        </w:rPr>
        <w:t xml:space="preserve">DÉCIMO QUINTO: El tesorero deberá identificar y verificar los cálculos y registrar en el periodo correspondiente los intereses generados </w:t>
      </w:r>
      <w:r>
        <w:rPr>
          <w:rFonts w:ascii="Palatino Linotype" w:eastAsia="Palatino Linotype" w:hAnsi="Palatino Linotype" w:cs="Palatino Linotype"/>
          <w:b/>
          <w:i/>
          <w:sz w:val="22"/>
          <w:szCs w:val="22"/>
          <w:u w:val="single"/>
        </w:rPr>
        <w:t>en cada una de las cuentas bancarias</w:t>
      </w:r>
      <w:r>
        <w:rPr>
          <w:rFonts w:ascii="Palatino Linotype" w:eastAsia="Palatino Linotype" w:hAnsi="Palatino Linotype" w:cs="Palatino Linotype"/>
          <w:i/>
          <w:sz w:val="22"/>
          <w:szCs w:val="22"/>
        </w:rPr>
        <w:t>.</w:t>
      </w:r>
    </w:p>
    <w:p w14:paraId="2AF64FC6" w14:textId="77777777" w:rsidR="00215C5E" w:rsidRDefault="001B7427">
      <w:pPr>
        <w:tabs>
          <w:tab w:val="left" w:pos="7938"/>
        </w:tabs>
        <w:spacing w:line="360" w:lineRule="auto"/>
        <w:ind w:left="851"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65F3A44" w14:textId="77777777" w:rsidR="00215C5E" w:rsidRDefault="001B7427">
      <w:pPr>
        <w:tabs>
          <w:tab w:val="left" w:pos="7938"/>
        </w:tabs>
        <w:spacing w:line="360" w:lineRule="auto"/>
        <w:ind w:left="851" w:right="850"/>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TÍTULO SEGUNDO</w:t>
      </w:r>
    </w:p>
    <w:p w14:paraId="4E4B2CA7" w14:textId="77777777" w:rsidR="00215C5E" w:rsidRDefault="001B7427">
      <w:pPr>
        <w:tabs>
          <w:tab w:val="left" w:pos="7938"/>
        </w:tabs>
        <w:spacing w:line="360" w:lineRule="auto"/>
        <w:ind w:left="851" w:right="850"/>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LINEAMIENTOS DE CONTROL</w:t>
      </w:r>
    </w:p>
    <w:p w14:paraId="34FCD65D" w14:textId="77777777" w:rsidR="00215C5E" w:rsidRDefault="001B7427">
      <w:pPr>
        <w:tabs>
          <w:tab w:val="left" w:pos="7938"/>
        </w:tabs>
        <w:spacing w:line="360" w:lineRule="auto"/>
        <w:ind w:left="851" w:right="850"/>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FINANCIERO Y ADMINISTRATIVO</w:t>
      </w:r>
    </w:p>
    <w:p w14:paraId="62B88380" w14:textId="77777777" w:rsidR="00215C5E" w:rsidRDefault="00215C5E">
      <w:pPr>
        <w:tabs>
          <w:tab w:val="left" w:pos="7938"/>
        </w:tabs>
        <w:spacing w:line="360" w:lineRule="auto"/>
        <w:ind w:left="851" w:right="850"/>
        <w:jc w:val="both"/>
        <w:rPr>
          <w:rFonts w:ascii="Palatino Linotype" w:eastAsia="Palatino Linotype" w:hAnsi="Palatino Linotype" w:cs="Palatino Linotype"/>
          <w:b/>
          <w:i/>
          <w:sz w:val="22"/>
          <w:szCs w:val="22"/>
        </w:rPr>
      </w:pPr>
    </w:p>
    <w:p w14:paraId="5B99BDE9" w14:textId="77777777" w:rsidR="00215C5E" w:rsidRDefault="001B7427">
      <w:pPr>
        <w:tabs>
          <w:tab w:val="left" w:pos="7938"/>
        </w:tabs>
        <w:spacing w:line="360" w:lineRule="auto"/>
        <w:ind w:left="851" w:right="85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INGRESOS</w:t>
      </w:r>
    </w:p>
    <w:p w14:paraId="34176983" w14:textId="77777777" w:rsidR="00215C5E" w:rsidRDefault="001B7427">
      <w:pPr>
        <w:tabs>
          <w:tab w:val="left" w:pos="7938"/>
        </w:tabs>
        <w:spacing w:line="360" w:lineRule="auto"/>
        <w:ind w:left="851" w:right="85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EFECTIVO</w:t>
      </w:r>
    </w:p>
    <w:p w14:paraId="0137A694" w14:textId="77777777" w:rsidR="00215C5E" w:rsidRDefault="001B7427">
      <w:pPr>
        <w:tabs>
          <w:tab w:val="left" w:pos="7938"/>
        </w:tabs>
        <w:spacing w:line="360" w:lineRule="auto"/>
        <w:ind w:left="851" w:right="85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Son obligaciones a cargo del Tesorero:</w:t>
      </w:r>
    </w:p>
    <w:p w14:paraId="4EFE2307" w14:textId="77777777" w:rsidR="00215C5E" w:rsidRDefault="001B7427">
      <w:pPr>
        <w:tabs>
          <w:tab w:val="left" w:pos="7938"/>
        </w:tabs>
        <w:spacing w:line="360" w:lineRule="auto"/>
        <w:ind w:left="851"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692A448" w14:textId="77777777" w:rsidR="00215C5E" w:rsidRDefault="001B7427">
      <w:pPr>
        <w:tabs>
          <w:tab w:val="left" w:pos="7938"/>
        </w:tabs>
        <w:spacing w:line="360" w:lineRule="auto"/>
        <w:ind w:left="851"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2. Depositar íntegra y diariamente los ingresos recaudados de la entidad fiscalizable municipal, </w:t>
      </w:r>
      <w:r>
        <w:rPr>
          <w:rFonts w:ascii="Palatino Linotype" w:eastAsia="Palatino Linotype" w:hAnsi="Palatino Linotype" w:cs="Palatino Linotype"/>
          <w:b/>
          <w:i/>
          <w:sz w:val="22"/>
          <w:szCs w:val="22"/>
          <w:u w:val="single"/>
        </w:rPr>
        <w:t>en la cuenta bancaria de recursos propios correspondiente</w:t>
      </w:r>
      <w:r>
        <w:rPr>
          <w:rFonts w:ascii="Palatino Linotype" w:eastAsia="Palatino Linotype" w:hAnsi="Palatino Linotype" w:cs="Palatino Linotype"/>
          <w:i/>
          <w:sz w:val="22"/>
          <w:szCs w:val="22"/>
        </w:rPr>
        <w:t>, cuando se cuente con institución bancaria en la localidad. En caso de no contar con ésta, el depósito deberá realizarse a más tardar al tercer día hábil de aquel en que se recaudó.</w:t>
      </w:r>
    </w:p>
    <w:p w14:paraId="42B509D7" w14:textId="77777777" w:rsidR="00215C5E" w:rsidRDefault="001B7427">
      <w:pPr>
        <w:tabs>
          <w:tab w:val="left" w:pos="7938"/>
        </w:tabs>
        <w:spacing w:line="360" w:lineRule="auto"/>
        <w:ind w:left="851"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64752F9" w14:textId="77777777" w:rsidR="00215C5E" w:rsidRDefault="001B7427">
      <w:pPr>
        <w:tabs>
          <w:tab w:val="left" w:pos="7938"/>
        </w:tabs>
        <w:spacing w:line="360" w:lineRule="auto"/>
        <w:ind w:left="851" w:right="85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BANCOS</w:t>
      </w:r>
    </w:p>
    <w:p w14:paraId="6946FA70" w14:textId="77777777" w:rsidR="00215C5E" w:rsidRDefault="001B7427">
      <w:pPr>
        <w:tabs>
          <w:tab w:val="left" w:pos="7938"/>
        </w:tabs>
        <w:spacing w:line="360" w:lineRule="auto"/>
        <w:ind w:left="851" w:right="85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p>
    <w:p w14:paraId="63028EAD" w14:textId="77777777" w:rsidR="00215C5E" w:rsidRDefault="001B7427">
      <w:pPr>
        <w:tabs>
          <w:tab w:val="left" w:pos="7938"/>
        </w:tabs>
        <w:spacing w:line="360" w:lineRule="auto"/>
        <w:ind w:left="851" w:right="85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Son obligaciones del Presidente y Tesorero:</w:t>
      </w:r>
    </w:p>
    <w:p w14:paraId="74286394" w14:textId="77777777" w:rsidR="00215C5E" w:rsidRDefault="001B7427">
      <w:pPr>
        <w:tabs>
          <w:tab w:val="left" w:pos="7938"/>
        </w:tabs>
        <w:spacing w:line="360" w:lineRule="auto"/>
        <w:ind w:left="851"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23. </w:t>
      </w:r>
      <w:r>
        <w:rPr>
          <w:rFonts w:ascii="Palatino Linotype" w:eastAsia="Palatino Linotype" w:hAnsi="Palatino Linotype" w:cs="Palatino Linotype"/>
          <w:b/>
          <w:i/>
          <w:sz w:val="22"/>
          <w:szCs w:val="22"/>
          <w:u w:val="single"/>
        </w:rPr>
        <w:t xml:space="preserve">El presidente y tesorero o equivalente deberán </w:t>
      </w:r>
      <w:proofErr w:type="spellStart"/>
      <w:r>
        <w:rPr>
          <w:rFonts w:ascii="Palatino Linotype" w:eastAsia="Palatino Linotype" w:hAnsi="Palatino Linotype" w:cs="Palatino Linotype"/>
          <w:b/>
          <w:i/>
          <w:sz w:val="22"/>
          <w:szCs w:val="22"/>
          <w:u w:val="single"/>
        </w:rPr>
        <w:t>aperturar</w:t>
      </w:r>
      <w:proofErr w:type="spellEnd"/>
      <w:r>
        <w:rPr>
          <w:rFonts w:ascii="Palatino Linotype" w:eastAsia="Palatino Linotype" w:hAnsi="Palatino Linotype" w:cs="Palatino Linotype"/>
          <w:b/>
          <w:i/>
          <w:sz w:val="22"/>
          <w:szCs w:val="22"/>
          <w:u w:val="single"/>
        </w:rPr>
        <w:t xml:space="preserve"> las cuentas bancarias</w:t>
      </w:r>
      <w:r>
        <w:rPr>
          <w:rFonts w:ascii="Palatino Linotype" w:eastAsia="Palatino Linotype" w:hAnsi="Palatino Linotype" w:cs="Palatino Linotype"/>
          <w:i/>
          <w:sz w:val="22"/>
          <w:szCs w:val="22"/>
        </w:rPr>
        <w:t xml:space="preserve"> como personas jurídicas colectivas con fines no lucrativos o entes gubernamentales con firmas mancomunadas, a nombre de la entidad fiscalizable municipal, con el nombre del programa o recurso y el contrato respectivo por cada uno de los recursos federales, estatales o municipales.</w:t>
      </w:r>
    </w:p>
    <w:p w14:paraId="4C8111B6" w14:textId="77777777" w:rsidR="00215C5E" w:rsidRDefault="001B7427">
      <w:pPr>
        <w:tabs>
          <w:tab w:val="left" w:pos="7938"/>
        </w:tabs>
        <w:spacing w:line="360" w:lineRule="auto"/>
        <w:ind w:left="851"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p>
    <w:p w14:paraId="0E915128" w14:textId="77777777" w:rsidR="00215C5E" w:rsidRDefault="001B7427">
      <w:pPr>
        <w:tabs>
          <w:tab w:val="left" w:pos="7938"/>
        </w:tabs>
        <w:spacing w:line="360" w:lineRule="auto"/>
        <w:ind w:left="851"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24. Abstenerse de mezclar tanto </w:t>
      </w:r>
      <w:r>
        <w:rPr>
          <w:rFonts w:ascii="Palatino Linotype" w:eastAsia="Palatino Linotype" w:hAnsi="Palatino Linotype" w:cs="Palatino Linotype"/>
          <w:b/>
          <w:i/>
          <w:sz w:val="22"/>
          <w:szCs w:val="22"/>
          <w:u w:val="single"/>
        </w:rPr>
        <w:t>en las cuentas bancarias</w:t>
      </w:r>
      <w:r>
        <w:rPr>
          <w:rFonts w:ascii="Palatino Linotype" w:eastAsia="Palatino Linotype" w:hAnsi="Palatino Linotype" w:cs="Palatino Linotype"/>
          <w:i/>
          <w:sz w:val="22"/>
          <w:szCs w:val="22"/>
        </w:rPr>
        <w:t xml:space="preserve"> como en sus registros contables, los ingresos provenientes de recursos federales, estatales o municipales entre sí, incluyendo los de financiamiento a corto y largo plazo y </w:t>
      </w:r>
      <w:r>
        <w:rPr>
          <w:rFonts w:ascii="Palatino Linotype" w:eastAsia="Palatino Linotype" w:hAnsi="Palatino Linotype" w:cs="Palatino Linotype"/>
          <w:b/>
          <w:i/>
          <w:sz w:val="22"/>
          <w:szCs w:val="22"/>
          <w:u w:val="single"/>
        </w:rPr>
        <w:t>deberán contabilizar individualmente en una cuenta específica cada uno de ellos</w:t>
      </w:r>
      <w:r>
        <w:rPr>
          <w:rFonts w:ascii="Palatino Linotype" w:eastAsia="Palatino Linotype" w:hAnsi="Palatino Linotype" w:cs="Palatino Linotype"/>
          <w:i/>
          <w:sz w:val="22"/>
          <w:szCs w:val="22"/>
        </w:rPr>
        <w:t>.</w:t>
      </w:r>
    </w:p>
    <w:p w14:paraId="77E31D6E" w14:textId="77777777" w:rsidR="00215C5E" w:rsidRDefault="001B7427">
      <w:pPr>
        <w:tabs>
          <w:tab w:val="left" w:pos="7938"/>
        </w:tabs>
        <w:spacing w:line="360" w:lineRule="auto"/>
        <w:ind w:left="851"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EED041D" w14:textId="77777777" w:rsidR="00215C5E" w:rsidRDefault="001B7427">
      <w:pPr>
        <w:tabs>
          <w:tab w:val="left" w:pos="7938"/>
        </w:tabs>
        <w:spacing w:line="360" w:lineRule="auto"/>
        <w:ind w:left="851"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CONSTRUCCIONES EN PROCESO EN BIENES DEL DOMINIO PÚBLICO</w:t>
      </w:r>
    </w:p>
    <w:p w14:paraId="45C3AFD1" w14:textId="77777777" w:rsidR="00215C5E" w:rsidRDefault="001B7427">
      <w:pPr>
        <w:tabs>
          <w:tab w:val="left" w:pos="7938"/>
        </w:tabs>
        <w:spacing w:line="360" w:lineRule="auto"/>
        <w:ind w:left="851"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F3CB240" w14:textId="77777777" w:rsidR="00215C5E" w:rsidRDefault="001B7427">
      <w:pPr>
        <w:tabs>
          <w:tab w:val="left" w:pos="7938"/>
        </w:tabs>
        <w:spacing w:line="360" w:lineRule="auto"/>
        <w:ind w:left="851"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51. Tratándose de la realización de obras que cuenten con aportaciones comunitarias, independientemente de que se ejecuten con recursos federales, estatales o municipales, el tesorero deberá llevar a cabo el seguimiento, ejecución y control de dichas aportaciones, </w:t>
      </w:r>
      <w:r>
        <w:rPr>
          <w:rFonts w:ascii="Palatino Linotype" w:eastAsia="Palatino Linotype" w:hAnsi="Palatino Linotype" w:cs="Palatino Linotype"/>
          <w:b/>
          <w:i/>
          <w:sz w:val="22"/>
          <w:szCs w:val="22"/>
          <w:u w:val="single"/>
        </w:rPr>
        <w:t>debiendo depositarlas en la cuenta bancaria específica del fondo de donde provengan los recursos</w:t>
      </w:r>
      <w:r>
        <w:rPr>
          <w:rFonts w:ascii="Palatino Linotype" w:eastAsia="Palatino Linotype" w:hAnsi="Palatino Linotype" w:cs="Palatino Linotype"/>
          <w:i/>
          <w:sz w:val="22"/>
          <w:szCs w:val="22"/>
        </w:rPr>
        <w:t>, así mismo, deberá elaborar el recibo oficial de ingresos correspondiente con copia al comité comunitario.</w:t>
      </w:r>
    </w:p>
    <w:p w14:paraId="568F2C79" w14:textId="77777777" w:rsidR="00215C5E" w:rsidRDefault="001B7427">
      <w:pPr>
        <w:tabs>
          <w:tab w:val="left" w:pos="7938"/>
        </w:tabs>
        <w:spacing w:line="360" w:lineRule="auto"/>
        <w:ind w:left="851"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DA9F519" w14:textId="77777777" w:rsidR="00215C5E" w:rsidRDefault="001B7427">
      <w:pPr>
        <w:tabs>
          <w:tab w:val="left" w:pos="7938"/>
        </w:tabs>
        <w:spacing w:line="360" w:lineRule="auto"/>
        <w:ind w:left="851" w:right="85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SUELDOS Y SALARIOS POR PAGAR</w:t>
      </w:r>
    </w:p>
    <w:p w14:paraId="0C2CA371" w14:textId="77777777" w:rsidR="00215C5E" w:rsidRDefault="001B7427">
      <w:pPr>
        <w:tabs>
          <w:tab w:val="left" w:pos="7938"/>
        </w:tabs>
        <w:spacing w:line="360" w:lineRule="auto"/>
        <w:ind w:left="851" w:right="85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Son obligaciones del Tesorero:</w:t>
      </w:r>
    </w:p>
    <w:p w14:paraId="2786D3FC" w14:textId="77777777" w:rsidR="00215C5E" w:rsidRDefault="001B7427">
      <w:pPr>
        <w:tabs>
          <w:tab w:val="left" w:pos="7938"/>
        </w:tabs>
        <w:spacing w:line="360" w:lineRule="auto"/>
        <w:ind w:left="851"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A7F2B48" w14:textId="77777777" w:rsidR="00215C5E" w:rsidRDefault="001B7427">
      <w:pPr>
        <w:tabs>
          <w:tab w:val="left" w:pos="7938"/>
        </w:tabs>
        <w:spacing w:line="360" w:lineRule="auto"/>
        <w:ind w:left="851"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66. Depositar los sueldos y salarios no cobrados en un plazo no mayor a cinco días hábiles siguientes a la fecha en que debió hacerse el pago, </w:t>
      </w:r>
      <w:r>
        <w:rPr>
          <w:rFonts w:ascii="Palatino Linotype" w:eastAsia="Palatino Linotype" w:hAnsi="Palatino Linotype" w:cs="Palatino Linotype"/>
          <w:b/>
          <w:i/>
          <w:sz w:val="22"/>
          <w:szCs w:val="22"/>
          <w:u w:val="single"/>
        </w:rPr>
        <w:t>en la cuenta bancaria de la cual salió el recurso</w:t>
      </w:r>
      <w:r>
        <w:rPr>
          <w:rFonts w:ascii="Palatino Linotype" w:eastAsia="Palatino Linotype" w:hAnsi="Palatino Linotype" w:cs="Palatino Linotype"/>
          <w:i/>
          <w:sz w:val="22"/>
          <w:szCs w:val="22"/>
        </w:rPr>
        <w:t>.”</w:t>
      </w:r>
    </w:p>
    <w:p w14:paraId="7BAC66F5" w14:textId="77777777" w:rsidR="00215C5E" w:rsidRDefault="001B7427">
      <w:pPr>
        <w:numPr>
          <w:ilvl w:val="0"/>
          <w:numId w:val="8"/>
        </w:numPr>
        <w:pBdr>
          <w:top w:val="nil"/>
          <w:left w:val="nil"/>
          <w:bottom w:val="nil"/>
          <w:right w:val="nil"/>
          <w:between w:val="nil"/>
        </w:pBdr>
        <w:tabs>
          <w:tab w:val="left" w:pos="284"/>
        </w:tabs>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Como podemos apreciar en el punto 24 (veinticuatro) se le impone al Tesorero municipal abstenerse de mezclar tanto en las cuentas bancarias como en sus registros </w:t>
      </w:r>
      <w:r>
        <w:rPr>
          <w:rFonts w:ascii="Palatino Linotype" w:eastAsia="Palatino Linotype" w:hAnsi="Palatino Linotype" w:cs="Palatino Linotype"/>
          <w:color w:val="000000"/>
          <w:sz w:val="24"/>
          <w:szCs w:val="24"/>
        </w:rPr>
        <w:lastRenderedPageBreak/>
        <w:t>contables, los ingresos provenientes de recursos federales, estatales o municipales entre sí, incluyendo los de financiamiento a corto y largo plazo, estableciendo que dichos recursos se deberán contabilizar individualmente en una cuenta específica para cada uno de ellos, en el punto 51 (cincuenta y uno) se impone al tesorero llevar a cabo el seguimiento, ejecución y control de las aportaciones a las obras, debiendo depositarlas en la cuenta bancaria específica del fondo de donde provengan los recursos.</w:t>
      </w:r>
    </w:p>
    <w:p w14:paraId="1FF6C44F" w14:textId="77777777" w:rsidR="00215C5E" w:rsidRDefault="00215C5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4"/>
          <w:szCs w:val="24"/>
        </w:rPr>
      </w:pPr>
    </w:p>
    <w:p w14:paraId="58D5D58D" w14:textId="77777777" w:rsidR="00215C5E" w:rsidRDefault="001B7427">
      <w:pPr>
        <w:numPr>
          <w:ilvl w:val="0"/>
          <w:numId w:val="8"/>
        </w:numPr>
        <w:pBdr>
          <w:top w:val="nil"/>
          <w:left w:val="nil"/>
          <w:bottom w:val="nil"/>
          <w:right w:val="nil"/>
          <w:between w:val="nil"/>
        </w:pBdr>
        <w:tabs>
          <w:tab w:val="left" w:pos="567"/>
        </w:tabs>
        <w:spacing w:line="360" w:lineRule="auto"/>
        <w:ind w:left="0" w:firstLine="0"/>
        <w:jc w:val="both"/>
        <w:rPr>
          <w:color w:val="000000"/>
        </w:rPr>
      </w:pPr>
      <w:r>
        <w:rPr>
          <w:rFonts w:ascii="Palatino Linotype" w:eastAsia="Palatino Linotype" w:hAnsi="Palatino Linotype" w:cs="Palatino Linotype"/>
          <w:color w:val="000000"/>
          <w:sz w:val="24"/>
          <w:szCs w:val="24"/>
        </w:rPr>
        <w:t>Consecuentemente, este Instituto concluye que la información correspondiente a los Estados de Cuenta Bancaria no es clasificable, en los términos que han quedado expuestos, por lo anterior se ordena la entrega de la información requerida por el Particular.</w:t>
      </w:r>
    </w:p>
    <w:p w14:paraId="1E6E6DAC" w14:textId="77777777" w:rsidR="00215C5E" w:rsidRDefault="00215C5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0D722519" w14:textId="77777777" w:rsidR="00215C5E" w:rsidRDefault="001B7427">
      <w:pPr>
        <w:numPr>
          <w:ilvl w:val="0"/>
          <w:numId w:val="8"/>
        </w:numPr>
        <w:pBdr>
          <w:top w:val="nil"/>
          <w:left w:val="nil"/>
          <w:bottom w:val="nil"/>
          <w:right w:val="nil"/>
          <w:between w:val="nil"/>
        </w:pBdr>
        <w:tabs>
          <w:tab w:val="left" w:pos="567"/>
        </w:tabs>
        <w:spacing w:line="360" w:lineRule="auto"/>
        <w:ind w:left="0" w:firstLine="0"/>
        <w:jc w:val="both"/>
        <w:rPr>
          <w:color w:val="000000"/>
        </w:rPr>
      </w:pPr>
      <w:r>
        <w:rPr>
          <w:rFonts w:ascii="Palatino Linotype" w:eastAsia="Palatino Linotype" w:hAnsi="Palatino Linotype" w:cs="Palatino Linotype"/>
          <w:color w:val="000000"/>
          <w:sz w:val="24"/>
          <w:szCs w:val="24"/>
        </w:rPr>
        <w:t>No se omite mencionar que si bien es cierto, el Recurrente solicitó información de dos quincenas específicas, lo cierto es que los estados de cuenta se emiten de manera mensual, por lo que se ordena entregar los correspondientes a los meses de enero y noviembre de dos mil veintitrés.</w:t>
      </w:r>
    </w:p>
    <w:p w14:paraId="6F05D9BD" w14:textId="77777777" w:rsidR="00215C5E" w:rsidRDefault="00215C5E">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4"/>
          <w:szCs w:val="24"/>
        </w:rPr>
      </w:pPr>
    </w:p>
    <w:p w14:paraId="4E7F2790" w14:textId="77777777" w:rsidR="00215C5E" w:rsidRDefault="001B7427">
      <w:pPr>
        <w:numPr>
          <w:ilvl w:val="0"/>
          <w:numId w:val="8"/>
        </w:numPr>
        <w:pBdr>
          <w:top w:val="nil"/>
          <w:left w:val="nil"/>
          <w:bottom w:val="nil"/>
          <w:right w:val="nil"/>
          <w:between w:val="nil"/>
        </w:pBdr>
        <w:tabs>
          <w:tab w:val="left" w:pos="567"/>
        </w:tabs>
        <w:spacing w:line="360" w:lineRule="auto"/>
        <w:ind w:left="0" w:firstLine="0"/>
        <w:jc w:val="both"/>
        <w:rPr>
          <w:color w:val="000000"/>
        </w:rPr>
      </w:pPr>
      <w:r>
        <w:rPr>
          <w:rFonts w:ascii="Palatino Linotype" w:eastAsia="Palatino Linotype" w:hAnsi="Palatino Linotype" w:cs="Palatino Linotype"/>
          <w:color w:val="000000"/>
          <w:sz w:val="24"/>
          <w:szCs w:val="24"/>
        </w:rPr>
        <w:t>Ahora bien, de ser el caso de que la información que se ordena entregar contenga datos personales susceptibles de clasificarse como confidenciales, el Sujeto Obligado estará a lo dispuesto en el Considerando QUINTO de la presente resolución, a efecto de que se realicen las versiones públicas correspondientes.</w:t>
      </w:r>
    </w:p>
    <w:p w14:paraId="7F1D9B8C" w14:textId="77777777" w:rsidR="00215C5E" w:rsidRDefault="001B7427">
      <w:pPr>
        <w:pStyle w:val="Ttulo1"/>
        <w:rPr>
          <w:rFonts w:ascii="Palatino Linotype" w:eastAsia="Palatino Linotype" w:hAnsi="Palatino Linotype" w:cs="Palatino Linotype"/>
          <w:b/>
          <w:color w:val="000000"/>
          <w:sz w:val="24"/>
          <w:szCs w:val="24"/>
        </w:rPr>
      </w:pPr>
      <w:bookmarkStart w:id="10" w:name="_heading=h.17dp8vu" w:colFirst="0" w:colLast="0"/>
      <w:bookmarkEnd w:id="10"/>
      <w:r>
        <w:rPr>
          <w:rFonts w:ascii="Palatino Linotype" w:eastAsia="Palatino Linotype" w:hAnsi="Palatino Linotype" w:cs="Palatino Linotype"/>
          <w:b/>
          <w:color w:val="000000"/>
          <w:sz w:val="24"/>
          <w:szCs w:val="24"/>
        </w:rPr>
        <w:lastRenderedPageBreak/>
        <w:t>QUINTO. De la versión pública.</w:t>
      </w:r>
    </w:p>
    <w:p w14:paraId="2DE53AB4" w14:textId="77777777" w:rsidR="00215C5E" w:rsidRDefault="001B7427">
      <w:pPr>
        <w:pStyle w:val="Ttulo1"/>
        <w:numPr>
          <w:ilvl w:val="0"/>
          <w:numId w:val="2"/>
        </w:numPr>
        <w:tabs>
          <w:tab w:val="left" w:pos="284"/>
        </w:tabs>
        <w:spacing w:before="0" w:line="360" w:lineRule="auto"/>
        <w:ind w:left="0" w:firstLine="0"/>
        <w:rPr>
          <w:rFonts w:ascii="Palatino Linotype" w:eastAsia="Palatino Linotype" w:hAnsi="Palatino Linotype" w:cs="Palatino Linotype"/>
          <w:b/>
          <w:color w:val="000000"/>
          <w:sz w:val="24"/>
          <w:szCs w:val="24"/>
        </w:rPr>
      </w:pPr>
      <w:bookmarkStart w:id="11" w:name="_heading=h.3rdcrjn" w:colFirst="0" w:colLast="0"/>
      <w:bookmarkEnd w:id="11"/>
      <w:r>
        <w:rPr>
          <w:rFonts w:ascii="Palatino Linotype" w:eastAsia="Palatino Linotype" w:hAnsi="Palatino Linotype" w:cs="Palatino Linotype"/>
          <w:b/>
          <w:color w:val="000000"/>
          <w:sz w:val="24"/>
          <w:szCs w:val="24"/>
        </w:rPr>
        <w:t xml:space="preserve">Nociones generales. </w:t>
      </w:r>
    </w:p>
    <w:p w14:paraId="4E09D425" w14:textId="77777777" w:rsidR="00215C5E" w:rsidRDefault="001B7427">
      <w:pPr>
        <w:numPr>
          <w:ilvl w:val="0"/>
          <w:numId w:val="8"/>
        </w:numPr>
        <w:pBdr>
          <w:top w:val="nil"/>
          <w:left w:val="nil"/>
          <w:bottom w:val="nil"/>
          <w:right w:val="nil"/>
          <w:between w:val="nil"/>
        </w:pBdr>
        <w:tabs>
          <w:tab w:val="left" w:pos="284"/>
        </w:tabs>
        <w:spacing w:line="360" w:lineRule="auto"/>
        <w:ind w:left="0" w:right="49" w:firstLine="0"/>
        <w:jc w:val="both"/>
        <w:rPr>
          <w:color w:val="000000"/>
        </w:rPr>
      </w:pPr>
      <w:r>
        <w:rPr>
          <w:rFonts w:ascii="Palatino Linotype" w:eastAsia="Palatino Linotype" w:hAnsi="Palatino Linotype" w:cs="Palatino Linotype"/>
          <w:color w:val="000000"/>
          <w:sz w:val="24"/>
          <w:szCs w:val="24"/>
        </w:rPr>
        <w:t>Debe destacarse que, debido a la naturaleza de la información solicitada</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eventualmente pudiera obrar datos personales susceptibles de protegerse, así como información susceptible de clasificarse como reservada, 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deberá de hacer la adecuada versión pública, protegiendo los datos que no son susceptibles de ser proporcionados. </w:t>
      </w:r>
    </w:p>
    <w:p w14:paraId="6A1C7797" w14:textId="77777777" w:rsidR="00215C5E" w:rsidRDefault="00215C5E">
      <w:pPr>
        <w:pBdr>
          <w:top w:val="nil"/>
          <w:left w:val="nil"/>
          <w:bottom w:val="nil"/>
          <w:right w:val="nil"/>
          <w:between w:val="nil"/>
        </w:pBdr>
        <w:tabs>
          <w:tab w:val="left" w:pos="0"/>
          <w:tab w:val="left" w:pos="284"/>
        </w:tabs>
        <w:spacing w:line="360" w:lineRule="auto"/>
        <w:ind w:right="49"/>
        <w:jc w:val="both"/>
        <w:rPr>
          <w:rFonts w:ascii="Palatino Linotype" w:eastAsia="Palatino Linotype" w:hAnsi="Palatino Linotype" w:cs="Palatino Linotype"/>
          <w:color w:val="000000"/>
          <w:sz w:val="24"/>
          <w:szCs w:val="24"/>
        </w:rPr>
      </w:pPr>
    </w:p>
    <w:p w14:paraId="6124C820" w14:textId="77777777" w:rsidR="00215C5E" w:rsidRDefault="001B7427">
      <w:pPr>
        <w:numPr>
          <w:ilvl w:val="0"/>
          <w:numId w:val="8"/>
        </w:numPr>
        <w:tabs>
          <w:tab w:val="left" w:pos="284"/>
        </w:tabs>
        <w:spacing w:line="360" w:lineRule="auto"/>
        <w:ind w:left="0" w:right="49" w:firstLine="0"/>
        <w:jc w:val="both"/>
        <w:rPr>
          <w:color w:val="000000"/>
        </w:rPr>
      </w:pPr>
      <w:r>
        <w:rPr>
          <w:rFonts w:ascii="Palatino Linotype" w:eastAsia="Palatino Linotype" w:hAnsi="Palatino Linotype" w:cs="Palatino Linotype"/>
          <w:color w:val="000000"/>
          <w:sz w:val="24"/>
          <w:szCs w:val="24"/>
        </w:rPr>
        <w:t xml:space="preserve">No pasa desapercibido para este Órgano Garante que los </w:t>
      </w:r>
      <w:r>
        <w:rPr>
          <w:rFonts w:ascii="Palatino Linotype" w:eastAsia="Palatino Linotype" w:hAnsi="Palatino Linotype" w:cs="Palatino Linotype"/>
          <w:b/>
          <w:color w:val="000000"/>
          <w:sz w:val="24"/>
          <w:szCs w:val="24"/>
        </w:rPr>
        <w:t xml:space="preserve">Sujetos Obligados </w:t>
      </w:r>
      <w:r>
        <w:rPr>
          <w:rFonts w:ascii="Palatino Linotype" w:eastAsia="Palatino Linotype" w:hAnsi="Palatino Linotype" w:cs="Palatino Linotype"/>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5B1E5F85" w14:textId="77777777" w:rsidR="00215C5E" w:rsidRDefault="00215C5E">
      <w:pPr>
        <w:tabs>
          <w:tab w:val="left" w:pos="284"/>
        </w:tabs>
        <w:spacing w:line="360" w:lineRule="auto"/>
        <w:ind w:right="49"/>
        <w:jc w:val="both"/>
        <w:rPr>
          <w:rFonts w:ascii="Palatino Linotype" w:eastAsia="Palatino Linotype" w:hAnsi="Palatino Linotype" w:cs="Palatino Linotype"/>
          <w:color w:val="000000"/>
          <w:sz w:val="24"/>
          <w:szCs w:val="24"/>
        </w:rPr>
      </w:pPr>
    </w:p>
    <w:tbl>
      <w:tblPr>
        <w:tblStyle w:val="a"/>
        <w:tblW w:w="85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6667"/>
      </w:tblGrid>
      <w:tr w:rsidR="00215C5E" w14:paraId="22152E18" w14:textId="77777777" w:rsidTr="00215C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74360BC" w14:textId="77777777" w:rsidR="00215C5E" w:rsidRDefault="001B7427">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 Requisitos previos.</w:t>
            </w:r>
          </w:p>
        </w:tc>
        <w:tc>
          <w:tcPr>
            <w:tcW w:w="6667" w:type="dxa"/>
          </w:tcPr>
          <w:p w14:paraId="2EE2E9F5" w14:textId="77777777" w:rsidR="00215C5E" w:rsidRDefault="001B7427">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523637CA" w14:textId="77777777" w:rsidR="00215C5E" w:rsidRDefault="001B7427">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Al hacerlo tienen que precisar de qué información se trata, señalando el supuesto de clasificación (confidencialidad o reserva).</w:t>
            </w:r>
          </w:p>
          <w:p w14:paraId="05072DC8" w14:textId="77777777" w:rsidR="00215C5E" w:rsidRDefault="001B7427">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Además, se debe señalar el procedimiento, de los tres que establecen los artículos 132 y 106 de la Ley Estatal y General, respectivamente.</w:t>
            </w:r>
          </w:p>
          <w:p w14:paraId="7F740C9F" w14:textId="77777777" w:rsidR="00215C5E" w:rsidRDefault="001B7427">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El último de estos requisitos previos consiste en que no se pueden emitir acuerdos de carácter general ni particular, esto es, </w:t>
            </w:r>
            <w:r>
              <w:rPr>
                <w:rFonts w:ascii="Palatino Linotype" w:eastAsia="Palatino Linotype" w:hAnsi="Palatino Linotype" w:cs="Palatino Linotype"/>
                <w:sz w:val="20"/>
                <w:szCs w:val="20"/>
                <w:u w:val="single"/>
              </w:rPr>
              <w:t>no se puede hacer un acuerdo para clasificar de manera general todos los documentos de un expediente o área, sin</w:t>
            </w:r>
            <w:r>
              <w:rPr>
                <w:rFonts w:ascii="Palatino Linotype" w:eastAsia="Palatino Linotype" w:hAnsi="Palatino Linotype" w:cs="Palatino Linotype"/>
                <w:sz w:val="20"/>
                <w:szCs w:val="20"/>
              </w:rPr>
              <w:t xml:space="preserve"> individualizar su análisis y tampoco se puede hacer un acuerdo por cada dato que se vaya a clasificar dentro de un documento con diez datos, por ejemplo, susceptibles de ser clasificados.</w:t>
            </w:r>
          </w:p>
        </w:tc>
      </w:tr>
      <w:tr w:rsidR="00215C5E" w14:paraId="4659E6C0" w14:textId="77777777" w:rsidTr="0021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1960BCA" w14:textId="77777777" w:rsidR="00215C5E" w:rsidRDefault="001B7427">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b) Supuestos de clasificación.</w:t>
            </w:r>
          </w:p>
        </w:tc>
        <w:tc>
          <w:tcPr>
            <w:tcW w:w="6667" w:type="dxa"/>
          </w:tcPr>
          <w:p w14:paraId="144EF949" w14:textId="77777777" w:rsidR="00215C5E" w:rsidRDefault="001B7427">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Las disposiciones constitucionales y legales en la materia establecen los dos supuestos generales para clasificar la información: por reserva y por confidencialidad.</w:t>
            </w:r>
          </w:p>
          <w:p w14:paraId="34BE2223" w14:textId="77777777" w:rsidR="00215C5E" w:rsidRDefault="001B7427">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7D307087" w14:textId="77777777" w:rsidR="00215C5E" w:rsidRDefault="001B7427">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w:t>
            </w:r>
            <w:r>
              <w:rPr>
                <w:rFonts w:ascii="Palatino Linotype" w:eastAsia="Palatino Linotype" w:hAnsi="Palatino Linotype" w:cs="Palatino Linotype"/>
                <w:b/>
                <w:sz w:val="20"/>
                <w:szCs w:val="20"/>
              </w:rPr>
              <w:t>Sujeto Obligado</w:t>
            </w:r>
            <w:r>
              <w:rPr>
                <w:rFonts w:ascii="Palatino Linotype" w:eastAsia="Palatino Linotype" w:hAnsi="Palatino Linotype" w:cs="Palatino Linotype"/>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215C5E" w14:paraId="7D4AA3AE" w14:textId="77777777" w:rsidTr="00215C5E">
        <w:tc>
          <w:tcPr>
            <w:cnfStyle w:val="001000000000" w:firstRow="0" w:lastRow="0" w:firstColumn="1" w:lastColumn="0" w:oddVBand="0" w:evenVBand="0" w:oddHBand="0" w:evenHBand="0" w:firstRowFirstColumn="0" w:firstRowLastColumn="0" w:lastRowFirstColumn="0" w:lastRowLastColumn="0"/>
            <w:tcW w:w="1838" w:type="dxa"/>
          </w:tcPr>
          <w:p w14:paraId="01F62966" w14:textId="77777777" w:rsidR="00215C5E" w:rsidRDefault="001B7427">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 Formalidades para emitir el acuerdo de clasificación.</w:t>
            </w:r>
          </w:p>
        </w:tc>
        <w:tc>
          <w:tcPr>
            <w:tcW w:w="6667" w:type="dxa"/>
          </w:tcPr>
          <w:p w14:paraId="5B9ED2C5" w14:textId="77777777" w:rsidR="00215C5E" w:rsidRDefault="001B7427">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Comité de Transparencia, según lo dispuesto en los artículos cuenta con las facultades para aprobar, modificar o revocar la clasificación de la información que haya propuesto. </w:t>
            </w:r>
          </w:p>
          <w:p w14:paraId="7708A98E" w14:textId="77777777" w:rsidR="00215C5E" w:rsidRDefault="001B7427">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Es necesario que </w:t>
            </w:r>
            <w:r>
              <w:rPr>
                <w:rFonts w:ascii="Palatino Linotype" w:eastAsia="Palatino Linotype" w:hAnsi="Palatino Linotype" w:cs="Palatino Linotype"/>
                <w:b/>
                <w:sz w:val="20"/>
                <w:szCs w:val="20"/>
                <w:u w:val="single"/>
              </w:rPr>
              <w:t>el acto reúna con los requisitos elementales</w:t>
            </w:r>
            <w:r>
              <w:rPr>
                <w:rFonts w:ascii="Palatino Linotype" w:eastAsia="Palatino Linotype" w:hAnsi="Palatino Linotype" w:cs="Palatino Linotype"/>
                <w:sz w:val="20"/>
                <w:szCs w:val="20"/>
              </w:rPr>
              <w:t>, entre ellos, que la autoridad que va a emitir el acto de autoridad sea la legalmente facultada para ello.</w:t>
            </w:r>
          </w:p>
          <w:p w14:paraId="225DA333" w14:textId="77777777" w:rsidR="00215C5E" w:rsidRDefault="001B7427">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215C5E" w14:paraId="1B5715D6" w14:textId="77777777" w:rsidTr="0021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3764758" w14:textId="77777777" w:rsidR="00215C5E" w:rsidRDefault="00215C5E">
            <w:pPr>
              <w:tabs>
                <w:tab w:val="left" w:pos="284"/>
              </w:tabs>
              <w:spacing w:line="360" w:lineRule="auto"/>
              <w:rPr>
                <w:rFonts w:ascii="Palatino Linotype" w:eastAsia="Palatino Linotype" w:hAnsi="Palatino Linotype" w:cs="Palatino Linotype"/>
                <w:sz w:val="20"/>
                <w:szCs w:val="20"/>
              </w:rPr>
            </w:pPr>
          </w:p>
          <w:p w14:paraId="5B9BBBA1" w14:textId="77777777" w:rsidR="00215C5E" w:rsidRDefault="001B7427">
            <w:pPr>
              <w:tabs>
                <w:tab w:val="left" w:pos="284"/>
              </w:tabs>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 Requisitos de fondo del acuerdo de clasificación. </w:t>
            </w:r>
          </w:p>
        </w:tc>
        <w:tc>
          <w:tcPr>
            <w:tcW w:w="6667" w:type="dxa"/>
          </w:tcPr>
          <w:p w14:paraId="007A0654" w14:textId="77777777" w:rsidR="00215C5E" w:rsidRDefault="001B7427">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sz w:val="20"/>
                <w:szCs w:val="20"/>
              </w:rPr>
              <w:t>Sujetos Obligados</w:t>
            </w:r>
            <w:r>
              <w:rPr>
                <w:rFonts w:ascii="Palatino Linotype" w:eastAsia="Palatino Linotype" w:hAnsi="Palatino Linotype" w:cs="Palatino Linotype"/>
                <w:sz w:val="20"/>
                <w:szCs w:val="20"/>
              </w:rPr>
              <w:t xml:space="preserve">, por lo que deberán fundar y motivar debidamente la clasificación. </w:t>
            </w:r>
          </w:p>
          <w:p w14:paraId="64517B23" w14:textId="77777777" w:rsidR="00215C5E" w:rsidRDefault="001B7427">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De lo anterior, se desprende que para una correcta </w:t>
            </w:r>
            <w:r>
              <w:rPr>
                <w:rFonts w:ascii="Palatino Linotype" w:eastAsia="Palatino Linotype" w:hAnsi="Palatino Linotype" w:cs="Palatino Linotype"/>
                <w:b/>
                <w:sz w:val="20"/>
                <w:szCs w:val="20"/>
              </w:rPr>
              <w:t>clasificación total o parcial</w:t>
            </w:r>
            <w:r>
              <w:rPr>
                <w:rFonts w:ascii="Palatino Linotype" w:eastAsia="Palatino Linotype" w:hAnsi="Palatino Linotype" w:cs="Palatino Linotype"/>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4EDD784" w14:textId="77777777" w:rsidR="00215C5E" w:rsidRDefault="001B7427">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Así, en un acto de autoridad se cumple con la debida fundamentación cuando se cita el precepto legal aplicable al caso concreto y la debida </w:t>
            </w:r>
            <w:r>
              <w:rPr>
                <w:rFonts w:ascii="Palatino Linotype" w:eastAsia="Palatino Linotype" w:hAnsi="Palatino Linotype" w:cs="Palatino Linotype"/>
                <w:sz w:val="20"/>
                <w:szCs w:val="20"/>
              </w:rPr>
              <w:lastRenderedPageBreak/>
              <w:t>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5371B42D" w14:textId="77777777" w:rsidR="00215C5E" w:rsidRDefault="001B7427">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 ese mismo sentido, el numeral trigésimo tercero fracción V de los Lineamientos Generales, precisa que para motivar la clasificación se deben acreditar las circunstancias de tiempo, modo y lugar.</w:t>
            </w:r>
          </w:p>
          <w:p w14:paraId="4C19F84A" w14:textId="77777777" w:rsidR="00215C5E" w:rsidRDefault="001B7427">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Ahora bien, </w:t>
            </w:r>
            <w:r>
              <w:rPr>
                <w:rFonts w:ascii="Palatino Linotype" w:eastAsia="Palatino Linotype" w:hAnsi="Palatino Linotype" w:cs="Palatino Linotype"/>
                <w:b/>
                <w:sz w:val="20"/>
                <w:szCs w:val="20"/>
                <w:u w:val="single"/>
              </w:rPr>
              <w:t>para cada caso además de fundar y motivar</w:t>
            </w:r>
            <w:r>
              <w:rPr>
                <w:rFonts w:ascii="Palatino Linotype" w:eastAsia="Palatino Linotype" w:hAnsi="Palatino Linotype" w:cs="Palatino Linotype"/>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215C5E" w14:paraId="7BFCA10C" w14:textId="77777777" w:rsidTr="00215C5E">
        <w:tc>
          <w:tcPr>
            <w:cnfStyle w:val="001000000000" w:firstRow="0" w:lastRow="0" w:firstColumn="1" w:lastColumn="0" w:oddVBand="0" w:evenVBand="0" w:oddHBand="0" w:evenHBand="0" w:firstRowFirstColumn="0" w:firstRowLastColumn="0" w:lastRowFirstColumn="0" w:lastRowLastColumn="0"/>
            <w:tcW w:w="1838" w:type="dxa"/>
          </w:tcPr>
          <w:p w14:paraId="76ED7C3E" w14:textId="77777777" w:rsidR="00215C5E" w:rsidRDefault="001B7427">
            <w:pPr>
              <w:tabs>
                <w:tab w:val="left" w:pos="284"/>
              </w:tabs>
              <w:spacing w:line="360" w:lineRule="auto"/>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 Condiciones especiales de la clasificación de la información como confidencial. </w:t>
            </w:r>
          </w:p>
        </w:tc>
        <w:tc>
          <w:tcPr>
            <w:tcW w:w="6667" w:type="dxa"/>
          </w:tcPr>
          <w:p w14:paraId="0FC45DFF" w14:textId="77777777" w:rsidR="00215C5E" w:rsidRDefault="001B7427">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148 y 120 de la Ley Estatal y de la Ley General, respectivamente, establecen que aun tratándose de datos personales, se podrán proporcionar, incluso sin solicitar el consentimiento de su titular. </w:t>
            </w:r>
          </w:p>
          <w:p w14:paraId="7B56C2B2" w14:textId="77777777" w:rsidR="00215C5E" w:rsidRDefault="001B7427">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4A78164F" w14:textId="77777777" w:rsidR="00215C5E" w:rsidRDefault="001B7427">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25BB4D16" w14:textId="77777777" w:rsidR="00215C5E" w:rsidRDefault="00215C5E">
      <w:pPr>
        <w:pBdr>
          <w:top w:val="nil"/>
          <w:left w:val="nil"/>
          <w:bottom w:val="nil"/>
          <w:right w:val="nil"/>
          <w:between w:val="nil"/>
        </w:pBdr>
        <w:tabs>
          <w:tab w:val="left" w:pos="284"/>
        </w:tabs>
        <w:rPr>
          <w:rFonts w:ascii="Palatino Linotype" w:eastAsia="Palatino Linotype" w:hAnsi="Palatino Linotype" w:cs="Palatino Linotype"/>
          <w:color w:val="000000"/>
          <w:sz w:val="24"/>
          <w:szCs w:val="24"/>
        </w:rPr>
      </w:pPr>
    </w:p>
    <w:p w14:paraId="1D89050F" w14:textId="77777777" w:rsidR="00215C5E" w:rsidRDefault="001B7427">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2C93CF8A" w14:textId="77777777" w:rsidR="00215C5E" w:rsidRDefault="00215C5E">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4"/>
          <w:szCs w:val="24"/>
        </w:rPr>
      </w:pPr>
    </w:p>
    <w:p w14:paraId="3D8DB8B9" w14:textId="77777777" w:rsidR="00215C5E" w:rsidRDefault="001B7427">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222222"/>
          <w:sz w:val="24"/>
          <w:szCs w:val="24"/>
        </w:rPr>
        <w:t xml:space="preserve">Por lo anteriormente expuesto y fundado, este </w:t>
      </w:r>
      <w:r>
        <w:rPr>
          <w:rFonts w:ascii="Palatino Linotype" w:eastAsia="Palatino Linotype" w:hAnsi="Palatino Linotype" w:cs="Palatino Linotype"/>
          <w:b/>
          <w:color w:val="222222"/>
          <w:sz w:val="24"/>
          <w:szCs w:val="24"/>
        </w:rPr>
        <w:t>ÓRGANO GARANTE</w:t>
      </w:r>
      <w:r>
        <w:rPr>
          <w:rFonts w:ascii="Palatino Linotype" w:eastAsia="Palatino Linotype" w:hAnsi="Palatino Linotype" w:cs="Palatino Linotype"/>
          <w:color w:val="222222"/>
          <w:sz w:val="24"/>
          <w:szCs w:val="24"/>
        </w:rPr>
        <w:t xml:space="preserve"> emite los siguientes:</w:t>
      </w:r>
    </w:p>
    <w:p w14:paraId="00F47803" w14:textId="77777777" w:rsidR="00215C5E" w:rsidRDefault="001B7427">
      <w:pPr>
        <w:pStyle w:val="Ttulo1"/>
        <w:jc w:val="center"/>
        <w:rPr>
          <w:rFonts w:ascii="Palatino Linotype" w:eastAsia="Palatino Linotype" w:hAnsi="Palatino Linotype" w:cs="Palatino Linotype"/>
          <w:b/>
          <w:color w:val="000000"/>
          <w:sz w:val="24"/>
          <w:szCs w:val="24"/>
        </w:rPr>
      </w:pPr>
      <w:bookmarkStart w:id="12" w:name="_heading=h.26in1rg" w:colFirst="0" w:colLast="0"/>
      <w:bookmarkEnd w:id="12"/>
      <w:r>
        <w:rPr>
          <w:rFonts w:ascii="Palatino Linotype" w:eastAsia="Palatino Linotype" w:hAnsi="Palatino Linotype" w:cs="Palatino Linotype"/>
          <w:b/>
          <w:color w:val="000000"/>
          <w:sz w:val="24"/>
          <w:szCs w:val="24"/>
        </w:rPr>
        <w:t>R E S O L U T I V O S</w:t>
      </w:r>
    </w:p>
    <w:p w14:paraId="3DACC6A9" w14:textId="77777777" w:rsidR="00215C5E" w:rsidRDefault="00215C5E">
      <w:pPr>
        <w:keepNext/>
        <w:keepLines/>
        <w:spacing w:line="360" w:lineRule="auto"/>
        <w:jc w:val="center"/>
        <w:rPr>
          <w:rFonts w:ascii="Palatino Linotype" w:eastAsia="Palatino Linotype" w:hAnsi="Palatino Linotype" w:cs="Palatino Linotype"/>
          <w:b/>
          <w:sz w:val="24"/>
          <w:szCs w:val="24"/>
        </w:rPr>
      </w:pPr>
    </w:p>
    <w:p w14:paraId="284E0462" w14:textId="77777777" w:rsidR="00215C5E" w:rsidRDefault="001B7427">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PRIMERO. </w:t>
      </w:r>
      <w:r>
        <w:rPr>
          <w:rFonts w:ascii="Palatino Linotype" w:eastAsia="Palatino Linotype" w:hAnsi="Palatino Linotype" w:cs="Palatino Linotype"/>
          <w:sz w:val="24"/>
          <w:szCs w:val="24"/>
        </w:rPr>
        <w:t>Resultan parcialmente fundadas las</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razones o motivos de inconformidad hechos valer en el recurso de revisión </w:t>
      </w:r>
      <w:r>
        <w:rPr>
          <w:rFonts w:ascii="Palatino Linotype" w:eastAsia="Palatino Linotype" w:hAnsi="Palatino Linotype" w:cs="Palatino Linotype"/>
          <w:b/>
          <w:sz w:val="24"/>
          <w:szCs w:val="24"/>
        </w:rPr>
        <w:t xml:space="preserve">00128/INFOEM/IP/RR/2024 </w:t>
      </w:r>
      <w:r>
        <w:rPr>
          <w:rFonts w:ascii="Palatino Linotype" w:eastAsia="Palatino Linotype" w:hAnsi="Palatino Linotype" w:cs="Palatino Linotype"/>
          <w:sz w:val="24"/>
          <w:szCs w:val="24"/>
        </w:rPr>
        <w:t>en términos de los</w:t>
      </w:r>
      <w:r>
        <w:rPr>
          <w:rFonts w:ascii="Palatino Linotype" w:eastAsia="Palatino Linotype" w:hAnsi="Palatino Linotype" w:cs="Palatino Linotype"/>
          <w:b/>
          <w:sz w:val="24"/>
          <w:szCs w:val="24"/>
        </w:rPr>
        <w:t xml:space="preserve"> Considerandos</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CUARTO y QUINTO</w:t>
      </w:r>
      <w:r>
        <w:rPr>
          <w:rFonts w:ascii="Palatino Linotype" w:eastAsia="Palatino Linotype" w:hAnsi="Palatino Linotype" w:cs="Palatino Linotype"/>
          <w:sz w:val="24"/>
          <w:szCs w:val="24"/>
        </w:rPr>
        <w:t xml:space="preserve"> de la presente resolución.</w:t>
      </w:r>
    </w:p>
    <w:p w14:paraId="540AF160" w14:textId="77777777" w:rsidR="00215C5E" w:rsidRDefault="00215C5E">
      <w:pPr>
        <w:spacing w:line="360" w:lineRule="auto"/>
        <w:jc w:val="both"/>
        <w:rPr>
          <w:rFonts w:ascii="Palatino Linotype" w:eastAsia="Palatino Linotype" w:hAnsi="Palatino Linotype" w:cs="Palatino Linotype"/>
          <w:b/>
          <w:sz w:val="24"/>
          <w:szCs w:val="24"/>
        </w:rPr>
      </w:pPr>
    </w:p>
    <w:p w14:paraId="42DADE8B" w14:textId="77777777" w:rsidR="00215C5E" w:rsidRDefault="001B7427">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bookmarkStart w:id="13" w:name="_heading=h.lnxbz9" w:colFirst="0" w:colLast="0"/>
      <w:bookmarkEnd w:id="13"/>
      <w:r>
        <w:rPr>
          <w:rFonts w:ascii="Palatino Linotype" w:eastAsia="Palatino Linotype" w:hAnsi="Palatino Linotype" w:cs="Palatino Linotype"/>
          <w:b/>
          <w:color w:val="000000"/>
          <w:sz w:val="24"/>
          <w:szCs w:val="24"/>
        </w:rPr>
        <w:t xml:space="preserve">SEGUNDO. </w:t>
      </w:r>
      <w:r>
        <w:rPr>
          <w:rFonts w:ascii="Palatino Linotype" w:eastAsia="Palatino Linotype" w:hAnsi="Palatino Linotype" w:cs="Palatino Linotype"/>
          <w:color w:val="000000"/>
          <w:sz w:val="24"/>
          <w:szCs w:val="24"/>
        </w:rPr>
        <w:t xml:space="preserve">Se </w:t>
      </w:r>
      <w:r>
        <w:rPr>
          <w:rFonts w:ascii="Palatino Linotype" w:eastAsia="Palatino Linotype" w:hAnsi="Palatino Linotype" w:cs="Palatino Linotype"/>
          <w:b/>
          <w:color w:val="000000"/>
          <w:sz w:val="24"/>
          <w:szCs w:val="24"/>
        </w:rPr>
        <w:t>REVOCA</w:t>
      </w:r>
      <w:r>
        <w:rPr>
          <w:rFonts w:ascii="Palatino Linotype" w:eastAsia="Palatino Linotype" w:hAnsi="Palatino Linotype" w:cs="Palatino Linotype"/>
          <w:color w:val="000000"/>
          <w:sz w:val="24"/>
          <w:szCs w:val="24"/>
        </w:rPr>
        <w:t xml:space="preserve"> la respuesta y se </w:t>
      </w:r>
      <w:r>
        <w:rPr>
          <w:rFonts w:ascii="Palatino Linotype" w:eastAsia="Palatino Linotype" w:hAnsi="Palatino Linotype" w:cs="Palatino Linotype"/>
          <w:b/>
          <w:color w:val="000000"/>
          <w:sz w:val="24"/>
          <w:szCs w:val="24"/>
        </w:rPr>
        <w:t xml:space="preserve">ORDENA </w:t>
      </w:r>
      <w:r>
        <w:rPr>
          <w:rFonts w:ascii="Palatino Linotype" w:eastAsia="Palatino Linotype" w:hAnsi="Palatino Linotype" w:cs="Palatino Linotype"/>
          <w:color w:val="000000"/>
          <w:sz w:val="24"/>
          <w:szCs w:val="24"/>
        </w:rPr>
        <w:t xml:space="preserve">al </w:t>
      </w:r>
      <w:r>
        <w:rPr>
          <w:rFonts w:ascii="Palatino Linotype" w:eastAsia="Palatino Linotype" w:hAnsi="Palatino Linotype" w:cs="Palatino Linotype"/>
          <w:b/>
          <w:color w:val="000000"/>
          <w:sz w:val="24"/>
          <w:szCs w:val="24"/>
        </w:rPr>
        <w:t>Ayuntamiento de Cuautitlán Izcalli</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entregar, vía Sistema de Acceso a la Información Mexiquense (SAIMEX), en versión pública</w:t>
      </w:r>
      <w:r>
        <w:rPr>
          <w:rFonts w:ascii="Palatino Linotype" w:eastAsia="Palatino Linotype" w:hAnsi="Palatino Linotype" w:cs="Palatino Linotype"/>
          <w:b/>
          <w:color w:val="000000"/>
          <w:sz w:val="24"/>
          <w:szCs w:val="24"/>
        </w:rPr>
        <w:t>,</w:t>
      </w:r>
      <w:r>
        <w:rPr>
          <w:rFonts w:ascii="Palatino Linotype" w:eastAsia="Palatino Linotype" w:hAnsi="Palatino Linotype" w:cs="Palatino Linotype"/>
          <w:color w:val="000000"/>
          <w:sz w:val="24"/>
          <w:szCs w:val="24"/>
        </w:rPr>
        <w:t xml:space="preserve"> la siguiente información:</w:t>
      </w:r>
    </w:p>
    <w:p w14:paraId="61985F33" w14:textId="77777777" w:rsidR="00215C5E" w:rsidRDefault="00215C5E">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2D89062A" w14:textId="77777777" w:rsidR="00215C5E" w:rsidRPr="00F527FD" w:rsidRDefault="001B7427" w:rsidP="00BE2354">
      <w:pPr>
        <w:numPr>
          <w:ilvl w:val="0"/>
          <w:numId w:val="4"/>
        </w:numPr>
        <w:pBdr>
          <w:top w:val="nil"/>
          <w:left w:val="nil"/>
          <w:bottom w:val="nil"/>
          <w:right w:val="nil"/>
          <w:between w:val="nil"/>
        </w:pBdr>
        <w:spacing w:line="360" w:lineRule="auto"/>
        <w:ind w:right="616"/>
        <w:jc w:val="both"/>
        <w:rPr>
          <w:rFonts w:ascii="Palatino Linotype" w:eastAsia="Palatino Linotype" w:hAnsi="Palatino Linotype" w:cs="Palatino Linotype"/>
          <w:b/>
          <w:color w:val="000000"/>
          <w:sz w:val="24"/>
          <w:szCs w:val="24"/>
        </w:rPr>
      </w:pPr>
      <w:r w:rsidRPr="00F527FD">
        <w:rPr>
          <w:rFonts w:ascii="Palatino Linotype" w:eastAsia="Palatino Linotype" w:hAnsi="Palatino Linotype" w:cs="Palatino Linotype"/>
          <w:color w:val="000000"/>
          <w:sz w:val="24"/>
          <w:szCs w:val="24"/>
        </w:rPr>
        <w:t xml:space="preserve">Comprobante bancario de la dispersión de nómina correspondiente a la primera </w:t>
      </w:r>
      <w:r w:rsidRPr="00014B1B">
        <w:rPr>
          <w:rFonts w:ascii="Palatino Linotype" w:eastAsia="Palatino Linotype" w:hAnsi="Palatino Linotype" w:cs="Palatino Linotype"/>
          <w:color w:val="000000"/>
          <w:sz w:val="24"/>
          <w:szCs w:val="24"/>
        </w:rPr>
        <w:t>quincena de enero y segunda quincena de noviembre de dos mil veintitrés</w:t>
      </w:r>
      <w:r w:rsidR="00F527FD" w:rsidRPr="00014B1B">
        <w:rPr>
          <w:rFonts w:ascii="Palatino Linotype" w:eastAsia="Palatino Linotype" w:hAnsi="Palatino Linotype" w:cs="Palatino Linotype"/>
          <w:color w:val="000000"/>
          <w:sz w:val="24"/>
          <w:szCs w:val="24"/>
        </w:rPr>
        <w:t xml:space="preserve"> del </w:t>
      </w:r>
      <w:r w:rsidR="00F527FD" w:rsidRPr="00014B1B">
        <w:rPr>
          <w:rFonts w:ascii="Palatino Linotype" w:hAnsi="Palatino Linotype"/>
          <w:color w:val="000000"/>
          <w:sz w:val="24"/>
        </w:rPr>
        <w:t>Organismo Público Descentralizado de Carácter Municipal para el Mantenimiento de Vialidades de Cuautitlán Izcalli (MAVICI)</w:t>
      </w:r>
      <w:r w:rsidRPr="00014B1B">
        <w:rPr>
          <w:rFonts w:ascii="Palatino Linotype" w:eastAsia="Palatino Linotype" w:hAnsi="Palatino Linotype" w:cs="Palatino Linotype"/>
          <w:color w:val="000000"/>
          <w:sz w:val="24"/>
          <w:szCs w:val="24"/>
        </w:rPr>
        <w:t>;</w:t>
      </w:r>
      <w:r w:rsidRPr="00F527FD">
        <w:rPr>
          <w:rFonts w:ascii="Palatino Linotype" w:eastAsia="Palatino Linotype" w:hAnsi="Palatino Linotype" w:cs="Palatino Linotype"/>
          <w:color w:val="000000"/>
          <w:sz w:val="24"/>
          <w:szCs w:val="24"/>
        </w:rPr>
        <w:t xml:space="preserve"> y,</w:t>
      </w:r>
    </w:p>
    <w:p w14:paraId="7CBE3C8A" w14:textId="77777777" w:rsidR="00215C5E" w:rsidRDefault="001B7427">
      <w:pPr>
        <w:numPr>
          <w:ilvl w:val="0"/>
          <w:numId w:val="4"/>
        </w:numPr>
        <w:pBdr>
          <w:top w:val="nil"/>
          <w:left w:val="nil"/>
          <w:bottom w:val="nil"/>
          <w:right w:val="nil"/>
          <w:between w:val="nil"/>
        </w:pBdr>
        <w:spacing w:after="160" w:line="360" w:lineRule="auto"/>
        <w:ind w:right="616"/>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lastRenderedPageBreak/>
        <w:t>Estados de cuenta de los meses de enero y noviembre de dos mil veintitrés a través de los cuales se haya realizado la dispersión de nómina señalada en el inciso anterior.</w:t>
      </w:r>
    </w:p>
    <w:p w14:paraId="29257EAF" w14:textId="77777777" w:rsidR="00215C5E" w:rsidRDefault="001B7427">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 </w:t>
      </w:r>
    </w:p>
    <w:p w14:paraId="1E79BF7E" w14:textId="77777777" w:rsidR="00215C5E" w:rsidRDefault="00215C5E">
      <w:pPr>
        <w:spacing w:line="360" w:lineRule="auto"/>
        <w:jc w:val="both"/>
        <w:rPr>
          <w:rFonts w:ascii="Palatino Linotype" w:eastAsia="Palatino Linotype" w:hAnsi="Palatino Linotype" w:cs="Palatino Linotype"/>
          <w:sz w:val="24"/>
          <w:szCs w:val="24"/>
        </w:rPr>
      </w:pPr>
    </w:p>
    <w:p w14:paraId="3FB3F5ED" w14:textId="77777777" w:rsidR="00215C5E" w:rsidRDefault="001B7427">
      <w:pPr>
        <w:tabs>
          <w:tab w:val="left" w:pos="284"/>
          <w:tab w:val="left" w:pos="8080"/>
        </w:tabs>
        <w:spacing w:line="360" w:lineRule="auto"/>
        <w:ind w:right="49"/>
        <w:jc w:val="both"/>
        <w:rPr>
          <w:rFonts w:ascii="Palatino Linotype" w:eastAsia="Palatino Linotype" w:hAnsi="Palatino Linotype" w:cs="Palatino Linotype"/>
          <w:color w:val="222222"/>
          <w:sz w:val="24"/>
          <w:szCs w:val="24"/>
          <w:highlight w:val="white"/>
        </w:rPr>
      </w:pPr>
      <w:r>
        <w:rPr>
          <w:rFonts w:ascii="Palatino Linotype" w:eastAsia="Palatino Linotype" w:hAnsi="Palatino Linotype" w:cs="Palatino Linotype"/>
          <w:b/>
          <w:sz w:val="24"/>
          <w:szCs w:val="24"/>
        </w:rPr>
        <w:t xml:space="preserve">TERCERO. </w:t>
      </w:r>
      <w:r>
        <w:rPr>
          <w:rFonts w:ascii="Palatino Linotype" w:eastAsia="Palatino Linotype" w:hAnsi="Palatino Linotype" w:cs="Palatino Linotype"/>
          <w:b/>
          <w:color w:val="222222"/>
          <w:sz w:val="24"/>
          <w:szCs w:val="24"/>
          <w:highlight w:val="white"/>
        </w:rPr>
        <w:t>NOTIFÍQUESE</w:t>
      </w:r>
      <w:r>
        <w:rPr>
          <w:rFonts w:ascii="Palatino Linotype" w:eastAsia="Palatino Linotype" w:hAnsi="Palatino Linotype" w:cs="Palatino Linotype"/>
          <w:color w:val="222222"/>
          <w:sz w:val="24"/>
          <w:szCs w:val="24"/>
          <w:highlight w:val="white"/>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color w:val="222222"/>
          <w:sz w:val="24"/>
          <w:szCs w:val="24"/>
          <w:highlight w:val="white"/>
        </w:rPr>
        <w:t>dé cumplimiento a lo ordenado dentro del plazo de diez días hábiles,</w:t>
      </w:r>
      <w:r>
        <w:rPr>
          <w:rFonts w:ascii="Palatino Linotype" w:eastAsia="Palatino Linotype" w:hAnsi="Palatino Linotype" w:cs="Palatino Linotype"/>
          <w:color w:val="222222"/>
          <w:sz w:val="24"/>
          <w:szCs w:val="24"/>
          <w:highlight w:val="whit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5EE64EE" w14:textId="77777777" w:rsidR="00215C5E" w:rsidRDefault="00215C5E">
      <w:pPr>
        <w:tabs>
          <w:tab w:val="left" w:pos="284"/>
          <w:tab w:val="left" w:pos="8080"/>
        </w:tabs>
        <w:spacing w:line="360" w:lineRule="auto"/>
        <w:ind w:right="49"/>
        <w:jc w:val="both"/>
        <w:rPr>
          <w:rFonts w:ascii="Palatino Linotype" w:eastAsia="Palatino Linotype" w:hAnsi="Palatino Linotype" w:cs="Palatino Linotype"/>
          <w:color w:val="222222"/>
          <w:sz w:val="24"/>
          <w:szCs w:val="24"/>
          <w:highlight w:val="white"/>
        </w:rPr>
      </w:pPr>
    </w:p>
    <w:p w14:paraId="55A2E483" w14:textId="77777777" w:rsidR="00215C5E" w:rsidRDefault="001B7427">
      <w:pPr>
        <w:shd w:val="clear" w:color="auto" w:fill="FFFFFF"/>
        <w:tabs>
          <w:tab w:val="left" w:pos="284"/>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 xml:space="preserve">CUARTO. </w:t>
      </w:r>
      <w:r>
        <w:rPr>
          <w:rFonts w:ascii="Palatino Linotype" w:eastAsia="Palatino Linotype" w:hAnsi="Palatino Linotype" w:cs="Palatino Linotype"/>
          <w:b/>
          <w:color w:val="222222"/>
          <w:sz w:val="24"/>
          <w:szCs w:val="24"/>
        </w:rPr>
        <w:t xml:space="preserve">Notifíquese </w:t>
      </w:r>
      <w:r>
        <w:rPr>
          <w:rFonts w:ascii="Palatino Linotype" w:eastAsia="Palatino Linotype" w:hAnsi="Palatino Linotype" w:cs="Palatino Linotype"/>
          <w:color w:val="222222"/>
          <w:sz w:val="24"/>
          <w:szCs w:val="24"/>
        </w:rPr>
        <w:t xml:space="preserve">al </w:t>
      </w:r>
      <w:r>
        <w:rPr>
          <w:rFonts w:ascii="Palatino Linotype" w:eastAsia="Palatino Linotype" w:hAnsi="Palatino Linotype" w:cs="Palatino Linotype"/>
          <w:b/>
          <w:color w:val="222222"/>
          <w:sz w:val="24"/>
          <w:szCs w:val="24"/>
        </w:rPr>
        <w:t xml:space="preserve">RECURRENTE </w:t>
      </w:r>
      <w:r>
        <w:rPr>
          <w:rFonts w:ascii="Palatino Linotype" w:eastAsia="Palatino Linotype" w:hAnsi="Palatino Linotype" w:cs="Palatino Linotype"/>
          <w:sz w:val="24"/>
          <w:szCs w:val="24"/>
        </w:rPr>
        <w:t>la presente resolución a través del Sistema de Acceso a la Información Mexiquense (SAIMEX).</w:t>
      </w:r>
    </w:p>
    <w:p w14:paraId="65255EB6" w14:textId="77777777" w:rsidR="00215C5E" w:rsidRDefault="00215C5E">
      <w:pPr>
        <w:shd w:val="clear" w:color="auto" w:fill="FFFFFF"/>
        <w:tabs>
          <w:tab w:val="left" w:pos="284"/>
        </w:tabs>
        <w:spacing w:line="360" w:lineRule="auto"/>
        <w:jc w:val="both"/>
        <w:rPr>
          <w:rFonts w:ascii="Palatino Linotype" w:eastAsia="Palatino Linotype" w:hAnsi="Palatino Linotype" w:cs="Palatino Linotype"/>
          <w:sz w:val="24"/>
          <w:szCs w:val="24"/>
        </w:rPr>
      </w:pPr>
    </w:p>
    <w:p w14:paraId="65AF6640" w14:textId="77777777" w:rsidR="00215C5E" w:rsidRDefault="001B7427">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QUINTO. </w:t>
      </w:r>
      <w:r>
        <w:rPr>
          <w:rFonts w:ascii="Palatino Linotype" w:eastAsia="Palatino Linotype" w:hAnsi="Palatino Linotype" w:cs="Palatino Linotype"/>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4F281F0" w14:textId="77777777" w:rsidR="00215C5E" w:rsidRDefault="001B7427">
      <w:pPr>
        <w:shd w:val="clear" w:color="auto" w:fill="FFFFFF"/>
        <w:spacing w:before="240" w:after="360" w:line="360" w:lineRule="auto"/>
        <w:jc w:val="both"/>
        <w:rPr>
          <w:rFonts w:ascii="Palatino Linotype" w:eastAsia="Palatino Linotype" w:hAnsi="Palatino Linotype" w:cs="Palatino Linotype"/>
          <w:color w:val="222222"/>
          <w:sz w:val="24"/>
          <w:szCs w:val="24"/>
        </w:rPr>
      </w:pPr>
      <w:r>
        <w:rPr>
          <w:rFonts w:ascii="Palatino Linotype" w:eastAsia="Palatino Linotype" w:hAnsi="Palatino Linotype" w:cs="Palatino Linotype"/>
          <w:b/>
          <w:sz w:val="24"/>
          <w:szCs w:val="24"/>
        </w:rPr>
        <w:t>SEXTO.</w:t>
      </w:r>
      <w:r>
        <w:rPr>
          <w:rFonts w:ascii="Palatino Linotype" w:eastAsia="Palatino Linotype" w:hAnsi="Palatino Linotype" w:cs="Palatino Linotype"/>
          <w:color w:val="222222"/>
          <w:sz w:val="24"/>
          <w:szCs w:val="24"/>
        </w:rPr>
        <w:t xml:space="preserve"> </w:t>
      </w:r>
      <w:r>
        <w:rPr>
          <w:rFonts w:ascii="Palatino Linotype" w:eastAsia="Palatino Linotype" w:hAnsi="Palatino Linotype" w:cs="Palatino Linotype"/>
          <w:sz w:val="24"/>
          <w:szCs w:val="24"/>
        </w:rPr>
        <w:t xml:space="preserve">Se hace del conocimiento del RECURRENTE que, de conformidad con lo establecido en el artículo 196 de la Ley de Transparencia y Acceso a la Información Pública del Estado de México y Municipios, </w:t>
      </w:r>
      <w:r>
        <w:rPr>
          <w:rFonts w:ascii="Palatino Linotype" w:eastAsia="Palatino Linotype" w:hAnsi="Palatino Linotype" w:cs="Palatino Linotype"/>
          <w:color w:val="000000"/>
          <w:sz w:val="24"/>
          <w:szCs w:val="24"/>
        </w:rPr>
        <w:t xml:space="preserve">en caso de que considere que la resolución le cause algún perjuicio podrá </w:t>
      </w:r>
      <w:r>
        <w:rPr>
          <w:rFonts w:ascii="Palatino Linotype" w:eastAsia="Palatino Linotype" w:hAnsi="Palatino Linotype" w:cs="Palatino Linotype"/>
          <w:sz w:val="24"/>
          <w:szCs w:val="24"/>
        </w:rPr>
        <w:t>impugnar vía</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juicio de amparo en los términos de las leyes aplicables.</w:t>
      </w:r>
    </w:p>
    <w:p w14:paraId="366FA21D" w14:textId="77777777" w:rsidR="00536B8A" w:rsidRPr="00536B8A" w:rsidRDefault="00536B8A" w:rsidP="00536B8A">
      <w:pPr>
        <w:spacing w:line="360" w:lineRule="auto"/>
        <w:ind w:firstLine="1"/>
        <w:jc w:val="both"/>
        <w:rPr>
          <w:rFonts w:ascii="Palatino Linotype" w:hAnsi="Palatino Linotype"/>
          <w:sz w:val="24"/>
        </w:rPr>
      </w:pPr>
      <w:r w:rsidRPr="00536B8A">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VEINTIOCHO (28) DE AGOSTO DE DOS MIL VEINTICUATRO, ANTE EL SECRETARIO TÉCNICO DEL PLENO ALEXIS TAPIA RAMÍREZ. </w:t>
      </w:r>
    </w:p>
    <w:p w14:paraId="73AB08C6" w14:textId="77777777" w:rsidR="00215C5E" w:rsidRDefault="00215C5E">
      <w:pPr>
        <w:spacing w:before="240" w:after="240" w:line="360" w:lineRule="auto"/>
        <w:jc w:val="both"/>
        <w:rPr>
          <w:rFonts w:ascii="Palatino Linotype" w:eastAsia="Palatino Linotype" w:hAnsi="Palatino Linotype" w:cs="Palatino Linotype"/>
          <w:sz w:val="24"/>
          <w:szCs w:val="24"/>
        </w:rPr>
      </w:pPr>
    </w:p>
    <w:p w14:paraId="037C96C2" w14:textId="77777777" w:rsidR="00215C5E" w:rsidRDefault="00215C5E">
      <w:pPr>
        <w:spacing w:before="240" w:after="240" w:line="360" w:lineRule="auto"/>
        <w:jc w:val="both"/>
        <w:rPr>
          <w:rFonts w:ascii="Palatino Linotype" w:eastAsia="Palatino Linotype" w:hAnsi="Palatino Linotype" w:cs="Palatino Linotype"/>
          <w:sz w:val="24"/>
          <w:szCs w:val="24"/>
        </w:rPr>
      </w:pPr>
    </w:p>
    <w:p w14:paraId="5DB049A5" w14:textId="77777777" w:rsidR="00215C5E" w:rsidRDefault="00215C5E">
      <w:pPr>
        <w:spacing w:before="240" w:after="240" w:line="360" w:lineRule="auto"/>
        <w:jc w:val="both"/>
        <w:rPr>
          <w:rFonts w:ascii="Palatino Linotype" w:eastAsia="Palatino Linotype" w:hAnsi="Palatino Linotype" w:cs="Palatino Linotype"/>
          <w:sz w:val="24"/>
          <w:szCs w:val="24"/>
        </w:rPr>
      </w:pPr>
    </w:p>
    <w:p w14:paraId="4F062F7C" w14:textId="77777777" w:rsidR="00215C5E" w:rsidRDefault="00215C5E">
      <w:pPr>
        <w:spacing w:before="240" w:after="240" w:line="360" w:lineRule="auto"/>
        <w:jc w:val="both"/>
        <w:rPr>
          <w:rFonts w:ascii="Palatino Linotype" w:eastAsia="Palatino Linotype" w:hAnsi="Palatino Linotype" w:cs="Palatino Linotype"/>
          <w:sz w:val="24"/>
          <w:szCs w:val="24"/>
        </w:rPr>
      </w:pPr>
    </w:p>
    <w:p w14:paraId="3B587B25" w14:textId="77777777" w:rsidR="00215C5E" w:rsidRDefault="00215C5E">
      <w:pPr>
        <w:spacing w:before="240" w:after="240" w:line="360" w:lineRule="auto"/>
        <w:jc w:val="both"/>
        <w:rPr>
          <w:rFonts w:ascii="Palatino Linotype" w:eastAsia="Palatino Linotype" w:hAnsi="Palatino Linotype" w:cs="Palatino Linotype"/>
          <w:sz w:val="24"/>
          <w:szCs w:val="24"/>
        </w:rPr>
      </w:pPr>
    </w:p>
    <w:p w14:paraId="4C78FEC7" w14:textId="77777777" w:rsidR="00215C5E" w:rsidRDefault="00215C5E">
      <w:pPr>
        <w:spacing w:before="240" w:after="240" w:line="360" w:lineRule="auto"/>
        <w:jc w:val="both"/>
        <w:rPr>
          <w:rFonts w:ascii="Palatino Linotype" w:eastAsia="Palatino Linotype" w:hAnsi="Palatino Linotype" w:cs="Palatino Linotype"/>
          <w:sz w:val="24"/>
          <w:szCs w:val="24"/>
        </w:rPr>
      </w:pPr>
    </w:p>
    <w:p w14:paraId="58D2E4F2" w14:textId="77777777" w:rsidR="00215C5E" w:rsidRDefault="00215C5E">
      <w:pPr>
        <w:spacing w:before="240" w:after="240" w:line="360" w:lineRule="auto"/>
        <w:jc w:val="both"/>
        <w:rPr>
          <w:rFonts w:ascii="Palatino Linotype" w:eastAsia="Palatino Linotype" w:hAnsi="Palatino Linotype" w:cs="Palatino Linotype"/>
          <w:sz w:val="24"/>
          <w:szCs w:val="24"/>
        </w:rPr>
      </w:pPr>
    </w:p>
    <w:p w14:paraId="2DA5EAC9" w14:textId="77777777" w:rsidR="00215C5E" w:rsidRDefault="00215C5E">
      <w:pPr>
        <w:spacing w:before="240" w:after="240" w:line="360" w:lineRule="auto"/>
        <w:jc w:val="both"/>
        <w:rPr>
          <w:rFonts w:ascii="Palatino Linotype" w:eastAsia="Palatino Linotype" w:hAnsi="Palatino Linotype" w:cs="Palatino Linotype"/>
          <w:sz w:val="24"/>
          <w:szCs w:val="24"/>
        </w:rPr>
      </w:pPr>
    </w:p>
    <w:p w14:paraId="512CF6D0" w14:textId="77777777" w:rsidR="00215C5E" w:rsidRDefault="00215C5E">
      <w:pPr>
        <w:spacing w:before="240" w:after="240" w:line="360" w:lineRule="auto"/>
        <w:jc w:val="both"/>
        <w:rPr>
          <w:rFonts w:ascii="Palatino Linotype" w:eastAsia="Palatino Linotype" w:hAnsi="Palatino Linotype" w:cs="Palatino Linotype"/>
          <w:sz w:val="24"/>
          <w:szCs w:val="24"/>
        </w:rPr>
      </w:pPr>
    </w:p>
    <w:p w14:paraId="45056294" w14:textId="77777777" w:rsidR="00215C5E" w:rsidRDefault="00215C5E">
      <w:pPr>
        <w:spacing w:before="240" w:after="240" w:line="360" w:lineRule="auto"/>
        <w:jc w:val="both"/>
        <w:rPr>
          <w:rFonts w:ascii="Palatino Linotype" w:eastAsia="Palatino Linotype" w:hAnsi="Palatino Linotype" w:cs="Palatino Linotype"/>
          <w:sz w:val="24"/>
          <w:szCs w:val="24"/>
        </w:rPr>
      </w:pPr>
    </w:p>
    <w:p w14:paraId="7AA39982" w14:textId="77777777" w:rsidR="00215C5E" w:rsidRDefault="00215C5E">
      <w:pPr>
        <w:spacing w:before="240" w:after="240" w:line="360" w:lineRule="auto"/>
        <w:jc w:val="both"/>
        <w:rPr>
          <w:rFonts w:ascii="Palatino Linotype" w:eastAsia="Palatino Linotype" w:hAnsi="Palatino Linotype" w:cs="Palatino Linotype"/>
          <w:sz w:val="24"/>
          <w:szCs w:val="24"/>
        </w:rPr>
      </w:pPr>
    </w:p>
    <w:p w14:paraId="714516F2" w14:textId="77777777" w:rsidR="00215C5E" w:rsidRDefault="00215C5E">
      <w:pPr>
        <w:spacing w:before="240" w:after="240" w:line="360" w:lineRule="auto"/>
        <w:jc w:val="both"/>
        <w:rPr>
          <w:rFonts w:ascii="Palatino Linotype" w:eastAsia="Palatino Linotype" w:hAnsi="Palatino Linotype" w:cs="Palatino Linotype"/>
          <w:sz w:val="24"/>
          <w:szCs w:val="24"/>
        </w:rPr>
      </w:pPr>
    </w:p>
    <w:p w14:paraId="028E3289" w14:textId="77777777" w:rsidR="00215C5E" w:rsidRDefault="00215C5E">
      <w:pPr>
        <w:spacing w:before="240" w:after="360" w:line="360" w:lineRule="auto"/>
        <w:jc w:val="both"/>
        <w:rPr>
          <w:rFonts w:ascii="Palatino Linotype" w:eastAsia="Palatino Linotype" w:hAnsi="Palatino Linotype" w:cs="Palatino Linotype"/>
          <w:color w:val="222222"/>
          <w:sz w:val="24"/>
          <w:szCs w:val="24"/>
        </w:rPr>
      </w:pPr>
    </w:p>
    <w:sectPr w:rsidR="00215C5E">
      <w:headerReference w:type="even" r:id="rId10"/>
      <w:headerReference w:type="default" r:id="rId11"/>
      <w:footerReference w:type="default" r:id="rId12"/>
      <w:headerReference w:type="first" r:id="rId13"/>
      <w:footerReference w:type="first" r:id="rId14"/>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D1105" w14:textId="77777777" w:rsidR="00D94437" w:rsidRDefault="00D94437">
      <w:r>
        <w:separator/>
      </w:r>
    </w:p>
  </w:endnote>
  <w:endnote w:type="continuationSeparator" w:id="0">
    <w:p w14:paraId="3E493CAB" w14:textId="77777777" w:rsidR="00D94437" w:rsidRDefault="00D9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9D2A" w14:textId="77777777" w:rsidR="00215C5E" w:rsidRDefault="00215C5E">
    <w:pPr>
      <w:pBdr>
        <w:top w:val="nil"/>
        <w:left w:val="nil"/>
        <w:bottom w:val="nil"/>
        <w:right w:val="nil"/>
        <w:between w:val="nil"/>
      </w:pBdr>
      <w:tabs>
        <w:tab w:val="center" w:pos="4419"/>
        <w:tab w:val="right" w:pos="8838"/>
      </w:tabs>
      <w:jc w:val="right"/>
      <w:rPr>
        <w:color w:val="000000"/>
      </w:rPr>
    </w:pPr>
  </w:p>
  <w:p w14:paraId="46733092" w14:textId="77777777" w:rsidR="00215C5E" w:rsidRDefault="001B742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14B1B">
      <w:rPr>
        <w:b/>
        <w:noProof/>
        <w:color w:val="000000"/>
        <w:sz w:val="24"/>
        <w:szCs w:val="24"/>
      </w:rPr>
      <w:t>40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14B1B">
      <w:rPr>
        <w:b/>
        <w:noProof/>
        <w:color w:val="000000"/>
        <w:sz w:val="24"/>
        <w:szCs w:val="24"/>
      </w:rPr>
      <w:t>42</w:t>
    </w:r>
    <w:r>
      <w:rPr>
        <w:b/>
        <w:color w:val="000000"/>
        <w:sz w:val="24"/>
        <w:szCs w:val="24"/>
      </w:rPr>
      <w:fldChar w:fldCharType="end"/>
    </w:r>
  </w:p>
  <w:p w14:paraId="4C1B227C" w14:textId="77777777" w:rsidR="00215C5E" w:rsidRDefault="00215C5E">
    <w:pPr>
      <w:pBdr>
        <w:top w:val="nil"/>
        <w:left w:val="nil"/>
        <w:bottom w:val="nil"/>
        <w:right w:val="nil"/>
        <w:between w:val="nil"/>
      </w:pBdr>
      <w:tabs>
        <w:tab w:val="center" w:pos="4419"/>
        <w:tab w:val="right" w:pos="8838"/>
      </w:tabs>
      <w:rPr>
        <w:color w:val="000000"/>
      </w:rPr>
    </w:pPr>
  </w:p>
  <w:p w14:paraId="4806D9E5" w14:textId="77777777" w:rsidR="00215C5E" w:rsidRDefault="00215C5E"/>
  <w:p w14:paraId="49E200C8" w14:textId="77777777" w:rsidR="00215C5E" w:rsidRDefault="00215C5E"/>
  <w:p w14:paraId="7E44C348" w14:textId="77777777" w:rsidR="00215C5E" w:rsidRDefault="00215C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7103" w14:textId="77777777" w:rsidR="00215C5E" w:rsidRDefault="001B742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14B1B">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14B1B">
      <w:rPr>
        <w:b/>
        <w:noProof/>
        <w:color w:val="000000"/>
        <w:sz w:val="24"/>
        <w:szCs w:val="24"/>
      </w:rPr>
      <w:t>42</w:t>
    </w:r>
    <w:r>
      <w:rPr>
        <w:b/>
        <w:color w:val="000000"/>
        <w:sz w:val="24"/>
        <w:szCs w:val="24"/>
      </w:rPr>
      <w:fldChar w:fldCharType="end"/>
    </w:r>
  </w:p>
  <w:p w14:paraId="18BD4806" w14:textId="77777777" w:rsidR="00215C5E" w:rsidRDefault="00215C5E">
    <w:pPr>
      <w:pBdr>
        <w:top w:val="nil"/>
        <w:left w:val="nil"/>
        <w:bottom w:val="nil"/>
        <w:right w:val="nil"/>
        <w:between w:val="nil"/>
      </w:pBdr>
      <w:tabs>
        <w:tab w:val="center" w:pos="4419"/>
        <w:tab w:val="right" w:pos="8838"/>
      </w:tabs>
      <w:rPr>
        <w:color w:val="000000"/>
      </w:rPr>
    </w:pPr>
  </w:p>
  <w:p w14:paraId="3080DE6E" w14:textId="77777777" w:rsidR="00215C5E" w:rsidRDefault="00215C5E"/>
  <w:p w14:paraId="5AE1EA0A" w14:textId="77777777" w:rsidR="00215C5E" w:rsidRDefault="00215C5E"/>
  <w:p w14:paraId="27DC77CC" w14:textId="77777777" w:rsidR="00215C5E" w:rsidRDefault="00215C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83C35" w14:textId="77777777" w:rsidR="00D94437" w:rsidRDefault="00D94437">
      <w:r>
        <w:separator/>
      </w:r>
    </w:p>
  </w:footnote>
  <w:footnote w:type="continuationSeparator" w:id="0">
    <w:p w14:paraId="10F3ACF8" w14:textId="77777777" w:rsidR="00D94437" w:rsidRDefault="00D94437">
      <w:r>
        <w:continuationSeparator/>
      </w:r>
    </w:p>
  </w:footnote>
  <w:footnote w:id="1">
    <w:p w14:paraId="492B0172" w14:textId="77777777" w:rsidR="00215C5E" w:rsidRDefault="001B7427">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Convención Americana sobre Derechos Humanos. Artículo 13.</w:t>
      </w:r>
    </w:p>
  </w:footnote>
  <w:footnote w:id="2">
    <w:p w14:paraId="11E35A45" w14:textId="77777777" w:rsidR="00215C5E" w:rsidRDefault="001B7427">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Constitución Política de los Estados Unidos Mexicanos. Artículo sexto, sección A, fracción I.</w:t>
      </w:r>
    </w:p>
  </w:footnote>
  <w:footnote w:id="3">
    <w:p w14:paraId="5A0AB31A" w14:textId="77777777" w:rsidR="00215C5E" w:rsidRDefault="001B7427">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Corte Interamericana de Derechos Humanos. Caso Claude Reyes y otros vs. Chile. Sentencia de 19 de septiembre de 2006. Serie C. No. 151. Párr. 86.</w:t>
      </w:r>
    </w:p>
  </w:footnote>
  <w:footnote w:id="4">
    <w:p w14:paraId="6785C276" w14:textId="77777777" w:rsidR="00215C5E" w:rsidRDefault="001B7427">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Ibídem. Parr. 87.</w:t>
      </w:r>
    </w:p>
  </w:footnote>
  <w:footnote w:id="5">
    <w:p w14:paraId="118216CA" w14:textId="77777777" w:rsidR="00215C5E" w:rsidRDefault="001B7427">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Ley de Transparencia y Acceso a la Información Pública del Estado de México y Municipios. Artículo 9. …</w:t>
      </w:r>
    </w:p>
    <w:p w14:paraId="46B108C4" w14:textId="77777777" w:rsidR="00215C5E" w:rsidRDefault="001B742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II. Eficacia: Obligación del Instituto para tutelar, de manera efectiva, el derecho de acceso a la información;</w:t>
      </w:r>
    </w:p>
    <w:p w14:paraId="10AA28B0" w14:textId="77777777" w:rsidR="00215C5E" w:rsidRDefault="001B742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806A" w14:textId="77777777" w:rsidR="00215C5E" w:rsidRDefault="00D94437">
    <w:pPr>
      <w:pBdr>
        <w:top w:val="nil"/>
        <w:left w:val="nil"/>
        <w:bottom w:val="nil"/>
        <w:right w:val="nil"/>
        <w:between w:val="nil"/>
      </w:pBdr>
      <w:tabs>
        <w:tab w:val="center" w:pos="4419"/>
        <w:tab w:val="right" w:pos="8838"/>
      </w:tabs>
      <w:rPr>
        <w:color w:val="000000"/>
      </w:rPr>
    </w:pPr>
    <w:r>
      <w:rPr>
        <w:color w:val="000000"/>
      </w:rPr>
      <w:pict w14:anchorId="345AF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p w14:paraId="3272251F" w14:textId="77777777" w:rsidR="00215C5E" w:rsidRDefault="00215C5E"/>
  <w:p w14:paraId="6006DC18" w14:textId="77777777" w:rsidR="00215C5E" w:rsidRDefault="00215C5E"/>
  <w:p w14:paraId="023669A7" w14:textId="77777777" w:rsidR="00215C5E" w:rsidRDefault="00215C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95F9" w14:textId="77777777" w:rsidR="00215C5E" w:rsidRDefault="00215C5E">
    <w:pPr>
      <w:widowControl w:val="0"/>
      <w:pBdr>
        <w:top w:val="nil"/>
        <w:left w:val="nil"/>
        <w:bottom w:val="nil"/>
        <w:right w:val="nil"/>
        <w:between w:val="nil"/>
      </w:pBdr>
      <w:spacing w:line="276" w:lineRule="auto"/>
    </w:pPr>
  </w:p>
  <w:tbl>
    <w:tblPr>
      <w:tblStyle w:val="a0"/>
      <w:tblW w:w="10320" w:type="dxa"/>
      <w:tblInd w:w="0" w:type="dxa"/>
      <w:tblLayout w:type="fixed"/>
      <w:tblLook w:val="0400" w:firstRow="0" w:lastRow="0" w:firstColumn="0" w:lastColumn="0" w:noHBand="0" w:noVBand="1"/>
    </w:tblPr>
    <w:tblGrid>
      <w:gridCol w:w="1845"/>
      <w:gridCol w:w="8475"/>
    </w:tblGrid>
    <w:tr w:rsidR="00215C5E" w14:paraId="06A2C3C3" w14:textId="77777777">
      <w:trPr>
        <w:trHeight w:val="1435"/>
      </w:trPr>
      <w:tc>
        <w:tcPr>
          <w:tcW w:w="1845" w:type="dxa"/>
          <w:shd w:val="clear" w:color="auto" w:fill="auto"/>
        </w:tcPr>
        <w:p w14:paraId="67184167" w14:textId="77777777" w:rsidR="00215C5E" w:rsidRDefault="001B7427">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8475" w:type="dxa"/>
          <w:shd w:val="clear" w:color="auto" w:fill="auto"/>
        </w:tcPr>
        <w:p w14:paraId="2892055B" w14:textId="77777777" w:rsidR="00215C5E" w:rsidRDefault="00215C5E"/>
        <w:tbl>
          <w:tblPr>
            <w:tblStyle w:val="a1"/>
            <w:tblW w:w="6630" w:type="dxa"/>
            <w:tblInd w:w="1594" w:type="dxa"/>
            <w:tblBorders>
              <w:top w:val="nil"/>
              <w:left w:val="nil"/>
              <w:bottom w:val="nil"/>
              <w:right w:val="nil"/>
              <w:insideH w:val="nil"/>
              <w:insideV w:val="nil"/>
            </w:tblBorders>
            <w:tblLayout w:type="fixed"/>
            <w:tblLook w:val="0400" w:firstRow="0" w:lastRow="0" w:firstColumn="0" w:lastColumn="0" w:noHBand="0" w:noVBand="1"/>
          </w:tblPr>
          <w:tblGrid>
            <w:gridCol w:w="2520"/>
            <w:gridCol w:w="4110"/>
          </w:tblGrid>
          <w:tr w:rsidR="00215C5E" w14:paraId="56064F09" w14:textId="77777777">
            <w:trPr>
              <w:trHeight w:val="338"/>
            </w:trPr>
            <w:tc>
              <w:tcPr>
                <w:tcW w:w="2520" w:type="dxa"/>
              </w:tcPr>
              <w:p w14:paraId="04E42DFB" w14:textId="77777777" w:rsidR="00215C5E" w:rsidRDefault="001B742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0" w:type="dxa"/>
              </w:tcPr>
              <w:p w14:paraId="40C4B952" w14:textId="77777777" w:rsidR="00215C5E" w:rsidRDefault="001B7427">
                <w:pPr>
                  <w:tabs>
                    <w:tab w:val="right" w:pos="8838"/>
                  </w:tabs>
                  <w:ind w:right="-1350" w:hanging="10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00128/INFOEM/IP/RR/2024</w:t>
                </w:r>
              </w:p>
            </w:tc>
          </w:tr>
          <w:tr w:rsidR="00215C5E" w14:paraId="6C15A4CA" w14:textId="77777777">
            <w:trPr>
              <w:trHeight w:val="283"/>
            </w:trPr>
            <w:tc>
              <w:tcPr>
                <w:tcW w:w="2520" w:type="dxa"/>
              </w:tcPr>
              <w:p w14:paraId="4B12FAB7" w14:textId="77777777" w:rsidR="00215C5E" w:rsidRDefault="001B7427">
                <w:pPr>
                  <w:tabs>
                    <w:tab w:val="right" w:pos="8838"/>
                  </w:tabs>
                  <w:ind w:right="-105"/>
                  <w:rPr>
                    <w:rFonts w:ascii="Palatino Linotype" w:eastAsia="Palatino Linotype" w:hAnsi="Palatino Linotype" w:cs="Palatino Linotype"/>
                    <w:b/>
                    <w:sz w:val="22"/>
                    <w:szCs w:val="22"/>
                  </w:rPr>
                </w:pPr>
                <w:bookmarkStart w:id="14" w:name="_heading=h.35nkun2" w:colFirst="0" w:colLast="0"/>
                <w:bookmarkEnd w:id="14"/>
                <w:r>
                  <w:rPr>
                    <w:rFonts w:ascii="Palatino Linotype" w:eastAsia="Palatino Linotype" w:hAnsi="Palatino Linotype" w:cs="Palatino Linotype"/>
                    <w:b/>
                    <w:sz w:val="22"/>
                    <w:szCs w:val="22"/>
                  </w:rPr>
                  <w:t>Sujeto Obligado:</w:t>
                </w:r>
              </w:p>
            </w:tc>
            <w:tc>
              <w:tcPr>
                <w:tcW w:w="4110" w:type="dxa"/>
              </w:tcPr>
              <w:p w14:paraId="32290E48" w14:textId="77777777" w:rsidR="00215C5E" w:rsidRDefault="001B7427">
                <w:pPr>
                  <w:tabs>
                    <w:tab w:val="left" w:pos="2834"/>
                    <w:tab w:val="right" w:pos="8838"/>
                  </w:tabs>
                  <w:ind w:left="-113" w:right="-135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Ayuntamiento de Cuautitlán Izcalli </w:t>
                </w:r>
                <w:r>
                  <w:rPr>
                    <w:rFonts w:ascii="Palatino Linotype" w:eastAsia="Palatino Linotype" w:hAnsi="Palatino Linotype" w:cs="Palatino Linotype"/>
                  </w:rPr>
                  <w:t xml:space="preserve"> </w:t>
                </w:r>
              </w:p>
            </w:tc>
          </w:tr>
          <w:tr w:rsidR="00215C5E" w14:paraId="07BC4C12" w14:textId="77777777">
            <w:trPr>
              <w:trHeight w:val="283"/>
            </w:trPr>
            <w:tc>
              <w:tcPr>
                <w:tcW w:w="2520" w:type="dxa"/>
              </w:tcPr>
              <w:p w14:paraId="155FC1E9" w14:textId="77777777" w:rsidR="00215C5E" w:rsidRDefault="001B742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0" w:type="dxa"/>
              </w:tcPr>
              <w:p w14:paraId="159ECA1C" w14:textId="77777777" w:rsidR="00215C5E" w:rsidRDefault="001B7427">
                <w:pPr>
                  <w:tabs>
                    <w:tab w:val="right" w:pos="8838"/>
                  </w:tabs>
                  <w:ind w:left="-113" w:right="-1350"/>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María del Rosario Mejía Ayala</w:t>
                </w:r>
              </w:p>
            </w:tc>
          </w:tr>
        </w:tbl>
        <w:p w14:paraId="5DBF1558" w14:textId="77777777" w:rsidR="00215C5E" w:rsidRDefault="00215C5E">
          <w:pPr>
            <w:tabs>
              <w:tab w:val="right" w:pos="8838"/>
            </w:tabs>
            <w:ind w:left="-28"/>
            <w:jc w:val="both"/>
            <w:rPr>
              <w:rFonts w:ascii="Arial" w:eastAsia="Arial" w:hAnsi="Arial" w:cs="Arial"/>
              <w:b/>
              <w:sz w:val="22"/>
              <w:szCs w:val="22"/>
            </w:rPr>
          </w:pPr>
        </w:p>
      </w:tc>
    </w:tr>
  </w:tbl>
  <w:p w14:paraId="2D3CCDCF" w14:textId="77777777" w:rsidR="00215C5E" w:rsidRDefault="00D94437">
    <w:pPr>
      <w:pBdr>
        <w:top w:val="nil"/>
        <w:left w:val="nil"/>
        <w:bottom w:val="nil"/>
        <w:right w:val="nil"/>
        <w:between w:val="nil"/>
      </w:pBdr>
      <w:tabs>
        <w:tab w:val="center" w:pos="4419"/>
        <w:tab w:val="right" w:pos="8838"/>
      </w:tabs>
    </w:pPr>
    <w:r>
      <w:rPr>
        <w:color w:val="000000"/>
        <w:sz w:val="14"/>
        <w:szCs w:val="14"/>
      </w:rPr>
      <w:pict w14:anchorId="2126A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104.3pt;margin-top:-133.1pt;width:663.5pt;height:12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9DDB" w14:textId="77777777" w:rsidR="00215C5E" w:rsidRDefault="00215C5E">
    <w:pPr>
      <w:widowControl w:val="0"/>
      <w:pBdr>
        <w:top w:val="nil"/>
        <w:left w:val="nil"/>
        <w:bottom w:val="nil"/>
        <w:right w:val="nil"/>
        <w:between w:val="nil"/>
      </w:pBdr>
      <w:spacing w:line="276" w:lineRule="auto"/>
    </w:pPr>
  </w:p>
  <w:tbl>
    <w:tblPr>
      <w:tblStyle w:val="a2"/>
      <w:tblW w:w="9945" w:type="dxa"/>
      <w:tblInd w:w="0" w:type="dxa"/>
      <w:tblLayout w:type="fixed"/>
      <w:tblLook w:val="0400" w:firstRow="0" w:lastRow="0" w:firstColumn="0" w:lastColumn="0" w:noHBand="0" w:noVBand="1"/>
    </w:tblPr>
    <w:tblGrid>
      <w:gridCol w:w="1560"/>
      <w:gridCol w:w="8385"/>
    </w:tblGrid>
    <w:tr w:rsidR="00215C5E" w14:paraId="5CFCA4B4" w14:textId="77777777">
      <w:trPr>
        <w:trHeight w:val="1435"/>
      </w:trPr>
      <w:tc>
        <w:tcPr>
          <w:tcW w:w="1560" w:type="dxa"/>
          <w:shd w:val="clear" w:color="auto" w:fill="auto"/>
        </w:tcPr>
        <w:p w14:paraId="6724D6CA" w14:textId="77777777" w:rsidR="00215C5E" w:rsidRDefault="00215C5E">
          <w:pPr>
            <w:tabs>
              <w:tab w:val="right" w:pos="4273"/>
            </w:tabs>
            <w:rPr>
              <w:rFonts w:ascii="Garamond" w:eastAsia="Garamond" w:hAnsi="Garamond" w:cs="Garamond"/>
              <w:sz w:val="22"/>
              <w:szCs w:val="22"/>
            </w:rPr>
          </w:pPr>
        </w:p>
      </w:tc>
      <w:tc>
        <w:tcPr>
          <w:tcW w:w="8385" w:type="dxa"/>
          <w:shd w:val="clear" w:color="auto" w:fill="auto"/>
        </w:tcPr>
        <w:p w14:paraId="0B50E35F" w14:textId="77777777" w:rsidR="00215C5E" w:rsidRDefault="00215C5E">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3"/>
            <w:tblW w:w="8940" w:type="dxa"/>
            <w:tblInd w:w="1879" w:type="dxa"/>
            <w:tblBorders>
              <w:top w:val="nil"/>
              <w:left w:val="nil"/>
              <w:bottom w:val="nil"/>
              <w:right w:val="nil"/>
              <w:insideH w:val="nil"/>
              <w:insideV w:val="nil"/>
            </w:tblBorders>
            <w:tblLayout w:type="fixed"/>
            <w:tblLook w:val="0400" w:firstRow="0" w:lastRow="0" w:firstColumn="0" w:lastColumn="0" w:noHBand="0" w:noVBand="1"/>
          </w:tblPr>
          <w:tblGrid>
            <w:gridCol w:w="2445"/>
            <w:gridCol w:w="4050"/>
            <w:gridCol w:w="2445"/>
          </w:tblGrid>
          <w:tr w:rsidR="00215C5E" w14:paraId="217FD57E" w14:textId="77777777">
            <w:trPr>
              <w:trHeight w:val="144"/>
            </w:trPr>
            <w:tc>
              <w:tcPr>
                <w:tcW w:w="2445" w:type="dxa"/>
              </w:tcPr>
              <w:p w14:paraId="392F5AC6" w14:textId="77777777" w:rsidR="00215C5E" w:rsidRDefault="001B7427">
                <w:pPr>
                  <w:tabs>
                    <w:tab w:val="right" w:pos="8838"/>
                  </w:tabs>
                  <w:ind w:left="-74" w:right="-105"/>
                  <w:rPr>
                    <w:rFonts w:ascii="Palatino Linotype" w:eastAsia="Palatino Linotype" w:hAnsi="Palatino Linotype" w:cs="Palatino Linotype"/>
                    <w:b/>
                    <w:sz w:val="22"/>
                    <w:szCs w:val="22"/>
                  </w:rPr>
                </w:pPr>
                <w:bookmarkStart w:id="15" w:name="_heading=h.1ksv4uv" w:colFirst="0" w:colLast="0"/>
                <w:bookmarkEnd w:id="15"/>
                <w:r>
                  <w:rPr>
                    <w:rFonts w:ascii="Palatino Linotype" w:eastAsia="Palatino Linotype" w:hAnsi="Palatino Linotype" w:cs="Palatino Linotype"/>
                    <w:b/>
                    <w:sz w:val="22"/>
                    <w:szCs w:val="22"/>
                  </w:rPr>
                  <w:t>Recurso de Revisión:</w:t>
                </w:r>
              </w:p>
            </w:tc>
            <w:tc>
              <w:tcPr>
                <w:tcW w:w="4050" w:type="dxa"/>
              </w:tcPr>
              <w:p w14:paraId="68BA3EA9" w14:textId="77777777" w:rsidR="00215C5E" w:rsidRDefault="001B7427">
                <w:pPr>
                  <w:tabs>
                    <w:tab w:val="right" w:pos="8838"/>
                  </w:tabs>
                  <w:ind w:left="-3" w:right="-137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00128/INFOEM/IP/RR/2024</w:t>
                </w:r>
              </w:p>
            </w:tc>
            <w:tc>
              <w:tcPr>
                <w:tcW w:w="2445" w:type="dxa"/>
              </w:tcPr>
              <w:p w14:paraId="4C02C657" w14:textId="77777777" w:rsidR="00215C5E" w:rsidRDefault="00215C5E">
                <w:pPr>
                  <w:tabs>
                    <w:tab w:val="right" w:pos="8838"/>
                  </w:tabs>
                  <w:ind w:left="-74" w:right="-105"/>
                  <w:jc w:val="both"/>
                  <w:rPr>
                    <w:rFonts w:ascii="Palatino Linotype" w:eastAsia="Palatino Linotype" w:hAnsi="Palatino Linotype" w:cs="Palatino Linotype"/>
                    <w:sz w:val="22"/>
                    <w:szCs w:val="22"/>
                  </w:rPr>
                </w:pPr>
              </w:p>
            </w:tc>
          </w:tr>
          <w:tr w:rsidR="00215C5E" w14:paraId="642098B1" w14:textId="77777777">
            <w:trPr>
              <w:trHeight w:val="144"/>
            </w:trPr>
            <w:tc>
              <w:tcPr>
                <w:tcW w:w="2445" w:type="dxa"/>
              </w:tcPr>
              <w:p w14:paraId="402E0D1A" w14:textId="77777777" w:rsidR="00215C5E" w:rsidRDefault="001B7427">
                <w:pPr>
                  <w:tabs>
                    <w:tab w:val="right" w:pos="8838"/>
                  </w:tabs>
                  <w:ind w:left="-74" w:right="-105"/>
                  <w:rPr>
                    <w:rFonts w:ascii="Palatino Linotype" w:eastAsia="Palatino Linotype" w:hAnsi="Palatino Linotype" w:cs="Palatino Linotype"/>
                    <w:b/>
                    <w:sz w:val="22"/>
                    <w:szCs w:val="22"/>
                  </w:rPr>
                </w:pPr>
                <w:bookmarkStart w:id="16" w:name="_heading=h.44sinio" w:colFirst="0" w:colLast="0"/>
                <w:bookmarkEnd w:id="16"/>
                <w:r>
                  <w:rPr>
                    <w:rFonts w:ascii="Palatino Linotype" w:eastAsia="Palatino Linotype" w:hAnsi="Palatino Linotype" w:cs="Palatino Linotype"/>
                    <w:b/>
                    <w:sz w:val="22"/>
                    <w:szCs w:val="22"/>
                  </w:rPr>
                  <w:t>Recurrente:</w:t>
                </w:r>
              </w:p>
            </w:tc>
            <w:tc>
              <w:tcPr>
                <w:tcW w:w="4050" w:type="dxa"/>
              </w:tcPr>
              <w:p w14:paraId="41B97F7A" w14:textId="7D8DCD61" w:rsidR="00215C5E" w:rsidRDefault="009D6A90">
                <w:pPr>
                  <w:tabs>
                    <w:tab w:val="left" w:pos="3122"/>
                    <w:tab w:val="right" w:pos="8838"/>
                  </w:tabs>
                  <w:ind w:right="-1371"/>
                  <w:rPr>
                    <w:rFonts w:ascii="Palatino Linotype" w:eastAsia="Palatino Linotype" w:hAnsi="Palatino Linotype" w:cs="Palatino Linotype"/>
                    <w:sz w:val="22"/>
                    <w:szCs w:val="22"/>
                  </w:rPr>
                </w:pPr>
                <w:r>
                  <w:rPr>
                    <w:rFonts w:ascii="Palatino Linotype" w:eastAsia="Palatino Linotype" w:hAnsi="Palatino Linotype" w:cs="Palatino Linotype"/>
                  </w:rPr>
                  <w:t xml:space="preserve">XXX </w:t>
                </w:r>
                <w:proofErr w:type="spellStart"/>
                <w:r>
                  <w:rPr>
                    <w:rFonts w:ascii="Palatino Linotype" w:eastAsia="Palatino Linotype" w:hAnsi="Palatino Linotype" w:cs="Palatino Linotype"/>
                  </w:rPr>
                  <w:t>XXX</w:t>
                </w:r>
                <w:proofErr w:type="spellEnd"/>
              </w:p>
            </w:tc>
            <w:tc>
              <w:tcPr>
                <w:tcW w:w="2445" w:type="dxa"/>
              </w:tcPr>
              <w:p w14:paraId="045C4DC8" w14:textId="77777777" w:rsidR="00215C5E" w:rsidRDefault="00215C5E">
                <w:pPr>
                  <w:tabs>
                    <w:tab w:val="left" w:pos="3122"/>
                    <w:tab w:val="right" w:pos="8838"/>
                  </w:tabs>
                  <w:ind w:right="-105"/>
                  <w:jc w:val="both"/>
                  <w:rPr>
                    <w:rFonts w:ascii="Palatino Linotype" w:eastAsia="Palatino Linotype" w:hAnsi="Palatino Linotype" w:cs="Palatino Linotype"/>
                    <w:sz w:val="22"/>
                    <w:szCs w:val="22"/>
                  </w:rPr>
                </w:pPr>
              </w:p>
            </w:tc>
          </w:tr>
          <w:tr w:rsidR="00215C5E" w14:paraId="1A602634" w14:textId="77777777">
            <w:trPr>
              <w:trHeight w:val="283"/>
            </w:trPr>
            <w:tc>
              <w:tcPr>
                <w:tcW w:w="2445" w:type="dxa"/>
              </w:tcPr>
              <w:p w14:paraId="518EB07E" w14:textId="77777777" w:rsidR="00215C5E" w:rsidRDefault="001B742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50" w:type="dxa"/>
              </w:tcPr>
              <w:p w14:paraId="6A15A4B8" w14:textId="77777777" w:rsidR="00215C5E" w:rsidRDefault="001B7427">
                <w:pPr>
                  <w:tabs>
                    <w:tab w:val="left" w:pos="2834"/>
                    <w:tab w:val="right" w:pos="8838"/>
                  </w:tabs>
                  <w:ind w:left="-3" w:right="-137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Cuautitlán Izcalli</w:t>
                </w:r>
                <w:r>
                  <w:rPr>
                    <w:rFonts w:ascii="Palatino Linotype" w:eastAsia="Palatino Linotype" w:hAnsi="Palatino Linotype" w:cs="Palatino Linotype"/>
                  </w:rPr>
                  <w:t xml:space="preserve"> </w:t>
                </w:r>
              </w:p>
            </w:tc>
            <w:tc>
              <w:tcPr>
                <w:tcW w:w="2445" w:type="dxa"/>
              </w:tcPr>
              <w:p w14:paraId="5B5D039B" w14:textId="77777777" w:rsidR="00215C5E" w:rsidRDefault="00215C5E">
                <w:pPr>
                  <w:tabs>
                    <w:tab w:val="left" w:pos="2834"/>
                    <w:tab w:val="right" w:pos="8838"/>
                  </w:tabs>
                  <w:ind w:left="-74" w:right="-105"/>
                  <w:jc w:val="both"/>
                  <w:rPr>
                    <w:rFonts w:ascii="Palatino Linotype" w:eastAsia="Palatino Linotype" w:hAnsi="Palatino Linotype" w:cs="Palatino Linotype"/>
                    <w:sz w:val="22"/>
                    <w:szCs w:val="22"/>
                  </w:rPr>
                </w:pPr>
              </w:p>
            </w:tc>
          </w:tr>
          <w:tr w:rsidR="00215C5E" w14:paraId="2C7F2C3D" w14:textId="77777777">
            <w:trPr>
              <w:trHeight w:val="283"/>
            </w:trPr>
            <w:tc>
              <w:tcPr>
                <w:tcW w:w="2445" w:type="dxa"/>
              </w:tcPr>
              <w:p w14:paraId="75A66B02" w14:textId="77777777" w:rsidR="00215C5E" w:rsidRDefault="001B742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50" w:type="dxa"/>
              </w:tcPr>
              <w:p w14:paraId="0C642EEE" w14:textId="77777777" w:rsidR="00215C5E" w:rsidRDefault="001B7427">
                <w:pPr>
                  <w:tabs>
                    <w:tab w:val="right" w:pos="8838"/>
                  </w:tabs>
                  <w:ind w:left="-3" w:right="-137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2445" w:type="dxa"/>
              </w:tcPr>
              <w:p w14:paraId="7A691608" w14:textId="77777777" w:rsidR="00215C5E" w:rsidRDefault="00215C5E">
                <w:pPr>
                  <w:tabs>
                    <w:tab w:val="right" w:pos="8838"/>
                  </w:tabs>
                  <w:ind w:left="-74" w:right="-105"/>
                  <w:jc w:val="both"/>
                  <w:rPr>
                    <w:rFonts w:ascii="Palatino Linotype" w:eastAsia="Palatino Linotype" w:hAnsi="Palatino Linotype" w:cs="Palatino Linotype"/>
                    <w:sz w:val="22"/>
                    <w:szCs w:val="22"/>
                  </w:rPr>
                </w:pPr>
              </w:p>
            </w:tc>
          </w:tr>
        </w:tbl>
        <w:p w14:paraId="25D0F967" w14:textId="77777777" w:rsidR="00215C5E" w:rsidRDefault="00215C5E">
          <w:pPr>
            <w:tabs>
              <w:tab w:val="right" w:pos="8838"/>
            </w:tabs>
            <w:ind w:left="-28"/>
            <w:jc w:val="both"/>
            <w:rPr>
              <w:rFonts w:ascii="Arial" w:eastAsia="Arial" w:hAnsi="Arial" w:cs="Arial"/>
              <w:b/>
              <w:sz w:val="22"/>
              <w:szCs w:val="22"/>
            </w:rPr>
          </w:pPr>
        </w:p>
      </w:tc>
    </w:tr>
  </w:tbl>
  <w:p w14:paraId="634787BF" w14:textId="77777777" w:rsidR="00215C5E" w:rsidRDefault="00D94437">
    <w:pPr>
      <w:pBdr>
        <w:top w:val="nil"/>
        <w:left w:val="nil"/>
        <w:bottom w:val="nil"/>
        <w:right w:val="nil"/>
        <w:between w:val="nil"/>
      </w:pBdr>
      <w:tabs>
        <w:tab w:val="center" w:pos="4419"/>
        <w:tab w:val="right" w:pos="8838"/>
        <w:tab w:val="center" w:pos="4522"/>
      </w:tabs>
      <w:rPr>
        <w:color w:val="000000"/>
      </w:rPr>
    </w:pPr>
    <w:r>
      <w:rPr>
        <w:color w:val="000000"/>
        <w:sz w:val="14"/>
        <w:szCs w:val="14"/>
      </w:rPr>
      <w:pict w14:anchorId="63C64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75.8pt;margin-top:-134.3pt;width:663.5pt;height:12in;z-index:-251658752;mso-position-horizontal:absolute;mso-position-horizontal-relative:margin;mso-position-vertical:absolute;mso-position-vertical-relative:margin">
          <v:imagedata r:id="rId1" o:title="image1"/>
          <w10:wrap anchorx="margin" anchory="margin"/>
        </v:shape>
      </w:pict>
    </w:r>
  </w:p>
  <w:p w14:paraId="4A2F9BFA" w14:textId="77777777" w:rsidR="00215C5E" w:rsidRDefault="00215C5E"/>
  <w:p w14:paraId="1F7FADC0" w14:textId="77777777" w:rsidR="00215C5E" w:rsidRDefault="00215C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2140"/>
    <w:multiLevelType w:val="multilevel"/>
    <w:tmpl w:val="BB4AAFEC"/>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0BE63858"/>
    <w:multiLevelType w:val="multilevel"/>
    <w:tmpl w:val="A56EE7D4"/>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155994"/>
    <w:multiLevelType w:val="multilevel"/>
    <w:tmpl w:val="923C87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5F6E56"/>
    <w:multiLevelType w:val="multilevel"/>
    <w:tmpl w:val="5B90F6AC"/>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11210C"/>
    <w:multiLevelType w:val="multilevel"/>
    <w:tmpl w:val="10F4B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9EF1C96"/>
    <w:multiLevelType w:val="multilevel"/>
    <w:tmpl w:val="D224542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595ABA"/>
    <w:multiLevelType w:val="multilevel"/>
    <w:tmpl w:val="9DA8CE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73648C"/>
    <w:multiLevelType w:val="multilevel"/>
    <w:tmpl w:val="35D246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304700028">
    <w:abstractNumId w:val="1"/>
  </w:num>
  <w:num w:numId="2" w16cid:durableId="56783187">
    <w:abstractNumId w:val="2"/>
  </w:num>
  <w:num w:numId="3" w16cid:durableId="2098818682">
    <w:abstractNumId w:val="0"/>
  </w:num>
  <w:num w:numId="4" w16cid:durableId="1912428043">
    <w:abstractNumId w:val="5"/>
  </w:num>
  <w:num w:numId="5" w16cid:durableId="289748765">
    <w:abstractNumId w:val="6"/>
  </w:num>
  <w:num w:numId="6" w16cid:durableId="1770270135">
    <w:abstractNumId w:val="4"/>
  </w:num>
  <w:num w:numId="7" w16cid:durableId="900360593">
    <w:abstractNumId w:val="7"/>
  </w:num>
  <w:num w:numId="8" w16cid:durableId="1996295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5E"/>
    <w:rsid w:val="00014B1B"/>
    <w:rsid w:val="001B7427"/>
    <w:rsid w:val="00215C5E"/>
    <w:rsid w:val="00536B8A"/>
    <w:rsid w:val="005A7A85"/>
    <w:rsid w:val="005E0EFD"/>
    <w:rsid w:val="009D6A90"/>
    <w:rsid w:val="00AA7986"/>
    <w:rsid w:val="00B038D2"/>
    <w:rsid w:val="00BE77E6"/>
    <w:rsid w:val="00D94437"/>
    <w:rsid w:val="00F527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96D93"/>
  <w15:docId w15:val="{A44219B1-E596-4F5C-9F11-D6A5A3C4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rPr>
      <w:rFonts w:asciiTheme="minorHAnsi"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paragraph" w:customStyle="1" w:styleId="Citas">
    <w:name w:val="Citas"/>
    <w:basedOn w:val="Normal"/>
    <w:qFormat/>
    <w:rsid w:val="00FB06DE"/>
    <w:pPr>
      <w:spacing w:before="240" w:after="160" w:line="360" w:lineRule="auto"/>
      <w:ind w:left="851" w:right="851"/>
      <w:jc w:val="both"/>
    </w:pPr>
    <w:rPr>
      <w:rFonts w:ascii="Palatino Linotype" w:eastAsiaTheme="minorHAnsi" w:hAnsi="Palatino Linotype" w:cs="Arial"/>
      <w:i/>
      <w:sz w:val="22"/>
      <w:szCs w:val="22"/>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color w:val="000000"/>
      <w:sz w:val="24"/>
      <w:szCs w:val="24"/>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color w:val="000000"/>
      <w:sz w:val="24"/>
      <w:szCs w:val="24"/>
    </w:r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color w:val="000000"/>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0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cHVJk3fiqcbQam4yoDJX4fmv4g==">CgMxLjAyCGguZ2pkZ3hzMgloLjMwajB6bGwyCWguMWZvYjl0ZTIJaC4zem55c2g3MgloLjJldDkycDAyCGgudHlqY3d0MgloLjNkeTZ2a20yCWguMXQzaDVzZjIJaC40ZDM0b2c4MgloLjJzOGV5bzEyCWguMTdkcDh2dTIJaC4zcmRjcmpuMgloLjI2aW4xcmcyCGgubG54Yno5MgloLjM1bmt1bjIyCWguMWtzdjR1djIJaC40NHNpbmlvOAByITFsTjRJLU9ad0I4N3NBY1NTMWs4ODQxdHMwQ3Zvc0Vt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42</Pages>
  <Words>9183</Words>
  <Characters>50507</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Fernado Lobato Rodríguez</dc:creator>
  <cp:lastModifiedBy>inf03m612@outlook.com</cp:lastModifiedBy>
  <cp:revision>8</cp:revision>
  <cp:lastPrinted>2024-08-29T21:06:00Z</cp:lastPrinted>
  <dcterms:created xsi:type="dcterms:W3CDTF">2024-08-21T20:32:00Z</dcterms:created>
  <dcterms:modified xsi:type="dcterms:W3CDTF">2024-09-06T18:20:00Z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