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F88C1" w14:textId="09A2E35D"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r w:rsidRPr="00B56D5F">
        <w:rPr>
          <w:rFonts w:eastAsia="Palatino Linotype" w:cs="Palatino Linotype"/>
          <w:color w:val="000000"/>
          <w:szCs w:val="24"/>
        </w:rPr>
        <w:t>Resolución del Pleno del Instituto de Transparencia, Acceso a la Información Pública y Protección de Datos Personales del Estado de México y Municipios, con domicilio en Metepec, Estado de México, a</w:t>
      </w:r>
      <w:r w:rsidR="005F6C6D" w:rsidRPr="00B56D5F">
        <w:rPr>
          <w:rFonts w:eastAsia="Palatino Linotype" w:cs="Palatino Linotype"/>
          <w:color w:val="000000"/>
          <w:szCs w:val="24"/>
        </w:rPr>
        <w:t xml:space="preserve"> tres</w:t>
      </w:r>
      <w:r w:rsidR="00D321D8" w:rsidRPr="00B56D5F">
        <w:rPr>
          <w:rFonts w:eastAsia="Palatino Linotype" w:cs="Palatino Linotype"/>
          <w:color w:val="000000"/>
          <w:szCs w:val="24"/>
        </w:rPr>
        <w:t xml:space="preserve"> de octubre de dos mil </w:t>
      </w:r>
      <w:r w:rsidR="00B426F3" w:rsidRPr="00B56D5F">
        <w:rPr>
          <w:rFonts w:eastAsia="Palatino Linotype" w:cs="Palatino Linotype"/>
          <w:color w:val="000000"/>
          <w:szCs w:val="24"/>
        </w:rPr>
        <w:t>veinticuatro</w:t>
      </w:r>
      <w:r w:rsidRPr="00B56D5F">
        <w:rPr>
          <w:rFonts w:eastAsia="Palatino Linotype" w:cs="Palatino Linotype"/>
          <w:color w:val="000000"/>
          <w:szCs w:val="24"/>
        </w:rPr>
        <w:t>.</w:t>
      </w:r>
    </w:p>
    <w:p w14:paraId="48DE4E79"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13754330" w14:textId="5753D7E8"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r w:rsidRPr="00B56D5F">
        <w:rPr>
          <w:rFonts w:eastAsia="Palatino Linotype" w:cs="Palatino Linotype"/>
          <w:b/>
          <w:color w:val="000000"/>
          <w:szCs w:val="24"/>
        </w:rPr>
        <w:t>VISTO</w:t>
      </w:r>
      <w:r w:rsidRPr="00B56D5F">
        <w:rPr>
          <w:rFonts w:eastAsia="Palatino Linotype" w:cs="Palatino Linotype"/>
          <w:color w:val="000000"/>
          <w:szCs w:val="24"/>
        </w:rPr>
        <w:t xml:space="preserve"> el expediente electrónico formado con motivo del recurso de revisión número </w:t>
      </w:r>
      <w:r w:rsidRPr="00B56D5F">
        <w:rPr>
          <w:rFonts w:eastAsia="Palatino Linotype" w:cs="Palatino Linotype"/>
          <w:b/>
          <w:color w:val="000000"/>
          <w:szCs w:val="24"/>
        </w:rPr>
        <w:t>0</w:t>
      </w:r>
      <w:r w:rsidR="00D321D8" w:rsidRPr="00B56D5F">
        <w:rPr>
          <w:rFonts w:eastAsia="Palatino Linotype" w:cs="Palatino Linotype"/>
          <w:b/>
          <w:color w:val="000000"/>
          <w:szCs w:val="24"/>
        </w:rPr>
        <w:t>5475</w:t>
      </w:r>
      <w:r w:rsidRPr="00B56D5F">
        <w:rPr>
          <w:rFonts w:eastAsia="Palatino Linotype" w:cs="Palatino Linotype"/>
          <w:b/>
          <w:color w:val="000000"/>
          <w:szCs w:val="24"/>
        </w:rPr>
        <w:t>/INFOEM/IP/RR/202</w:t>
      </w:r>
      <w:r w:rsidR="00D321D8" w:rsidRPr="00B56D5F">
        <w:rPr>
          <w:rFonts w:eastAsia="Palatino Linotype" w:cs="Palatino Linotype"/>
          <w:b/>
          <w:color w:val="000000"/>
          <w:szCs w:val="24"/>
        </w:rPr>
        <w:t>4 y acumulado</w:t>
      </w:r>
      <w:r w:rsidRPr="00B56D5F">
        <w:rPr>
          <w:rFonts w:eastAsia="Palatino Linotype" w:cs="Palatino Linotype"/>
          <w:color w:val="000000"/>
          <w:szCs w:val="24"/>
        </w:rPr>
        <w:t>, interpuesto por</w:t>
      </w:r>
      <w:r w:rsidR="00D321D8" w:rsidRPr="00B56D5F">
        <w:rPr>
          <w:rFonts w:eastAsia="Palatino Linotype" w:cs="Palatino Linotype"/>
          <w:b/>
          <w:bCs/>
          <w:color w:val="000000"/>
          <w:szCs w:val="24"/>
        </w:rPr>
        <w:t xml:space="preserve"> </w:t>
      </w:r>
      <w:r w:rsidR="000D6086" w:rsidRPr="00B56D5F">
        <w:rPr>
          <w:rFonts w:eastAsia="Palatino Linotype" w:cs="Palatino Linotype"/>
          <w:b/>
          <w:bCs/>
          <w:color w:val="000000"/>
          <w:szCs w:val="24"/>
        </w:rPr>
        <w:t>XXXXXXXXXXXXX</w:t>
      </w:r>
      <w:r w:rsidRPr="00B56D5F">
        <w:rPr>
          <w:rFonts w:cs="Arial"/>
          <w:szCs w:val="24"/>
        </w:rPr>
        <w:t xml:space="preserve">, </w:t>
      </w:r>
      <w:r w:rsidRPr="00B56D5F">
        <w:rPr>
          <w:rFonts w:eastAsia="Palatino Linotype" w:cs="Palatino Linotype"/>
          <w:color w:val="000000"/>
          <w:szCs w:val="24"/>
        </w:rPr>
        <w:t xml:space="preserve">en lo sucesivo el </w:t>
      </w:r>
      <w:r w:rsidRPr="00B56D5F">
        <w:rPr>
          <w:rFonts w:eastAsia="Palatino Linotype" w:cs="Palatino Linotype"/>
          <w:b/>
          <w:color w:val="000000"/>
          <w:szCs w:val="24"/>
        </w:rPr>
        <w:t>Recurrente</w:t>
      </w:r>
      <w:r w:rsidRPr="00B56D5F">
        <w:rPr>
          <w:rFonts w:eastAsia="Palatino Linotype" w:cs="Palatino Linotype"/>
          <w:color w:val="000000"/>
          <w:szCs w:val="24"/>
        </w:rPr>
        <w:t xml:space="preserve">, en contra de la respuesta del </w:t>
      </w:r>
      <w:r w:rsidR="00D321D8" w:rsidRPr="00B56D5F">
        <w:rPr>
          <w:rFonts w:eastAsia="Palatino Linotype" w:cs="Palatino Linotype"/>
          <w:b/>
          <w:bCs/>
          <w:color w:val="000000"/>
          <w:szCs w:val="24"/>
        </w:rPr>
        <w:t>Instituto Electoral del Estado de México</w:t>
      </w:r>
      <w:r w:rsidR="005F6C6D" w:rsidRPr="00B56D5F">
        <w:rPr>
          <w:rFonts w:eastAsia="Palatino Linotype" w:cs="Palatino Linotype"/>
          <w:b/>
          <w:bCs/>
          <w:color w:val="000000"/>
          <w:szCs w:val="24"/>
        </w:rPr>
        <w:t xml:space="preserve"> </w:t>
      </w:r>
      <w:r w:rsidRPr="00B56D5F">
        <w:rPr>
          <w:rFonts w:eastAsia="Palatino Linotype" w:cs="Palatino Linotype"/>
          <w:color w:val="000000"/>
          <w:szCs w:val="24"/>
        </w:rPr>
        <w:t>en lo subsecuente</w:t>
      </w:r>
      <w:r w:rsidRPr="00B56D5F">
        <w:rPr>
          <w:rFonts w:eastAsia="Palatino Linotype" w:cs="Palatino Linotype"/>
          <w:b/>
          <w:color w:val="000000"/>
          <w:szCs w:val="24"/>
        </w:rPr>
        <w:t xml:space="preserve"> </w:t>
      </w:r>
      <w:r w:rsidRPr="00B56D5F">
        <w:rPr>
          <w:rFonts w:eastAsia="Palatino Linotype" w:cs="Palatino Linotype"/>
          <w:color w:val="000000"/>
          <w:szCs w:val="24"/>
        </w:rPr>
        <w:t>el</w:t>
      </w:r>
      <w:r w:rsidRPr="00B56D5F">
        <w:rPr>
          <w:rFonts w:eastAsia="Palatino Linotype" w:cs="Palatino Linotype"/>
          <w:b/>
          <w:color w:val="000000"/>
          <w:szCs w:val="24"/>
        </w:rPr>
        <w:t xml:space="preserve"> Sujeto Obligado, </w:t>
      </w:r>
      <w:r w:rsidRPr="00B56D5F">
        <w:rPr>
          <w:rFonts w:eastAsia="Palatino Linotype" w:cs="Palatino Linotype"/>
          <w:color w:val="000000"/>
          <w:szCs w:val="24"/>
        </w:rPr>
        <w:t>se procede a dictar la presente resolución.</w:t>
      </w:r>
    </w:p>
    <w:p w14:paraId="149F4A01"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3DE6B95E" w14:textId="77777777" w:rsidR="00511260" w:rsidRPr="00B56D5F" w:rsidRDefault="00511260" w:rsidP="00D321D8">
      <w:pPr>
        <w:jc w:val="center"/>
        <w:rPr>
          <w:b/>
          <w:bCs/>
          <w:sz w:val="28"/>
          <w:szCs w:val="28"/>
        </w:rPr>
      </w:pPr>
      <w:r w:rsidRPr="00B56D5F">
        <w:rPr>
          <w:b/>
          <w:bCs/>
          <w:sz w:val="28"/>
          <w:szCs w:val="28"/>
        </w:rPr>
        <w:t>A N T E C E D E N T E S</w:t>
      </w:r>
    </w:p>
    <w:p w14:paraId="57621D0B"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6A011D4A" w14:textId="77777777" w:rsidR="00511260" w:rsidRPr="00B56D5F" w:rsidRDefault="00511260" w:rsidP="00511260">
      <w:pPr>
        <w:rPr>
          <w:b/>
          <w:bCs/>
          <w:sz w:val="28"/>
          <w:szCs w:val="24"/>
        </w:rPr>
      </w:pPr>
      <w:r w:rsidRPr="00B56D5F">
        <w:rPr>
          <w:b/>
          <w:bCs/>
          <w:sz w:val="28"/>
          <w:szCs w:val="24"/>
        </w:rPr>
        <w:t>PRIMERO. De la Solicitud de Información.</w:t>
      </w:r>
    </w:p>
    <w:p w14:paraId="32EB670D" w14:textId="48F92174"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r w:rsidRPr="00B56D5F">
        <w:rPr>
          <w:rFonts w:eastAsia="Palatino Linotype" w:cs="Palatino Linotype"/>
          <w:color w:val="000000"/>
          <w:szCs w:val="24"/>
        </w:rPr>
        <w:t xml:space="preserve">Con fecha </w:t>
      </w:r>
      <w:r w:rsidR="00D321D8" w:rsidRPr="00B56D5F">
        <w:rPr>
          <w:rFonts w:eastAsia="Palatino Linotype" w:cs="Palatino Linotype"/>
          <w:color w:val="000000"/>
          <w:szCs w:val="24"/>
        </w:rPr>
        <w:t>cinco de agosto de dos mil veinticuatro</w:t>
      </w:r>
      <w:r w:rsidRPr="00B56D5F">
        <w:rPr>
          <w:rFonts w:eastAsia="Palatino Linotype" w:cs="Palatino Linotype"/>
          <w:color w:val="000000"/>
          <w:szCs w:val="24"/>
        </w:rPr>
        <w:t xml:space="preserve">, el Recurrente presentó mediante el Sistema de Acceso a la Información Mexiquense (SAIMEX), solicitud de información registrada con el número de </w:t>
      </w:r>
      <w:r w:rsidRPr="00B56D5F">
        <w:rPr>
          <w:rFonts w:eastAsia="Palatino Linotype" w:cs="Palatino Linotype"/>
          <w:szCs w:val="24"/>
        </w:rPr>
        <w:t>expediente</w:t>
      </w:r>
      <w:r w:rsidR="00D321D8" w:rsidRPr="00B56D5F">
        <w:rPr>
          <w:b/>
          <w:bCs/>
        </w:rPr>
        <w:t> 02351/IEEM/IP/2024 y</w:t>
      </w:r>
      <w:r w:rsidR="00B426F3" w:rsidRPr="00B56D5F">
        <w:rPr>
          <w:b/>
          <w:bCs/>
        </w:rPr>
        <w:t xml:space="preserve"> 02352/IEEM/IP/2024</w:t>
      </w:r>
      <w:r w:rsidRPr="00B56D5F">
        <w:rPr>
          <w:rFonts w:eastAsia="Palatino Linotype" w:cs="Palatino Linotype"/>
          <w:szCs w:val="24"/>
        </w:rPr>
        <w:t>,</w:t>
      </w:r>
      <w:r w:rsidRPr="00B56D5F">
        <w:rPr>
          <w:rFonts w:eastAsia="Palatino Linotype" w:cs="Palatino Linotype"/>
          <w:b/>
          <w:szCs w:val="24"/>
        </w:rPr>
        <w:t xml:space="preserve"> </w:t>
      </w:r>
      <w:r w:rsidRPr="00B56D5F">
        <w:rPr>
          <w:rFonts w:eastAsia="Palatino Linotype" w:cs="Palatino Linotype"/>
          <w:color w:val="000000"/>
          <w:szCs w:val="24"/>
        </w:rPr>
        <w:t>mediante la cual solicitó información en el tenor siguiente:</w:t>
      </w:r>
    </w:p>
    <w:p w14:paraId="14026B80" w14:textId="77777777" w:rsidR="00D321D8" w:rsidRPr="00B56D5F" w:rsidRDefault="00D321D8" w:rsidP="00511260">
      <w:pPr>
        <w:pBdr>
          <w:top w:val="nil"/>
          <w:left w:val="nil"/>
          <w:bottom w:val="nil"/>
          <w:right w:val="nil"/>
          <w:between w:val="nil"/>
        </w:pBdr>
        <w:contextualSpacing/>
        <w:rPr>
          <w:rFonts w:eastAsia="Palatino Linotype" w:cs="Palatino Linotype"/>
          <w:color w:val="000000"/>
          <w:szCs w:val="24"/>
        </w:rPr>
      </w:pPr>
    </w:p>
    <w:tbl>
      <w:tblPr>
        <w:tblStyle w:val="Tablaconcuadrcula"/>
        <w:tblW w:w="0" w:type="auto"/>
        <w:tblLook w:val="04A0" w:firstRow="1" w:lastRow="0" w:firstColumn="1" w:lastColumn="0" w:noHBand="0" w:noVBand="1"/>
      </w:tblPr>
      <w:tblGrid>
        <w:gridCol w:w="2547"/>
        <w:gridCol w:w="6797"/>
      </w:tblGrid>
      <w:tr w:rsidR="00D321D8" w:rsidRPr="00B56D5F" w14:paraId="6F3F1DB2" w14:textId="77777777" w:rsidTr="00B426F3">
        <w:tc>
          <w:tcPr>
            <w:tcW w:w="2547" w:type="dxa"/>
            <w:shd w:val="clear" w:color="auto" w:fill="D1D1D1" w:themeFill="background2" w:themeFillShade="E6"/>
          </w:tcPr>
          <w:p w14:paraId="27874642" w14:textId="7356D732" w:rsidR="00D321D8" w:rsidRPr="00B56D5F" w:rsidRDefault="00D321D8" w:rsidP="00B426F3">
            <w:pPr>
              <w:contextualSpacing/>
              <w:jc w:val="center"/>
              <w:rPr>
                <w:rFonts w:eastAsia="Palatino Linotype" w:cs="Palatino Linotype"/>
                <w:b/>
                <w:bCs/>
                <w:i/>
                <w:iCs/>
                <w:color w:val="000000"/>
                <w:sz w:val="22"/>
              </w:rPr>
            </w:pPr>
            <w:r w:rsidRPr="00B56D5F">
              <w:rPr>
                <w:rFonts w:eastAsia="Palatino Linotype" w:cs="Palatino Linotype"/>
                <w:b/>
                <w:bCs/>
                <w:i/>
                <w:iCs/>
                <w:color w:val="000000"/>
                <w:sz w:val="22"/>
              </w:rPr>
              <w:t>Número de solicitud</w:t>
            </w:r>
          </w:p>
        </w:tc>
        <w:tc>
          <w:tcPr>
            <w:tcW w:w="6797" w:type="dxa"/>
            <w:shd w:val="clear" w:color="auto" w:fill="D1D1D1" w:themeFill="background2" w:themeFillShade="E6"/>
          </w:tcPr>
          <w:p w14:paraId="0B9F0994" w14:textId="23CE9F2D" w:rsidR="00D321D8" w:rsidRPr="00B56D5F" w:rsidRDefault="00D321D8" w:rsidP="00B426F3">
            <w:pPr>
              <w:contextualSpacing/>
              <w:jc w:val="center"/>
              <w:rPr>
                <w:rFonts w:eastAsia="Palatino Linotype" w:cs="Palatino Linotype"/>
                <w:b/>
                <w:bCs/>
                <w:i/>
                <w:iCs/>
                <w:color w:val="000000"/>
                <w:sz w:val="22"/>
              </w:rPr>
            </w:pPr>
            <w:r w:rsidRPr="00B56D5F">
              <w:rPr>
                <w:rFonts w:eastAsia="Palatino Linotype" w:cs="Palatino Linotype"/>
                <w:b/>
                <w:bCs/>
                <w:i/>
                <w:iCs/>
                <w:color w:val="000000"/>
                <w:sz w:val="22"/>
              </w:rPr>
              <w:t>Solicitud</w:t>
            </w:r>
          </w:p>
        </w:tc>
      </w:tr>
      <w:tr w:rsidR="00D321D8" w:rsidRPr="00B56D5F" w14:paraId="4D67B3B2" w14:textId="77777777" w:rsidTr="00B426F3">
        <w:tc>
          <w:tcPr>
            <w:tcW w:w="2547" w:type="dxa"/>
          </w:tcPr>
          <w:p w14:paraId="636338F0" w14:textId="5D219F43" w:rsidR="00D321D8" w:rsidRPr="00B56D5F" w:rsidRDefault="00D321D8" w:rsidP="00511260">
            <w:pPr>
              <w:contextualSpacing/>
              <w:rPr>
                <w:rFonts w:eastAsia="Palatino Linotype" w:cs="Palatino Linotype"/>
                <w:i/>
                <w:iCs/>
                <w:color w:val="000000"/>
                <w:sz w:val="22"/>
              </w:rPr>
            </w:pPr>
            <w:r w:rsidRPr="00B56D5F">
              <w:rPr>
                <w:rFonts w:eastAsia="Palatino Linotype" w:cs="Palatino Linotype"/>
                <w:b/>
                <w:bCs/>
                <w:i/>
                <w:iCs/>
                <w:color w:val="000000"/>
                <w:sz w:val="22"/>
              </w:rPr>
              <w:t> 02351/IEEM/IP/2024</w:t>
            </w:r>
          </w:p>
        </w:tc>
        <w:tc>
          <w:tcPr>
            <w:tcW w:w="6797" w:type="dxa"/>
          </w:tcPr>
          <w:p w14:paraId="708C3204" w14:textId="262EFD16" w:rsidR="00D321D8" w:rsidRPr="00B56D5F" w:rsidRDefault="00D321D8" w:rsidP="00511260">
            <w:pPr>
              <w:contextualSpacing/>
              <w:rPr>
                <w:rFonts w:eastAsia="Palatino Linotype" w:cs="Palatino Linotype"/>
                <w:i/>
                <w:iCs/>
                <w:color w:val="000000"/>
                <w:sz w:val="22"/>
              </w:rPr>
            </w:pPr>
            <w:r w:rsidRPr="00B56D5F">
              <w:rPr>
                <w:rFonts w:eastAsia="Palatino Linotype" w:cs="Palatino Linotype"/>
                <w:i/>
                <w:iCs/>
                <w:color w:val="000000"/>
                <w:sz w:val="22"/>
              </w:rPr>
              <w:t xml:space="preserve">SOLICITO EN FORMATO DIGITAL LAS SOLICITUDES DE DOTACIÓN DE COMBUSTIBLE DE LAS JUNTAS DISTRITALES DE CHALCO Y DE VALLE DE CHALCO SOLIDARIDAD CORRESPONDIENTES A JUNIO DEL 2024 CON LOS </w:t>
            </w:r>
            <w:r w:rsidRPr="00B56D5F">
              <w:rPr>
                <w:rFonts w:eastAsia="Palatino Linotype" w:cs="Palatino Linotype"/>
                <w:i/>
                <w:iCs/>
                <w:color w:val="000000"/>
                <w:sz w:val="22"/>
              </w:rPr>
              <w:lastRenderedPageBreak/>
              <w:t xml:space="preserve">DOCUMENTOS PROBATORIOS QUE AMPAREN EL USO DEL COMBUSTIBLE. </w:t>
            </w:r>
            <w:r w:rsidRPr="00B56D5F">
              <w:rPr>
                <w:i/>
                <w:iCs/>
                <w:sz w:val="22"/>
              </w:rPr>
              <w:t>(Sic)</w:t>
            </w:r>
          </w:p>
        </w:tc>
      </w:tr>
      <w:tr w:rsidR="00D321D8" w:rsidRPr="00B56D5F" w14:paraId="2B95667A" w14:textId="77777777" w:rsidTr="00B426F3">
        <w:tc>
          <w:tcPr>
            <w:tcW w:w="2547" w:type="dxa"/>
          </w:tcPr>
          <w:p w14:paraId="1E659167" w14:textId="4E559461" w:rsidR="00D321D8" w:rsidRPr="00B56D5F" w:rsidRDefault="00B426F3" w:rsidP="00511260">
            <w:pPr>
              <w:contextualSpacing/>
              <w:rPr>
                <w:rFonts w:eastAsia="Palatino Linotype" w:cs="Palatino Linotype"/>
                <w:i/>
                <w:iCs/>
                <w:color w:val="000000"/>
                <w:sz w:val="22"/>
              </w:rPr>
            </w:pPr>
            <w:r w:rsidRPr="00B56D5F">
              <w:rPr>
                <w:rFonts w:eastAsia="Palatino Linotype" w:cs="Palatino Linotype"/>
                <w:b/>
                <w:bCs/>
                <w:i/>
                <w:iCs/>
                <w:color w:val="000000"/>
                <w:sz w:val="22"/>
              </w:rPr>
              <w:lastRenderedPageBreak/>
              <w:t>02352/IEEM/IP/2024</w:t>
            </w:r>
          </w:p>
        </w:tc>
        <w:tc>
          <w:tcPr>
            <w:tcW w:w="6797" w:type="dxa"/>
          </w:tcPr>
          <w:p w14:paraId="3987D8D0" w14:textId="5E2BDC72" w:rsidR="00D321D8" w:rsidRPr="00B56D5F" w:rsidRDefault="00B426F3" w:rsidP="00511260">
            <w:pPr>
              <w:contextualSpacing/>
              <w:rPr>
                <w:rFonts w:eastAsia="Palatino Linotype" w:cs="Palatino Linotype"/>
                <w:i/>
                <w:iCs/>
                <w:color w:val="000000"/>
                <w:sz w:val="22"/>
              </w:rPr>
            </w:pPr>
            <w:r w:rsidRPr="00B56D5F">
              <w:rPr>
                <w:rFonts w:eastAsia="Palatino Linotype" w:cs="Palatino Linotype"/>
                <w:i/>
                <w:iCs/>
                <w:color w:val="000000"/>
                <w:sz w:val="22"/>
              </w:rPr>
              <w:t xml:space="preserve">“SOLICITO EN FORMATO DIGITAL LAS SOLICITUDES DE DOTACIÓN DE COMBUSTIBLE DE LAS JUNTAS DISTRITALES DE CHALCO Y DE VALLE DE CHALCO SOLIDARIDAD CORRESPONDIENTES A JULIO DEL 2024 CON LOS DOCUMENTOS PROBATORIOS QUE AMPAREN EL USO DEL COMBUSTIBLE” </w:t>
            </w:r>
            <w:r w:rsidRPr="00B56D5F">
              <w:rPr>
                <w:i/>
                <w:iCs/>
                <w:sz w:val="22"/>
              </w:rPr>
              <w:t>(Sic)</w:t>
            </w:r>
          </w:p>
        </w:tc>
      </w:tr>
    </w:tbl>
    <w:p w14:paraId="3D004B25"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4F4FA494" w14:textId="77777777" w:rsidR="00511260" w:rsidRPr="00B56D5F" w:rsidRDefault="00511260" w:rsidP="00511260">
      <w:pPr>
        <w:pBdr>
          <w:top w:val="nil"/>
          <w:left w:val="nil"/>
          <w:bottom w:val="nil"/>
          <w:right w:val="nil"/>
          <w:between w:val="nil"/>
        </w:pBdr>
        <w:contextualSpacing/>
        <w:rPr>
          <w:rFonts w:eastAsia="Palatino Linotype" w:cs="Palatino Linotype"/>
          <w:b/>
          <w:color w:val="000000"/>
          <w:szCs w:val="24"/>
        </w:rPr>
      </w:pPr>
      <w:r w:rsidRPr="00B56D5F">
        <w:rPr>
          <w:rFonts w:eastAsia="Palatino Linotype" w:cs="Palatino Linotype"/>
          <w:color w:val="000000"/>
          <w:szCs w:val="24"/>
        </w:rPr>
        <w:t xml:space="preserve">Modalidad de entrega: </w:t>
      </w:r>
      <w:r w:rsidRPr="00B56D5F">
        <w:rPr>
          <w:rFonts w:eastAsia="Palatino Linotype" w:cs="Palatino Linotype"/>
          <w:b/>
          <w:color w:val="000000"/>
          <w:szCs w:val="24"/>
        </w:rPr>
        <w:t>A través del SAIMEX</w:t>
      </w:r>
      <w:r w:rsidRPr="00B56D5F">
        <w:rPr>
          <w:rFonts w:eastAsia="Palatino Linotype" w:cs="Palatino Linotype"/>
          <w:color w:val="000000"/>
          <w:szCs w:val="24"/>
        </w:rPr>
        <w:t>.</w:t>
      </w:r>
    </w:p>
    <w:p w14:paraId="3D69AF50"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1A7758F8" w14:textId="77777777" w:rsidR="00511260" w:rsidRPr="00B56D5F" w:rsidRDefault="00511260" w:rsidP="00511260">
      <w:pPr>
        <w:rPr>
          <w:b/>
          <w:bCs/>
          <w:sz w:val="28"/>
          <w:szCs w:val="28"/>
        </w:rPr>
      </w:pPr>
      <w:r w:rsidRPr="00B56D5F">
        <w:rPr>
          <w:b/>
          <w:bCs/>
          <w:sz w:val="28"/>
          <w:szCs w:val="28"/>
        </w:rPr>
        <w:t>SEGUNDO. De la respuesta del Sujeto Obligado.</w:t>
      </w:r>
    </w:p>
    <w:p w14:paraId="4CD7110D" w14:textId="7D9EBA89" w:rsidR="00D321D8" w:rsidRPr="00B56D5F" w:rsidRDefault="00511260" w:rsidP="00511260">
      <w:pPr>
        <w:pBdr>
          <w:top w:val="nil"/>
          <w:left w:val="nil"/>
          <w:bottom w:val="nil"/>
          <w:right w:val="nil"/>
          <w:between w:val="nil"/>
        </w:pBdr>
        <w:contextualSpacing/>
        <w:rPr>
          <w:rFonts w:eastAsia="Palatino Linotype" w:cs="Palatino Linotype"/>
          <w:color w:val="000000"/>
          <w:szCs w:val="24"/>
        </w:rPr>
      </w:pPr>
      <w:r w:rsidRPr="00B56D5F">
        <w:rPr>
          <w:rFonts w:eastAsia="Palatino Linotype" w:cs="Palatino Linotype"/>
          <w:color w:val="000000"/>
          <w:szCs w:val="24"/>
        </w:rPr>
        <w:t xml:space="preserve">De las constancias que obran en el expediente electrónico, se observa que el día </w:t>
      </w:r>
      <w:r w:rsidR="00D321D8" w:rsidRPr="00B56D5F">
        <w:rPr>
          <w:rFonts w:eastAsia="Palatino Linotype" w:cs="Palatino Linotype"/>
          <w:color w:val="000000"/>
          <w:szCs w:val="24"/>
        </w:rPr>
        <w:t>veintiséis de agosto de dos mil veinticuatro</w:t>
      </w:r>
      <w:r w:rsidRPr="00B56D5F">
        <w:rPr>
          <w:rFonts w:eastAsia="Palatino Linotype" w:cs="Palatino Linotype"/>
          <w:color w:val="000000"/>
          <w:szCs w:val="24"/>
        </w:rPr>
        <w:t>, el Sujeto Obligado dio respuesta a la solicitud de información:</w:t>
      </w:r>
    </w:p>
    <w:tbl>
      <w:tblPr>
        <w:tblStyle w:val="Tablaconcuadrcula"/>
        <w:tblW w:w="0" w:type="auto"/>
        <w:jc w:val="center"/>
        <w:tblLook w:val="04A0" w:firstRow="1" w:lastRow="0" w:firstColumn="1" w:lastColumn="0" w:noHBand="0" w:noVBand="1"/>
      </w:tblPr>
      <w:tblGrid>
        <w:gridCol w:w="3256"/>
        <w:gridCol w:w="5386"/>
      </w:tblGrid>
      <w:tr w:rsidR="00D321D8" w:rsidRPr="00B56D5F" w14:paraId="6E7D67AA" w14:textId="77777777" w:rsidTr="001963C1">
        <w:trPr>
          <w:jc w:val="center"/>
        </w:trPr>
        <w:tc>
          <w:tcPr>
            <w:tcW w:w="3256" w:type="dxa"/>
          </w:tcPr>
          <w:p w14:paraId="75BE331D" w14:textId="3768DD40" w:rsidR="00D321D8" w:rsidRPr="00B56D5F" w:rsidRDefault="00D321D8" w:rsidP="00511260">
            <w:pPr>
              <w:contextualSpacing/>
              <w:rPr>
                <w:rFonts w:eastAsia="Palatino Linotype" w:cs="Palatino Linotype"/>
                <w:color w:val="000000"/>
                <w:sz w:val="22"/>
              </w:rPr>
            </w:pPr>
            <w:r w:rsidRPr="00B56D5F">
              <w:rPr>
                <w:rFonts w:eastAsia="Palatino Linotype" w:cs="Palatino Linotype"/>
                <w:b/>
                <w:bCs/>
                <w:color w:val="000000"/>
                <w:sz w:val="22"/>
              </w:rPr>
              <w:t>02351/IEEM/IP/2024</w:t>
            </w:r>
          </w:p>
        </w:tc>
        <w:tc>
          <w:tcPr>
            <w:tcW w:w="5386" w:type="dxa"/>
          </w:tcPr>
          <w:p w14:paraId="18082586" w14:textId="77777777" w:rsidR="00B426F3" w:rsidRPr="00B56D5F" w:rsidRDefault="00D321D8" w:rsidP="00511260">
            <w:pPr>
              <w:pStyle w:val="Prrafodelista"/>
              <w:numPr>
                <w:ilvl w:val="0"/>
                <w:numId w:val="7"/>
              </w:numPr>
              <w:rPr>
                <w:rFonts w:eastAsia="Palatino Linotype" w:cs="Palatino Linotype"/>
                <w:b/>
                <w:bCs/>
                <w:color w:val="000000"/>
                <w:sz w:val="22"/>
              </w:rPr>
            </w:pPr>
            <w:r w:rsidRPr="00B56D5F">
              <w:rPr>
                <w:rFonts w:eastAsia="Palatino Linotype" w:cs="Palatino Linotype"/>
                <w:b/>
                <w:bCs/>
                <w:color w:val="000000"/>
                <w:sz w:val="22"/>
              </w:rPr>
              <w:t>JD 27 JUNIO, 4881.pdf</w:t>
            </w:r>
          </w:p>
          <w:p w14:paraId="54693599" w14:textId="77777777" w:rsidR="00B426F3" w:rsidRPr="00B56D5F" w:rsidRDefault="00D321D8" w:rsidP="00511260">
            <w:pPr>
              <w:pStyle w:val="Prrafodelista"/>
              <w:numPr>
                <w:ilvl w:val="0"/>
                <w:numId w:val="7"/>
              </w:numPr>
              <w:rPr>
                <w:rFonts w:eastAsia="Palatino Linotype" w:cs="Palatino Linotype"/>
                <w:b/>
                <w:bCs/>
                <w:color w:val="000000"/>
                <w:sz w:val="22"/>
              </w:rPr>
            </w:pPr>
            <w:r w:rsidRPr="00B56D5F">
              <w:rPr>
                <w:rFonts w:eastAsia="Palatino Linotype" w:cs="Palatino Linotype"/>
                <w:b/>
                <w:bCs/>
                <w:color w:val="000000"/>
                <w:sz w:val="22"/>
              </w:rPr>
              <w:t>JD 01 JUNIO, 4816.pdf</w:t>
            </w:r>
          </w:p>
          <w:p w14:paraId="0AB4C0B3" w14:textId="77777777" w:rsidR="00B426F3" w:rsidRPr="00B56D5F" w:rsidRDefault="00D321D8" w:rsidP="00511260">
            <w:pPr>
              <w:pStyle w:val="Prrafodelista"/>
              <w:numPr>
                <w:ilvl w:val="0"/>
                <w:numId w:val="7"/>
              </w:numPr>
              <w:rPr>
                <w:rFonts w:eastAsia="Palatino Linotype" w:cs="Palatino Linotype"/>
                <w:b/>
                <w:bCs/>
                <w:color w:val="000000"/>
                <w:sz w:val="22"/>
              </w:rPr>
            </w:pPr>
            <w:r w:rsidRPr="00B56D5F">
              <w:rPr>
                <w:rFonts w:eastAsia="Palatino Linotype" w:cs="Palatino Linotype"/>
                <w:b/>
                <w:bCs/>
                <w:color w:val="000000"/>
                <w:sz w:val="22"/>
              </w:rPr>
              <w:t>IEEM-DA-5442-2024.pdf</w:t>
            </w:r>
          </w:p>
          <w:p w14:paraId="1CBBDF97" w14:textId="36E85940" w:rsidR="00B426F3" w:rsidRPr="00B56D5F" w:rsidRDefault="00D321D8" w:rsidP="00511260">
            <w:pPr>
              <w:pStyle w:val="Prrafodelista"/>
              <w:numPr>
                <w:ilvl w:val="0"/>
                <w:numId w:val="7"/>
              </w:numPr>
              <w:rPr>
                <w:rFonts w:eastAsia="Palatino Linotype" w:cs="Palatino Linotype"/>
                <w:b/>
                <w:bCs/>
                <w:color w:val="000000"/>
                <w:sz w:val="22"/>
              </w:rPr>
            </w:pPr>
            <w:r w:rsidRPr="00B56D5F">
              <w:rPr>
                <w:rFonts w:eastAsia="Palatino Linotype" w:cs="Palatino Linotype"/>
                <w:b/>
                <w:bCs/>
                <w:color w:val="000000"/>
                <w:sz w:val="22"/>
              </w:rPr>
              <w:t>OFICIO RESPUESTA 2351-2024 UT.pd</w:t>
            </w:r>
            <w:r w:rsidR="00B426F3" w:rsidRPr="00B56D5F">
              <w:rPr>
                <w:rFonts w:eastAsia="Palatino Linotype" w:cs="Palatino Linotype"/>
                <w:b/>
                <w:bCs/>
                <w:color w:val="000000"/>
                <w:sz w:val="22"/>
              </w:rPr>
              <w:t>f</w:t>
            </w:r>
          </w:p>
        </w:tc>
      </w:tr>
      <w:tr w:rsidR="00D321D8" w:rsidRPr="00B56D5F" w14:paraId="30E5A477" w14:textId="77777777" w:rsidTr="001963C1">
        <w:trPr>
          <w:jc w:val="center"/>
        </w:trPr>
        <w:tc>
          <w:tcPr>
            <w:tcW w:w="3256" w:type="dxa"/>
          </w:tcPr>
          <w:p w14:paraId="5BFECD5B" w14:textId="0885F7BD" w:rsidR="00D321D8" w:rsidRPr="00B56D5F" w:rsidRDefault="00B426F3" w:rsidP="00511260">
            <w:pPr>
              <w:contextualSpacing/>
              <w:rPr>
                <w:rFonts w:eastAsia="Palatino Linotype" w:cs="Palatino Linotype"/>
                <w:color w:val="000000"/>
                <w:sz w:val="22"/>
              </w:rPr>
            </w:pPr>
            <w:r w:rsidRPr="00B56D5F">
              <w:rPr>
                <w:rFonts w:eastAsia="Palatino Linotype" w:cs="Palatino Linotype"/>
                <w:b/>
                <w:bCs/>
                <w:i/>
                <w:iCs/>
                <w:color w:val="000000"/>
                <w:sz w:val="22"/>
              </w:rPr>
              <w:t>02352/IEEM/IP/2024</w:t>
            </w:r>
          </w:p>
        </w:tc>
        <w:tc>
          <w:tcPr>
            <w:tcW w:w="5386" w:type="dxa"/>
          </w:tcPr>
          <w:p w14:paraId="7F9BE5D8" w14:textId="77777777" w:rsidR="00B426F3" w:rsidRPr="00B56D5F" w:rsidRDefault="00B426F3" w:rsidP="00511260">
            <w:pPr>
              <w:pStyle w:val="Prrafodelista"/>
              <w:numPr>
                <w:ilvl w:val="0"/>
                <w:numId w:val="7"/>
              </w:numPr>
              <w:rPr>
                <w:rFonts w:eastAsia="Palatino Linotype" w:cs="Palatino Linotype"/>
                <w:b/>
                <w:bCs/>
                <w:color w:val="000000"/>
                <w:sz w:val="22"/>
              </w:rPr>
            </w:pPr>
            <w:r w:rsidRPr="00B56D5F">
              <w:rPr>
                <w:rFonts w:eastAsia="Palatino Linotype" w:cs="Palatino Linotype"/>
                <w:b/>
                <w:bCs/>
                <w:color w:val="000000"/>
                <w:sz w:val="22"/>
              </w:rPr>
              <w:t>IEEM-DA-5443-2024.pdf</w:t>
            </w:r>
          </w:p>
          <w:p w14:paraId="31EDBBD7" w14:textId="77777777" w:rsidR="00B426F3" w:rsidRPr="00B56D5F" w:rsidRDefault="00B426F3" w:rsidP="00511260">
            <w:pPr>
              <w:pStyle w:val="Prrafodelista"/>
              <w:numPr>
                <w:ilvl w:val="0"/>
                <w:numId w:val="7"/>
              </w:numPr>
              <w:rPr>
                <w:rFonts w:eastAsia="Palatino Linotype" w:cs="Palatino Linotype"/>
                <w:b/>
                <w:bCs/>
                <w:color w:val="000000"/>
                <w:sz w:val="22"/>
              </w:rPr>
            </w:pPr>
            <w:r w:rsidRPr="00B56D5F">
              <w:rPr>
                <w:rFonts w:eastAsia="Palatino Linotype" w:cs="Palatino Linotype"/>
                <w:b/>
                <w:bCs/>
                <w:color w:val="000000"/>
                <w:sz w:val="22"/>
              </w:rPr>
              <w:t>JD 27 JULIO, 5912.pdf</w:t>
            </w:r>
          </w:p>
          <w:p w14:paraId="29B3AC57" w14:textId="77777777" w:rsidR="00B426F3" w:rsidRPr="00B56D5F" w:rsidRDefault="00B426F3" w:rsidP="00511260">
            <w:pPr>
              <w:pStyle w:val="Prrafodelista"/>
              <w:numPr>
                <w:ilvl w:val="0"/>
                <w:numId w:val="7"/>
              </w:numPr>
              <w:rPr>
                <w:rFonts w:eastAsia="Palatino Linotype" w:cs="Palatino Linotype"/>
                <w:b/>
                <w:bCs/>
                <w:color w:val="000000"/>
                <w:sz w:val="22"/>
              </w:rPr>
            </w:pPr>
            <w:r w:rsidRPr="00B56D5F">
              <w:rPr>
                <w:rFonts w:eastAsia="Palatino Linotype" w:cs="Palatino Linotype"/>
                <w:b/>
                <w:bCs/>
                <w:color w:val="000000"/>
                <w:sz w:val="22"/>
              </w:rPr>
              <w:t>JD 27 JULIO, 5914.pdf</w:t>
            </w:r>
          </w:p>
          <w:p w14:paraId="2FB72AA1" w14:textId="77777777" w:rsidR="00B426F3" w:rsidRPr="00B56D5F" w:rsidRDefault="00B426F3" w:rsidP="00511260">
            <w:pPr>
              <w:pStyle w:val="Prrafodelista"/>
              <w:numPr>
                <w:ilvl w:val="0"/>
                <w:numId w:val="7"/>
              </w:numPr>
              <w:rPr>
                <w:rFonts w:eastAsia="Palatino Linotype" w:cs="Palatino Linotype"/>
                <w:b/>
                <w:bCs/>
                <w:color w:val="000000"/>
                <w:sz w:val="22"/>
              </w:rPr>
            </w:pPr>
            <w:r w:rsidRPr="00B56D5F">
              <w:rPr>
                <w:rFonts w:eastAsia="Palatino Linotype" w:cs="Palatino Linotype"/>
                <w:b/>
                <w:bCs/>
                <w:color w:val="000000"/>
                <w:sz w:val="22"/>
              </w:rPr>
              <w:t>JD 01 JULIO, 5868.pdf</w:t>
            </w:r>
          </w:p>
          <w:p w14:paraId="62010A1B" w14:textId="77777777" w:rsidR="00B426F3" w:rsidRPr="00B56D5F" w:rsidRDefault="00B426F3" w:rsidP="00511260">
            <w:pPr>
              <w:pStyle w:val="Prrafodelista"/>
              <w:numPr>
                <w:ilvl w:val="0"/>
                <w:numId w:val="7"/>
              </w:numPr>
              <w:rPr>
                <w:rFonts w:eastAsia="Palatino Linotype" w:cs="Palatino Linotype"/>
                <w:b/>
                <w:bCs/>
                <w:color w:val="000000"/>
                <w:sz w:val="22"/>
              </w:rPr>
            </w:pPr>
            <w:r w:rsidRPr="00B56D5F">
              <w:rPr>
                <w:rFonts w:eastAsia="Palatino Linotype" w:cs="Palatino Linotype"/>
                <w:b/>
                <w:bCs/>
                <w:color w:val="000000"/>
                <w:sz w:val="22"/>
              </w:rPr>
              <w:t>JD 01 JULIO, 5521.pdf</w:t>
            </w:r>
          </w:p>
          <w:p w14:paraId="59190BC7" w14:textId="108F3C17" w:rsidR="00B426F3" w:rsidRPr="00B56D5F" w:rsidRDefault="00B426F3" w:rsidP="00511260">
            <w:pPr>
              <w:pStyle w:val="Prrafodelista"/>
              <w:numPr>
                <w:ilvl w:val="0"/>
                <w:numId w:val="7"/>
              </w:numPr>
              <w:rPr>
                <w:rFonts w:eastAsia="Palatino Linotype" w:cs="Palatino Linotype"/>
                <w:b/>
                <w:bCs/>
                <w:color w:val="000000"/>
                <w:sz w:val="22"/>
              </w:rPr>
            </w:pPr>
            <w:r w:rsidRPr="00B56D5F">
              <w:rPr>
                <w:rFonts w:eastAsia="Palatino Linotype" w:cs="Palatino Linotype"/>
                <w:b/>
                <w:bCs/>
                <w:color w:val="000000"/>
                <w:sz w:val="22"/>
              </w:rPr>
              <w:t>OFICIO RESPUESTA 2352-2024 UT.pdf</w:t>
            </w:r>
          </w:p>
        </w:tc>
      </w:tr>
    </w:tbl>
    <w:p w14:paraId="16B16B0A" w14:textId="6CEBE9AC" w:rsidR="00511260" w:rsidRPr="00B56D5F" w:rsidRDefault="00D321D8" w:rsidP="00511260">
      <w:pPr>
        <w:pBdr>
          <w:top w:val="nil"/>
          <w:left w:val="nil"/>
          <w:bottom w:val="nil"/>
          <w:right w:val="nil"/>
          <w:between w:val="nil"/>
        </w:pBdr>
        <w:contextualSpacing/>
        <w:rPr>
          <w:szCs w:val="24"/>
        </w:rPr>
      </w:pPr>
      <w:r w:rsidRPr="00B56D5F">
        <w:rPr>
          <w:rFonts w:eastAsia="Palatino Linotype" w:cs="Palatino Linotype"/>
          <w:color w:val="000000"/>
          <w:szCs w:val="24"/>
        </w:rPr>
        <w:lastRenderedPageBreak/>
        <w:t xml:space="preserve">Los </w:t>
      </w:r>
      <w:r w:rsidR="00511260" w:rsidRPr="00B56D5F">
        <w:rPr>
          <w:rFonts w:eastAsia="Palatino Linotype" w:cs="Palatino Linotype"/>
          <w:color w:val="000000"/>
          <w:szCs w:val="24"/>
        </w:rPr>
        <w:t>cual</w:t>
      </w:r>
      <w:r w:rsidRPr="00B56D5F">
        <w:rPr>
          <w:rFonts w:eastAsia="Palatino Linotype" w:cs="Palatino Linotype"/>
          <w:color w:val="000000"/>
          <w:szCs w:val="24"/>
        </w:rPr>
        <w:t>es</w:t>
      </w:r>
      <w:r w:rsidR="00511260" w:rsidRPr="00B56D5F">
        <w:rPr>
          <w:rFonts w:eastAsia="Palatino Linotype" w:cs="Palatino Linotype"/>
          <w:color w:val="000000"/>
          <w:szCs w:val="24"/>
        </w:rPr>
        <w:t xml:space="preserve"> no se reproduce</w:t>
      </w:r>
      <w:r w:rsidRPr="00B56D5F">
        <w:rPr>
          <w:rFonts w:eastAsia="Palatino Linotype" w:cs="Palatino Linotype"/>
          <w:color w:val="000000"/>
          <w:szCs w:val="24"/>
        </w:rPr>
        <w:t>n</w:t>
      </w:r>
      <w:r w:rsidR="00511260" w:rsidRPr="00B56D5F">
        <w:rPr>
          <w:rFonts w:eastAsia="Palatino Linotype" w:cs="Palatino Linotype"/>
          <w:color w:val="000000"/>
          <w:szCs w:val="24"/>
        </w:rPr>
        <w:t xml:space="preserve"> por ser del conocimiento de las partes; no obstante, su contenido será motivo de análisis en el estudio correspondiente.</w:t>
      </w:r>
    </w:p>
    <w:p w14:paraId="2F641781"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2DE68489" w14:textId="77777777" w:rsidR="00511260" w:rsidRPr="00B56D5F" w:rsidRDefault="00511260" w:rsidP="00511260">
      <w:pPr>
        <w:rPr>
          <w:b/>
          <w:bCs/>
          <w:sz w:val="28"/>
          <w:szCs w:val="28"/>
        </w:rPr>
      </w:pPr>
      <w:r w:rsidRPr="00B56D5F">
        <w:rPr>
          <w:b/>
          <w:bCs/>
          <w:sz w:val="28"/>
          <w:szCs w:val="28"/>
        </w:rPr>
        <w:t>TERCERO. Del recurso de revisión.</w:t>
      </w:r>
    </w:p>
    <w:p w14:paraId="7F7738FB" w14:textId="52E2E4F0"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r w:rsidRPr="00B56D5F">
        <w:rPr>
          <w:rFonts w:eastAsia="Palatino Linotype" w:cs="Palatino Linotype"/>
          <w:color w:val="000000"/>
          <w:szCs w:val="24"/>
        </w:rPr>
        <w:t xml:space="preserve">Inconforme con la respuesta emitida por el Sujeto Obligado, el Recurrente interpuso el presente recurso de revisión </w:t>
      </w:r>
      <w:r w:rsidR="001963C1" w:rsidRPr="00B56D5F">
        <w:rPr>
          <w:rFonts w:eastAsia="Palatino Linotype" w:cs="Palatino Linotype"/>
          <w:color w:val="000000"/>
          <w:szCs w:val="24"/>
        </w:rPr>
        <w:t xml:space="preserve">el día </w:t>
      </w:r>
      <w:r w:rsidR="001963C1" w:rsidRPr="00B56D5F">
        <w:rPr>
          <w:rFonts w:eastAsia="Palatino Linotype" w:cs="Palatino Linotype"/>
          <w:b/>
          <w:bCs/>
          <w:color w:val="000000"/>
          <w:szCs w:val="24"/>
        </w:rPr>
        <w:t>cuatro de septiembre de dos mil veinticuatro</w:t>
      </w:r>
      <w:r w:rsidRPr="00B56D5F">
        <w:rPr>
          <w:rFonts w:eastAsia="Palatino Linotype" w:cs="Palatino Linotype"/>
          <w:color w:val="000000"/>
          <w:szCs w:val="24"/>
        </w:rPr>
        <w:t xml:space="preserve">, el cual se registró con el expediente número </w:t>
      </w:r>
      <w:r w:rsidRPr="00B56D5F">
        <w:rPr>
          <w:rFonts w:eastAsia="Palatino Linotype" w:cs="Palatino Linotype"/>
          <w:b/>
          <w:color w:val="000000"/>
          <w:szCs w:val="24"/>
        </w:rPr>
        <w:t>0</w:t>
      </w:r>
      <w:r w:rsidR="00E513F1" w:rsidRPr="00B56D5F">
        <w:rPr>
          <w:rFonts w:eastAsia="Palatino Linotype" w:cs="Palatino Linotype"/>
          <w:b/>
          <w:color w:val="000000"/>
          <w:szCs w:val="24"/>
        </w:rPr>
        <w:t>5475</w:t>
      </w:r>
      <w:r w:rsidRPr="00B56D5F">
        <w:rPr>
          <w:rFonts w:eastAsia="Palatino Linotype" w:cs="Palatino Linotype"/>
          <w:b/>
          <w:color w:val="000000"/>
          <w:szCs w:val="24"/>
        </w:rPr>
        <w:t>/INFOEM/IP/RR/202</w:t>
      </w:r>
      <w:r w:rsidR="00E513F1" w:rsidRPr="00B56D5F">
        <w:rPr>
          <w:rFonts w:eastAsia="Palatino Linotype" w:cs="Palatino Linotype"/>
          <w:b/>
          <w:color w:val="000000"/>
          <w:szCs w:val="24"/>
        </w:rPr>
        <w:t>4 y 05484/INFOEM/IP/RR/2024</w:t>
      </w:r>
      <w:r w:rsidRPr="00B56D5F">
        <w:rPr>
          <w:rFonts w:eastAsia="Palatino Linotype" w:cs="Palatino Linotype"/>
          <w:color w:val="000000"/>
          <w:szCs w:val="24"/>
        </w:rPr>
        <w:t>, manifestando lo siguiente:</w:t>
      </w:r>
    </w:p>
    <w:p w14:paraId="1BD204C0"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7F0942BC" w14:textId="6DBFF80E" w:rsidR="00E513F1" w:rsidRPr="00B56D5F" w:rsidRDefault="00E513F1" w:rsidP="00E513F1">
      <w:pPr>
        <w:pStyle w:val="Prrafodelista"/>
        <w:numPr>
          <w:ilvl w:val="0"/>
          <w:numId w:val="5"/>
        </w:numPr>
        <w:pBdr>
          <w:top w:val="nil"/>
          <w:left w:val="nil"/>
          <w:bottom w:val="nil"/>
          <w:right w:val="nil"/>
          <w:between w:val="nil"/>
        </w:pBdr>
        <w:rPr>
          <w:rFonts w:eastAsia="Palatino Linotype" w:cs="Palatino Linotype"/>
          <w:color w:val="000000"/>
          <w:szCs w:val="24"/>
        </w:rPr>
      </w:pPr>
      <w:r w:rsidRPr="00B56D5F">
        <w:rPr>
          <w:rFonts w:eastAsia="Palatino Linotype" w:cs="Palatino Linotype"/>
          <w:b/>
          <w:color w:val="000000"/>
          <w:szCs w:val="24"/>
        </w:rPr>
        <w:t>05475/INFOEM/IP/RR/2024</w:t>
      </w:r>
    </w:p>
    <w:p w14:paraId="630CEE20" w14:textId="77777777" w:rsidR="00511260" w:rsidRPr="00B56D5F" w:rsidRDefault="00511260" w:rsidP="00511260">
      <w:pPr>
        <w:contextualSpacing/>
        <w:rPr>
          <w:rFonts w:eastAsia="Palatino Linotype" w:cs="Palatino Linotype"/>
          <w:b/>
        </w:rPr>
      </w:pPr>
      <w:r w:rsidRPr="00B56D5F">
        <w:rPr>
          <w:rFonts w:eastAsia="Palatino Linotype" w:cs="Palatino Linotype"/>
          <w:b/>
        </w:rPr>
        <w:t xml:space="preserve">Acto Impugnado: </w:t>
      </w:r>
    </w:p>
    <w:p w14:paraId="02181A32" w14:textId="3B115035" w:rsidR="00511260" w:rsidRPr="00B56D5F" w:rsidRDefault="00511260" w:rsidP="00511260">
      <w:pPr>
        <w:pStyle w:val="Fundamentos"/>
        <w:rPr>
          <w:b/>
          <w:szCs w:val="22"/>
        </w:rPr>
      </w:pPr>
      <w:r w:rsidRPr="00B56D5F">
        <w:rPr>
          <w:szCs w:val="22"/>
        </w:rPr>
        <w:t>“</w:t>
      </w:r>
      <w:r w:rsidR="00E513F1" w:rsidRPr="00B56D5F">
        <w:rPr>
          <w:color w:val="auto"/>
          <w:szCs w:val="22"/>
        </w:rPr>
        <w:t xml:space="preserve"> LA INFORMACIÓN QUE SE ENTREGA ESTÁ INCOMPLETA PORQUE NO SE INCLUYEN LOS DOCUMENTOS PROBATORIOS QUE AMPAREN EL USO DEL COMBUSTIBLE</w:t>
      </w:r>
      <w:r w:rsidRPr="00B56D5F">
        <w:rPr>
          <w:szCs w:val="22"/>
        </w:rPr>
        <w:t>” Sic)</w:t>
      </w:r>
    </w:p>
    <w:p w14:paraId="71B19819" w14:textId="77777777" w:rsidR="00511260" w:rsidRPr="00B56D5F" w:rsidRDefault="00511260" w:rsidP="00511260">
      <w:pPr>
        <w:contextualSpacing/>
        <w:rPr>
          <w:rFonts w:eastAsia="Palatino Linotype" w:cs="Palatino Linotype"/>
          <w:iCs/>
          <w:szCs w:val="24"/>
        </w:rPr>
      </w:pPr>
    </w:p>
    <w:p w14:paraId="4524F02B" w14:textId="77777777" w:rsidR="00511260" w:rsidRPr="00B56D5F" w:rsidRDefault="00511260" w:rsidP="00511260">
      <w:pPr>
        <w:contextualSpacing/>
        <w:rPr>
          <w:rFonts w:eastAsia="Palatino Linotype" w:cs="Palatino Linotype"/>
        </w:rPr>
      </w:pPr>
      <w:r w:rsidRPr="00B56D5F">
        <w:rPr>
          <w:rFonts w:eastAsia="Palatino Linotype" w:cs="Palatino Linotype"/>
          <w:b/>
        </w:rPr>
        <w:t>Razones o Motivos de Inconformidad</w:t>
      </w:r>
      <w:r w:rsidRPr="00B56D5F">
        <w:rPr>
          <w:rFonts w:eastAsia="Palatino Linotype" w:cs="Palatino Linotype"/>
        </w:rPr>
        <w:t>:</w:t>
      </w:r>
    </w:p>
    <w:p w14:paraId="351E808E" w14:textId="6E41F818" w:rsidR="00511260" w:rsidRPr="00B56D5F" w:rsidRDefault="00511260" w:rsidP="00511260">
      <w:pPr>
        <w:pStyle w:val="Fundamentos"/>
        <w:rPr>
          <w:sz w:val="24"/>
        </w:rPr>
      </w:pPr>
      <w:r w:rsidRPr="00B56D5F">
        <w:rPr>
          <w:szCs w:val="22"/>
        </w:rPr>
        <w:t>“</w:t>
      </w:r>
      <w:r w:rsidR="00E513F1" w:rsidRPr="00B56D5F">
        <w:rPr>
          <w:szCs w:val="22"/>
        </w:rPr>
        <w:t>SE PIDE REVOCAR Y ORDENAR LA ENTREGA DE LA INFORMACIÓN SOLICITADA ÍNTEGRAMENTE CON BASE EN LO EXPUESTO EN EL APARTADO DE ACTO IMPUGNADO.</w:t>
      </w:r>
      <w:r w:rsidRPr="00B56D5F">
        <w:rPr>
          <w:szCs w:val="22"/>
        </w:rPr>
        <w:t xml:space="preserve">” </w:t>
      </w:r>
      <w:r w:rsidRPr="00B56D5F">
        <w:rPr>
          <w:sz w:val="24"/>
        </w:rPr>
        <w:t>(Sic)</w:t>
      </w:r>
    </w:p>
    <w:p w14:paraId="6E36A6BE"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2E787ACF" w14:textId="19A1A40E" w:rsidR="00E513F1" w:rsidRPr="00B56D5F" w:rsidRDefault="00E513F1" w:rsidP="00E513F1">
      <w:pPr>
        <w:pStyle w:val="Prrafodelista"/>
        <w:numPr>
          <w:ilvl w:val="0"/>
          <w:numId w:val="5"/>
        </w:numPr>
        <w:pBdr>
          <w:top w:val="nil"/>
          <w:left w:val="nil"/>
          <w:bottom w:val="nil"/>
          <w:right w:val="nil"/>
          <w:between w:val="nil"/>
        </w:pBdr>
        <w:rPr>
          <w:rFonts w:eastAsia="Palatino Linotype" w:cs="Palatino Linotype"/>
          <w:color w:val="000000"/>
          <w:szCs w:val="24"/>
        </w:rPr>
      </w:pPr>
      <w:r w:rsidRPr="00B56D5F">
        <w:rPr>
          <w:rFonts w:eastAsia="Palatino Linotype" w:cs="Palatino Linotype"/>
          <w:b/>
          <w:color w:val="000000"/>
          <w:szCs w:val="24"/>
        </w:rPr>
        <w:t>05484/INFOEM/IP/RR/2024</w:t>
      </w:r>
    </w:p>
    <w:p w14:paraId="2FF96C53" w14:textId="77777777" w:rsidR="00E513F1" w:rsidRPr="00B56D5F" w:rsidRDefault="00E513F1" w:rsidP="00E513F1">
      <w:pPr>
        <w:contextualSpacing/>
        <w:rPr>
          <w:rFonts w:eastAsia="Palatino Linotype" w:cs="Palatino Linotype"/>
          <w:b/>
        </w:rPr>
      </w:pPr>
      <w:r w:rsidRPr="00B56D5F">
        <w:rPr>
          <w:rFonts w:eastAsia="Palatino Linotype" w:cs="Palatino Linotype"/>
          <w:b/>
        </w:rPr>
        <w:t xml:space="preserve">Acto Impugnado: </w:t>
      </w:r>
    </w:p>
    <w:p w14:paraId="0EBD6939" w14:textId="4418E1C5" w:rsidR="00E513F1" w:rsidRPr="00B56D5F" w:rsidRDefault="00E513F1" w:rsidP="00E513F1">
      <w:pPr>
        <w:pStyle w:val="Fundamentos"/>
        <w:rPr>
          <w:b/>
          <w:szCs w:val="22"/>
        </w:rPr>
      </w:pPr>
      <w:r w:rsidRPr="00B56D5F">
        <w:rPr>
          <w:szCs w:val="22"/>
        </w:rPr>
        <w:t>“</w:t>
      </w:r>
      <w:r w:rsidR="001963C1" w:rsidRPr="00B56D5F">
        <w:rPr>
          <w:szCs w:val="22"/>
        </w:rPr>
        <w:t>LA INFORMACIÓN QUE SE ENTREGA ESTÁ INCOMPLETA PORQUE NO SE INCLUYEN LOS DOCUMENTOS PROBATORIOS QUE AMPAREN EL USO DEL COMBUSTIBLE.</w:t>
      </w:r>
      <w:r w:rsidRPr="00B56D5F">
        <w:rPr>
          <w:color w:val="auto"/>
          <w:szCs w:val="22"/>
        </w:rPr>
        <w:t xml:space="preserve"> </w:t>
      </w:r>
      <w:r w:rsidRPr="00B56D5F">
        <w:rPr>
          <w:szCs w:val="22"/>
        </w:rPr>
        <w:t>” Sic)</w:t>
      </w:r>
    </w:p>
    <w:p w14:paraId="137A649C" w14:textId="77777777" w:rsidR="00E513F1" w:rsidRPr="00B56D5F" w:rsidRDefault="00E513F1" w:rsidP="00E513F1">
      <w:pPr>
        <w:contextualSpacing/>
        <w:rPr>
          <w:rFonts w:eastAsia="Palatino Linotype" w:cs="Palatino Linotype"/>
          <w:iCs/>
          <w:szCs w:val="24"/>
        </w:rPr>
      </w:pPr>
    </w:p>
    <w:p w14:paraId="5972714A" w14:textId="77777777" w:rsidR="00E513F1" w:rsidRPr="00B56D5F" w:rsidRDefault="00E513F1" w:rsidP="00E513F1">
      <w:pPr>
        <w:contextualSpacing/>
        <w:rPr>
          <w:rFonts w:eastAsia="Palatino Linotype" w:cs="Palatino Linotype"/>
        </w:rPr>
      </w:pPr>
      <w:r w:rsidRPr="00B56D5F">
        <w:rPr>
          <w:rFonts w:eastAsia="Palatino Linotype" w:cs="Palatino Linotype"/>
          <w:b/>
        </w:rPr>
        <w:t>Razones o Motivos de Inconformidad</w:t>
      </w:r>
      <w:r w:rsidRPr="00B56D5F">
        <w:rPr>
          <w:rFonts w:eastAsia="Palatino Linotype" w:cs="Palatino Linotype"/>
        </w:rPr>
        <w:t>:</w:t>
      </w:r>
    </w:p>
    <w:p w14:paraId="1670FBB4" w14:textId="703081D0" w:rsidR="00E513F1" w:rsidRPr="00B56D5F" w:rsidRDefault="00E513F1" w:rsidP="00E513F1">
      <w:pPr>
        <w:pStyle w:val="Fundamentos"/>
        <w:rPr>
          <w:sz w:val="24"/>
        </w:rPr>
      </w:pPr>
      <w:r w:rsidRPr="00B56D5F">
        <w:rPr>
          <w:szCs w:val="22"/>
        </w:rPr>
        <w:lastRenderedPageBreak/>
        <w:t>“</w:t>
      </w:r>
      <w:r w:rsidR="001963C1" w:rsidRPr="00B56D5F">
        <w:rPr>
          <w:szCs w:val="22"/>
        </w:rPr>
        <w:t>SE PIDE REVOCAR Y ORDENAR LA ENTREGA DE LA INFORMACIÓN SOLICITADA ÍNTEGRAMENTE CON BASE EN LO EXPUESTO EN EL APARTADO DE ACTO IMPUGNADO</w:t>
      </w:r>
      <w:r w:rsidRPr="00B56D5F">
        <w:rPr>
          <w:color w:val="auto"/>
          <w:szCs w:val="22"/>
        </w:rPr>
        <w:t xml:space="preserve"> </w:t>
      </w:r>
      <w:r w:rsidRPr="00B56D5F">
        <w:rPr>
          <w:rFonts w:ascii="Verdana" w:hAnsi="Verdana"/>
          <w:sz w:val="14"/>
          <w:szCs w:val="14"/>
        </w:rPr>
        <w:t>.</w:t>
      </w:r>
      <w:r w:rsidRPr="00B56D5F">
        <w:rPr>
          <w:szCs w:val="22"/>
        </w:rPr>
        <w:t xml:space="preserve">” </w:t>
      </w:r>
      <w:r w:rsidRPr="00B56D5F">
        <w:rPr>
          <w:sz w:val="24"/>
        </w:rPr>
        <w:t>(Sic)</w:t>
      </w:r>
    </w:p>
    <w:p w14:paraId="6DCB6BF4" w14:textId="77777777" w:rsidR="00E513F1" w:rsidRPr="00B56D5F" w:rsidRDefault="00E513F1" w:rsidP="00511260">
      <w:pPr>
        <w:pBdr>
          <w:top w:val="nil"/>
          <w:left w:val="nil"/>
          <w:bottom w:val="nil"/>
          <w:right w:val="nil"/>
          <w:between w:val="nil"/>
        </w:pBdr>
        <w:contextualSpacing/>
        <w:rPr>
          <w:rFonts w:eastAsia="Palatino Linotype" w:cs="Palatino Linotype"/>
          <w:color w:val="000000"/>
          <w:szCs w:val="24"/>
        </w:rPr>
      </w:pPr>
    </w:p>
    <w:p w14:paraId="1E0770D3" w14:textId="77777777" w:rsidR="00E513F1" w:rsidRPr="00B56D5F" w:rsidRDefault="00E513F1" w:rsidP="00E513F1">
      <w:pPr>
        <w:rPr>
          <w:rFonts w:cs="Arial"/>
          <w:szCs w:val="24"/>
        </w:rPr>
      </w:pPr>
      <w:r w:rsidRPr="00B56D5F">
        <w:rPr>
          <w:rFonts w:cs="Arial"/>
          <w:b/>
          <w:sz w:val="28"/>
          <w:szCs w:val="28"/>
        </w:rPr>
        <w:t>Cuarto. Del turno y admisión del recurso de revisión.</w:t>
      </w:r>
      <w:r w:rsidRPr="00B56D5F">
        <w:rPr>
          <w:rFonts w:cs="Arial"/>
          <w:sz w:val="28"/>
          <w:szCs w:val="28"/>
        </w:rPr>
        <w:t xml:space="preserve"> </w:t>
      </w:r>
    </w:p>
    <w:p w14:paraId="1E8006ED" w14:textId="00B512C8" w:rsidR="00E513F1" w:rsidRPr="00B56D5F" w:rsidRDefault="00E513F1" w:rsidP="00E513F1">
      <w:pPr>
        <w:rPr>
          <w:szCs w:val="24"/>
        </w:rPr>
      </w:pPr>
      <w:r w:rsidRPr="00B56D5F">
        <w:rPr>
          <w:rFonts w:cs="Arial"/>
          <w:szCs w:val="24"/>
        </w:rPr>
        <w:t xml:space="preserve">De conformidad con el artículo 185 fracción I de la Ley de Transparencia y Acceso a la información Pública del Estado de México y Municipios vigente, </w:t>
      </w:r>
      <w:r w:rsidRPr="00B56D5F">
        <w:rPr>
          <w:szCs w:val="24"/>
        </w:rPr>
        <w:t xml:space="preserve">el presente recurso de revisión se envió electrónicamente al Instituto de Transparencia, Acceso a la Información Pública y Protección de Datos Personales del Estado de México y Municipios, que por razón de turno fue asignado a los comisionados Comisionado </w:t>
      </w:r>
      <w:r w:rsidRPr="00B56D5F">
        <w:rPr>
          <w:b/>
          <w:bCs/>
          <w:szCs w:val="24"/>
        </w:rPr>
        <w:t>José Martínez Vilchis</w:t>
      </w:r>
      <w:r w:rsidRPr="00B56D5F">
        <w:rPr>
          <w:szCs w:val="24"/>
        </w:rPr>
        <w:t xml:space="preserve"> y </w:t>
      </w:r>
      <w:r w:rsidRPr="00B56D5F">
        <w:rPr>
          <w:b/>
          <w:bCs/>
          <w:szCs w:val="24"/>
        </w:rPr>
        <w:t xml:space="preserve">Guadalupe Ramírez Peña </w:t>
      </w:r>
      <w:r w:rsidRPr="00B56D5F">
        <w:rPr>
          <w:szCs w:val="24"/>
        </w:rPr>
        <w:t>para su análisis, estudio, elaboración del proyecto y presentación ante el Pleno de este Instituto.</w:t>
      </w:r>
    </w:p>
    <w:p w14:paraId="30967562" w14:textId="77777777" w:rsidR="00E513F1" w:rsidRPr="00B56D5F" w:rsidRDefault="00E513F1" w:rsidP="00E513F1">
      <w:pPr>
        <w:rPr>
          <w:szCs w:val="24"/>
        </w:rPr>
      </w:pPr>
    </w:p>
    <w:p w14:paraId="17220ECA" w14:textId="46E1BA67" w:rsidR="00E513F1" w:rsidRPr="00B56D5F" w:rsidRDefault="00E513F1" w:rsidP="00E513F1">
      <w:pPr>
        <w:rPr>
          <w:b/>
          <w:szCs w:val="24"/>
        </w:rPr>
      </w:pPr>
      <w:r w:rsidRPr="00B56D5F">
        <w:rPr>
          <w:szCs w:val="24"/>
        </w:rPr>
        <w:t xml:space="preserve">Mediante acuerdos de fechas </w:t>
      </w:r>
      <w:r w:rsidRPr="00B56D5F">
        <w:rPr>
          <w:b/>
          <w:szCs w:val="24"/>
        </w:rPr>
        <w:t>seis  y nueve de septiembre</w:t>
      </w:r>
      <w:r w:rsidRPr="00B56D5F">
        <w:rPr>
          <w:rFonts w:eastAsia="Palatino Linotype" w:cs="Palatino Linotype"/>
          <w:b/>
          <w:color w:val="000000"/>
          <w:szCs w:val="24"/>
        </w:rPr>
        <w:t xml:space="preserve"> de dos mil veinticuatro</w:t>
      </w:r>
      <w:r w:rsidRPr="00B56D5F">
        <w:rPr>
          <w:szCs w:val="24"/>
        </w:rPr>
        <w:t>,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109E1B3A" w14:textId="77777777" w:rsidR="00E513F1" w:rsidRPr="00B56D5F" w:rsidRDefault="00E513F1" w:rsidP="00E513F1">
      <w:pPr>
        <w:rPr>
          <w:rFonts w:cs="Arial"/>
          <w:b/>
          <w:sz w:val="28"/>
          <w:szCs w:val="28"/>
        </w:rPr>
      </w:pPr>
    </w:p>
    <w:p w14:paraId="1C872A42" w14:textId="77777777" w:rsidR="00E513F1" w:rsidRPr="00B56D5F" w:rsidRDefault="00E513F1" w:rsidP="00E513F1">
      <w:pPr>
        <w:rPr>
          <w:rFonts w:cs="Arial"/>
          <w:b/>
          <w:szCs w:val="24"/>
        </w:rPr>
      </w:pPr>
      <w:r w:rsidRPr="00B56D5F">
        <w:rPr>
          <w:rFonts w:cs="Arial"/>
          <w:b/>
          <w:sz w:val="28"/>
          <w:szCs w:val="28"/>
        </w:rPr>
        <w:t>Quinto.</w:t>
      </w:r>
      <w:r w:rsidRPr="00B56D5F">
        <w:rPr>
          <w:rFonts w:cs="Arial"/>
          <w:b/>
          <w:szCs w:val="24"/>
        </w:rPr>
        <w:t xml:space="preserve"> </w:t>
      </w:r>
      <w:r w:rsidRPr="00B56D5F">
        <w:rPr>
          <w:rFonts w:cs="Arial"/>
          <w:b/>
          <w:sz w:val="28"/>
          <w:szCs w:val="28"/>
        </w:rPr>
        <w:t>De la Acumulación</w:t>
      </w:r>
      <w:r w:rsidRPr="00B56D5F">
        <w:rPr>
          <w:rFonts w:cs="Arial"/>
          <w:b/>
          <w:szCs w:val="24"/>
        </w:rPr>
        <w:t xml:space="preserve"> </w:t>
      </w:r>
    </w:p>
    <w:p w14:paraId="086CE392" w14:textId="1E11908A" w:rsidR="00E513F1" w:rsidRPr="00B56D5F" w:rsidRDefault="00E513F1" w:rsidP="00E513F1">
      <w:pPr>
        <w:pStyle w:val="Default"/>
        <w:spacing w:line="360" w:lineRule="auto"/>
        <w:jc w:val="both"/>
        <w:rPr>
          <w:rFonts w:cs="Arial"/>
          <w:b/>
        </w:rPr>
      </w:pPr>
      <w:r w:rsidRPr="00B56D5F">
        <w:rPr>
          <w:rFonts w:cs="Arial"/>
        </w:rPr>
        <w:t xml:space="preserve">Posteriormente por acuerdo del Pleno del Instituto, en la </w:t>
      </w:r>
      <w:r w:rsidRPr="00B56D5F">
        <w:rPr>
          <w:b/>
          <w:bCs/>
        </w:rPr>
        <w:t xml:space="preserve">Trigésima Tercera Sesión Ordinaria </w:t>
      </w:r>
      <w:r w:rsidRPr="00B56D5F">
        <w:t xml:space="preserve">celebrada el </w:t>
      </w:r>
      <w:r w:rsidRPr="00B56D5F">
        <w:rPr>
          <w:b/>
          <w:bCs/>
        </w:rPr>
        <w:t>di</w:t>
      </w:r>
      <w:r w:rsidR="005F6C6D" w:rsidRPr="00B56D5F">
        <w:rPr>
          <w:b/>
          <w:bCs/>
        </w:rPr>
        <w:t>ecinueve</w:t>
      </w:r>
      <w:r w:rsidRPr="00B56D5F">
        <w:rPr>
          <w:b/>
          <w:bCs/>
        </w:rPr>
        <w:t xml:space="preserve"> de septiembre de dos mil veinticuatro </w:t>
      </w:r>
      <w:r w:rsidRPr="00B56D5F">
        <w:t xml:space="preserve">se aprobó la acumulación de los recursos de revisión </w:t>
      </w:r>
      <w:r w:rsidRPr="00B56D5F">
        <w:rPr>
          <w:rFonts w:cs="Arial"/>
          <w:b/>
          <w:bCs/>
          <w:lang w:eastAsia="es-MX"/>
        </w:rPr>
        <w:t>05475/INFOEM/IP/RR/2024</w:t>
      </w:r>
      <w:r w:rsidR="001963C1" w:rsidRPr="00B56D5F">
        <w:rPr>
          <w:rFonts w:cs="Arial"/>
        </w:rPr>
        <w:t xml:space="preserve"> y </w:t>
      </w:r>
      <w:r w:rsidRPr="00B56D5F">
        <w:rPr>
          <w:rFonts w:cs="Arial"/>
        </w:rPr>
        <w:t xml:space="preserve"> </w:t>
      </w:r>
      <w:r w:rsidRPr="00B56D5F">
        <w:rPr>
          <w:rFonts w:cs="Arial"/>
          <w:b/>
          <w:bCs/>
          <w:lang w:eastAsia="es-MX"/>
        </w:rPr>
        <w:lastRenderedPageBreak/>
        <w:t xml:space="preserve">05484/INFOEM/IP/RR/2024, </w:t>
      </w:r>
      <w:r w:rsidRPr="00B56D5F">
        <w:rPr>
          <w:rFonts w:cs="Arial"/>
        </w:rPr>
        <w:t xml:space="preserve">se determinó acumular los recursos de revisión en estudio, ya que existe identidad del solicitante, del </w:t>
      </w:r>
      <w:r w:rsidRPr="00B56D5F">
        <w:rPr>
          <w:rFonts w:cs="Arial"/>
          <w:b/>
        </w:rPr>
        <w:t>Sujeto Obligado</w:t>
      </w:r>
      <w:r w:rsidRPr="00B56D5F">
        <w:rPr>
          <w:rFonts w:cs="Arial"/>
        </w:rPr>
        <w:t xml:space="preserve"> y similitud de causas y objeto de solicitud.</w:t>
      </w:r>
    </w:p>
    <w:p w14:paraId="5463175A" w14:textId="77777777" w:rsidR="00E513F1" w:rsidRPr="00B56D5F" w:rsidRDefault="00E513F1" w:rsidP="00E513F1">
      <w:pPr>
        <w:pStyle w:val="Prrafodelista"/>
        <w:ind w:left="0"/>
        <w:rPr>
          <w:rFonts w:cs="Arial"/>
        </w:rPr>
      </w:pPr>
    </w:p>
    <w:p w14:paraId="720A663D" w14:textId="194FDAC4" w:rsidR="00E513F1" w:rsidRPr="00B56D5F" w:rsidRDefault="00E513F1" w:rsidP="001963C1">
      <w:pPr>
        <w:rPr>
          <w:szCs w:val="24"/>
        </w:rPr>
      </w:pPr>
      <w:r w:rsidRPr="00B56D5F">
        <w:rPr>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1401154B" w14:textId="77777777" w:rsidR="00E513F1" w:rsidRPr="00B56D5F" w:rsidRDefault="00E513F1" w:rsidP="00E513F1">
      <w:pPr>
        <w:ind w:left="851" w:right="851"/>
        <w:rPr>
          <w:i/>
          <w:sz w:val="22"/>
        </w:rPr>
      </w:pPr>
      <w:r w:rsidRPr="00B56D5F">
        <w:rPr>
          <w:i/>
          <w:sz w:val="22"/>
        </w:rPr>
        <w:t>“</w:t>
      </w:r>
      <w:r w:rsidRPr="00B56D5F">
        <w:rPr>
          <w:b/>
          <w:i/>
          <w:sz w:val="22"/>
        </w:rPr>
        <w:t>Artículo 195.</w:t>
      </w:r>
      <w:r w:rsidRPr="00B56D5F">
        <w:rPr>
          <w:i/>
          <w:sz w:val="22"/>
        </w:rPr>
        <w:t xml:space="preserve"> En la tramitación del recurso de revisión se aplicarán supletoriamente las disposiciones contenidas en el </w:t>
      </w:r>
      <w:r w:rsidRPr="00B56D5F">
        <w:rPr>
          <w:b/>
          <w:i/>
          <w:sz w:val="22"/>
          <w:u w:val="single"/>
        </w:rPr>
        <w:t>Código de Procedimientos Administrativos del Estado de México</w:t>
      </w:r>
      <w:r w:rsidRPr="00B56D5F">
        <w:rPr>
          <w:i/>
          <w:sz w:val="22"/>
        </w:rPr>
        <w:t>.”</w:t>
      </w:r>
    </w:p>
    <w:p w14:paraId="089A9DB7" w14:textId="77777777" w:rsidR="00E513F1" w:rsidRPr="00B56D5F" w:rsidRDefault="00E513F1" w:rsidP="00E513F1">
      <w:pPr>
        <w:ind w:left="851" w:right="851"/>
        <w:rPr>
          <w:i/>
          <w:sz w:val="22"/>
        </w:rPr>
      </w:pPr>
    </w:p>
    <w:p w14:paraId="2EA12330" w14:textId="77777777" w:rsidR="00E513F1" w:rsidRPr="00B56D5F" w:rsidRDefault="00E513F1" w:rsidP="00E513F1">
      <w:pPr>
        <w:ind w:left="851" w:right="851"/>
        <w:rPr>
          <w:i/>
          <w:sz w:val="22"/>
        </w:rPr>
      </w:pPr>
      <w:r w:rsidRPr="00B56D5F">
        <w:rPr>
          <w:i/>
          <w:sz w:val="22"/>
        </w:rPr>
        <w:t>“</w:t>
      </w:r>
      <w:r w:rsidRPr="00B56D5F">
        <w:rPr>
          <w:b/>
          <w:i/>
          <w:sz w:val="22"/>
        </w:rPr>
        <w:t>Artículo 18.</w:t>
      </w:r>
      <w:r w:rsidRPr="00B56D5F">
        <w:rPr>
          <w:i/>
          <w:sz w:val="22"/>
        </w:rPr>
        <w:t xml:space="preserve"> </w:t>
      </w:r>
      <w:r w:rsidRPr="00B56D5F">
        <w:rPr>
          <w:b/>
          <w:i/>
          <w:sz w:val="22"/>
          <w:u w:val="single"/>
        </w:rPr>
        <w:t>La autoridad administrativa</w:t>
      </w:r>
      <w:r w:rsidRPr="00B56D5F">
        <w:rPr>
          <w:i/>
          <w:sz w:val="22"/>
        </w:rPr>
        <w:t xml:space="preserve"> o el Tribunal </w:t>
      </w:r>
      <w:r w:rsidRPr="00B56D5F">
        <w:rPr>
          <w:b/>
          <w:i/>
          <w:sz w:val="22"/>
          <w:u w:val="single"/>
        </w:rPr>
        <w:t>acordarán la acumulación</w:t>
      </w:r>
      <w:r w:rsidRPr="00B56D5F">
        <w:rPr>
          <w:i/>
          <w:sz w:val="22"/>
        </w:rPr>
        <w:t xml:space="preserve"> de los expedientes del procedimiento y proceso administrativo que ante ellos se sigan</w:t>
      </w:r>
      <w:r w:rsidRPr="00B56D5F">
        <w:rPr>
          <w:b/>
          <w:i/>
          <w:sz w:val="22"/>
          <w:u w:val="single"/>
        </w:rPr>
        <w:t>, de oficio</w:t>
      </w:r>
      <w:r w:rsidRPr="00B56D5F">
        <w:rPr>
          <w:i/>
          <w:sz w:val="22"/>
        </w:rPr>
        <w:t xml:space="preserve"> o a petición de parte, </w:t>
      </w:r>
      <w:r w:rsidRPr="00B56D5F">
        <w:rPr>
          <w:b/>
          <w:i/>
          <w:sz w:val="22"/>
          <w:u w:val="single"/>
        </w:rPr>
        <w:t>cuando las partes o los actos administrativos sean iguales, se trate de actos conexos o resulte conveniente el trámite unificado de los asuntos</w:t>
      </w:r>
      <w:r w:rsidRPr="00B56D5F">
        <w:rPr>
          <w:i/>
          <w:sz w:val="22"/>
        </w:rPr>
        <w:t>, para evitar la emisión de resoluciones contradictorias. La misma regla se aplicará, en lo conducente, para la separación de los expedientes.”</w:t>
      </w:r>
    </w:p>
    <w:p w14:paraId="76CFBAA1" w14:textId="77777777" w:rsidR="00E513F1" w:rsidRPr="00B56D5F" w:rsidRDefault="00E513F1" w:rsidP="00E513F1">
      <w:pPr>
        <w:ind w:left="851" w:right="851"/>
        <w:rPr>
          <w:i/>
          <w:sz w:val="22"/>
        </w:rPr>
      </w:pPr>
    </w:p>
    <w:p w14:paraId="1A37BCA9" w14:textId="77777777" w:rsidR="00E513F1" w:rsidRPr="00B56D5F" w:rsidRDefault="00E513F1" w:rsidP="00E513F1">
      <w:pPr>
        <w:rPr>
          <w:rFonts w:cs="Arial"/>
          <w:b/>
          <w:szCs w:val="24"/>
        </w:rPr>
      </w:pPr>
      <w:r w:rsidRPr="00B56D5F">
        <w:rPr>
          <w:rFonts w:cs="Arial"/>
          <w:b/>
          <w:sz w:val="28"/>
          <w:szCs w:val="28"/>
        </w:rPr>
        <w:t>SÉPTIMO</w:t>
      </w:r>
      <w:r w:rsidRPr="00B56D5F">
        <w:rPr>
          <w:rFonts w:cs="Arial"/>
          <w:b/>
          <w:szCs w:val="24"/>
        </w:rPr>
        <w:t xml:space="preserve"> </w:t>
      </w:r>
      <w:r w:rsidRPr="00B56D5F">
        <w:rPr>
          <w:rFonts w:cs="Arial"/>
          <w:b/>
          <w:sz w:val="28"/>
          <w:szCs w:val="28"/>
        </w:rPr>
        <w:t>De la etapa de manifestaciones y/o alegatos</w:t>
      </w:r>
      <w:r w:rsidRPr="00B56D5F">
        <w:rPr>
          <w:rFonts w:cs="Arial"/>
          <w:b/>
          <w:szCs w:val="24"/>
        </w:rPr>
        <w:t xml:space="preserve">. </w:t>
      </w:r>
    </w:p>
    <w:p w14:paraId="674D50C5" w14:textId="12C853DA" w:rsidR="00E513F1" w:rsidRPr="00B56D5F" w:rsidRDefault="00E513F1" w:rsidP="009417F8">
      <w:pPr>
        <w:pBdr>
          <w:top w:val="nil"/>
          <w:left w:val="nil"/>
          <w:bottom w:val="nil"/>
          <w:right w:val="nil"/>
          <w:between w:val="nil"/>
        </w:pBdr>
        <w:contextualSpacing/>
        <w:rPr>
          <w:szCs w:val="24"/>
        </w:rPr>
      </w:pPr>
      <w:r w:rsidRPr="00B56D5F">
        <w:rPr>
          <w:rFonts w:cs="Arial"/>
          <w:szCs w:val="24"/>
        </w:rPr>
        <w:t xml:space="preserve">Una vez abierta la etapa de instrucción, se advierte que el </w:t>
      </w:r>
      <w:r w:rsidRPr="00B56D5F">
        <w:rPr>
          <w:rFonts w:cs="Arial"/>
          <w:b/>
          <w:szCs w:val="24"/>
        </w:rPr>
        <w:t>Sujeto Obligado</w:t>
      </w:r>
      <w:r w:rsidRPr="00B56D5F">
        <w:rPr>
          <w:rFonts w:cs="Arial"/>
          <w:szCs w:val="24"/>
        </w:rPr>
        <w:t xml:space="preserve"> </w:t>
      </w:r>
      <w:r w:rsidR="00B156C7" w:rsidRPr="00B56D5F">
        <w:rPr>
          <w:rFonts w:cs="Arial"/>
          <w:szCs w:val="24"/>
        </w:rPr>
        <w:t xml:space="preserve">rindió </w:t>
      </w:r>
      <w:r w:rsidRPr="00B56D5F">
        <w:rPr>
          <w:rFonts w:cs="Arial"/>
          <w:szCs w:val="24"/>
        </w:rPr>
        <w:t>su informe justificado</w:t>
      </w:r>
      <w:r w:rsidR="00B156C7" w:rsidRPr="00B56D5F">
        <w:rPr>
          <w:rFonts w:cs="Arial"/>
          <w:szCs w:val="24"/>
        </w:rPr>
        <w:t xml:space="preserve"> para ambos recursos de revisión en fecha once de septiembre de dos mil veinticuatro, los cuales fueron puestos a la vista del recurrente en fecha diecinueve de septiembre de dos mil veinticuatro</w:t>
      </w:r>
      <w:r w:rsidR="009417F8" w:rsidRPr="00B56D5F">
        <w:rPr>
          <w:rFonts w:cs="Arial"/>
          <w:szCs w:val="24"/>
        </w:rPr>
        <w:t>, l</w:t>
      </w:r>
      <w:r w:rsidR="009417F8" w:rsidRPr="00B56D5F">
        <w:rPr>
          <w:rFonts w:eastAsia="Palatino Linotype" w:cs="Palatino Linotype"/>
          <w:color w:val="000000"/>
          <w:szCs w:val="24"/>
        </w:rPr>
        <w:t xml:space="preserve">os cuales no se reproducen por ser del </w:t>
      </w:r>
      <w:r w:rsidR="009417F8" w:rsidRPr="00B56D5F">
        <w:rPr>
          <w:rFonts w:eastAsia="Palatino Linotype" w:cs="Palatino Linotype"/>
          <w:color w:val="000000"/>
          <w:szCs w:val="24"/>
        </w:rPr>
        <w:lastRenderedPageBreak/>
        <w:t>conocimiento de las partes; no obstante, su contenido será motivo de análisis en el estudio correspondiente.</w:t>
      </w:r>
      <w:r w:rsidRPr="00B56D5F">
        <w:rPr>
          <w:rFonts w:cs="Arial"/>
          <w:szCs w:val="24"/>
        </w:rPr>
        <w:t xml:space="preserve"> Por su parte, el Recurrente omitió rendir sus manifestaciones que a sus intereses conviniera dentro del término de Ley.</w:t>
      </w:r>
    </w:p>
    <w:p w14:paraId="1C208A4F" w14:textId="77777777" w:rsidR="00E513F1" w:rsidRPr="00B56D5F" w:rsidRDefault="00E513F1" w:rsidP="00E513F1">
      <w:pPr>
        <w:rPr>
          <w:rFonts w:cs="Arial"/>
          <w:szCs w:val="24"/>
        </w:rPr>
      </w:pPr>
    </w:p>
    <w:p w14:paraId="28E24C48" w14:textId="2A3263E9" w:rsidR="00E513F1" w:rsidRPr="00B56D5F" w:rsidRDefault="00E513F1" w:rsidP="00E513F1">
      <w:pPr>
        <w:rPr>
          <w:rFonts w:cs="Arial"/>
          <w:szCs w:val="24"/>
        </w:rPr>
      </w:pPr>
      <w:r w:rsidRPr="00B56D5F">
        <w:rPr>
          <w:rFonts w:cs="Arial"/>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3A5A874B" w14:textId="77777777" w:rsidR="001963C1" w:rsidRPr="00B56D5F" w:rsidRDefault="001963C1" w:rsidP="00E513F1">
      <w:pPr>
        <w:rPr>
          <w:rFonts w:cs="Arial"/>
          <w:szCs w:val="24"/>
        </w:rPr>
      </w:pPr>
    </w:p>
    <w:p w14:paraId="0C95216E" w14:textId="77777777" w:rsidR="00E513F1" w:rsidRPr="00B56D5F" w:rsidRDefault="00E513F1" w:rsidP="00E513F1">
      <w:pPr>
        <w:rPr>
          <w:rFonts w:cs="Arial"/>
          <w:b/>
          <w:szCs w:val="24"/>
        </w:rPr>
      </w:pPr>
      <w:r w:rsidRPr="00B56D5F">
        <w:rPr>
          <w:rFonts w:cs="Arial"/>
          <w:b/>
          <w:sz w:val="28"/>
          <w:szCs w:val="28"/>
        </w:rPr>
        <w:t>OCTAVO.</w:t>
      </w:r>
      <w:r w:rsidRPr="00B56D5F">
        <w:rPr>
          <w:rFonts w:cs="Arial"/>
          <w:b/>
          <w:sz w:val="28"/>
        </w:rPr>
        <w:t xml:space="preserve"> </w:t>
      </w:r>
      <w:r w:rsidRPr="00B56D5F">
        <w:rPr>
          <w:rFonts w:cs="Arial"/>
          <w:b/>
          <w:sz w:val="28"/>
          <w:szCs w:val="28"/>
        </w:rPr>
        <w:t>Del cierre de instrucción.</w:t>
      </w:r>
      <w:r w:rsidRPr="00B56D5F">
        <w:rPr>
          <w:rFonts w:cs="Arial"/>
          <w:b/>
          <w:szCs w:val="24"/>
        </w:rPr>
        <w:t xml:space="preserve"> </w:t>
      </w:r>
    </w:p>
    <w:p w14:paraId="2BEED988" w14:textId="6DF5BED6" w:rsidR="00E513F1" w:rsidRPr="00B56D5F" w:rsidRDefault="00E513F1" w:rsidP="00E513F1">
      <w:pPr>
        <w:rPr>
          <w:rFonts w:cs="Arial"/>
          <w:b/>
          <w:sz w:val="28"/>
        </w:rPr>
      </w:pPr>
      <w:r w:rsidRPr="00B56D5F">
        <w:rPr>
          <w:rFonts w:cs="Arial"/>
          <w:szCs w:val="24"/>
        </w:rPr>
        <w:t xml:space="preserve">Así, una vez transcurrido el término legal, se decretó el cierre de instrucción de los recursos de revisión ya referidos en </w:t>
      </w:r>
      <w:r w:rsidRPr="00B56D5F">
        <w:rPr>
          <w:rFonts w:cs="Arial"/>
          <w:b/>
          <w:bCs/>
          <w:szCs w:val="24"/>
        </w:rPr>
        <w:t>fecha ve</w:t>
      </w:r>
      <w:r w:rsidR="00690C9E" w:rsidRPr="00B56D5F">
        <w:rPr>
          <w:rFonts w:cs="Arial"/>
          <w:b/>
          <w:bCs/>
          <w:szCs w:val="24"/>
        </w:rPr>
        <w:t>inticinco</w:t>
      </w:r>
      <w:r w:rsidRPr="00B56D5F">
        <w:rPr>
          <w:rFonts w:cs="Arial"/>
          <w:b/>
          <w:bCs/>
          <w:szCs w:val="24"/>
        </w:rPr>
        <w:t xml:space="preserve"> de septiembre dos mil veinticuatro</w:t>
      </w:r>
      <w:r w:rsidRPr="00B56D5F">
        <w:rPr>
          <w:rFonts w:cs="Arial"/>
          <w:szCs w:val="24"/>
        </w:rPr>
        <w:t>, en términos del artículo 185 Fracción VI de la Ley de Transparencia y Acceso a la Información Pública del Estado de México y Municipios, iniciando el término legal para dictar resolución definitiva del asunto</w:t>
      </w:r>
      <w:r w:rsidRPr="00B56D5F">
        <w:rPr>
          <w:rFonts w:cs="Arial"/>
          <w:b/>
          <w:sz w:val="28"/>
        </w:rPr>
        <w:t>.</w:t>
      </w:r>
    </w:p>
    <w:p w14:paraId="41E49D0F" w14:textId="051BFEB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7A6A1E20" w14:textId="77777777" w:rsidR="00511260" w:rsidRPr="00B56D5F" w:rsidRDefault="00511260" w:rsidP="00E513F1">
      <w:pPr>
        <w:jc w:val="center"/>
        <w:rPr>
          <w:b/>
          <w:bCs/>
          <w:sz w:val="28"/>
          <w:szCs w:val="28"/>
        </w:rPr>
      </w:pPr>
      <w:r w:rsidRPr="00B56D5F">
        <w:rPr>
          <w:b/>
          <w:bCs/>
          <w:sz w:val="28"/>
          <w:szCs w:val="28"/>
        </w:rPr>
        <w:t>C O N S I D E R A N D O</w:t>
      </w:r>
    </w:p>
    <w:p w14:paraId="5412B9B2" w14:textId="77777777" w:rsidR="00511260" w:rsidRPr="00B56D5F" w:rsidRDefault="00511260" w:rsidP="00511260">
      <w:pPr>
        <w:rPr>
          <w:b/>
          <w:bCs/>
          <w:sz w:val="28"/>
          <w:szCs w:val="28"/>
        </w:rPr>
      </w:pPr>
    </w:p>
    <w:p w14:paraId="6D6AB61B" w14:textId="77777777" w:rsidR="00511260" w:rsidRPr="00B56D5F" w:rsidRDefault="00511260" w:rsidP="00511260">
      <w:pPr>
        <w:rPr>
          <w:b/>
          <w:bCs/>
          <w:sz w:val="28"/>
          <w:szCs w:val="28"/>
        </w:rPr>
      </w:pPr>
      <w:r w:rsidRPr="00B56D5F">
        <w:rPr>
          <w:b/>
          <w:bCs/>
          <w:sz w:val="28"/>
          <w:szCs w:val="28"/>
        </w:rPr>
        <w:t>PRIMERO. De la competencia.</w:t>
      </w:r>
    </w:p>
    <w:p w14:paraId="31D91ED9"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r w:rsidRPr="00B56D5F">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w:t>
      </w:r>
      <w:r w:rsidRPr="00B56D5F">
        <w:rPr>
          <w:rFonts w:eastAsia="Palatino Linotype" w:cs="Palatino Linotype"/>
          <w:color w:val="000000"/>
          <w:szCs w:val="24"/>
        </w:rPr>
        <w:lastRenderedPageBreak/>
        <w:t>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1813A2E"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05A1DE44" w14:textId="77777777" w:rsidR="00511260" w:rsidRPr="00B56D5F" w:rsidRDefault="00511260" w:rsidP="00511260">
      <w:pPr>
        <w:rPr>
          <w:b/>
          <w:bCs/>
          <w:sz w:val="28"/>
          <w:szCs w:val="28"/>
        </w:rPr>
      </w:pPr>
      <w:r w:rsidRPr="00B56D5F">
        <w:rPr>
          <w:b/>
          <w:bCs/>
          <w:sz w:val="28"/>
          <w:szCs w:val="28"/>
        </w:rPr>
        <w:t xml:space="preserve">SEGUNDO. Sobre los alcances del recurso de revisión. </w:t>
      </w:r>
    </w:p>
    <w:p w14:paraId="2DD88B61" w14:textId="77777777" w:rsidR="00511260" w:rsidRPr="00B56D5F" w:rsidRDefault="00511260" w:rsidP="00511260">
      <w:r w:rsidRPr="00B56D5F">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767D650" w14:textId="77777777" w:rsidR="00511260" w:rsidRPr="00B56D5F" w:rsidRDefault="00511260" w:rsidP="00511260"/>
    <w:p w14:paraId="15959F3F" w14:textId="77777777" w:rsidR="00511260" w:rsidRPr="00B56D5F" w:rsidRDefault="00511260" w:rsidP="00511260">
      <w:pPr>
        <w:pStyle w:val="Prrafodelista"/>
        <w:autoSpaceDE w:val="0"/>
        <w:autoSpaceDN w:val="0"/>
        <w:adjustRightInd w:val="0"/>
        <w:spacing w:before="240" w:after="160"/>
        <w:ind w:left="0"/>
        <w:rPr>
          <w:rFonts w:cs="Arial"/>
          <w:b/>
          <w:sz w:val="28"/>
        </w:rPr>
      </w:pPr>
      <w:r w:rsidRPr="00B56D5F">
        <w:rPr>
          <w:rFonts w:cs="Arial"/>
          <w:b/>
          <w:sz w:val="28"/>
        </w:rPr>
        <w:t>TERCERO. De las causas de improcedencia.</w:t>
      </w:r>
    </w:p>
    <w:p w14:paraId="280AE1BF" w14:textId="77777777" w:rsidR="00511260" w:rsidRPr="00B56D5F" w:rsidRDefault="00511260" w:rsidP="00511260">
      <w:pPr>
        <w:pStyle w:val="Prrafodelista"/>
        <w:autoSpaceDE w:val="0"/>
        <w:autoSpaceDN w:val="0"/>
        <w:adjustRightInd w:val="0"/>
        <w:ind w:left="0"/>
        <w:rPr>
          <w:rFonts w:cs="Arial"/>
        </w:rPr>
      </w:pPr>
      <w:r w:rsidRPr="00B56D5F">
        <w:rPr>
          <w:rFonts w:cs="Arial"/>
        </w:rPr>
        <w:t xml:space="preserve">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w:t>
      </w:r>
      <w:r w:rsidRPr="00B56D5F">
        <w:rPr>
          <w:rFonts w:cs="Arial"/>
        </w:rPr>
        <w:lastRenderedPageBreak/>
        <w:t>México y Municipios, en correlación con la seguridad jurídica que debe generar lo actuado ante este Organismo garante.</w:t>
      </w:r>
    </w:p>
    <w:p w14:paraId="44831628" w14:textId="77777777" w:rsidR="00511260" w:rsidRPr="00B56D5F" w:rsidRDefault="00511260" w:rsidP="00511260">
      <w:pPr>
        <w:pStyle w:val="Prrafodelista"/>
        <w:autoSpaceDE w:val="0"/>
        <w:autoSpaceDN w:val="0"/>
        <w:adjustRightInd w:val="0"/>
        <w:ind w:left="0"/>
        <w:rPr>
          <w:rFonts w:cs="Arial"/>
        </w:rPr>
      </w:pPr>
    </w:p>
    <w:p w14:paraId="73F5D817" w14:textId="77777777" w:rsidR="00511260" w:rsidRPr="00B56D5F" w:rsidRDefault="00511260" w:rsidP="00511260">
      <w:pPr>
        <w:pStyle w:val="Prrafodelista"/>
        <w:autoSpaceDE w:val="0"/>
        <w:autoSpaceDN w:val="0"/>
        <w:adjustRightInd w:val="0"/>
        <w:ind w:left="0"/>
        <w:rPr>
          <w:rFonts w:cs="Arial"/>
        </w:rPr>
      </w:pPr>
      <w:r w:rsidRPr="00B56D5F">
        <w:rPr>
          <w:rFonts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B56D5F">
        <w:rPr>
          <w:rStyle w:val="Refdenotaalpie"/>
          <w:rFonts w:cs="Arial"/>
        </w:rPr>
        <w:footnoteReference w:id="1"/>
      </w:r>
      <w:r w:rsidRPr="00B56D5F">
        <w:rPr>
          <w:rFonts w:cs="Arial"/>
        </w:rPr>
        <w:t>.</w:t>
      </w:r>
    </w:p>
    <w:p w14:paraId="396FE936" w14:textId="77777777" w:rsidR="00511260" w:rsidRPr="00B56D5F" w:rsidRDefault="00511260" w:rsidP="00511260">
      <w:pPr>
        <w:pStyle w:val="Prrafodelista"/>
        <w:autoSpaceDE w:val="0"/>
        <w:autoSpaceDN w:val="0"/>
        <w:adjustRightInd w:val="0"/>
        <w:ind w:left="0"/>
        <w:rPr>
          <w:rFonts w:cs="Arial"/>
        </w:rPr>
      </w:pPr>
    </w:p>
    <w:p w14:paraId="199FB7FE" w14:textId="5B2B47C4" w:rsidR="00511260" w:rsidRPr="00B56D5F" w:rsidRDefault="00511260" w:rsidP="00511260">
      <w:pPr>
        <w:pStyle w:val="Prrafodelista"/>
        <w:autoSpaceDE w:val="0"/>
        <w:autoSpaceDN w:val="0"/>
        <w:adjustRightInd w:val="0"/>
        <w:ind w:left="0"/>
        <w:rPr>
          <w:rFonts w:cs="Arial"/>
        </w:rPr>
      </w:pPr>
      <w:r w:rsidRPr="00B56D5F">
        <w:rPr>
          <w:rFonts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4FBE1828" w14:textId="77777777" w:rsidR="00B156C7" w:rsidRPr="00B56D5F" w:rsidRDefault="00B156C7" w:rsidP="00511260">
      <w:pPr>
        <w:pStyle w:val="Prrafodelista"/>
        <w:autoSpaceDE w:val="0"/>
        <w:autoSpaceDN w:val="0"/>
        <w:adjustRightInd w:val="0"/>
        <w:ind w:left="0"/>
        <w:rPr>
          <w:rFonts w:cs="Arial"/>
        </w:rPr>
      </w:pPr>
    </w:p>
    <w:p w14:paraId="196F8202" w14:textId="236D86EC" w:rsidR="00511260" w:rsidRPr="00B56D5F" w:rsidRDefault="00511260" w:rsidP="00511260">
      <w:pPr>
        <w:rPr>
          <w:b/>
          <w:bCs/>
          <w:sz w:val="28"/>
          <w:szCs w:val="28"/>
        </w:rPr>
      </w:pPr>
      <w:r w:rsidRPr="00B56D5F">
        <w:rPr>
          <w:b/>
          <w:bCs/>
          <w:sz w:val="28"/>
          <w:szCs w:val="28"/>
        </w:rPr>
        <w:t>CUARTO. Estudio y resolución del asunto.</w:t>
      </w:r>
    </w:p>
    <w:p w14:paraId="65DB4271"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r w:rsidRPr="00B56D5F">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790E057"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7BFB23AC"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r w:rsidRPr="00B56D5F">
        <w:rPr>
          <w:rFonts w:eastAsia="Palatino Linotype" w:cs="Palatino Linotype"/>
          <w:color w:val="000000"/>
          <w:szCs w:val="24"/>
        </w:rPr>
        <w:t>Por tanto, es conveniente recordar que el hoy Recurrente requirió del Sujeto Obligado, de la actual administración, lo siguiente:</w:t>
      </w:r>
    </w:p>
    <w:p w14:paraId="6C9474EB" w14:textId="77777777"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p>
    <w:p w14:paraId="075D86AC" w14:textId="255DF5A7" w:rsidR="00511260" w:rsidRPr="00B56D5F" w:rsidRDefault="00E513F1" w:rsidP="00E513F1">
      <w:pPr>
        <w:pStyle w:val="Prrafodelista"/>
        <w:numPr>
          <w:ilvl w:val="0"/>
          <w:numId w:val="6"/>
        </w:numPr>
        <w:pBdr>
          <w:top w:val="nil"/>
          <w:left w:val="nil"/>
          <w:bottom w:val="nil"/>
          <w:right w:val="nil"/>
          <w:between w:val="nil"/>
        </w:pBdr>
        <w:rPr>
          <w:rFonts w:eastAsia="Palatino Linotype" w:cs="Palatino Linotype"/>
          <w:color w:val="000000"/>
        </w:rPr>
      </w:pPr>
      <w:r w:rsidRPr="00B56D5F">
        <w:rPr>
          <w:rFonts w:eastAsia="Palatino Linotype" w:cs="Palatino Linotype"/>
          <w:color w:val="000000"/>
        </w:rPr>
        <w:t>Solicitudes de dotación de combustible de las juntas distritales de Chalco y de Valle de Chalco solidaridad correspondientes a junio y julio del 2024 con los documentos probatorios que amparen el uso del combustible.</w:t>
      </w:r>
    </w:p>
    <w:p w14:paraId="125C7CDB" w14:textId="77777777" w:rsidR="00E513F1" w:rsidRPr="00B56D5F" w:rsidRDefault="00E513F1" w:rsidP="00511260">
      <w:pPr>
        <w:pBdr>
          <w:top w:val="nil"/>
          <w:left w:val="nil"/>
          <w:bottom w:val="nil"/>
          <w:right w:val="nil"/>
          <w:between w:val="nil"/>
        </w:pBdr>
        <w:contextualSpacing/>
        <w:rPr>
          <w:rFonts w:eastAsia="Palatino Linotype" w:cs="Palatino Linotype"/>
          <w:color w:val="000000"/>
          <w:szCs w:val="24"/>
        </w:rPr>
      </w:pPr>
    </w:p>
    <w:p w14:paraId="2A043BF8" w14:textId="20A5C3FD" w:rsidR="00511260" w:rsidRPr="00B56D5F" w:rsidRDefault="00511260" w:rsidP="00511260">
      <w:pPr>
        <w:pBdr>
          <w:top w:val="nil"/>
          <w:left w:val="nil"/>
          <w:bottom w:val="nil"/>
          <w:right w:val="nil"/>
          <w:between w:val="nil"/>
        </w:pBdr>
        <w:contextualSpacing/>
        <w:rPr>
          <w:rFonts w:eastAsia="Palatino Linotype" w:cs="Palatino Linotype"/>
          <w:color w:val="000000"/>
          <w:szCs w:val="24"/>
        </w:rPr>
      </w:pPr>
      <w:r w:rsidRPr="00B56D5F">
        <w:rPr>
          <w:rFonts w:eastAsia="Palatino Linotype" w:cs="Palatino Linotype"/>
          <w:color w:val="000000"/>
          <w:szCs w:val="24"/>
        </w:rPr>
        <w:lastRenderedPageBreak/>
        <w:t>Por lo que atento a la solicitud de información el Sujeto Obligado hizo entrega de los siguientes archivos electrónicos:</w:t>
      </w:r>
    </w:p>
    <w:p w14:paraId="1EE1875F" w14:textId="77777777" w:rsidR="009417F8" w:rsidRPr="00B56D5F" w:rsidRDefault="009417F8" w:rsidP="00511260">
      <w:pPr>
        <w:pBdr>
          <w:top w:val="nil"/>
          <w:left w:val="nil"/>
          <w:bottom w:val="nil"/>
          <w:right w:val="nil"/>
          <w:between w:val="nil"/>
        </w:pBdr>
        <w:contextualSpacing/>
        <w:rPr>
          <w:rFonts w:eastAsia="Palatino Linotype" w:cs="Palatino Linotype"/>
          <w:color w:val="000000"/>
          <w:szCs w:val="24"/>
        </w:rPr>
      </w:pPr>
    </w:p>
    <w:p w14:paraId="50253882" w14:textId="36D83121" w:rsidR="00511260" w:rsidRPr="00B56D5F" w:rsidRDefault="00E513F1" w:rsidP="00511260">
      <w:pPr>
        <w:pStyle w:val="Prrafodelista"/>
        <w:numPr>
          <w:ilvl w:val="0"/>
          <w:numId w:val="3"/>
        </w:numPr>
      </w:pPr>
      <w:r w:rsidRPr="00B56D5F">
        <w:t xml:space="preserve">Respecto la solicitud de información </w:t>
      </w:r>
      <w:r w:rsidRPr="00B56D5F">
        <w:rPr>
          <w:b/>
          <w:bCs/>
        </w:rPr>
        <w:t>02351/IEEM/IP/2024</w:t>
      </w:r>
    </w:p>
    <w:p w14:paraId="25247549" w14:textId="4D130CD2" w:rsidR="00E513F1" w:rsidRPr="00B56D5F" w:rsidRDefault="00E513F1" w:rsidP="00133F65">
      <w:pPr>
        <w:ind w:left="360"/>
        <w:rPr>
          <w:rFonts w:eastAsia="Palatino Linotype" w:cs="Palatino Linotype"/>
          <w:color w:val="000000"/>
        </w:rPr>
      </w:pPr>
      <w:r w:rsidRPr="00B56D5F">
        <w:rPr>
          <w:rFonts w:eastAsia="Palatino Linotype" w:cs="Palatino Linotype"/>
          <w:b/>
          <w:bCs/>
          <w:color w:val="000000"/>
        </w:rPr>
        <w:t xml:space="preserve">JD 27 JUNIO, 4881.pdf; </w:t>
      </w:r>
      <w:r w:rsidRPr="00B56D5F">
        <w:rPr>
          <w:rFonts w:eastAsia="Palatino Linotype" w:cs="Palatino Linotype"/>
          <w:color w:val="000000"/>
        </w:rPr>
        <w:t>Documento que consta de cuatro fojas en formato PDF en las que se advierten las soli</w:t>
      </w:r>
      <w:r w:rsidR="00133F65" w:rsidRPr="00B56D5F">
        <w:rPr>
          <w:rFonts w:eastAsia="Palatino Linotype" w:cs="Palatino Linotype"/>
          <w:color w:val="000000"/>
        </w:rPr>
        <w:t>citudes de Gasolina de la Junta Distrital 27 Valle de Chalco Solidaridad del mes de junio de dos mil veinticuatro, así como tres ti</w:t>
      </w:r>
      <w:r w:rsidR="009417F8" w:rsidRPr="00B56D5F">
        <w:rPr>
          <w:rFonts w:eastAsia="Palatino Linotype" w:cs="Palatino Linotype"/>
          <w:color w:val="000000"/>
        </w:rPr>
        <w:t>c</w:t>
      </w:r>
      <w:r w:rsidR="00133F65" w:rsidRPr="00B56D5F">
        <w:rPr>
          <w:rFonts w:eastAsia="Palatino Linotype" w:cs="Palatino Linotype"/>
          <w:color w:val="000000"/>
        </w:rPr>
        <w:t>kets correspondiente a la entrega de comprobantes de gastos</w:t>
      </w:r>
    </w:p>
    <w:p w14:paraId="58406B2A" w14:textId="6EDFAECD" w:rsidR="00E513F1" w:rsidRPr="00B56D5F" w:rsidRDefault="00E513F1" w:rsidP="00133F65">
      <w:pPr>
        <w:ind w:left="360"/>
        <w:rPr>
          <w:rFonts w:eastAsia="Palatino Linotype" w:cs="Palatino Linotype"/>
          <w:color w:val="000000"/>
        </w:rPr>
      </w:pPr>
      <w:r w:rsidRPr="00B56D5F">
        <w:rPr>
          <w:rFonts w:eastAsia="Palatino Linotype" w:cs="Palatino Linotype"/>
          <w:b/>
          <w:bCs/>
          <w:color w:val="000000"/>
        </w:rPr>
        <w:br/>
        <w:t>JD 01 JUNIO, 4816.pdf</w:t>
      </w:r>
      <w:r w:rsidR="00133F65" w:rsidRPr="00B56D5F">
        <w:rPr>
          <w:rFonts w:eastAsia="Palatino Linotype" w:cs="Palatino Linotype"/>
          <w:b/>
          <w:bCs/>
          <w:color w:val="000000"/>
        </w:rPr>
        <w:t xml:space="preserve">; </w:t>
      </w:r>
      <w:r w:rsidR="00133F65" w:rsidRPr="00B56D5F">
        <w:rPr>
          <w:rFonts w:eastAsia="Palatino Linotype" w:cs="Palatino Linotype"/>
          <w:color w:val="000000"/>
        </w:rPr>
        <w:t>Documento que consta de diez fojas en formato PDF en las que se advierten las solicitudes de Gasolina de la Junta Distrital de Chalco de Diaz Covarrubias del mes de junio de dos mil veinticuatro, así como doce ti</w:t>
      </w:r>
      <w:r w:rsidR="009417F8" w:rsidRPr="00B56D5F">
        <w:rPr>
          <w:rFonts w:eastAsia="Palatino Linotype" w:cs="Palatino Linotype"/>
          <w:color w:val="000000"/>
        </w:rPr>
        <w:t>c</w:t>
      </w:r>
      <w:r w:rsidR="00133F65" w:rsidRPr="00B56D5F">
        <w:rPr>
          <w:rFonts w:eastAsia="Palatino Linotype" w:cs="Palatino Linotype"/>
          <w:color w:val="000000"/>
        </w:rPr>
        <w:t>kets correspondiente a la entrega de comprobantes de gastos</w:t>
      </w:r>
    </w:p>
    <w:p w14:paraId="608DC78F" w14:textId="1E7F5573" w:rsidR="00E513F1" w:rsidRPr="00B56D5F" w:rsidRDefault="00E513F1" w:rsidP="00133F65">
      <w:pPr>
        <w:ind w:left="360"/>
        <w:rPr>
          <w:rFonts w:eastAsia="Palatino Linotype" w:cs="Palatino Linotype"/>
          <w:color w:val="000000"/>
        </w:rPr>
      </w:pPr>
      <w:r w:rsidRPr="00B56D5F">
        <w:rPr>
          <w:rFonts w:eastAsia="Palatino Linotype" w:cs="Palatino Linotype"/>
          <w:b/>
          <w:bCs/>
          <w:color w:val="000000"/>
        </w:rPr>
        <w:br/>
        <w:t>IEEM-DA-5442-2024.pdf</w:t>
      </w:r>
      <w:r w:rsidR="00133F65" w:rsidRPr="00B56D5F">
        <w:rPr>
          <w:rFonts w:eastAsia="Palatino Linotype" w:cs="Palatino Linotype"/>
          <w:b/>
          <w:bCs/>
          <w:color w:val="000000"/>
        </w:rPr>
        <w:t xml:space="preserve">; </w:t>
      </w:r>
      <w:r w:rsidR="00133F65" w:rsidRPr="00B56D5F">
        <w:rPr>
          <w:rFonts w:eastAsia="Palatino Linotype" w:cs="Palatino Linotype"/>
          <w:color w:val="000000"/>
        </w:rPr>
        <w:t xml:space="preserve">Documento que consta de dos fojas en formato PDF con número de oficio IEEM/DA/5442/2024 de fecha veintiuno de agosto de dos mil veinticuatro por medio del cual el Encargado de Despacho de la Dirección de Administración </w:t>
      </w:r>
      <w:r w:rsidR="00090A5D" w:rsidRPr="00B56D5F">
        <w:rPr>
          <w:rFonts w:eastAsia="Palatino Linotype" w:cs="Palatino Linotype"/>
          <w:color w:val="000000"/>
        </w:rPr>
        <w:t>anexa las solicitudes de combustibles con las comprobaciones de las actividades correspondientes al mes de junio de 2024.</w:t>
      </w:r>
    </w:p>
    <w:p w14:paraId="4AB18D4C" w14:textId="3A8EBB00" w:rsidR="00B156C7" w:rsidRPr="00B56D5F" w:rsidRDefault="00E513F1" w:rsidP="009417F8">
      <w:pPr>
        <w:ind w:left="360"/>
        <w:rPr>
          <w:rFonts w:eastAsia="Palatino Linotype" w:cs="Palatino Linotype"/>
          <w:color w:val="000000"/>
        </w:rPr>
      </w:pPr>
      <w:r w:rsidRPr="00B56D5F">
        <w:rPr>
          <w:rFonts w:eastAsia="Palatino Linotype" w:cs="Palatino Linotype"/>
          <w:b/>
          <w:bCs/>
          <w:color w:val="000000"/>
        </w:rPr>
        <w:br/>
        <w:t>OFICIO RESPUESTA 2351-2024 UT.pdf</w:t>
      </w:r>
      <w:r w:rsidR="00090A5D" w:rsidRPr="00B56D5F">
        <w:rPr>
          <w:rFonts w:eastAsia="Palatino Linotype" w:cs="Palatino Linotype"/>
          <w:b/>
          <w:bCs/>
          <w:color w:val="000000"/>
        </w:rPr>
        <w:t>;</w:t>
      </w:r>
      <w:r w:rsidR="00090A5D" w:rsidRPr="00B56D5F">
        <w:rPr>
          <w:rFonts w:eastAsia="Palatino Linotype" w:cs="Palatino Linotype"/>
          <w:color w:val="000000"/>
        </w:rPr>
        <w:t xml:space="preserve"> Documento que consta de una foja en formato PDF de fecha veintiséis de agosto de dos mil veinticuatro con número de oficio IEEM/UT/2319/2024 por medio del cual la Jefa de la Unidad de </w:t>
      </w:r>
      <w:r w:rsidR="009417F8" w:rsidRPr="00B56D5F">
        <w:rPr>
          <w:rFonts w:eastAsia="Palatino Linotype" w:cs="Palatino Linotype"/>
          <w:color w:val="000000"/>
        </w:rPr>
        <w:t>Transparencia anexa</w:t>
      </w:r>
      <w:r w:rsidR="00514EB8" w:rsidRPr="00B56D5F">
        <w:rPr>
          <w:rFonts w:eastAsia="Palatino Linotype" w:cs="Palatino Linotype"/>
          <w:color w:val="000000"/>
        </w:rPr>
        <w:t xml:space="preserve"> la respuesta de la servidora pública habilitada.</w:t>
      </w:r>
    </w:p>
    <w:p w14:paraId="0D57EF8D" w14:textId="5AFDD370" w:rsidR="00E513F1" w:rsidRPr="00B56D5F" w:rsidRDefault="001963C1" w:rsidP="00511260">
      <w:pPr>
        <w:pStyle w:val="Prrafodelista"/>
        <w:numPr>
          <w:ilvl w:val="0"/>
          <w:numId w:val="3"/>
        </w:numPr>
      </w:pPr>
      <w:r w:rsidRPr="00B56D5F">
        <w:lastRenderedPageBreak/>
        <w:t xml:space="preserve">Respecto la solicitud de información </w:t>
      </w:r>
      <w:r w:rsidRPr="00B56D5F">
        <w:rPr>
          <w:b/>
          <w:bCs/>
        </w:rPr>
        <w:t>02352/IEEM/IP/2024</w:t>
      </w:r>
    </w:p>
    <w:p w14:paraId="7E6C6D6B" w14:textId="2230F6B5" w:rsidR="001963C1" w:rsidRPr="00B56D5F" w:rsidRDefault="001963C1" w:rsidP="001963C1">
      <w:pPr>
        <w:ind w:left="360"/>
        <w:rPr>
          <w:rFonts w:eastAsia="Palatino Linotype" w:cs="Palatino Linotype"/>
          <w:color w:val="000000"/>
        </w:rPr>
      </w:pPr>
      <w:r w:rsidRPr="00B56D5F">
        <w:rPr>
          <w:rFonts w:eastAsia="Palatino Linotype" w:cs="Palatino Linotype"/>
          <w:b/>
          <w:bCs/>
          <w:color w:val="000000"/>
          <w:szCs w:val="24"/>
        </w:rPr>
        <w:t xml:space="preserve">IEEM-DA-5443-2024.pdf; </w:t>
      </w:r>
      <w:r w:rsidRPr="00B56D5F">
        <w:rPr>
          <w:rFonts w:eastAsia="Palatino Linotype" w:cs="Palatino Linotype"/>
          <w:color w:val="000000"/>
        </w:rPr>
        <w:t>Documento que consta de dos fojas en formato PDF con número de oficio IEEM/DA/5443/2024 de fecha veintiuno de agosto de dos mil veinticuatro por medio del cual el Encargado de Despacho de la Dirección de Administración anexa las solicitudes de combustibles con las comprobaciones de las actividades correspondientes al mes de julio de 2024.</w:t>
      </w:r>
    </w:p>
    <w:p w14:paraId="650DBCD2" w14:textId="77777777" w:rsidR="001963C1" w:rsidRPr="00B56D5F" w:rsidRDefault="001963C1" w:rsidP="001963C1">
      <w:pPr>
        <w:rPr>
          <w:rFonts w:eastAsia="Palatino Linotype" w:cs="Palatino Linotype"/>
          <w:b/>
          <w:bCs/>
          <w:color w:val="000000"/>
          <w:szCs w:val="24"/>
        </w:rPr>
      </w:pPr>
    </w:p>
    <w:p w14:paraId="20AE9749" w14:textId="56A56373" w:rsidR="001963C1" w:rsidRPr="00B56D5F" w:rsidRDefault="001963C1" w:rsidP="001963C1">
      <w:pPr>
        <w:ind w:left="360"/>
        <w:rPr>
          <w:rFonts w:eastAsia="Palatino Linotype" w:cs="Palatino Linotype"/>
          <w:color w:val="000000"/>
        </w:rPr>
      </w:pPr>
      <w:r w:rsidRPr="00B56D5F">
        <w:rPr>
          <w:rFonts w:eastAsia="Palatino Linotype" w:cs="Palatino Linotype"/>
          <w:b/>
          <w:bCs/>
          <w:color w:val="000000"/>
          <w:szCs w:val="24"/>
        </w:rPr>
        <w:t xml:space="preserve">JD 27 JULIO, 5912.pdf; </w:t>
      </w:r>
      <w:r w:rsidRPr="00B56D5F">
        <w:rPr>
          <w:rFonts w:eastAsia="Palatino Linotype" w:cs="Palatino Linotype"/>
          <w:color w:val="000000"/>
        </w:rPr>
        <w:t>Documento que consta de diez fojas en formato PDF en las que se advierten las solicitudes de Gasolina de la Junta Distrital de Valle de Chalco Solidaridad del mes de julio de dos mil veinticuatro, así como d</w:t>
      </w:r>
      <w:r w:rsidR="00DA5FB4" w:rsidRPr="00B56D5F">
        <w:rPr>
          <w:rFonts w:eastAsia="Palatino Linotype" w:cs="Palatino Linotype"/>
          <w:color w:val="000000"/>
        </w:rPr>
        <w:t>ieciocho</w:t>
      </w:r>
      <w:r w:rsidRPr="00B56D5F">
        <w:rPr>
          <w:rFonts w:eastAsia="Palatino Linotype" w:cs="Palatino Linotype"/>
          <w:color w:val="000000"/>
        </w:rPr>
        <w:t xml:space="preserve"> ti</w:t>
      </w:r>
      <w:r w:rsidR="009417F8" w:rsidRPr="00B56D5F">
        <w:rPr>
          <w:rFonts w:eastAsia="Palatino Linotype" w:cs="Palatino Linotype"/>
          <w:color w:val="000000"/>
        </w:rPr>
        <w:t>c</w:t>
      </w:r>
      <w:r w:rsidRPr="00B56D5F">
        <w:rPr>
          <w:rFonts w:eastAsia="Palatino Linotype" w:cs="Palatino Linotype"/>
          <w:color w:val="000000"/>
        </w:rPr>
        <w:t>kets correspondiente a la entrega de comprobantes de gastos</w:t>
      </w:r>
      <w:r w:rsidR="00963ABA" w:rsidRPr="00B56D5F">
        <w:rPr>
          <w:rFonts w:eastAsia="Palatino Linotype" w:cs="Palatino Linotype"/>
          <w:color w:val="000000"/>
        </w:rPr>
        <w:t>.</w:t>
      </w:r>
    </w:p>
    <w:p w14:paraId="41515473" w14:textId="77777777" w:rsidR="001963C1" w:rsidRPr="00B56D5F" w:rsidRDefault="001963C1" w:rsidP="001963C1">
      <w:pPr>
        <w:ind w:left="360"/>
        <w:rPr>
          <w:rFonts w:eastAsia="Palatino Linotype" w:cs="Palatino Linotype"/>
          <w:b/>
          <w:bCs/>
          <w:color w:val="000000"/>
          <w:szCs w:val="24"/>
        </w:rPr>
      </w:pPr>
    </w:p>
    <w:p w14:paraId="64EE9745" w14:textId="21E524F8" w:rsidR="001963C1" w:rsidRPr="00B56D5F" w:rsidRDefault="001963C1" w:rsidP="00963ABA">
      <w:pPr>
        <w:ind w:left="360"/>
        <w:rPr>
          <w:rFonts w:eastAsia="Palatino Linotype" w:cs="Palatino Linotype"/>
          <w:color w:val="000000"/>
        </w:rPr>
      </w:pPr>
      <w:r w:rsidRPr="00B56D5F">
        <w:rPr>
          <w:rFonts w:eastAsia="Palatino Linotype" w:cs="Palatino Linotype"/>
          <w:b/>
          <w:bCs/>
          <w:color w:val="000000"/>
          <w:szCs w:val="24"/>
        </w:rPr>
        <w:t>JD 27 JULIO, 5914.pdf</w:t>
      </w:r>
      <w:r w:rsidR="00963ABA" w:rsidRPr="00B56D5F">
        <w:rPr>
          <w:rFonts w:eastAsia="Palatino Linotype" w:cs="Palatino Linotype"/>
          <w:b/>
          <w:bCs/>
          <w:color w:val="000000"/>
          <w:szCs w:val="24"/>
        </w:rPr>
        <w:t xml:space="preserve">; </w:t>
      </w:r>
      <w:r w:rsidR="00963ABA" w:rsidRPr="00B56D5F">
        <w:rPr>
          <w:rFonts w:eastAsia="Palatino Linotype" w:cs="Palatino Linotype"/>
          <w:color w:val="000000"/>
        </w:rPr>
        <w:t xml:space="preserve">Documento que consta de </w:t>
      </w:r>
      <w:r w:rsidR="00B52B00" w:rsidRPr="00B56D5F">
        <w:rPr>
          <w:rFonts w:eastAsia="Palatino Linotype" w:cs="Palatino Linotype"/>
          <w:color w:val="000000"/>
        </w:rPr>
        <w:t>siete</w:t>
      </w:r>
      <w:r w:rsidR="00963ABA" w:rsidRPr="00B56D5F">
        <w:rPr>
          <w:rFonts w:eastAsia="Palatino Linotype" w:cs="Palatino Linotype"/>
          <w:color w:val="000000"/>
        </w:rPr>
        <w:t xml:space="preserve"> fojas en formato PDF en las que se advierten las solicitudes de Gasolina de la Junta Distrital de Valle de Chalco Solidaridad del mes de julio de dos mil veinticuatro, así como die</w:t>
      </w:r>
      <w:r w:rsidR="00DA406E" w:rsidRPr="00B56D5F">
        <w:rPr>
          <w:rFonts w:eastAsia="Palatino Linotype" w:cs="Palatino Linotype"/>
          <w:color w:val="000000"/>
        </w:rPr>
        <w:t>z</w:t>
      </w:r>
      <w:r w:rsidR="00963ABA" w:rsidRPr="00B56D5F">
        <w:rPr>
          <w:rFonts w:eastAsia="Palatino Linotype" w:cs="Palatino Linotype"/>
          <w:color w:val="000000"/>
        </w:rPr>
        <w:t xml:space="preserve"> ti</w:t>
      </w:r>
      <w:r w:rsidR="009417F8" w:rsidRPr="00B56D5F">
        <w:rPr>
          <w:rFonts w:eastAsia="Palatino Linotype" w:cs="Palatino Linotype"/>
          <w:color w:val="000000"/>
        </w:rPr>
        <w:t>c</w:t>
      </w:r>
      <w:r w:rsidR="00963ABA" w:rsidRPr="00B56D5F">
        <w:rPr>
          <w:rFonts w:eastAsia="Palatino Linotype" w:cs="Palatino Linotype"/>
          <w:color w:val="000000"/>
        </w:rPr>
        <w:t>kets correspondiente a la entrega de comprobantes de gastos.</w:t>
      </w:r>
    </w:p>
    <w:p w14:paraId="2C0EE389" w14:textId="77777777" w:rsidR="00963ABA" w:rsidRPr="00B56D5F" w:rsidRDefault="00963ABA" w:rsidP="00963ABA">
      <w:pPr>
        <w:ind w:left="360"/>
        <w:rPr>
          <w:rFonts w:eastAsia="Palatino Linotype" w:cs="Palatino Linotype"/>
          <w:b/>
          <w:bCs/>
          <w:color w:val="000000"/>
          <w:szCs w:val="24"/>
        </w:rPr>
      </w:pPr>
    </w:p>
    <w:p w14:paraId="302E2469" w14:textId="6EC81109" w:rsidR="001963C1" w:rsidRPr="00B56D5F" w:rsidRDefault="001963C1" w:rsidP="00646E4F">
      <w:pPr>
        <w:ind w:left="360"/>
        <w:rPr>
          <w:rFonts w:eastAsia="Palatino Linotype" w:cs="Palatino Linotype"/>
          <w:color w:val="000000"/>
        </w:rPr>
      </w:pPr>
      <w:r w:rsidRPr="00B56D5F">
        <w:rPr>
          <w:rFonts w:eastAsia="Palatino Linotype" w:cs="Palatino Linotype"/>
          <w:b/>
          <w:bCs/>
          <w:color w:val="000000"/>
          <w:szCs w:val="24"/>
        </w:rPr>
        <w:t>JD 01 JULIO, 5868.pdf</w:t>
      </w:r>
      <w:r w:rsidR="00646E4F" w:rsidRPr="00B56D5F">
        <w:rPr>
          <w:rFonts w:eastAsia="Palatino Linotype" w:cs="Palatino Linotype"/>
          <w:b/>
          <w:bCs/>
          <w:color w:val="000000"/>
          <w:szCs w:val="24"/>
        </w:rPr>
        <w:t xml:space="preserve">; </w:t>
      </w:r>
      <w:r w:rsidR="00646E4F" w:rsidRPr="00B56D5F">
        <w:rPr>
          <w:rFonts w:eastAsia="Palatino Linotype" w:cs="Palatino Linotype"/>
          <w:color w:val="000000"/>
        </w:rPr>
        <w:t>Documento que consta de cuatro fojas en formato PDF en las que se advierten las solicitudes de Gasolina de la Junta Distrital de Chalco de Diaz Covarrubias del mes de ju</w:t>
      </w:r>
      <w:r w:rsidR="008156CA" w:rsidRPr="00B56D5F">
        <w:rPr>
          <w:rFonts w:eastAsia="Palatino Linotype" w:cs="Palatino Linotype"/>
          <w:color w:val="000000"/>
        </w:rPr>
        <w:t>l</w:t>
      </w:r>
      <w:r w:rsidR="00646E4F" w:rsidRPr="00B56D5F">
        <w:rPr>
          <w:rFonts w:eastAsia="Palatino Linotype" w:cs="Palatino Linotype"/>
          <w:color w:val="000000"/>
        </w:rPr>
        <w:t xml:space="preserve">io de dos mil veinticuatro, así como </w:t>
      </w:r>
      <w:r w:rsidR="008156CA" w:rsidRPr="00B56D5F">
        <w:rPr>
          <w:rFonts w:eastAsia="Palatino Linotype" w:cs="Palatino Linotype"/>
          <w:color w:val="000000"/>
        </w:rPr>
        <w:t xml:space="preserve">seis </w:t>
      </w:r>
      <w:r w:rsidR="00646E4F" w:rsidRPr="00B56D5F">
        <w:rPr>
          <w:rFonts w:eastAsia="Palatino Linotype" w:cs="Palatino Linotype"/>
          <w:color w:val="000000"/>
        </w:rPr>
        <w:t>ti</w:t>
      </w:r>
      <w:r w:rsidR="009417F8" w:rsidRPr="00B56D5F">
        <w:rPr>
          <w:rFonts w:eastAsia="Palatino Linotype" w:cs="Palatino Linotype"/>
          <w:color w:val="000000"/>
        </w:rPr>
        <w:t>c</w:t>
      </w:r>
      <w:r w:rsidR="00646E4F" w:rsidRPr="00B56D5F">
        <w:rPr>
          <w:rFonts w:eastAsia="Palatino Linotype" w:cs="Palatino Linotype"/>
          <w:color w:val="000000"/>
        </w:rPr>
        <w:t>kets correspondiente a la entrega de comprobantes de gastos</w:t>
      </w:r>
    </w:p>
    <w:p w14:paraId="276E641E" w14:textId="77777777" w:rsidR="00646E4F" w:rsidRPr="00B56D5F" w:rsidRDefault="00646E4F" w:rsidP="00646E4F">
      <w:pPr>
        <w:ind w:left="360"/>
        <w:rPr>
          <w:rFonts w:eastAsia="Palatino Linotype" w:cs="Palatino Linotype"/>
          <w:b/>
          <w:bCs/>
          <w:color w:val="000000"/>
          <w:szCs w:val="24"/>
        </w:rPr>
      </w:pPr>
    </w:p>
    <w:p w14:paraId="75378AA9" w14:textId="0C428966" w:rsidR="001963C1" w:rsidRPr="00B56D5F" w:rsidRDefault="001963C1" w:rsidP="0082399A">
      <w:pPr>
        <w:ind w:left="360"/>
        <w:rPr>
          <w:rFonts w:eastAsia="Palatino Linotype" w:cs="Palatino Linotype"/>
          <w:color w:val="000000"/>
        </w:rPr>
      </w:pPr>
      <w:r w:rsidRPr="00B56D5F">
        <w:rPr>
          <w:rFonts w:eastAsia="Palatino Linotype" w:cs="Palatino Linotype"/>
          <w:b/>
          <w:bCs/>
          <w:color w:val="000000"/>
          <w:szCs w:val="24"/>
        </w:rPr>
        <w:t>JD 01 JULIO, 5521.pdf</w:t>
      </w:r>
      <w:r w:rsidR="0082399A" w:rsidRPr="00B56D5F">
        <w:rPr>
          <w:rFonts w:eastAsia="Palatino Linotype" w:cs="Palatino Linotype"/>
          <w:b/>
          <w:bCs/>
          <w:color w:val="000000"/>
          <w:szCs w:val="24"/>
        </w:rPr>
        <w:t xml:space="preserve">; </w:t>
      </w:r>
      <w:r w:rsidR="0082399A" w:rsidRPr="00B56D5F">
        <w:rPr>
          <w:rFonts w:eastAsia="Palatino Linotype" w:cs="Palatino Linotype"/>
          <w:color w:val="000000"/>
        </w:rPr>
        <w:t xml:space="preserve">Documento que consta de cuatro fojas en formato PDF en las que se advierten las solicitudes de Gasolina de la Junta Distrital de Chalco de Diaz </w:t>
      </w:r>
      <w:r w:rsidR="0082399A" w:rsidRPr="00B56D5F">
        <w:rPr>
          <w:rFonts w:eastAsia="Palatino Linotype" w:cs="Palatino Linotype"/>
          <w:color w:val="000000"/>
        </w:rPr>
        <w:lastRenderedPageBreak/>
        <w:t>Covarrubias del mes de julio de dos mil veinticuatro, así como cinco ti</w:t>
      </w:r>
      <w:r w:rsidR="009417F8" w:rsidRPr="00B56D5F">
        <w:rPr>
          <w:rFonts w:eastAsia="Palatino Linotype" w:cs="Palatino Linotype"/>
          <w:color w:val="000000"/>
        </w:rPr>
        <w:t>c</w:t>
      </w:r>
      <w:r w:rsidR="0082399A" w:rsidRPr="00B56D5F">
        <w:rPr>
          <w:rFonts w:eastAsia="Palatino Linotype" w:cs="Palatino Linotype"/>
          <w:color w:val="000000"/>
        </w:rPr>
        <w:t>kets correspondiente a la entrega de comprobantes de gastos</w:t>
      </w:r>
    </w:p>
    <w:p w14:paraId="3BC0E106" w14:textId="77777777" w:rsidR="0082399A" w:rsidRPr="00B56D5F" w:rsidRDefault="0082399A" w:rsidP="0082399A">
      <w:pPr>
        <w:ind w:left="360"/>
        <w:rPr>
          <w:rFonts w:eastAsia="Palatino Linotype" w:cs="Palatino Linotype"/>
          <w:b/>
          <w:bCs/>
          <w:color w:val="000000"/>
          <w:szCs w:val="24"/>
        </w:rPr>
      </w:pPr>
    </w:p>
    <w:p w14:paraId="333C0621" w14:textId="40FE664B" w:rsidR="00E513F1" w:rsidRPr="00B56D5F" w:rsidRDefault="001963C1" w:rsidP="00362D0C">
      <w:pPr>
        <w:ind w:left="360"/>
        <w:rPr>
          <w:rFonts w:eastAsia="Palatino Linotype" w:cs="Palatino Linotype"/>
          <w:color w:val="000000"/>
        </w:rPr>
      </w:pPr>
      <w:r w:rsidRPr="00B56D5F">
        <w:rPr>
          <w:rFonts w:eastAsia="Palatino Linotype" w:cs="Palatino Linotype"/>
          <w:b/>
          <w:bCs/>
          <w:color w:val="000000"/>
          <w:szCs w:val="24"/>
        </w:rPr>
        <w:t>OFICIO RESPUESTA 2352-2024 UT.pdf</w:t>
      </w:r>
      <w:r w:rsidR="00362D0C" w:rsidRPr="00B56D5F">
        <w:rPr>
          <w:rFonts w:eastAsia="Palatino Linotype" w:cs="Palatino Linotype"/>
          <w:b/>
          <w:bCs/>
          <w:color w:val="000000"/>
          <w:szCs w:val="24"/>
        </w:rPr>
        <w:t xml:space="preserve">; </w:t>
      </w:r>
      <w:r w:rsidR="00362D0C" w:rsidRPr="00B56D5F">
        <w:rPr>
          <w:rFonts w:eastAsia="Palatino Linotype" w:cs="Palatino Linotype"/>
          <w:color w:val="000000"/>
        </w:rPr>
        <w:t>Documento que consta de una foja en formato PDF de fecha veintiséis de agosto de dos mil veinticuatro con número de oficio IEEM/UT/2320/2024 por medio del cual la Jefa de la Unidad de Transparencia</w:t>
      </w:r>
      <w:r w:rsidR="004C1EAB" w:rsidRPr="00B56D5F">
        <w:rPr>
          <w:rFonts w:eastAsia="Palatino Linotype" w:cs="Palatino Linotype"/>
          <w:color w:val="000000"/>
        </w:rPr>
        <w:t xml:space="preserve"> anexa la respuesta </w:t>
      </w:r>
      <w:r w:rsidR="00514EB8" w:rsidRPr="00B56D5F">
        <w:rPr>
          <w:rFonts w:eastAsia="Palatino Linotype" w:cs="Palatino Linotype"/>
          <w:color w:val="000000"/>
        </w:rPr>
        <w:t>de la servidora pública habilitada.</w:t>
      </w:r>
      <w:r w:rsidR="0093331B" w:rsidRPr="00B56D5F">
        <w:rPr>
          <w:rFonts w:eastAsia="Palatino Linotype" w:cs="Palatino Linotype"/>
          <w:color w:val="000000"/>
        </w:rPr>
        <w:t xml:space="preserve"> </w:t>
      </w:r>
    </w:p>
    <w:p w14:paraId="198D949B" w14:textId="77777777" w:rsidR="00E513F1" w:rsidRPr="00B56D5F" w:rsidRDefault="00E513F1" w:rsidP="00511260">
      <w:pPr>
        <w:rPr>
          <w:rFonts w:eastAsia="Palatino Linotype" w:cs="Palatino Linotype"/>
          <w:color w:val="000000"/>
        </w:rPr>
      </w:pPr>
    </w:p>
    <w:p w14:paraId="06B1F850" w14:textId="1ED16AB1" w:rsidR="00B40A7A" w:rsidRPr="00B56D5F" w:rsidRDefault="00511260" w:rsidP="00511260">
      <w:pPr>
        <w:rPr>
          <w:rFonts w:eastAsia="Palatino Linotype" w:cs="Palatino Linotype"/>
          <w:color w:val="000000"/>
        </w:rPr>
      </w:pPr>
      <w:r w:rsidRPr="00B56D5F">
        <w:rPr>
          <w:rFonts w:eastAsia="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sidRPr="00B56D5F">
        <w:rPr>
          <w:rFonts w:eastAsia="Palatino Linotype" w:cs="Palatino Linotype"/>
          <w:i/>
          <w:iCs/>
          <w:color w:val="000000"/>
          <w:szCs w:val="24"/>
        </w:rPr>
        <w:t>“</w:t>
      </w:r>
      <w:r w:rsidR="00B40A7A" w:rsidRPr="00B56D5F">
        <w:rPr>
          <w:i/>
          <w:sz w:val="22"/>
        </w:rPr>
        <w:t xml:space="preserve">LA INFORMACIÓN QUE SE ENTREGA ESTÁ INCOMPLETA PORQUE NO SE INCLUYEN LOS DOCUMENTOS PROBATORIOS QUE AMPAREN EL USO DEL COMBUSTIBLE” </w:t>
      </w:r>
      <w:r w:rsidR="00B40A7A" w:rsidRPr="00B56D5F">
        <w:rPr>
          <w:sz w:val="22"/>
        </w:rPr>
        <w:t xml:space="preserve"> y como razones o motivos de inconformidad  </w:t>
      </w:r>
      <w:r w:rsidR="00B40A7A" w:rsidRPr="00B56D5F">
        <w:rPr>
          <w:iCs/>
          <w:color w:val="000000"/>
          <w:szCs w:val="24"/>
        </w:rPr>
        <w:t>“</w:t>
      </w:r>
      <w:r w:rsidR="00B40A7A" w:rsidRPr="00B56D5F">
        <w:rPr>
          <w:i/>
          <w:sz w:val="22"/>
        </w:rPr>
        <w:t>SE PIDE REVOCAR Y ORDENAR LA ENTREGA DE LA INFORMACIÓN SOLICITADA ÍNTEGRAMENTE CON BASE EN LO EXPUESTO EN EL APARTADO DE ACTO IMPUGNADO”</w:t>
      </w:r>
      <w:r w:rsidRPr="00B56D5F">
        <w:rPr>
          <w:rFonts w:eastAsia="Palatino Linotype" w:cs="Palatino Linotype"/>
          <w:i/>
          <w:color w:val="000000"/>
        </w:rPr>
        <w:t>,</w:t>
      </w:r>
      <w:r w:rsidRPr="00B56D5F">
        <w:rPr>
          <w:rFonts w:eastAsia="Palatino Linotype" w:cs="Palatino Linotype"/>
          <w:i/>
          <w:color w:val="000000"/>
          <w:sz w:val="22"/>
        </w:rPr>
        <w:t xml:space="preserve"> </w:t>
      </w:r>
      <w:r w:rsidRPr="00B56D5F">
        <w:rPr>
          <w:rFonts w:eastAsia="Palatino Linotype" w:cs="Palatino Linotype"/>
          <w:color w:val="000000"/>
        </w:rPr>
        <w:t xml:space="preserve">en este sentido el Recurrente considero que el </w:t>
      </w:r>
      <w:r w:rsidR="00B40A7A" w:rsidRPr="00B56D5F">
        <w:rPr>
          <w:rFonts w:eastAsia="Palatino Linotype" w:cs="Palatino Linotype"/>
          <w:color w:val="000000"/>
        </w:rPr>
        <w:t>Sujeto Obligado no le dio cuenta de las solicitudes de dotación de combustible de las juntas distritales de Chalco y de Valle de Chalco solidaridad correspondientes a junio y julio del 2024 con los documentos probatorios que amparen el uso del combustible.</w:t>
      </w:r>
    </w:p>
    <w:p w14:paraId="1886837D" w14:textId="77777777" w:rsidR="00B156C7" w:rsidRPr="00B56D5F" w:rsidRDefault="00B156C7" w:rsidP="00511260">
      <w:pPr>
        <w:tabs>
          <w:tab w:val="left" w:pos="709"/>
        </w:tabs>
        <w:contextualSpacing/>
        <w:rPr>
          <w:rFonts w:cs="Arial"/>
        </w:rPr>
      </w:pPr>
    </w:p>
    <w:p w14:paraId="7C1BA2F8" w14:textId="6CDEC8F2" w:rsidR="00B156C7" w:rsidRPr="00B56D5F" w:rsidRDefault="00B156C7" w:rsidP="00511260">
      <w:pPr>
        <w:tabs>
          <w:tab w:val="left" w:pos="709"/>
        </w:tabs>
        <w:contextualSpacing/>
        <w:rPr>
          <w:rFonts w:cs="Arial"/>
        </w:rPr>
      </w:pPr>
      <w:r w:rsidRPr="00B56D5F">
        <w:rPr>
          <w:rFonts w:cs="Arial"/>
        </w:rPr>
        <w:t>De lo anterior y a efecto de no vulnerar el derecho al acceso a la información del Recurrente el Sujeto Obligado rindió su informe justificado para ambos recursos de revisión, sin pasar por desapercibido por este Instituto que los archivos remitidos contienen la misma información en los términos siguientes;</w:t>
      </w:r>
    </w:p>
    <w:p w14:paraId="4B47EEDE" w14:textId="374E9A08" w:rsidR="00B156C7" w:rsidRPr="00B56D5F" w:rsidRDefault="00B156C7" w:rsidP="00B156C7">
      <w:pPr>
        <w:pStyle w:val="Prrafodelista"/>
        <w:numPr>
          <w:ilvl w:val="0"/>
          <w:numId w:val="7"/>
        </w:numPr>
        <w:tabs>
          <w:tab w:val="left" w:pos="709"/>
        </w:tabs>
        <w:rPr>
          <w:rFonts w:cs="Arial"/>
          <w:i/>
          <w:szCs w:val="24"/>
        </w:rPr>
      </w:pPr>
      <w:r w:rsidRPr="00B56D5F">
        <w:rPr>
          <w:rFonts w:cs="Arial"/>
          <w:b/>
          <w:bCs/>
          <w:i/>
          <w:szCs w:val="24"/>
        </w:rPr>
        <w:lastRenderedPageBreak/>
        <w:t>IEEM-DA-5762-2024 INFORME JUSTIFICADO RR 5475-2024 Y ACUMULADO.pdf</w:t>
      </w:r>
      <w:r w:rsidRPr="00B56D5F">
        <w:rPr>
          <w:rFonts w:cs="Arial"/>
          <w:bCs/>
          <w:i/>
          <w:szCs w:val="24"/>
        </w:rPr>
        <w:t xml:space="preserve">; </w:t>
      </w:r>
      <w:r w:rsidRPr="00B56D5F">
        <w:rPr>
          <w:rFonts w:cs="Arial"/>
          <w:bCs/>
          <w:szCs w:val="24"/>
        </w:rPr>
        <w:t>Documento que consta de dos fojas en formato PDF con número de oficio IEEM/DA/5762/2024 de fecha diez de septiembre de dos mil veinticuatro por medio del cual el encargado</w:t>
      </w:r>
      <w:r w:rsidR="006537E2" w:rsidRPr="00B56D5F">
        <w:rPr>
          <w:rFonts w:cs="Arial"/>
          <w:bCs/>
          <w:szCs w:val="24"/>
        </w:rPr>
        <w:t xml:space="preserve"> del despacho </w:t>
      </w:r>
      <w:r w:rsidRPr="00B56D5F">
        <w:rPr>
          <w:rFonts w:cs="Arial"/>
          <w:bCs/>
          <w:szCs w:val="24"/>
        </w:rPr>
        <w:t xml:space="preserve">de administración manifiesta que la comprobación del gasto del combustible se realiza a través de los tickets emitidos por la gasolinera ratificando su respuesta primigenia. </w:t>
      </w:r>
    </w:p>
    <w:p w14:paraId="33B808BC" w14:textId="77777777" w:rsidR="00B156C7" w:rsidRPr="00B56D5F" w:rsidRDefault="00B156C7" w:rsidP="00B156C7">
      <w:pPr>
        <w:pStyle w:val="Prrafodelista"/>
        <w:tabs>
          <w:tab w:val="left" w:pos="709"/>
        </w:tabs>
        <w:rPr>
          <w:rFonts w:cs="Arial"/>
          <w:i/>
          <w:szCs w:val="24"/>
        </w:rPr>
      </w:pPr>
    </w:p>
    <w:p w14:paraId="26024E67" w14:textId="44310E90" w:rsidR="00B156C7" w:rsidRPr="00B56D5F" w:rsidRDefault="00B156C7" w:rsidP="00B156C7">
      <w:pPr>
        <w:pStyle w:val="Prrafodelista"/>
        <w:numPr>
          <w:ilvl w:val="0"/>
          <w:numId w:val="7"/>
        </w:numPr>
        <w:tabs>
          <w:tab w:val="left" w:pos="709"/>
        </w:tabs>
        <w:rPr>
          <w:rFonts w:cs="Arial"/>
          <w:i/>
          <w:szCs w:val="24"/>
        </w:rPr>
      </w:pPr>
      <w:r w:rsidRPr="00B56D5F">
        <w:rPr>
          <w:rFonts w:cs="Arial"/>
          <w:b/>
          <w:bCs/>
          <w:i/>
          <w:szCs w:val="24"/>
        </w:rPr>
        <w:t>INFORME JUSTIFICADO RR 5475-2024 Y ACUMULADO UT.pdf</w:t>
      </w:r>
      <w:r w:rsidRPr="00B56D5F">
        <w:rPr>
          <w:rFonts w:cs="Arial"/>
          <w:bCs/>
          <w:i/>
          <w:szCs w:val="24"/>
        </w:rPr>
        <w:t xml:space="preserve">; </w:t>
      </w:r>
      <w:r w:rsidRPr="00B56D5F">
        <w:rPr>
          <w:rFonts w:cs="Arial"/>
          <w:bCs/>
          <w:szCs w:val="24"/>
        </w:rPr>
        <w:t xml:space="preserve">Documento que consta de diez fojas en formato PDF de fecha once de septiembre de dos mil veinticuatro por medio del cual se remite informe justificado. </w:t>
      </w:r>
    </w:p>
    <w:p w14:paraId="70798A3C" w14:textId="77777777" w:rsidR="00B156C7" w:rsidRPr="00B56D5F" w:rsidRDefault="00B156C7" w:rsidP="00B156C7">
      <w:pPr>
        <w:tabs>
          <w:tab w:val="left" w:pos="709"/>
        </w:tabs>
        <w:rPr>
          <w:rFonts w:cs="Arial"/>
        </w:rPr>
      </w:pPr>
    </w:p>
    <w:p w14:paraId="00E40574" w14:textId="5D77E3D8" w:rsidR="00511260" w:rsidRPr="00B56D5F" w:rsidRDefault="00511260" w:rsidP="006537E2">
      <w:pPr>
        <w:tabs>
          <w:tab w:val="left" w:pos="709"/>
        </w:tabs>
        <w:contextualSpacing/>
        <w:rPr>
          <w:rFonts w:cs="Arial"/>
        </w:rPr>
      </w:pPr>
      <w:r w:rsidRPr="00B56D5F">
        <w:rPr>
          <w:rFonts w:cs="Arial"/>
        </w:rPr>
        <w:t>De lo anterior se debe señalar que el artículo 4, párrafo segundo de la Ley de Transparencia y Acceso a la Información Pública del Estado de México y Municipios, dispone:</w:t>
      </w:r>
    </w:p>
    <w:p w14:paraId="46B1EB7D" w14:textId="77777777" w:rsidR="00511260" w:rsidRPr="00B56D5F" w:rsidRDefault="00511260" w:rsidP="00511260">
      <w:pPr>
        <w:ind w:left="567" w:right="616"/>
        <w:rPr>
          <w:rFonts w:cs="Arial"/>
          <w:i/>
          <w:sz w:val="22"/>
        </w:rPr>
      </w:pPr>
      <w:r w:rsidRPr="00B56D5F">
        <w:rPr>
          <w:rFonts w:cs="Arial"/>
          <w:i/>
          <w:sz w:val="22"/>
        </w:rPr>
        <w:t>“</w:t>
      </w:r>
      <w:r w:rsidRPr="00B56D5F">
        <w:rPr>
          <w:rFonts w:cs="Arial"/>
          <w:b/>
          <w:i/>
          <w:sz w:val="22"/>
        </w:rPr>
        <w:t xml:space="preserve">Artículo 4. </w:t>
      </w:r>
      <w:r w:rsidRPr="00B56D5F">
        <w:rPr>
          <w:rFonts w:cs="Arial"/>
          <w:i/>
          <w:sz w:val="22"/>
        </w:rPr>
        <w:t xml:space="preserve">… </w:t>
      </w:r>
    </w:p>
    <w:p w14:paraId="32A3E4AB" w14:textId="77777777" w:rsidR="00511260" w:rsidRPr="00B56D5F" w:rsidRDefault="00511260" w:rsidP="00511260">
      <w:pPr>
        <w:ind w:left="567" w:right="616"/>
        <w:rPr>
          <w:rFonts w:cs="Arial"/>
          <w:i/>
          <w:sz w:val="22"/>
        </w:rPr>
      </w:pPr>
      <w:r w:rsidRPr="00B56D5F">
        <w:rPr>
          <w:rFonts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883349" w14:textId="77777777" w:rsidR="00511260" w:rsidRPr="00B56D5F" w:rsidRDefault="00511260" w:rsidP="00511260">
      <w:pPr>
        <w:tabs>
          <w:tab w:val="left" w:pos="709"/>
        </w:tabs>
        <w:contextualSpacing/>
        <w:rPr>
          <w:rFonts w:cs="Arial"/>
        </w:rPr>
      </w:pPr>
    </w:p>
    <w:p w14:paraId="08245615" w14:textId="77777777" w:rsidR="00511260" w:rsidRPr="00B56D5F" w:rsidRDefault="00511260" w:rsidP="00511260">
      <w:pPr>
        <w:tabs>
          <w:tab w:val="left" w:pos="709"/>
        </w:tabs>
        <w:contextualSpacing/>
        <w:rPr>
          <w:rFonts w:cs="Arial"/>
        </w:rPr>
      </w:pPr>
      <w:r w:rsidRPr="00B56D5F">
        <w:rPr>
          <w:rFonts w:cs="Arial"/>
        </w:rPr>
        <w:t xml:space="preserve">Del precepto legal invocado, se desprende, que la información generada, obtenida, adquirida, transmitida, administrada o en posesión de los Sujetos Obligados, será </w:t>
      </w:r>
      <w:r w:rsidRPr="00B56D5F">
        <w:rPr>
          <w:rFonts w:cs="Arial"/>
        </w:rPr>
        <w:lastRenderedPageBreak/>
        <w:t>accesible de manera permanente a cualquier persona, privilegiando el principio de máxima publicidad de la información.</w:t>
      </w:r>
    </w:p>
    <w:p w14:paraId="75071FF1" w14:textId="77777777" w:rsidR="00511260" w:rsidRPr="00B56D5F" w:rsidRDefault="00511260" w:rsidP="00511260">
      <w:pPr>
        <w:tabs>
          <w:tab w:val="left" w:pos="709"/>
        </w:tabs>
        <w:contextualSpacing/>
        <w:rPr>
          <w:rFonts w:cs="Arial"/>
        </w:rPr>
      </w:pPr>
    </w:p>
    <w:p w14:paraId="2D616939" w14:textId="77777777" w:rsidR="00511260" w:rsidRPr="00B56D5F" w:rsidRDefault="00511260" w:rsidP="00511260">
      <w:pPr>
        <w:tabs>
          <w:tab w:val="left" w:pos="709"/>
        </w:tabs>
        <w:contextualSpacing/>
        <w:rPr>
          <w:rFonts w:cs="Arial"/>
        </w:rPr>
      </w:pPr>
      <w:r w:rsidRPr="00B56D5F">
        <w:rPr>
          <w:rFonts w:cs="Arial"/>
        </w:rPr>
        <w:t xml:space="preserve">En esta misma tesitura, el derecho de acceso a la información pública, consiste en que la información solicitada conste en un soporte documental en cualquiera de sus formas, a saber: </w:t>
      </w:r>
      <w:r w:rsidRPr="00B56D5F">
        <w:rPr>
          <w:rFonts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56D5F">
        <w:rPr>
          <w:rFonts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D0E6F2D" w14:textId="77777777" w:rsidR="00511260" w:rsidRPr="00B56D5F" w:rsidRDefault="00511260" w:rsidP="00511260">
      <w:pPr>
        <w:pStyle w:val="Sinespaciado"/>
      </w:pPr>
    </w:p>
    <w:p w14:paraId="7DCBBF0D" w14:textId="77777777" w:rsidR="00511260" w:rsidRPr="00B56D5F" w:rsidRDefault="00511260" w:rsidP="00511260">
      <w:pPr>
        <w:ind w:left="567" w:right="616"/>
        <w:rPr>
          <w:rFonts w:cs="Arial"/>
          <w:i/>
          <w:sz w:val="22"/>
        </w:rPr>
      </w:pPr>
      <w:r w:rsidRPr="00B56D5F">
        <w:rPr>
          <w:rFonts w:cs="Arial"/>
          <w:i/>
          <w:sz w:val="22"/>
        </w:rPr>
        <w:t>“</w:t>
      </w:r>
      <w:r w:rsidRPr="00B56D5F">
        <w:rPr>
          <w:rFonts w:cs="Arial"/>
          <w:b/>
          <w:i/>
          <w:sz w:val="22"/>
        </w:rPr>
        <w:t xml:space="preserve">Artículo 3. </w:t>
      </w:r>
      <w:r w:rsidRPr="00B56D5F">
        <w:rPr>
          <w:rFonts w:cs="Arial"/>
          <w:i/>
          <w:sz w:val="22"/>
        </w:rPr>
        <w:t>Para los efectos de la presente Ley se entenderá por:</w:t>
      </w:r>
    </w:p>
    <w:p w14:paraId="0C6D4E49" w14:textId="77777777" w:rsidR="00511260" w:rsidRPr="00B56D5F" w:rsidRDefault="00511260" w:rsidP="00511260">
      <w:pPr>
        <w:ind w:left="567" w:right="616"/>
        <w:rPr>
          <w:rFonts w:cs="Arial"/>
          <w:i/>
          <w:sz w:val="22"/>
        </w:rPr>
      </w:pPr>
      <w:r w:rsidRPr="00B56D5F">
        <w:rPr>
          <w:rFonts w:cs="Arial"/>
          <w:i/>
          <w:sz w:val="22"/>
        </w:rPr>
        <w:t>(…)</w:t>
      </w:r>
    </w:p>
    <w:p w14:paraId="58610409" w14:textId="77777777" w:rsidR="00511260" w:rsidRPr="00B56D5F" w:rsidRDefault="00511260" w:rsidP="00511260">
      <w:pPr>
        <w:ind w:left="567" w:right="616"/>
        <w:rPr>
          <w:rFonts w:cs="Arial"/>
          <w:i/>
          <w:sz w:val="22"/>
        </w:rPr>
      </w:pPr>
      <w:r w:rsidRPr="00B56D5F">
        <w:rPr>
          <w:rFonts w:cs="Arial"/>
          <w:b/>
          <w:i/>
          <w:sz w:val="22"/>
        </w:rPr>
        <w:t>XI. Documento:</w:t>
      </w:r>
      <w:r w:rsidRPr="00B56D5F">
        <w:rPr>
          <w:rFonts w:cs="Arial"/>
          <w:i/>
          <w:sz w:val="22"/>
        </w:rPr>
        <w:t xml:space="preserve"> Los expedientes, reportes, estudios, actas, resoluciones, oficios, correspondencia, acuerdos, directivas, directrices, circulares, contratos, convenios, instructivos, notas, memorandos, estadísticas o bien, cualquier otro </w:t>
      </w:r>
      <w:r w:rsidRPr="00B56D5F">
        <w:rPr>
          <w:rFonts w:cs="Arial"/>
          <w:b/>
          <w:i/>
          <w:sz w:val="22"/>
          <w:u w:val="single"/>
        </w:rPr>
        <w:t>registro que documente el ejercicio de las facultades, funciones y competencias de los sujetos obligados</w:t>
      </w:r>
      <w:r w:rsidRPr="00B56D5F">
        <w:rPr>
          <w:rFonts w:cs="Arial"/>
          <w:i/>
          <w:sz w:val="22"/>
          <w:u w:val="single"/>
        </w:rPr>
        <w:t>,</w:t>
      </w:r>
      <w:r w:rsidRPr="00B56D5F">
        <w:rPr>
          <w:rFonts w:cs="Arial"/>
          <w:i/>
          <w:sz w:val="22"/>
        </w:rPr>
        <w:t xml:space="preserve"> sus servidores públicos e integrantes, </w:t>
      </w:r>
      <w:r w:rsidRPr="00B56D5F">
        <w:rPr>
          <w:rFonts w:cs="Arial"/>
          <w:b/>
          <w:i/>
          <w:sz w:val="22"/>
          <w:u w:val="single"/>
        </w:rPr>
        <w:t>sin importar su fuente o fecha de elaboración.</w:t>
      </w:r>
      <w:r w:rsidRPr="00B56D5F">
        <w:rPr>
          <w:rFonts w:cs="Arial"/>
          <w:i/>
          <w:sz w:val="22"/>
        </w:rPr>
        <w:t xml:space="preserve"> Los documentos podrán estar en cualquier medio, sea escrito, impreso, sonoro, visual, electrónico, informático u holográfico;</w:t>
      </w:r>
    </w:p>
    <w:p w14:paraId="0BA68671" w14:textId="5D033DD3" w:rsidR="00511260" w:rsidRPr="00B56D5F" w:rsidRDefault="00511260" w:rsidP="00CF7459">
      <w:pPr>
        <w:ind w:left="567" w:right="616"/>
        <w:rPr>
          <w:rFonts w:cs="Arial"/>
          <w:i/>
          <w:sz w:val="22"/>
        </w:rPr>
      </w:pPr>
      <w:r w:rsidRPr="00B56D5F">
        <w:rPr>
          <w:rFonts w:cs="Arial"/>
          <w:i/>
          <w:sz w:val="22"/>
        </w:rPr>
        <w:t>(…)”</w:t>
      </w:r>
    </w:p>
    <w:p w14:paraId="0E8050C1" w14:textId="77777777" w:rsidR="00511260" w:rsidRPr="00B56D5F" w:rsidRDefault="00511260" w:rsidP="00511260">
      <w:pPr>
        <w:spacing w:before="240" w:after="240"/>
        <w:ind w:right="49"/>
        <w:contextualSpacing/>
        <w:rPr>
          <w:rFonts w:eastAsia="MS Mincho"/>
        </w:rPr>
      </w:pPr>
      <w:r w:rsidRPr="00B56D5F">
        <w:rPr>
          <w:rFonts w:cs="Arial"/>
        </w:rPr>
        <w:t xml:space="preserve">Además, </w:t>
      </w:r>
      <w:r w:rsidRPr="00B56D5F">
        <w:rPr>
          <w:rFonts w:eastAsia="MS Mincho"/>
        </w:rPr>
        <w:t xml:space="preserve">es importante señalar que el artículo 18, de la Ley en la materia, los Sujetos Obligados cuenta con la obligación de documentar todos los actos que derive de sus </w:t>
      </w:r>
      <w:r w:rsidRPr="00B56D5F">
        <w:rPr>
          <w:rFonts w:eastAsia="MS Mincho"/>
        </w:rPr>
        <w:lastRenderedPageBreak/>
        <w:t>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BA6BC53" w14:textId="77777777" w:rsidR="00511260" w:rsidRPr="00B56D5F" w:rsidRDefault="00511260" w:rsidP="00511260">
      <w:pPr>
        <w:spacing w:before="240" w:after="240"/>
        <w:ind w:right="49"/>
        <w:contextualSpacing/>
        <w:rPr>
          <w:rFonts w:eastAsia="MS Mincho"/>
        </w:rPr>
      </w:pPr>
    </w:p>
    <w:p w14:paraId="7693AF8A" w14:textId="77777777" w:rsidR="00511260" w:rsidRPr="00B56D5F" w:rsidRDefault="00511260" w:rsidP="00511260">
      <w:pPr>
        <w:spacing w:before="240" w:after="240"/>
        <w:ind w:right="49"/>
        <w:contextualSpacing/>
        <w:rPr>
          <w:rFonts w:eastAsia="MS Mincho" w:cs="Tahoma"/>
        </w:rPr>
      </w:pPr>
      <w:r w:rsidRPr="00B56D5F">
        <w:rPr>
          <w:rFonts w:cs="Arial"/>
        </w:rPr>
        <w:t xml:space="preserve">De la misma forma, </w:t>
      </w:r>
      <w:r w:rsidRPr="00B56D5F">
        <w:rPr>
          <w:rFonts w:eastAsia="MS Mincho"/>
        </w:rPr>
        <w:t>de acuerdo al contenido del artículo 160,</w:t>
      </w:r>
      <w:r w:rsidRPr="00B56D5F">
        <w:rPr>
          <w:rFonts w:cs="Arial"/>
        </w:rPr>
        <w:t xml:space="preserve"> de la Ley </w:t>
      </w:r>
      <w:r w:rsidRPr="00B56D5F">
        <w:rPr>
          <w:rFonts w:eastAsia="MS Mincho" w:cs="Tahoma"/>
        </w:rPr>
        <w:t>General de Transparencia y Acceso a la Información Pública que a la letra dispone:</w:t>
      </w:r>
    </w:p>
    <w:p w14:paraId="1AC236D9" w14:textId="77777777" w:rsidR="00511260" w:rsidRPr="00B56D5F" w:rsidRDefault="00511260" w:rsidP="00511260">
      <w:pPr>
        <w:ind w:left="567" w:right="616"/>
        <w:contextualSpacing/>
        <w:rPr>
          <w:rFonts w:cs="Arial"/>
          <w:i/>
          <w:sz w:val="22"/>
          <w:lang w:eastAsia="gl-ES"/>
        </w:rPr>
      </w:pPr>
      <w:r w:rsidRPr="00B56D5F">
        <w:rPr>
          <w:rFonts w:cs="Arial"/>
          <w:b/>
          <w:i/>
          <w:sz w:val="22"/>
          <w:lang w:eastAsia="gl-ES"/>
        </w:rPr>
        <w:t>Artículo 160</w:t>
      </w:r>
      <w:r w:rsidRPr="00B56D5F">
        <w:rPr>
          <w:rFonts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7BEE419" w14:textId="77777777" w:rsidR="00511260" w:rsidRPr="00B56D5F" w:rsidRDefault="00511260" w:rsidP="00511260">
      <w:pPr>
        <w:pStyle w:val="Sinespaciado"/>
      </w:pPr>
    </w:p>
    <w:p w14:paraId="61414E93" w14:textId="77777777" w:rsidR="00511260" w:rsidRPr="00B56D5F" w:rsidRDefault="00511260" w:rsidP="00511260">
      <w:pPr>
        <w:contextualSpacing/>
        <w:rPr>
          <w:rFonts w:cs="Arial"/>
        </w:rPr>
      </w:pPr>
      <w:r w:rsidRPr="00B56D5F">
        <w:rPr>
          <w:rFonts w:cs="Arial"/>
          <w:bCs/>
        </w:rPr>
        <w:t xml:space="preserve">Además, </w:t>
      </w:r>
      <w:r w:rsidRPr="00B56D5F">
        <w:rPr>
          <w:rFonts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1703FC9" w14:textId="77777777" w:rsidR="00511260" w:rsidRPr="00B56D5F" w:rsidRDefault="00511260" w:rsidP="00511260">
      <w:pPr>
        <w:pStyle w:val="Sinespaciado"/>
      </w:pPr>
    </w:p>
    <w:p w14:paraId="6A4BC873" w14:textId="77777777" w:rsidR="00511260" w:rsidRPr="00B56D5F" w:rsidRDefault="00511260" w:rsidP="00511260">
      <w:pPr>
        <w:ind w:left="567" w:right="616"/>
        <w:contextualSpacing/>
        <w:rPr>
          <w:rFonts w:cs="Arial"/>
          <w:i/>
          <w:sz w:val="22"/>
        </w:rPr>
      </w:pPr>
      <w:r w:rsidRPr="00B56D5F">
        <w:rPr>
          <w:rFonts w:cs="Arial"/>
          <w:b/>
          <w:i/>
          <w:sz w:val="22"/>
        </w:rPr>
        <w:t>Artículo 23.</w:t>
      </w:r>
      <w:r w:rsidRPr="00B56D5F">
        <w:rPr>
          <w:rFonts w:cs="Arial"/>
          <w:i/>
          <w:sz w:val="22"/>
        </w:rPr>
        <w:t xml:space="preserve"> Son sujetos obligados a transparentar y permitir el acceso a su información y proteger los datos personales que obren en su poder:</w:t>
      </w:r>
    </w:p>
    <w:p w14:paraId="7855DA16" w14:textId="77777777" w:rsidR="00511260" w:rsidRPr="00B56D5F" w:rsidRDefault="00511260" w:rsidP="00511260">
      <w:pPr>
        <w:ind w:left="567" w:right="616"/>
        <w:contextualSpacing/>
        <w:rPr>
          <w:rFonts w:cs="Arial"/>
          <w:b/>
          <w:i/>
          <w:sz w:val="22"/>
        </w:rPr>
      </w:pPr>
    </w:p>
    <w:p w14:paraId="109C76EE" w14:textId="77777777" w:rsidR="00511260" w:rsidRPr="00B56D5F" w:rsidRDefault="00511260" w:rsidP="00511260">
      <w:pPr>
        <w:ind w:left="567" w:right="616"/>
        <w:contextualSpacing/>
        <w:rPr>
          <w:rFonts w:cs="Arial"/>
          <w:bCs/>
          <w:i/>
          <w:sz w:val="22"/>
        </w:rPr>
      </w:pPr>
      <w:r w:rsidRPr="00B56D5F">
        <w:rPr>
          <w:rFonts w:cs="Arial"/>
          <w:b/>
          <w:i/>
          <w:sz w:val="22"/>
        </w:rPr>
        <w:t xml:space="preserve">IV. </w:t>
      </w:r>
      <w:r w:rsidRPr="00B56D5F">
        <w:rPr>
          <w:rFonts w:cs="Arial"/>
          <w:bCs/>
          <w:i/>
          <w:sz w:val="22"/>
        </w:rPr>
        <w:t>Los ayuntamientos y las dependencias, organismos, órganos y entidades de la administración municipal;</w:t>
      </w:r>
    </w:p>
    <w:p w14:paraId="62F6DA7F" w14:textId="77777777" w:rsidR="00B40A7A" w:rsidRPr="00B56D5F" w:rsidRDefault="00B40A7A" w:rsidP="00511260">
      <w:pPr>
        <w:rPr>
          <w:rFonts w:eastAsiaTheme="minorHAnsi" w:cs="Arial"/>
          <w:lang w:val="es-MX" w:eastAsia="en-US"/>
        </w:rPr>
      </w:pPr>
    </w:p>
    <w:p w14:paraId="5D8B4287" w14:textId="77777777" w:rsidR="00511260" w:rsidRPr="00B56D5F" w:rsidRDefault="00511260" w:rsidP="00511260">
      <w:pPr>
        <w:rPr>
          <w:rFonts w:eastAsiaTheme="minorHAnsi" w:cs="Arial"/>
          <w:lang w:val="es-MX" w:eastAsia="en-US"/>
        </w:rPr>
      </w:pPr>
      <w:r w:rsidRPr="00B56D5F">
        <w:rPr>
          <w:rFonts w:eastAsiaTheme="minorHAnsi" w:cs="Arial"/>
          <w:lang w:val="es-MX" w:eastAsia="en-US"/>
        </w:rPr>
        <w:t xml:space="preserve">Expuesto lo anterior, se procede al análisis de la totalidad de las constancias que integran el expediente electrónico del </w:t>
      </w:r>
      <w:r w:rsidRPr="00B56D5F">
        <w:rPr>
          <w:rFonts w:eastAsiaTheme="minorHAnsi" w:cs="Arial"/>
          <w:b/>
          <w:lang w:val="es-MX" w:eastAsia="en-US"/>
        </w:rPr>
        <w:t>SAIMEX</w:t>
      </w:r>
      <w:r w:rsidRPr="00B56D5F">
        <w:rPr>
          <w:rFonts w:eastAsiaTheme="minorHAnsi" w:cs="Arial"/>
          <w:lang w:val="es-MX" w:eastAsia="en-US"/>
        </w:rPr>
        <w:t xml:space="preserve">, a efecto de determinar si con la información remitida por </w:t>
      </w:r>
      <w:r w:rsidRPr="00B56D5F">
        <w:rPr>
          <w:rFonts w:eastAsiaTheme="minorHAnsi" w:cs="Arial"/>
          <w:b/>
          <w:lang w:val="es-MX" w:eastAsia="en-US"/>
        </w:rPr>
        <w:t>El Sujeto Obligado</w:t>
      </w:r>
      <w:r w:rsidRPr="00B56D5F">
        <w:rPr>
          <w:rFonts w:eastAsiaTheme="minorHAnsi" w:cs="Arial"/>
          <w:lang w:val="es-MX" w:eastAsia="en-US"/>
        </w:rPr>
        <w:t xml:space="preserve"> a través de su respuesta se colma lo requerido en dicha solicitud.</w:t>
      </w:r>
    </w:p>
    <w:p w14:paraId="42842C7B" w14:textId="77777777" w:rsidR="00511260" w:rsidRPr="00B56D5F" w:rsidRDefault="00511260" w:rsidP="00511260">
      <w:pPr>
        <w:rPr>
          <w:rFonts w:eastAsia="Palatino Linotype" w:cs="Palatino Linotype"/>
          <w:color w:val="000000"/>
          <w:szCs w:val="24"/>
        </w:rPr>
      </w:pPr>
    </w:p>
    <w:p w14:paraId="213E5096" w14:textId="19EC4A18" w:rsidR="00F34B81" w:rsidRPr="00B56D5F" w:rsidRDefault="00511260" w:rsidP="00F34B81">
      <w:pPr>
        <w:rPr>
          <w:szCs w:val="24"/>
        </w:rPr>
      </w:pPr>
      <w:r w:rsidRPr="00B56D5F">
        <w:t xml:space="preserve">De lo anterior, resulta pertinente </w:t>
      </w:r>
      <w:r w:rsidR="004643B1" w:rsidRPr="00B56D5F">
        <w:t xml:space="preserve">traer a colación </w:t>
      </w:r>
      <w:r w:rsidR="00F34B81" w:rsidRPr="00B56D5F">
        <w:t>los artículos 10 y 34 d</w:t>
      </w:r>
      <w:r w:rsidR="004643B1" w:rsidRPr="00B56D5F">
        <w:t xml:space="preserve">el Reglamento Interno del Instituto Electoral del Estado de México </w:t>
      </w:r>
      <w:r w:rsidR="00F34B81" w:rsidRPr="00B56D5F">
        <w:t xml:space="preserve">pues resulta de interés analizar la Dirección de Administración toda vez que es la unidad administrativa encargada de </w:t>
      </w:r>
      <w:r w:rsidR="00F34B81" w:rsidRPr="00B56D5F">
        <w:rPr>
          <w:szCs w:val="24"/>
        </w:rPr>
        <w:t>organizar y dirigir la administración de los recursos humanos, materiales y financieros, así como la prestación de servicios generales del IEEM la cual tendrá su estructura dividida en la Subdirección de Recursos Humanos y Servicios Generales; Subdirección de Recursos Financieros; y  la Subdirección de Recursos Materiales conforme lo siguiente;</w:t>
      </w:r>
    </w:p>
    <w:p w14:paraId="390731BE" w14:textId="77777777" w:rsidR="004643B1" w:rsidRPr="00B56D5F" w:rsidRDefault="004643B1" w:rsidP="004643B1">
      <w:pPr>
        <w:rPr>
          <w:szCs w:val="24"/>
        </w:rPr>
      </w:pPr>
    </w:p>
    <w:p w14:paraId="640C07F5" w14:textId="6FEAC9AE" w:rsidR="004643B1" w:rsidRPr="00B56D5F" w:rsidRDefault="004643B1" w:rsidP="004643B1">
      <w:pPr>
        <w:ind w:left="708"/>
        <w:rPr>
          <w:i/>
          <w:sz w:val="22"/>
        </w:rPr>
      </w:pPr>
      <w:r w:rsidRPr="00B56D5F">
        <w:rPr>
          <w:i/>
          <w:sz w:val="22"/>
        </w:rPr>
        <w:t>Artículo 10. De conformidad con lo previsto en el párrafo segundo del artículo 192 del CEEM y otras disposiciones aplicables, la adscripción de las áreas del IEEM será la siguiente:</w:t>
      </w:r>
    </w:p>
    <w:p w14:paraId="1D481352" w14:textId="47924418" w:rsidR="004643B1" w:rsidRPr="00B56D5F" w:rsidRDefault="004643B1" w:rsidP="004643B1">
      <w:pPr>
        <w:ind w:left="708"/>
        <w:rPr>
          <w:i/>
          <w:sz w:val="22"/>
        </w:rPr>
      </w:pPr>
      <w:r w:rsidRPr="00B56D5F">
        <w:rPr>
          <w:i/>
          <w:sz w:val="22"/>
        </w:rPr>
        <w:t>II. A la Secretaría Ejecutiva:</w:t>
      </w:r>
    </w:p>
    <w:p w14:paraId="514B2176" w14:textId="1799C57E" w:rsidR="004643B1" w:rsidRPr="00B56D5F" w:rsidRDefault="004643B1" w:rsidP="004643B1">
      <w:pPr>
        <w:pStyle w:val="Prrafodelista"/>
        <w:numPr>
          <w:ilvl w:val="0"/>
          <w:numId w:val="8"/>
        </w:numPr>
        <w:rPr>
          <w:b/>
          <w:i/>
          <w:sz w:val="22"/>
        </w:rPr>
      </w:pPr>
      <w:r w:rsidRPr="00B56D5F">
        <w:rPr>
          <w:b/>
          <w:i/>
          <w:sz w:val="22"/>
        </w:rPr>
        <w:t>La Dirección de Administración;</w:t>
      </w:r>
    </w:p>
    <w:p w14:paraId="79038888" w14:textId="77777777" w:rsidR="004643B1" w:rsidRPr="00B56D5F" w:rsidRDefault="004643B1" w:rsidP="004643B1">
      <w:pPr>
        <w:pStyle w:val="Prrafodelista"/>
        <w:ind w:left="1068"/>
        <w:rPr>
          <w:i/>
          <w:sz w:val="22"/>
        </w:rPr>
      </w:pPr>
    </w:p>
    <w:p w14:paraId="3C9A3C36" w14:textId="051FACD8" w:rsidR="004643B1" w:rsidRPr="00B56D5F" w:rsidRDefault="004643B1" w:rsidP="004643B1">
      <w:pPr>
        <w:ind w:left="708"/>
        <w:rPr>
          <w:i/>
          <w:sz w:val="22"/>
        </w:rPr>
      </w:pPr>
      <w:r w:rsidRPr="00B56D5F">
        <w:rPr>
          <w:b/>
          <w:i/>
          <w:sz w:val="22"/>
        </w:rPr>
        <w:t>Artículo 34.</w:t>
      </w:r>
      <w:r w:rsidRPr="00B56D5F">
        <w:rPr>
          <w:i/>
          <w:sz w:val="22"/>
        </w:rPr>
        <w:t xml:space="preserve"> La Dirección de Administración es el órgano del IEEM encargado de organizar y dirigir la administración de los recursos humanos, materiales y financieros, así como la prestación de servicios generales del IEEM; optimizando el uso de los mismos, con el fin de proporcionar </w:t>
      </w:r>
      <w:r w:rsidRPr="00B56D5F">
        <w:rPr>
          <w:i/>
          <w:sz w:val="22"/>
        </w:rPr>
        <w:lastRenderedPageBreak/>
        <w:t>oportunamente el apoyo necesario a las diferentes áreas, para el cumplimiento de sus funciones, atendiendo en todo momento las necesidades administrativas de los órganos que lo conforman.</w:t>
      </w:r>
    </w:p>
    <w:p w14:paraId="7A786F04" w14:textId="77777777" w:rsidR="004643B1" w:rsidRPr="00B56D5F" w:rsidRDefault="004643B1" w:rsidP="004643B1">
      <w:pPr>
        <w:ind w:left="708"/>
        <w:rPr>
          <w:i/>
          <w:sz w:val="22"/>
        </w:rPr>
      </w:pPr>
    </w:p>
    <w:p w14:paraId="7947F38C" w14:textId="77777777" w:rsidR="004643B1" w:rsidRPr="00B56D5F" w:rsidRDefault="004643B1" w:rsidP="004643B1">
      <w:pPr>
        <w:ind w:left="708"/>
        <w:rPr>
          <w:i/>
          <w:sz w:val="22"/>
        </w:rPr>
      </w:pPr>
      <w:r w:rsidRPr="00B56D5F">
        <w:rPr>
          <w:i/>
          <w:sz w:val="22"/>
        </w:rPr>
        <w:t xml:space="preserve">Esta Dirección ejercerá sus atribuciones en términos de lo dispuesto por el artículo 203 del CEEM y demás disposiciones legales aplicables, para tal efecto contará con la siguiente estructura: </w:t>
      </w:r>
    </w:p>
    <w:p w14:paraId="23AE52AB" w14:textId="77777777" w:rsidR="004643B1" w:rsidRPr="00B56D5F" w:rsidRDefault="004643B1" w:rsidP="004643B1">
      <w:pPr>
        <w:ind w:left="708"/>
        <w:rPr>
          <w:i/>
          <w:sz w:val="22"/>
        </w:rPr>
      </w:pPr>
      <w:r w:rsidRPr="00B56D5F">
        <w:rPr>
          <w:i/>
          <w:sz w:val="22"/>
        </w:rPr>
        <w:t>I. Titular de la Dirección de Administración.</w:t>
      </w:r>
    </w:p>
    <w:p w14:paraId="079A9F94" w14:textId="77777777" w:rsidR="004643B1" w:rsidRPr="00B56D5F" w:rsidRDefault="004643B1" w:rsidP="004643B1">
      <w:pPr>
        <w:ind w:left="1416" w:firstLine="60"/>
        <w:rPr>
          <w:i/>
          <w:sz w:val="22"/>
        </w:rPr>
      </w:pPr>
      <w:r w:rsidRPr="00B56D5F">
        <w:rPr>
          <w:i/>
          <w:sz w:val="22"/>
        </w:rPr>
        <w:t xml:space="preserve">A. Subdirección de Recursos Humanos y Servicios Generales; </w:t>
      </w:r>
    </w:p>
    <w:p w14:paraId="66420110" w14:textId="77777777" w:rsidR="004643B1" w:rsidRPr="00B56D5F" w:rsidRDefault="004643B1" w:rsidP="004643B1">
      <w:pPr>
        <w:ind w:left="1416" w:firstLine="60"/>
        <w:rPr>
          <w:i/>
          <w:sz w:val="22"/>
        </w:rPr>
      </w:pPr>
      <w:r w:rsidRPr="00B56D5F">
        <w:rPr>
          <w:i/>
          <w:sz w:val="22"/>
        </w:rPr>
        <w:t xml:space="preserve">B. Subdirección de Recursos Financieros; y </w:t>
      </w:r>
    </w:p>
    <w:p w14:paraId="67C50504" w14:textId="60BDE1CD" w:rsidR="004643B1" w:rsidRPr="00B56D5F" w:rsidRDefault="004643B1" w:rsidP="004643B1">
      <w:pPr>
        <w:ind w:left="1416" w:firstLine="60"/>
        <w:rPr>
          <w:i/>
          <w:sz w:val="22"/>
        </w:rPr>
      </w:pPr>
      <w:r w:rsidRPr="00B56D5F">
        <w:rPr>
          <w:i/>
          <w:sz w:val="22"/>
        </w:rPr>
        <w:t>C. Subdirección de Recursos Mater</w:t>
      </w:r>
      <w:r w:rsidR="00F34B81" w:rsidRPr="00B56D5F">
        <w:rPr>
          <w:i/>
          <w:sz w:val="22"/>
        </w:rPr>
        <w:t>iales</w:t>
      </w:r>
    </w:p>
    <w:p w14:paraId="0404C747" w14:textId="77777777" w:rsidR="004643B1" w:rsidRPr="00B56D5F" w:rsidRDefault="004643B1" w:rsidP="004643B1">
      <w:pPr>
        <w:rPr>
          <w:b/>
          <w:i/>
        </w:rPr>
      </w:pPr>
    </w:p>
    <w:p w14:paraId="5FDE6F95" w14:textId="5737C5C2" w:rsidR="00F34B81" w:rsidRPr="00B56D5F" w:rsidRDefault="00F34B81" w:rsidP="00F34B81">
      <w:r w:rsidRPr="00B56D5F">
        <w:t>De lo anterior conforme el Manual de Organización del Sujeto Obligado en su numeral  15 como se precisó con anterioridad la Dirección de Administración está encargada del manejo y operación de los recursos financieros del Instituto Electoral del Estado de México, del cual resulta de interés analizar la Subdirección de Recursos Financieros  siendo esta unidad administrativa la encargada de planear, programar, organizar, dirigir, coordinar, y controlar la administración de los recursos financieros del Instituto</w:t>
      </w:r>
      <w:r w:rsidRPr="00B56D5F">
        <w:rPr>
          <w:i/>
        </w:rPr>
        <w:t xml:space="preserve"> </w:t>
      </w:r>
      <w:r w:rsidRPr="00B56D5F">
        <w:t xml:space="preserve"> teniendo entre sus funciones controlar la entrega de dotaciones de combustible, </w:t>
      </w:r>
      <w:r w:rsidR="00796422" w:rsidRPr="00B56D5F">
        <w:t xml:space="preserve"> así como el Departamento de Contabilidad </w:t>
      </w:r>
      <w:r w:rsidRPr="00B56D5F">
        <w:t xml:space="preserve">conforme lo siguiente; </w:t>
      </w:r>
    </w:p>
    <w:p w14:paraId="6067BEDD" w14:textId="77777777" w:rsidR="00CF7459" w:rsidRPr="00B56D5F" w:rsidRDefault="00CF7459" w:rsidP="00F34B81"/>
    <w:p w14:paraId="52A8D912" w14:textId="77777777" w:rsidR="004643B1" w:rsidRPr="00B56D5F" w:rsidRDefault="004643B1" w:rsidP="004643B1">
      <w:pPr>
        <w:ind w:left="705"/>
        <w:rPr>
          <w:b/>
          <w:i/>
          <w:sz w:val="22"/>
        </w:rPr>
      </w:pPr>
      <w:r w:rsidRPr="00B56D5F">
        <w:rPr>
          <w:b/>
          <w:i/>
          <w:sz w:val="22"/>
        </w:rPr>
        <w:t xml:space="preserve">15.- Dirección de Administración </w:t>
      </w:r>
    </w:p>
    <w:p w14:paraId="290EFF5A" w14:textId="3DBE0C65" w:rsidR="004643B1" w:rsidRPr="00B56D5F" w:rsidRDefault="00F34B81" w:rsidP="00F34B81">
      <w:pPr>
        <w:ind w:left="705"/>
        <w:rPr>
          <w:i/>
          <w:sz w:val="22"/>
        </w:rPr>
      </w:pPr>
      <w:r w:rsidRPr="00B56D5F">
        <w:rPr>
          <w:i/>
          <w:sz w:val="22"/>
        </w:rPr>
        <w:t xml:space="preserve">Objetivo; </w:t>
      </w:r>
      <w:r w:rsidR="004643B1" w:rsidRPr="00B56D5F">
        <w:rPr>
          <w:i/>
          <w:sz w:val="22"/>
        </w:rPr>
        <w:t>Organizar y dirigir la administración de los recursos humanos, financieros, materiales, así como la prestación de los servicios generales en el Instituto, optimizando el uso de los mismos y atendiendo las necesidades administrativas de los órganos que lo conforman.</w:t>
      </w:r>
    </w:p>
    <w:p w14:paraId="50BAE14A" w14:textId="77777777" w:rsidR="00F34B81" w:rsidRPr="00B56D5F" w:rsidRDefault="00F34B81" w:rsidP="00F34B81">
      <w:pPr>
        <w:ind w:left="708" w:firstLine="708"/>
        <w:rPr>
          <w:i/>
          <w:sz w:val="22"/>
        </w:rPr>
      </w:pPr>
    </w:p>
    <w:p w14:paraId="02DF7C1B" w14:textId="0FC9EDF7" w:rsidR="004643B1" w:rsidRPr="00B56D5F" w:rsidRDefault="00F34B81" w:rsidP="00F34B81">
      <w:pPr>
        <w:ind w:left="708" w:firstLine="708"/>
        <w:rPr>
          <w:i/>
          <w:sz w:val="22"/>
        </w:rPr>
      </w:pPr>
      <w:r w:rsidRPr="00B56D5F">
        <w:rPr>
          <w:i/>
          <w:sz w:val="22"/>
        </w:rPr>
        <w:t>Funciones:</w:t>
      </w:r>
    </w:p>
    <w:p w14:paraId="3F66E4DB" w14:textId="3C713BF3" w:rsidR="004643B1" w:rsidRPr="00B56D5F" w:rsidRDefault="00F34B81" w:rsidP="004643B1">
      <w:pPr>
        <w:ind w:left="1410"/>
        <w:rPr>
          <w:b/>
          <w:i/>
          <w:sz w:val="22"/>
        </w:rPr>
      </w:pPr>
      <w:r w:rsidRPr="00B56D5F">
        <w:rPr>
          <w:i/>
          <w:sz w:val="22"/>
        </w:rPr>
        <w:lastRenderedPageBreak/>
        <w:t>-</w:t>
      </w:r>
      <w:r w:rsidR="004643B1" w:rsidRPr="00B56D5F">
        <w:rPr>
          <w:i/>
          <w:sz w:val="22"/>
        </w:rPr>
        <w:t>Supervisar el manejo y operación de los recursos financieros, materiales y servicios generales del Instituto;</w:t>
      </w:r>
    </w:p>
    <w:p w14:paraId="1155CBCF" w14:textId="77777777" w:rsidR="004643B1" w:rsidRPr="00B56D5F" w:rsidRDefault="004643B1" w:rsidP="00F34B81">
      <w:pPr>
        <w:rPr>
          <w:b/>
          <w:i/>
          <w:sz w:val="22"/>
        </w:rPr>
      </w:pPr>
    </w:p>
    <w:p w14:paraId="3FF25B27" w14:textId="77777777" w:rsidR="004643B1" w:rsidRPr="00B56D5F" w:rsidRDefault="004643B1" w:rsidP="004643B1">
      <w:pPr>
        <w:ind w:left="708"/>
        <w:rPr>
          <w:b/>
          <w:i/>
          <w:sz w:val="22"/>
        </w:rPr>
      </w:pPr>
      <w:r w:rsidRPr="00B56D5F">
        <w:rPr>
          <w:b/>
          <w:i/>
          <w:sz w:val="22"/>
        </w:rPr>
        <w:t xml:space="preserve">15.2.- Subdirección de Recursos Financieros </w:t>
      </w:r>
    </w:p>
    <w:p w14:paraId="751B4AFD" w14:textId="2F7B1443" w:rsidR="004643B1" w:rsidRPr="00B56D5F" w:rsidRDefault="004643B1" w:rsidP="004643B1">
      <w:pPr>
        <w:ind w:left="708"/>
        <w:rPr>
          <w:i/>
          <w:sz w:val="22"/>
        </w:rPr>
      </w:pPr>
      <w:r w:rsidRPr="00B56D5F">
        <w:rPr>
          <w:i/>
          <w:sz w:val="22"/>
        </w:rPr>
        <w:t>Objetivo; Planear, programar, organizar, dirigir, coordinar, y controlar la administración de los recursos financieros del Instituto.</w:t>
      </w:r>
    </w:p>
    <w:p w14:paraId="1FC512E7" w14:textId="77777777" w:rsidR="004643B1" w:rsidRPr="00B56D5F" w:rsidRDefault="004643B1" w:rsidP="004643B1">
      <w:pPr>
        <w:ind w:left="708"/>
        <w:rPr>
          <w:i/>
          <w:sz w:val="22"/>
        </w:rPr>
      </w:pPr>
    </w:p>
    <w:p w14:paraId="6672E31C" w14:textId="226BBEB4" w:rsidR="004643B1" w:rsidRPr="00B56D5F" w:rsidRDefault="004643B1" w:rsidP="00F34B81">
      <w:pPr>
        <w:ind w:left="708" w:firstLine="708"/>
        <w:rPr>
          <w:i/>
          <w:sz w:val="22"/>
        </w:rPr>
      </w:pPr>
      <w:r w:rsidRPr="00B56D5F">
        <w:rPr>
          <w:i/>
          <w:sz w:val="22"/>
        </w:rPr>
        <w:t>Funciones:</w:t>
      </w:r>
    </w:p>
    <w:p w14:paraId="1A7FCC58" w14:textId="1C6E0579" w:rsidR="004643B1" w:rsidRPr="00B56D5F" w:rsidRDefault="004643B1" w:rsidP="00F34B81">
      <w:pPr>
        <w:ind w:left="708" w:firstLine="708"/>
        <w:rPr>
          <w:b/>
          <w:i/>
          <w:sz w:val="22"/>
        </w:rPr>
      </w:pPr>
      <w:r w:rsidRPr="00B56D5F">
        <w:rPr>
          <w:b/>
          <w:i/>
          <w:sz w:val="22"/>
        </w:rPr>
        <w:sym w:font="Symbol" w:char="F02D"/>
      </w:r>
      <w:r w:rsidRPr="00B56D5F">
        <w:rPr>
          <w:b/>
          <w:i/>
          <w:sz w:val="22"/>
        </w:rPr>
        <w:t xml:space="preserve"> Controlar la entrega de dotaciones de combustible</w:t>
      </w:r>
    </w:p>
    <w:p w14:paraId="15FEE43A" w14:textId="77777777" w:rsidR="00796422" w:rsidRPr="00B56D5F" w:rsidRDefault="00796422" w:rsidP="00796422">
      <w:pPr>
        <w:ind w:left="708"/>
      </w:pPr>
    </w:p>
    <w:p w14:paraId="6E863B64" w14:textId="77777777" w:rsidR="00796422" w:rsidRPr="00B56D5F" w:rsidRDefault="00796422" w:rsidP="00796422">
      <w:pPr>
        <w:ind w:left="708"/>
        <w:rPr>
          <w:b/>
          <w:i/>
          <w:sz w:val="22"/>
        </w:rPr>
      </w:pPr>
      <w:r w:rsidRPr="00B56D5F">
        <w:rPr>
          <w:b/>
          <w:i/>
          <w:sz w:val="22"/>
        </w:rPr>
        <w:t xml:space="preserve">15.2.3.- Departamento de Contabilidad </w:t>
      </w:r>
    </w:p>
    <w:p w14:paraId="3318D2DB" w14:textId="2EA15F9E" w:rsidR="004643B1" w:rsidRPr="00B56D5F" w:rsidRDefault="00796422" w:rsidP="00796422">
      <w:pPr>
        <w:ind w:left="708"/>
        <w:rPr>
          <w:i/>
          <w:sz w:val="22"/>
        </w:rPr>
      </w:pPr>
      <w:r w:rsidRPr="00B56D5F">
        <w:rPr>
          <w:b/>
          <w:i/>
          <w:sz w:val="22"/>
        </w:rPr>
        <w:t>Objetiv</w:t>
      </w:r>
      <w:r w:rsidRPr="00B56D5F">
        <w:rPr>
          <w:i/>
          <w:sz w:val="22"/>
        </w:rPr>
        <w:t>o Desarrollar y aplicar los procedimientos para el registro contable de las operaciones del Instituto, elaborar los Estados Financieros y cumplir con las obligaciones que imponen las disposiciones jurídicas, fiscales y normativas aplicables.</w:t>
      </w:r>
    </w:p>
    <w:p w14:paraId="5B5DE2CD" w14:textId="5335470A" w:rsidR="00796422" w:rsidRPr="00B56D5F" w:rsidRDefault="00796422" w:rsidP="00796422">
      <w:pPr>
        <w:ind w:left="708" w:firstLine="708"/>
        <w:rPr>
          <w:i/>
          <w:sz w:val="22"/>
        </w:rPr>
      </w:pPr>
      <w:r w:rsidRPr="00B56D5F">
        <w:rPr>
          <w:i/>
          <w:sz w:val="22"/>
        </w:rPr>
        <w:t>Funciones:</w:t>
      </w:r>
    </w:p>
    <w:p w14:paraId="7FDE06A3" w14:textId="2BF25ACE" w:rsidR="00796422" w:rsidRPr="00B56D5F" w:rsidRDefault="00796422" w:rsidP="00796422">
      <w:pPr>
        <w:ind w:left="708" w:firstLine="708"/>
        <w:rPr>
          <w:b/>
          <w:i/>
          <w:sz w:val="22"/>
        </w:rPr>
      </w:pPr>
      <w:r w:rsidRPr="00B56D5F">
        <w:rPr>
          <w:i/>
          <w:sz w:val="22"/>
        </w:rPr>
        <w:sym w:font="Symbol" w:char="F02D"/>
      </w:r>
      <w:r w:rsidRPr="00B56D5F">
        <w:rPr>
          <w:i/>
          <w:sz w:val="22"/>
        </w:rPr>
        <w:t xml:space="preserve"> </w:t>
      </w:r>
      <w:r w:rsidRPr="00B56D5F">
        <w:rPr>
          <w:b/>
          <w:i/>
          <w:sz w:val="22"/>
        </w:rPr>
        <w:t>Asignar y controlar los recursos para combustibles</w:t>
      </w:r>
      <w:r w:rsidRPr="00B56D5F">
        <w:rPr>
          <w:i/>
          <w:sz w:val="22"/>
        </w:rPr>
        <w:t xml:space="preserve"> y lubricantes;</w:t>
      </w:r>
    </w:p>
    <w:p w14:paraId="71308D74" w14:textId="77777777" w:rsidR="00511260" w:rsidRPr="00B56D5F" w:rsidRDefault="00511260" w:rsidP="00511260">
      <w:pPr>
        <w:contextualSpacing/>
      </w:pPr>
    </w:p>
    <w:p w14:paraId="6EAF7EDE" w14:textId="58D5A878" w:rsidR="00511260" w:rsidRPr="00B56D5F" w:rsidRDefault="00511260" w:rsidP="00511260">
      <w:pPr>
        <w:contextualSpacing/>
        <w:rPr>
          <w:rFonts w:eastAsia="MS Mincho" w:cs="Arial"/>
        </w:rPr>
      </w:pPr>
      <w:r w:rsidRPr="00B56D5F">
        <w:rPr>
          <w:rFonts w:eastAsia="MS Mincho" w:cs="Arial"/>
        </w:rPr>
        <w:t xml:space="preserve">Es necesario precisar que </w:t>
      </w:r>
      <w:r w:rsidR="00796422" w:rsidRPr="00B56D5F">
        <w:rPr>
          <w:rFonts w:eastAsia="MS Mincho" w:cs="Arial"/>
        </w:rPr>
        <w:t>el Recurrente se inconformo en ambos recursos respecto a que no se incluyeron los documentos probatorios del uso del combustible</w:t>
      </w:r>
      <w:r w:rsidRPr="00B56D5F">
        <w:rPr>
          <w:rFonts w:eastAsia="MS Mincho" w:cs="Arial"/>
        </w:rPr>
        <w:t xml:space="preserve">, </w:t>
      </w:r>
      <w:r w:rsidR="00796422" w:rsidRPr="00B56D5F">
        <w:rPr>
          <w:rFonts w:eastAsia="MS Mincho" w:cs="Arial"/>
        </w:rPr>
        <w:t xml:space="preserve">por lo que </w:t>
      </w:r>
      <w:r w:rsidRPr="00B56D5F">
        <w:rPr>
          <w:rFonts w:eastAsia="MS Mincho" w:cs="Arial"/>
        </w:rPr>
        <w:t xml:space="preserve">se tiene por </w:t>
      </w:r>
      <w:r w:rsidRPr="00B56D5F">
        <w:rPr>
          <w:color w:val="000000" w:themeColor="text1"/>
        </w:rPr>
        <w:t>consentida</w:t>
      </w:r>
      <w:r w:rsidR="00796422" w:rsidRPr="00B56D5F">
        <w:rPr>
          <w:color w:val="000000" w:themeColor="text1"/>
        </w:rPr>
        <w:t xml:space="preserve"> las solicitudes de dotación de combustible entregadas en respuesta</w:t>
      </w:r>
      <w:r w:rsidRPr="00B56D5F">
        <w:rPr>
          <w:rFonts w:eastAsia="MS Mincho" w:cs="Arial"/>
        </w:rPr>
        <w:t>, ya</w:t>
      </w:r>
      <w:r w:rsidRPr="00B56D5F">
        <w:rPr>
          <w:rFonts w:cs="Arial"/>
          <w:b/>
          <w:bCs/>
        </w:rPr>
        <w:t xml:space="preserve"> </w:t>
      </w:r>
      <w:r w:rsidRPr="00B56D5F">
        <w:rPr>
          <w:rFonts w:cs="Arial"/>
        </w:rPr>
        <w:t xml:space="preserve">que la falta de impugnación respecto de los requerimientos que no fueron manifestados en el recurso de revisión, debe entenderse como </w:t>
      </w:r>
      <w:r w:rsidRPr="00B56D5F">
        <w:rPr>
          <w:rFonts w:cs="Arial"/>
          <w:b/>
          <w:bCs/>
        </w:rPr>
        <w:t>actos consentidos</w:t>
      </w:r>
      <w:r w:rsidRPr="00B56D5F">
        <w:rPr>
          <w:rFonts w:cs="Arial"/>
        </w:rPr>
        <w:t>.</w:t>
      </w:r>
    </w:p>
    <w:p w14:paraId="5DA301DC" w14:textId="77777777" w:rsidR="00511260" w:rsidRPr="00B56D5F" w:rsidRDefault="00511260" w:rsidP="00511260">
      <w:pPr>
        <w:pStyle w:val="Prrafodelista"/>
        <w:ind w:left="0"/>
        <w:rPr>
          <w:rFonts w:eastAsia="MS Mincho" w:cs="Arial"/>
        </w:rPr>
      </w:pPr>
    </w:p>
    <w:p w14:paraId="63824107" w14:textId="5BDAD5AC" w:rsidR="00511260" w:rsidRPr="00B56D5F" w:rsidRDefault="00511260" w:rsidP="00796422">
      <w:pPr>
        <w:ind w:left="142"/>
        <w:contextualSpacing/>
        <w:rPr>
          <w:rFonts w:eastAsiaTheme="minorEastAsia" w:cs="Arial"/>
        </w:rPr>
      </w:pPr>
      <w:r w:rsidRPr="00B56D5F">
        <w:rPr>
          <w:rFonts w:eastAsia="MS Mincho" w:cs="Arial"/>
        </w:rPr>
        <w:t>Esto</w:t>
      </w:r>
      <w:r w:rsidRPr="00B56D5F">
        <w:rPr>
          <w:rFonts w:cs="Arial"/>
        </w:rPr>
        <w:t xml:space="preserve"> es así, debido a que cuando el recurrente impugna la respuesta del sujeto obligado y éste no </w:t>
      </w:r>
      <w:r w:rsidRPr="00B56D5F">
        <w:rPr>
          <w:rFonts w:eastAsia="MS Mincho" w:cstheme="majorBidi"/>
        </w:rPr>
        <w:t>expresa</w:t>
      </w:r>
      <w:r w:rsidRPr="00B56D5F">
        <w:rPr>
          <w:rFonts w:cs="Arial"/>
        </w:rPr>
        <w:t xml:space="preserve"> razón o motivo de inconformidad en contra de todos los rubros </w:t>
      </w:r>
      <w:r w:rsidRPr="00B56D5F">
        <w:rPr>
          <w:rFonts w:cs="Arial"/>
        </w:rPr>
        <w:lastRenderedPageBreak/>
        <w:t>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1705936B" w14:textId="77777777" w:rsidR="00511260" w:rsidRPr="00B56D5F" w:rsidRDefault="00511260" w:rsidP="00511260">
      <w:pPr>
        <w:pStyle w:val="Prrafodelista"/>
        <w:ind w:left="426" w:right="425"/>
        <w:rPr>
          <w:rFonts w:cs="Arial"/>
          <w:i/>
          <w:sz w:val="22"/>
        </w:rPr>
      </w:pPr>
      <w:r w:rsidRPr="00B56D5F">
        <w:rPr>
          <w:rFonts w:cs="Arial"/>
          <w:b/>
          <w:bCs/>
          <w:i/>
          <w:iCs/>
          <w:sz w:val="22"/>
        </w:rPr>
        <w:t>“REVISIÓN EN AMPARO. LOS RESOLUTIVOS NO COMBATIDOS DEBEN DECLARARSE FIRMES. </w:t>
      </w:r>
      <w:r w:rsidRPr="00B56D5F">
        <w:rPr>
          <w:rFonts w:cs="Arial"/>
          <w:i/>
          <w:iCs/>
          <w:sz w:val="22"/>
          <w:u w:val="single"/>
        </w:rPr>
        <w:t>Cuando algún resolutivo de la sentencia impugnada afecta a EL RECURRENTE, y ésta no expresa agravio en contra de las consideraciones que le sirven de base, dicho resolutivo debe declararse firme.</w:t>
      </w:r>
      <w:r w:rsidRPr="00B56D5F">
        <w:rPr>
          <w:rFonts w:cs="Arial"/>
          <w:i/>
          <w:iCs/>
          <w:sz w:val="22"/>
        </w:rPr>
        <w:t> Esto es, en el caso referido, no obstante que la materia de la revisión comprende a todos los resolutivos que afectan a EL RECURRENTE, </w:t>
      </w:r>
      <w:r w:rsidRPr="00B56D5F">
        <w:rPr>
          <w:rFonts w:cs="Arial"/>
          <w:i/>
          <w:iCs/>
          <w:sz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B56D5F">
        <w:rPr>
          <w:rFonts w:cs="Arial"/>
          <w:i/>
          <w:iCs/>
          <w:sz w:val="22"/>
        </w:rPr>
        <w:t xml:space="preserve">.” </w:t>
      </w:r>
      <w:r w:rsidRPr="00B56D5F">
        <w:rPr>
          <w:rFonts w:cs="Arial"/>
          <w:sz w:val="22"/>
        </w:rPr>
        <w:t>(Énfasis añadido)</w:t>
      </w:r>
    </w:p>
    <w:p w14:paraId="4BF53C99" w14:textId="77777777" w:rsidR="00511260" w:rsidRPr="00B56D5F" w:rsidRDefault="00511260" w:rsidP="00511260">
      <w:pPr>
        <w:pStyle w:val="Prrafodelista"/>
        <w:ind w:left="426" w:right="426"/>
        <w:jc w:val="center"/>
        <w:rPr>
          <w:rFonts w:cs="Arial"/>
        </w:rPr>
      </w:pPr>
    </w:p>
    <w:p w14:paraId="3B7E67E8" w14:textId="0711FDC1" w:rsidR="00511260" w:rsidRPr="00B56D5F" w:rsidRDefault="00511260" w:rsidP="00511260">
      <w:pPr>
        <w:contextualSpacing/>
        <w:rPr>
          <w:rFonts w:cs="Arial"/>
        </w:rPr>
      </w:pPr>
      <w:r w:rsidRPr="00B56D5F">
        <w:rPr>
          <w:rFonts w:cs="Arial"/>
        </w:rPr>
        <w:t xml:space="preserve">Consecutivamente, </w:t>
      </w:r>
      <w:r w:rsidRPr="00B56D5F">
        <w:rPr>
          <w:rFonts w:cs="Arial"/>
          <w:b/>
          <w:bCs/>
        </w:rPr>
        <w:t xml:space="preserve">la parte de la respuesta que no fue impugnada debe </w:t>
      </w:r>
      <w:r w:rsidRPr="00B56D5F">
        <w:rPr>
          <w:rFonts w:eastAsia="MS Mincho" w:cs="Arial"/>
        </w:rPr>
        <w:t>declararse</w:t>
      </w:r>
      <w:r w:rsidRPr="00B56D5F">
        <w:rPr>
          <w:rFonts w:cs="Arial"/>
          <w:b/>
          <w:bCs/>
        </w:rPr>
        <w:t xml:space="preserve"> </w:t>
      </w:r>
      <w:r w:rsidRPr="00B56D5F">
        <w:rPr>
          <w:rFonts w:eastAsia="MS Mincho" w:cs="Arial"/>
        </w:rPr>
        <w:t>consentida</w:t>
      </w:r>
      <w:r w:rsidRPr="00B56D5F">
        <w:rPr>
          <w:rFonts w:cs="Arial"/>
          <w:b/>
          <w:bCs/>
        </w:rPr>
        <w:t xml:space="preserve"> por el recurrente, toda vez que no realizó </w:t>
      </w:r>
      <w:r w:rsidRPr="00B56D5F">
        <w:rPr>
          <w:rFonts w:eastAsia="MS Mincho" w:cs="Arial"/>
        </w:rPr>
        <w:t>manifestaciones</w:t>
      </w:r>
      <w:r w:rsidRPr="00B56D5F">
        <w:rPr>
          <w:rFonts w:cs="Arial"/>
          <w:b/>
          <w:bCs/>
        </w:rPr>
        <w:t xml:space="preserve"> de inconformidad</w:t>
      </w:r>
      <w:r w:rsidRPr="00B56D5F">
        <w:rPr>
          <w:rFonts w:cs="Arial"/>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5B6CC57C" w14:textId="77777777" w:rsidR="006537E2" w:rsidRPr="00B56D5F" w:rsidRDefault="006537E2" w:rsidP="00511260">
      <w:pPr>
        <w:contextualSpacing/>
        <w:rPr>
          <w:rFonts w:cs="Arial"/>
        </w:rPr>
      </w:pPr>
    </w:p>
    <w:p w14:paraId="7B6508AB" w14:textId="77777777" w:rsidR="00511260" w:rsidRPr="00B56D5F" w:rsidRDefault="00511260" w:rsidP="00511260">
      <w:pPr>
        <w:pStyle w:val="Prrafodelista"/>
        <w:ind w:left="426" w:right="425"/>
        <w:rPr>
          <w:rFonts w:cs="Arial"/>
          <w:i/>
          <w:iCs/>
          <w:sz w:val="22"/>
        </w:rPr>
      </w:pPr>
      <w:r w:rsidRPr="00B56D5F">
        <w:rPr>
          <w:rFonts w:cs="Arial"/>
          <w:b/>
          <w:bCs/>
          <w:i/>
          <w:iCs/>
          <w:sz w:val="22"/>
        </w:rPr>
        <w:t>“ACTOS CONSENTIDOS. SON LOS QUE NO SE IMPUGNAN MEDIANTE EL RECURSO IDÓNEO. </w:t>
      </w:r>
      <w:r w:rsidRPr="00B56D5F">
        <w:rPr>
          <w:rFonts w:cs="Arial"/>
          <w:i/>
          <w:iCs/>
          <w:sz w:val="22"/>
          <w:u w:val="single"/>
        </w:rPr>
        <w:t>Debe reputarse como consentido el acto que no se impugnó por el medio establecido por la ley</w:t>
      </w:r>
      <w:r w:rsidRPr="00B56D5F">
        <w:rPr>
          <w:rFonts w:cs="Arial"/>
          <w:i/>
          <w:iCs/>
          <w:sz w:val="22"/>
        </w:rPr>
        <w:t xml:space="preserve">, ya que si se hizo uso de otro no previsto por ella o si se hace una simple manifestación de inconformidad, tales actuaciones no producen efectos jurídicos tendientes a </w:t>
      </w:r>
      <w:r w:rsidRPr="00B56D5F">
        <w:rPr>
          <w:rFonts w:cs="Arial"/>
          <w:i/>
          <w:iCs/>
          <w:sz w:val="22"/>
        </w:rPr>
        <w:lastRenderedPageBreak/>
        <w:t xml:space="preserve">revocar, confirmar o modificar el acto reclamado en amparo, lo que significa consentimiento del mismo por falta de impugnación eficaz.” </w:t>
      </w:r>
      <w:r w:rsidRPr="00B56D5F">
        <w:rPr>
          <w:rFonts w:cs="Arial"/>
          <w:sz w:val="22"/>
        </w:rPr>
        <w:t>(Énfasis añadido)</w:t>
      </w:r>
    </w:p>
    <w:p w14:paraId="71D027A6" w14:textId="77777777" w:rsidR="00511260" w:rsidRPr="00B56D5F" w:rsidRDefault="00511260" w:rsidP="00511260">
      <w:pPr>
        <w:rPr>
          <w:color w:val="000000" w:themeColor="text1"/>
        </w:rPr>
      </w:pPr>
    </w:p>
    <w:p w14:paraId="7F9216D1" w14:textId="03B90896" w:rsidR="002C6981" w:rsidRPr="00B56D5F" w:rsidRDefault="00511260" w:rsidP="006757F8">
      <w:pPr>
        <w:ind w:right="49"/>
      </w:pPr>
      <w:r w:rsidRPr="00B56D5F">
        <w:t xml:space="preserve">En ese sentido conforme las razones y motivos de inconformidad del Recurrente </w:t>
      </w:r>
      <w:r w:rsidR="002C6981" w:rsidRPr="00B56D5F">
        <w:t>respecto los “</w:t>
      </w:r>
      <w:r w:rsidR="002C6981" w:rsidRPr="00B56D5F">
        <w:rPr>
          <w:i/>
          <w:color w:val="000000"/>
          <w:sz w:val="22"/>
        </w:rPr>
        <w:t xml:space="preserve">DOCUMENTOS PROBATORIOS QUE AMPAREN EL USO DEL COMBUSTIBL” </w:t>
      </w:r>
      <w:r w:rsidR="002C6981" w:rsidRPr="00B56D5F">
        <w:rPr>
          <w:color w:val="000000"/>
          <w:sz w:val="22"/>
        </w:rPr>
        <w:t>el Sujeto Obligado hizo entrega junto a las solicitudes de combustible los ti</w:t>
      </w:r>
      <w:r w:rsidR="00CF7459" w:rsidRPr="00B56D5F">
        <w:rPr>
          <w:color w:val="000000"/>
          <w:sz w:val="22"/>
        </w:rPr>
        <w:t>c</w:t>
      </w:r>
      <w:r w:rsidR="002C6981" w:rsidRPr="00B56D5F">
        <w:rPr>
          <w:color w:val="000000"/>
          <w:sz w:val="22"/>
        </w:rPr>
        <w:t xml:space="preserve">kets de compra del servicio </w:t>
      </w:r>
      <w:r w:rsidR="00CF7459" w:rsidRPr="00B56D5F">
        <w:rPr>
          <w:color w:val="000000"/>
          <w:sz w:val="22"/>
        </w:rPr>
        <w:t>de gasolina del perio</w:t>
      </w:r>
      <w:r w:rsidR="006757F8" w:rsidRPr="00B56D5F">
        <w:rPr>
          <w:color w:val="000000"/>
          <w:sz w:val="22"/>
        </w:rPr>
        <w:t>do requerido por el recurrente.</w:t>
      </w:r>
      <w:r w:rsidR="006757F8" w:rsidRPr="00B56D5F">
        <w:t xml:space="preserve"> </w:t>
      </w:r>
      <w:r w:rsidR="002C6981" w:rsidRPr="00B56D5F">
        <w:t xml:space="preserve">Ahora bien, resulta importante señalar que </w:t>
      </w:r>
      <w:r w:rsidR="0044416C" w:rsidRPr="00B56D5F">
        <w:t xml:space="preserve">el soporte documental en cita correspondería a la Factura, </w:t>
      </w:r>
      <w:r w:rsidR="002C6981" w:rsidRPr="00B56D5F">
        <w:t xml:space="preserve">este término se encuentra definido en el Glosario de Términos Hacendarios que emite el Instituto Hacendario del Estado de México, el cual expresa lo siguiente: </w:t>
      </w:r>
    </w:p>
    <w:p w14:paraId="25EEE90C" w14:textId="77777777" w:rsidR="0044416C" w:rsidRPr="00B56D5F" w:rsidRDefault="0044416C" w:rsidP="002C6981">
      <w:pPr>
        <w:pBdr>
          <w:top w:val="nil"/>
          <w:left w:val="nil"/>
          <w:bottom w:val="nil"/>
          <w:right w:val="nil"/>
          <w:between w:val="nil"/>
        </w:pBdr>
        <w:ind w:left="708"/>
        <w:contextualSpacing/>
        <w:rPr>
          <w:i/>
        </w:rPr>
      </w:pPr>
    </w:p>
    <w:p w14:paraId="22825287" w14:textId="77777777" w:rsidR="002C6981" w:rsidRPr="00B56D5F" w:rsidRDefault="002C6981" w:rsidP="002C6981">
      <w:pPr>
        <w:pBdr>
          <w:top w:val="nil"/>
          <w:left w:val="nil"/>
          <w:bottom w:val="nil"/>
          <w:right w:val="nil"/>
          <w:between w:val="nil"/>
        </w:pBdr>
        <w:ind w:left="708"/>
        <w:contextualSpacing/>
        <w:rPr>
          <w:i/>
        </w:rPr>
      </w:pPr>
      <w:r w:rsidRPr="00B56D5F">
        <w:rPr>
          <w:i/>
        </w:rPr>
        <w:t>“</w:t>
      </w:r>
      <w:r w:rsidRPr="00B56D5F">
        <w:rPr>
          <w:b/>
          <w:i/>
        </w:rPr>
        <w:t xml:space="preserve">FACTURA </w:t>
      </w:r>
    </w:p>
    <w:p w14:paraId="7CA4CF98" w14:textId="77777777" w:rsidR="002C6981" w:rsidRPr="00B56D5F" w:rsidRDefault="002C6981" w:rsidP="002C6981">
      <w:pPr>
        <w:pBdr>
          <w:top w:val="nil"/>
          <w:left w:val="nil"/>
          <w:bottom w:val="nil"/>
          <w:right w:val="nil"/>
          <w:between w:val="nil"/>
        </w:pBdr>
        <w:ind w:left="708"/>
        <w:contextualSpacing/>
        <w:rPr>
          <w:i/>
        </w:rPr>
      </w:pPr>
      <w:r w:rsidRPr="00B56D5F">
        <w:rPr>
          <w:i/>
        </w:rPr>
        <w:t xml:space="preserve">Es el documento fiscal que emite la persona física o moral para </w:t>
      </w:r>
      <w:r w:rsidRPr="00B56D5F">
        <w:rPr>
          <w:b/>
          <w:i/>
        </w:rPr>
        <w:t>comprobar la venta o adquisición de un bien y/o servicio</w:t>
      </w:r>
      <w:r w:rsidRPr="00B56D5F">
        <w:rPr>
          <w:i/>
        </w:rPr>
        <w:t>.” (Sic) (Énfasis añadido)</w:t>
      </w:r>
    </w:p>
    <w:p w14:paraId="59BCF028" w14:textId="77777777" w:rsidR="002C6981" w:rsidRPr="00B56D5F" w:rsidRDefault="002C6981" w:rsidP="002C6981">
      <w:pPr>
        <w:pBdr>
          <w:top w:val="nil"/>
          <w:left w:val="nil"/>
          <w:bottom w:val="nil"/>
          <w:right w:val="nil"/>
          <w:between w:val="nil"/>
        </w:pBdr>
        <w:contextualSpacing/>
      </w:pPr>
    </w:p>
    <w:p w14:paraId="405604C6" w14:textId="77777777" w:rsidR="002C6981" w:rsidRPr="00B56D5F" w:rsidRDefault="002C6981" w:rsidP="002C6981">
      <w:pPr>
        <w:pBdr>
          <w:top w:val="nil"/>
          <w:left w:val="nil"/>
          <w:bottom w:val="nil"/>
          <w:right w:val="nil"/>
          <w:between w:val="nil"/>
        </w:pBdr>
        <w:contextualSpacing/>
        <w:rPr>
          <w:i/>
        </w:rPr>
      </w:pPr>
      <w:r w:rsidRPr="00B56D5F">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w:t>
      </w:r>
    </w:p>
    <w:p w14:paraId="3F01FC64" w14:textId="77777777" w:rsidR="002C6981" w:rsidRPr="00B56D5F" w:rsidRDefault="002C6981" w:rsidP="002C6981">
      <w:pPr>
        <w:pBdr>
          <w:top w:val="nil"/>
          <w:left w:val="nil"/>
          <w:bottom w:val="nil"/>
          <w:right w:val="nil"/>
          <w:between w:val="nil"/>
        </w:pBdr>
        <w:contextualSpacing/>
        <w:rPr>
          <w:i/>
        </w:rPr>
      </w:pPr>
    </w:p>
    <w:p w14:paraId="4A3C67B6" w14:textId="77777777" w:rsidR="002C6981" w:rsidRPr="00B56D5F" w:rsidRDefault="002C6981" w:rsidP="002C6981">
      <w:pPr>
        <w:pBdr>
          <w:top w:val="nil"/>
          <w:left w:val="nil"/>
          <w:bottom w:val="nil"/>
          <w:right w:val="nil"/>
          <w:between w:val="nil"/>
        </w:pBdr>
        <w:contextualSpacing/>
      </w:pPr>
      <w:r w:rsidRPr="00B56D5F">
        <w:lastRenderedPageBreak/>
        <w:t xml:space="preserve">Aunado a lo anterior, los artículos 342, 343, 344 y 345 del Código Financiero del Estado de México y Municipios disponen el sistema y las políticas que deben seguirse para llevar el registro contable y presupuestal de las operaciones financieras, en los siguientes términos: </w:t>
      </w:r>
    </w:p>
    <w:p w14:paraId="0A6393BA" w14:textId="77777777" w:rsidR="002C6981" w:rsidRPr="00B56D5F" w:rsidRDefault="002C6981" w:rsidP="002C6981">
      <w:pPr>
        <w:pBdr>
          <w:top w:val="nil"/>
          <w:left w:val="nil"/>
          <w:bottom w:val="nil"/>
          <w:right w:val="nil"/>
          <w:between w:val="nil"/>
        </w:pBdr>
        <w:ind w:left="708"/>
        <w:contextualSpacing/>
        <w:rPr>
          <w:i/>
          <w:sz w:val="22"/>
        </w:rPr>
      </w:pPr>
      <w:r w:rsidRPr="00B56D5F">
        <w:rPr>
          <w:i/>
          <w:sz w:val="22"/>
        </w:rPr>
        <w:t>“</w:t>
      </w:r>
      <w:r w:rsidRPr="00B56D5F">
        <w:rPr>
          <w:b/>
          <w:i/>
          <w:sz w:val="22"/>
        </w:rPr>
        <w:t>Artículo 342.- El registro contable del efecto patrimonial y presupuestal de las operaciones financieras, se realizará conforme al sistema y a las disposiciones que se aprueben en materia</w:t>
      </w:r>
      <w:r w:rsidRPr="00B56D5F">
        <w:rPr>
          <w:i/>
          <w:sz w:val="22"/>
        </w:rPr>
        <w:t xml:space="preserve"> de planeación, programación, presupuestación, evaluación y contabilidad gubernamental. </w:t>
      </w:r>
    </w:p>
    <w:p w14:paraId="2926FB8C" w14:textId="77777777" w:rsidR="002C6981" w:rsidRPr="00B56D5F" w:rsidRDefault="002C6981" w:rsidP="002C6981">
      <w:pPr>
        <w:pBdr>
          <w:top w:val="nil"/>
          <w:left w:val="nil"/>
          <w:bottom w:val="nil"/>
          <w:right w:val="nil"/>
          <w:between w:val="nil"/>
        </w:pBdr>
        <w:ind w:left="708"/>
        <w:contextualSpacing/>
        <w:rPr>
          <w:b/>
          <w:i/>
          <w:sz w:val="22"/>
        </w:rPr>
      </w:pPr>
      <w:r w:rsidRPr="00B56D5F">
        <w:rPr>
          <w:b/>
          <w:i/>
          <w:sz w:val="22"/>
        </w:rPr>
        <w:t>…</w:t>
      </w:r>
    </w:p>
    <w:p w14:paraId="578CED72" w14:textId="77777777" w:rsidR="002C6981" w:rsidRPr="00B56D5F" w:rsidRDefault="002C6981" w:rsidP="002C6981">
      <w:pPr>
        <w:pBdr>
          <w:top w:val="nil"/>
          <w:left w:val="nil"/>
          <w:bottom w:val="nil"/>
          <w:right w:val="nil"/>
          <w:between w:val="nil"/>
        </w:pBdr>
        <w:ind w:left="708"/>
        <w:contextualSpacing/>
        <w:rPr>
          <w:i/>
          <w:sz w:val="22"/>
        </w:rPr>
      </w:pPr>
      <w:r w:rsidRPr="00B56D5F">
        <w:rPr>
          <w:b/>
          <w:i/>
          <w:sz w:val="22"/>
        </w:rPr>
        <w:t>Artículo 343</w:t>
      </w:r>
      <w:r w:rsidRPr="00B56D5F">
        <w:rPr>
          <w:i/>
          <w:sz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El sistema de contabilidad sobre base acumulativa total se sustentará en los postulados básicos y el marco conceptual de la contabilidad gubernamental. </w:t>
      </w:r>
    </w:p>
    <w:p w14:paraId="547E021C" w14:textId="77777777" w:rsidR="002C6981" w:rsidRPr="00B56D5F" w:rsidRDefault="002C6981" w:rsidP="002C6981">
      <w:pPr>
        <w:pBdr>
          <w:top w:val="nil"/>
          <w:left w:val="nil"/>
          <w:bottom w:val="nil"/>
          <w:right w:val="nil"/>
          <w:between w:val="nil"/>
        </w:pBdr>
        <w:ind w:left="708"/>
        <w:contextualSpacing/>
        <w:rPr>
          <w:i/>
          <w:sz w:val="22"/>
        </w:rPr>
      </w:pPr>
    </w:p>
    <w:p w14:paraId="0123C1E5" w14:textId="77777777" w:rsidR="002C6981" w:rsidRPr="00B56D5F" w:rsidRDefault="002C6981" w:rsidP="002C6981">
      <w:pPr>
        <w:pBdr>
          <w:top w:val="nil"/>
          <w:left w:val="nil"/>
          <w:bottom w:val="nil"/>
          <w:right w:val="nil"/>
          <w:between w:val="nil"/>
        </w:pBdr>
        <w:ind w:left="708"/>
        <w:contextualSpacing/>
        <w:rPr>
          <w:i/>
          <w:sz w:val="22"/>
        </w:rPr>
      </w:pPr>
      <w:r w:rsidRPr="00B56D5F">
        <w:rPr>
          <w:b/>
          <w:i/>
          <w:sz w:val="22"/>
        </w:rPr>
        <w:t>Artículo 344</w:t>
      </w:r>
      <w:r w:rsidRPr="00B56D5F">
        <w:rPr>
          <w:i/>
          <w:sz w:val="22"/>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53D219E0" w14:textId="77777777" w:rsidR="002C6981" w:rsidRPr="00B56D5F" w:rsidRDefault="002C6981" w:rsidP="002C6981">
      <w:pPr>
        <w:pBdr>
          <w:top w:val="nil"/>
          <w:left w:val="nil"/>
          <w:bottom w:val="nil"/>
          <w:right w:val="nil"/>
          <w:between w:val="nil"/>
        </w:pBdr>
        <w:ind w:left="708"/>
        <w:contextualSpacing/>
        <w:rPr>
          <w:i/>
          <w:sz w:val="22"/>
        </w:rPr>
      </w:pPr>
    </w:p>
    <w:p w14:paraId="3E377C3F" w14:textId="77777777" w:rsidR="002C6981" w:rsidRPr="00B56D5F" w:rsidRDefault="002C6981" w:rsidP="002C6981">
      <w:pPr>
        <w:pBdr>
          <w:top w:val="nil"/>
          <w:left w:val="nil"/>
          <w:bottom w:val="nil"/>
          <w:right w:val="nil"/>
          <w:between w:val="nil"/>
        </w:pBdr>
        <w:ind w:left="708"/>
        <w:contextualSpacing/>
        <w:rPr>
          <w:i/>
          <w:sz w:val="22"/>
        </w:rPr>
      </w:pPr>
      <w:r w:rsidRPr="00B56D5F">
        <w:rPr>
          <w:b/>
          <w:i/>
          <w:sz w:val="22"/>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w:t>
      </w:r>
      <w:r w:rsidRPr="00B56D5F">
        <w:rPr>
          <w:b/>
          <w:i/>
          <w:sz w:val="22"/>
        </w:rPr>
        <w:lastRenderedPageBreak/>
        <w:t>de control interno, por un término de cinco años contados</w:t>
      </w:r>
      <w:r w:rsidRPr="00B56D5F">
        <w:rPr>
          <w:i/>
          <w:sz w:val="22"/>
        </w:rPr>
        <w:t xml:space="preserve"> a partir del ejercicio presupuestal siguiente al que corresponda, en el caso de los municipios se hará por la Tesorería</w:t>
      </w:r>
    </w:p>
    <w:p w14:paraId="71A641F8" w14:textId="77777777" w:rsidR="002C6981" w:rsidRPr="00B56D5F" w:rsidRDefault="002C6981" w:rsidP="002C6981">
      <w:pPr>
        <w:pBdr>
          <w:top w:val="nil"/>
          <w:left w:val="nil"/>
          <w:bottom w:val="nil"/>
          <w:right w:val="nil"/>
          <w:between w:val="nil"/>
        </w:pBdr>
        <w:ind w:left="708"/>
        <w:contextualSpacing/>
        <w:rPr>
          <w:i/>
          <w:sz w:val="22"/>
        </w:rPr>
      </w:pPr>
      <w:r w:rsidRPr="00B56D5F">
        <w:rPr>
          <w:i/>
          <w:sz w:val="22"/>
        </w:rPr>
        <w:t xml:space="preserve">. … </w:t>
      </w:r>
    </w:p>
    <w:p w14:paraId="123DB312" w14:textId="77777777" w:rsidR="002C6981" w:rsidRPr="00B56D5F" w:rsidRDefault="002C6981" w:rsidP="002C6981">
      <w:pPr>
        <w:pBdr>
          <w:top w:val="nil"/>
          <w:left w:val="nil"/>
          <w:bottom w:val="nil"/>
          <w:right w:val="nil"/>
          <w:between w:val="nil"/>
        </w:pBdr>
        <w:ind w:left="708"/>
        <w:contextualSpacing/>
        <w:rPr>
          <w:i/>
          <w:sz w:val="22"/>
        </w:rPr>
      </w:pPr>
      <w:r w:rsidRPr="00B56D5F">
        <w:rPr>
          <w:b/>
          <w:i/>
          <w:sz w:val="22"/>
        </w:rPr>
        <w:t>Artículo 345</w:t>
      </w:r>
      <w:r w:rsidRPr="00B56D5F">
        <w:rPr>
          <w:i/>
          <w:sz w:val="22"/>
        </w:rPr>
        <w:t xml:space="preserve">.- </w:t>
      </w:r>
      <w:r w:rsidRPr="00B56D5F">
        <w:rPr>
          <w:b/>
          <w:i/>
          <w:sz w:val="22"/>
        </w:rPr>
        <w:t>Las Dependencias, Entidades Públicas y unidades administrativas deberán conservar la documentación contable del año en curso y la de ejercicios anteriores cuyas cuentas públicas hayan sido revisadas y fiscalizadas por la Legislatura</w:t>
      </w:r>
      <w:r w:rsidRPr="00B56D5F">
        <w:rPr>
          <w:i/>
          <w:sz w:val="22"/>
        </w:rPr>
        <w:t xml:space="preserve">, la remitirán en un plazo que no excederá de seis meses al Archivo Contable Gubernamental. </w:t>
      </w:r>
      <w:r w:rsidRPr="00B56D5F">
        <w:rPr>
          <w:b/>
          <w:i/>
          <w:sz w:val="22"/>
        </w:rPr>
        <w:t>Tratándose de los comprobantes fiscales digitales, estos deberán estar agregados en forma electrónica en cada póliza de registro contable</w:t>
      </w:r>
      <w:r w:rsidRPr="00B56D5F">
        <w:rPr>
          <w:i/>
          <w:sz w:val="22"/>
        </w:rPr>
        <w:t xml:space="preserve">. </w:t>
      </w:r>
    </w:p>
    <w:p w14:paraId="640B6346" w14:textId="77777777" w:rsidR="002C6981" w:rsidRPr="00B56D5F" w:rsidRDefault="002C6981" w:rsidP="002C6981">
      <w:pPr>
        <w:pBdr>
          <w:top w:val="nil"/>
          <w:left w:val="nil"/>
          <w:bottom w:val="nil"/>
          <w:right w:val="nil"/>
          <w:between w:val="nil"/>
        </w:pBdr>
        <w:ind w:left="708"/>
        <w:contextualSpacing/>
        <w:rPr>
          <w:i/>
          <w:sz w:val="22"/>
        </w:rPr>
      </w:pPr>
      <w:r w:rsidRPr="00B56D5F">
        <w:rPr>
          <w:i/>
          <w:sz w:val="22"/>
        </w:rPr>
        <w:t>El plazo señalado en el párrafo anterior, empezará a contar a partir de la publicación en el Periódico Oficial, del decreto correspondiente. “(Sic)</w:t>
      </w:r>
    </w:p>
    <w:p w14:paraId="23EC54F0" w14:textId="77777777" w:rsidR="002C6981" w:rsidRPr="00B56D5F" w:rsidRDefault="002C6981" w:rsidP="002C6981">
      <w:pPr>
        <w:pBdr>
          <w:top w:val="nil"/>
          <w:left w:val="nil"/>
          <w:bottom w:val="nil"/>
          <w:right w:val="nil"/>
          <w:between w:val="nil"/>
        </w:pBdr>
        <w:contextualSpacing/>
        <w:rPr>
          <w:i/>
        </w:rPr>
      </w:pPr>
    </w:p>
    <w:p w14:paraId="3C83533B" w14:textId="77777777" w:rsidR="002C6981" w:rsidRPr="00B56D5F" w:rsidRDefault="002C6981" w:rsidP="002C6981">
      <w:pPr>
        <w:pBdr>
          <w:top w:val="nil"/>
          <w:left w:val="nil"/>
          <w:bottom w:val="nil"/>
          <w:right w:val="nil"/>
          <w:between w:val="nil"/>
        </w:pBdr>
        <w:contextualSpacing/>
        <w:rPr>
          <w:i/>
        </w:rPr>
      </w:pPr>
      <w:r w:rsidRPr="00B56D5F">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151CC252" w14:textId="77777777" w:rsidR="002C6981" w:rsidRPr="00B56D5F" w:rsidRDefault="002C6981" w:rsidP="002C6981">
      <w:pPr>
        <w:pBdr>
          <w:top w:val="nil"/>
          <w:left w:val="nil"/>
          <w:bottom w:val="nil"/>
          <w:right w:val="nil"/>
          <w:between w:val="nil"/>
        </w:pBdr>
        <w:contextualSpacing/>
        <w:rPr>
          <w:i/>
        </w:rPr>
      </w:pPr>
    </w:p>
    <w:p w14:paraId="0B578CFF" w14:textId="72245D38" w:rsidR="002C6981" w:rsidRPr="00B56D5F" w:rsidRDefault="002C6981" w:rsidP="002C6981">
      <w:pPr>
        <w:pBdr>
          <w:top w:val="nil"/>
          <w:left w:val="nil"/>
          <w:bottom w:val="nil"/>
          <w:right w:val="nil"/>
          <w:between w:val="nil"/>
        </w:pBdr>
        <w:contextualSpacing/>
      </w:pPr>
      <w:r w:rsidRPr="00B56D5F">
        <w:t xml:space="preserve">En este sentido, existen diversos tipos de pólizas contables de acuerdo con las operaciones realizadas, dentro de las cuales, encontramos las llamadas </w:t>
      </w:r>
      <w:r w:rsidRPr="00B56D5F">
        <w:rPr>
          <w:b/>
        </w:rPr>
        <w:t>pólizas de egresos</w:t>
      </w:r>
      <w:r w:rsidR="001A0AE4" w:rsidRPr="00B56D5F">
        <w:rPr>
          <w:b/>
        </w:rPr>
        <w:t xml:space="preserve"> con los documentos probatorios</w:t>
      </w:r>
      <w:r w:rsidRPr="00B56D5F">
        <w:t xml:space="preserve">, </w:t>
      </w:r>
      <w:r w:rsidR="001A0AE4" w:rsidRPr="00B56D5F">
        <w:t xml:space="preserve">la cual refleja cualquier operación contable en la que se produzca una salida de efectivo o erogaciones, a través de transferencias bancarias electrónicas </w:t>
      </w:r>
      <w:r w:rsidRPr="00B56D5F">
        <w:t xml:space="preserve">en las cuales se anotan diariamente las operaciones que representan egresos, es decir, salidas de dinero para el sujeto obligado, la cual, además </w:t>
      </w:r>
      <w:r w:rsidRPr="00B56D5F">
        <w:lastRenderedPageBreak/>
        <w:t>debe encontrarse acompañada de las documentales que sirven de soporte de dicho movimiento.</w:t>
      </w:r>
    </w:p>
    <w:p w14:paraId="38C8D7DF" w14:textId="77777777" w:rsidR="002C6981" w:rsidRPr="00B56D5F" w:rsidRDefault="002C6981" w:rsidP="002C6981">
      <w:pPr>
        <w:pBdr>
          <w:top w:val="nil"/>
          <w:left w:val="nil"/>
          <w:bottom w:val="nil"/>
          <w:right w:val="nil"/>
          <w:between w:val="nil"/>
        </w:pBdr>
        <w:contextualSpacing/>
      </w:pPr>
    </w:p>
    <w:p w14:paraId="0C0E598F" w14:textId="2A19AF07" w:rsidR="002C6981" w:rsidRPr="00B56D5F" w:rsidRDefault="002C6981" w:rsidP="002C6981">
      <w:pPr>
        <w:pBdr>
          <w:top w:val="nil"/>
          <w:left w:val="nil"/>
          <w:bottom w:val="nil"/>
          <w:right w:val="nil"/>
          <w:between w:val="nil"/>
        </w:pBdr>
        <w:contextualSpacing/>
      </w:pPr>
      <w:r w:rsidRPr="00B56D5F">
        <w:t>En este sentido</w:t>
      </w:r>
      <w:r w:rsidR="0044416C" w:rsidRPr="00B56D5F">
        <w:t>, Lineamientos para la Integración, Presentación y Envío de los Informes Trimestrales Municipales del Ejercicio Fiscal 2024</w:t>
      </w:r>
      <w:r w:rsidRPr="00B56D5F">
        <w:t xml:space="preserve">, emitidos por el Órgano Superior de Fiscalización del Estado de México, contienen los formatos e información que debe ser proporcionada para la integración de los informes mensuales, que se entregan a éste, siendo uno de ellos la información relativa a las pólizas de ingresos, póliza de diario, póliza de egresos, póliza cheque, de tal manera que, dichos formatos constituyen un soporte documental de que la información solicitada por el hoy recurrente obra en los archivos del sujeto obligado, </w:t>
      </w:r>
      <w:r w:rsidR="00B41B79" w:rsidRPr="00B56D5F">
        <w:t xml:space="preserve">sirva de sustento la siguiente imagen ilustrativa </w:t>
      </w:r>
    </w:p>
    <w:p w14:paraId="365C617B" w14:textId="77777777" w:rsidR="00B41B79" w:rsidRPr="00B56D5F" w:rsidRDefault="00B41B79" w:rsidP="002C6981">
      <w:pPr>
        <w:pBdr>
          <w:top w:val="nil"/>
          <w:left w:val="nil"/>
          <w:bottom w:val="nil"/>
          <w:right w:val="nil"/>
          <w:between w:val="nil"/>
        </w:pBdr>
        <w:contextualSpacing/>
      </w:pPr>
    </w:p>
    <w:p w14:paraId="1D8E8ABC" w14:textId="59451405" w:rsidR="002C6981" w:rsidRPr="00B56D5F" w:rsidRDefault="00B41B79" w:rsidP="002C6981">
      <w:pPr>
        <w:pBdr>
          <w:top w:val="nil"/>
          <w:left w:val="nil"/>
          <w:bottom w:val="nil"/>
          <w:right w:val="nil"/>
          <w:between w:val="nil"/>
        </w:pBdr>
        <w:contextualSpacing/>
        <w:jc w:val="center"/>
        <w:rPr>
          <w:i/>
        </w:rPr>
      </w:pPr>
      <w:r w:rsidRPr="00B56D5F">
        <w:rPr>
          <w:i/>
          <w:noProof/>
          <w:lang w:val="es-MX"/>
          <w14:ligatures w14:val="standardContextual"/>
        </w:rPr>
        <mc:AlternateContent>
          <mc:Choice Requires="wps">
            <w:drawing>
              <wp:anchor distT="0" distB="0" distL="114300" distR="114300" simplePos="0" relativeHeight="251660288" behindDoc="0" locked="0" layoutInCell="1" allowOverlap="1" wp14:anchorId="4A1DF40F" wp14:editId="77DDD720">
                <wp:simplePos x="0" y="0"/>
                <wp:positionH relativeFrom="column">
                  <wp:posOffset>897434</wp:posOffset>
                </wp:positionH>
                <wp:positionV relativeFrom="paragraph">
                  <wp:posOffset>410689</wp:posOffset>
                </wp:positionV>
                <wp:extent cx="4968815" cy="664234"/>
                <wp:effectExtent l="19050" t="19050" r="22860" b="21590"/>
                <wp:wrapNone/>
                <wp:docPr id="6" name="Rectángulo 6"/>
                <wp:cNvGraphicFramePr/>
                <a:graphic xmlns:a="http://schemas.openxmlformats.org/drawingml/2006/main">
                  <a:graphicData uri="http://schemas.microsoft.com/office/word/2010/wordprocessingShape">
                    <wps:wsp>
                      <wps:cNvSpPr/>
                      <wps:spPr>
                        <a:xfrm>
                          <a:off x="0" y="0"/>
                          <a:ext cx="4968815" cy="664234"/>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4E716C" id="Rectángulo 6" o:spid="_x0000_s1026" style="position:absolute;margin-left:70.65pt;margin-top:32.35pt;width:391.25pt;height: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" filled="f" strokecolor="red" strokeweight="3pt"/>
            </w:pict>
          </mc:Fallback>
        </mc:AlternateContent>
      </w:r>
      <w:r w:rsidRPr="00B56D5F">
        <w:rPr>
          <w:i/>
          <w:noProof/>
          <w:lang w:val="es-MX"/>
        </w:rPr>
        <w:drawing>
          <wp:inline distT="0" distB="0" distL="0" distR="0" wp14:anchorId="207127D7" wp14:editId="76EAEB3C">
            <wp:extent cx="5939790" cy="1902460"/>
            <wp:effectExtent l="0" t="0" r="381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9790" cy="1902460"/>
                    </a:xfrm>
                    <a:prstGeom prst="rect">
                      <a:avLst/>
                    </a:prstGeom>
                  </pic:spPr>
                </pic:pic>
              </a:graphicData>
            </a:graphic>
          </wp:inline>
        </w:drawing>
      </w:r>
    </w:p>
    <w:p w14:paraId="006D023A" w14:textId="77777777" w:rsidR="002C6981" w:rsidRPr="00B56D5F" w:rsidRDefault="002C6981" w:rsidP="002C6981">
      <w:pPr>
        <w:pBdr>
          <w:top w:val="nil"/>
          <w:left w:val="nil"/>
          <w:bottom w:val="nil"/>
          <w:right w:val="nil"/>
          <w:between w:val="nil"/>
        </w:pBdr>
        <w:contextualSpacing/>
        <w:rPr>
          <w:i/>
        </w:rPr>
      </w:pPr>
    </w:p>
    <w:p w14:paraId="47840E01" w14:textId="77777777" w:rsidR="00BB1B59" w:rsidRPr="00B56D5F" w:rsidRDefault="002C6981" w:rsidP="007B1488">
      <w:pPr>
        <w:pBdr>
          <w:top w:val="nil"/>
          <w:left w:val="nil"/>
          <w:bottom w:val="nil"/>
          <w:right w:val="nil"/>
          <w:between w:val="nil"/>
        </w:pBdr>
        <w:contextualSpacing/>
      </w:pPr>
      <w:r w:rsidRPr="00B56D5F">
        <w:t xml:space="preserve">Sin ser óbice de lo mencionado, es de señalar que la información que es entregada al Órgano Superior de Fiscalización del Estado de México, junto con el Informe Mensual, si bien se remite dentro de los veinte días posteriores al término del mes correspondiente, también lo es que, la documentación materia de estudio debe ser generada y entregada </w:t>
      </w:r>
      <w:r w:rsidRPr="00B56D5F">
        <w:lastRenderedPageBreak/>
        <w:t>al momento de realizar los movimientos respectivos, por lo que, debe de obrar en sus archivos las facturas que guardan relación con lo requerido por el ahora recurrente.</w:t>
      </w:r>
      <w:r w:rsidR="007B1488" w:rsidRPr="00B56D5F">
        <w:t xml:space="preserve"> </w:t>
      </w:r>
    </w:p>
    <w:p w14:paraId="76425E7F" w14:textId="77777777" w:rsidR="00BB1B59" w:rsidRPr="00B56D5F" w:rsidRDefault="00BB1B59" w:rsidP="007B1488">
      <w:pPr>
        <w:pBdr>
          <w:top w:val="nil"/>
          <w:left w:val="nil"/>
          <w:bottom w:val="nil"/>
          <w:right w:val="nil"/>
          <w:between w:val="nil"/>
        </w:pBdr>
        <w:contextualSpacing/>
      </w:pPr>
    </w:p>
    <w:p w14:paraId="64CCB3C1" w14:textId="1C475094" w:rsidR="007B1488" w:rsidRPr="00B56D5F" w:rsidRDefault="008D2BAF" w:rsidP="008D2BAF">
      <w:pPr>
        <w:pBdr>
          <w:top w:val="nil"/>
          <w:left w:val="nil"/>
          <w:bottom w:val="nil"/>
          <w:right w:val="nil"/>
          <w:between w:val="nil"/>
        </w:pBdr>
        <w:contextualSpacing/>
      </w:pPr>
      <w:r w:rsidRPr="00B56D5F">
        <w:t xml:space="preserve">De lo anterior resulta oportuno traer a colación el Criterio 016/2017 emitido por el Máximo Órgano Garante correspondiente a que para el caso que el requerimiento de </w:t>
      </w:r>
      <w:r w:rsidRPr="00B56D5F">
        <w:rPr>
          <w:rFonts w:cs="Arial"/>
          <w:color w:val="000000" w:themeColor="text1"/>
          <w:lang w:val="es-ES"/>
        </w:rPr>
        <w:t>la información no se identifique de forma precisa la documentación que pudiera contener la información de  interés</w:t>
      </w:r>
      <w:r w:rsidRPr="00B56D5F">
        <w:rPr>
          <w:rFonts w:cs="Arial"/>
          <w:szCs w:val="24"/>
        </w:rPr>
        <w:t>,</w:t>
      </w:r>
      <w:r w:rsidRPr="00B56D5F">
        <w:rPr>
          <w:rFonts w:cs="Arial"/>
          <w:color w:val="000000" w:themeColor="text1"/>
          <w:lang w:val="es-ES"/>
        </w:rPr>
        <w:t xml:space="preserve"> pero la respuesta pudiera obrar en algún documento en poder de los sujetos obligados, éstos deben dar a dichas solicitudes una interpretación que les otorgue una expresión documental</w:t>
      </w:r>
      <w:r w:rsidRPr="00B56D5F">
        <w:t xml:space="preserve">, pues conforme las manifestaciones vertidas en informe justificado y en respuesta </w:t>
      </w:r>
      <w:r w:rsidRPr="00B56D5F">
        <w:rPr>
          <w:u w:val="single"/>
        </w:rPr>
        <w:t>el soporte documental que comprueba la dotación del combustible son los tickets generados por la empresa con la compra del mismo</w:t>
      </w:r>
      <w:r w:rsidRPr="00B56D5F">
        <w:t>, sin embargo como se precisó con anterioridad</w:t>
      </w:r>
      <w:r w:rsidR="006757F8" w:rsidRPr="00B56D5F">
        <w:t xml:space="preserve"> el Recurrente manifestó inconformidad respecto </w:t>
      </w:r>
      <w:r w:rsidR="006757F8" w:rsidRPr="00B56D5F">
        <w:rPr>
          <w:i/>
          <w:u w:val="single"/>
        </w:rPr>
        <w:t>los documentos probatorios que amparen el uso del combustible</w:t>
      </w:r>
      <w:r w:rsidRPr="00B56D5F">
        <w:t xml:space="preserve">. </w:t>
      </w:r>
    </w:p>
    <w:p w14:paraId="76EB083E" w14:textId="77777777" w:rsidR="006757F8" w:rsidRPr="00B56D5F" w:rsidRDefault="006757F8" w:rsidP="008D2BAF">
      <w:pPr>
        <w:pBdr>
          <w:top w:val="nil"/>
          <w:left w:val="nil"/>
          <w:bottom w:val="nil"/>
          <w:right w:val="nil"/>
          <w:between w:val="nil"/>
        </w:pBdr>
        <w:contextualSpacing/>
      </w:pPr>
    </w:p>
    <w:p w14:paraId="4AA25BF1" w14:textId="15628994" w:rsidR="008030AF" w:rsidRPr="00B56D5F" w:rsidRDefault="006757F8" w:rsidP="008D2BAF">
      <w:pPr>
        <w:pBdr>
          <w:top w:val="nil"/>
          <w:left w:val="nil"/>
          <w:bottom w:val="nil"/>
          <w:right w:val="nil"/>
          <w:between w:val="nil"/>
        </w:pBdr>
        <w:contextualSpacing/>
      </w:pPr>
      <w:r w:rsidRPr="00B56D5F">
        <w:t>De lo anterior este Órgano Garante considera importante establecer que si bien el soporte documental proporcionado por el Sujeto Obligado comprueba</w:t>
      </w:r>
      <w:r w:rsidR="008030AF" w:rsidRPr="00B56D5F">
        <w:t xml:space="preserve"> únicamente</w:t>
      </w:r>
      <w:r w:rsidRPr="00B56D5F">
        <w:t xml:space="preserve"> la dotación del combustible </w:t>
      </w:r>
      <w:r w:rsidR="002E63E8" w:rsidRPr="00B56D5F">
        <w:t xml:space="preserve">a través de la compra también lo </w:t>
      </w:r>
      <w:r w:rsidRPr="00B56D5F">
        <w:t>es</w:t>
      </w:r>
      <w:r w:rsidR="002E63E8" w:rsidRPr="00B56D5F">
        <w:t xml:space="preserve"> que </w:t>
      </w:r>
      <w:r w:rsidRPr="00B56D5F">
        <w:t xml:space="preserve">a través de este soporte documental se puede comprobar </w:t>
      </w:r>
      <w:r w:rsidR="002E63E8" w:rsidRPr="00B56D5F">
        <w:t xml:space="preserve">que se ha usado </w:t>
      </w:r>
      <w:r w:rsidRPr="00B56D5F">
        <w:t xml:space="preserve">el combustible, </w:t>
      </w:r>
      <w:r w:rsidR="002E63E8" w:rsidRPr="00B56D5F">
        <w:t xml:space="preserve">es decir, </w:t>
      </w:r>
      <w:r w:rsidRPr="00B56D5F">
        <w:t xml:space="preserve">la compra del combustible debe considerarse como una la necesidad del Sujeto Obligado </w:t>
      </w:r>
      <w:r w:rsidR="002E63E8" w:rsidRPr="00B56D5F">
        <w:t xml:space="preserve">que </w:t>
      </w:r>
      <w:r w:rsidR="002E63E8" w:rsidRPr="00B56D5F">
        <w:rPr>
          <w:b/>
        </w:rPr>
        <w:t xml:space="preserve">surge por el por el </w:t>
      </w:r>
      <w:r w:rsidR="008030AF" w:rsidRPr="00B56D5F">
        <w:rPr>
          <w:b/>
        </w:rPr>
        <w:t xml:space="preserve">uso </w:t>
      </w:r>
      <w:r w:rsidR="008030AF" w:rsidRPr="00B56D5F">
        <w:t xml:space="preserve">que ha realizado por la utilización </w:t>
      </w:r>
      <w:r w:rsidRPr="00B56D5F">
        <w:t xml:space="preserve">del combustible. </w:t>
      </w:r>
    </w:p>
    <w:p w14:paraId="76E11516" w14:textId="77777777" w:rsidR="006537E2" w:rsidRPr="00B56D5F" w:rsidRDefault="006537E2" w:rsidP="008D2BAF">
      <w:pPr>
        <w:pBdr>
          <w:top w:val="nil"/>
          <w:left w:val="nil"/>
          <w:bottom w:val="nil"/>
          <w:right w:val="nil"/>
          <w:between w:val="nil"/>
        </w:pBdr>
        <w:contextualSpacing/>
      </w:pPr>
    </w:p>
    <w:p w14:paraId="61292121" w14:textId="2F5AA9C6" w:rsidR="008030AF" w:rsidRPr="00B56D5F" w:rsidRDefault="006757F8" w:rsidP="008030AF">
      <w:pPr>
        <w:pBdr>
          <w:top w:val="nil"/>
          <w:left w:val="nil"/>
          <w:bottom w:val="nil"/>
          <w:right w:val="nil"/>
          <w:between w:val="nil"/>
        </w:pBdr>
        <w:rPr>
          <w:rFonts w:eastAsia="Palatino Linotype" w:cs="Palatino Linotype"/>
        </w:rPr>
      </w:pPr>
      <w:r w:rsidRPr="00B56D5F">
        <w:t>Entonces</w:t>
      </w:r>
      <w:r w:rsidR="008030AF" w:rsidRPr="00B56D5F">
        <w:t>,</w:t>
      </w:r>
      <w:r w:rsidRPr="00B56D5F">
        <w:t xml:space="preserve"> si bien lo entregado por el Sujeto Obligado no atiende específicamente</w:t>
      </w:r>
      <w:r w:rsidR="008030AF" w:rsidRPr="00B56D5F">
        <w:t xml:space="preserve"> al </w:t>
      </w:r>
      <w:r w:rsidR="008030AF" w:rsidRPr="00B56D5F">
        <w:rPr>
          <w:i/>
          <w:u w:val="single"/>
        </w:rPr>
        <w:t xml:space="preserve">soporte documental que ampara el uso del combustible </w:t>
      </w:r>
      <w:r w:rsidR="008030AF" w:rsidRPr="00B56D5F">
        <w:t xml:space="preserve">también lo es que </w:t>
      </w:r>
      <w:r w:rsidR="008030AF" w:rsidRPr="00B56D5F">
        <w:rPr>
          <w:i/>
          <w:u w:val="single"/>
        </w:rPr>
        <w:t>dicho documento es consecuencia del uso del combustible</w:t>
      </w:r>
      <w:r w:rsidR="008030AF" w:rsidRPr="00B56D5F">
        <w:t xml:space="preserve"> en este sentido y una vez analizadas las constancias </w:t>
      </w:r>
      <w:r w:rsidR="008030AF" w:rsidRPr="00B56D5F">
        <w:lastRenderedPageBreak/>
        <w:t>que obran en el Sistema de Acceso a la Información Pública Mexiquense (SAIMEX) así como la solicitud de información, el acto impugnado y las razones o motivos de inconformidad  este Instituto conforme los principios de Certeza, Eficacia, Imparcialidad, Objetividad y Máxima Publicidad consagrados en el artículo 9 de la Ley de Transparencia Local determin</w:t>
      </w:r>
      <w:r w:rsidR="002E63E8" w:rsidRPr="00B56D5F">
        <w:t>ó</w:t>
      </w:r>
      <w:r w:rsidR="008030AF" w:rsidRPr="00B56D5F">
        <w:rPr>
          <w:rFonts w:eastAsia="Palatino Linotype" w:cs="Palatino Linotype"/>
        </w:rPr>
        <w:t xml:space="preserve"> que los motivos de inconformidad planteados por la parte </w:t>
      </w:r>
      <w:r w:rsidR="008030AF" w:rsidRPr="00B56D5F">
        <w:rPr>
          <w:rFonts w:eastAsia="Palatino Linotype" w:cs="Palatino Linotype"/>
          <w:b/>
        </w:rPr>
        <w:t>Recurrente</w:t>
      </w:r>
      <w:r w:rsidR="008030AF" w:rsidRPr="00B56D5F">
        <w:rPr>
          <w:rFonts w:eastAsia="Palatino Linotype" w:cs="Palatino Linotype"/>
        </w:rPr>
        <w:t xml:space="preserve"> resultan infundados; por ello </w:t>
      </w:r>
      <w:r w:rsidR="008030AF" w:rsidRPr="00B56D5F">
        <w:rPr>
          <w:rFonts w:eastAsia="Palatino Linotype" w:cs="Palatino Linotype"/>
          <w:b/>
        </w:rPr>
        <w:t xml:space="preserve">con fundamento en la segunda fracción del artículo 186 </w:t>
      </w:r>
      <w:r w:rsidR="008030AF" w:rsidRPr="00B56D5F">
        <w:rPr>
          <w:rFonts w:eastAsia="Palatino Linotype" w:cs="Palatino Linotype"/>
        </w:rPr>
        <w:t xml:space="preserve">de la Ley de Transparencia y Acceso a la Información Pública del Estado de México y Municipios, se </w:t>
      </w:r>
      <w:r w:rsidR="008030AF" w:rsidRPr="00B56D5F">
        <w:rPr>
          <w:rFonts w:eastAsia="Palatino Linotype" w:cs="Palatino Linotype"/>
          <w:b/>
        </w:rPr>
        <w:t>CONFIRMA</w:t>
      </w:r>
      <w:r w:rsidR="0027504B" w:rsidRPr="00B56D5F">
        <w:rPr>
          <w:rFonts w:eastAsia="Palatino Linotype" w:cs="Palatino Linotype"/>
          <w:b/>
        </w:rPr>
        <w:t>N</w:t>
      </w:r>
      <w:r w:rsidR="008030AF" w:rsidRPr="00B56D5F">
        <w:rPr>
          <w:rFonts w:eastAsia="Palatino Linotype" w:cs="Palatino Linotype"/>
          <w:b/>
        </w:rPr>
        <w:t xml:space="preserve"> </w:t>
      </w:r>
      <w:r w:rsidR="008030AF" w:rsidRPr="00B56D5F">
        <w:rPr>
          <w:rFonts w:eastAsia="Palatino Linotype" w:cs="Palatino Linotype"/>
        </w:rPr>
        <w:t>la</w:t>
      </w:r>
      <w:r w:rsidR="0027504B" w:rsidRPr="00B56D5F">
        <w:rPr>
          <w:rFonts w:eastAsia="Palatino Linotype" w:cs="Palatino Linotype"/>
        </w:rPr>
        <w:t>s</w:t>
      </w:r>
      <w:r w:rsidR="008030AF" w:rsidRPr="00B56D5F">
        <w:rPr>
          <w:rFonts w:eastAsia="Palatino Linotype" w:cs="Palatino Linotype"/>
        </w:rPr>
        <w:t xml:space="preserve"> respuesta</w:t>
      </w:r>
      <w:r w:rsidR="0027504B" w:rsidRPr="00B56D5F">
        <w:rPr>
          <w:rFonts w:eastAsia="Palatino Linotype" w:cs="Palatino Linotype"/>
        </w:rPr>
        <w:t>s</w:t>
      </w:r>
      <w:r w:rsidR="008030AF" w:rsidRPr="00B56D5F">
        <w:rPr>
          <w:rFonts w:eastAsia="Palatino Linotype" w:cs="Palatino Linotype"/>
        </w:rPr>
        <w:t xml:space="preserve"> proporcionada</w:t>
      </w:r>
      <w:r w:rsidR="0027504B" w:rsidRPr="00B56D5F">
        <w:rPr>
          <w:rFonts w:eastAsia="Palatino Linotype" w:cs="Palatino Linotype"/>
        </w:rPr>
        <w:t>s</w:t>
      </w:r>
      <w:r w:rsidR="008030AF" w:rsidRPr="00B56D5F">
        <w:rPr>
          <w:rFonts w:eastAsia="Palatino Linotype" w:cs="Palatino Linotype"/>
        </w:rPr>
        <w:t xml:space="preserve"> a la</w:t>
      </w:r>
      <w:r w:rsidR="0027504B" w:rsidRPr="00B56D5F">
        <w:rPr>
          <w:rFonts w:eastAsia="Palatino Linotype" w:cs="Palatino Linotype"/>
        </w:rPr>
        <w:t>s</w:t>
      </w:r>
      <w:r w:rsidR="008030AF" w:rsidRPr="00B56D5F">
        <w:rPr>
          <w:rFonts w:eastAsia="Palatino Linotype" w:cs="Palatino Linotype"/>
        </w:rPr>
        <w:t xml:space="preserve"> solicitud</w:t>
      </w:r>
      <w:r w:rsidR="0027504B" w:rsidRPr="00B56D5F">
        <w:rPr>
          <w:rFonts w:eastAsia="Palatino Linotype" w:cs="Palatino Linotype"/>
        </w:rPr>
        <w:t>es</w:t>
      </w:r>
      <w:r w:rsidR="008030AF" w:rsidRPr="00B56D5F">
        <w:rPr>
          <w:rFonts w:eastAsia="Palatino Linotype" w:cs="Palatino Linotype"/>
        </w:rPr>
        <w:t xml:space="preserve"> de información número </w:t>
      </w:r>
      <w:r w:rsidR="008030AF" w:rsidRPr="00B56D5F">
        <w:rPr>
          <w:color w:val="000000"/>
          <w:sz w:val="27"/>
          <w:szCs w:val="27"/>
        </w:rPr>
        <w:t> </w:t>
      </w:r>
      <w:r w:rsidR="008030AF" w:rsidRPr="00B56D5F">
        <w:rPr>
          <w:b/>
          <w:bCs/>
        </w:rPr>
        <w:t>02351/IEEM/IP/2024</w:t>
      </w:r>
      <w:r w:rsidR="0027504B" w:rsidRPr="00B56D5F">
        <w:rPr>
          <w:b/>
          <w:bCs/>
        </w:rPr>
        <w:t xml:space="preserve">  y 02352/IEEM/IP/2024</w:t>
      </w:r>
      <w:r w:rsidR="008030AF" w:rsidRPr="00B56D5F">
        <w:rPr>
          <w:rFonts w:eastAsia="Palatino Linotype" w:cs="Palatino Linotype"/>
        </w:rPr>
        <w:t>,</w:t>
      </w:r>
      <w:r w:rsidR="008030AF" w:rsidRPr="00B56D5F">
        <w:rPr>
          <w:rFonts w:eastAsia="Palatino Linotype" w:cs="Palatino Linotype"/>
          <w:b/>
        </w:rPr>
        <w:t xml:space="preserve"> </w:t>
      </w:r>
      <w:r w:rsidR="008030AF" w:rsidRPr="00B56D5F">
        <w:rPr>
          <w:rFonts w:eastAsia="Palatino Linotype" w:cs="Palatino Linotype"/>
        </w:rPr>
        <w:t>que ha sido materia del presente estudio.</w:t>
      </w:r>
    </w:p>
    <w:p w14:paraId="442FCB26" w14:textId="77777777" w:rsidR="0027504B" w:rsidRPr="00B56D5F" w:rsidRDefault="0027504B" w:rsidP="008030AF">
      <w:pPr>
        <w:pBdr>
          <w:top w:val="nil"/>
          <w:left w:val="nil"/>
          <w:bottom w:val="nil"/>
          <w:right w:val="nil"/>
          <w:between w:val="nil"/>
        </w:pBdr>
        <w:rPr>
          <w:rFonts w:eastAsia="Palatino Linotype" w:cs="Palatino Linotype"/>
        </w:rPr>
      </w:pPr>
    </w:p>
    <w:p w14:paraId="01E8CBFA" w14:textId="77777777" w:rsidR="008030AF" w:rsidRPr="00B56D5F" w:rsidRDefault="008030AF" w:rsidP="008030AF">
      <w:pPr>
        <w:pBdr>
          <w:top w:val="nil"/>
          <w:left w:val="nil"/>
          <w:bottom w:val="nil"/>
          <w:right w:val="nil"/>
          <w:between w:val="nil"/>
        </w:pBdr>
        <w:rPr>
          <w:rFonts w:eastAsia="Palatino Linotype" w:cs="Palatino Linotype"/>
        </w:rPr>
      </w:pPr>
      <w:r w:rsidRPr="00B56D5F">
        <w:rPr>
          <w:rFonts w:eastAsia="Palatino Linotype" w:cs="Palatino Linotype"/>
        </w:rPr>
        <w:t>Por lo antes expuesto y fundado es de resolverse y,</w:t>
      </w:r>
    </w:p>
    <w:p w14:paraId="5AE5F941" w14:textId="77777777" w:rsidR="008030AF" w:rsidRPr="00B56D5F" w:rsidRDefault="008030AF" w:rsidP="008030AF">
      <w:pPr>
        <w:pBdr>
          <w:top w:val="nil"/>
          <w:left w:val="nil"/>
          <w:bottom w:val="nil"/>
          <w:right w:val="nil"/>
          <w:between w:val="nil"/>
        </w:pBdr>
        <w:rPr>
          <w:rFonts w:eastAsia="Palatino Linotype" w:cs="Palatino Linotype"/>
        </w:rPr>
      </w:pPr>
    </w:p>
    <w:p w14:paraId="43981EBD" w14:textId="77777777" w:rsidR="008030AF" w:rsidRPr="00B56D5F" w:rsidRDefault="008030AF" w:rsidP="008030AF">
      <w:pPr>
        <w:pBdr>
          <w:top w:val="nil"/>
          <w:left w:val="nil"/>
          <w:bottom w:val="nil"/>
          <w:right w:val="nil"/>
          <w:between w:val="nil"/>
        </w:pBdr>
        <w:jc w:val="center"/>
        <w:rPr>
          <w:rFonts w:eastAsia="Palatino Linotype" w:cs="Palatino Linotype"/>
          <w:b/>
          <w:sz w:val="28"/>
          <w:szCs w:val="28"/>
        </w:rPr>
      </w:pPr>
      <w:r w:rsidRPr="00B56D5F">
        <w:rPr>
          <w:rFonts w:eastAsia="Palatino Linotype" w:cs="Palatino Linotype"/>
          <w:b/>
          <w:sz w:val="28"/>
          <w:szCs w:val="28"/>
        </w:rPr>
        <w:t>S E    R E S U E L V E</w:t>
      </w:r>
    </w:p>
    <w:p w14:paraId="7C86A1AE" w14:textId="77777777" w:rsidR="002E63E8" w:rsidRPr="00B56D5F" w:rsidRDefault="002E63E8" w:rsidP="008030AF">
      <w:pPr>
        <w:pBdr>
          <w:top w:val="nil"/>
          <w:left w:val="nil"/>
          <w:bottom w:val="nil"/>
          <w:right w:val="nil"/>
          <w:between w:val="nil"/>
        </w:pBdr>
        <w:jc w:val="center"/>
        <w:rPr>
          <w:rFonts w:eastAsia="Palatino Linotype" w:cs="Palatino Linotype"/>
          <w:b/>
          <w:sz w:val="28"/>
          <w:szCs w:val="28"/>
        </w:rPr>
      </w:pPr>
    </w:p>
    <w:p w14:paraId="56835D92" w14:textId="3648C41F" w:rsidR="008030AF" w:rsidRPr="00B56D5F" w:rsidRDefault="008030AF" w:rsidP="008030AF">
      <w:pPr>
        <w:pBdr>
          <w:top w:val="nil"/>
          <w:left w:val="nil"/>
          <w:bottom w:val="nil"/>
          <w:right w:val="nil"/>
          <w:between w:val="nil"/>
        </w:pBdr>
        <w:rPr>
          <w:rFonts w:eastAsia="Palatino Linotype" w:cs="Palatino Linotype"/>
        </w:rPr>
      </w:pPr>
      <w:r w:rsidRPr="00B56D5F">
        <w:rPr>
          <w:rFonts w:eastAsia="Palatino Linotype" w:cs="Palatino Linotype"/>
          <w:b/>
          <w:sz w:val="26"/>
          <w:szCs w:val="26"/>
        </w:rPr>
        <w:t>PRIMERO</w:t>
      </w:r>
      <w:r w:rsidRPr="00B56D5F">
        <w:rPr>
          <w:rFonts w:eastAsia="Palatino Linotype" w:cs="Palatino Linotype"/>
          <w:b/>
        </w:rPr>
        <w:t>.</w:t>
      </w:r>
      <w:r w:rsidRPr="00B56D5F">
        <w:rPr>
          <w:rFonts w:eastAsia="Palatino Linotype" w:cs="Palatino Linotype"/>
        </w:rPr>
        <w:t xml:space="preserve"> Se </w:t>
      </w:r>
      <w:r w:rsidRPr="00B56D5F">
        <w:rPr>
          <w:rFonts w:eastAsia="Palatino Linotype" w:cs="Palatino Linotype"/>
          <w:b/>
        </w:rPr>
        <w:t>CONFIRMA</w:t>
      </w:r>
      <w:r w:rsidR="0027504B" w:rsidRPr="00B56D5F">
        <w:rPr>
          <w:rFonts w:eastAsia="Palatino Linotype" w:cs="Palatino Linotype"/>
          <w:b/>
        </w:rPr>
        <w:t>N</w:t>
      </w:r>
      <w:r w:rsidRPr="00B56D5F">
        <w:rPr>
          <w:rFonts w:eastAsia="Palatino Linotype" w:cs="Palatino Linotype"/>
        </w:rPr>
        <w:t xml:space="preserve"> la</w:t>
      </w:r>
      <w:r w:rsidR="0027504B" w:rsidRPr="00B56D5F">
        <w:rPr>
          <w:rFonts w:eastAsia="Palatino Linotype" w:cs="Palatino Linotype"/>
        </w:rPr>
        <w:t>s</w:t>
      </w:r>
      <w:r w:rsidRPr="00B56D5F">
        <w:rPr>
          <w:rFonts w:eastAsia="Palatino Linotype" w:cs="Palatino Linotype"/>
        </w:rPr>
        <w:t xml:space="preserve"> respuesta</w:t>
      </w:r>
      <w:r w:rsidR="0027504B" w:rsidRPr="00B56D5F">
        <w:rPr>
          <w:rFonts w:eastAsia="Palatino Linotype" w:cs="Palatino Linotype"/>
        </w:rPr>
        <w:t>s</w:t>
      </w:r>
      <w:r w:rsidRPr="00B56D5F">
        <w:rPr>
          <w:rFonts w:eastAsia="Palatino Linotype" w:cs="Palatino Linotype"/>
        </w:rPr>
        <w:t xml:space="preserve"> entregada</w:t>
      </w:r>
      <w:r w:rsidR="0027504B" w:rsidRPr="00B56D5F">
        <w:rPr>
          <w:rFonts w:eastAsia="Palatino Linotype" w:cs="Palatino Linotype"/>
        </w:rPr>
        <w:t>s</w:t>
      </w:r>
      <w:r w:rsidRPr="00B56D5F">
        <w:rPr>
          <w:rFonts w:eastAsia="Palatino Linotype" w:cs="Palatino Linotype"/>
        </w:rPr>
        <w:t xml:space="preserve"> por el </w:t>
      </w:r>
      <w:r w:rsidRPr="00B56D5F">
        <w:rPr>
          <w:rFonts w:eastAsia="Palatino Linotype" w:cs="Palatino Linotype"/>
          <w:b/>
        </w:rPr>
        <w:t xml:space="preserve">Sujeto Obligado </w:t>
      </w:r>
      <w:r w:rsidRPr="00B56D5F">
        <w:rPr>
          <w:rFonts w:eastAsia="Palatino Linotype" w:cs="Palatino Linotype"/>
        </w:rPr>
        <w:t>a la</w:t>
      </w:r>
      <w:r w:rsidR="0027504B" w:rsidRPr="00B56D5F">
        <w:rPr>
          <w:rFonts w:eastAsia="Palatino Linotype" w:cs="Palatino Linotype"/>
        </w:rPr>
        <w:t>s</w:t>
      </w:r>
      <w:r w:rsidRPr="00B56D5F">
        <w:rPr>
          <w:rFonts w:eastAsia="Palatino Linotype" w:cs="Palatino Linotype"/>
        </w:rPr>
        <w:t xml:space="preserve"> solicitud</w:t>
      </w:r>
      <w:r w:rsidR="0027504B" w:rsidRPr="00B56D5F">
        <w:rPr>
          <w:rFonts w:eastAsia="Palatino Linotype" w:cs="Palatino Linotype"/>
        </w:rPr>
        <w:t>es</w:t>
      </w:r>
      <w:r w:rsidRPr="00B56D5F">
        <w:rPr>
          <w:rFonts w:eastAsia="Palatino Linotype" w:cs="Palatino Linotype"/>
        </w:rPr>
        <w:t xml:space="preserve"> de información</w:t>
      </w:r>
      <w:r w:rsidRPr="00B56D5F">
        <w:rPr>
          <w:b/>
          <w:bCs/>
        </w:rPr>
        <w:t xml:space="preserve"> 02351/IEEM/IP/2024</w:t>
      </w:r>
      <w:r w:rsidR="0027504B" w:rsidRPr="00B56D5F">
        <w:rPr>
          <w:b/>
          <w:bCs/>
        </w:rPr>
        <w:t xml:space="preserve"> y 02352/IEEM/IP/2024</w:t>
      </w:r>
      <w:r w:rsidRPr="00B56D5F">
        <w:rPr>
          <w:rFonts w:eastAsia="Palatino Linotype" w:cs="Palatino Linotype"/>
        </w:rPr>
        <w:t xml:space="preserve">, por resultar infundados los motivos de inconformidad argüidos por la parte </w:t>
      </w:r>
      <w:r w:rsidRPr="00B56D5F">
        <w:rPr>
          <w:rFonts w:eastAsia="Palatino Linotype" w:cs="Palatino Linotype"/>
          <w:b/>
        </w:rPr>
        <w:t>Recurrente</w:t>
      </w:r>
      <w:r w:rsidRPr="00B56D5F">
        <w:rPr>
          <w:rFonts w:eastAsia="Palatino Linotype" w:cs="Palatino Linotype"/>
        </w:rPr>
        <w:t>, en términos del considerando</w:t>
      </w:r>
      <w:r w:rsidRPr="00B56D5F">
        <w:rPr>
          <w:rFonts w:eastAsia="Palatino Linotype" w:cs="Palatino Linotype"/>
          <w:b/>
        </w:rPr>
        <w:t xml:space="preserve"> CUARTO </w:t>
      </w:r>
      <w:r w:rsidRPr="00B56D5F">
        <w:rPr>
          <w:rFonts w:eastAsia="Palatino Linotype" w:cs="Palatino Linotype"/>
        </w:rPr>
        <w:t xml:space="preserve">de la presente resolución. </w:t>
      </w:r>
    </w:p>
    <w:p w14:paraId="0D67730E" w14:textId="77777777" w:rsidR="002E63E8" w:rsidRPr="00B56D5F" w:rsidRDefault="002E63E8" w:rsidP="008030AF">
      <w:pPr>
        <w:pBdr>
          <w:top w:val="nil"/>
          <w:left w:val="nil"/>
          <w:bottom w:val="nil"/>
          <w:right w:val="nil"/>
          <w:between w:val="nil"/>
        </w:pBdr>
        <w:rPr>
          <w:rFonts w:eastAsia="Palatino Linotype" w:cs="Palatino Linotype"/>
        </w:rPr>
      </w:pPr>
    </w:p>
    <w:p w14:paraId="08A987C7" w14:textId="74B83517" w:rsidR="008030AF" w:rsidRPr="00B56D5F" w:rsidRDefault="008030AF" w:rsidP="008030AF">
      <w:pPr>
        <w:pBdr>
          <w:top w:val="nil"/>
          <w:left w:val="nil"/>
          <w:bottom w:val="nil"/>
          <w:right w:val="nil"/>
          <w:between w:val="nil"/>
        </w:pBdr>
        <w:rPr>
          <w:rFonts w:cs="Arial"/>
          <w:i/>
          <w:szCs w:val="23"/>
        </w:rPr>
      </w:pPr>
      <w:r w:rsidRPr="00B56D5F">
        <w:rPr>
          <w:rFonts w:eastAsia="Palatino Linotype" w:cs="Palatino Linotype"/>
          <w:b/>
          <w:sz w:val="26"/>
          <w:szCs w:val="26"/>
        </w:rPr>
        <w:t>SEGUNDO</w:t>
      </w:r>
      <w:r w:rsidRPr="00B56D5F">
        <w:rPr>
          <w:rFonts w:eastAsia="Palatino Linotype" w:cs="Palatino Linotype"/>
          <w:b/>
        </w:rPr>
        <w:t xml:space="preserve">. </w:t>
      </w:r>
      <w:r w:rsidRPr="00B56D5F">
        <w:rPr>
          <w:rFonts w:cs="Arial"/>
          <w:b/>
        </w:rPr>
        <w:t>Notifíquese</w:t>
      </w:r>
      <w:r w:rsidRPr="00B56D5F">
        <w:rPr>
          <w:rFonts w:eastAsia="Palatino Linotype" w:cs="Palatino Linotype"/>
          <w:b/>
        </w:rPr>
        <w:t xml:space="preserve">, </w:t>
      </w:r>
      <w:r w:rsidRPr="00B56D5F">
        <w:rPr>
          <w:rFonts w:eastAsia="Palatino Linotype" w:cs="Palatino Linotype"/>
        </w:rPr>
        <w:t>vía Sistema de Acceso a la Información Mexiquense (</w:t>
      </w:r>
      <w:r w:rsidRPr="00B56D5F">
        <w:rPr>
          <w:rFonts w:eastAsia="Palatino Linotype" w:cs="Palatino Linotype"/>
          <w:b/>
        </w:rPr>
        <w:t>SAIMEX),</w:t>
      </w:r>
      <w:r w:rsidRPr="00B56D5F">
        <w:rPr>
          <w:rFonts w:eastAsia="Palatino Linotype" w:cs="Palatino Linotype"/>
        </w:rPr>
        <w:t xml:space="preserve"> la presente resolución al Titular de la Unidad de Transparencia del </w:t>
      </w:r>
      <w:r w:rsidRPr="00B56D5F">
        <w:rPr>
          <w:rFonts w:eastAsia="Palatino Linotype" w:cs="Palatino Linotype"/>
          <w:b/>
        </w:rPr>
        <w:t>SUJETO OBLIGADO.</w:t>
      </w:r>
    </w:p>
    <w:p w14:paraId="6ACA99AF" w14:textId="77777777" w:rsidR="008030AF" w:rsidRPr="00B56D5F" w:rsidRDefault="008030AF" w:rsidP="008030AF">
      <w:pPr>
        <w:rPr>
          <w:rFonts w:cs="Arial"/>
          <w:lang w:eastAsia="es-ES"/>
        </w:rPr>
      </w:pPr>
    </w:p>
    <w:p w14:paraId="7976B7D8" w14:textId="59D99F7A" w:rsidR="008030AF" w:rsidRPr="00B56D5F" w:rsidRDefault="008030AF" w:rsidP="008030AF">
      <w:pPr>
        <w:rPr>
          <w:rFonts w:cs="Arial"/>
        </w:rPr>
      </w:pPr>
      <w:r w:rsidRPr="00B56D5F">
        <w:rPr>
          <w:rFonts w:eastAsia="Palatino Linotype" w:cs="Palatino Linotype"/>
          <w:b/>
          <w:sz w:val="26"/>
          <w:szCs w:val="26"/>
        </w:rPr>
        <w:t>TERCERO</w:t>
      </w:r>
      <w:r w:rsidRPr="00B56D5F">
        <w:rPr>
          <w:rFonts w:eastAsia="Palatino Linotype" w:cs="Palatino Linotype"/>
          <w:b/>
        </w:rPr>
        <w:t xml:space="preserve">. </w:t>
      </w:r>
      <w:r w:rsidRPr="00B56D5F">
        <w:rPr>
          <w:rFonts w:cs="Arial"/>
          <w:b/>
          <w:lang w:val="es-ES" w:eastAsia="es-ES"/>
        </w:rPr>
        <w:t>Notifíquese</w:t>
      </w:r>
      <w:r w:rsidRPr="00B56D5F">
        <w:rPr>
          <w:rFonts w:cs="Arial"/>
          <w:lang w:val="es-ES" w:eastAsia="es-ES"/>
        </w:rPr>
        <w:t xml:space="preserve"> </w:t>
      </w:r>
      <w:r w:rsidRPr="00B56D5F">
        <w:rPr>
          <w:rFonts w:cs="Arial"/>
          <w:b/>
          <w:lang w:val="es-ES" w:eastAsia="es-ES"/>
        </w:rPr>
        <w:t>a la Recurrente</w:t>
      </w:r>
      <w:r w:rsidRPr="00B56D5F">
        <w:rPr>
          <w:rFonts w:cs="Arial"/>
          <w:lang w:val="es-ES" w:eastAsia="es-ES"/>
        </w:rPr>
        <w:t xml:space="preserve"> a través del </w:t>
      </w:r>
      <w:r w:rsidRPr="00B56D5F">
        <w:rPr>
          <w:rFonts w:eastAsia="Palatino Linotype" w:cs="Palatino Linotype"/>
        </w:rPr>
        <w:t>Sistema de Acceso a la Información Mexiquense</w:t>
      </w:r>
      <w:r w:rsidRPr="00B56D5F">
        <w:rPr>
          <w:rFonts w:cs="Arial"/>
          <w:lang w:val="es-ES" w:eastAsia="es-ES"/>
        </w:rPr>
        <w:t xml:space="preserve"> (</w:t>
      </w:r>
      <w:r w:rsidRPr="00B56D5F">
        <w:rPr>
          <w:rFonts w:cs="Arial"/>
          <w:b/>
          <w:lang w:val="es-ES" w:eastAsia="es-ES"/>
        </w:rPr>
        <w:t>SAIMEX),</w:t>
      </w:r>
      <w:r w:rsidRPr="00B56D5F">
        <w:rPr>
          <w:rFonts w:cs="Arial"/>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13409A8C" w14:textId="77777777" w:rsidR="00BB1B59" w:rsidRPr="00B56D5F" w:rsidRDefault="00BB1B59" w:rsidP="00511260">
      <w:pPr>
        <w:rPr>
          <w:rFonts w:cs="Arial"/>
          <w:color w:val="000000"/>
          <w:szCs w:val="24"/>
        </w:rPr>
      </w:pPr>
    </w:p>
    <w:p w14:paraId="447A58D6" w14:textId="09EA3A15" w:rsidR="00511260" w:rsidRPr="00B56D5F" w:rsidRDefault="00511260" w:rsidP="00511260">
      <w:pPr>
        <w:rPr>
          <w:rFonts w:cs="Arial"/>
          <w:szCs w:val="24"/>
        </w:rPr>
      </w:pPr>
      <w:r w:rsidRPr="00B56D5F">
        <w:rPr>
          <w:rFonts w:cs="Arial"/>
          <w:szCs w:val="24"/>
        </w:rPr>
        <w:t xml:space="preserve">ASÍ LO RESUELVE, POR </w:t>
      </w:r>
      <w:r w:rsidRPr="00B56D5F">
        <w:rPr>
          <w:rFonts w:cs="Arial"/>
          <w:b/>
          <w:bCs/>
          <w:szCs w:val="24"/>
        </w:rPr>
        <w:t>UNANIMIDAD DE VOTOS</w:t>
      </w:r>
      <w:r w:rsidRPr="00B56D5F">
        <w:rPr>
          <w:rFonts w:cs="Arial"/>
          <w:szCs w:val="24"/>
        </w:rPr>
        <w:t xml:space="preserve"> EL PLENO DEL</w:t>
      </w:r>
      <w:r w:rsidRPr="00B56D5F">
        <w:rPr>
          <w:rFonts w:eastAsia="Arial Unicode MS" w:cs="Arial"/>
          <w:szCs w:val="24"/>
        </w:rPr>
        <w:t xml:space="preserve"> INSTITUTO DE TRANSPARENCIA, ACCESO A LA INFORMACIÓN PÚBLICA Y PROTECCIÓN DE DATOS PERSONALES DEL ESTADO DE MÉXICO Y MUNICIPIOS</w:t>
      </w:r>
      <w:r w:rsidRPr="00B56D5F">
        <w:rPr>
          <w:rFonts w:cs="Arial"/>
          <w:szCs w:val="24"/>
        </w:rPr>
        <w:t>, CONFORMADO POR LOS COMISIONADOS JOSÉ MARTÍNEZ VILCHIS, MARÍA DEL ROSARIO MEJÍA AYALA, SHARON CRISTINA MORALES MARTÍNEZ, LUIS GUSTAVO PARRA NORIEGA Y GUADALUPE RAMÍREZ PEÑA, E</w:t>
      </w:r>
      <w:r w:rsidR="005F5C5C" w:rsidRPr="00B56D5F">
        <w:rPr>
          <w:rFonts w:cs="Arial"/>
          <w:szCs w:val="24"/>
        </w:rPr>
        <w:t xml:space="preserve">N </w:t>
      </w:r>
      <w:r w:rsidR="005F5C5C" w:rsidRPr="00B56D5F">
        <w:rPr>
          <w:rFonts w:cs="Arial"/>
          <w:b/>
          <w:bCs/>
          <w:szCs w:val="24"/>
        </w:rPr>
        <w:t>LA TRIGÉSIMA</w:t>
      </w:r>
      <w:r w:rsidRPr="00B56D5F">
        <w:rPr>
          <w:rFonts w:cs="Arial"/>
          <w:b/>
          <w:bCs/>
          <w:szCs w:val="24"/>
          <w:lang w:val="es-419"/>
        </w:rPr>
        <w:t xml:space="preserve"> QUINTA </w:t>
      </w:r>
      <w:r w:rsidRPr="00B56D5F">
        <w:rPr>
          <w:rFonts w:cs="Arial"/>
          <w:b/>
          <w:bCs/>
          <w:szCs w:val="24"/>
        </w:rPr>
        <w:t>SESIÓN ORDINARIA CELEBRADA</w:t>
      </w:r>
      <w:r w:rsidR="005F5C5C" w:rsidRPr="00B56D5F">
        <w:rPr>
          <w:rFonts w:cs="Arial"/>
          <w:b/>
          <w:bCs/>
          <w:szCs w:val="24"/>
        </w:rPr>
        <w:t xml:space="preserve"> EL TRES DE OCTUBRE DE DOS MIL VEINTICUATRO</w:t>
      </w:r>
      <w:r w:rsidR="006C3558" w:rsidRPr="00B56D5F">
        <w:rPr>
          <w:rFonts w:cs="Arial"/>
          <w:szCs w:val="24"/>
        </w:rPr>
        <w:t xml:space="preserve">, ANTE EL </w:t>
      </w:r>
      <w:r w:rsidRPr="00B56D5F">
        <w:rPr>
          <w:rFonts w:cs="Arial"/>
          <w:szCs w:val="24"/>
        </w:rPr>
        <w:t>SECRETARIO TÉCNICO D</w:t>
      </w:r>
      <w:r w:rsidR="006C3558" w:rsidRPr="00B56D5F">
        <w:rPr>
          <w:rFonts w:cs="Arial"/>
          <w:szCs w:val="24"/>
        </w:rPr>
        <w:t>EL PLENO, ALEXIS TAPIA RAMÍREZ.</w:t>
      </w:r>
      <w:r w:rsidRPr="00B56D5F">
        <w:rPr>
          <w:rFonts w:cs="Arial"/>
          <w:szCs w:val="24"/>
        </w:rPr>
        <w:t>-----------------------------------------------------------------------------------------------------------------------------------</w:t>
      </w:r>
      <w:r w:rsidR="006C3558" w:rsidRPr="00B56D5F">
        <w:rPr>
          <w:rFonts w:cs="Arial"/>
          <w:szCs w:val="24"/>
        </w:rPr>
        <w:t xml:space="preserve"> ---------------------------------------------------------------------------------------------------------------------</w:t>
      </w:r>
    </w:p>
    <w:p w14:paraId="4AAAEFDA" w14:textId="0438BBA4" w:rsidR="00511260" w:rsidRDefault="006C3558" w:rsidP="00511260">
      <w:pPr>
        <w:rPr>
          <w:rFonts w:cs="Arial"/>
          <w:sz w:val="20"/>
        </w:rPr>
      </w:pPr>
      <w:r w:rsidRPr="00B56D5F">
        <w:rPr>
          <w:rFonts w:cs="Arial"/>
          <w:szCs w:val="24"/>
        </w:rPr>
        <w:t>---------------------------------------------------------------------------------------------------------------------------------------------------------------------------------------------------------------------------------------------------------------------------------------------------------------------------------------------------------------------------------------------------------------------------------------------------------------------------------------------------------------------------------------------------------------------------------------------------------</w:t>
      </w:r>
      <w:r w:rsidR="00511260" w:rsidRPr="00B56D5F">
        <w:rPr>
          <w:rFonts w:cs="Arial"/>
          <w:sz w:val="20"/>
        </w:rPr>
        <w:t>JMV/CCR/NJMB</w:t>
      </w:r>
      <w:bookmarkStart w:id="0" w:name="_GoBack"/>
      <w:bookmarkEnd w:id="0"/>
    </w:p>
    <w:p w14:paraId="1AC06A9F" w14:textId="77777777" w:rsidR="00511260" w:rsidRDefault="00511260" w:rsidP="00511260">
      <w:pPr>
        <w:rPr>
          <w:rFonts w:cs="Arial"/>
          <w:sz w:val="20"/>
        </w:rPr>
      </w:pPr>
    </w:p>
    <w:p w14:paraId="62C702DE" w14:textId="77777777" w:rsidR="00511260" w:rsidRDefault="00511260" w:rsidP="00511260">
      <w:pPr>
        <w:rPr>
          <w:rFonts w:cs="Arial"/>
          <w:sz w:val="20"/>
        </w:rPr>
      </w:pPr>
    </w:p>
    <w:p w14:paraId="07C5E5D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4E0EAE10"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38708F"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42E223"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34EA176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391B21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576957F2"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7F5FBEF8"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72E2B0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61366E68" w14:textId="77777777" w:rsidR="00511260" w:rsidRPr="004B7011" w:rsidRDefault="00511260" w:rsidP="00511260"/>
    <w:p w14:paraId="00368013" w14:textId="77777777" w:rsidR="00511260" w:rsidRDefault="00511260" w:rsidP="00511260"/>
    <w:p w14:paraId="45DC08C8" w14:textId="77777777" w:rsidR="00511260" w:rsidRDefault="00511260" w:rsidP="00511260"/>
    <w:p w14:paraId="1A6A0019" w14:textId="77777777" w:rsidR="00511260" w:rsidRDefault="00511260"/>
    <w:sectPr w:rsidR="00511260" w:rsidSect="00511260">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3A096" w14:textId="77777777" w:rsidR="00B06067" w:rsidRDefault="00B06067" w:rsidP="00511260">
      <w:pPr>
        <w:spacing w:line="240" w:lineRule="auto"/>
      </w:pPr>
      <w:r>
        <w:separator/>
      </w:r>
    </w:p>
  </w:endnote>
  <w:endnote w:type="continuationSeparator" w:id="0">
    <w:p w14:paraId="4ABC767F" w14:textId="77777777" w:rsidR="00B06067" w:rsidRDefault="00B06067" w:rsidP="00511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AE979" w14:textId="2FE5BB9E" w:rsidR="006757F8" w:rsidRPr="00871A91" w:rsidRDefault="006757F8"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56D5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56D5F">
      <w:rPr>
        <w:rFonts w:ascii="Palatino Linotype" w:hAnsi="Palatino Linotype"/>
        <w:b/>
        <w:bCs/>
        <w:noProof/>
        <w:sz w:val="20"/>
      </w:rPr>
      <w:t>27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808D4" w14:textId="00380246" w:rsidR="006757F8" w:rsidRPr="00871A91" w:rsidRDefault="006757F8"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56D5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56D5F">
      <w:rPr>
        <w:rFonts w:ascii="Palatino Linotype" w:hAnsi="Palatino Linotype"/>
        <w:b/>
        <w:bCs/>
        <w:noProof/>
        <w:sz w:val="20"/>
      </w:rPr>
      <w:t>27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FCEC6" w14:textId="77777777" w:rsidR="00B06067" w:rsidRDefault="00B06067" w:rsidP="00511260">
      <w:pPr>
        <w:spacing w:line="240" w:lineRule="auto"/>
      </w:pPr>
      <w:r>
        <w:separator/>
      </w:r>
    </w:p>
  </w:footnote>
  <w:footnote w:type="continuationSeparator" w:id="0">
    <w:p w14:paraId="012997E7" w14:textId="77777777" w:rsidR="00B06067" w:rsidRDefault="00B06067" w:rsidP="00511260">
      <w:pPr>
        <w:spacing w:line="240" w:lineRule="auto"/>
      </w:pPr>
      <w:r>
        <w:continuationSeparator/>
      </w:r>
    </w:p>
  </w:footnote>
  <w:footnote w:id="1">
    <w:p w14:paraId="2549BD1F" w14:textId="77777777" w:rsidR="006757F8" w:rsidRPr="00481AAF" w:rsidRDefault="006757F8" w:rsidP="00511260">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18E915AC" w14:textId="77777777" w:rsidR="006757F8" w:rsidRPr="00946E1F" w:rsidRDefault="006757F8" w:rsidP="00511260">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423B" w14:textId="77777777" w:rsidR="006757F8" w:rsidRDefault="00B56D5F">
    <w:pPr>
      <w:pStyle w:val="Encabezado"/>
    </w:pPr>
    <w:r>
      <w:rPr>
        <w:noProof/>
        <w:lang w:val="es-MX" w:eastAsia="es-MX"/>
      </w:rPr>
      <w:pict w14:anchorId="40F11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757F8" w:rsidRPr="00B17577" w14:paraId="74F8F2EF" w14:textId="77777777" w:rsidTr="00F34B81">
      <w:trPr>
        <w:trHeight w:val="227"/>
      </w:trPr>
      <w:tc>
        <w:tcPr>
          <w:tcW w:w="5103" w:type="dxa"/>
          <w:hideMark/>
        </w:tcPr>
        <w:p w14:paraId="7016A1D4" w14:textId="77777777" w:rsidR="006757F8" w:rsidRPr="00096248" w:rsidRDefault="006757F8" w:rsidP="00F34B81">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2F4B4092" w14:textId="017934E7" w:rsidR="006757F8" w:rsidRPr="00096248" w:rsidRDefault="006757F8" w:rsidP="00F34B81">
          <w:pPr>
            <w:spacing w:after="120" w:line="240" w:lineRule="auto"/>
            <w:ind w:right="71"/>
            <w:jc w:val="right"/>
            <w:rPr>
              <w:rFonts w:cs="Arial"/>
              <w:b/>
              <w:szCs w:val="24"/>
            </w:rPr>
          </w:pPr>
          <w:r>
            <w:rPr>
              <w:rFonts w:cs="Arial"/>
              <w:b/>
              <w:bCs/>
              <w:szCs w:val="24"/>
            </w:rPr>
            <w:t>05475</w:t>
          </w:r>
          <w:r w:rsidRPr="00096248">
            <w:rPr>
              <w:rFonts w:cs="Arial"/>
              <w:b/>
              <w:bCs/>
              <w:szCs w:val="24"/>
            </w:rPr>
            <w:t>/INFOEM/IP/RR/202</w:t>
          </w:r>
          <w:r>
            <w:rPr>
              <w:rFonts w:cs="Arial"/>
              <w:b/>
              <w:bCs/>
              <w:szCs w:val="24"/>
            </w:rPr>
            <w:t>4</w:t>
          </w:r>
        </w:p>
      </w:tc>
    </w:tr>
    <w:tr w:rsidR="006757F8" w14:paraId="18E3B481" w14:textId="77777777" w:rsidTr="00F34B81">
      <w:trPr>
        <w:trHeight w:val="242"/>
      </w:trPr>
      <w:tc>
        <w:tcPr>
          <w:tcW w:w="5103" w:type="dxa"/>
          <w:hideMark/>
        </w:tcPr>
        <w:p w14:paraId="0D8CA91F" w14:textId="77777777" w:rsidR="006757F8" w:rsidRPr="00096248" w:rsidRDefault="006757F8" w:rsidP="00F34B81">
          <w:pPr>
            <w:spacing w:after="120" w:line="240" w:lineRule="auto"/>
            <w:ind w:right="69"/>
            <w:jc w:val="right"/>
            <w:rPr>
              <w:rFonts w:cs="Arial"/>
              <w:b/>
              <w:szCs w:val="24"/>
            </w:rPr>
          </w:pPr>
          <w:r w:rsidRPr="00096248">
            <w:rPr>
              <w:rFonts w:cs="Arial"/>
              <w:b/>
              <w:szCs w:val="24"/>
            </w:rPr>
            <w:t>Sujeto Obligado:</w:t>
          </w:r>
        </w:p>
      </w:tc>
      <w:tc>
        <w:tcPr>
          <w:tcW w:w="4395" w:type="dxa"/>
          <w:hideMark/>
        </w:tcPr>
        <w:p w14:paraId="6840CC1F" w14:textId="033BA0EE" w:rsidR="006757F8" w:rsidRPr="00096248" w:rsidRDefault="006757F8" w:rsidP="00F34B81">
          <w:pPr>
            <w:spacing w:after="120" w:line="240" w:lineRule="auto"/>
            <w:ind w:left="-81" w:right="71"/>
            <w:jc w:val="right"/>
            <w:rPr>
              <w:rFonts w:cs="Arial"/>
              <w:szCs w:val="24"/>
            </w:rPr>
          </w:pPr>
          <w:r w:rsidRPr="00D321D8">
            <w:rPr>
              <w:rFonts w:cs="Arial"/>
              <w:b/>
              <w:bCs/>
              <w:szCs w:val="24"/>
            </w:rPr>
            <w:t>Instituto Electoral del Estado de México</w:t>
          </w:r>
        </w:p>
      </w:tc>
    </w:tr>
    <w:tr w:rsidR="006757F8" w:rsidRPr="00F63239" w14:paraId="2CCA9704" w14:textId="77777777" w:rsidTr="00F34B81">
      <w:trPr>
        <w:trHeight w:val="342"/>
      </w:trPr>
      <w:tc>
        <w:tcPr>
          <w:tcW w:w="5103" w:type="dxa"/>
          <w:hideMark/>
        </w:tcPr>
        <w:p w14:paraId="72907A46" w14:textId="77777777" w:rsidR="006757F8" w:rsidRPr="00096248" w:rsidRDefault="006757F8" w:rsidP="00F34B81">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BAFBF39" w14:textId="77777777" w:rsidR="006757F8" w:rsidRDefault="006757F8" w:rsidP="00F34B81">
          <w:pPr>
            <w:spacing w:after="120" w:line="240" w:lineRule="auto"/>
            <w:ind w:left="-486" w:right="71" w:firstLine="567"/>
            <w:jc w:val="right"/>
            <w:rPr>
              <w:rFonts w:cs="Arial"/>
              <w:szCs w:val="24"/>
            </w:rPr>
          </w:pPr>
          <w:r w:rsidRPr="00096248">
            <w:rPr>
              <w:rFonts w:cs="Arial"/>
              <w:szCs w:val="24"/>
            </w:rPr>
            <w:t>José Martínez Vilchis</w:t>
          </w:r>
        </w:p>
        <w:p w14:paraId="1047C7D9" w14:textId="77777777" w:rsidR="006757F8" w:rsidRPr="00711916" w:rsidRDefault="006757F8" w:rsidP="00F34B81">
          <w:pPr>
            <w:spacing w:after="120" w:line="240" w:lineRule="auto"/>
            <w:ind w:left="-486" w:right="71" w:firstLine="567"/>
            <w:jc w:val="right"/>
            <w:rPr>
              <w:rFonts w:cs="Arial"/>
              <w:sz w:val="2"/>
              <w:szCs w:val="2"/>
            </w:rPr>
          </w:pPr>
        </w:p>
      </w:tc>
    </w:tr>
  </w:tbl>
  <w:p w14:paraId="73103D5B" w14:textId="77777777" w:rsidR="006757F8" w:rsidRPr="00871A91" w:rsidRDefault="00B56D5F">
    <w:pPr>
      <w:pStyle w:val="Encabezado"/>
      <w:rPr>
        <w:sz w:val="2"/>
      </w:rPr>
    </w:pPr>
    <w:r>
      <w:rPr>
        <w:noProof/>
        <w:lang w:val="es-MX" w:eastAsia="es-MX"/>
      </w:rPr>
      <w:pict w14:anchorId="7D3C7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6757F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757F8" w14:paraId="70AFDA88" w14:textId="77777777" w:rsidTr="00F34B81">
      <w:trPr>
        <w:trHeight w:val="227"/>
      </w:trPr>
      <w:tc>
        <w:tcPr>
          <w:tcW w:w="5103" w:type="dxa"/>
          <w:hideMark/>
        </w:tcPr>
        <w:p w14:paraId="3D064589" w14:textId="77777777" w:rsidR="006757F8" w:rsidRPr="00663A37" w:rsidRDefault="006757F8" w:rsidP="00F34B81">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34A673A9" w14:textId="6CD99E5B" w:rsidR="006757F8" w:rsidRPr="001776EC" w:rsidRDefault="006757F8" w:rsidP="00F34B81">
          <w:pPr>
            <w:spacing w:after="120" w:line="240" w:lineRule="auto"/>
            <w:ind w:left="-486" w:right="68" w:firstLine="558"/>
            <w:jc w:val="right"/>
            <w:rPr>
              <w:rFonts w:cs="Arial"/>
              <w:b/>
              <w:bCs/>
              <w:szCs w:val="24"/>
            </w:rPr>
          </w:pPr>
          <w:r>
            <w:rPr>
              <w:rFonts w:cs="Arial"/>
              <w:b/>
              <w:bCs/>
              <w:szCs w:val="24"/>
            </w:rPr>
            <w:t>05475/INFOEM/IP/RR/2024 y acumulado</w:t>
          </w:r>
        </w:p>
      </w:tc>
    </w:tr>
    <w:tr w:rsidR="006757F8" w:rsidRPr="001F57CD" w14:paraId="32A34B18" w14:textId="77777777" w:rsidTr="00F34B81">
      <w:trPr>
        <w:trHeight w:val="196"/>
      </w:trPr>
      <w:tc>
        <w:tcPr>
          <w:tcW w:w="5103" w:type="dxa"/>
          <w:hideMark/>
        </w:tcPr>
        <w:p w14:paraId="255F7FD4" w14:textId="77777777" w:rsidR="006757F8" w:rsidRPr="00663A37" w:rsidRDefault="006757F8" w:rsidP="00F34B81">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hideMark/>
        </w:tcPr>
        <w:p w14:paraId="5BB7BB8F" w14:textId="1816AFCE" w:rsidR="006757F8" w:rsidRPr="00663A37" w:rsidRDefault="000D6086" w:rsidP="00F34B81">
          <w:pPr>
            <w:spacing w:after="120" w:line="240" w:lineRule="auto"/>
            <w:ind w:right="68"/>
            <w:jc w:val="right"/>
            <w:rPr>
              <w:rFonts w:cs="Arial"/>
              <w:szCs w:val="24"/>
            </w:rPr>
          </w:pPr>
          <w:r>
            <w:rPr>
              <w:rFonts w:cs="Arial"/>
              <w:szCs w:val="24"/>
            </w:rPr>
            <w:t>XXXXXXXXXXXXX</w:t>
          </w:r>
        </w:p>
      </w:tc>
    </w:tr>
    <w:tr w:rsidR="006757F8" w14:paraId="7472047E" w14:textId="77777777" w:rsidTr="00F34B81">
      <w:trPr>
        <w:trHeight w:val="242"/>
      </w:trPr>
      <w:tc>
        <w:tcPr>
          <w:tcW w:w="5103" w:type="dxa"/>
          <w:hideMark/>
        </w:tcPr>
        <w:p w14:paraId="3D84B202" w14:textId="77777777" w:rsidR="006757F8" w:rsidRPr="00663A37" w:rsidRDefault="006757F8" w:rsidP="00F34B81">
          <w:pPr>
            <w:spacing w:after="120" w:line="240" w:lineRule="auto"/>
            <w:ind w:right="68"/>
            <w:jc w:val="right"/>
            <w:rPr>
              <w:rFonts w:cs="Arial"/>
              <w:b/>
              <w:szCs w:val="24"/>
            </w:rPr>
          </w:pPr>
          <w:r w:rsidRPr="00663A37">
            <w:rPr>
              <w:rFonts w:cs="Arial"/>
              <w:b/>
              <w:szCs w:val="24"/>
            </w:rPr>
            <w:t>Sujeto Obligado:</w:t>
          </w:r>
        </w:p>
      </w:tc>
      <w:tc>
        <w:tcPr>
          <w:tcW w:w="4395" w:type="dxa"/>
          <w:hideMark/>
        </w:tcPr>
        <w:p w14:paraId="26ADCBD9" w14:textId="3D4CE738" w:rsidR="006757F8" w:rsidRPr="00663A37" w:rsidRDefault="006757F8" w:rsidP="00F34B81">
          <w:pPr>
            <w:spacing w:after="120" w:line="240" w:lineRule="auto"/>
            <w:ind w:left="-70" w:right="68"/>
            <w:jc w:val="right"/>
            <w:rPr>
              <w:rFonts w:cs="Arial"/>
              <w:szCs w:val="24"/>
            </w:rPr>
          </w:pPr>
          <w:r w:rsidRPr="00D321D8">
            <w:rPr>
              <w:rFonts w:cs="Arial"/>
              <w:b/>
              <w:bCs/>
              <w:szCs w:val="24"/>
            </w:rPr>
            <w:t>Instituto Electoral del Estado de México</w:t>
          </w:r>
        </w:p>
      </w:tc>
    </w:tr>
    <w:tr w:rsidR="006757F8" w14:paraId="7436AB92" w14:textId="77777777" w:rsidTr="00F34B81">
      <w:trPr>
        <w:trHeight w:val="342"/>
      </w:trPr>
      <w:tc>
        <w:tcPr>
          <w:tcW w:w="5103" w:type="dxa"/>
          <w:hideMark/>
        </w:tcPr>
        <w:p w14:paraId="55234C9C" w14:textId="77777777" w:rsidR="006757F8" w:rsidRPr="00663A37" w:rsidRDefault="006757F8" w:rsidP="00F34B81">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463ED9CF" w14:textId="77777777" w:rsidR="006757F8" w:rsidRPr="00663A37" w:rsidRDefault="006757F8" w:rsidP="00F34B81">
          <w:pPr>
            <w:spacing w:after="120" w:line="240" w:lineRule="auto"/>
            <w:ind w:left="-486" w:right="68" w:firstLine="567"/>
            <w:jc w:val="right"/>
            <w:rPr>
              <w:rFonts w:cs="Arial"/>
              <w:szCs w:val="24"/>
            </w:rPr>
          </w:pPr>
          <w:r w:rsidRPr="00663A37">
            <w:rPr>
              <w:rFonts w:cs="Arial"/>
              <w:szCs w:val="24"/>
            </w:rPr>
            <w:t>José Martínez Vilchis</w:t>
          </w:r>
        </w:p>
      </w:tc>
    </w:tr>
  </w:tbl>
  <w:p w14:paraId="7060E3EA" w14:textId="77777777" w:rsidR="006757F8" w:rsidRPr="00871A91" w:rsidRDefault="006757F8">
    <w:pPr>
      <w:pStyle w:val="Encabezado"/>
      <w:rPr>
        <w:sz w:val="2"/>
      </w:rPr>
    </w:pPr>
    <w:r>
      <w:rPr>
        <w:noProof/>
        <w:lang w:val="es-MX" w:eastAsia="es-MX"/>
      </w:rPr>
      <w:drawing>
        <wp:anchor distT="0" distB="0" distL="114300" distR="114300" simplePos="0" relativeHeight="251661312" behindDoc="1" locked="0" layoutInCell="0" allowOverlap="1" wp14:anchorId="05732BEF" wp14:editId="2E69136B">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DAE"/>
    <w:multiLevelType w:val="hybridMultilevel"/>
    <w:tmpl w:val="D714B6F6"/>
    <w:lvl w:ilvl="0" w:tplc="7D2452E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122E0B"/>
    <w:multiLevelType w:val="multilevel"/>
    <w:tmpl w:val="72F6A312"/>
    <w:lvl w:ilvl="0">
      <w:start w:val="1"/>
      <w:numFmt w:val="decimal"/>
      <w:lvlText w:val="%1."/>
      <w:lvlJc w:val="left"/>
      <w:pPr>
        <w:ind w:left="1133" w:hanging="425"/>
      </w:pPr>
      <w:rPr>
        <w:rFonts w:hint="default"/>
        <w:i/>
        <w:iCs/>
      </w:rPr>
    </w:lvl>
    <w:lvl w:ilvl="1">
      <w:start w:val="1"/>
      <w:numFmt w:val="decimal"/>
      <w:lvlText w:val="%1.%2."/>
      <w:lvlJc w:val="left"/>
      <w:pPr>
        <w:ind w:left="1700" w:hanging="567"/>
      </w:pPr>
      <w:rPr>
        <w:rFonts w:hint="default"/>
        <w:i/>
        <w:iCs/>
      </w:rPr>
    </w:lvl>
    <w:lvl w:ilvl="2">
      <w:start w:val="1"/>
      <w:numFmt w:val="decimal"/>
      <w:lvlText w:val="%1.%2.%3."/>
      <w:lvlJc w:val="left"/>
      <w:pPr>
        <w:ind w:left="1648" w:hanging="504"/>
      </w:pPr>
      <w:rPr>
        <w:rFonts w:hint="default"/>
      </w:rPr>
    </w:lvl>
    <w:lvl w:ilvl="3">
      <w:start w:val="1"/>
      <w:numFmt w:val="decimal"/>
      <w:lvlText w:val="%1.%2.%3.%4."/>
      <w:lvlJc w:val="left"/>
      <w:pPr>
        <w:ind w:left="2152" w:hanging="648"/>
      </w:pPr>
      <w:rPr>
        <w:rFonts w:hint="default"/>
      </w:rPr>
    </w:lvl>
    <w:lvl w:ilvl="4">
      <w:start w:val="1"/>
      <w:numFmt w:val="decimal"/>
      <w:lvlText w:val="%1.%2.%3.%4.%5."/>
      <w:lvlJc w:val="left"/>
      <w:pPr>
        <w:ind w:left="2656" w:hanging="792"/>
      </w:pPr>
      <w:rPr>
        <w:rFonts w:hint="default"/>
      </w:rPr>
    </w:lvl>
    <w:lvl w:ilvl="5">
      <w:start w:val="1"/>
      <w:numFmt w:val="decimal"/>
      <w:lvlText w:val="%1.%2.%3.%4.%5.%6."/>
      <w:lvlJc w:val="left"/>
      <w:pPr>
        <w:ind w:left="3160" w:hanging="936"/>
      </w:pPr>
      <w:rPr>
        <w:rFonts w:hint="default"/>
      </w:rPr>
    </w:lvl>
    <w:lvl w:ilvl="6">
      <w:start w:val="1"/>
      <w:numFmt w:val="decimal"/>
      <w:lvlText w:val="%1.%2.%3.%4.%5.%6.%7."/>
      <w:lvlJc w:val="left"/>
      <w:pPr>
        <w:ind w:left="3664" w:hanging="1080"/>
      </w:pPr>
      <w:rPr>
        <w:rFonts w:hint="default"/>
      </w:rPr>
    </w:lvl>
    <w:lvl w:ilvl="7">
      <w:start w:val="1"/>
      <w:numFmt w:val="decimal"/>
      <w:lvlText w:val="%1.%2.%3.%4.%5.%6.%7.%8."/>
      <w:lvlJc w:val="left"/>
      <w:pPr>
        <w:ind w:left="4168" w:hanging="1224"/>
      </w:pPr>
      <w:rPr>
        <w:rFonts w:hint="default"/>
      </w:rPr>
    </w:lvl>
    <w:lvl w:ilvl="8">
      <w:start w:val="1"/>
      <w:numFmt w:val="decimal"/>
      <w:lvlText w:val="%1.%2.%3.%4.%5.%6.%7.%8.%9."/>
      <w:lvlJc w:val="left"/>
      <w:pPr>
        <w:ind w:left="4744" w:hanging="1440"/>
      </w:pPr>
      <w:rPr>
        <w:rFonts w:hint="default"/>
      </w:rPr>
    </w:lvl>
  </w:abstractNum>
  <w:abstractNum w:abstractNumId="3"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D50347"/>
    <w:multiLevelType w:val="hybridMultilevel"/>
    <w:tmpl w:val="741A9054"/>
    <w:lvl w:ilvl="0" w:tplc="247C098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D8C4DE0"/>
    <w:multiLevelType w:val="hybridMultilevel"/>
    <w:tmpl w:val="69DE07A4"/>
    <w:lvl w:ilvl="0" w:tplc="A3D6F8CC">
      <w:start w:val="1"/>
      <w:numFmt w:val="decimal"/>
      <w:lvlText w:val="%1."/>
      <w:lvlJc w:val="left"/>
      <w:pPr>
        <w:ind w:left="1429" w:hanging="360"/>
      </w:pPr>
      <w:rPr>
        <w:rFonts w:eastAsia="Calibri" w:cs="Calibri"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2A32513"/>
    <w:multiLevelType w:val="hybridMultilevel"/>
    <w:tmpl w:val="B9E642F2"/>
    <w:lvl w:ilvl="0" w:tplc="42A668D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C3C40"/>
    <w:multiLevelType w:val="hybridMultilevel"/>
    <w:tmpl w:val="138C69A8"/>
    <w:lvl w:ilvl="0" w:tplc="AFFE295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560839D1"/>
    <w:multiLevelType w:val="hybridMultilevel"/>
    <w:tmpl w:val="5D169F9C"/>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25084A"/>
    <w:multiLevelType w:val="hybridMultilevel"/>
    <w:tmpl w:val="0ED0BEBE"/>
    <w:lvl w:ilvl="0" w:tplc="2FB6D926">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9F25CE"/>
    <w:multiLevelType w:val="hybridMultilevel"/>
    <w:tmpl w:val="84C4DA46"/>
    <w:lvl w:ilvl="0" w:tplc="F72613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984205"/>
    <w:multiLevelType w:val="hybridMultilevel"/>
    <w:tmpl w:val="11DA4158"/>
    <w:lvl w:ilvl="0" w:tplc="364C5A56">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4"/>
  </w:num>
  <w:num w:numId="5">
    <w:abstractNumId w:val="7"/>
  </w:num>
  <w:num w:numId="6">
    <w:abstractNumId w:val="5"/>
  </w:num>
  <w:num w:numId="7">
    <w:abstractNumId w:val="13"/>
  </w:num>
  <w:num w:numId="8">
    <w:abstractNumId w:val="0"/>
  </w:num>
  <w:num w:numId="9">
    <w:abstractNumId w:val="10"/>
  </w:num>
  <w:num w:numId="10">
    <w:abstractNumId w:val="9"/>
  </w:num>
  <w:num w:numId="11">
    <w:abstractNumId w:val="3"/>
  </w:num>
  <w:num w:numId="12">
    <w:abstractNumId w:val="2"/>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60"/>
    <w:rsid w:val="000076C9"/>
    <w:rsid w:val="00090A5D"/>
    <w:rsid w:val="000D6086"/>
    <w:rsid w:val="00133F65"/>
    <w:rsid w:val="001963C1"/>
    <w:rsid w:val="001A0AE4"/>
    <w:rsid w:val="001C6BDD"/>
    <w:rsid w:val="00246D6E"/>
    <w:rsid w:val="0027504B"/>
    <w:rsid w:val="00284DAC"/>
    <w:rsid w:val="002C6981"/>
    <w:rsid w:val="002E63E8"/>
    <w:rsid w:val="00350334"/>
    <w:rsid w:val="00362D0C"/>
    <w:rsid w:val="00407F9E"/>
    <w:rsid w:val="0044416C"/>
    <w:rsid w:val="004643B1"/>
    <w:rsid w:val="004C1EAB"/>
    <w:rsid w:val="00511260"/>
    <w:rsid w:val="00514EB8"/>
    <w:rsid w:val="005D3B64"/>
    <w:rsid w:val="005F5C5C"/>
    <w:rsid w:val="005F6C6D"/>
    <w:rsid w:val="00646E4F"/>
    <w:rsid w:val="006537E2"/>
    <w:rsid w:val="006757F8"/>
    <w:rsid w:val="00690C9E"/>
    <w:rsid w:val="006C3558"/>
    <w:rsid w:val="007460DF"/>
    <w:rsid w:val="00796422"/>
    <w:rsid w:val="007B1488"/>
    <w:rsid w:val="008030AF"/>
    <w:rsid w:val="008156CA"/>
    <w:rsid w:val="0082399A"/>
    <w:rsid w:val="008D2BAF"/>
    <w:rsid w:val="008E4499"/>
    <w:rsid w:val="008F7EEB"/>
    <w:rsid w:val="009275AE"/>
    <w:rsid w:val="00931B6C"/>
    <w:rsid w:val="0093331B"/>
    <w:rsid w:val="009417F8"/>
    <w:rsid w:val="00963ABA"/>
    <w:rsid w:val="00A35E71"/>
    <w:rsid w:val="00B06067"/>
    <w:rsid w:val="00B156C7"/>
    <w:rsid w:val="00B40A7A"/>
    <w:rsid w:val="00B41B79"/>
    <w:rsid w:val="00B426F3"/>
    <w:rsid w:val="00B52B00"/>
    <w:rsid w:val="00B56D5F"/>
    <w:rsid w:val="00BB1B59"/>
    <w:rsid w:val="00CB17C5"/>
    <w:rsid w:val="00CF7459"/>
    <w:rsid w:val="00D321D8"/>
    <w:rsid w:val="00DA406E"/>
    <w:rsid w:val="00DA5FB4"/>
    <w:rsid w:val="00E37B9A"/>
    <w:rsid w:val="00E513F1"/>
    <w:rsid w:val="00F34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500566"/>
  <w15:chartTrackingRefBased/>
  <w15:docId w15:val="{4650A120-658D-49D8-A205-3B2DFAB0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260"/>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511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511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12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12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12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12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12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12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126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511260"/>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5112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12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12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12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12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12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12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1260"/>
    <w:rPr>
      <w:rFonts w:eastAsiaTheme="majorEastAsia" w:cstheme="majorBidi"/>
      <w:color w:val="272727" w:themeColor="text1" w:themeTint="D8"/>
    </w:rPr>
  </w:style>
  <w:style w:type="paragraph" w:styleId="Puesto">
    <w:name w:val="Title"/>
    <w:basedOn w:val="Normal"/>
    <w:next w:val="Normal"/>
    <w:link w:val="PuestoCar"/>
    <w:uiPriority w:val="10"/>
    <w:qFormat/>
    <w:rsid w:val="00511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112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12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12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1260"/>
    <w:pPr>
      <w:spacing w:before="160"/>
      <w:jc w:val="center"/>
    </w:pPr>
    <w:rPr>
      <w:i/>
      <w:iCs/>
      <w:color w:val="404040" w:themeColor="text1" w:themeTint="BF"/>
    </w:rPr>
  </w:style>
  <w:style w:type="character" w:customStyle="1" w:styleId="CitaCar">
    <w:name w:val="Cita Car"/>
    <w:basedOn w:val="Fuentedeprrafopredeter"/>
    <w:link w:val="Cita"/>
    <w:uiPriority w:val="29"/>
    <w:rsid w:val="0051126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11260"/>
    <w:pPr>
      <w:ind w:left="720"/>
      <w:contextualSpacing/>
    </w:pPr>
  </w:style>
  <w:style w:type="character" w:styleId="nfasisintenso">
    <w:name w:val="Intense Emphasis"/>
    <w:basedOn w:val="Fuentedeprrafopredeter"/>
    <w:uiPriority w:val="21"/>
    <w:qFormat/>
    <w:rsid w:val="00511260"/>
    <w:rPr>
      <w:i/>
      <w:iCs/>
      <w:color w:val="0F4761" w:themeColor="accent1" w:themeShade="BF"/>
    </w:rPr>
  </w:style>
  <w:style w:type="paragraph" w:styleId="Citadestacada">
    <w:name w:val="Intense Quote"/>
    <w:basedOn w:val="Normal"/>
    <w:next w:val="Normal"/>
    <w:link w:val="CitadestacadaCar"/>
    <w:uiPriority w:val="30"/>
    <w:qFormat/>
    <w:rsid w:val="00511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1260"/>
    <w:rPr>
      <w:i/>
      <w:iCs/>
      <w:color w:val="0F4761" w:themeColor="accent1" w:themeShade="BF"/>
    </w:rPr>
  </w:style>
  <w:style w:type="character" w:styleId="Referenciaintensa">
    <w:name w:val="Intense Reference"/>
    <w:basedOn w:val="Fuentedeprrafopredeter"/>
    <w:uiPriority w:val="32"/>
    <w:qFormat/>
    <w:rsid w:val="00511260"/>
    <w:rPr>
      <w:b/>
      <w:bCs/>
      <w:smallCaps/>
      <w:color w:val="0F4761" w:themeColor="accent1" w:themeShade="BF"/>
      <w:spacing w:val="5"/>
    </w:rPr>
  </w:style>
  <w:style w:type="paragraph" w:styleId="Encabezado">
    <w:name w:val="header"/>
    <w:basedOn w:val="Normal"/>
    <w:link w:val="Encabezado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511260"/>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511260"/>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11260"/>
  </w:style>
  <w:style w:type="character" w:customStyle="1" w:styleId="apple-converted-space">
    <w:name w:val="apple-converted-space"/>
    <w:basedOn w:val="Fuentedeprrafopredeter"/>
    <w:rsid w:val="00511260"/>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1126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1260"/>
    <w:rPr>
      <w:color w:val="467886" w:themeColor="hyperlink"/>
      <w:u w:val="single"/>
    </w:rPr>
  </w:style>
  <w:style w:type="paragraph" w:customStyle="1" w:styleId="Fundamentos">
    <w:name w:val="Fundamentos"/>
    <w:basedOn w:val="Normal"/>
    <w:qFormat/>
    <w:rsid w:val="00511260"/>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511260"/>
    <w:pPr>
      <w:spacing w:after="0" w:line="240" w:lineRule="auto"/>
    </w:pPr>
    <w:rPr>
      <w:rFonts w:ascii="Times New Roman" w:eastAsia="Times New Roman" w:hAnsi="Times New Roman" w:cs="Times New Roman"/>
      <w:kern w:val="0"/>
      <w:lang w:eastAsia="es-ES"/>
      <w14:ligatures w14:val="none"/>
    </w:rPr>
  </w:style>
  <w:style w:type="character" w:customStyle="1" w:styleId="SinespaciadoCar">
    <w:name w:val="Sin espaciado Car"/>
    <w:aliases w:val="Francesa Car,INAI Car"/>
    <w:link w:val="Sinespaciado"/>
    <w:uiPriority w:val="1"/>
    <w:locked/>
    <w:rsid w:val="00511260"/>
    <w:rPr>
      <w:rFonts w:ascii="Times New Roman" w:eastAsia="Times New Roman" w:hAnsi="Times New Roman" w:cs="Times New Roman"/>
      <w:kern w:val="0"/>
      <w:lang w:eastAsia="es-ES"/>
      <w14:ligatures w14:val="none"/>
    </w:rPr>
  </w:style>
  <w:style w:type="table" w:styleId="Tablaconcuadrcula">
    <w:name w:val="Table Grid"/>
    <w:basedOn w:val="Tablanormal"/>
    <w:uiPriority w:val="39"/>
    <w:rsid w:val="00D3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321D8"/>
    <w:rPr>
      <w:color w:val="605E5C"/>
      <w:shd w:val="clear" w:color="auto" w:fill="E1DFDD"/>
    </w:rPr>
  </w:style>
  <w:style w:type="paragraph" w:customStyle="1" w:styleId="Default">
    <w:name w:val="Default"/>
    <w:rsid w:val="00E513F1"/>
    <w:pPr>
      <w:autoSpaceDE w:val="0"/>
      <w:autoSpaceDN w:val="0"/>
      <w:adjustRightInd w:val="0"/>
      <w:spacing w:after="0" w:line="240" w:lineRule="auto"/>
    </w:pPr>
    <w:rPr>
      <w:rFonts w:ascii="Palatino Linotype" w:hAnsi="Palatino Linotype" w:cs="Palatino Linotype"/>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5871</Words>
  <Characters>32291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5</cp:revision>
  <dcterms:created xsi:type="dcterms:W3CDTF">2024-10-04T15:19:00Z</dcterms:created>
  <dcterms:modified xsi:type="dcterms:W3CDTF">2024-12-17T16:16:00Z</dcterms:modified>
</cp:coreProperties>
</file>