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1D0A8" w14:textId="77777777" w:rsidR="00486D3B" w:rsidRPr="007E5222" w:rsidRDefault="00EB6107" w:rsidP="007E5222">
      <w:pPr>
        <w:keepNext/>
        <w:keepLines/>
        <w:pBdr>
          <w:top w:val="nil"/>
          <w:left w:val="nil"/>
          <w:bottom w:val="nil"/>
          <w:right w:val="nil"/>
          <w:between w:val="nil"/>
        </w:pBdr>
        <w:spacing w:line="240" w:lineRule="auto"/>
        <w:jc w:val="left"/>
        <w:rPr>
          <w:sz w:val="24"/>
          <w:szCs w:val="24"/>
        </w:rPr>
      </w:pPr>
      <w:bookmarkStart w:id="0" w:name="_GoBack"/>
      <w:bookmarkEnd w:id="0"/>
      <w:r w:rsidRPr="007E5222">
        <w:rPr>
          <w:sz w:val="24"/>
          <w:szCs w:val="24"/>
        </w:rPr>
        <w:t>Contenido</w:t>
      </w:r>
    </w:p>
    <w:p w14:paraId="066EA389" w14:textId="77777777" w:rsidR="00486D3B" w:rsidRPr="007E5222" w:rsidRDefault="00486D3B" w:rsidP="007E5222">
      <w:pPr>
        <w:spacing w:line="240" w:lineRule="auto"/>
        <w:rPr>
          <w:sz w:val="16"/>
          <w:szCs w:val="16"/>
        </w:rPr>
      </w:pPr>
    </w:p>
    <w:sdt>
      <w:sdtPr>
        <w:id w:val="-196470441"/>
        <w:docPartObj>
          <w:docPartGallery w:val="Table of Contents"/>
          <w:docPartUnique/>
        </w:docPartObj>
      </w:sdtPr>
      <w:sdtEndPr/>
      <w:sdtContent>
        <w:p w14:paraId="5D8484D3" w14:textId="77777777" w:rsidR="00486D3B" w:rsidRPr="007E5222" w:rsidRDefault="00EB6107" w:rsidP="007E5222">
          <w:pPr>
            <w:widowControl w:val="0"/>
            <w:tabs>
              <w:tab w:val="right" w:pos="12000"/>
            </w:tabs>
            <w:spacing w:before="60" w:line="240" w:lineRule="auto"/>
            <w:jc w:val="left"/>
            <w:rPr>
              <w:rFonts w:ascii="Arial" w:eastAsia="Arial" w:hAnsi="Arial" w:cs="Arial"/>
              <w:b/>
            </w:rPr>
          </w:pPr>
          <w:r w:rsidRPr="007E5222">
            <w:fldChar w:fldCharType="begin"/>
          </w:r>
          <w:r w:rsidRPr="007E5222">
            <w:instrText xml:space="preserve"> TOC \h \u \z \t "Heading 1,1,Heading 2,2,Heading 3,3,"</w:instrText>
          </w:r>
          <w:r w:rsidRPr="007E5222">
            <w:fldChar w:fldCharType="separate"/>
          </w:r>
          <w:hyperlink w:anchor="_heading=h.gjdgxs">
            <w:r w:rsidRPr="007E5222">
              <w:t>ANTECEDENTES</w:t>
            </w:r>
            <w:r w:rsidRPr="007E5222">
              <w:tab/>
              <w:t>1</w:t>
            </w:r>
          </w:hyperlink>
        </w:p>
        <w:p w14:paraId="3FE88C7C" w14:textId="77777777" w:rsidR="00486D3B" w:rsidRPr="007E5222" w:rsidRDefault="003F4671" w:rsidP="007E5222">
          <w:pPr>
            <w:widowControl w:val="0"/>
            <w:tabs>
              <w:tab w:val="right" w:pos="12000"/>
            </w:tabs>
            <w:spacing w:before="60" w:line="240" w:lineRule="auto"/>
            <w:ind w:left="360"/>
            <w:jc w:val="left"/>
            <w:rPr>
              <w:rFonts w:ascii="Arial" w:eastAsia="Arial" w:hAnsi="Arial" w:cs="Arial"/>
            </w:rPr>
          </w:pPr>
          <w:hyperlink w:anchor="_heading=h.30j0zll">
            <w:r w:rsidR="00EB6107" w:rsidRPr="007E5222">
              <w:t>DE LA SOLICITUD DE INFORMACIÓN</w:t>
            </w:r>
            <w:r w:rsidR="00EB6107" w:rsidRPr="007E5222">
              <w:tab/>
              <w:t>1</w:t>
            </w:r>
          </w:hyperlink>
        </w:p>
        <w:p w14:paraId="57625839"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1fob9te">
            <w:r w:rsidR="00EB6107" w:rsidRPr="007E5222">
              <w:t>a) Solicitud de información</w:t>
            </w:r>
            <w:r w:rsidR="00EB6107" w:rsidRPr="007E5222">
              <w:tab/>
              <w:t>1</w:t>
            </w:r>
          </w:hyperlink>
        </w:p>
        <w:p w14:paraId="72DF611D"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3znysh7">
            <w:r w:rsidR="00EB6107" w:rsidRPr="007E5222">
              <w:t>b) Turno de la solicitud de información</w:t>
            </w:r>
            <w:r w:rsidR="00EB6107" w:rsidRPr="007E5222">
              <w:tab/>
              <w:t>2</w:t>
            </w:r>
          </w:hyperlink>
        </w:p>
        <w:p w14:paraId="7E9D90A4"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2et92p0">
            <w:r w:rsidR="00EB6107" w:rsidRPr="007E5222">
              <w:t>c) Respuesta del Sujeto Obligado</w:t>
            </w:r>
            <w:r w:rsidR="00EB6107" w:rsidRPr="007E5222">
              <w:tab/>
              <w:t>2</w:t>
            </w:r>
          </w:hyperlink>
        </w:p>
        <w:p w14:paraId="7DC2CE33" w14:textId="77777777" w:rsidR="00486D3B" w:rsidRPr="007E5222" w:rsidRDefault="003F4671" w:rsidP="007E5222">
          <w:pPr>
            <w:widowControl w:val="0"/>
            <w:tabs>
              <w:tab w:val="right" w:pos="12000"/>
            </w:tabs>
            <w:spacing w:before="60" w:line="240" w:lineRule="auto"/>
            <w:ind w:left="360"/>
            <w:jc w:val="left"/>
            <w:rPr>
              <w:rFonts w:ascii="Arial" w:eastAsia="Arial" w:hAnsi="Arial" w:cs="Arial"/>
            </w:rPr>
          </w:pPr>
          <w:hyperlink w:anchor="_heading=h.4d34og8">
            <w:r w:rsidR="00EB6107" w:rsidRPr="007E5222">
              <w:t>DEL RECURSO DE REVISIÓN</w:t>
            </w:r>
            <w:r w:rsidR="00EB6107" w:rsidRPr="007E5222">
              <w:tab/>
              <w:t>3</w:t>
            </w:r>
          </w:hyperlink>
        </w:p>
        <w:p w14:paraId="356D66A6"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2s8eyo1">
            <w:r w:rsidR="00EB6107" w:rsidRPr="007E5222">
              <w:t>a) Interposición del Recurso de Revisión</w:t>
            </w:r>
            <w:r w:rsidR="00EB6107" w:rsidRPr="007E5222">
              <w:tab/>
              <w:t>3</w:t>
            </w:r>
          </w:hyperlink>
        </w:p>
        <w:p w14:paraId="4107CC57"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17dp8vu">
            <w:r w:rsidR="00EB6107" w:rsidRPr="007E5222">
              <w:t>b) Turno del Recurso de Revisión</w:t>
            </w:r>
            <w:r w:rsidR="00EB6107" w:rsidRPr="007E5222">
              <w:tab/>
              <w:t>4</w:t>
            </w:r>
          </w:hyperlink>
        </w:p>
        <w:p w14:paraId="6336FDDF"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3rdcrjn">
            <w:r w:rsidR="00EB6107" w:rsidRPr="007E5222">
              <w:t>c) Admisión del Recurso de Revisión</w:t>
            </w:r>
            <w:r w:rsidR="00EB6107" w:rsidRPr="007E5222">
              <w:tab/>
              <w:t>4</w:t>
            </w:r>
          </w:hyperlink>
        </w:p>
        <w:p w14:paraId="4FB62CCD"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26in1rg">
            <w:r w:rsidR="00EB6107" w:rsidRPr="007E5222">
              <w:t>d) Informe Justificado del Sujeto Obligado</w:t>
            </w:r>
            <w:r w:rsidR="00EB6107" w:rsidRPr="007E5222">
              <w:tab/>
              <w:t>4</w:t>
            </w:r>
          </w:hyperlink>
        </w:p>
        <w:p w14:paraId="1AE197AE"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1ksv4uv">
            <w:r w:rsidR="00EB6107" w:rsidRPr="007E5222">
              <w:t>e) Manifestaciones de la Parte Recurrente</w:t>
            </w:r>
            <w:r w:rsidR="00EB6107" w:rsidRPr="007E5222">
              <w:tab/>
              <w:t>5</w:t>
            </w:r>
          </w:hyperlink>
        </w:p>
        <w:p w14:paraId="5B84B491"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44sinio">
            <w:r w:rsidR="00EB6107" w:rsidRPr="007E5222">
              <w:t>f) Ampliación de plazo para resolver el Recurso de Revisión</w:t>
            </w:r>
            <w:r w:rsidR="00EB6107" w:rsidRPr="007E5222">
              <w:tab/>
              <w:t>5</w:t>
            </w:r>
          </w:hyperlink>
        </w:p>
        <w:p w14:paraId="0D100E06"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2jxsxqh">
            <w:r w:rsidR="00EB6107" w:rsidRPr="007E5222">
              <w:t>g) Cierre de instrucción</w:t>
            </w:r>
            <w:r w:rsidR="00EB6107" w:rsidRPr="007E5222">
              <w:tab/>
              <w:t>8</w:t>
            </w:r>
          </w:hyperlink>
        </w:p>
        <w:p w14:paraId="3BF6AC82" w14:textId="77777777" w:rsidR="00486D3B" w:rsidRPr="007E5222" w:rsidRDefault="003F4671" w:rsidP="007E5222">
          <w:pPr>
            <w:widowControl w:val="0"/>
            <w:tabs>
              <w:tab w:val="right" w:pos="12000"/>
            </w:tabs>
            <w:spacing w:before="60" w:line="240" w:lineRule="auto"/>
            <w:jc w:val="left"/>
            <w:rPr>
              <w:rFonts w:ascii="Arial" w:eastAsia="Arial" w:hAnsi="Arial" w:cs="Arial"/>
              <w:b/>
            </w:rPr>
          </w:pPr>
          <w:hyperlink w:anchor="_heading=h.3j2qqm3">
            <w:r w:rsidR="00EB6107" w:rsidRPr="007E5222">
              <w:t>CONSIDERANDOS</w:t>
            </w:r>
            <w:r w:rsidR="00EB6107" w:rsidRPr="007E5222">
              <w:tab/>
              <w:t>9</w:t>
            </w:r>
          </w:hyperlink>
        </w:p>
        <w:p w14:paraId="0144D724" w14:textId="77777777" w:rsidR="00486D3B" w:rsidRPr="007E5222" w:rsidRDefault="003F4671" w:rsidP="007E5222">
          <w:pPr>
            <w:widowControl w:val="0"/>
            <w:tabs>
              <w:tab w:val="right" w:pos="12000"/>
            </w:tabs>
            <w:spacing w:before="60" w:line="240" w:lineRule="auto"/>
            <w:ind w:left="360"/>
            <w:jc w:val="left"/>
            <w:rPr>
              <w:rFonts w:ascii="Arial" w:eastAsia="Arial" w:hAnsi="Arial" w:cs="Arial"/>
            </w:rPr>
          </w:pPr>
          <w:hyperlink w:anchor="_heading=h.1y810tw">
            <w:r w:rsidR="00EB6107" w:rsidRPr="007E5222">
              <w:t>PRIMERO. Procedibilidad</w:t>
            </w:r>
            <w:r w:rsidR="00EB6107" w:rsidRPr="007E5222">
              <w:tab/>
              <w:t>9</w:t>
            </w:r>
          </w:hyperlink>
        </w:p>
        <w:p w14:paraId="48FE205F"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4i7ojhp">
            <w:r w:rsidR="00EB6107" w:rsidRPr="007E5222">
              <w:t>a) Competencia del Instituto</w:t>
            </w:r>
            <w:r w:rsidR="00EB6107" w:rsidRPr="007E5222">
              <w:tab/>
              <w:t>9</w:t>
            </w:r>
          </w:hyperlink>
        </w:p>
        <w:p w14:paraId="582CC15D"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2xcytpi">
            <w:r w:rsidR="00EB6107" w:rsidRPr="007E5222">
              <w:t>b) Legitimidad de la parte recurrente</w:t>
            </w:r>
            <w:r w:rsidR="00EB6107" w:rsidRPr="007E5222">
              <w:tab/>
              <w:t>9</w:t>
            </w:r>
          </w:hyperlink>
        </w:p>
        <w:p w14:paraId="480304D2"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1ci93xb">
            <w:r w:rsidR="00EB6107" w:rsidRPr="007E5222">
              <w:t>c) Plazo para interponer el recurso</w:t>
            </w:r>
            <w:r w:rsidR="00EB6107" w:rsidRPr="007E5222">
              <w:tab/>
              <w:t>9</w:t>
            </w:r>
          </w:hyperlink>
        </w:p>
        <w:p w14:paraId="36DCC5AE"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2bn6wsx">
            <w:r w:rsidR="00EB6107" w:rsidRPr="007E5222">
              <w:t>d) Interés legítimo</w:t>
            </w:r>
            <w:r w:rsidR="00EB6107" w:rsidRPr="007E5222">
              <w:tab/>
              <w:t>10</w:t>
            </w:r>
          </w:hyperlink>
        </w:p>
        <w:p w14:paraId="4E98726F"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qsh70q">
            <w:r w:rsidR="00EB6107" w:rsidRPr="007E5222">
              <w:t>e) Requisitos formales para la interposición del recurso</w:t>
            </w:r>
            <w:r w:rsidR="00EB6107" w:rsidRPr="007E5222">
              <w:tab/>
              <w:t>10</w:t>
            </w:r>
          </w:hyperlink>
        </w:p>
        <w:p w14:paraId="496AFE71" w14:textId="77777777" w:rsidR="00486D3B" w:rsidRPr="007E5222" w:rsidRDefault="003F4671" w:rsidP="007E5222">
          <w:pPr>
            <w:widowControl w:val="0"/>
            <w:tabs>
              <w:tab w:val="right" w:pos="12000"/>
            </w:tabs>
            <w:spacing w:before="60" w:line="240" w:lineRule="auto"/>
            <w:ind w:left="360"/>
            <w:jc w:val="left"/>
            <w:rPr>
              <w:rFonts w:ascii="Arial" w:eastAsia="Arial" w:hAnsi="Arial" w:cs="Arial"/>
            </w:rPr>
          </w:pPr>
          <w:hyperlink w:anchor="_heading=h.1pxezwc">
            <w:r w:rsidR="00EB6107" w:rsidRPr="007E5222">
              <w:t>SEGUNDO. Estudio de Fondo</w:t>
            </w:r>
            <w:r w:rsidR="00EB6107" w:rsidRPr="007E5222">
              <w:tab/>
              <w:t>11</w:t>
            </w:r>
          </w:hyperlink>
        </w:p>
        <w:p w14:paraId="28B00108"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49x2ik5">
            <w:r w:rsidR="00EB6107" w:rsidRPr="007E5222">
              <w:t>a) Mandato de transparencia y responsabilidad del Sujeto Obligado</w:t>
            </w:r>
            <w:r w:rsidR="00EB6107" w:rsidRPr="007E5222">
              <w:tab/>
              <w:t>11</w:t>
            </w:r>
          </w:hyperlink>
        </w:p>
        <w:p w14:paraId="03244A6E"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147n2zr">
            <w:r w:rsidR="00EB6107" w:rsidRPr="007E5222">
              <w:t>b) Controversia a resolver</w:t>
            </w:r>
            <w:r w:rsidR="00EB6107" w:rsidRPr="007E5222">
              <w:tab/>
              <w:t>14</w:t>
            </w:r>
          </w:hyperlink>
        </w:p>
        <w:p w14:paraId="22480C1E"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3o7alnk">
            <w:r w:rsidR="00EB6107" w:rsidRPr="007E5222">
              <w:t>c) Estudio de la controversia</w:t>
            </w:r>
            <w:r w:rsidR="00EB6107" w:rsidRPr="007E5222">
              <w:tab/>
              <w:t>15</w:t>
            </w:r>
          </w:hyperlink>
        </w:p>
        <w:p w14:paraId="4105B08B" w14:textId="77777777" w:rsidR="00486D3B" w:rsidRPr="007E5222" w:rsidRDefault="003F4671" w:rsidP="007E5222">
          <w:pPr>
            <w:widowControl w:val="0"/>
            <w:tabs>
              <w:tab w:val="right" w:pos="12000"/>
            </w:tabs>
            <w:spacing w:before="60" w:line="240" w:lineRule="auto"/>
            <w:ind w:left="720"/>
            <w:jc w:val="left"/>
            <w:rPr>
              <w:rFonts w:ascii="Arial" w:eastAsia="Arial" w:hAnsi="Arial" w:cs="Arial"/>
            </w:rPr>
          </w:pPr>
          <w:hyperlink w:anchor="_heading=h.23ckvvd">
            <w:r w:rsidR="00EB6107" w:rsidRPr="007E5222">
              <w:t>d) Conclusión</w:t>
            </w:r>
            <w:r w:rsidR="00EB6107" w:rsidRPr="007E5222">
              <w:tab/>
              <w:t>24</w:t>
            </w:r>
          </w:hyperlink>
        </w:p>
        <w:p w14:paraId="1252A695" w14:textId="77777777" w:rsidR="00486D3B" w:rsidRPr="007E5222" w:rsidRDefault="003F4671" w:rsidP="007E5222">
          <w:pPr>
            <w:widowControl w:val="0"/>
            <w:tabs>
              <w:tab w:val="right" w:pos="12000"/>
            </w:tabs>
            <w:spacing w:before="60" w:line="240" w:lineRule="auto"/>
            <w:jc w:val="left"/>
            <w:rPr>
              <w:rFonts w:ascii="Arial" w:eastAsia="Arial" w:hAnsi="Arial" w:cs="Arial"/>
              <w:b/>
            </w:rPr>
          </w:pPr>
          <w:hyperlink w:anchor="_heading=h.ihv636">
            <w:r w:rsidR="00EB6107" w:rsidRPr="007E5222">
              <w:t>RESUELVE</w:t>
            </w:r>
            <w:r w:rsidR="00EB6107" w:rsidRPr="007E5222">
              <w:tab/>
              <w:t>24</w:t>
            </w:r>
          </w:hyperlink>
          <w:r w:rsidR="00EB6107" w:rsidRPr="007E5222">
            <w:fldChar w:fldCharType="end"/>
          </w:r>
        </w:p>
      </w:sdtContent>
    </w:sdt>
    <w:p w14:paraId="07CD4CB1" w14:textId="77777777" w:rsidR="00486D3B" w:rsidRPr="007E5222" w:rsidRDefault="00486D3B" w:rsidP="007E5222">
      <w:pPr>
        <w:sectPr w:rsidR="00486D3B" w:rsidRPr="007E5222">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A03DC5E" w14:textId="77777777" w:rsidR="00486D3B" w:rsidRPr="007E5222" w:rsidRDefault="00EB6107" w:rsidP="007E5222">
      <w:pPr>
        <w:rPr>
          <w:b/>
        </w:rPr>
      </w:pPr>
      <w:r w:rsidRPr="007E5222">
        <w:lastRenderedPageBreak/>
        <w:t xml:space="preserve">Resolución del Pleno del Instituto de Transparencia, Acceso a la Información Pública y Protección de Datos Personales del Estado de México y Municipios, con domicilio en Metepec, Estado de México, de </w:t>
      </w:r>
      <w:r w:rsidRPr="007E5222">
        <w:rPr>
          <w:b/>
        </w:rPr>
        <w:t>veintiuno de agosto de dos mil veinticuatro.</w:t>
      </w:r>
    </w:p>
    <w:p w14:paraId="3129F996" w14:textId="77777777" w:rsidR="00486D3B" w:rsidRPr="007E5222" w:rsidRDefault="00486D3B" w:rsidP="007E5222"/>
    <w:p w14:paraId="3258B780" w14:textId="77777777" w:rsidR="00486D3B" w:rsidRPr="007E5222" w:rsidRDefault="00EB6107" w:rsidP="007E5222">
      <w:r w:rsidRPr="007E5222">
        <w:rPr>
          <w:b/>
        </w:rPr>
        <w:t xml:space="preserve">VISTO </w:t>
      </w:r>
      <w:r w:rsidRPr="007E5222">
        <w:t xml:space="preserve">el expediente formado con motivo del Recurso de Revisión </w:t>
      </w:r>
      <w:r w:rsidRPr="007E5222">
        <w:rPr>
          <w:b/>
        </w:rPr>
        <w:t xml:space="preserve">06357/INFOEM/IP/RR/2023 </w:t>
      </w:r>
      <w:r w:rsidRPr="007E5222">
        <w:t xml:space="preserve">interpuesto por un particular de forma anónima, a quien en lo subsecuente se le denominará </w:t>
      </w:r>
      <w:r w:rsidRPr="007E5222">
        <w:rPr>
          <w:b/>
        </w:rPr>
        <w:t>LA PARTE RECURRENTE</w:t>
      </w:r>
      <w:r w:rsidRPr="007E5222">
        <w:t>, en contra de la respuesta emitida por la</w:t>
      </w:r>
      <w:r w:rsidRPr="007E5222">
        <w:rPr>
          <w:b/>
        </w:rPr>
        <w:t xml:space="preserve"> Secretaría de Finanzas</w:t>
      </w:r>
      <w:r w:rsidRPr="007E5222">
        <w:t xml:space="preserve"> en adelante </w:t>
      </w:r>
      <w:r w:rsidRPr="007E5222">
        <w:rPr>
          <w:b/>
        </w:rPr>
        <w:t>EL SUJETO OBLIGADO</w:t>
      </w:r>
      <w:r w:rsidRPr="007E5222">
        <w:t>, se emite la presente Resolución con base en los Antecedentes y Considerandos que se exponen a continuación:</w:t>
      </w:r>
    </w:p>
    <w:p w14:paraId="10847255" w14:textId="77777777" w:rsidR="00486D3B" w:rsidRPr="007E5222" w:rsidRDefault="00486D3B" w:rsidP="007E5222"/>
    <w:p w14:paraId="4422EFA2" w14:textId="77777777" w:rsidR="00486D3B" w:rsidRPr="007E5222" w:rsidRDefault="00EB6107" w:rsidP="007E5222">
      <w:pPr>
        <w:pStyle w:val="Ttulo1"/>
      </w:pPr>
      <w:bookmarkStart w:id="3" w:name="_heading=h.gjdgxs" w:colFirst="0" w:colLast="0"/>
      <w:bookmarkEnd w:id="3"/>
      <w:r w:rsidRPr="007E5222">
        <w:t>ANTECEDENTES</w:t>
      </w:r>
    </w:p>
    <w:p w14:paraId="0B500201" w14:textId="77777777" w:rsidR="00486D3B" w:rsidRPr="007E5222" w:rsidRDefault="00486D3B" w:rsidP="007E5222"/>
    <w:p w14:paraId="1769A646" w14:textId="77777777" w:rsidR="00486D3B" w:rsidRPr="007E5222" w:rsidRDefault="00486D3B" w:rsidP="007E5222"/>
    <w:p w14:paraId="4B1C90F6" w14:textId="77777777" w:rsidR="00486D3B" w:rsidRPr="007E5222" w:rsidRDefault="00EB6107" w:rsidP="007E5222">
      <w:pPr>
        <w:pStyle w:val="Ttulo2"/>
        <w:jc w:val="left"/>
      </w:pPr>
      <w:bookmarkStart w:id="4" w:name="_heading=h.30j0zll" w:colFirst="0" w:colLast="0"/>
      <w:bookmarkEnd w:id="4"/>
      <w:r w:rsidRPr="007E5222">
        <w:t>DE LA SOLICITUD DE INFORMACIÓN</w:t>
      </w:r>
    </w:p>
    <w:p w14:paraId="21F21CCA" w14:textId="77777777" w:rsidR="00486D3B" w:rsidRPr="007E5222" w:rsidRDefault="00486D3B" w:rsidP="007E5222"/>
    <w:p w14:paraId="604728AE" w14:textId="77777777" w:rsidR="00486D3B" w:rsidRPr="007E5222" w:rsidRDefault="00EB6107" w:rsidP="007E5222">
      <w:pPr>
        <w:pStyle w:val="Ttulo3"/>
      </w:pPr>
      <w:bookmarkStart w:id="5" w:name="_heading=h.1fob9te" w:colFirst="0" w:colLast="0"/>
      <w:bookmarkEnd w:id="5"/>
      <w:r w:rsidRPr="007E5222">
        <w:t>a) Solicitud de información</w:t>
      </w:r>
    </w:p>
    <w:p w14:paraId="24F07700" w14:textId="77777777" w:rsidR="00486D3B" w:rsidRPr="007E5222" w:rsidRDefault="00EB6107" w:rsidP="007E5222">
      <w:pPr>
        <w:pBdr>
          <w:top w:val="nil"/>
          <w:left w:val="nil"/>
          <w:bottom w:val="nil"/>
          <w:right w:val="nil"/>
          <w:between w:val="nil"/>
        </w:pBdr>
        <w:tabs>
          <w:tab w:val="left" w:pos="0"/>
        </w:tabs>
      </w:pPr>
      <w:r w:rsidRPr="007E5222">
        <w:t xml:space="preserve">El </w:t>
      </w:r>
      <w:r w:rsidRPr="007E5222">
        <w:rPr>
          <w:b/>
        </w:rPr>
        <w:t>veintinueve de agosto de dos mil veintitrés</w:t>
      </w:r>
      <w:r w:rsidRPr="007E5222">
        <w:t xml:space="preserve">, </w:t>
      </w:r>
      <w:r w:rsidRPr="007E5222">
        <w:rPr>
          <w:b/>
        </w:rPr>
        <w:t>LA PARTE RECURRENTE</w:t>
      </w:r>
      <w:r w:rsidRPr="007E5222">
        <w:t xml:space="preserve"> presentó una solicitud de acceso a la información pública ante el </w:t>
      </w:r>
      <w:r w:rsidRPr="007E5222">
        <w:rPr>
          <w:b/>
        </w:rPr>
        <w:t>SUJETO OBLIGADO</w:t>
      </w:r>
      <w:r w:rsidRPr="007E5222">
        <w:t xml:space="preserve">, a través del Sistema de Acceso a la Información Mexiquense (SAIMEX). Dicha solicitud quedó registrada con el número de folio </w:t>
      </w:r>
      <w:r w:rsidRPr="007E5222">
        <w:rPr>
          <w:b/>
        </w:rPr>
        <w:t>00714/SF/IP/2023</w:t>
      </w:r>
      <w:r w:rsidRPr="007E5222">
        <w:t xml:space="preserve"> y en ella se requirió la siguiente información:</w:t>
      </w:r>
    </w:p>
    <w:p w14:paraId="38120208" w14:textId="77777777" w:rsidR="00486D3B" w:rsidRPr="007E5222" w:rsidRDefault="00486D3B" w:rsidP="007E5222">
      <w:pPr>
        <w:pStyle w:val="Puesto"/>
        <w:ind w:left="0"/>
      </w:pPr>
    </w:p>
    <w:p w14:paraId="25E4CE3D" w14:textId="77777777" w:rsidR="00486D3B" w:rsidRPr="007E5222" w:rsidRDefault="00EB6107" w:rsidP="007E5222">
      <w:pPr>
        <w:pStyle w:val="Puesto"/>
        <w:ind w:firstLine="567"/>
      </w:pPr>
      <w:r w:rsidRPr="007E5222">
        <w:t>En que consiste la piramidación que el gobierno realiza para cuadrar el pago de nóminas y las cantidades que se enteran al SAT; además me informen cual es el papel que tiene contaduría gubernamental en el tema, asi como las áreas y dependencias que intervienen en este asunto. Se indique el fundamento lega y motivo del porque colaterales como el día del maestro y el día del servidor público no pagan contribuciones al SAT.</w:t>
      </w:r>
    </w:p>
    <w:p w14:paraId="55C8D220" w14:textId="77777777" w:rsidR="00486D3B" w:rsidRPr="007E5222" w:rsidRDefault="00486D3B" w:rsidP="007E5222">
      <w:pPr>
        <w:tabs>
          <w:tab w:val="left" w:pos="4667"/>
        </w:tabs>
        <w:ind w:left="567" w:right="567"/>
        <w:rPr>
          <w:i/>
        </w:rPr>
      </w:pPr>
    </w:p>
    <w:p w14:paraId="1431F8E8" w14:textId="77777777" w:rsidR="00486D3B" w:rsidRPr="007E5222" w:rsidRDefault="00EB6107" w:rsidP="007E5222">
      <w:pPr>
        <w:tabs>
          <w:tab w:val="left" w:pos="4667"/>
        </w:tabs>
        <w:ind w:left="567" w:right="567"/>
      </w:pPr>
      <w:r w:rsidRPr="007E5222">
        <w:rPr>
          <w:b/>
        </w:rPr>
        <w:t>Modalidad de entrega</w:t>
      </w:r>
      <w:r w:rsidRPr="007E5222">
        <w:t>: a</w:t>
      </w:r>
      <w:r w:rsidRPr="007E5222">
        <w:rPr>
          <w:i/>
        </w:rPr>
        <w:t xml:space="preserve"> través del SAIMEX.</w:t>
      </w:r>
    </w:p>
    <w:p w14:paraId="5C26A99B" w14:textId="77777777" w:rsidR="00486D3B" w:rsidRPr="007E5222" w:rsidRDefault="00486D3B" w:rsidP="007E5222">
      <w:pPr>
        <w:ind w:right="-28"/>
        <w:rPr>
          <w:i/>
        </w:rPr>
      </w:pPr>
    </w:p>
    <w:p w14:paraId="52458A88" w14:textId="77777777" w:rsidR="00486D3B" w:rsidRPr="007E5222" w:rsidRDefault="00EB6107" w:rsidP="007E5222">
      <w:pPr>
        <w:pStyle w:val="Ttulo3"/>
      </w:pPr>
      <w:bookmarkStart w:id="6" w:name="_heading=h.3znysh7" w:colFirst="0" w:colLast="0"/>
      <w:bookmarkEnd w:id="6"/>
      <w:r w:rsidRPr="007E5222">
        <w:t>b) Turno de la solicitud de información</w:t>
      </w:r>
    </w:p>
    <w:p w14:paraId="50E05A79" w14:textId="77777777" w:rsidR="00486D3B" w:rsidRPr="007E5222" w:rsidRDefault="00EB6107" w:rsidP="007E5222">
      <w:r w:rsidRPr="007E5222">
        <w:t xml:space="preserve">En cumplimiento al artículo 162 de la Ley de Transparencia y Acceso a la Información Pública del Estado de México y Municipios, el </w:t>
      </w:r>
      <w:r w:rsidRPr="007E5222">
        <w:rPr>
          <w:b/>
        </w:rPr>
        <w:t>dieciocho de septiembre de dos mil veintitrés</w:t>
      </w:r>
      <w:r w:rsidRPr="007E5222">
        <w:t xml:space="preserve">, el Titular de la Unidad de Transparencia del </w:t>
      </w:r>
      <w:r w:rsidRPr="007E5222">
        <w:rPr>
          <w:b/>
        </w:rPr>
        <w:t>SUJETO OBLIGADO</w:t>
      </w:r>
      <w:r w:rsidRPr="007E5222">
        <w:t xml:space="preserve"> turnó la solicitud de información  a los servidores públicos habilitados que estimó pertinente.</w:t>
      </w:r>
    </w:p>
    <w:p w14:paraId="49FBB058" w14:textId="77777777" w:rsidR="00486D3B" w:rsidRPr="007E5222" w:rsidRDefault="00486D3B" w:rsidP="007E5222"/>
    <w:p w14:paraId="57A8F862" w14:textId="77777777" w:rsidR="00486D3B" w:rsidRPr="007E5222" w:rsidRDefault="00EB6107" w:rsidP="007E5222">
      <w:pPr>
        <w:pStyle w:val="Ttulo3"/>
      </w:pPr>
      <w:bookmarkStart w:id="7" w:name="_heading=h.2et92p0" w:colFirst="0" w:colLast="0"/>
      <w:bookmarkEnd w:id="7"/>
      <w:r w:rsidRPr="007E5222">
        <w:t>c) Respuesta del Sujeto Obligado</w:t>
      </w:r>
    </w:p>
    <w:p w14:paraId="084DAE55" w14:textId="77777777" w:rsidR="00486D3B" w:rsidRPr="007E5222" w:rsidRDefault="00EB6107" w:rsidP="007E5222">
      <w:pPr>
        <w:pBdr>
          <w:top w:val="nil"/>
          <w:left w:val="nil"/>
          <w:bottom w:val="nil"/>
          <w:right w:val="nil"/>
          <w:between w:val="nil"/>
        </w:pBdr>
      </w:pPr>
      <w:r w:rsidRPr="007E5222">
        <w:t xml:space="preserve">El </w:t>
      </w:r>
      <w:r w:rsidRPr="007E5222">
        <w:rPr>
          <w:b/>
        </w:rPr>
        <w:t>dieciocho de septiembre de dos mil veintitrés</w:t>
      </w:r>
      <w:r w:rsidRPr="007E5222">
        <w:t xml:space="preserve">, el Titular de la Unidad de Transparencia del </w:t>
      </w:r>
      <w:r w:rsidRPr="007E5222">
        <w:rPr>
          <w:b/>
        </w:rPr>
        <w:t>SUJETO OBLIGADO</w:t>
      </w:r>
      <w:r w:rsidRPr="007E5222">
        <w:t xml:space="preserve"> notificó la siguiente respuesta a través del SAIMEX:</w:t>
      </w:r>
    </w:p>
    <w:p w14:paraId="2725A77B" w14:textId="77777777" w:rsidR="00486D3B" w:rsidRPr="007E5222" w:rsidRDefault="00486D3B" w:rsidP="007E5222">
      <w:pPr>
        <w:tabs>
          <w:tab w:val="left" w:pos="4667"/>
        </w:tabs>
        <w:ind w:left="567" w:right="567"/>
        <w:rPr>
          <w:b/>
        </w:rPr>
      </w:pPr>
    </w:p>
    <w:p w14:paraId="6A96E0CA" w14:textId="77777777" w:rsidR="00486D3B" w:rsidRPr="007E5222" w:rsidRDefault="00EB6107" w:rsidP="007E5222">
      <w:pPr>
        <w:pStyle w:val="Puesto"/>
        <w:ind w:firstLine="567"/>
      </w:pPr>
      <w:r w:rsidRPr="007E5222">
        <w:t>En respuesta a la solicitud recibida, nos permitimos hacer de su conocimiento que con fundamento en el artículo 53, Fracciones: II, V y VI de la Ley de Transparencia y Acceso a la Información Pública del Estado de México y Municipios, le contestamos que:</w:t>
      </w:r>
    </w:p>
    <w:p w14:paraId="393A8DAF" w14:textId="77777777" w:rsidR="00486D3B" w:rsidRPr="007E5222" w:rsidRDefault="00486D3B" w:rsidP="007E5222">
      <w:pPr>
        <w:pStyle w:val="Puesto"/>
        <w:ind w:firstLine="567"/>
      </w:pPr>
    </w:p>
    <w:p w14:paraId="165A466C" w14:textId="77777777" w:rsidR="00486D3B" w:rsidRPr="007E5222" w:rsidRDefault="00EB6107" w:rsidP="007E5222">
      <w:pPr>
        <w:pStyle w:val="Puesto"/>
        <w:ind w:firstLine="567"/>
      </w:pPr>
      <w:r w:rsidRPr="007E5222">
        <w:t>Sobre el particular, sírvase encontrar en archivo adjunto copia del oficio de notificación número 20700004S/UT-2438/2023 mediante el cual se detalla lo referente a su solicitud.</w:t>
      </w:r>
    </w:p>
    <w:p w14:paraId="204C5A87" w14:textId="77777777" w:rsidR="00486D3B" w:rsidRPr="007E5222" w:rsidRDefault="00486D3B" w:rsidP="007E5222">
      <w:pPr>
        <w:ind w:right="-28"/>
      </w:pPr>
    </w:p>
    <w:p w14:paraId="2C39B6D9" w14:textId="77777777" w:rsidR="00486D3B" w:rsidRPr="007E5222" w:rsidRDefault="00EB6107" w:rsidP="007E5222">
      <w:pPr>
        <w:ind w:right="-28"/>
      </w:pPr>
      <w:r w:rsidRPr="007E5222">
        <w:t xml:space="preserve">Asimismo, </w:t>
      </w:r>
      <w:r w:rsidRPr="007E5222">
        <w:rPr>
          <w:b/>
        </w:rPr>
        <w:t xml:space="preserve">EL SUJETO OBLIGADO </w:t>
      </w:r>
      <w:r w:rsidRPr="007E5222">
        <w:t>adjuntó a su respuesta los archivos electrónicos que se describen a continuación:</w:t>
      </w:r>
    </w:p>
    <w:p w14:paraId="3D287973" w14:textId="77777777" w:rsidR="00486D3B" w:rsidRPr="007E5222" w:rsidRDefault="00EB6107" w:rsidP="007E5222">
      <w:pPr>
        <w:numPr>
          <w:ilvl w:val="0"/>
          <w:numId w:val="2"/>
        </w:numPr>
        <w:ind w:right="-28"/>
      </w:pPr>
      <w:r w:rsidRPr="007E5222">
        <w:rPr>
          <w:b/>
          <w:i/>
        </w:rPr>
        <w:t xml:space="preserve">UIPPE 714.pdf: </w:t>
      </w:r>
      <w:r w:rsidRPr="007E5222">
        <w:t xml:space="preserve">Documento mediante el cual el Jefe de la UIPPE y Titular de la Unidad de Transparencia refiere hacer entrega de la información solicitada. </w:t>
      </w:r>
    </w:p>
    <w:p w14:paraId="54C809B7" w14:textId="77777777" w:rsidR="00486D3B" w:rsidRPr="007E5222" w:rsidRDefault="00EB6107" w:rsidP="007E5222">
      <w:pPr>
        <w:numPr>
          <w:ilvl w:val="0"/>
          <w:numId w:val="2"/>
        </w:numPr>
        <w:ind w:right="-28"/>
      </w:pPr>
      <w:r w:rsidRPr="007E5222">
        <w:rPr>
          <w:b/>
          <w:i/>
        </w:rPr>
        <w:t xml:space="preserve">00714 DGP.pdf: </w:t>
      </w:r>
      <w:r w:rsidRPr="007E5222">
        <w:t xml:space="preserve">Oficio número 20706004000100s-439/2023, firmado por el Jefe de la Unidad y Servidor Público Habilitado de la Dirección General de Personal, quien refirió que después de haber realizado una búsqueda exhaustiva y razonable dentro de los registros de su unidad administrativa no encontró documentos donde conste lo solicitado </w:t>
      </w:r>
    </w:p>
    <w:p w14:paraId="1929A2A0" w14:textId="77777777" w:rsidR="00486D3B" w:rsidRPr="007E5222" w:rsidRDefault="00EB6107" w:rsidP="007E5222">
      <w:pPr>
        <w:numPr>
          <w:ilvl w:val="0"/>
          <w:numId w:val="2"/>
        </w:numPr>
        <w:ind w:right="-28"/>
      </w:pPr>
      <w:r w:rsidRPr="007E5222">
        <w:rPr>
          <w:b/>
          <w:i/>
        </w:rPr>
        <w:lastRenderedPageBreak/>
        <w:t xml:space="preserve">00714 C.A.pdf: </w:t>
      </w:r>
      <w:r w:rsidRPr="007E5222">
        <w:t xml:space="preserve">Oficio número 207000002000100S/IP/0176/2023 firmado por la servidora pública habilitada suplente de la Coordinación Administrativa, quien señaló que la oficina del Secretario y área Staff no cuentan con la información, ya que no es de su competencia. </w:t>
      </w:r>
    </w:p>
    <w:p w14:paraId="6D50923D" w14:textId="77777777" w:rsidR="00486D3B" w:rsidRPr="007E5222" w:rsidRDefault="00EB6107" w:rsidP="007E5222">
      <w:pPr>
        <w:numPr>
          <w:ilvl w:val="0"/>
          <w:numId w:val="2"/>
        </w:numPr>
        <w:ind w:right="-28"/>
      </w:pPr>
      <w:r w:rsidRPr="007E5222">
        <w:rPr>
          <w:b/>
          <w:i/>
        </w:rPr>
        <w:t xml:space="preserve">00714 C.G.G.pdf: </w:t>
      </w:r>
      <w:r w:rsidRPr="007E5222">
        <w:t xml:space="preserve">Oficio número 207040020400000L/132/2023 firmado por la servidora pública habilitada de la Contaduría General Gubernamental, quien indicó que la Dirección General de Personal es la Unidad Administrativa responsable de operar el sistema de Nómina del Sector Central, precisando que solo elabora información financiera y presupuestal relativa a la nómina. </w:t>
      </w:r>
    </w:p>
    <w:p w14:paraId="47071E41" w14:textId="77777777" w:rsidR="00486D3B" w:rsidRPr="007E5222" w:rsidRDefault="00EB6107" w:rsidP="007E5222">
      <w:pPr>
        <w:ind w:left="720" w:right="-28"/>
      </w:pPr>
      <w:r w:rsidRPr="007E5222">
        <w:t xml:space="preserve">Respecto al pago de contribuciones al SAT refiere que lo hace con base en primer y tercer párrafo del artículo 96 de la Ley del Impuesto Sobre la Renta, en relación con lo previsto en los artículos 1 fracción I, 90 y 94 fracción I de la misma ley. </w:t>
      </w:r>
    </w:p>
    <w:p w14:paraId="77207342" w14:textId="77777777" w:rsidR="00486D3B" w:rsidRPr="007E5222" w:rsidRDefault="00486D3B" w:rsidP="007E5222">
      <w:pPr>
        <w:ind w:right="-28"/>
      </w:pPr>
    </w:p>
    <w:p w14:paraId="32F2AE67" w14:textId="77777777" w:rsidR="00486D3B" w:rsidRPr="007E5222" w:rsidRDefault="00EB6107" w:rsidP="007E5222">
      <w:pPr>
        <w:pStyle w:val="Ttulo2"/>
        <w:jc w:val="left"/>
      </w:pPr>
      <w:bookmarkStart w:id="8" w:name="_heading=h.4d34og8" w:colFirst="0" w:colLast="0"/>
      <w:bookmarkEnd w:id="8"/>
      <w:r w:rsidRPr="007E5222">
        <w:t>DEL RECURSO DE REVISIÓN</w:t>
      </w:r>
    </w:p>
    <w:p w14:paraId="23196FF9" w14:textId="77777777" w:rsidR="00486D3B" w:rsidRPr="007E5222" w:rsidRDefault="00486D3B" w:rsidP="007E5222">
      <w:pPr>
        <w:ind w:right="-28"/>
      </w:pPr>
    </w:p>
    <w:p w14:paraId="21E97308" w14:textId="77777777" w:rsidR="00486D3B" w:rsidRPr="007E5222" w:rsidRDefault="00EB6107" w:rsidP="007E5222">
      <w:pPr>
        <w:pStyle w:val="Ttulo3"/>
      </w:pPr>
      <w:bookmarkStart w:id="9" w:name="_heading=h.2s8eyo1" w:colFirst="0" w:colLast="0"/>
      <w:bookmarkEnd w:id="9"/>
      <w:r w:rsidRPr="007E5222">
        <w:t>a) Interposición del Recurso de Revisión</w:t>
      </w:r>
    </w:p>
    <w:p w14:paraId="13EED000" w14:textId="77777777" w:rsidR="00486D3B" w:rsidRPr="007E5222" w:rsidRDefault="00EB6107" w:rsidP="007E5222">
      <w:pPr>
        <w:ind w:right="-28"/>
      </w:pPr>
      <w:r w:rsidRPr="007E5222">
        <w:t xml:space="preserve">El </w:t>
      </w:r>
      <w:r w:rsidRPr="007E5222">
        <w:rPr>
          <w:b/>
        </w:rPr>
        <w:t>veinte de septiembre de dos mil veintitrés</w:t>
      </w:r>
      <w:r w:rsidRPr="007E5222">
        <w:t xml:space="preserve"> </w:t>
      </w:r>
      <w:r w:rsidRPr="007E5222">
        <w:rPr>
          <w:b/>
        </w:rPr>
        <w:t>LA PARTE RECURRENTE</w:t>
      </w:r>
      <w:r w:rsidRPr="007E5222">
        <w:t xml:space="preserve"> interpuso el recurso de revisión en contra de la respuesta emitida por el </w:t>
      </w:r>
      <w:r w:rsidRPr="007E5222">
        <w:rPr>
          <w:b/>
        </w:rPr>
        <w:t>SUJETO OBLIGADO</w:t>
      </w:r>
      <w:r w:rsidRPr="007E5222">
        <w:t xml:space="preserve">, mismo que fue registrado en el SAIMEX con el número de expediente </w:t>
      </w:r>
      <w:r w:rsidRPr="007E5222">
        <w:rPr>
          <w:b/>
        </w:rPr>
        <w:t>06357/INFOEM/IP/RR/2023</w:t>
      </w:r>
      <w:r w:rsidRPr="007E5222">
        <w:t>, y en el cual manifiesta lo siguiente:</w:t>
      </w:r>
    </w:p>
    <w:p w14:paraId="4BAE5E86" w14:textId="77777777" w:rsidR="00486D3B" w:rsidRPr="007E5222" w:rsidRDefault="00486D3B" w:rsidP="007E5222">
      <w:pPr>
        <w:tabs>
          <w:tab w:val="left" w:pos="4667"/>
        </w:tabs>
        <w:ind w:right="539"/>
      </w:pPr>
    </w:p>
    <w:p w14:paraId="7B6D224D" w14:textId="77777777" w:rsidR="00486D3B" w:rsidRPr="007E5222" w:rsidRDefault="00EB6107" w:rsidP="007E5222">
      <w:pPr>
        <w:tabs>
          <w:tab w:val="left" w:pos="4667"/>
        </w:tabs>
        <w:ind w:left="567" w:right="539"/>
        <w:rPr>
          <w:b/>
        </w:rPr>
      </w:pPr>
      <w:r w:rsidRPr="007E5222">
        <w:rPr>
          <w:b/>
        </w:rPr>
        <w:t>ACTO IMPUGNADO</w:t>
      </w:r>
      <w:r w:rsidRPr="007E5222">
        <w:rPr>
          <w:b/>
        </w:rPr>
        <w:tab/>
      </w:r>
    </w:p>
    <w:p w14:paraId="24C9EC32" w14:textId="77777777" w:rsidR="00486D3B" w:rsidRPr="007E5222" w:rsidRDefault="00EB6107" w:rsidP="007E5222">
      <w:pPr>
        <w:tabs>
          <w:tab w:val="left" w:pos="4667"/>
        </w:tabs>
        <w:ind w:left="567" w:right="539"/>
        <w:rPr>
          <w:i/>
        </w:rPr>
      </w:pPr>
      <w:r w:rsidRPr="007E5222">
        <w:rPr>
          <w:i/>
        </w:rPr>
        <w:t>“La respuesta que se me otorga”</w:t>
      </w:r>
    </w:p>
    <w:p w14:paraId="7176F654" w14:textId="77777777" w:rsidR="00486D3B" w:rsidRPr="007E5222" w:rsidRDefault="00486D3B" w:rsidP="007E5222">
      <w:pPr>
        <w:tabs>
          <w:tab w:val="left" w:pos="4667"/>
        </w:tabs>
        <w:ind w:left="567" w:right="539"/>
        <w:rPr>
          <w:i/>
        </w:rPr>
      </w:pPr>
    </w:p>
    <w:p w14:paraId="7BD4EF3F" w14:textId="77777777" w:rsidR="00486D3B" w:rsidRPr="007E5222" w:rsidRDefault="00EB6107" w:rsidP="007E5222">
      <w:pPr>
        <w:tabs>
          <w:tab w:val="left" w:pos="4667"/>
        </w:tabs>
        <w:ind w:left="567" w:right="539"/>
        <w:rPr>
          <w:b/>
        </w:rPr>
      </w:pPr>
      <w:r w:rsidRPr="007E5222">
        <w:rPr>
          <w:b/>
        </w:rPr>
        <w:t>RAZONES O MOTIVOS DE LA INCONFORMIDAD</w:t>
      </w:r>
      <w:r w:rsidRPr="007E5222">
        <w:rPr>
          <w:b/>
        </w:rPr>
        <w:tab/>
      </w:r>
    </w:p>
    <w:p w14:paraId="32EB321B" w14:textId="77777777" w:rsidR="00486D3B" w:rsidRPr="007E5222" w:rsidRDefault="00EB6107" w:rsidP="007E5222">
      <w:pPr>
        <w:tabs>
          <w:tab w:val="left" w:pos="4667"/>
        </w:tabs>
        <w:ind w:left="567" w:right="539"/>
        <w:rPr>
          <w:i/>
        </w:rPr>
      </w:pPr>
      <w:r w:rsidRPr="007E5222">
        <w:rPr>
          <w:i/>
        </w:rPr>
        <w:lastRenderedPageBreak/>
        <w:t>“La Dirección General de Personal comenta que no tiene información, pero la Mtra. Brenda Mercedes Tristán López indica que la información la tiene la Dirección de Personal, por lo que las respuestas son encontradas y contradictorias.”</w:t>
      </w:r>
    </w:p>
    <w:p w14:paraId="03EE1725" w14:textId="77777777" w:rsidR="00486D3B" w:rsidRPr="007E5222" w:rsidRDefault="00486D3B" w:rsidP="007E5222">
      <w:pPr>
        <w:tabs>
          <w:tab w:val="left" w:pos="4667"/>
        </w:tabs>
        <w:ind w:right="567"/>
        <w:rPr>
          <w:b/>
        </w:rPr>
      </w:pPr>
    </w:p>
    <w:p w14:paraId="5FFA980B" w14:textId="77777777" w:rsidR="00486D3B" w:rsidRPr="007E5222" w:rsidRDefault="00EB6107" w:rsidP="007E5222">
      <w:pPr>
        <w:pStyle w:val="Ttulo3"/>
      </w:pPr>
      <w:bookmarkStart w:id="10" w:name="_heading=h.17dp8vu" w:colFirst="0" w:colLast="0"/>
      <w:bookmarkEnd w:id="10"/>
      <w:r w:rsidRPr="007E5222">
        <w:t>b) Turno del Recurso de Revisión</w:t>
      </w:r>
    </w:p>
    <w:p w14:paraId="2BA7C147" w14:textId="77777777" w:rsidR="00486D3B" w:rsidRPr="007E5222" w:rsidRDefault="00EB6107" w:rsidP="007E5222">
      <w:r w:rsidRPr="007E5222">
        <w:t>Con fundamento en el artículo 185, fracción I de la Ley de Transparencia y Acceso a la Información Pública del Estado de México y Municipios, el</w:t>
      </w:r>
      <w:r w:rsidRPr="007E5222">
        <w:rPr>
          <w:b/>
        </w:rPr>
        <w:t xml:space="preserve"> veinte de septiembre de dos mil veintitrés</w:t>
      </w:r>
      <w:r w:rsidRPr="007E5222">
        <w:t xml:space="preserve"> se turnó el recurso de revisión a través del SAIMEX a la </w:t>
      </w:r>
      <w:r w:rsidRPr="007E5222">
        <w:rPr>
          <w:b/>
        </w:rPr>
        <w:t>Comisionada Sharon Cristina Morales Martínez</w:t>
      </w:r>
      <w:r w:rsidRPr="007E5222">
        <w:t xml:space="preserve">, a efecto de decretar su admisión o desechamiento. </w:t>
      </w:r>
    </w:p>
    <w:p w14:paraId="5DAE8E1E" w14:textId="77777777" w:rsidR="00486D3B" w:rsidRPr="007E5222" w:rsidRDefault="00486D3B" w:rsidP="007E5222"/>
    <w:p w14:paraId="0C8F0020" w14:textId="77777777" w:rsidR="00486D3B" w:rsidRPr="007E5222" w:rsidRDefault="00EB6107" w:rsidP="007E5222">
      <w:pPr>
        <w:pStyle w:val="Ttulo3"/>
      </w:pPr>
      <w:bookmarkStart w:id="11" w:name="_heading=h.3rdcrjn" w:colFirst="0" w:colLast="0"/>
      <w:bookmarkEnd w:id="11"/>
      <w:r w:rsidRPr="007E5222">
        <w:t>c) Admisión del Recurso de Revisión</w:t>
      </w:r>
    </w:p>
    <w:p w14:paraId="65047C54" w14:textId="77777777" w:rsidR="00486D3B" w:rsidRPr="007E5222" w:rsidRDefault="00EB6107" w:rsidP="007E5222">
      <w:r w:rsidRPr="007E5222">
        <w:t xml:space="preserve">El </w:t>
      </w:r>
      <w:r w:rsidRPr="007E5222">
        <w:rPr>
          <w:b/>
        </w:rPr>
        <w:t>veinte de septiembre de dos mil veintitrés</w:t>
      </w:r>
      <w:r w:rsidRPr="007E5222">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8227EE6" w14:textId="77777777" w:rsidR="00486D3B" w:rsidRPr="007E5222" w:rsidRDefault="00486D3B" w:rsidP="007E5222"/>
    <w:p w14:paraId="5E6B3C55" w14:textId="77777777" w:rsidR="00486D3B" w:rsidRPr="007E5222" w:rsidRDefault="00EB6107" w:rsidP="007E5222">
      <w:pPr>
        <w:pStyle w:val="Ttulo3"/>
      </w:pPr>
      <w:bookmarkStart w:id="12" w:name="_heading=h.26in1rg" w:colFirst="0" w:colLast="0"/>
      <w:bookmarkEnd w:id="12"/>
      <w:r w:rsidRPr="007E5222">
        <w:t>d) Informe Justificado del Sujeto Obligado</w:t>
      </w:r>
    </w:p>
    <w:p w14:paraId="52F66F9B" w14:textId="77777777" w:rsidR="00486D3B" w:rsidRPr="007E5222" w:rsidRDefault="00EB6107" w:rsidP="007E5222">
      <w:r w:rsidRPr="007E5222">
        <w:t xml:space="preserve">El </w:t>
      </w:r>
      <w:r w:rsidRPr="007E5222">
        <w:rPr>
          <w:b/>
        </w:rPr>
        <w:t>cuatro de octubre de dos mil veintitrés EL SUJETO OBLIGADO</w:t>
      </w:r>
      <w:r w:rsidRPr="007E5222">
        <w:t xml:space="preserve"> rindió su informe justificado a través del SAIMEX, en el cual expresó lo siguiente:</w:t>
      </w:r>
    </w:p>
    <w:p w14:paraId="53246845" w14:textId="77777777" w:rsidR="00486D3B" w:rsidRPr="007E5222" w:rsidRDefault="00486D3B" w:rsidP="007E5222"/>
    <w:p w14:paraId="36C10C8A" w14:textId="77777777" w:rsidR="00486D3B" w:rsidRPr="007E5222" w:rsidRDefault="00EB6107" w:rsidP="007E5222">
      <w:pPr>
        <w:numPr>
          <w:ilvl w:val="0"/>
          <w:numId w:val="3"/>
        </w:numPr>
        <w:ind w:right="539"/>
        <w:jc w:val="left"/>
        <w:rPr>
          <w:i/>
        </w:rPr>
      </w:pPr>
      <w:r w:rsidRPr="007E5222">
        <w:rPr>
          <w:b/>
          <w:i/>
        </w:rPr>
        <w:t xml:space="preserve">RR 06357-2023 Informe Justificado.pdf: </w:t>
      </w:r>
      <w:r w:rsidRPr="007E5222">
        <w:t xml:space="preserve">Documento del cual se advierte el Informe Justificado mediante el cual el Titular de la Unidad de Transparencia ratifica su respuesta primigenia. </w:t>
      </w:r>
    </w:p>
    <w:p w14:paraId="270ACC12" w14:textId="77777777" w:rsidR="00486D3B" w:rsidRPr="007E5222" w:rsidRDefault="00EB6107" w:rsidP="007E5222">
      <w:pPr>
        <w:numPr>
          <w:ilvl w:val="0"/>
          <w:numId w:val="3"/>
        </w:numPr>
        <w:ind w:right="539"/>
        <w:jc w:val="left"/>
        <w:rPr>
          <w:b/>
          <w:i/>
        </w:rPr>
      </w:pPr>
      <w:r w:rsidRPr="007E5222">
        <w:rPr>
          <w:b/>
          <w:i/>
        </w:rPr>
        <w:lastRenderedPageBreak/>
        <w:t xml:space="preserve">RR 06357-2023 COORD ADM.pdf: </w:t>
      </w:r>
      <w:r w:rsidRPr="007E5222">
        <w:t xml:space="preserve">Oficio número 2070002000100S/IP/0230/2023 mediante el cual la Coordinación Administrativa ratificó su respuesta.  </w:t>
      </w:r>
    </w:p>
    <w:p w14:paraId="6443A262" w14:textId="77777777" w:rsidR="00486D3B" w:rsidRPr="007E5222" w:rsidRDefault="00EB6107" w:rsidP="007E5222">
      <w:pPr>
        <w:numPr>
          <w:ilvl w:val="0"/>
          <w:numId w:val="3"/>
        </w:numPr>
        <w:ind w:right="539"/>
        <w:jc w:val="left"/>
        <w:rPr>
          <w:i/>
        </w:rPr>
      </w:pPr>
      <w:r w:rsidRPr="007E5222">
        <w:rPr>
          <w:b/>
          <w:i/>
        </w:rPr>
        <w:t xml:space="preserve">RR 06357-2023 CGG.pdf: </w:t>
      </w:r>
      <w:r w:rsidRPr="007E5222">
        <w:rPr>
          <w:i/>
        </w:rPr>
        <w:t xml:space="preserve"> </w:t>
      </w:r>
      <w:r w:rsidRPr="007E5222">
        <w:t xml:space="preserve">Documento mediante el cual la Contaduría General Gubernamental ratificó su respuesta. </w:t>
      </w:r>
    </w:p>
    <w:p w14:paraId="11B96D42" w14:textId="77777777" w:rsidR="00486D3B" w:rsidRPr="007E5222" w:rsidRDefault="00EB6107" w:rsidP="007E5222">
      <w:pPr>
        <w:numPr>
          <w:ilvl w:val="0"/>
          <w:numId w:val="3"/>
        </w:numPr>
        <w:ind w:right="539"/>
        <w:jc w:val="left"/>
        <w:rPr>
          <w:i/>
        </w:rPr>
      </w:pPr>
      <w:r w:rsidRPr="007E5222">
        <w:rPr>
          <w:b/>
          <w:i/>
        </w:rPr>
        <w:t>RR 06357-2023 DGP.pdf</w:t>
      </w:r>
      <w:r w:rsidRPr="007E5222">
        <w:rPr>
          <w:i/>
        </w:rPr>
        <w:t xml:space="preserve">: </w:t>
      </w:r>
      <w:r w:rsidRPr="007E5222">
        <w:t xml:space="preserve">Documento mediante el cual la Dirección General de Personal ratificó su respuesta. </w:t>
      </w:r>
    </w:p>
    <w:p w14:paraId="11A146C9" w14:textId="77777777" w:rsidR="00486D3B" w:rsidRPr="007E5222" w:rsidRDefault="00486D3B" w:rsidP="007E5222"/>
    <w:p w14:paraId="73253D45" w14:textId="77777777" w:rsidR="00486D3B" w:rsidRPr="007E5222" w:rsidRDefault="00EB6107" w:rsidP="007E5222">
      <w:r w:rsidRPr="007E5222">
        <w:t xml:space="preserve">Esta información fue puesta a la vista de </w:t>
      </w:r>
      <w:r w:rsidRPr="007E5222">
        <w:rPr>
          <w:b/>
        </w:rPr>
        <w:t xml:space="preserve">LA PARTE RECURRENTE </w:t>
      </w:r>
      <w:r w:rsidRPr="007E5222">
        <w:t xml:space="preserve">el </w:t>
      </w:r>
      <w:r w:rsidRPr="007E5222">
        <w:rPr>
          <w:b/>
        </w:rPr>
        <w:t>trece de octubre de dos mil veintitrés</w:t>
      </w:r>
      <w:r w:rsidRPr="007E5222">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76AC7F5E" w14:textId="77777777" w:rsidR="00486D3B" w:rsidRPr="007E5222" w:rsidRDefault="00486D3B" w:rsidP="007E5222">
      <w:pPr>
        <w:ind w:right="539"/>
      </w:pPr>
    </w:p>
    <w:p w14:paraId="529F2A5D" w14:textId="77777777" w:rsidR="00486D3B" w:rsidRPr="007E5222" w:rsidRDefault="00EB6107" w:rsidP="007E5222">
      <w:pPr>
        <w:pStyle w:val="Ttulo3"/>
      </w:pPr>
      <w:bookmarkStart w:id="13" w:name="_heading=h.1ksv4uv" w:colFirst="0" w:colLast="0"/>
      <w:bookmarkEnd w:id="13"/>
      <w:r w:rsidRPr="007E5222">
        <w:t>e) Manifestaciones de la Parte Recurrente</w:t>
      </w:r>
    </w:p>
    <w:p w14:paraId="3F291D4F" w14:textId="77777777" w:rsidR="00486D3B" w:rsidRPr="007E5222" w:rsidRDefault="00EB6107" w:rsidP="007E5222">
      <w:r w:rsidRPr="007E5222">
        <w:rPr>
          <w:b/>
        </w:rPr>
        <w:t xml:space="preserve">LA PARTE RECURRENTE </w:t>
      </w:r>
      <w:r w:rsidRPr="007E5222">
        <w:t>no realizó manifestación alguna dentro del término legalmente concedido para tal efecto, ni presentó pruebas o alegatos.</w:t>
      </w:r>
    </w:p>
    <w:p w14:paraId="27562C47" w14:textId="77777777" w:rsidR="00486D3B" w:rsidRPr="007E5222" w:rsidRDefault="00486D3B" w:rsidP="007E5222"/>
    <w:p w14:paraId="2FED6BB2" w14:textId="77777777" w:rsidR="00486D3B" w:rsidRPr="007E5222" w:rsidRDefault="00EB6107" w:rsidP="007E5222">
      <w:pPr>
        <w:pStyle w:val="Ttulo3"/>
      </w:pPr>
      <w:bookmarkStart w:id="14" w:name="_heading=h.44sinio" w:colFirst="0" w:colLast="0"/>
      <w:bookmarkEnd w:id="14"/>
      <w:r w:rsidRPr="007E5222">
        <w:t>f) Ampliación de plazo para resolver el Recurso de Revisión</w:t>
      </w:r>
    </w:p>
    <w:p w14:paraId="42496594" w14:textId="77777777" w:rsidR="00486D3B" w:rsidRPr="007E5222" w:rsidRDefault="00EB6107" w:rsidP="007E5222">
      <w:pPr>
        <w:tabs>
          <w:tab w:val="left" w:pos="3261"/>
        </w:tabs>
      </w:pPr>
      <w:r w:rsidRPr="007E5222">
        <w:t xml:space="preserve">Con fundamento en lo dispuesto en el artículo 181, párrafo tercero, de la Ley de Transparencia y Acceso a la Información Pública del Estado de México y Municipios, </w:t>
      </w:r>
      <w:r w:rsidRPr="007E5222">
        <w:rPr>
          <w:b/>
        </w:rPr>
        <w:t xml:space="preserve">el trece de noviembre de dos mil veintitrés </w:t>
      </w:r>
      <w:r w:rsidRPr="007E5222">
        <w:t xml:space="preserve">se acordó ampliar por un periodo razonable el plazo para resolver el presente Recurso de Revisión; acuerdo que fue notificado a las partes a través del SAIMEX el mismo día. </w:t>
      </w:r>
    </w:p>
    <w:p w14:paraId="14CAB769" w14:textId="77777777" w:rsidR="00486D3B" w:rsidRPr="007E5222" w:rsidRDefault="00486D3B" w:rsidP="007E5222">
      <w:pPr>
        <w:tabs>
          <w:tab w:val="left" w:pos="3261"/>
        </w:tabs>
      </w:pPr>
    </w:p>
    <w:p w14:paraId="3FEAE60D" w14:textId="77777777" w:rsidR="00486D3B" w:rsidRPr="007E5222" w:rsidRDefault="00EB6107" w:rsidP="007E5222">
      <w:pPr>
        <w:pBdr>
          <w:top w:val="nil"/>
          <w:left w:val="nil"/>
          <w:bottom w:val="nil"/>
          <w:right w:val="nil"/>
          <w:between w:val="nil"/>
        </w:pBdr>
      </w:pPr>
      <w:r w:rsidRPr="007E5222">
        <w:t xml:space="preserve">El plazo para emitir resolución en el presente asunto encuentra justificación en el alto número de recursos de revisión recibidos por este Instituto, circunstancia atípica que ha rebasado las </w:t>
      </w:r>
      <w:r w:rsidRPr="007E5222">
        <w:lastRenderedPageBreak/>
        <w:t>capacidades técnicas y humanas del personal encargado de la proyección de las resoluciones a dichos medios de impugnación.</w:t>
      </w:r>
    </w:p>
    <w:p w14:paraId="31884F53" w14:textId="77777777" w:rsidR="00486D3B" w:rsidRPr="007E5222" w:rsidRDefault="00486D3B" w:rsidP="007E5222">
      <w:pPr>
        <w:pBdr>
          <w:top w:val="nil"/>
          <w:left w:val="nil"/>
          <w:bottom w:val="nil"/>
          <w:right w:val="nil"/>
          <w:between w:val="nil"/>
        </w:pBdr>
      </w:pPr>
    </w:p>
    <w:p w14:paraId="5557EB62" w14:textId="77777777" w:rsidR="00486D3B" w:rsidRPr="007E5222" w:rsidRDefault="00EB6107" w:rsidP="007E5222">
      <w:pPr>
        <w:pBdr>
          <w:top w:val="nil"/>
          <w:left w:val="nil"/>
          <w:bottom w:val="nil"/>
          <w:right w:val="nil"/>
          <w:between w:val="nil"/>
        </w:pBdr>
      </w:pPr>
      <w:r w:rsidRPr="007E5222">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8EDEC57" w14:textId="77777777" w:rsidR="00486D3B" w:rsidRPr="007E5222" w:rsidRDefault="00486D3B" w:rsidP="007E5222">
      <w:pPr>
        <w:pBdr>
          <w:top w:val="nil"/>
          <w:left w:val="nil"/>
          <w:bottom w:val="nil"/>
          <w:right w:val="nil"/>
          <w:between w:val="nil"/>
        </w:pBdr>
      </w:pPr>
    </w:p>
    <w:p w14:paraId="4A9081FF" w14:textId="77777777" w:rsidR="00486D3B" w:rsidRPr="007E5222" w:rsidRDefault="00EB6107" w:rsidP="007E5222">
      <w:pPr>
        <w:pBdr>
          <w:top w:val="nil"/>
          <w:left w:val="nil"/>
          <w:bottom w:val="nil"/>
          <w:right w:val="nil"/>
          <w:between w:val="nil"/>
        </w:pBdr>
      </w:pPr>
      <w:r w:rsidRPr="007E5222">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24D7FCEA" w14:textId="77777777" w:rsidR="00486D3B" w:rsidRPr="007E5222" w:rsidRDefault="00486D3B" w:rsidP="007E5222">
      <w:pPr>
        <w:pBdr>
          <w:top w:val="nil"/>
          <w:left w:val="nil"/>
          <w:bottom w:val="nil"/>
          <w:right w:val="nil"/>
          <w:between w:val="nil"/>
        </w:pBdr>
      </w:pPr>
    </w:p>
    <w:p w14:paraId="0D0E585B" w14:textId="77777777" w:rsidR="00486D3B" w:rsidRPr="007E5222" w:rsidRDefault="00EB6107" w:rsidP="007E5222">
      <w:pPr>
        <w:pBdr>
          <w:top w:val="nil"/>
          <w:left w:val="nil"/>
          <w:bottom w:val="nil"/>
          <w:right w:val="nil"/>
          <w:between w:val="nil"/>
        </w:pBdr>
      </w:pPr>
      <w:r w:rsidRPr="007E5222">
        <w:t>Por ello, excepcionalmente, si un asunto es resuelto con posterioridad a los plazos señalados por la norma, debe analizarse la razonabilidad del tiempo necesario para su resolución, atentos a los siguientes criterios:</w:t>
      </w:r>
    </w:p>
    <w:p w14:paraId="7A604923" w14:textId="77777777" w:rsidR="00486D3B" w:rsidRPr="007E5222" w:rsidRDefault="00486D3B" w:rsidP="007E5222">
      <w:pPr>
        <w:pBdr>
          <w:top w:val="nil"/>
          <w:left w:val="nil"/>
          <w:bottom w:val="nil"/>
          <w:right w:val="nil"/>
          <w:between w:val="nil"/>
        </w:pBdr>
      </w:pPr>
    </w:p>
    <w:p w14:paraId="5AE2B8C0" w14:textId="77777777" w:rsidR="00486D3B" w:rsidRPr="007E5222" w:rsidRDefault="00EB6107" w:rsidP="007E5222">
      <w:pPr>
        <w:pBdr>
          <w:top w:val="nil"/>
          <w:left w:val="nil"/>
          <w:bottom w:val="nil"/>
          <w:right w:val="nil"/>
          <w:between w:val="nil"/>
        </w:pBdr>
        <w:ind w:left="567" w:right="539"/>
      </w:pPr>
      <w:r w:rsidRPr="007E5222">
        <w:rPr>
          <w:b/>
        </w:rPr>
        <w:t>Complejidad del asunto:</w:t>
      </w:r>
      <w:r w:rsidRPr="007E5222">
        <w:t xml:space="preserve"> La complejidad de la prueba, la pluralidad de sujetos procesales, el tiempo transcurrido, las características y contexto del recurso.</w:t>
      </w:r>
    </w:p>
    <w:p w14:paraId="46D69376" w14:textId="77777777" w:rsidR="00486D3B" w:rsidRPr="007E5222" w:rsidRDefault="00EB6107" w:rsidP="007E5222">
      <w:pPr>
        <w:pBdr>
          <w:top w:val="nil"/>
          <w:left w:val="nil"/>
          <w:bottom w:val="nil"/>
          <w:right w:val="nil"/>
          <w:between w:val="nil"/>
        </w:pBdr>
        <w:ind w:left="567" w:right="539"/>
      </w:pPr>
      <w:r w:rsidRPr="007E5222">
        <w:rPr>
          <w:b/>
        </w:rPr>
        <w:t>Actividad Procesal del interesado:</w:t>
      </w:r>
      <w:r w:rsidRPr="007E5222">
        <w:t xml:space="preserve"> Acciones u omisiones del interesado.</w:t>
      </w:r>
    </w:p>
    <w:p w14:paraId="30E3FD6B" w14:textId="77777777" w:rsidR="00486D3B" w:rsidRPr="007E5222" w:rsidRDefault="00EB6107" w:rsidP="007E5222">
      <w:pPr>
        <w:pBdr>
          <w:top w:val="nil"/>
          <w:left w:val="nil"/>
          <w:bottom w:val="nil"/>
          <w:right w:val="nil"/>
          <w:between w:val="nil"/>
        </w:pBdr>
        <w:ind w:left="567" w:right="539"/>
      </w:pPr>
      <w:r w:rsidRPr="007E5222">
        <w:rPr>
          <w:b/>
        </w:rPr>
        <w:t>Conducta de la Autoridad:</w:t>
      </w:r>
      <w:r w:rsidRPr="007E5222">
        <w:t xml:space="preserve"> Las Acciones u omisiones realizadas en el procedimiento. Así como si la autoridad actuó con la debida diligencia.</w:t>
      </w:r>
    </w:p>
    <w:p w14:paraId="357DCCC3" w14:textId="77777777" w:rsidR="00486D3B" w:rsidRPr="007E5222" w:rsidRDefault="00EB6107" w:rsidP="007E5222">
      <w:pPr>
        <w:pBdr>
          <w:top w:val="nil"/>
          <w:left w:val="nil"/>
          <w:bottom w:val="nil"/>
          <w:right w:val="nil"/>
          <w:between w:val="nil"/>
        </w:pBdr>
        <w:ind w:left="567" w:right="539"/>
      </w:pPr>
      <w:r w:rsidRPr="007E5222">
        <w:rPr>
          <w:b/>
        </w:rPr>
        <w:lastRenderedPageBreak/>
        <w:t>La afectación generada en la situación jurídica de la persona involucrada en el proceso:</w:t>
      </w:r>
      <w:r w:rsidRPr="007E5222">
        <w:t xml:space="preserve"> Violación a sus derechos humanos.</w:t>
      </w:r>
    </w:p>
    <w:p w14:paraId="362514FB" w14:textId="77777777" w:rsidR="00486D3B" w:rsidRPr="007E5222" w:rsidRDefault="00486D3B" w:rsidP="007E5222">
      <w:pPr>
        <w:pBdr>
          <w:top w:val="nil"/>
          <w:left w:val="nil"/>
          <w:bottom w:val="nil"/>
          <w:right w:val="nil"/>
          <w:between w:val="nil"/>
        </w:pBdr>
        <w:ind w:left="567" w:right="539"/>
      </w:pPr>
    </w:p>
    <w:p w14:paraId="47A2A73E" w14:textId="77777777" w:rsidR="00486D3B" w:rsidRPr="007E5222" w:rsidRDefault="00EB6107" w:rsidP="007E5222">
      <w:pPr>
        <w:pBdr>
          <w:top w:val="nil"/>
          <w:left w:val="nil"/>
          <w:bottom w:val="nil"/>
          <w:right w:val="nil"/>
          <w:between w:val="nil"/>
        </w:pBdr>
      </w:pPr>
      <w:r w:rsidRPr="007E5222">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5F6C8FE" w14:textId="77777777" w:rsidR="00486D3B" w:rsidRPr="007E5222" w:rsidRDefault="00486D3B" w:rsidP="007E5222">
      <w:pPr>
        <w:pBdr>
          <w:top w:val="nil"/>
          <w:left w:val="nil"/>
          <w:bottom w:val="nil"/>
          <w:right w:val="nil"/>
          <w:between w:val="nil"/>
        </w:pBdr>
      </w:pPr>
    </w:p>
    <w:p w14:paraId="27899F74" w14:textId="77777777" w:rsidR="00486D3B" w:rsidRPr="007E5222" w:rsidRDefault="00EB6107" w:rsidP="007E5222">
      <w:pPr>
        <w:pBdr>
          <w:top w:val="nil"/>
          <w:left w:val="nil"/>
          <w:bottom w:val="nil"/>
          <w:right w:val="nil"/>
          <w:between w:val="nil"/>
        </w:pBdr>
      </w:pPr>
      <w:r w:rsidRPr="007E5222">
        <w:t>Argumento que encuentra sustento en la jurisprudencia P./J. 32/92 emitida por el Pleno de la Suprema Corte de Justicia de la Nación de rubro “</w:t>
      </w:r>
      <w:r w:rsidRPr="007E5222">
        <w:rPr>
          <w:b/>
        </w:rPr>
        <w:t>TÉRMINOS PROCESALES. PARA DETERMINAR SI UN FUNCIONARIO JUDICIAL ACTUÓ INDEBIDAMENTE POR NO RESPETARLOS SE DEBE ATENDER AL PRESUPUESTO QUE CONSIDERÓ EL LEGISLADOR AL FIJARLOS Y LAS CARACTERÍSTICAS DEL CASO</w:t>
      </w:r>
      <w:r w:rsidRPr="007E5222">
        <w:t>.”, visible en la Gaceta del Seminario Judicial de la Federación con el registro digital 205635.</w:t>
      </w:r>
    </w:p>
    <w:p w14:paraId="65B6DD2F" w14:textId="77777777" w:rsidR="00486D3B" w:rsidRPr="007E5222" w:rsidRDefault="00486D3B" w:rsidP="007E5222">
      <w:pPr>
        <w:pBdr>
          <w:top w:val="nil"/>
          <w:left w:val="nil"/>
          <w:bottom w:val="nil"/>
          <w:right w:val="nil"/>
          <w:between w:val="nil"/>
        </w:pBdr>
      </w:pPr>
    </w:p>
    <w:p w14:paraId="33504F2F" w14:textId="77777777" w:rsidR="00486D3B" w:rsidRPr="007E5222" w:rsidRDefault="00EB6107" w:rsidP="007E5222">
      <w:pPr>
        <w:pBdr>
          <w:top w:val="nil"/>
          <w:left w:val="nil"/>
          <w:bottom w:val="nil"/>
          <w:right w:val="nil"/>
          <w:between w:val="nil"/>
        </w:pBdr>
      </w:pPr>
      <w:r w:rsidRPr="007E5222">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AFA8243" w14:textId="77777777" w:rsidR="00486D3B" w:rsidRPr="007E5222" w:rsidRDefault="00486D3B" w:rsidP="007E5222">
      <w:pPr>
        <w:pBdr>
          <w:top w:val="nil"/>
          <w:left w:val="nil"/>
          <w:bottom w:val="nil"/>
          <w:right w:val="nil"/>
          <w:between w:val="nil"/>
        </w:pBdr>
      </w:pPr>
    </w:p>
    <w:p w14:paraId="6764030E" w14:textId="77777777" w:rsidR="00486D3B" w:rsidRPr="007E5222" w:rsidRDefault="00EB6107" w:rsidP="007E5222">
      <w:pPr>
        <w:pBdr>
          <w:top w:val="nil"/>
          <w:left w:val="nil"/>
          <w:bottom w:val="nil"/>
          <w:right w:val="nil"/>
          <w:between w:val="nil"/>
        </w:pBdr>
      </w:pPr>
      <w:r w:rsidRPr="007E5222">
        <w:lastRenderedPageBreak/>
        <w:t>Al respecto, también son de considerar los criterios sostenidos por el Cuarto Tribunal Colegiado en Materia Administrativa del Primer Circuito, cuyos rubros y datos de identificación son los siguientes:</w:t>
      </w:r>
    </w:p>
    <w:p w14:paraId="02D60B34" w14:textId="77777777" w:rsidR="00486D3B" w:rsidRPr="007E5222" w:rsidRDefault="00486D3B" w:rsidP="007E5222">
      <w:pPr>
        <w:pBdr>
          <w:top w:val="nil"/>
          <w:left w:val="nil"/>
          <w:bottom w:val="nil"/>
          <w:right w:val="nil"/>
          <w:between w:val="nil"/>
        </w:pBdr>
      </w:pPr>
    </w:p>
    <w:p w14:paraId="68787892" w14:textId="77777777" w:rsidR="00486D3B" w:rsidRPr="007E5222" w:rsidRDefault="00EB6107" w:rsidP="007E5222">
      <w:pPr>
        <w:pBdr>
          <w:top w:val="nil"/>
          <w:left w:val="nil"/>
          <w:bottom w:val="nil"/>
          <w:right w:val="nil"/>
          <w:between w:val="nil"/>
        </w:pBdr>
        <w:ind w:left="567" w:right="539"/>
        <w:rPr>
          <w:sz w:val="20"/>
        </w:rPr>
      </w:pPr>
      <w:r w:rsidRPr="007E5222">
        <w:rPr>
          <w:b/>
          <w:sz w:val="20"/>
        </w:rPr>
        <w:t>“PLAZO RAZONABLE PARA RESOLVER. DIMENSIÓN Y EFECTOS DE ESTE CONCEPTO CUANDO SE ADUCE EXCESIVA CARGA DE TRABAJO.”</w:t>
      </w:r>
      <w:r w:rsidRPr="007E5222">
        <w:rPr>
          <w:sz w:val="20"/>
        </w:rPr>
        <w:t xml:space="preserve"> consultable en el Seminario Judicial de la Federación y su gaceta, con el registro digital 2002351.</w:t>
      </w:r>
    </w:p>
    <w:p w14:paraId="70B65919" w14:textId="77777777" w:rsidR="00486D3B" w:rsidRPr="007E5222" w:rsidRDefault="00486D3B" w:rsidP="007E5222">
      <w:pPr>
        <w:pBdr>
          <w:top w:val="nil"/>
          <w:left w:val="nil"/>
          <w:bottom w:val="nil"/>
          <w:right w:val="nil"/>
          <w:between w:val="nil"/>
        </w:pBdr>
        <w:ind w:left="567" w:right="539"/>
        <w:rPr>
          <w:sz w:val="20"/>
        </w:rPr>
      </w:pPr>
    </w:p>
    <w:p w14:paraId="1E84FFAE" w14:textId="77777777" w:rsidR="00486D3B" w:rsidRPr="007E5222" w:rsidRDefault="00EB6107" w:rsidP="007E5222">
      <w:pPr>
        <w:pBdr>
          <w:top w:val="nil"/>
          <w:left w:val="nil"/>
          <w:bottom w:val="nil"/>
          <w:right w:val="nil"/>
          <w:between w:val="nil"/>
        </w:pBdr>
        <w:ind w:left="567" w:right="539"/>
        <w:rPr>
          <w:sz w:val="20"/>
        </w:rPr>
      </w:pPr>
      <w:r w:rsidRPr="007E5222">
        <w:rPr>
          <w:b/>
          <w:sz w:val="20"/>
        </w:rPr>
        <w:t>“PLAZO RAZONABLE PARA RESOLVER. CONCEPTO Y ELEMENTOS QUE LO INTEGRAN A LA LUZ DEL DERECHO INTERNACIONAL DE LOS DERECHOS HUMANOS</w:t>
      </w:r>
      <w:r w:rsidRPr="007E5222">
        <w:rPr>
          <w:sz w:val="20"/>
        </w:rPr>
        <w:t>.”, visible en el Seminario Judicial de la Federación y su gaceta, con el registro digital 2002350.</w:t>
      </w:r>
    </w:p>
    <w:p w14:paraId="6F5189C1" w14:textId="77777777" w:rsidR="00486D3B" w:rsidRPr="007E5222" w:rsidRDefault="00486D3B" w:rsidP="007E5222">
      <w:pPr>
        <w:pBdr>
          <w:top w:val="nil"/>
          <w:left w:val="nil"/>
          <w:bottom w:val="nil"/>
          <w:right w:val="nil"/>
          <w:between w:val="nil"/>
        </w:pBdr>
      </w:pPr>
    </w:p>
    <w:p w14:paraId="261E9F43" w14:textId="77777777" w:rsidR="00486D3B" w:rsidRPr="007E5222" w:rsidRDefault="00EB6107" w:rsidP="007E5222">
      <w:pPr>
        <w:pBdr>
          <w:top w:val="nil"/>
          <w:left w:val="nil"/>
          <w:bottom w:val="nil"/>
          <w:right w:val="nil"/>
          <w:between w:val="nil"/>
        </w:pBdr>
      </w:pPr>
      <w:r w:rsidRPr="007E5222">
        <w:t>Por ello, este organismo garante comprometido con la tutela de los derechos humanos confiados señala que este exceso del plazo legal para resolver el asunto resulta de carácter excepcional.</w:t>
      </w:r>
    </w:p>
    <w:p w14:paraId="7FD08169" w14:textId="77777777" w:rsidR="00486D3B" w:rsidRPr="007E5222" w:rsidRDefault="00486D3B" w:rsidP="007E5222"/>
    <w:p w14:paraId="7D01A28F" w14:textId="77777777" w:rsidR="00486D3B" w:rsidRPr="007E5222" w:rsidRDefault="00EB6107" w:rsidP="007E5222">
      <w:pPr>
        <w:pStyle w:val="Ttulo3"/>
      </w:pPr>
      <w:bookmarkStart w:id="15" w:name="_heading=h.2jxsxqh" w:colFirst="0" w:colLast="0"/>
      <w:bookmarkEnd w:id="15"/>
      <w:r w:rsidRPr="007E5222">
        <w:t>g) Cierre de instrucción</w:t>
      </w:r>
    </w:p>
    <w:p w14:paraId="42C64D3F" w14:textId="77777777" w:rsidR="00486D3B" w:rsidRPr="007E5222" w:rsidRDefault="00EB6107" w:rsidP="007E5222">
      <w:bookmarkStart w:id="16" w:name="_heading=h.z337ya" w:colFirst="0" w:colLast="0"/>
      <w:bookmarkEnd w:id="16"/>
      <w:r w:rsidRPr="007E5222">
        <w:t xml:space="preserve">Al no existir diligencias pendientes por desahogar, el </w:t>
      </w:r>
      <w:r w:rsidRPr="007E5222">
        <w:rPr>
          <w:b/>
        </w:rPr>
        <w:t>veinte de agosto de dos mil veinticuatro</w:t>
      </w:r>
      <w:r w:rsidRPr="007E5222">
        <w:t xml:space="preserve"> la </w:t>
      </w:r>
      <w:r w:rsidRPr="007E5222">
        <w:rPr>
          <w:b/>
        </w:rPr>
        <w:t xml:space="preserve">Comisionada Sharon Cristina Morales Martínez </w:t>
      </w:r>
      <w:r w:rsidRPr="007E522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C8E491F" w14:textId="77777777" w:rsidR="00486D3B" w:rsidRPr="007E5222" w:rsidRDefault="00486D3B" w:rsidP="007E5222"/>
    <w:p w14:paraId="0997FEEF" w14:textId="77777777" w:rsidR="00486D3B" w:rsidRPr="007E5222" w:rsidRDefault="00EB6107" w:rsidP="007E5222">
      <w:pPr>
        <w:pStyle w:val="Ttulo1"/>
      </w:pPr>
      <w:bookmarkStart w:id="17" w:name="_heading=h.3j2qqm3" w:colFirst="0" w:colLast="0"/>
      <w:bookmarkEnd w:id="17"/>
      <w:r w:rsidRPr="007E5222">
        <w:lastRenderedPageBreak/>
        <w:t>CONSIDERANDOS</w:t>
      </w:r>
    </w:p>
    <w:p w14:paraId="271BD40B" w14:textId="77777777" w:rsidR="00486D3B" w:rsidRPr="007E5222" w:rsidRDefault="00486D3B" w:rsidP="007E5222">
      <w:pPr>
        <w:jc w:val="center"/>
        <w:rPr>
          <w:b/>
        </w:rPr>
      </w:pPr>
    </w:p>
    <w:p w14:paraId="71A26CD4" w14:textId="77777777" w:rsidR="00486D3B" w:rsidRPr="007E5222" w:rsidRDefault="00EB6107" w:rsidP="007E5222">
      <w:pPr>
        <w:pStyle w:val="Ttulo2"/>
      </w:pPr>
      <w:bookmarkStart w:id="18" w:name="_heading=h.1y810tw" w:colFirst="0" w:colLast="0"/>
      <w:bookmarkEnd w:id="18"/>
      <w:r w:rsidRPr="007E5222">
        <w:t>PRIMERO. Procedibilidad</w:t>
      </w:r>
    </w:p>
    <w:p w14:paraId="7F36021D" w14:textId="77777777" w:rsidR="00486D3B" w:rsidRPr="007E5222" w:rsidRDefault="00EB6107" w:rsidP="007E5222">
      <w:pPr>
        <w:pStyle w:val="Ttulo3"/>
      </w:pPr>
      <w:bookmarkStart w:id="19" w:name="_heading=h.4i7ojhp" w:colFirst="0" w:colLast="0"/>
      <w:bookmarkEnd w:id="19"/>
      <w:r w:rsidRPr="007E5222">
        <w:t>a) Competencia del Instituto</w:t>
      </w:r>
    </w:p>
    <w:p w14:paraId="55FC118A" w14:textId="77777777" w:rsidR="00486D3B" w:rsidRPr="007E5222" w:rsidRDefault="00EB6107" w:rsidP="007E5222">
      <w:r w:rsidRPr="007E5222">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párrafos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239B07A" w14:textId="77777777" w:rsidR="00486D3B" w:rsidRPr="007E5222" w:rsidRDefault="00486D3B" w:rsidP="007E5222"/>
    <w:p w14:paraId="3A340DE4" w14:textId="77777777" w:rsidR="00486D3B" w:rsidRPr="007E5222" w:rsidRDefault="00EB6107" w:rsidP="007E5222">
      <w:pPr>
        <w:pStyle w:val="Ttulo3"/>
      </w:pPr>
      <w:bookmarkStart w:id="20" w:name="_heading=h.2xcytpi" w:colFirst="0" w:colLast="0"/>
      <w:bookmarkEnd w:id="20"/>
      <w:r w:rsidRPr="007E5222">
        <w:t>b) Legitimidad de la parte recurrente</w:t>
      </w:r>
    </w:p>
    <w:p w14:paraId="7A05A7EF" w14:textId="77777777" w:rsidR="00486D3B" w:rsidRPr="007E5222" w:rsidRDefault="00EB6107" w:rsidP="007E5222">
      <w:r w:rsidRPr="007E5222">
        <w:t>El recurso de revisión fue interpuesto por parte legítima, ya que se presentó por la misma persona que formuló la solicitud de acceso a la Información Pública,</w:t>
      </w:r>
      <w:r w:rsidRPr="007E5222">
        <w:rPr>
          <w:b/>
        </w:rPr>
        <w:t xml:space="preserve"> </w:t>
      </w:r>
      <w:r w:rsidRPr="007E5222">
        <w:t>debido a que los datos de acceso</w:t>
      </w:r>
      <w:r w:rsidRPr="007E5222">
        <w:rPr>
          <w:b/>
        </w:rPr>
        <w:t xml:space="preserve"> </w:t>
      </w:r>
      <w:r w:rsidRPr="007E5222">
        <w:t>SAIMEX son personales e irrepetibles.</w:t>
      </w:r>
    </w:p>
    <w:p w14:paraId="4608804C" w14:textId="77777777" w:rsidR="00486D3B" w:rsidRPr="007E5222" w:rsidRDefault="00486D3B" w:rsidP="007E5222"/>
    <w:p w14:paraId="4F2EC2D8" w14:textId="77777777" w:rsidR="00486D3B" w:rsidRPr="007E5222" w:rsidRDefault="00EB6107" w:rsidP="007E5222">
      <w:pPr>
        <w:pStyle w:val="Ttulo3"/>
      </w:pPr>
      <w:bookmarkStart w:id="21" w:name="_heading=h.1ci93xb" w:colFirst="0" w:colLast="0"/>
      <w:bookmarkEnd w:id="21"/>
      <w:r w:rsidRPr="007E5222">
        <w:t>c) Plazo para interponer el recurso</w:t>
      </w:r>
    </w:p>
    <w:p w14:paraId="4FF5AD23" w14:textId="77777777" w:rsidR="00486D3B" w:rsidRPr="007E5222" w:rsidRDefault="00EB6107" w:rsidP="007E5222">
      <w:bookmarkStart w:id="22" w:name="_heading=h.3whwml4" w:colFirst="0" w:colLast="0"/>
      <w:bookmarkEnd w:id="22"/>
      <w:r w:rsidRPr="007E5222">
        <w:rPr>
          <w:b/>
        </w:rPr>
        <w:t>EL SUJETO OBLIGADO</w:t>
      </w:r>
      <w:r w:rsidRPr="007E5222">
        <w:t xml:space="preserve"> notificó la respuesta a la solicitud de acceso a la Información Pública el </w:t>
      </w:r>
      <w:r w:rsidRPr="007E5222">
        <w:rPr>
          <w:b/>
        </w:rPr>
        <w:t xml:space="preserve">dieciocho de septiembre de dos mil veintitrés </w:t>
      </w:r>
      <w:r w:rsidRPr="007E5222">
        <w:t xml:space="preserve"> y el recurso que nos ocupa se interpuso el </w:t>
      </w:r>
      <w:r w:rsidRPr="007E5222">
        <w:rPr>
          <w:b/>
        </w:rPr>
        <w:t>veinte de septiembre de dos mil veintitrés</w:t>
      </w:r>
      <w:r w:rsidRPr="007E5222">
        <w:t xml:space="preserve">; por lo tanto, éste se encuentra dentro del margen temporal previsto en el artículo 178 de la Ley de Transparencia y Acceso a la Información </w:t>
      </w:r>
      <w:r w:rsidRPr="007E5222">
        <w:lastRenderedPageBreak/>
        <w:t xml:space="preserve">Pública del Estado de México y Municipios, el cual transcurrió del </w:t>
      </w:r>
      <w:r w:rsidRPr="007E5222">
        <w:rPr>
          <w:b/>
        </w:rPr>
        <w:t>diecinueve de septiembre al nueve de octubre de dos mil veintitrés</w:t>
      </w:r>
      <w:r w:rsidRPr="007E5222">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EFFFB4C" w14:textId="77777777" w:rsidR="00486D3B" w:rsidRPr="007E5222" w:rsidRDefault="00486D3B" w:rsidP="007E5222"/>
    <w:p w14:paraId="5D585572" w14:textId="77777777" w:rsidR="00486D3B" w:rsidRPr="007E5222" w:rsidRDefault="00EB6107" w:rsidP="007E5222">
      <w:pPr>
        <w:pStyle w:val="Ttulo3"/>
      </w:pPr>
      <w:bookmarkStart w:id="23" w:name="_heading=h.2bn6wsx" w:colFirst="0" w:colLast="0"/>
      <w:bookmarkEnd w:id="23"/>
      <w:r w:rsidRPr="007E5222">
        <w:t xml:space="preserve">d) Causal de procedencia </w:t>
      </w:r>
    </w:p>
    <w:p w14:paraId="20D2D128" w14:textId="77777777" w:rsidR="00486D3B" w:rsidRPr="007E5222" w:rsidRDefault="00EB6107" w:rsidP="007E5222">
      <w:r w:rsidRPr="007E5222">
        <w:t>Resulta procedente la interposición del recurso de revisión, ya que se actualiza la causal de procedencia señalada en el artículo 179, fracción I de la Ley de Transparencia y Acceso a la Información Pública del Estado de México y Municipios.</w:t>
      </w:r>
    </w:p>
    <w:p w14:paraId="52AE9DBB" w14:textId="77777777" w:rsidR="00486D3B" w:rsidRPr="007E5222" w:rsidRDefault="00486D3B" w:rsidP="007E5222"/>
    <w:p w14:paraId="0FE6039A" w14:textId="77777777" w:rsidR="00486D3B" w:rsidRPr="007E5222" w:rsidRDefault="00EB6107" w:rsidP="007E5222">
      <w:pPr>
        <w:pStyle w:val="Ttulo3"/>
      </w:pPr>
      <w:bookmarkStart w:id="24" w:name="_heading=h.qsh70q" w:colFirst="0" w:colLast="0"/>
      <w:bookmarkEnd w:id="24"/>
      <w:r w:rsidRPr="007E5222">
        <w:t>e) Requisitos formales para la interposición del recurso</w:t>
      </w:r>
    </w:p>
    <w:p w14:paraId="0624D74F" w14:textId="77777777" w:rsidR="00486D3B" w:rsidRPr="007E5222" w:rsidRDefault="00EB6107" w:rsidP="007E5222">
      <w:r w:rsidRPr="007E5222">
        <w:rPr>
          <w:b/>
        </w:rPr>
        <w:t xml:space="preserve">LA PARTE RECURRENTE </w:t>
      </w:r>
      <w:r w:rsidRPr="007E5222">
        <w:t>acreditó todos y cada uno de los elementos formales exigidos por el artículo 180 de la misma normatividad.</w:t>
      </w:r>
    </w:p>
    <w:p w14:paraId="4E649331" w14:textId="77777777" w:rsidR="00486D3B" w:rsidRPr="007E5222" w:rsidRDefault="00486D3B" w:rsidP="007E5222"/>
    <w:p w14:paraId="036FA010" w14:textId="77777777" w:rsidR="00486D3B" w:rsidRPr="007E5222" w:rsidRDefault="00EB6107" w:rsidP="007E5222">
      <w:r w:rsidRPr="007E5222">
        <w:t xml:space="preserve">Es importante mencionar que, de la revisión del expediente electrónico del SAIMEX, se observa que </w:t>
      </w:r>
      <w:r w:rsidRPr="007E5222">
        <w:rPr>
          <w:b/>
        </w:rPr>
        <w:t>LA PARTE RECURRENTE</w:t>
      </w:r>
      <w:r w:rsidRPr="007E5222">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7E5222">
        <w:rPr>
          <w:b/>
          <w:u w:val="single"/>
        </w:rPr>
        <w:t>el nombre no es un requisito indispensable</w:t>
      </w:r>
      <w:r w:rsidRPr="007E5222">
        <w:t xml:space="preserve"> para que las y los ciudadanos ejerzan el derecho de acceso a la información pública. </w:t>
      </w:r>
    </w:p>
    <w:p w14:paraId="6C5C3072" w14:textId="77777777" w:rsidR="00486D3B" w:rsidRPr="007E5222" w:rsidRDefault="00486D3B" w:rsidP="007E5222"/>
    <w:p w14:paraId="27BB6CD1" w14:textId="77777777" w:rsidR="00486D3B" w:rsidRPr="007E5222" w:rsidRDefault="00EB6107" w:rsidP="007E5222">
      <w:r w:rsidRPr="007E5222">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7E5222">
        <w:rPr>
          <w:b/>
        </w:rPr>
        <w:t>LA PARTE RECURRENTE;</w:t>
      </w:r>
      <w:r w:rsidRPr="007E5222">
        <w:t xml:space="preserve"> por lo que, en el presente caso, al haber sido presentado el recurso de revisión vía SAIMEX, dicho requisito resulta innecesario.</w:t>
      </w:r>
    </w:p>
    <w:p w14:paraId="5C4A5AE0" w14:textId="77777777" w:rsidR="00486D3B" w:rsidRPr="007E5222" w:rsidRDefault="00486D3B" w:rsidP="007E5222">
      <w:pPr>
        <w:pStyle w:val="Ttulo3"/>
      </w:pPr>
      <w:bookmarkStart w:id="25" w:name="_heading=h.3as4poj" w:colFirst="0" w:colLast="0"/>
      <w:bookmarkEnd w:id="25"/>
    </w:p>
    <w:p w14:paraId="2B8D321F" w14:textId="77777777" w:rsidR="00486D3B" w:rsidRPr="007E5222" w:rsidRDefault="00EB6107" w:rsidP="007E5222">
      <w:pPr>
        <w:pStyle w:val="Ttulo2"/>
      </w:pPr>
      <w:bookmarkStart w:id="26" w:name="_heading=h.1pxezwc" w:colFirst="0" w:colLast="0"/>
      <w:bookmarkEnd w:id="26"/>
      <w:r w:rsidRPr="007E5222">
        <w:t>SEGUNDO. Estudio de Fondo</w:t>
      </w:r>
    </w:p>
    <w:p w14:paraId="62C89492" w14:textId="77777777" w:rsidR="00486D3B" w:rsidRPr="007E5222" w:rsidRDefault="00EB6107" w:rsidP="007E5222">
      <w:pPr>
        <w:pStyle w:val="Ttulo3"/>
      </w:pPr>
      <w:bookmarkStart w:id="27" w:name="_heading=h.49x2ik5" w:colFirst="0" w:colLast="0"/>
      <w:bookmarkEnd w:id="27"/>
      <w:r w:rsidRPr="007E5222">
        <w:t>a) Mandato de transparencia y responsabilidad del Sujeto Obligado</w:t>
      </w:r>
    </w:p>
    <w:p w14:paraId="43F87F8D" w14:textId="77777777" w:rsidR="00486D3B" w:rsidRPr="007E5222" w:rsidRDefault="00EB6107" w:rsidP="007E5222">
      <w:r w:rsidRPr="007E522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F422E3F" w14:textId="77777777" w:rsidR="00486D3B" w:rsidRPr="007E5222" w:rsidRDefault="00486D3B" w:rsidP="007E5222"/>
    <w:p w14:paraId="18F5018D" w14:textId="77777777" w:rsidR="00486D3B" w:rsidRPr="007E5222" w:rsidRDefault="00EB6107" w:rsidP="007E5222">
      <w:pPr>
        <w:spacing w:line="240" w:lineRule="auto"/>
        <w:ind w:left="567" w:right="539"/>
        <w:rPr>
          <w:b/>
          <w:i/>
        </w:rPr>
      </w:pPr>
      <w:r w:rsidRPr="007E5222">
        <w:rPr>
          <w:b/>
          <w:i/>
        </w:rPr>
        <w:t>Constitución Política de los Estados Unidos Mexicanos</w:t>
      </w:r>
    </w:p>
    <w:p w14:paraId="0A494FD3" w14:textId="77777777" w:rsidR="00486D3B" w:rsidRPr="007E5222" w:rsidRDefault="00EB6107" w:rsidP="007E5222">
      <w:pPr>
        <w:spacing w:line="240" w:lineRule="auto"/>
        <w:ind w:left="567" w:right="539"/>
        <w:rPr>
          <w:b/>
          <w:i/>
        </w:rPr>
      </w:pPr>
      <w:r w:rsidRPr="007E5222">
        <w:rPr>
          <w:b/>
          <w:i/>
        </w:rPr>
        <w:t>“Artículo 6.</w:t>
      </w:r>
    </w:p>
    <w:p w14:paraId="3987FDB6" w14:textId="77777777" w:rsidR="00486D3B" w:rsidRPr="007E5222" w:rsidRDefault="00EB6107" w:rsidP="007E5222">
      <w:pPr>
        <w:spacing w:line="240" w:lineRule="auto"/>
        <w:ind w:left="567" w:right="539"/>
        <w:rPr>
          <w:i/>
        </w:rPr>
      </w:pPr>
      <w:r w:rsidRPr="007E5222">
        <w:rPr>
          <w:i/>
        </w:rPr>
        <w:t>(…)</w:t>
      </w:r>
    </w:p>
    <w:p w14:paraId="311D0177" w14:textId="77777777" w:rsidR="00486D3B" w:rsidRPr="007E5222" w:rsidRDefault="00EB6107" w:rsidP="007E5222">
      <w:pPr>
        <w:spacing w:line="240" w:lineRule="auto"/>
        <w:ind w:left="567" w:right="539"/>
        <w:rPr>
          <w:i/>
        </w:rPr>
      </w:pPr>
      <w:r w:rsidRPr="007E5222">
        <w:rPr>
          <w:i/>
        </w:rPr>
        <w:t>Para efectos de lo dispuesto en el presente artículo se observará lo siguiente:</w:t>
      </w:r>
    </w:p>
    <w:p w14:paraId="40CDFD9C" w14:textId="77777777" w:rsidR="00486D3B" w:rsidRPr="007E5222" w:rsidRDefault="00EB6107" w:rsidP="007E5222">
      <w:pPr>
        <w:spacing w:line="240" w:lineRule="auto"/>
        <w:ind w:left="567" w:right="539"/>
        <w:rPr>
          <w:b/>
          <w:i/>
        </w:rPr>
      </w:pPr>
      <w:r w:rsidRPr="007E5222">
        <w:rPr>
          <w:b/>
          <w:i/>
        </w:rPr>
        <w:t>A</w:t>
      </w:r>
      <w:r w:rsidRPr="007E5222">
        <w:rPr>
          <w:i/>
        </w:rPr>
        <w:t xml:space="preserve">. </w:t>
      </w:r>
      <w:r w:rsidRPr="007E5222">
        <w:rPr>
          <w:b/>
          <w:i/>
        </w:rPr>
        <w:t>Para el ejercicio del derecho de acceso a la información</w:t>
      </w:r>
      <w:r w:rsidRPr="007E5222">
        <w:rPr>
          <w:i/>
        </w:rPr>
        <w:t xml:space="preserve">, la Federación y </w:t>
      </w:r>
      <w:r w:rsidRPr="007E5222">
        <w:rPr>
          <w:b/>
          <w:i/>
        </w:rPr>
        <w:t>las entidades federativas, en el ámbito de sus respectivas competencias, se regirán por los siguientes principios y bases:</w:t>
      </w:r>
    </w:p>
    <w:p w14:paraId="3987192C" w14:textId="77777777" w:rsidR="00486D3B" w:rsidRPr="007E5222" w:rsidRDefault="00EB6107" w:rsidP="007E5222">
      <w:pPr>
        <w:spacing w:line="240" w:lineRule="auto"/>
        <w:ind w:left="567" w:right="539"/>
        <w:rPr>
          <w:i/>
        </w:rPr>
      </w:pPr>
      <w:r w:rsidRPr="007E5222">
        <w:rPr>
          <w:b/>
          <w:i/>
        </w:rPr>
        <w:t xml:space="preserve">I. </w:t>
      </w:r>
      <w:r w:rsidRPr="007E5222">
        <w:rPr>
          <w:b/>
          <w:i/>
        </w:rPr>
        <w:tab/>
        <w:t>Toda la información en posesión de cualquier</w:t>
      </w:r>
      <w:r w:rsidRPr="007E5222">
        <w:rPr>
          <w:i/>
        </w:rPr>
        <w:t xml:space="preserve"> </w:t>
      </w:r>
      <w:r w:rsidRPr="007E5222">
        <w:rPr>
          <w:b/>
          <w:i/>
        </w:rPr>
        <w:t>autoridad</w:t>
      </w:r>
      <w:r w:rsidRPr="007E522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E5222">
        <w:rPr>
          <w:b/>
          <w:i/>
        </w:rPr>
        <w:t>municipal</w:t>
      </w:r>
      <w:r w:rsidRPr="007E5222">
        <w:rPr>
          <w:i/>
        </w:rPr>
        <w:t xml:space="preserve">, </w:t>
      </w:r>
      <w:r w:rsidRPr="007E5222">
        <w:rPr>
          <w:b/>
          <w:i/>
        </w:rPr>
        <w:t>es pública</w:t>
      </w:r>
      <w:r w:rsidRPr="007E5222">
        <w:rPr>
          <w:i/>
        </w:rPr>
        <w:t xml:space="preserve"> y sólo podrá ser reservada temporalmente por razones de interés público y seguridad nacional, en los términos que fijen las leyes. </w:t>
      </w:r>
      <w:r w:rsidRPr="007E5222">
        <w:rPr>
          <w:b/>
          <w:i/>
        </w:rPr>
        <w:t>En la interpretación de este derecho deberá prevalecer el principio de máxima publicidad. Los sujetos obligados deberán documentar todo acto que derive del ejercicio de sus facultades, competencias o funciones</w:t>
      </w:r>
      <w:r w:rsidRPr="007E5222">
        <w:rPr>
          <w:i/>
        </w:rPr>
        <w:t>, la ley determinará los supuestos específicos bajo los cuales procederá la declaración de inexistencia de la información.”</w:t>
      </w:r>
    </w:p>
    <w:p w14:paraId="0EDD7C1D" w14:textId="77777777" w:rsidR="00486D3B" w:rsidRPr="007E5222" w:rsidRDefault="00486D3B" w:rsidP="007E5222">
      <w:pPr>
        <w:spacing w:line="240" w:lineRule="auto"/>
        <w:ind w:left="567" w:right="539"/>
        <w:rPr>
          <w:b/>
          <w:i/>
        </w:rPr>
      </w:pPr>
    </w:p>
    <w:p w14:paraId="61EF10D1" w14:textId="77777777" w:rsidR="00486D3B" w:rsidRPr="007E5222" w:rsidRDefault="00EB6107" w:rsidP="007E5222">
      <w:pPr>
        <w:spacing w:line="240" w:lineRule="auto"/>
        <w:ind w:left="567" w:right="539"/>
        <w:rPr>
          <w:b/>
          <w:i/>
        </w:rPr>
      </w:pPr>
      <w:r w:rsidRPr="007E5222">
        <w:rPr>
          <w:b/>
          <w:i/>
        </w:rPr>
        <w:t>Constitución Política del Estado Libre y Soberano de México</w:t>
      </w:r>
    </w:p>
    <w:p w14:paraId="2B65092E" w14:textId="77777777" w:rsidR="00486D3B" w:rsidRPr="007E5222" w:rsidRDefault="00EB6107" w:rsidP="007E5222">
      <w:pPr>
        <w:spacing w:line="240" w:lineRule="auto"/>
        <w:ind w:left="567" w:right="539"/>
        <w:rPr>
          <w:i/>
        </w:rPr>
      </w:pPr>
      <w:r w:rsidRPr="007E5222">
        <w:rPr>
          <w:b/>
          <w:i/>
        </w:rPr>
        <w:t>“Artículo 5</w:t>
      </w:r>
      <w:r w:rsidRPr="007E5222">
        <w:rPr>
          <w:i/>
        </w:rPr>
        <w:t xml:space="preserve">.- </w:t>
      </w:r>
    </w:p>
    <w:p w14:paraId="5E1DE8B9" w14:textId="77777777" w:rsidR="00486D3B" w:rsidRPr="007E5222" w:rsidRDefault="00EB6107" w:rsidP="007E5222">
      <w:pPr>
        <w:spacing w:line="240" w:lineRule="auto"/>
        <w:ind w:left="567" w:right="539"/>
        <w:rPr>
          <w:i/>
        </w:rPr>
      </w:pPr>
      <w:r w:rsidRPr="007E5222">
        <w:rPr>
          <w:i/>
        </w:rPr>
        <w:t>(…)</w:t>
      </w:r>
    </w:p>
    <w:p w14:paraId="3C75F832" w14:textId="77777777" w:rsidR="00486D3B" w:rsidRPr="007E5222" w:rsidRDefault="00EB6107" w:rsidP="007E5222">
      <w:pPr>
        <w:spacing w:line="240" w:lineRule="auto"/>
        <w:ind w:left="567" w:right="539"/>
        <w:rPr>
          <w:i/>
        </w:rPr>
      </w:pPr>
      <w:r w:rsidRPr="007E5222">
        <w:rPr>
          <w:b/>
          <w:i/>
        </w:rPr>
        <w:t>El derecho a la información será garantizado por el Estado. La ley establecerá las previsiones que permitan asegurar la protección, el respeto y la difusión de este derecho</w:t>
      </w:r>
      <w:r w:rsidRPr="007E5222">
        <w:rPr>
          <w:i/>
        </w:rPr>
        <w:t>.</w:t>
      </w:r>
    </w:p>
    <w:p w14:paraId="14BF5ABA" w14:textId="77777777" w:rsidR="00486D3B" w:rsidRPr="007E5222" w:rsidRDefault="00EB6107" w:rsidP="007E5222">
      <w:pPr>
        <w:spacing w:line="240" w:lineRule="auto"/>
        <w:ind w:left="567" w:right="539"/>
        <w:rPr>
          <w:i/>
        </w:rPr>
      </w:pPr>
      <w:r w:rsidRPr="007E522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C084CC4" w14:textId="77777777" w:rsidR="00486D3B" w:rsidRPr="007E5222" w:rsidRDefault="00EB6107" w:rsidP="007E5222">
      <w:pPr>
        <w:spacing w:line="240" w:lineRule="auto"/>
        <w:ind w:left="567" w:right="539"/>
        <w:rPr>
          <w:i/>
        </w:rPr>
      </w:pPr>
      <w:r w:rsidRPr="007E5222">
        <w:rPr>
          <w:b/>
          <w:i/>
        </w:rPr>
        <w:t>Este derecho se regirá por los principios y bases siguientes</w:t>
      </w:r>
      <w:r w:rsidRPr="007E5222">
        <w:rPr>
          <w:i/>
        </w:rPr>
        <w:t>:</w:t>
      </w:r>
    </w:p>
    <w:p w14:paraId="3575C1B6" w14:textId="77777777" w:rsidR="00486D3B" w:rsidRPr="007E5222" w:rsidRDefault="00EB6107" w:rsidP="007E5222">
      <w:pPr>
        <w:spacing w:line="240" w:lineRule="auto"/>
        <w:ind w:left="567" w:right="539"/>
        <w:rPr>
          <w:i/>
        </w:rPr>
      </w:pPr>
      <w:r w:rsidRPr="007E5222">
        <w:rPr>
          <w:b/>
          <w:i/>
        </w:rPr>
        <w:t>I. Toda la información en posesión de cualquier autoridad, entidad, órgano y organismos de los</w:t>
      </w:r>
      <w:r w:rsidRPr="007E5222">
        <w:rPr>
          <w:i/>
        </w:rPr>
        <w:t xml:space="preserve"> Poderes Ejecutivo, Legislativo y Judicial, órganos autónomos, partidos políticos, fideicomisos y fondos públicos estatales y </w:t>
      </w:r>
      <w:r w:rsidRPr="007E5222">
        <w:rPr>
          <w:b/>
          <w:i/>
        </w:rPr>
        <w:t>municipales</w:t>
      </w:r>
      <w:r w:rsidRPr="007E522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E5222">
        <w:rPr>
          <w:b/>
          <w:i/>
        </w:rPr>
        <w:t>es pública</w:t>
      </w:r>
      <w:r w:rsidRPr="007E5222">
        <w:rPr>
          <w:i/>
        </w:rPr>
        <w:t xml:space="preserve"> y sólo podrá ser reservada temporalmente por razones previstas en la Constitución Política de los Estados Unidos Mexicanos de interés público y seguridad, en los términos que fijen las leyes. </w:t>
      </w:r>
      <w:r w:rsidRPr="007E5222">
        <w:rPr>
          <w:b/>
          <w:i/>
        </w:rPr>
        <w:t>En la interpretación de este derecho deberá prevalecer el principio de máxima publicidad</w:t>
      </w:r>
      <w:r w:rsidRPr="007E5222">
        <w:rPr>
          <w:i/>
        </w:rPr>
        <w:t xml:space="preserve">. </w:t>
      </w:r>
      <w:r w:rsidRPr="007E5222">
        <w:rPr>
          <w:b/>
          <w:i/>
        </w:rPr>
        <w:t>Los sujetos obligados deberán documentar todo acto que derive del ejercicio de sus facultades, competencias o funciones</w:t>
      </w:r>
      <w:r w:rsidRPr="007E5222">
        <w:rPr>
          <w:i/>
        </w:rPr>
        <w:t>, la ley determinará los supuestos específicos bajo los cuales procederá la declaración de inexistencia de la información.”</w:t>
      </w:r>
    </w:p>
    <w:p w14:paraId="01953A0A" w14:textId="77777777" w:rsidR="00486D3B" w:rsidRPr="007E5222" w:rsidRDefault="00486D3B" w:rsidP="007E5222">
      <w:pPr>
        <w:rPr>
          <w:b/>
          <w:i/>
        </w:rPr>
      </w:pPr>
    </w:p>
    <w:p w14:paraId="54E039B8" w14:textId="77777777" w:rsidR="00486D3B" w:rsidRPr="007E5222" w:rsidRDefault="00EB6107" w:rsidP="007E5222">
      <w:pPr>
        <w:rPr>
          <w:i/>
        </w:rPr>
      </w:pPr>
      <w:r w:rsidRPr="007E522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E5222">
        <w:rPr>
          <w:i/>
        </w:rPr>
        <w:t>por los principios de simplicidad, rapidez, gratuidad del procedimiento, auxilio y orientación a los particulares.</w:t>
      </w:r>
    </w:p>
    <w:p w14:paraId="39132881" w14:textId="77777777" w:rsidR="00486D3B" w:rsidRPr="007E5222" w:rsidRDefault="00486D3B" w:rsidP="007E5222">
      <w:pPr>
        <w:rPr>
          <w:i/>
        </w:rPr>
      </w:pPr>
    </w:p>
    <w:p w14:paraId="2F05A7F1" w14:textId="77777777" w:rsidR="00486D3B" w:rsidRPr="007E5222" w:rsidRDefault="00EB6107" w:rsidP="007E5222">
      <w:pPr>
        <w:rPr>
          <w:i/>
        </w:rPr>
      </w:pPr>
      <w:r w:rsidRPr="007E522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708A28B" w14:textId="77777777" w:rsidR="00486D3B" w:rsidRPr="007E5222" w:rsidRDefault="00486D3B" w:rsidP="007E5222"/>
    <w:p w14:paraId="715067BD" w14:textId="77777777" w:rsidR="00486D3B" w:rsidRPr="007E5222" w:rsidRDefault="00EB6107" w:rsidP="007E5222">
      <w:r w:rsidRPr="007E522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4A8B52C" w14:textId="77777777" w:rsidR="00486D3B" w:rsidRPr="007E5222" w:rsidRDefault="00486D3B" w:rsidP="007E5222"/>
    <w:p w14:paraId="473B2809" w14:textId="77777777" w:rsidR="00486D3B" w:rsidRPr="007E5222" w:rsidRDefault="00EB6107" w:rsidP="007E5222">
      <w:r w:rsidRPr="007E522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437BACF2" w14:textId="77777777" w:rsidR="00486D3B" w:rsidRPr="007E5222" w:rsidRDefault="00486D3B" w:rsidP="007E5222"/>
    <w:p w14:paraId="7AA6AB48" w14:textId="77777777" w:rsidR="00486D3B" w:rsidRPr="007E5222" w:rsidRDefault="00EB6107" w:rsidP="007E5222">
      <w:r w:rsidRPr="007E5222">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705F485" w14:textId="77777777" w:rsidR="00486D3B" w:rsidRPr="007E5222" w:rsidRDefault="00486D3B" w:rsidP="007E5222"/>
    <w:p w14:paraId="6A828CD2" w14:textId="77777777" w:rsidR="00486D3B" w:rsidRPr="007E5222" w:rsidRDefault="00EB6107" w:rsidP="007E5222">
      <w:bookmarkStart w:id="28" w:name="_heading=h.2p2csry" w:colFirst="0" w:colLast="0"/>
      <w:bookmarkEnd w:id="28"/>
      <w:r w:rsidRPr="007E5222">
        <w:t xml:space="preserve">Con base en lo anterior, se considera que </w:t>
      </w:r>
      <w:r w:rsidRPr="007E5222">
        <w:rPr>
          <w:b/>
        </w:rPr>
        <w:t>EL</w:t>
      </w:r>
      <w:r w:rsidRPr="007E5222">
        <w:t xml:space="preserve"> </w:t>
      </w:r>
      <w:r w:rsidRPr="007E5222">
        <w:rPr>
          <w:b/>
        </w:rPr>
        <w:t>SUJETO OBLIGADO</w:t>
      </w:r>
      <w:r w:rsidRPr="007E5222">
        <w:t xml:space="preserve"> se encontraba compelido a atender la solicitud de acceso a la información realizada por </w:t>
      </w:r>
      <w:r w:rsidRPr="007E5222">
        <w:rPr>
          <w:b/>
        </w:rPr>
        <w:t>LA PARTE RECURRENTE</w:t>
      </w:r>
      <w:r w:rsidRPr="007E5222">
        <w:t>.</w:t>
      </w:r>
    </w:p>
    <w:p w14:paraId="2D6153D2" w14:textId="77777777" w:rsidR="00486D3B" w:rsidRPr="007E5222" w:rsidRDefault="00486D3B" w:rsidP="007E5222"/>
    <w:p w14:paraId="09D9589D" w14:textId="77777777" w:rsidR="00486D3B" w:rsidRPr="007E5222" w:rsidRDefault="00EB6107" w:rsidP="007E5222">
      <w:pPr>
        <w:pStyle w:val="Ttulo3"/>
      </w:pPr>
      <w:bookmarkStart w:id="29" w:name="_heading=h.147n2zr" w:colFirst="0" w:colLast="0"/>
      <w:bookmarkEnd w:id="29"/>
      <w:r w:rsidRPr="007E5222">
        <w:lastRenderedPageBreak/>
        <w:t>b) Controversia a resolver</w:t>
      </w:r>
    </w:p>
    <w:p w14:paraId="722930C9" w14:textId="77777777" w:rsidR="00486D3B" w:rsidRPr="007E5222" w:rsidRDefault="00EB6107" w:rsidP="007E5222">
      <w:r w:rsidRPr="007E5222">
        <w:t xml:space="preserve">Con el objeto de ilustrar la controversia planteada, resulta conveniente precisar que, una vez realizado el estudio de las constancias que integran el expediente en que se actúa, se desprende que </w:t>
      </w:r>
      <w:r w:rsidRPr="007E5222">
        <w:rPr>
          <w:b/>
        </w:rPr>
        <w:t>LA PARTE RECURRENTE</w:t>
      </w:r>
      <w:r w:rsidRPr="007E5222">
        <w:t xml:space="preserve"> solicitó lo siguiente:</w:t>
      </w:r>
    </w:p>
    <w:p w14:paraId="3141803D" w14:textId="77777777" w:rsidR="00486D3B" w:rsidRPr="007E5222" w:rsidRDefault="00486D3B" w:rsidP="007E5222">
      <w:pPr>
        <w:tabs>
          <w:tab w:val="left" w:pos="4962"/>
        </w:tabs>
      </w:pPr>
    </w:p>
    <w:p w14:paraId="38E16952" w14:textId="77777777" w:rsidR="00486D3B" w:rsidRPr="007E5222" w:rsidRDefault="00EB6107" w:rsidP="007E5222">
      <w:pPr>
        <w:pStyle w:val="Puesto"/>
        <w:numPr>
          <w:ilvl w:val="0"/>
          <w:numId w:val="1"/>
        </w:numPr>
      </w:pPr>
      <w:bookmarkStart w:id="30" w:name="_heading=h.kfrui4vd7g3d" w:colFirst="0" w:colLast="0"/>
      <w:bookmarkEnd w:id="30"/>
      <w:r w:rsidRPr="007E5222">
        <w:t>En que consiste la piramidación que el gobierno realiza para cuadrar el pago de nóminas y las cantidades que se enteran al SAT, el papel de contabilidad gubernamental y las áreas y dependencias que intervienen en este asunto.</w:t>
      </w:r>
    </w:p>
    <w:p w14:paraId="3A923B5E" w14:textId="77777777" w:rsidR="00486D3B" w:rsidRPr="007E5222" w:rsidRDefault="00EB6107" w:rsidP="007E5222">
      <w:pPr>
        <w:pStyle w:val="Puesto"/>
        <w:numPr>
          <w:ilvl w:val="0"/>
          <w:numId w:val="1"/>
        </w:numPr>
      </w:pPr>
      <w:bookmarkStart w:id="31" w:name="_heading=h.pcljzmb8uh06" w:colFirst="0" w:colLast="0"/>
      <w:bookmarkEnd w:id="31"/>
      <w:r w:rsidRPr="007E5222">
        <w:t>Fundamento legal y motivo del porqué colaterales como el día del maestro y el día del servidor público no pagan contribuciones al SAT.</w:t>
      </w:r>
    </w:p>
    <w:p w14:paraId="16FC510E" w14:textId="77777777" w:rsidR="00486D3B" w:rsidRPr="007E5222" w:rsidRDefault="00486D3B" w:rsidP="007E5222">
      <w:pPr>
        <w:ind w:left="720"/>
      </w:pPr>
    </w:p>
    <w:p w14:paraId="68BE39A2" w14:textId="77777777" w:rsidR="00486D3B" w:rsidRPr="007E5222" w:rsidRDefault="00EB6107" w:rsidP="007E5222">
      <w:pPr>
        <w:tabs>
          <w:tab w:val="left" w:pos="4962"/>
        </w:tabs>
      </w:pPr>
      <w:r w:rsidRPr="007E5222">
        <w:t xml:space="preserve">En respuesta, </w:t>
      </w:r>
      <w:r w:rsidRPr="007E5222">
        <w:rPr>
          <w:b/>
        </w:rPr>
        <w:t>EL SUJETO OBLIGADO</w:t>
      </w:r>
      <w:r w:rsidRPr="007E5222">
        <w:t xml:space="preserve"> se pronunció por conducto de diversas áreas, quienes refirieron lo siguiente: </w:t>
      </w:r>
    </w:p>
    <w:p w14:paraId="64B5FADA" w14:textId="77777777" w:rsidR="00486D3B" w:rsidRPr="007E5222" w:rsidRDefault="00486D3B" w:rsidP="007E5222">
      <w:pPr>
        <w:tabs>
          <w:tab w:val="left" w:pos="4962"/>
        </w:tabs>
      </w:pPr>
    </w:p>
    <w:p w14:paraId="346578D4" w14:textId="77777777" w:rsidR="00486D3B" w:rsidRPr="007E5222" w:rsidRDefault="00EB6107" w:rsidP="007E5222">
      <w:pPr>
        <w:numPr>
          <w:ilvl w:val="0"/>
          <w:numId w:val="2"/>
        </w:numPr>
        <w:ind w:right="-28"/>
      </w:pPr>
      <w:r w:rsidRPr="007E5222">
        <w:t xml:space="preserve">El Jefe de la Unidad y Servidor Público Habilitado de la Dirección General de Personal, refirió que después de haber realizado una búsqueda exhaustiva y razonable dentro de los registros de su unidad administrativa, no encontró documentos donde conste lo solicitado </w:t>
      </w:r>
    </w:p>
    <w:p w14:paraId="33D92B9E" w14:textId="77777777" w:rsidR="00486D3B" w:rsidRPr="007E5222" w:rsidRDefault="00EB6107" w:rsidP="007E5222">
      <w:pPr>
        <w:numPr>
          <w:ilvl w:val="0"/>
          <w:numId w:val="2"/>
        </w:numPr>
        <w:ind w:right="-28"/>
      </w:pPr>
      <w:r w:rsidRPr="007E5222">
        <w:t xml:space="preserve">La servidora pública habilitada suplente de la Coordinación Administrativa, señaló que la oficina del Secretario y área Staff no cuentan con la información, ya que no es de su competencia. </w:t>
      </w:r>
    </w:p>
    <w:p w14:paraId="2D6B14A1" w14:textId="77777777" w:rsidR="00486D3B" w:rsidRPr="007E5222" w:rsidRDefault="00EB6107" w:rsidP="007E5222">
      <w:pPr>
        <w:numPr>
          <w:ilvl w:val="0"/>
          <w:numId w:val="2"/>
        </w:numPr>
        <w:ind w:right="-28"/>
      </w:pPr>
      <w:r w:rsidRPr="007E5222">
        <w:t xml:space="preserve">La servidora pública habilitada de la Contaduría General Gubernamental, indicó que la Dirección General de Personal es la Unidad Administrativa responsable de operar el sistema de Nómina del Sector Central, precisando que solo elabora información financiera y presupuestal relativa a la nómina. </w:t>
      </w:r>
    </w:p>
    <w:p w14:paraId="0003423A" w14:textId="77777777" w:rsidR="00486D3B" w:rsidRPr="007E5222" w:rsidRDefault="00EB6107" w:rsidP="007E5222">
      <w:pPr>
        <w:ind w:left="720" w:right="-28"/>
      </w:pPr>
      <w:r w:rsidRPr="007E5222">
        <w:lastRenderedPageBreak/>
        <w:t xml:space="preserve">Respecto al pago de contribuciones al SAT, refirió que lo hace con fundamento en el  primer y tercer párrafo del artículo 96 de la Ley del Impuesto Sobre la Renta, en relación con lo previsto en los artículos 1 fracción I, 90 y 94 fracción I de la misma ley. </w:t>
      </w:r>
    </w:p>
    <w:p w14:paraId="18106777" w14:textId="77777777" w:rsidR="00486D3B" w:rsidRPr="007E5222" w:rsidRDefault="00486D3B" w:rsidP="007E5222">
      <w:pPr>
        <w:tabs>
          <w:tab w:val="left" w:pos="4962"/>
        </w:tabs>
      </w:pPr>
    </w:p>
    <w:p w14:paraId="485E0325" w14:textId="16316E67" w:rsidR="00486D3B" w:rsidRPr="007E5222" w:rsidRDefault="00EB6107" w:rsidP="007E5222">
      <w:pPr>
        <w:tabs>
          <w:tab w:val="left" w:pos="4962"/>
        </w:tabs>
      </w:pPr>
      <w:r w:rsidRPr="007E5222">
        <w:t xml:space="preserve">Ahora bien, en la interposición del presente recurso </w:t>
      </w:r>
      <w:r w:rsidRPr="007E5222">
        <w:rPr>
          <w:b/>
        </w:rPr>
        <w:t>LA PARTE RECURRENTE</w:t>
      </w:r>
      <w:r w:rsidRPr="007E5222">
        <w:t xml:space="preserve"> se inconformó de que las respuestas entre las </w:t>
      </w:r>
      <w:r w:rsidR="00734370" w:rsidRPr="007E5222">
        <w:t>áreas eran</w:t>
      </w:r>
      <w:r w:rsidRPr="007E5222">
        <w:t xml:space="preserve"> contradictorias por lo cual, el estudio se centrará en determinar </w:t>
      </w:r>
      <w:r w:rsidR="00734370" w:rsidRPr="007E5222">
        <w:t>si la</w:t>
      </w:r>
      <w:r w:rsidRPr="007E5222">
        <w:t xml:space="preserve"> información entregada corresponde a lo solicitado por </w:t>
      </w:r>
      <w:r w:rsidRPr="007E5222">
        <w:rPr>
          <w:b/>
        </w:rPr>
        <w:t>LA PARTE RECURRENTE</w:t>
      </w:r>
      <w:r w:rsidRPr="007E5222">
        <w:t xml:space="preserve"> y si con ella se puede satisfacer su derecho de acceso a la información.  </w:t>
      </w:r>
    </w:p>
    <w:p w14:paraId="59AB6B9C" w14:textId="77777777" w:rsidR="00486D3B" w:rsidRPr="007E5222" w:rsidRDefault="00486D3B" w:rsidP="007E5222"/>
    <w:p w14:paraId="204C14A5" w14:textId="77777777" w:rsidR="00486D3B" w:rsidRPr="007E5222" w:rsidRDefault="00EB6107" w:rsidP="007E5222">
      <w:pPr>
        <w:pStyle w:val="Ttulo3"/>
      </w:pPr>
      <w:bookmarkStart w:id="32" w:name="_heading=h.3o7alnk" w:colFirst="0" w:colLast="0"/>
      <w:bookmarkEnd w:id="32"/>
      <w:r w:rsidRPr="007E5222">
        <w:t>c) Estudio de la controversia</w:t>
      </w:r>
    </w:p>
    <w:p w14:paraId="21C0B0AC" w14:textId="757586AF" w:rsidR="00486D3B" w:rsidRPr="007E5222" w:rsidRDefault="00EB6107" w:rsidP="007E5222">
      <w:pPr>
        <w:ind w:right="51"/>
        <w:rPr>
          <w:sz w:val="24"/>
          <w:szCs w:val="24"/>
        </w:rPr>
      </w:pPr>
      <w:r w:rsidRPr="007E5222">
        <w:rPr>
          <w:sz w:val="24"/>
          <w:szCs w:val="24"/>
        </w:rPr>
        <w:t xml:space="preserve">Una vez precisado lo anterior, es importante destacar en el caso concreto </w:t>
      </w:r>
      <w:r w:rsidR="00734370" w:rsidRPr="007E5222">
        <w:rPr>
          <w:sz w:val="24"/>
          <w:szCs w:val="24"/>
        </w:rPr>
        <w:t>que,</w:t>
      </w:r>
      <w:r w:rsidRPr="007E5222">
        <w:rPr>
          <w:sz w:val="24"/>
          <w:szCs w:val="24"/>
        </w:rPr>
        <w:t xml:space="preserve"> a través de la solicitud de información pública, </w:t>
      </w:r>
      <w:r w:rsidRPr="007E5222">
        <w:rPr>
          <w:b/>
          <w:sz w:val="24"/>
          <w:szCs w:val="24"/>
        </w:rPr>
        <w:t>LA PARTE RECURRENTE</w:t>
      </w:r>
      <w:r w:rsidRPr="007E5222">
        <w:rPr>
          <w:sz w:val="24"/>
          <w:szCs w:val="24"/>
        </w:rPr>
        <w:t xml:space="preserve"> formuló cuestionamientos al </w:t>
      </w:r>
      <w:r w:rsidRPr="007E5222">
        <w:rPr>
          <w:b/>
          <w:sz w:val="24"/>
          <w:szCs w:val="24"/>
        </w:rPr>
        <w:t>SUJETO OBLIGADO</w:t>
      </w:r>
      <w:r w:rsidRPr="007E5222">
        <w:rPr>
          <w:sz w:val="24"/>
          <w:szCs w:val="24"/>
        </w:rPr>
        <w:t>, lo cual en estricto sentido no son materia de acceso a la información pública.</w:t>
      </w:r>
    </w:p>
    <w:p w14:paraId="784668D5" w14:textId="77777777" w:rsidR="00486D3B" w:rsidRPr="007E5222" w:rsidRDefault="00486D3B" w:rsidP="007E5222">
      <w:pPr>
        <w:rPr>
          <w:sz w:val="24"/>
          <w:szCs w:val="24"/>
        </w:rPr>
      </w:pPr>
    </w:p>
    <w:p w14:paraId="4030B5FB" w14:textId="38BCEC76" w:rsidR="00486D3B" w:rsidRPr="007E5222" w:rsidRDefault="00EB6107" w:rsidP="007E5222">
      <w:pPr>
        <w:rPr>
          <w:sz w:val="24"/>
          <w:szCs w:val="24"/>
        </w:rPr>
      </w:pPr>
      <w:r w:rsidRPr="007E5222">
        <w:rPr>
          <w:sz w:val="24"/>
          <w:szCs w:val="24"/>
        </w:rPr>
        <w:t xml:space="preserve">Sin embargo, es importantes resaltar que la materia de este derecho subjetivo lo constituye el soporte documental de donde se puede advertir la información que los particulares pretenden obtener; por lo tanto, es improcedente que a través del ejercicio de este derecho, se formulen cuestionamientos a los Sujetos Obligados, toda vez que implica realizar procesamientos de datos; sin embargo, del análisis realizado a los cuestionamientos realizados por el particular, este Órgano Garante advierte que se puede satisfacer la presente solicitud motivo del presente asunto, mediante la entrega de expresiones documentales. Lo anterior, tiene apoyo en el criterio 28/10 del entonces </w:t>
      </w:r>
      <w:r w:rsidRPr="007E5222">
        <w:rPr>
          <w:sz w:val="24"/>
          <w:szCs w:val="24"/>
        </w:rPr>
        <w:lastRenderedPageBreak/>
        <w:t>Instituto Federal de Acceso a la Información Pública y Protección de Datos Personales</w:t>
      </w:r>
      <w:r w:rsidRPr="007E5222">
        <w:rPr>
          <w:sz w:val="24"/>
          <w:szCs w:val="24"/>
          <w:vertAlign w:val="superscript"/>
        </w:rPr>
        <w:footnoteReference w:id="1"/>
      </w:r>
      <w:r w:rsidRPr="007E5222">
        <w:rPr>
          <w:sz w:val="24"/>
          <w:szCs w:val="24"/>
        </w:rPr>
        <w:t>, el cual menciona lo siguiente:</w:t>
      </w:r>
    </w:p>
    <w:p w14:paraId="27C228BD" w14:textId="77777777" w:rsidR="00486D3B" w:rsidRPr="007E5222" w:rsidRDefault="00486D3B" w:rsidP="007E5222">
      <w:pPr>
        <w:spacing w:line="240" w:lineRule="auto"/>
        <w:rPr>
          <w:sz w:val="24"/>
          <w:szCs w:val="24"/>
        </w:rPr>
      </w:pPr>
    </w:p>
    <w:p w14:paraId="5EA1AA3C" w14:textId="77777777" w:rsidR="00486D3B" w:rsidRPr="007E5222" w:rsidRDefault="00EB6107" w:rsidP="007E5222">
      <w:pPr>
        <w:spacing w:line="240" w:lineRule="auto"/>
        <w:ind w:left="851" w:right="901"/>
        <w:rPr>
          <w:i/>
        </w:rPr>
      </w:pPr>
      <w:r w:rsidRPr="007E5222">
        <w:rPr>
          <w:i/>
        </w:rPr>
        <w:t>“</w:t>
      </w:r>
      <w:r w:rsidRPr="007E5222">
        <w:rPr>
          <w:b/>
          <w:i/>
        </w:rPr>
        <w:t>Cuando en una solicitud de información no se identifique un documento en específico, si ésta tiene una expresión documental, el sujeto obligado deberá entregar al particular el documento en específico</w:t>
      </w:r>
      <w:r w:rsidRPr="007E5222">
        <w:rPr>
          <w:i/>
        </w:rPr>
        <w:t xml:space="preserve">. La Ley Federal de Transparencia y Acceso a la Información Pública Gubernamental tiene por objeto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w:t>
      </w:r>
      <w:r w:rsidRPr="007E5222">
        <w:rPr>
          <w:i/>
          <w:u w:val="single"/>
        </w:rPr>
        <w:t>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7E5222">
        <w:rPr>
          <w:i/>
        </w:rPr>
        <w:t xml:space="preserve"> Es decir, si la respuesta a la solicitud obra en algún documento en poder de la autoridad, pero el particular no hace referencia específica a tal documento, se deberá hacer entrega del mismo al solicitante.” (sic)</w:t>
      </w:r>
    </w:p>
    <w:p w14:paraId="7B0C95E3" w14:textId="77777777" w:rsidR="00486D3B" w:rsidRPr="007E5222" w:rsidRDefault="00EB6107" w:rsidP="007E5222">
      <w:pPr>
        <w:spacing w:line="240" w:lineRule="auto"/>
        <w:ind w:left="851" w:right="901"/>
      </w:pPr>
      <w:r w:rsidRPr="007E5222">
        <w:t>(Énfasis añadido)</w:t>
      </w:r>
    </w:p>
    <w:p w14:paraId="2CDF1A5B" w14:textId="77777777" w:rsidR="00486D3B" w:rsidRPr="007E5222" w:rsidRDefault="00486D3B" w:rsidP="007E5222">
      <w:pPr>
        <w:spacing w:line="240" w:lineRule="auto"/>
        <w:ind w:left="851" w:right="901"/>
        <w:rPr>
          <w:sz w:val="24"/>
          <w:szCs w:val="24"/>
        </w:rPr>
      </w:pPr>
    </w:p>
    <w:p w14:paraId="0602D653" w14:textId="77777777" w:rsidR="00486D3B" w:rsidRPr="007E5222" w:rsidRDefault="00EB6107" w:rsidP="007E5222">
      <w:pPr>
        <w:rPr>
          <w:sz w:val="24"/>
          <w:szCs w:val="24"/>
        </w:rPr>
      </w:pPr>
      <w:r w:rsidRPr="007E5222">
        <w:rPr>
          <w:sz w:val="24"/>
          <w:szCs w:val="24"/>
        </w:rPr>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35E4E9A5" w14:textId="77777777" w:rsidR="00486D3B" w:rsidRPr="007E5222" w:rsidRDefault="00486D3B" w:rsidP="007E5222">
      <w:pPr>
        <w:rPr>
          <w:sz w:val="24"/>
          <w:szCs w:val="24"/>
        </w:rPr>
      </w:pPr>
    </w:p>
    <w:p w14:paraId="29E44153" w14:textId="77777777" w:rsidR="00486D3B" w:rsidRPr="007E5222" w:rsidRDefault="00EB6107" w:rsidP="007E5222">
      <w:pPr>
        <w:rPr>
          <w:sz w:val="24"/>
          <w:szCs w:val="24"/>
        </w:rPr>
      </w:pPr>
      <w:r w:rsidRPr="007E5222">
        <w:rPr>
          <w:sz w:val="24"/>
          <w:szCs w:val="24"/>
        </w:rPr>
        <w:t>En ese tenor, este Órgano Garante considera importante realizar el análisis de aquellos requerimientos, que si bien, por la manera en cómo están formulados, pudieran ser considerados como derecho de petición; sin embargo, bajo el amparo del principio de máxima publicidad consagrado en el numeral 8 de la Ley de Transparencia y Acceso a la Información Pública del Estado de México y Municipios, que es del tenor literal siguiente:</w:t>
      </w:r>
    </w:p>
    <w:p w14:paraId="34AAD396" w14:textId="77777777" w:rsidR="00486D3B" w:rsidRPr="007E5222" w:rsidRDefault="00486D3B" w:rsidP="007E5222">
      <w:pPr>
        <w:spacing w:line="240" w:lineRule="auto"/>
        <w:rPr>
          <w:sz w:val="24"/>
          <w:szCs w:val="24"/>
        </w:rPr>
      </w:pPr>
    </w:p>
    <w:p w14:paraId="1883F172" w14:textId="77777777" w:rsidR="00486D3B" w:rsidRPr="007E5222" w:rsidRDefault="00EB6107" w:rsidP="007E5222">
      <w:pPr>
        <w:spacing w:line="240" w:lineRule="auto"/>
        <w:ind w:left="851" w:right="901"/>
        <w:rPr>
          <w:i/>
        </w:rPr>
      </w:pPr>
      <w:r w:rsidRPr="007E5222">
        <w:rPr>
          <w:i/>
        </w:rPr>
        <w:t>“</w:t>
      </w:r>
      <w:r w:rsidRPr="007E5222">
        <w:rPr>
          <w:b/>
          <w:i/>
        </w:rPr>
        <w:t>Artículo 8</w:t>
      </w:r>
      <w:r w:rsidRPr="007E5222">
        <w:rPr>
          <w:i/>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18D24EA0" w14:textId="77777777" w:rsidR="00486D3B" w:rsidRPr="007E5222" w:rsidRDefault="00486D3B" w:rsidP="007E5222">
      <w:pPr>
        <w:spacing w:line="240" w:lineRule="auto"/>
        <w:ind w:left="709" w:right="757"/>
        <w:rPr>
          <w:i/>
        </w:rPr>
      </w:pPr>
    </w:p>
    <w:p w14:paraId="571F0A0B" w14:textId="77777777" w:rsidR="00486D3B" w:rsidRPr="007E5222" w:rsidRDefault="00EB6107" w:rsidP="007E5222">
      <w:pPr>
        <w:spacing w:line="240" w:lineRule="auto"/>
        <w:ind w:left="851" w:right="901"/>
        <w:rPr>
          <w:i/>
        </w:rPr>
      </w:pPr>
      <w:r w:rsidRPr="007E5222">
        <w:rPr>
          <w:i/>
        </w:rPr>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5CD1317E" w14:textId="77777777" w:rsidR="00486D3B" w:rsidRPr="007E5222" w:rsidRDefault="00486D3B" w:rsidP="007E5222">
      <w:pPr>
        <w:spacing w:line="240" w:lineRule="auto"/>
        <w:rPr>
          <w:sz w:val="24"/>
          <w:szCs w:val="24"/>
        </w:rPr>
      </w:pPr>
    </w:p>
    <w:p w14:paraId="6064A562" w14:textId="77777777" w:rsidR="00486D3B" w:rsidRPr="007E5222" w:rsidRDefault="00EB6107" w:rsidP="007E5222">
      <w:pPr>
        <w:rPr>
          <w:sz w:val="24"/>
          <w:szCs w:val="24"/>
        </w:rPr>
      </w:pPr>
      <w:r w:rsidRPr="007E5222">
        <w:rPr>
          <w:sz w:val="24"/>
          <w:szCs w:val="24"/>
        </w:rPr>
        <w:t>En este sentido, es conveniente invocar la tesis 1a. CCCXXVII/2014 (10a.) emitida por la Primera Sala de la Suprema Corte de Justicia de la Nación, cuyo sentido es el siguiente:</w:t>
      </w:r>
    </w:p>
    <w:p w14:paraId="10298F0D" w14:textId="77777777" w:rsidR="00486D3B" w:rsidRPr="007E5222" w:rsidRDefault="00486D3B" w:rsidP="007E5222">
      <w:pPr>
        <w:spacing w:line="240" w:lineRule="auto"/>
        <w:rPr>
          <w:sz w:val="24"/>
          <w:szCs w:val="24"/>
        </w:rPr>
      </w:pPr>
    </w:p>
    <w:p w14:paraId="25618F29" w14:textId="77777777" w:rsidR="00486D3B" w:rsidRPr="007E5222" w:rsidRDefault="00EB6107" w:rsidP="007E5222">
      <w:pPr>
        <w:spacing w:line="240" w:lineRule="auto"/>
        <w:ind w:left="851" w:right="901"/>
        <w:rPr>
          <w:i/>
        </w:rPr>
      </w:pPr>
      <w:r w:rsidRPr="007E5222">
        <w:rPr>
          <w:i/>
        </w:rPr>
        <w:t xml:space="preserve">Época: Décima Época </w:t>
      </w:r>
    </w:p>
    <w:p w14:paraId="2ABDDC88" w14:textId="77777777" w:rsidR="00486D3B" w:rsidRPr="007E5222" w:rsidRDefault="00EB6107" w:rsidP="007E5222">
      <w:pPr>
        <w:spacing w:line="240" w:lineRule="auto"/>
        <w:ind w:left="851" w:right="901"/>
        <w:rPr>
          <w:i/>
        </w:rPr>
      </w:pPr>
      <w:r w:rsidRPr="007E5222">
        <w:rPr>
          <w:i/>
        </w:rPr>
        <w:t xml:space="preserve">Registro: 2007561 </w:t>
      </w:r>
    </w:p>
    <w:p w14:paraId="50C20F91" w14:textId="77777777" w:rsidR="00486D3B" w:rsidRPr="007E5222" w:rsidRDefault="00EB6107" w:rsidP="007E5222">
      <w:pPr>
        <w:spacing w:line="240" w:lineRule="auto"/>
        <w:ind w:left="851" w:right="901"/>
        <w:rPr>
          <w:i/>
        </w:rPr>
      </w:pPr>
      <w:r w:rsidRPr="007E5222">
        <w:rPr>
          <w:i/>
        </w:rPr>
        <w:t xml:space="preserve">Instancia: Primera Sala </w:t>
      </w:r>
    </w:p>
    <w:p w14:paraId="3FDC166D" w14:textId="77777777" w:rsidR="00486D3B" w:rsidRPr="007E5222" w:rsidRDefault="00EB6107" w:rsidP="007E5222">
      <w:pPr>
        <w:spacing w:line="240" w:lineRule="auto"/>
        <w:ind w:left="851" w:right="901"/>
        <w:rPr>
          <w:i/>
        </w:rPr>
      </w:pPr>
      <w:r w:rsidRPr="007E5222">
        <w:rPr>
          <w:i/>
        </w:rPr>
        <w:t xml:space="preserve">Tipo de Tesis: Aislada </w:t>
      </w:r>
    </w:p>
    <w:p w14:paraId="79552AE3" w14:textId="77777777" w:rsidR="00486D3B" w:rsidRPr="007E5222" w:rsidRDefault="00EB6107" w:rsidP="007E5222">
      <w:pPr>
        <w:spacing w:line="240" w:lineRule="auto"/>
        <w:ind w:left="851" w:right="901"/>
        <w:rPr>
          <w:i/>
        </w:rPr>
      </w:pPr>
      <w:r w:rsidRPr="007E5222">
        <w:rPr>
          <w:i/>
        </w:rPr>
        <w:t xml:space="preserve">Fuente: Gaceta del Semanario Judicial de la Federación </w:t>
      </w:r>
    </w:p>
    <w:p w14:paraId="535B37C1" w14:textId="77777777" w:rsidR="00486D3B" w:rsidRPr="007E5222" w:rsidRDefault="00EB6107" w:rsidP="007E5222">
      <w:pPr>
        <w:spacing w:line="240" w:lineRule="auto"/>
        <w:ind w:left="851" w:right="901"/>
        <w:rPr>
          <w:i/>
        </w:rPr>
      </w:pPr>
      <w:r w:rsidRPr="007E5222">
        <w:rPr>
          <w:i/>
        </w:rPr>
        <w:t xml:space="preserve">Libro 11, Octubre de 2014, Tomo I </w:t>
      </w:r>
    </w:p>
    <w:p w14:paraId="6D76D987" w14:textId="77777777" w:rsidR="00486D3B" w:rsidRPr="007E5222" w:rsidRDefault="00EB6107" w:rsidP="007E5222">
      <w:pPr>
        <w:spacing w:line="240" w:lineRule="auto"/>
        <w:ind w:left="851" w:right="901"/>
        <w:rPr>
          <w:i/>
        </w:rPr>
      </w:pPr>
      <w:r w:rsidRPr="007E5222">
        <w:rPr>
          <w:i/>
        </w:rPr>
        <w:t xml:space="preserve">Materia(s): Constitucional, Común </w:t>
      </w:r>
    </w:p>
    <w:p w14:paraId="0383F7E6" w14:textId="77777777" w:rsidR="00486D3B" w:rsidRPr="007E5222" w:rsidRDefault="00EB6107" w:rsidP="007E5222">
      <w:pPr>
        <w:spacing w:line="240" w:lineRule="auto"/>
        <w:ind w:left="851" w:right="901"/>
        <w:rPr>
          <w:i/>
        </w:rPr>
      </w:pPr>
      <w:r w:rsidRPr="007E5222">
        <w:rPr>
          <w:i/>
        </w:rPr>
        <w:lastRenderedPageBreak/>
        <w:t xml:space="preserve">Tesis: 1a. CCCXXVII/2014 (10a.) </w:t>
      </w:r>
    </w:p>
    <w:p w14:paraId="78C9DCBC" w14:textId="77777777" w:rsidR="00486D3B" w:rsidRPr="007E5222" w:rsidRDefault="00EB6107" w:rsidP="007E5222">
      <w:pPr>
        <w:spacing w:line="240" w:lineRule="auto"/>
        <w:ind w:left="851" w:right="901"/>
        <w:rPr>
          <w:i/>
        </w:rPr>
      </w:pPr>
      <w:r w:rsidRPr="007E5222">
        <w:rPr>
          <w:i/>
        </w:rPr>
        <w:t xml:space="preserve">Página: 613 </w:t>
      </w:r>
    </w:p>
    <w:p w14:paraId="7326229D" w14:textId="77777777" w:rsidR="00486D3B" w:rsidRPr="007E5222" w:rsidRDefault="00486D3B" w:rsidP="007E5222">
      <w:pPr>
        <w:spacing w:line="240" w:lineRule="auto"/>
        <w:ind w:left="709" w:right="757"/>
        <w:rPr>
          <w:i/>
          <w:sz w:val="24"/>
          <w:szCs w:val="24"/>
        </w:rPr>
      </w:pPr>
    </w:p>
    <w:p w14:paraId="190AC6DE" w14:textId="77777777" w:rsidR="00486D3B" w:rsidRPr="007E5222" w:rsidRDefault="00EB6107" w:rsidP="007E5222">
      <w:pPr>
        <w:spacing w:line="240" w:lineRule="auto"/>
        <w:ind w:left="851" w:right="901"/>
        <w:rPr>
          <w:b/>
          <w:i/>
        </w:rPr>
      </w:pPr>
      <w:r w:rsidRPr="007E5222">
        <w:rPr>
          <w:b/>
          <w:i/>
        </w:rPr>
        <w:t>PRINCIPIO PRO PERSONA. REQUISITOS MÍNIMOS PARA QUE SE ATIENDA EL FONDO DE LA SOLICITUD DE SU APLICACIÓN, O LA IMPUGNACIÓN DE SU OMISIÓN POR LA AUTORIDAD RESPONSABLE.</w:t>
      </w:r>
    </w:p>
    <w:p w14:paraId="4D7BE06E" w14:textId="77777777" w:rsidR="00486D3B" w:rsidRPr="007E5222" w:rsidRDefault="00486D3B" w:rsidP="007E5222">
      <w:pPr>
        <w:spacing w:line="240" w:lineRule="auto"/>
        <w:ind w:left="709" w:right="757"/>
        <w:rPr>
          <w:i/>
          <w:sz w:val="24"/>
          <w:szCs w:val="24"/>
        </w:rPr>
      </w:pPr>
    </w:p>
    <w:p w14:paraId="245DB521" w14:textId="77777777" w:rsidR="00486D3B" w:rsidRPr="007E5222" w:rsidRDefault="00EB6107" w:rsidP="007E5222">
      <w:pPr>
        <w:spacing w:line="240" w:lineRule="auto"/>
        <w:ind w:left="851" w:right="901"/>
        <w:rPr>
          <w:i/>
        </w:rPr>
      </w:pPr>
      <w:r w:rsidRPr="007E5222">
        <w:rPr>
          <w:i/>
        </w:rPr>
        <w:t xml:space="preserve">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pro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w:t>
      </w:r>
      <w:r w:rsidRPr="007E5222">
        <w:rPr>
          <w:i/>
        </w:rPr>
        <w:lastRenderedPageBreak/>
        <w:t>jurisdiccional de amparo podrá estar en condiciones de establecer si la aplicación del principio referido, propuesta por el quejoso, es viable o no en el caso particular del conocimiento.</w:t>
      </w:r>
    </w:p>
    <w:p w14:paraId="39FA6C4F" w14:textId="77777777" w:rsidR="00486D3B" w:rsidRPr="007E5222" w:rsidRDefault="00486D3B" w:rsidP="007E5222">
      <w:pPr>
        <w:spacing w:line="240" w:lineRule="auto"/>
        <w:rPr>
          <w:sz w:val="24"/>
          <w:szCs w:val="24"/>
        </w:rPr>
      </w:pPr>
    </w:p>
    <w:p w14:paraId="5719EAD0" w14:textId="77777777" w:rsidR="00486D3B" w:rsidRPr="007E5222" w:rsidRDefault="00EB6107" w:rsidP="007E5222">
      <w:pPr>
        <w:widowControl w:val="0"/>
      </w:pPr>
      <w:bookmarkStart w:id="33" w:name="_heading=h.tyjcwt" w:colFirst="0" w:colLast="0"/>
      <w:bookmarkEnd w:id="33"/>
      <w:r w:rsidRPr="007E5222">
        <w:rPr>
          <w:sz w:val="24"/>
          <w:szCs w:val="24"/>
        </w:rPr>
        <w:t xml:space="preserve">En consecuencia, es necesario precisar que </w:t>
      </w:r>
      <w:r w:rsidRPr="007E5222">
        <w:t xml:space="preserve">la Dirección General de Personal, indicó que una vez realizada la búsqueda dentro de sus archivos no encontró documento alguno donde constara lo solicitado, según lo refiere el Manual General de Organización de la Secretaría de Finanzas es la encargada de coordinar y normar las actividades orientadas al cumplimiento de las metas establecidas en materia de desarrollo y administración de personal, a través de la operación eficaz del Sistema de Nómina del Sector Central del Poder Ejecutivo, teniendo como algunas de sus funciones las siguientes: </w:t>
      </w:r>
    </w:p>
    <w:p w14:paraId="18521EC8" w14:textId="77777777" w:rsidR="00486D3B" w:rsidRPr="007E5222" w:rsidRDefault="00486D3B" w:rsidP="007E5222">
      <w:pPr>
        <w:ind w:right="-28"/>
      </w:pPr>
    </w:p>
    <w:p w14:paraId="2173A3BE" w14:textId="77777777" w:rsidR="00486D3B" w:rsidRPr="007E5222" w:rsidRDefault="00EB6107" w:rsidP="007E5222">
      <w:pPr>
        <w:pStyle w:val="Puesto"/>
        <w:ind w:firstLine="567"/>
        <w:rPr>
          <w:b/>
        </w:rPr>
      </w:pPr>
      <w:r w:rsidRPr="007E5222">
        <w:rPr>
          <w:b/>
        </w:rPr>
        <w:t xml:space="preserve">“20706004000000L DIRECCIÓN GENERAL DE PERSONAL </w:t>
      </w:r>
    </w:p>
    <w:p w14:paraId="6C5D75A1" w14:textId="77777777" w:rsidR="00486D3B" w:rsidRPr="007E5222" w:rsidRDefault="00EB6107" w:rsidP="007E5222">
      <w:pPr>
        <w:pStyle w:val="Puesto"/>
        <w:ind w:firstLine="567"/>
        <w:rPr>
          <w:b/>
        </w:rPr>
      </w:pPr>
      <w:r w:rsidRPr="007E5222">
        <w:rPr>
          <w:b/>
        </w:rPr>
        <w:t xml:space="preserve">OBJETIVO: Coordinar y normar las actividades orientadas al cumplimiento de las metas establecidas en materia de desarrollo y administración de personal, a través de la operación eficaz del Sistema de Nómina del Sector Central del Poder Ejecutivo. </w:t>
      </w:r>
    </w:p>
    <w:p w14:paraId="587697E0" w14:textId="77777777" w:rsidR="00486D3B" w:rsidRPr="007E5222" w:rsidRDefault="00EB6107" w:rsidP="007E5222">
      <w:pPr>
        <w:pStyle w:val="Puesto"/>
        <w:ind w:firstLine="567"/>
        <w:rPr>
          <w:b/>
        </w:rPr>
      </w:pPr>
      <w:r w:rsidRPr="007E5222">
        <w:rPr>
          <w:b/>
        </w:rPr>
        <w:t>FUNCIONES:</w:t>
      </w:r>
    </w:p>
    <w:p w14:paraId="58AD45EA" w14:textId="77777777" w:rsidR="00486D3B" w:rsidRPr="007E5222" w:rsidRDefault="00EB6107" w:rsidP="007E5222">
      <w:pPr>
        <w:pStyle w:val="Puesto"/>
        <w:ind w:firstLine="567"/>
      </w:pPr>
      <w:r w:rsidRPr="007E5222">
        <w:t>− Elaborar las disposiciones procedimentales, así como planear y coordinar la operación y control del Sistema de Nómina del Sector Central del Poder Ejecutivo.</w:t>
      </w:r>
    </w:p>
    <w:p w14:paraId="0A5FFE2C" w14:textId="77777777" w:rsidR="00486D3B" w:rsidRPr="007E5222" w:rsidRDefault="00EB6107" w:rsidP="007E5222">
      <w:pPr>
        <w:pStyle w:val="Puesto"/>
        <w:ind w:firstLine="567"/>
      </w:pPr>
      <w:r w:rsidRPr="007E5222">
        <w:t>− Proponer las líneas de acción que orienten la política salarial del Ejecutivo Estatal.</w:t>
      </w:r>
    </w:p>
    <w:p w14:paraId="1FA6A17F" w14:textId="77777777" w:rsidR="00486D3B" w:rsidRPr="007E5222" w:rsidRDefault="00EB6107" w:rsidP="007E5222">
      <w:pPr>
        <w:pStyle w:val="Puesto"/>
        <w:ind w:firstLine="567"/>
      </w:pPr>
      <w:r w:rsidRPr="007E5222">
        <w:t>(...)</w:t>
      </w:r>
    </w:p>
    <w:p w14:paraId="568E51DD" w14:textId="77777777" w:rsidR="00486D3B" w:rsidRPr="007E5222" w:rsidRDefault="00EB6107" w:rsidP="007E5222">
      <w:pPr>
        <w:pStyle w:val="Puesto"/>
        <w:ind w:firstLine="567"/>
        <w:rPr>
          <w:sz w:val="24"/>
          <w:szCs w:val="24"/>
        </w:rPr>
      </w:pPr>
      <w:r w:rsidRPr="007E5222">
        <w:t>− Autorizar los pagos por conceptos de sueldo, prestaciones y otras disposiciones normativas que gestionan las dependencias y órganos administrativos desconcentrados del Poder Ejecutivo Estatal, así como las pensiones por gracia.”</w:t>
      </w:r>
    </w:p>
    <w:p w14:paraId="2CE76520" w14:textId="77777777" w:rsidR="00486D3B" w:rsidRPr="007E5222" w:rsidRDefault="00486D3B" w:rsidP="007E5222">
      <w:pPr>
        <w:ind w:right="99"/>
        <w:rPr>
          <w:sz w:val="24"/>
          <w:szCs w:val="24"/>
        </w:rPr>
      </w:pPr>
    </w:p>
    <w:p w14:paraId="441F4E4C" w14:textId="77777777" w:rsidR="00486D3B" w:rsidRPr="007E5222" w:rsidRDefault="00EB6107" w:rsidP="007E5222">
      <w:pPr>
        <w:ind w:right="99"/>
      </w:pPr>
      <w:r w:rsidRPr="007E5222">
        <w:t xml:space="preserve">Por su parte, el área de Contaduría Gubernamental es la encargada de programar, controlar y evaluar el registro del ejercicio de las finanzas públicas estatales, como se observa del mismo manual antes referido: </w:t>
      </w:r>
    </w:p>
    <w:p w14:paraId="000B9301" w14:textId="77777777" w:rsidR="00486D3B" w:rsidRPr="007E5222" w:rsidRDefault="00486D3B" w:rsidP="007E5222">
      <w:pPr>
        <w:ind w:right="99"/>
      </w:pPr>
    </w:p>
    <w:p w14:paraId="57133539" w14:textId="77777777" w:rsidR="00486D3B" w:rsidRPr="007E5222" w:rsidRDefault="00EB6107" w:rsidP="007E5222">
      <w:pPr>
        <w:pStyle w:val="Puesto"/>
        <w:ind w:firstLine="567"/>
        <w:rPr>
          <w:b/>
        </w:rPr>
      </w:pPr>
      <w:r w:rsidRPr="007E5222">
        <w:t>“</w:t>
      </w:r>
      <w:r w:rsidRPr="007E5222">
        <w:rPr>
          <w:b/>
        </w:rPr>
        <w:t xml:space="preserve">20704002000000L CONTADURÍA GENERAL GUBERNAMENTAL </w:t>
      </w:r>
    </w:p>
    <w:p w14:paraId="16EDBDD4" w14:textId="77777777" w:rsidR="00486D3B" w:rsidRPr="007E5222" w:rsidRDefault="00EB6107" w:rsidP="007E5222">
      <w:pPr>
        <w:pStyle w:val="Puesto"/>
        <w:ind w:firstLine="567"/>
        <w:rPr>
          <w:b/>
        </w:rPr>
      </w:pPr>
      <w:r w:rsidRPr="007E5222">
        <w:rPr>
          <w:b/>
        </w:rPr>
        <w:lastRenderedPageBreak/>
        <w:t xml:space="preserve">OBJETIVO: Planear, programar, controlar y evaluar el registro del ejercicio de las finanzas públicas estatales, de conformidad con las disposiciones legales, lineamientos, normas, políticas y procedimientos aplicables en la materia. </w:t>
      </w:r>
    </w:p>
    <w:p w14:paraId="39982144" w14:textId="77777777" w:rsidR="00486D3B" w:rsidRPr="007E5222" w:rsidRDefault="00EB6107" w:rsidP="007E5222">
      <w:pPr>
        <w:pStyle w:val="Puesto"/>
        <w:ind w:firstLine="567"/>
        <w:rPr>
          <w:b/>
        </w:rPr>
      </w:pPr>
      <w:r w:rsidRPr="007E5222">
        <w:rPr>
          <w:b/>
        </w:rPr>
        <w:t xml:space="preserve">FUNCIONES: </w:t>
      </w:r>
    </w:p>
    <w:p w14:paraId="1C4110D6" w14:textId="77777777" w:rsidR="00486D3B" w:rsidRPr="007E5222" w:rsidRDefault="00EB6107" w:rsidP="007E5222">
      <w:pPr>
        <w:pStyle w:val="Puesto"/>
        <w:ind w:firstLine="567"/>
      </w:pPr>
      <w:r w:rsidRPr="007E5222">
        <w:t xml:space="preserve">− Establecer el Sistema de Contabilidad Gubernamental y las políticas para el registro contable y presupuestal de las operaciones financieras que realizan las dependencias y organismos auxiliares de la Administración Pública Estatal, así como de los municipios de la entidad. </w:t>
      </w:r>
    </w:p>
    <w:p w14:paraId="072FA123" w14:textId="77777777" w:rsidR="00486D3B" w:rsidRPr="007E5222" w:rsidRDefault="00EB6107" w:rsidP="007E5222">
      <w:pPr>
        <w:pStyle w:val="Puesto"/>
        <w:ind w:firstLine="567"/>
      </w:pPr>
      <w:r w:rsidRPr="007E5222">
        <w:t xml:space="preserve">− Emitir las políticas y lineamientos generales en materia de control contable a las dependencias y organismos auxiliares de la Administración Pública Estatal, así como a los municipios del Estado de México. </w:t>
      </w:r>
    </w:p>
    <w:p w14:paraId="49456274" w14:textId="77777777" w:rsidR="00486D3B" w:rsidRPr="007E5222" w:rsidRDefault="00EB6107" w:rsidP="007E5222">
      <w:pPr>
        <w:pStyle w:val="Puesto"/>
        <w:ind w:firstLine="567"/>
      </w:pPr>
      <w:r w:rsidRPr="007E5222">
        <w:t xml:space="preserve">− Coordinar la recopilación de la documentación comprobatoria, así como el análisis y registro contable y presupuestal de las operaciones financieras no sectorizables y globales de las dependencias y organismos auxiliares. </w:t>
      </w:r>
    </w:p>
    <w:p w14:paraId="05DED276" w14:textId="77777777" w:rsidR="00486D3B" w:rsidRPr="007E5222" w:rsidRDefault="00EB6107" w:rsidP="007E5222">
      <w:pPr>
        <w:pStyle w:val="Puesto"/>
        <w:ind w:firstLine="567"/>
      </w:pPr>
      <w:r w:rsidRPr="007E5222">
        <w:t xml:space="preserve">− Establecer la forma y los términos que deberán observar las dependencias y organismos auxiliares en la elaboración de sus informes para fines de contabilización. </w:t>
      </w:r>
    </w:p>
    <w:p w14:paraId="503CB5EF" w14:textId="77777777" w:rsidR="00486D3B" w:rsidRPr="007E5222" w:rsidRDefault="00EB6107" w:rsidP="007E5222">
      <w:pPr>
        <w:pStyle w:val="Puesto"/>
        <w:ind w:firstLine="567"/>
      </w:pPr>
      <w:r w:rsidRPr="007E5222">
        <w:t xml:space="preserve">− Coordinar el control de la información contable y presupuestal proveniente del registro de las operaciones financieras realizadas por las dependencias y unidades administrativas ejecutoras del gasto, para integrar los estados financieros y presupuestales del sector central del Gobierno del Estado. </w:t>
      </w:r>
    </w:p>
    <w:p w14:paraId="441C6D16" w14:textId="77777777" w:rsidR="00486D3B" w:rsidRPr="007E5222" w:rsidRDefault="00EB6107" w:rsidP="007E5222">
      <w:pPr>
        <w:pStyle w:val="Puesto"/>
        <w:ind w:firstLine="567"/>
      </w:pPr>
      <w:r w:rsidRPr="007E5222">
        <w:t xml:space="preserve">− Programar la formulación de estados de cuenta, para verificar el adecuado y oportuno registro de adeudos a favor y obligaciones a cargo del Gobierno del Estado. </w:t>
      </w:r>
    </w:p>
    <w:p w14:paraId="1191C7FA" w14:textId="77777777" w:rsidR="00486D3B" w:rsidRPr="007E5222" w:rsidRDefault="00EB6107" w:rsidP="007E5222">
      <w:pPr>
        <w:pStyle w:val="Puesto"/>
        <w:ind w:firstLine="567"/>
      </w:pPr>
      <w:r w:rsidRPr="007E5222">
        <w:t xml:space="preserve">− Supervisar la realización permanente de conciliaciones bancarias, para verificar la correcta aplicación de los recursos del Gobierno del Estado. </w:t>
      </w:r>
    </w:p>
    <w:p w14:paraId="20B17346" w14:textId="77777777" w:rsidR="00486D3B" w:rsidRPr="007E5222" w:rsidRDefault="00EB6107" w:rsidP="007E5222">
      <w:pPr>
        <w:pStyle w:val="Puesto"/>
        <w:ind w:firstLine="567"/>
      </w:pPr>
      <w:r w:rsidRPr="007E5222">
        <w:t xml:space="preserve">− Verificar que los informes financieros de la hacienda pública estatal se formulen con la periodicidad requerida. </w:t>
      </w:r>
    </w:p>
    <w:p w14:paraId="52A019C6" w14:textId="77777777" w:rsidR="00486D3B" w:rsidRPr="007E5222" w:rsidRDefault="00EB6107" w:rsidP="007E5222">
      <w:pPr>
        <w:pStyle w:val="Puesto"/>
        <w:ind w:firstLine="567"/>
      </w:pPr>
      <w:r w:rsidRPr="007E5222">
        <w:t xml:space="preserve">− Coordinar la integración de la información financiera, presupuestal y contable de las dependencias y organismos auxiliares, que coadyuve a la formulación de la cuenta de la hacienda pública estatal. </w:t>
      </w:r>
    </w:p>
    <w:p w14:paraId="6309967F" w14:textId="77777777" w:rsidR="00486D3B" w:rsidRPr="007E5222" w:rsidRDefault="00EB6107" w:rsidP="007E5222">
      <w:pPr>
        <w:pStyle w:val="Puesto"/>
        <w:ind w:firstLine="567"/>
      </w:pPr>
      <w:r w:rsidRPr="007E5222">
        <w:t xml:space="preserve">− Supervisar la formulación de la glosa preventiva de los ingresos y egresos, así como elaborar la cuenta anual de la hacienda pública estatal. </w:t>
      </w:r>
    </w:p>
    <w:p w14:paraId="01DF709D" w14:textId="77777777" w:rsidR="00486D3B" w:rsidRPr="007E5222" w:rsidRDefault="00EB6107" w:rsidP="007E5222">
      <w:pPr>
        <w:pStyle w:val="Puesto"/>
        <w:ind w:firstLine="567"/>
      </w:pPr>
      <w:r w:rsidRPr="007E5222">
        <w:t xml:space="preserve">− Atender, en coordinación con el órgano de fiscalización de la Legislatura Local, los asuntos referentes al contenido y revisión de la cuenta de la hacienda pública estatal. </w:t>
      </w:r>
    </w:p>
    <w:p w14:paraId="73EFEEC7" w14:textId="77777777" w:rsidR="00486D3B" w:rsidRPr="007E5222" w:rsidRDefault="00EB6107" w:rsidP="007E5222">
      <w:pPr>
        <w:pStyle w:val="Puesto"/>
        <w:ind w:firstLine="567"/>
      </w:pPr>
      <w:r w:rsidRPr="007E5222">
        <w:t xml:space="preserve">− Integrar la estadística básica de la información financiera, presupuestal y contable de la Administración Pública Estatal. </w:t>
      </w:r>
    </w:p>
    <w:p w14:paraId="56A84DE4" w14:textId="77777777" w:rsidR="00486D3B" w:rsidRPr="007E5222" w:rsidRDefault="00EB6107" w:rsidP="007E5222">
      <w:pPr>
        <w:pStyle w:val="Puesto"/>
        <w:ind w:firstLine="567"/>
      </w:pPr>
      <w:r w:rsidRPr="007E5222">
        <w:t xml:space="preserve">− Establecer y mantener coordinación permanente con el órgano de fiscalización de la Legislatura Local y con las tesorerías municipales de la entidad. </w:t>
      </w:r>
    </w:p>
    <w:p w14:paraId="11C10F81" w14:textId="77777777" w:rsidR="00486D3B" w:rsidRPr="007E5222" w:rsidRDefault="00EB6107" w:rsidP="007E5222">
      <w:pPr>
        <w:pStyle w:val="Puesto"/>
        <w:ind w:firstLine="567"/>
      </w:pPr>
      <w:r w:rsidRPr="007E5222">
        <w:t>− Desarrollar las demás funciones inherentes al área de su competencia.”</w:t>
      </w:r>
    </w:p>
    <w:p w14:paraId="367C7C04" w14:textId="77777777" w:rsidR="00486D3B" w:rsidRPr="007E5222" w:rsidRDefault="00486D3B" w:rsidP="007E5222">
      <w:pPr>
        <w:ind w:right="99"/>
      </w:pPr>
    </w:p>
    <w:p w14:paraId="60AE691D" w14:textId="77777777" w:rsidR="00486D3B" w:rsidRPr="007E5222" w:rsidRDefault="00486D3B" w:rsidP="007E5222">
      <w:pPr>
        <w:ind w:right="99"/>
      </w:pPr>
    </w:p>
    <w:p w14:paraId="1E035833" w14:textId="77777777" w:rsidR="00486D3B" w:rsidRPr="007E5222" w:rsidRDefault="00EB6107" w:rsidP="007E5222">
      <w:pPr>
        <w:ind w:right="99"/>
      </w:pPr>
      <w:r w:rsidRPr="007E5222">
        <w:t>Dicha área indicó en su respuesta que la Dirección General de Personal es la Unidad Administrativa responsable de operar el sistema de Nómina del Sector Central, precisando que solo elabora información financiera y presupuestal relativa a la nómina.  Respecto al pago de contribuciones al SAT, refirió que lo hace con fundamento en el  primer y tercer párrafo del artículo 96 de la Ley del Impuesto Sobre la Renta, en relación con lo previsto en los artículos 1 fracción I, 90 y 94 fracción I de la misma ley.</w:t>
      </w:r>
    </w:p>
    <w:p w14:paraId="015B6E21" w14:textId="77777777" w:rsidR="00486D3B" w:rsidRPr="007E5222" w:rsidRDefault="00486D3B" w:rsidP="007E5222">
      <w:pPr>
        <w:ind w:right="99"/>
      </w:pPr>
    </w:p>
    <w:p w14:paraId="2B9C940C" w14:textId="77777777" w:rsidR="00486D3B" w:rsidRPr="007E5222" w:rsidRDefault="00EB6107" w:rsidP="007E5222">
      <w:pPr>
        <w:ind w:right="99"/>
      </w:pPr>
      <w:r w:rsidRPr="007E5222">
        <w:t xml:space="preserve">Así se advierte que el Jefe de la Unidad y Servidor Público Habilitado de la Dirección General de Personal, refirió que después de haber realizado una búsqueda exhaustiva y razonable dentro de los registros de su unidad administrativa, no encontró documentos donde conste lo solicitado. </w:t>
      </w:r>
    </w:p>
    <w:p w14:paraId="30E862B5" w14:textId="77777777" w:rsidR="00486D3B" w:rsidRPr="007E5222" w:rsidRDefault="00486D3B" w:rsidP="007E5222">
      <w:pPr>
        <w:ind w:right="99"/>
      </w:pPr>
    </w:p>
    <w:p w14:paraId="5E1F90A2" w14:textId="77777777" w:rsidR="00486D3B" w:rsidRPr="007E5222" w:rsidRDefault="00EB6107" w:rsidP="007E5222">
      <w:pPr>
        <w:widowControl w:val="0"/>
        <w:pBdr>
          <w:top w:val="nil"/>
          <w:left w:val="nil"/>
          <w:bottom w:val="nil"/>
          <w:right w:val="nil"/>
          <w:between w:val="nil"/>
        </w:pBdr>
        <w:rPr>
          <w:rFonts w:eastAsia="Palatino Linotype" w:cs="Palatino Linotype"/>
          <w:szCs w:val="22"/>
        </w:rPr>
      </w:pPr>
      <w:r w:rsidRPr="007E5222">
        <w:rPr>
          <w:rFonts w:eastAsia="Palatino Linotype" w:cs="Palatino Linotype"/>
          <w:szCs w:val="22"/>
        </w:rPr>
        <w:t xml:space="preserve">Es así que, del análisis realizado a la respuesta proporcionada por </w:t>
      </w:r>
      <w:r w:rsidRPr="007E5222">
        <w:rPr>
          <w:rFonts w:eastAsia="Palatino Linotype" w:cs="Palatino Linotype"/>
          <w:b/>
          <w:szCs w:val="22"/>
        </w:rPr>
        <w:t xml:space="preserve">EL SUJETO OBLIGADO </w:t>
      </w:r>
      <w:r w:rsidRPr="007E5222">
        <w:rPr>
          <w:rFonts w:eastAsia="Palatino Linotype" w:cs="Palatino Linotype"/>
          <w:szCs w:val="22"/>
        </w:rPr>
        <w:t xml:space="preserve">se advierte que la misma constituye un hecho negativo, por lo que, es evidente que éste no puede fácticamente obrar en los archivos del </w:t>
      </w:r>
      <w:r w:rsidRPr="007E5222">
        <w:rPr>
          <w:rFonts w:eastAsia="Palatino Linotype" w:cs="Palatino Linotype"/>
          <w:b/>
          <w:szCs w:val="22"/>
        </w:rPr>
        <w:t>SUJETO OBLIGADO</w:t>
      </w:r>
      <w:r w:rsidRPr="007E5222">
        <w:rPr>
          <w:rFonts w:eastAsia="Palatino Linotype" w:cs="Palatino Linotype"/>
          <w:szCs w:val="22"/>
        </w:rPr>
        <w:t>, ya que no puede probarse por ser lógica y materialmente imposible.</w:t>
      </w:r>
    </w:p>
    <w:p w14:paraId="7BFC74FF" w14:textId="77777777" w:rsidR="00486D3B" w:rsidRPr="007E5222" w:rsidRDefault="00486D3B" w:rsidP="007E5222"/>
    <w:p w14:paraId="1F215094" w14:textId="77777777" w:rsidR="00486D3B" w:rsidRPr="007E5222" w:rsidRDefault="00EB6107" w:rsidP="007E5222">
      <w:pPr>
        <w:ind w:right="18"/>
      </w:pPr>
      <w:r w:rsidRPr="007E5222">
        <w:t>Por lo que podemos concluir que nos encontramos ante una notoria y evidente inexistencia fáctica de la información solicitada.</w:t>
      </w:r>
    </w:p>
    <w:p w14:paraId="5C1CEDA5" w14:textId="77777777" w:rsidR="00486D3B" w:rsidRPr="007E5222" w:rsidRDefault="00486D3B" w:rsidP="007E5222">
      <w:pPr>
        <w:widowControl w:val="0"/>
        <w:pBdr>
          <w:top w:val="nil"/>
          <w:left w:val="nil"/>
          <w:bottom w:val="nil"/>
          <w:right w:val="nil"/>
          <w:between w:val="nil"/>
        </w:pBdr>
        <w:rPr>
          <w:rFonts w:eastAsia="Palatino Linotype" w:cs="Palatino Linotype"/>
          <w:szCs w:val="22"/>
        </w:rPr>
      </w:pPr>
    </w:p>
    <w:p w14:paraId="5CD5AF67" w14:textId="77777777" w:rsidR="00486D3B" w:rsidRPr="007E5222" w:rsidRDefault="00EB6107" w:rsidP="007E5222">
      <w:pPr>
        <w:ind w:right="18"/>
      </w:pPr>
      <w:r w:rsidRPr="007E5222">
        <w:t xml:space="preserve">Cabe señalar que, el Pleno de este Órgano Garante, ha sostenido que cuando se está ante la presencia de un acto u hecho negativo, es decir, </w:t>
      </w:r>
      <w:r w:rsidRPr="007E5222">
        <w:rPr>
          <w:b/>
        </w:rPr>
        <w:t>que no se actualiza</w:t>
      </w:r>
      <w:r w:rsidRPr="007E5222">
        <w:t xml:space="preserve"> la circunstancia por la cual </w:t>
      </w:r>
      <w:r w:rsidRPr="007E5222">
        <w:rPr>
          <w:b/>
        </w:rPr>
        <w:t>EL SUJETO OBLIGADO</w:t>
      </w:r>
      <w:r w:rsidRPr="007E5222">
        <w:t xml:space="preserve"> en el ámbito de sus atribuciones, pudiese poseer en sus archivos la información solicitada, resultaría innecesaria una declaratoria de inexistencia en términos del artículo 49 fracción XIII de la Ley de Transparencia y Acceso a la Información </w:t>
      </w:r>
      <w:r w:rsidRPr="007E5222">
        <w:lastRenderedPageBreak/>
        <w:t>Pública del Estado de México y Municipios,  ante un hecho negativo resultan aplicables las siguientes tesis:</w:t>
      </w:r>
    </w:p>
    <w:p w14:paraId="0CB6E1CE" w14:textId="77777777" w:rsidR="00486D3B" w:rsidRPr="007E5222" w:rsidRDefault="00486D3B" w:rsidP="007E5222">
      <w:pPr>
        <w:ind w:right="18"/>
      </w:pPr>
    </w:p>
    <w:p w14:paraId="5F015814" w14:textId="77777777" w:rsidR="00486D3B" w:rsidRPr="007E5222" w:rsidRDefault="00EB6107" w:rsidP="007E5222">
      <w:pPr>
        <w:pStyle w:val="Puesto"/>
        <w:ind w:firstLine="567"/>
      </w:pPr>
      <w:r w:rsidRPr="007E5222">
        <w:t>“</w:t>
      </w:r>
      <w:r w:rsidRPr="007E5222">
        <w:rPr>
          <w:b/>
        </w:rPr>
        <w:t>INEXISTENCIA DE LA INFORMACIÓN. EL COMITÉ DE ACCESO A LA INFORMACIÓN PUEDE DECLARARLA ANTE SU EVIDENCIA, SIN NECESIDAD DE DICTAR MEDIDAS PARA SU LOCALIZACIÓN</w:t>
      </w:r>
      <w:r w:rsidRPr="007E5222">
        <w:t>.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519CD29A" w14:textId="77777777" w:rsidR="00486D3B" w:rsidRPr="007E5222" w:rsidRDefault="00486D3B" w:rsidP="007E5222">
      <w:pPr>
        <w:pStyle w:val="Puesto"/>
        <w:ind w:firstLine="567"/>
      </w:pPr>
    </w:p>
    <w:p w14:paraId="084847E6" w14:textId="77777777" w:rsidR="00486D3B" w:rsidRPr="007E5222" w:rsidRDefault="00EB6107" w:rsidP="007E5222">
      <w:pPr>
        <w:pStyle w:val="Puesto"/>
        <w:ind w:firstLine="567"/>
      </w:pPr>
      <w:r w:rsidRPr="007E5222">
        <w:rPr>
          <w:b/>
        </w:rPr>
        <w:t>HECHOS NEGATIVOS, NO SON SUSCEPTIBLES DE DEMOSTRACION.</w:t>
      </w:r>
      <w:r w:rsidRPr="007E5222">
        <w:t xml:space="preserve"> Tratándose de un hecho negativo, el Juez no tiene por qué invocar prueba alguna de la que se desprenda, ya que es bien sabido que esta clase de hechos no son susceptibles de demostración.”</w:t>
      </w:r>
    </w:p>
    <w:p w14:paraId="57FAEFE3" w14:textId="77777777" w:rsidR="00486D3B" w:rsidRPr="007E5222" w:rsidRDefault="00486D3B" w:rsidP="007E5222">
      <w:pPr>
        <w:ind w:left="851" w:right="1134"/>
        <w:rPr>
          <w:b/>
        </w:rPr>
      </w:pPr>
    </w:p>
    <w:p w14:paraId="50D1AD2F" w14:textId="77777777" w:rsidR="00486D3B" w:rsidRPr="007E5222" w:rsidRDefault="00EB6107" w:rsidP="007E5222">
      <w:pPr>
        <w:ind w:right="18"/>
        <w:rPr>
          <w:b/>
        </w:rPr>
      </w:pPr>
      <w:r w:rsidRPr="007E5222">
        <w:t xml:space="preserve">Por lo anterior, y derivado del análisis expuesto, se concluye que se está en presencia de un hecho negativo, por lo que, en este sentido resulta innecesario analizar el Acuerdo de Inexistencia remitido por </w:t>
      </w:r>
      <w:r w:rsidRPr="007E5222">
        <w:rPr>
          <w:b/>
        </w:rPr>
        <w:t xml:space="preserve">EL SUJETO OBLIGADO </w:t>
      </w:r>
      <w:r w:rsidRPr="007E5222">
        <w:t xml:space="preserve">en respuesta.   </w:t>
      </w:r>
    </w:p>
    <w:p w14:paraId="16EDB620" w14:textId="77777777" w:rsidR="00486D3B" w:rsidRPr="007E5222" w:rsidRDefault="00486D3B" w:rsidP="007E5222"/>
    <w:p w14:paraId="38709921" w14:textId="77777777" w:rsidR="00486D3B" w:rsidRPr="007E5222" w:rsidRDefault="00EB6107" w:rsidP="007E5222">
      <w:r w:rsidRPr="007E5222">
        <w:t xml:space="preserve">Así, de conformidad con lo establecido en el artículo 12 de la Ley de Transparencia y Acceso a la Información Pública del Estado de México y Municipios, </w:t>
      </w:r>
      <w:r w:rsidRPr="007E5222">
        <w:rPr>
          <w:b/>
        </w:rPr>
        <w:t>EL SUJETO OBLIGADO</w:t>
      </w:r>
      <w:r w:rsidRPr="007E5222">
        <w:t xml:space="preserve"> sólo proporcionará la información que obra en sus archivos, lo que a</w:t>
      </w:r>
      <w:r w:rsidRPr="007E5222">
        <w:rPr>
          <w:i/>
        </w:rPr>
        <w:t xml:space="preserve"> contrario sensu</w:t>
      </w:r>
      <w:r w:rsidRPr="007E5222">
        <w:t xml:space="preserve"> significa que no se está obligado a proporcionar lo que no obre en los mismos; ello con relación al artículo </w:t>
      </w:r>
      <w:r w:rsidRPr="007E5222">
        <w:lastRenderedPageBreak/>
        <w:t>143 de la Constitución Política del Estado Libre y Soberano de México, pues las autoridades sólo están facultadas para realizar lo que expresamente les faculta la Ley u ordenamientos jurídicos.</w:t>
      </w:r>
    </w:p>
    <w:p w14:paraId="52AF66F8" w14:textId="77777777" w:rsidR="00486D3B" w:rsidRPr="007E5222" w:rsidRDefault="00486D3B" w:rsidP="007E5222">
      <w:pPr>
        <w:widowControl w:val="0"/>
        <w:pBdr>
          <w:top w:val="nil"/>
          <w:left w:val="nil"/>
          <w:bottom w:val="nil"/>
          <w:right w:val="nil"/>
          <w:between w:val="nil"/>
        </w:pBdr>
        <w:rPr>
          <w:rFonts w:eastAsia="Palatino Linotype" w:cs="Palatino Linotype"/>
          <w:szCs w:val="22"/>
        </w:rPr>
      </w:pPr>
    </w:p>
    <w:p w14:paraId="2E0E2C16" w14:textId="293B041B" w:rsidR="00486D3B" w:rsidRPr="007E5222" w:rsidRDefault="00EB6107" w:rsidP="007E5222">
      <w:r w:rsidRPr="007E5222">
        <w:t xml:space="preserve">Ahora bien, es importante </w:t>
      </w:r>
      <w:r w:rsidR="00734370" w:rsidRPr="007E5222">
        <w:t>que,</w:t>
      </w:r>
      <w:r w:rsidRPr="007E5222">
        <w:t xml:space="preserve"> respecto al pronunciamiento realizado por </w:t>
      </w:r>
      <w:r w:rsidRPr="007E5222">
        <w:rPr>
          <w:b/>
        </w:rPr>
        <w:t xml:space="preserve">EL SUJETO OBLIGADO </w:t>
      </w:r>
      <w:r w:rsidRPr="007E5222">
        <w:t xml:space="preserve">a fin de dar respuesta a la solicitud planteada, este Órgano Garante no está facultado para manifestarse sobre la veracidad de la información proporcionada. </w:t>
      </w:r>
    </w:p>
    <w:p w14:paraId="70BE025C" w14:textId="77777777" w:rsidR="00486D3B" w:rsidRPr="007E5222" w:rsidRDefault="00486D3B" w:rsidP="007E5222"/>
    <w:p w14:paraId="446D705E" w14:textId="5EFE6D92" w:rsidR="00486D3B" w:rsidRPr="007E5222" w:rsidRDefault="00EB6107" w:rsidP="007E5222">
      <w:r w:rsidRPr="007E5222">
        <w:t xml:space="preserve">Sirve de sustento a lo anterior, el criterio 31/10 emitido por el entonces Instituto Federal de Acceso a la Información y Protección de Datos, ahora Instituto Nacional de Acceso a la Información y Protección de </w:t>
      </w:r>
      <w:r w:rsidR="00734370" w:rsidRPr="007E5222">
        <w:t>Datos, el</w:t>
      </w:r>
      <w:r w:rsidRPr="007E5222">
        <w:t xml:space="preserve"> cual refiere: </w:t>
      </w:r>
    </w:p>
    <w:p w14:paraId="357CA42F" w14:textId="77777777" w:rsidR="00486D3B" w:rsidRPr="007E5222" w:rsidRDefault="00486D3B" w:rsidP="007E5222">
      <w:pPr>
        <w:rPr>
          <w:sz w:val="20"/>
        </w:rPr>
      </w:pPr>
    </w:p>
    <w:p w14:paraId="09B37758" w14:textId="77777777" w:rsidR="00486D3B" w:rsidRPr="007E5222" w:rsidRDefault="00EB6107" w:rsidP="007E5222">
      <w:pPr>
        <w:pStyle w:val="Puesto"/>
        <w:ind w:firstLine="567"/>
      </w:pPr>
      <w:r w:rsidRPr="007E5222">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44F61D65" w14:textId="77777777" w:rsidR="00486D3B" w:rsidRPr="007E5222" w:rsidRDefault="00486D3B" w:rsidP="007E5222"/>
    <w:p w14:paraId="30D28EE6" w14:textId="77777777" w:rsidR="00486D3B" w:rsidRPr="007E5222" w:rsidRDefault="00EB6107" w:rsidP="007E5222">
      <w:pPr>
        <w:pStyle w:val="Ttulo3"/>
      </w:pPr>
      <w:bookmarkStart w:id="34" w:name="_heading=h.23ckvvd" w:colFirst="0" w:colLast="0"/>
      <w:bookmarkEnd w:id="34"/>
      <w:r w:rsidRPr="007E5222">
        <w:t>d) Conclusión</w:t>
      </w:r>
    </w:p>
    <w:p w14:paraId="18C0D3EA" w14:textId="05CD6168" w:rsidR="00486D3B" w:rsidRPr="007E5222" w:rsidRDefault="00EB6107" w:rsidP="007E5222">
      <w:pPr>
        <w:rPr>
          <w:b/>
        </w:rPr>
      </w:pPr>
      <w:r w:rsidRPr="007E5222">
        <w:t xml:space="preserve">Por lo anteriormente expuesto, se considera que las razones o motivos de inconformidad planteadas por </w:t>
      </w:r>
      <w:r w:rsidRPr="007E5222">
        <w:rPr>
          <w:b/>
        </w:rPr>
        <w:t xml:space="preserve">EL RECURRENTE, </w:t>
      </w:r>
      <w:r w:rsidRPr="007E5222">
        <w:t xml:space="preserve">resultan infundadas; en </w:t>
      </w:r>
      <w:r w:rsidR="00734370" w:rsidRPr="007E5222">
        <w:t>consecuencia,</w:t>
      </w:r>
      <w:r w:rsidRPr="007E5222">
        <w:t xml:space="preserve"> este Órgano Garante determina </w:t>
      </w:r>
      <w:r w:rsidRPr="007E5222">
        <w:rPr>
          <w:b/>
        </w:rPr>
        <w:t xml:space="preserve">CONFIRMAR </w:t>
      </w:r>
      <w:r w:rsidRPr="007E5222">
        <w:t xml:space="preserve">la respuesta otorgada por el </w:t>
      </w:r>
      <w:r w:rsidRPr="007E5222">
        <w:rPr>
          <w:b/>
        </w:rPr>
        <w:t>SUJETO OBLIGADO.</w:t>
      </w:r>
    </w:p>
    <w:p w14:paraId="388E80FD" w14:textId="77777777" w:rsidR="00486D3B" w:rsidRPr="007E5222" w:rsidRDefault="00EB6107" w:rsidP="007E5222">
      <w:pPr>
        <w:ind w:right="-93"/>
      </w:pPr>
      <w:r w:rsidRPr="007E5222">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DF7409A" w14:textId="77777777" w:rsidR="00486D3B" w:rsidRPr="007E5222" w:rsidRDefault="00486D3B" w:rsidP="007E5222">
      <w:pPr>
        <w:ind w:right="-93"/>
      </w:pPr>
    </w:p>
    <w:p w14:paraId="217633DB" w14:textId="77777777" w:rsidR="00486D3B" w:rsidRPr="007E5222" w:rsidRDefault="00EB6107" w:rsidP="007E5222">
      <w:pPr>
        <w:pStyle w:val="Ttulo1"/>
      </w:pPr>
      <w:bookmarkStart w:id="35" w:name="_heading=h.ihv636" w:colFirst="0" w:colLast="0"/>
      <w:bookmarkEnd w:id="35"/>
      <w:r w:rsidRPr="007E5222">
        <w:t>RESUELVE</w:t>
      </w:r>
    </w:p>
    <w:p w14:paraId="4EB01F37" w14:textId="77777777" w:rsidR="00486D3B" w:rsidRPr="007E5222" w:rsidRDefault="00486D3B" w:rsidP="007E5222">
      <w:pPr>
        <w:ind w:right="113"/>
        <w:rPr>
          <w:b/>
        </w:rPr>
      </w:pPr>
    </w:p>
    <w:p w14:paraId="55AA65D5" w14:textId="77777777" w:rsidR="00486D3B" w:rsidRPr="007E5222" w:rsidRDefault="00EB6107" w:rsidP="007E5222">
      <w:pPr>
        <w:widowControl w:val="0"/>
      </w:pPr>
      <w:r w:rsidRPr="007E5222">
        <w:rPr>
          <w:b/>
        </w:rPr>
        <w:t>PRIMERO.</w:t>
      </w:r>
      <w:r w:rsidRPr="007E5222">
        <w:t xml:space="preserve"> Se </w:t>
      </w:r>
      <w:r w:rsidRPr="007E5222">
        <w:rPr>
          <w:b/>
        </w:rPr>
        <w:t>CONFIRMA</w:t>
      </w:r>
      <w:r w:rsidRPr="007E5222">
        <w:t xml:space="preserve"> la respuesta entregada por el </w:t>
      </w:r>
      <w:r w:rsidRPr="007E5222">
        <w:rPr>
          <w:b/>
        </w:rPr>
        <w:t>SUJETO OBLIGADO</w:t>
      </w:r>
      <w:r w:rsidRPr="007E5222">
        <w:t xml:space="preserve"> en la solicitud de información </w:t>
      </w:r>
      <w:r w:rsidRPr="007E5222">
        <w:rPr>
          <w:b/>
        </w:rPr>
        <w:t>00714/SF/IP/2023</w:t>
      </w:r>
      <w:r w:rsidRPr="007E5222">
        <w:t xml:space="preserve">, por resultar </w:t>
      </w:r>
      <w:r w:rsidRPr="007E5222">
        <w:rPr>
          <w:b/>
        </w:rPr>
        <w:t>INFUNDADAS</w:t>
      </w:r>
      <w:r w:rsidRPr="007E5222">
        <w:t xml:space="preserve"> las razones o motivos de inconformidad hechos valer por </w:t>
      </w:r>
      <w:r w:rsidRPr="007E5222">
        <w:rPr>
          <w:b/>
        </w:rPr>
        <w:t>LA PARTE RECURRENTE</w:t>
      </w:r>
      <w:r w:rsidRPr="007E5222">
        <w:t xml:space="preserve"> en el Recurso de Revisión </w:t>
      </w:r>
      <w:r w:rsidRPr="007E5222">
        <w:rPr>
          <w:b/>
        </w:rPr>
        <w:t>06357/INFOEM/IP/RR/2023</w:t>
      </w:r>
      <w:r w:rsidRPr="007E5222">
        <w:t>,</w:t>
      </w:r>
      <w:r w:rsidRPr="007E5222">
        <w:rPr>
          <w:b/>
        </w:rPr>
        <w:t xml:space="preserve"> </w:t>
      </w:r>
      <w:r w:rsidRPr="007E5222">
        <w:t xml:space="preserve">en términos del considerando </w:t>
      </w:r>
      <w:r w:rsidRPr="007E5222">
        <w:rPr>
          <w:b/>
        </w:rPr>
        <w:t>SEGUNDO</w:t>
      </w:r>
      <w:r w:rsidRPr="007E5222">
        <w:t xml:space="preserve"> de la presente Resolución.</w:t>
      </w:r>
    </w:p>
    <w:p w14:paraId="051188F4" w14:textId="77777777" w:rsidR="00486D3B" w:rsidRPr="007E5222" w:rsidRDefault="00486D3B" w:rsidP="007E5222">
      <w:pPr>
        <w:widowControl w:val="0"/>
      </w:pPr>
    </w:p>
    <w:p w14:paraId="0CBFB3B0" w14:textId="77777777" w:rsidR="00486D3B" w:rsidRPr="007E5222" w:rsidRDefault="00EB6107" w:rsidP="007E5222">
      <w:pPr>
        <w:ind w:right="-93"/>
      </w:pPr>
      <w:r w:rsidRPr="007E5222">
        <w:rPr>
          <w:b/>
        </w:rPr>
        <w:t>SEGUNDO.</w:t>
      </w:r>
      <w:r w:rsidRPr="007E5222">
        <w:t xml:space="preserve"> Notifíquese la presente resolución mediante Sistema de Acceso a la Información Mexiquense (</w:t>
      </w:r>
      <w:r w:rsidRPr="007E5222">
        <w:rPr>
          <w:b/>
        </w:rPr>
        <w:t>SAIMEX</w:t>
      </w:r>
      <w:r w:rsidRPr="007E5222">
        <w:t xml:space="preserve">) al Titular de la Unidad de Transparencia del </w:t>
      </w:r>
      <w:r w:rsidRPr="007E5222">
        <w:rPr>
          <w:b/>
        </w:rPr>
        <w:t>SUJETO OBLIGADO</w:t>
      </w:r>
      <w:r w:rsidRPr="007E5222">
        <w:t>, para su conocimiento.</w:t>
      </w:r>
    </w:p>
    <w:p w14:paraId="315D1F82" w14:textId="77777777" w:rsidR="00486D3B" w:rsidRPr="007E5222" w:rsidRDefault="00486D3B" w:rsidP="007E5222">
      <w:pPr>
        <w:ind w:right="-93"/>
      </w:pPr>
    </w:p>
    <w:p w14:paraId="5C8E9D62" w14:textId="77777777" w:rsidR="00486D3B" w:rsidRPr="007E5222" w:rsidRDefault="00EB6107" w:rsidP="007E5222">
      <w:r w:rsidRPr="007E5222">
        <w:rPr>
          <w:b/>
        </w:rPr>
        <w:t>TERCERO.</w:t>
      </w:r>
      <w:r w:rsidRPr="007E5222">
        <w:t xml:space="preserve"> Notifíquese a </w:t>
      </w:r>
      <w:r w:rsidRPr="007E5222">
        <w:rPr>
          <w:b/>
        </w:rPr>
        <w:t>LA PARTE RECURRENTE</w:t>
      </w:r>
      <w:r w:rsidRPr="007E5222">
        <w:t xml:space="preserve"> la presente resolución vía Sistema de Acceso a la Información Mexiquense (</w:t>
      </w:r>
      <w:r w:rsidRPr="007E5222">
        <w:rPr>
          <w:b/>
        </w:rPr>
        <w:t>SAIMEX</w:t>
      </w:r>
      <w:r w:rsidRPr="007E5222">
        <w:t>).</w:t>
      </w:r>
    </w:p>
    <w:p w14:paraId="6638ACAA" w14:textId="77777777" w:rsidR="00486D3B" w:rsidRPr="007E5222" w:rsidRDefault="00486D3B" w:rsidP="007E5222"/>
    <w:p w14:paraId="2744DD76" w14:textId="77777777" w:rsidR="00486D3B" w:rsidRPr="007E5222" w:rsidRDefault="00EB6107" w:rsidP="007E5222">
      <w:r w:rsidRPr="007E5222">
        <w:rPr>
          <w:b/>
        </w:rPr>
        <w:t>CUARTO</w:t>
      </w:r>
      <w:r w:rsidRPr="007E5222">
        <w:t xml:space="preserve">. Hágase del conocimiento a </w:t>
      </w:r>
      <w:r w:rsidRPr="007E5222">
        <w:rPr>
          <w:b/>
        </w:rPr>
        <w:t>LA PARTE RECURRENTE</w:t>
      </w:r>
      <w:r w:rsidRPr="007E522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7F0BA55" w14:textId="77777777" w:rsidR="00486D3B" w:rsidRPr="007E5222" w:rsidRDefault="00EB6107" w:rsidP="007E5222">
      <w:r w:rsidRPr="007E5222">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p>
    <w:p w14:paraId="092906C7" w14:textId="77777777" w:rsidR="00486D3B" w:rsidRPr="007E5222" w:rsidRDefault="00EB6107" w:rsidP="007E5222">
      <w:pPr>
        <w:ind w:right="-93"/>
        <w:rPr>
          <w:sz w:val="16"/>
          <w:szCs w:val="16"/>
        </w:rPr>
      </w:pPr>
      <w:r w:rsidRPr="007E5222">
        <w:rPr>
          <w:sz w:val="16"/>
          <w:szCs w:val="16"/>
        </w:rPr>
        <w:t>SCMM/AGZ/DEMF/PMRE</w:t>
      </w:r>
    </w:p>
    <w:p w14:paraId="05F5C71B" w14:textId="77777777" w:rsidR="00486D3B" w:rsidRPr="007E5222" w:rsidRDefault="00486D3B" w:rsidP="007E5222">
      <w:pPr>
        <w:ind w:right="-93"/>
      </w:pPr>
    </w:p>
    <w:p w14:paraId="40E3FCDF" w14:textId="77777777" w:rsidR="00486D3B" w:rsidRPr="007E5222" w:rsidRDefault="00486D3B" w:rsidP="007E5222">
      <w:pPr>
        <w:ind w:right="-93"/>
      </w:pPr>
    </w:p>
    <w:p w14:paraId="0568DB58" w14:textId="77777777" w:rsidR="00486D3B" w:rsidRPr="007E5222" w:rsidRDefault="00486D3B" w:rsidP="007E5222">
      <w:pPr>
        <w:ind w:right="-93"/>
      </w:pPr>
    </w:p>
    <w:p w14:paraId="22B37AC3" w14:textId="77777777" w:rsidR="00486D3B" w:rsidRPr="007E5222" w:rsidRDefault="00486D3B" w:rsidP="007E5222">
      <w:pPr>
        <w:ind w:right="-93"/>
      </w:pPr>
    </w:p>
    <w:p w14:paraId="5A7962BB" w14:textId="77777777" w:rsidR="00486D3B" w:rsidRPr="007E5222" w:rsidRDefault="00486D3B" w:rsidP="007E5222">
      <w:pPr>
        <w:ind w:right="-93"/>
      </w:pPr>
    </w:p>
    <w:p w14:paraId="7DCD7C3E" w14:textId="77777777" w:rsidR="00486D3B" w:rsidRPr="007E5222" w:rsidRDefault="00486D3B" w:rsidP="007E5222">
      <w:pPr>
        <w:ind w:right="-93"/>
      </w:pPr>
    </w:p>
    <w:p w14:paraId="4F244E55" w14:textId="77777777" w:rsidR="00486D3B" w:rsidRPr="007E5222" w:rsidRDefault="00486D3B" w:rsidP="007E5222">
      <w:pPr>
        <w:ind w:right="-93"/>
      </w:pPr>
    </w:p>
    <w:p w14:paraId="3EDDFDCD" w14:textId="77777777" w:rsidR="00486D3B" w:rsidRPr="007E5222" w:rsidRDefault="00486D3B" w:rsidP="007E5222">
      <w:pPr>
        <w:tabs>
          <w:tab w:val="center" w:pos="4568"/>
        </w:tabs>
        <w:ind w:right="-93"/>
      </w:pPr>
    </w:p>
    <w:p w14:paraId="655E8307" w14:textId="77777777" w:rsidR="00486D3B" w:rsidRPr="007E5222" w:rsidRDefault="00486D3B" w:rsidP="007E5222">
      <w:pPr>
        <w:tabs>
          <w:tab w:val="center" w:pos="4568"/>
        </w:tabs>
        <w:ind w:right="-93"/>
      </w:pPr>
    </w:p>
    <w:p w14:paraId="75D59069" w14:textId="77777777" w:rsidR="00486D3B" w:rsidRPr="007E5222" w:rsidRDefault="00486D3B" w:rsidP="007E5222">
      <w:pPr>
        <w:tabs>
          <w:tab w:val="center" w:pos="4568"/>
        </w:tabs>
        <w:ind w:right="-93"/>
      </w:pPr>
    </w:p>
    <w:p w14:paraId="1D12096D" w14:textId="77777777" w:rsidR="00486D3B" w:rsidRPr="007E5222" w:rsidRDefault="00486D3B" w:rsidP="007E5222">
      <w:pPr>
        <w:tabs>
          <w:tab w:val="center" w:pos="4568"/>
        </w:tabs>
        <w:ind w:right="-93"/>
      </w:pPr>
    </w:p>
    <w:p w14:paraId="5800690C" w14:textId="77777777" w:rsidR="00486D3B" w:rsidRPr="007E5222" w:rsidRDefault="00486D3B" w:rsidP="007E5222">
      <w:pPr>
        <w:tabs>
          <w:tab w:val="center" w:pos="4568"/>
        </w:tabs>
        <w:ind w:right="-93"/>
      </w:pPr>
    </w:p>
    <w:p w14:paraId="22CAD205" w14:textId="77777777" w:rsidR="00486D3B" w:rsidRPr="007E5222" w:rsidRDefault="00486D3B" w:rsidP="007E5222">
      <w:pPr>
        <w:tabs>
          <w:tab w:val="center" w:pos="4568"/>
        </w:tabs>
        <w:ind w:right="-93"/>
      </w:pPr>
    </w:p>
    <w:p w14:paraId="59E7C96E" w14:textId="77777777" w:rsidR="00486D3B" w:rsidRPr="007E5222" w:rsidRDefault="00486D3B" w:rsidP="007E5222">
      <w:pPr>
        <w:tabs>
          <w:tab w:val="center" w:pos="4568"/>
        </w:tabs>
        <w:ind w:right="-93"/>
      </w:pPr>
    </w:p>
    <w:p w14:paraId="2C2762F8" w14:textId="77777777" w:rsidR="00486D3B" w:rsidRPr="007E5222" w:rsidRDefault="00486D3B" w:rsidP="007E5222">
      <w:pPr>
        <w:tabs>
          <w:tab w:val="center" w:pos="4568"/>
        </w:tabs>
        <w:ind w:right="-93"/>
      </w:pPr>
    </w:p>
    <w:p w14:paraId="7E0C8E0B" w14:textId="77777777" w:rsidR="00486D3B" w:rsidRPr="007E5222" w:rsidRDefault="00486D3B" w:rsidP="007E5222">
      <w:pPr>
        <w:tabs>
          <w:tab w:val="center" w:pos="4568"/>
        </w:tabs>
        <w:ind w:right="-93"/>
      </w:pPr>
    </w:p>
    <w:p w14:paraId="42B246EA" w14:textId="77777777" w:rsidR="00486D3B" w:rsidRPr="007E5222" w:rsidRDefault="00486D3B" w:rsidP="007E5222">
      <w:pPr>
        <w:tabs>
          <w:tab w:val="center" w:pos="4568"/>
        </w:tabs>
        <w:ind w:right="-93"/>
      </w:pPr>
    </w:p>
    <w:p w14:paraId="4C574FDB" w14:textId="77777777" w:rsidR="00486D3B" w:rsidRPr="007E5222" w:rsidRDefault="00486D3B" w:rsidP="007E5222">
      <w:pPr>
        <w:tabs>
          <w:tab w:val="center" w:pos="4568"/>
        </w:tabs>
        <w:ind w:right="-93"/>
      </w:pPr>
    </w:p>
    <w:p w14:paraId="4C9F5E06" w14:textId="77777777" w:rsidR="00486D3B" w:rsidRPr="007E5222" w:rsidRDefault="00486D3B" w:rsidP="007E5222">
      <w:pPr>
        <w:tabs>
          <w:tab w:val="center" w:pos="4568"/>
        </w:tabs>
        <w:ind w:right="-93"/>
      </w:pPr>
    </w:p>
    <w:p w14:paraId="18E6E160" w14:textId="77777777" w:rsidR="00486D3B" w:rsidRPr="007E5222" w:rsidRDefault="00486D3B" w:rsidP="007E5222">
      <w:pPr>
        <w:tabs>
          <w:tab w:val="center" w:pos="4568"/>
        </w:tabs>
        <w:ind w:right="-93"/>
      </w:pPr>
    </w:p>
    <w:p w14:paraId="6C60E781" w14:textId="77777777" w:rsidR="00486D3B" w:rsidRPr="007E5222" w:rsidRDefault="00486D3B" w:rsidP="007E5222">
      <w:pPr>
        <w:tabs>
          <w:tab w:val="center" w:pos="4568"/>
        </w:tabs>
        <w:ind w:right="-93"/>
      </w:pPr>
    </w:p>
    <w:p w14:paraId="5C9E3294" w14:textId="77777777" w:rsidR="00486D3B" w:rsidRPr="007E5222" w:rsidRDefault="00486D3B" w:rsidP="007E5222">
      <w:pPr>
        <w:tabs>
          <w:tab w:val="center" w:pos="4568"/>
        </w:tabs>
        <w:ind w:right="-93"/>
      </w:pPr>
    </w:p>
    <w:p w14:paraId="3C073534" w14:textId="77777777" w:rsidR="00486D3B" w:rsidRPr="007E5222" w:rsidRDefault="00486D3B" w:rsidP="007E5222">
      <w:pPr>
        <w:tabs>
          <w:tab w:val="center" w:pos="4568"/>
        </w:tabs>
        <w:ind w:right="-93"/>
      </w:pPr>
    </w:p>
    <w:p w14:paraId="7B90D2C5" w14:textId="77777777" w:rsidR="00486D3B" w:rsidRPr="007E5222" w:rsidRDefault="00486D3B" w:rsidP="007E5222"/>
    <w:sectPr w:rsidR="00486D3B" w:rsidRPr="007E5222">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67EEC" w14:textId="77777777" w:rsidR="003F4671" w:rsidRDefault="003F4671">
      <w:pPr>
        <w:spacing w:line="240" w:lineRule="auto"/>
      </w:pPr>
      <w:r>
        <w:separator/>
      </w:r>
    </w:p>
  </w:endnote>
  <w:endnote w:type="continuationSeparator" w:id="0">
    <w:p w14:paraId="05F93517" w14:textId="77777777" w:rsidR="003F4671" w:rsidRDefault="003F4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8AD4" w14:textId="77777777" w:rsidR="00486D3B" w:rsidRDefault="00486D3B">
    <w:pPr>
      <w:tabs>
        <w:tab w:val="center" w:pos="4550"/>
        <w:tab w:val="left" w:pos="5818"/>
      </w:tabs>
      <w:ind w:right="260"/>
      <w:jc w:val="right"/>
      <w:rPr>
        <w:color w:val="071320"/>
        <w:sz w:val="24"/>
        <w:szCs w:val="24"/>
      </w:rPr>
    </w:pPr>
  </w:p>
  <w:p w14:paraId="5A229A0A" w14:textId="77777777" w:rsidR="00486D3B" w:rsidRDefault="00486D3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B2599" w14:textId="77777777" w:rsidR="00486D3B" w:rsidRDefault="00EB610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14465">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14465">
      <w:rPr>
        <w:noProof/>
        <w:color w:val="0A1D30"/>
        <w:sz w:val="24"/>
        <w:szCs w:val="24"/>
      </w:rPr>
      <w:t>27</w:t>
    </w:r>
    <w:r>
      <w:rPr>
        <w:color w:val="0A1D30"/>
        <w:sz w:val="24"/>
        <w:szCs w:val="24"/>
      </w:rPr>
      <w:fldChar w:fldCharType="end"/>
    </w:r>
  </w:p>
  <w:p w14:paraId="6AEE5E55" w14:textId="77777777" w:rsidR="00486D3B" w:rsidRDefault="00486D3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B82F0" w14:textId="77777777" w:rsidR="003F4671" w:rsidRDefault="003F4671">
      <w:pPr>
        <w:spacing w:line="240" w:lineRule="auto"/>
      </w:pPr>
      <w:r>
        <w:separator/>
      </w:r>
    </w:p>
  </w:footnote>
  <w:footnote w:type="continuationSeparator" w:id="0">
    <w:p w14:paraId="3BC2E35E" w14:textId="77777777" w:rsidR="003F4671" w:rsidRDefault="003F4671">
      <w:pPr>
        <w:spacing w:line="240" w:lineRule="auto"/>
      </w:pPr>
      <w:r>
        <w:continuationSeparator/>
      </w:r>
    </w:p>
  </w:footnote>
  <w:footnote w:id="1">
    <w:p w14:paraId="2115333A" w14:textId="77777777" w:rsidR="00486D3B" w:rsidRDefault="00EB6107">
      <w:pPr>
        <w:pBdr>
          <w:top w:val="nil"/>
          <w:left w:val="nil"/>
          <w:bottom w:val="nil"/>
          <w:right w:val="nil"/>
          <w:between w:val="nil"/>
        </w:pBdr>
        <w:spacing w:line="240"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El criterio fue expedido por el entonces Instituto Federal de Acceso a la Información y Protección de Datos Personales (IFAI), el cual cambio su denominación a Instituto Nacional de Acceso a la Información y Protección de Datos Personales (INAI) a partir de la publicación de la Ley General de Transparencia Acceso a la Información Pública en el Diario Oficial de la Federación el 04 de mayo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A1B4" w14:textId="77777777" w:rsidR="00486D3B" w:rsidRDefault="00486D3B">
    <w:pPr>
      <w:widowControl w:val="0"/>
      <w:pBdr>
        <w:top w:val="nil"/>
        <w:left w:val="nil"/>
        <w:bottom w:val="nil"/>
        <w:right w:val="nil"/>
        <w:between w:val="nil"/>
      </w:pBdr>
      <w:spacing w:line="276" w:lineRule="auto"/>
      <w:jc w:val="left"/>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86D3B" w14:paraId="239B625B" w14:textId="77777777">
      <w:trPr>
        <w:trHeight w:val="144"/>
        <w:jc w:val="right"/>
      </w:trPr>
      <w:tc>
        <w:tcPr>
          <w:tcW w:w="2727" w:type="dxa"/>
        </w:tcPr>
        <w:p w14:paraId="41634D62" w14:textId="77777777" w:rsidR="00486D3B" w:rsidRDefault="00EB6107">
          <w:pPr>
            <w:tabs>
              <w:tab w:val="right" w:pos="8838"/>
            </w:tabs>
            <w:ind w:left="-74" w:right="-105"/>
            <w:rPr>
              <w:b/>
            </w:rPr>
          </w:pPr>
          <w:r>
            <w:rPr>
              <w:b/>
            </w:rPr>
            <w:t>Recurso de Revisión:</w:t>
          </w:r>
        </w:p>
      </w:tc>
      <w:tc>
        <w:tcPr>
          <w:tcW w:w="3402" w:type="dxa"/>
        </w:tcPr>
        <w:p w14:paraId="199C7E06" w14:textId="77777777" w:rsidR="00486D3B" w:rsidRDefault="00EB6107">
          <w:pPr>
            <w:tabs>
              <w:tab w:val="right" w:pos="8838"/>
            </w:tabs>
            <w:ind w:left="-74" w:right="-105"/>
          </w:pPr>
          <w:r>
            <w:t>06357/INFOEM/IP/RR/2023</w:t>
          </w:r>
        </w:p>
      </w:tc>
    </w:tr>
    <w:tr w:rsidR="00486D3B" w14:paraId="1924A12F" w14:textId="77777777">
      <w:trPr>
        <w:trHeight w:val="283"/>
        <w:jc w:val="right"/>
      </w:trPr>
      <w:tc>
        <w:tcPr>
          <w:tcW w:w="2727" w:type="dxa"/>
        </w:tcPr>
        <w:p w14:paraId="1B18FD0D" w14:textId="77777777" w:rsidR="00486D3B" w:rsidRDefault="00EB6107">
          <w:pPr>
            <w:tabs>
              <w:tab w:val="right" w:pos="8838"/>
            </w:tabs>
            <w:ind w:left="-74" w:right="-105"/>
            <w:rPr>
              <w:b/>
            </w:rPr>
          </w:pPr>
          <w:r>
            <w:rPr>
              <w:b/>
            </w:rPr>
            <w:t>Sujeto Obligado:</w:t>
          </w:r>
        </w:p>
      </w:tc>
      <w:tc>
        <w:tcPr>
          <w:tcW w:w="3402" w:type="dxa"/>
        </w:tcPr>
        <w:p w14:paraId="28B093D8" w14:textId="77777777" w:rsidR="00486D3B" w:rsidRDefault="00EB6107">
          <w:pPr>
            <w:tabs>
              <w:tab w:val="left" w:pos="2834"/>
              <w:tab w:val="right" w:pos="8838"/>
            </w:tabs>
            <w:ind w:left="-108" w:right="-105"/>
          </w:pPr>
          <w:r>
            <w:t>Secretaría de Finanzas</w:t>
          </w:r>
        </w:p>
      </w:tc>
    </w:tr>
    <w:tr w:rsidR="00486D3B" w14:paraId="44EAE536" w14:textId="77777777">
      <w:trPr>
        <w:trHeight w:val="283"/>
        <w:jc w:val="right"/>
      </w:trPr>
      <w:tc>
        <w:tcPr>
          <w:tcW w:w="2727" w:type="dxa"/>
        </w:tcPr>
        <w:p w14:paraId="2D484824" w14:textId="77777777" w:rsidR="00486D3B" w:rsidRDefault="00EB6107">
          <w:pPr>
            <w:tabs>
              <w:tab w:val="right" w:pos="8838"/>
            </w:tabs>
            <w:ind w:left="-74" w:right="-105"/>
            <w:rPr>
              <w:b/>
            </w:rPr>
          </w:pPr>
          <w:r>
            <w:rPr>
              <w:b/>
            </w:rPr>
            <w:t>Comisionada Ponente:</w:t>
          </w:r>
        </w:p>
      </w:tc>
      <w:tc>
        <w:tcPr>
          <w:tcW w:w="3402" w:type="dxa"/>
        </w:tcPr>
        <w:p w14:paraId="49044C2B" w14:textId="77777777" w:rsidR="00486D3B" w:rsidRDefault="00EB6107">
          <w:pPr>
            <w:tabs>
              <w:tab w:val="right" w:pos="8838"/>
            </w:tabs>
            <w:ind w:left="-108" w:right="-105"/>
          </w:pPr>
          <w:r>
            <w:t>Sharon Cristina Morales Martínez</w:t>
          </w:r>
        </w:p>
      </w:tc>
    </w:tr>
  </w:tbl>
  <w:p w14:paraId="02682F6C" w14:textId="77777777" w:rsidR="00486D3B" w:rsidRDefault="00EB610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D0C8613" wp14:editId="34803DAD">
          <wp:simplePos x="0" y="0"/>
          <wp:positionH relativeFrom="margin">
            <wp:posOffset>-995043</wp:posOffset>
          </wp:positionH>
          <wp:positionV relativeFrom="margin">
            <wp:posOffset>-1782443</wp:posOffset>
          </wp:positionV>
          <wp:extent cx="8426450" cy="10972800"/>
          <wp:effectExtent l="0" t="0" r="0" b="0"/>
          <wp:wrapNone/>
          <wp:docPr id="2159644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A6476" w14:textId="77777777" w:rsidR="00486D3B" w:rsidRDefault="00486D3B">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486D3B" w14:paraId="6C3DD205" w14:textId="77777777">
      <w:trPr>
        <w:trHeight w:val="1435"/>
      </w:trPr>
      <w:tc>
        <w:tcPr>
          <w:tcW w:w="283" w:type="dxa"/>
          <w:shd w:val="clear" w:color="auto" w:fill="auto"/>
        </w:tcPr>
        <w:p w14:paraId="4B9CCEEB" w14:textId="77777777" w:rsidR="00486D3B" w:rsidRDefault="00486D3B">
          <w:pPr>
            <w:tabs>
              <w:tab w:val="right" w:pos="4273"/>
            </w:tabs>
            <w:rPr>
              <w:rFonts w:ascii="Garamond" w:eastAsia="Garamond" w:hAnsi="Garamond" w:cs="Garamond"/>
            </w:rPr>
          </w:pPr>
        </w:p>
      </w:tc>
      <w:tc>
        <w:tcPr>
          <w:tcW w:w="6378" w:type="dxa"/>
          <w:shd w:val="clear" w:color="auto" w:fill="auto"/>
        </w:tcPr>
        <w:p w14:paraId="59BAF538" w14:textId="77777777" w:rsidR="00486D3B" w:rsidRDefault="00486D3B">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15"/>
            <w:gridCol w:w="3420"/>
            <w:gridCol w:w="3405"/>
          </w:tblGrid>
          <w:tr w:rsidR="00486D3B" w14:paraId="7E2F1DC8" w14:textId="77777777">
            <w:trPr>
              <w:trHeight w:val="144"/>
            </w:trPr>
            <w:tc>
              <w:tcPr>
                <w:tcW w:w="2715" w:type="dxa"/>
              </w:tcPr>
              <w:p w14:paraId="745E5C1A" w14:textId="77777777" w:rsidR="00486D3B" w:rsidRDefault="00EB6107">
                <w:pPr>
                  <w:tabs>
                    <w:tab w:val="right" w:pos="8838"/>
                  </w:tabs>
                  <w:ind w:left="-74" w:right="-105"/>
                  <w:rPr>
                    <w:b/>
                  </w:rPr>
                </w:pPr>
                <w:bookmarkStart w:id="1" w:name="_heading=h.32hioqz" w:colFirst="0" w:colLast="0"/>
                <w:bookmarkEnd w:id="1"/>
                <w:r>
                  <w:rPr>
                    <w:b/>
                  </w:rPr>
                  <w:t>Recurso de Revisión:</w:t>
                </w:r>
              </w:p>
            </w:tc>
            <w:tc>
              <w:tcPr>
                <w:tcW w:w="3420" w:type="dxa"/>
              </w:tcPr>
              <w:p w14:paraId="63004DD3" w14:textId="77777777" w:rsidR="00486D3B" w:rsidRDefault="00EB6107">
                <w:pPr>
                  <w:tabs>
                    <w:tab w:val="right" w:pos="8838"/>
                  </w:tabs>
                  <w:ind w:left="-74" w:right="-105"/>
                </w:pPr>
                <w:r>
                  <w:t>06357/INFOEM/IP/RR/2023</w:t>
                </w:r>
              </w:p>
            </w:tc>
            <w:tc>
              <w:tcPr>
                <w:tcW w:w="3405" w:type="dxa"/>
              </w:tcPr>
              <w:p w14:paraId="1DB68593" w14:textId="77777777" w:rsidR="00486D3B" w:rsidRDefault="00486D3B">
                <w:pPr>
                  <w:tabs>
                    <w:tab w:val="right" w:pos="8838"/>
                  </w:tabs>
                  <w:ind w:left="-74" w:right="-105"/>
                </w:pPr>
              </w:p>
            </w:tc>
          </w:tr>
          <w:tr w:rsidR="00486D3B" w14:paraId="3596E357" w14:textId="77777777">
            <w:trPr>
              <w:trHeight w:val="144"/>
            </w:trPr>
            <w:tc>
              <w:tcPr>
                <w:tcW w:w="2715" w:type="dxa"/>
              </w:tcPr>
              <w:p w14:paraId="70968980" w14:textId="77777777" w:rsidR="00486D3B" w:rsidRDefault="00EB6107">
                <w:pPr>
                  <w:tabs>
                    <w:tab w:val="right" w:pos="8838"/>
                  </w:tabs>
                  <w:ind w:left="-74" w:right="-105"/>
                  <w:rPr>
                    <w:b/>
                  </w:rPr>
                </w:pPr>
                <w:bookmarkStart w:id="2" w:name="_heading=h.1hmsyys" w:colFirst="0" w:colLast="0"/>
                <w:bookmarkEnd w:id="2"/>
                <w:r>
                  <w:rPr>
                    <w:b/>
                  </w:rPr>
                  <w:t>Recurrente:</w:t>
                </w:r>
              </w:p>
            </w:tc>
            <w:tc>
              <w:tcPr>
                <w:tcW w:w="3420" w:type="dxa"/>
              </w:tcPr>
              <w:p w14:paraId="5A25D97A" w14:textId="77777777" w:rsidR="00486D3B" w:rsidRDefault="00486D3B">
                <w:pPr>
                  <w:tabs>
                    <w:tab w:val="left" w:pos="3122"/>
                    <w:tab w:val="right" w:pos="8838"/>
                  </w:tabs>
                  <w:ind w:left="-105" w:right="-105"/>
                </w:pPr>
              </w:p>
            </w:tc>
            <w:tc>
              <w:tcPr>
                <w:tcW w:w="3405" w:type="dxa"/>
              </w:tcPr>
              <w:p w14:paraId="7914FF66" w14:textId="77777777" w:rsidR="00486D3B" w:rsidRDefault="00486D3B">
                <w:pPr>
                  <w:tabs>
                    <w:tab w:val="left" w:pos="3122"/>
                    <w:tab w:val="right" w:pos="8838"/>
                  </w:tabs>
                  <w:ind w:left="-105" w:right="-105"/>
                </w:pPr>
              </w:p>
            </w:tc>
          </w:tr>
          <w:tr w:rsidR="00486D3B" w14:paraId="5E1B6169" w14:textId="77777777">
            <w:trPr>
              <w:trHeight w:val="283"/>
            </w:trPr>
            <w:tc>
              <w:tcPr>
                <w:tcW w:w="2715" w:type="dxa"/>
              </w:tcPr>
              <w:p w14:paraId="789C6109" w14:textId="77777777" w:rsidR="00486D3B" w:rsidRDefault="00EB6107">
                <w:pPr>
                  <w:tabs>
                    <w:tab w:val="right" w:pos="8838"/>
                  </w:tabs>
                  <w:ind w:left="-74" w:right="-105"/>
                  <w:rPr>
                    <w:b/>
                  </w:rPr>
                </w:pPr>
                <w:r>
                  <w:rPr>
                    <w:b/>
                  </w:rPr>
                  <w:t>Sujeto Obligado:</w:t>
                </w:r>
              </w:p>
            </w:tc>
            <w:tc>
              <w:tcPr>
                <w:tcW w:w="3420" w:type="dxa"/>
              </w:tcPr>
              <w:p w14:paraId="22438DB5" w14:textId="77777777" w:rsidR="00486D3B" w:rsidRDefault="00EB6107">
                <w:pPr>
                  <w:tabs>
                    <w:tab w:val="left" w:pos="2834"/>
                    <w:tab w:val="right" w:pos="8838"/>
                  </w:tabs>
                  <w:ind w:left="-108" w:right="-105"/>
                </w:pPr>
                <w:r>
                  <w:t>Secretaría de Finanzas</w:t>
                </w:r>
              </w:p>
            </w:tc>
            <w:tc>
              <w:tcPr>
                <w:tcW w:w="3405" w:type="dxa"/>
              </w:tcPr>
              <w:p w14:paraId="14A020EA" w14:textId="77777777" w:rsidR="00486D3B" w:rsidRDefault="00486D3B">
                <w:pPr>
                  <w:tabs>
                    <w:tab w:val="left" w:pos="2834"/>
                    <w:tab w:val="right" w:pos="8838"/>
                  </w:tabs>
                  <w:ind w:left="-108" w:right="-105"/>
                </w:pPr>
              </w:p>
            </w:tc>
          </w:tr>
          <w:tr w:rsidR="00486D3B" w14:paraId="57DCBDCD" w14:textId="77777777">
            <w:trPr>
              <w:trHeight w:val="283"/>
            </w:trPr>
            <w:tc>
              <w:tcPr>
                <w:tcW w:w="2715" w:type="dxa"/>
              </w:tcPr>
              <w:p w14:paraId="5B74E005" w14:textId="77777777" w:rsidR="00486D3B" w:rsidRDefault="00EB6107">
                <w:pPr>
                  <w:tabs>
                    <w:tab w:val="right" w:pos="8838"/>
                  </w:tabs>
                  <w:ind w:left="-74" w:right="-105"/>
                  <w:rPr>
                    <w:b/>
                  </w:rPr>
                </w:pPr>
                <w:r>
                  <w:rPr>
                    <w:b/>
                  </w:rPr>
                  <w:t>Comisionada Ponente:</w:t>
                </w:r>
              </w:p>
            </w:tc>
            <w:tc>
              <w:tcPr>
                <w:tcW w:w="3420" w:type="dxa"/>
              </w:tcPr>
              <w:p w14:paraId="2DC308B8" w14:textId="77777777" w:rsidR="00486D3B" w:rsidRDefault="00EB6107">
                <w:pPr>
                  <w:tabs>
                    <w:tab w:val="right" w:pos="8838"/>
                  </w:tabs>
                  <w:ind w:left="-108" w:right="-105"/>
                </w:pPr>
                <w:r>
                  <w:t>Sharon Cristina Morales Martínez</w:t>
                </w:r>
              </w:p>
            </w:tc>
            <w:tc>
              <w:tcPr>
                <w:tcW w:w="3405" w:type="dxa"/>
              </w:tcPr>
              <w:p w14:paraId="2E3239B6" w14:textId="77777777" w:rsidR="00486D3B" w:rsidRDefault="00486D3B">
                <w:pPr>
                  <w:tabs>
                    <w:tab w:val="right" w:pos="8838"/>
                  </w:tabs>
                  <w:ind w:left="-108" w:right="-105"/>
                </w:pPr>
              </w:p>
            </w:tc>
          </w:tr>
        </w:tbl>
        <w:p w14:paraId="4A6A54A3" w14:textId="77777777" w:rsidR="00486D3B" w:rsidRDefault="00486D3B">
          <w:pPr>
            <w:tabs>
              <w:tab w:val="right" w:pos="8838"/>
            </w:tabs>
            <w:ind w:left="-28"/>
            <w:rPr>
              <w:rFonts w:ascii="Arial" w:eastAsia="Arial" w:hAnsi="Arial" w:cs="Arial"/>
              <w:b/>
            </w:rPr>
          </w:pPr>
        </w:p>
      </w:tc>
    </w:tr>
  </w:tbl>
  <w:p w14:paraId="1AAEFDBC" w14:textId="77777777" w:rsidR="00486D3B" w:rsidRDefault="003F4671">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6CAE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D7A"/>
    <w:multiLevelType w:val="multilevel"/>
    <w:tmpl w:val="77069A3C"/>
    <w:lvl w:ilvl="0">
      <w:start w:val="1"/>
      <w:numFmt w:val="bullet"/>
      <w:lvlText w:val="●"/>
      <w:lvlJc w:val="left"/>
      <w:pPr>
        <w:ind w:left="720" w:hanging="360"/>
      </w:pPr>
      <w:rPr>
        <w:rFonts w:ascii="Palatino Linotype" w:eastAsia="Palatino Linotype" w:hAnsi="Palatino Linotype" w:cs="Palatino Linotype"/>
        <w:b w:val="0"/>
        <w:i/>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1C5967"/>
    <w:multiLevelType w:val="multilevel"/>
    <w:tmpl w:val="2A5E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292B62"/>
    <w:multiLevelType w:val="multilevel"/>
    <w:tmpl w:val="24BED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3B"/>
    <w:rsid w:val="00217697"/>
    <w:rsid w:val="002923ED"/>
    <w:rsid w:val="003F4671"/>
    <w:rsid w:val="00486D3B"/>
    <w:rsid w:val="00514465"/>
    <w:rsid w:val="00715D27"/>
    <w:rsid w:val="00734370"/>
    <w:rsid w:val="007E5222"/>
    <w:rsid w:val="00B61A49"/>
    <w:rsid w:val="00EB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72BCB0"/>
  <w15:docId w15:val="{AE33C086-2B28-4380-8E2C-801F23D4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fcvhcRfGHzSkOorBcXdx+5KX5w==">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6980</Words>
  <Characters>38395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2024-08-23T16:39:00Z</cp:lastPrinted>
  <dcterms:created xsi:type="dcterms:W3CDTF">2024-08-20T00:51:00Z</dcterms:created>
  <dcterms:modified xsi:type="dcterms:W3CDTF">2024-08-23T16:39:00Z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