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4FC5" w14:textId="77777777" w:rsidR="00694C6A" w:rsidRPr="00AD43B8" w:rsidRDefault="00AD43B8">
      <w:pPr>
        <w:spacing w:before="240" w:after="240" w:line="360" w:lineRule="auto"/>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Pr>
          <w:rFonts w:ascii="Palatino Linotype" w:eastAsia="Palatino Linotype" w:hAnsi="Palatino Linotype" w:cs="Palatino Linotype"/>
          <w:sz w:val="24"/>
          <w:szCs w:val="24"/>
        </w:rPr>
        <w:t xml:space="preserve">fecha </w:t>
      </w:r>
      <w:r w:rsidRPr="00AD43B8">
        <w:rPr>
          <w:rFonts w:ascii="Palatino Linotype" w:eastAsia="Palatino Linotype" w:hAnsi="Palatino Linotype" w:cs="Palatino Linotype"/>
          <w:sz w:val="24"/>
          <w:szCs w:val="24"/>
        </w:rPr>
        <w:t>veintiuno (21) de agosto de dos mil veinticuatro.</w:t>
      </w:r>
    </w:p>
    <w:p w14:paraId="6FCD4FC6" w14:textId="35C2B078" w:rsidR="00694C6A" w:rsidRPr="00AD43B8" w:rsidRDefault="00AD43B8">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b/>
          <w:color w:val="000000"/>
          <w:sz w:val="24"/>
          <w:szCs w:val="24"/>
        </w:rPr>
        <w:t>VISTO el</w:t>
      </w:r>
      <w:r w:rsidRPr="00AD43B8">
        <w:rPr>
          <w:rFonts w:ascii="Palatino Linotype" w:eastAsia="Palatino Linotype" w:hAnsi="Palatino Linotype" w:cs="Palatino Linotype"/>
          <w:color w:val="000000"/>
          <w:sz w:val="24"/>
          <w:szCs w:val="24"/>
        </w:rPr>
        <w:t xml:space="preserve"> expediente electrónico formado con motivo del recurso de revisión </w:t>
      </w:r>
      <w:r w:rsidRPr="00AD43B8">
        <w:rPr>
          <w:rFonts w:ascii="Palatino Linotype" w:eastAsia="Palatino Linotype" w:hAnsi="Palatino Linotype" w:cs="Palatino Linotype"/>
          <w:b/>
          <w:color w:val="000000"/>
          <w:sz w:val="24"/>
          <w:szCs w:val="24"/>
        </w:rPr>
        <w:t xml:space="preserve">07053/INFOEM/IP/RR/2023, </w:t>
      </w:r>
      <w:r w:rsidRPr="00AD43B8">
        <w:rPr>
          <w:rFonts w:ascii="Palatino Linotype" w:eastAsia="Palatino Linotype" w:hAnsi="Palatino Linotype" w:cs="Palatino Linotype"/>
          <w:color w:val="000000"/>
          <w:sz w:val="24"/>
          <w:szCs w:val="24"/>
        </w:rPr>
        <w:t xml:space="preserve">promovido por </w:t>
      </w:r>
      <w:r w:rsidR="005D4F81">
        <w:rPr>
          <w:rFonts w:ascii="Palatino Linotype" w:eastAsia="Palatino Linotype" w:hAnsi="Palatino Linotype" w:cs="Palatino Linotype"/>
          <w:b/>
          <w:color w:val="000000"/>
          <w:sz w:val="24"/>
          <w:szCs w:val="24"/>
        </w:rPr>
        <w:t xml:space="preserve">XXX </w:t>
      </w:r>
      <w:proofErr w:type="spellStart"/>
      <w:r w:rsidR="005D4F81">
        <w:rPr>
          <w:rFonts w:ascii="Palatino Linotype" w:eastAsia="Palatino Linotype" w:hAnsi="Palatino Linotype" w:cs="Palatino Linotype"/>
          <w:b/>
          <w:color w:val="000000"/>
          <w:sz w:val="24"/>
          <w:szCs w:val="24"/>
        </w:rPr>
        <w:t>XXX</w:t>
      </w:r>
      <w:proofErr w:type="spellEnd"/>
      <w:r w:rsidRPr="00AD43B8">
        <w:rPr>
          <w:rFonts w:ascii="Palatino Linotype" w:eastAsia="Palatino Linotype" w:hAnsi="Palatino Linotype" w:cs="Palatino Linotype"/>
          <w:b/>
          <w:color w:val="000000"/>
          <w:sz w:val="24"/>
          <w:szCs w:val="24"/>
        </w:rPr>
        <w:t>,</w:t>
      </w:r>
      <w:r w:rsidRPr="00AD43B8">
        <w:rPr>
          <w:rFonts w:ascii="Palatino Linotype" w:eastAsia="Palatino Linotype" w:hAnsi="Palatino Linotype" w:cs="Palatino Linotype"/>
          <w:color w:val="000000"/>
          <w:sz w:val="24"/>
          <w:szCs w:val="24"/>
        </w:rPr>
        <w:t xml:space="preserve"> en su calidad de </w:t>
      </w:r>
      <w:r w:rsidRPr="00AD43B8">
        <w:rPr>
          <w:rFonts w:ascii="Palatino Linotype" w:eastAsia="Palatino Linotype" w:hAnsi="Palatino Linotype" w:cs="Palatino Linotype"/>
          <w:b/>
          <w:color w:val="000000"/>
          <w:sz w:val="24"/>
          <w:szCs w:val="24"/>
        </w:rPr>
        <w:t>RECURRENTE</w:t>
      </w:r>
      <w:r w:rsidRPr="00AD43B8">
        <w:rPr>
          <w:rFonts w:ascii="Palatino Linotype" w:eastAsia="Palatino Linotype" w:hAnsi="Palatino Linotype" w:cs="Palatino Linotype"/>
          <w:color w:val="000000"/>
          <w:sz w:val="24"/>
          <w:szCs w:val="24"/>
        </w:rPr>
        <w:t xml:space="preserve">, en contra de la respuesta de la </w:t>
      </w:r>
      <w:r w:rsidRPr="00AD43B8">
        <w:rPr>
          <w:rFonts w:ascii="Palatino Linotype" w:eastAsia="Palatino Linotype" w:hAnsi="Palatino Linotype" w:cs="Palatino Linotype"/>
          <w:b/>
          <w:color w:val="000000"/>
          <w:sz w:val="24"/>
          <w:szCs w:val="24"/>
        </w:rPr>
        <w:t>Secretaría de Educación</w:t>
      </w:r>
      <w:r w:rsidRPr="00AD43B8">
        <w:rPr>
          <w:rFonts w:ascii="Palatino Linotype" w:eastAsia="Palatino Linotype" w:hAnsi="Palatino Linotype" w:cs="Palatino Linotype"/>
          <w:color w:val="000000"/>
          <w:sz w:val="24"/>
          <w:szCs w:val="24"/>
        </w:rPr>
        <w:t>,</w:t>
      </w:r>
      <w:r w:rsidRPr="00AD43B8">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color w:val="000000"/>
          <w:sz w:val="24"/>
          <w:szCs w:val="24"/>
        </w:rPr>
        <w:t>en lo sucesivo el</w:t>
      </w:r>
      <w:r w:rsidRPr="00AD43B8">
        <w:rPr>
          <w:rFonts w:ascii="Palatino Linotype" w:eastAsia="Palatino Linotype" w:hAnsi="Palatino Linotype" w:cs="Palatino Linotype"/>
          <w:b/>
          <w:color w:val="000000"/>
          <w:sz w:val="24"/>
          <w:szCs w:val="24"/>
        </w:rPr>
        <w:t xml:space="preserve"> SUJETO OBLIGADO, </w:t>
      </w:r>
      <w:r w:rsidRPr="00AD43B8">
        <w:rPr>
          <w:rFonts w:ascii="Palatino Linotype" w:eastAsia="Palatino Linotype" w:hAnsi="Palatino Linotype" w:cs="Palatino Linotype"/>
          <w:color w:val="000000"/>
          <w:sz w:val="24"/>
          <w:szCs w:val="24"/>
        </w:rPr>
        <w:t>se procede a dictar la presente resolución, con base en los siguientes:</w:t>
      </w:r>
    </w:p>
    <w:p w14:paraId="6FCD4FC7" w14:textId="77777777" w:rsidR="00694C6A" w:rsidRPr="00AD43B8" w:rsidRDefault="00AD43B8">
      <w:pPr>
        <w:pStyle w:val="Ttulo1"/>
        <w:jc w:val="center"/>
        <w:rPr>
          <w:rFonts w:ascii="Palatino Linotype" w:eastAsia="Palatino Linotype" w:hAnsi="Palatino Linotype" w:cs="Palatino Linotype"/>
          <w:b/>
          <w:color w:val="000000"/>
          <w:sz w:val="24"/>
          <w:szCs w:val="24"/>
        </w:rPr>
      </w:pPr>
      <w:bookmarkStart w:id="0" w:name="_heading=h.gjdgxs" w:colFirst="0" w:colLast="0"/>
      <w:bookmarkEnd w:id="0"/>
      <w:r w:rsidRPr="00AD43B8">
        <w:rPr>
          <w:rFonts w:ascii="Palatino Linotype" w:eastAsia="Palatino Linotype" w:hAnsi="Palatino Linotype" w:cs="Palatino Linotype"/>
          <w:b/>
          <w:color w:val="000000"/>
          <w:sz w:val="24"/>
          <w:szCs w:val="24"/>
        </w:rPr>
        <w:t>A</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N</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T</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E</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C</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E</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D</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E</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N</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T</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E</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S</w:t>
      </w:r>
    </w:p>
    <w:p w14:paraId="6FCD4FC8" w14:textId="77777777" w:rsidR="00694C6A" w:rsidRPr="00AD43B8" w:rsidRDefault="00694C6A">
      <w:pPr>
        <w:rPr>
          <w:rFonts w:ascii="Palatino Linotype" w:eastAsia="Palatino Linotype" w:hAnsi="Palatino Linotype" w:cs="Palatino Linotype"/>
          <w:sz w:val="24"/>
          <w:szCs w:val="24"/>
        </w:rPr>
      </w:pPr>
    </w:p>
    <w:p w14:paraId="6FCD4FC9"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El veinticinco (25) de septiembre de dos mil veintitrés, </w:t>
      </w:r>
      <w:r w:rsidRPr="00AD43B8">
        <w:rPr>
          <w:rFonts w:ascii="Palatino Linotype" w:eastAsia="Palatino Linotype" w:hAnsi="Palatino Linotype" w:cs="Palatino Linotype"/>
          <w:b/>
          <w:color w:val="000000"/>
          <w:sz w:val="24"/>
          <w:szCs w:val="24"/>
        </w:rPr>
        <w:t xml:space="preserve">EL RECURRENTE </w:t>
      </w:r>
      <w:r w:rsidRPr="00AD43B8">
        <w:rPr>
          <w:rFonts w:ascii="Palatino Linotype" w:eastAsia="Palatino Linotype" w:hAnsi="Palatino Linotype" w:cs="Palatino Linotype"/>
          <w:color w:val="000000"/>
          <w:sz w:val="24"/>
          <w:szCs w:val="24"/>
        </w:rPr>
        <w:t>presentó</w:t>
      </w:r>
      <w:r w:rsidRPr="00AD43B8">
        <w:rPr>
          <w:rFonts w:ascii="Palatino Linotype" w:eastAsia="Palatino Linotype" w:hAnsi="Palatino Linotype" w:cs="Palatino Linotype"/>
          <w:b/>
          <w:color w:val="000000"/>
          <w:sz w:val="24"/>
          <w:szCs w:val="24"/>
        </w:rPr>
        <w:t>,</w:t>
      </w:r>
      <w:r w:rsidRPr="00AD43B8">
        <w:rPr>
          <w:rFonts w:ascii="Palatino Linotype" w:eastAsia="Palatino Linotype" w:hAnsi="Palatino Linotype" w:cs="Palatino Linotype"/>
          <w:color w:val="000000"/>
          <w:sz w:val="24"/>
          <w:szCs w:val="24"/>
        </w:rPr>
        <w:t xml:space="preserve"> ante el </w:t>
      </w:r>
      <w:r w:rsidRPr="00AD43B8">
        <w:rPr>
          <w:rFonts w:ascii="Palatino Linotype" w:eastAsia="Palatino Linotype" w:hAnsi="Palatino Linotype" w:cs="Palatino Linotype"/>
          <w:b/>
          <w:color w:val="000000"/>
          <w:sz w:val="24"/>
          <w:szCs w:val="24"/>
        </w:rPr>
        <w:t>SUJETO OBLIGADO</w:t>
      </w:r>
      <w:r w:rsidRPr="00AD43B8">
        <w:rPr>
          <w:rFonts w:ascii="Palatino Linotype" w:eastAsia="Palatino Linotype" w:hAnsi="Palatino Linotype" w:cs="Palatino Linotype"/>
          <w:color w:val="000000"/>
          <w:sz w:val="24"/>
          <w:szCs w:val="24"/>
        </w:rPr>
        <w:t xml:space="preserve"> vía Sistema de Acceso a la Información Mexiquense (</w:t>
      </w:r>
      <w:r w:rsidRPr="00AD43B8">
        <w:rPr>
          <w:rFonts w:ascii="Palatino Linotype" w:eastAsia="Palatino Linotype" w:hAnsi="Palatino Linotype" w:cs="Palatino Linotype"/>
          <w:b/>
          <w:color w:val="000000"/>
          <w:sz w:val="24"/>
          <w:szCs w:val="24"/>
        </w:rPr>
        <w:t>SAIMEX)</w:t>
      </w:r>
      <w:r w:rsidRPr="00AD43B8">
        <w:rPr>
          <w:rFonts w:ascii="Palatino Linotype" w:eastAsia="Palatino Linotype" w:hAnsi="Palatino Linotype" w:cs="Palatino Linotype"/>
          <w:color w:val="000000"/>
          <w:sz w:val="24"/>
          <w:szCs w:val="24"/>
        </w:rPr>
        <w:t xml:space="preserve">, la solicitud de información pública registrada con el número </w:t>
      </w:r>
      <w:r w:rsidRPr="00AD43B8">
        <w:rPr>
          <w:rFonts w:ascii="Palatino Linotype" w:eastAsia="Palatino Linotype" w:hAnsi="Palatino Linotype" w:cs="Palatino Linotype"/>
          <w:b/>
          <w:color w:val="000000"/>
          <w:sz w:val="24"/>
          <w:szCs w:val="24"/>
        </w:rPr>
        <w:t>00963/SE/IP/2023</w:t>
      </w:r>
      <w:r w:rsidRPr="00AD43B8">
        <w:rPr>
          <w:rFonts w:ascii="Palatino Linotype" w:eastAsia="Palatino Linotype" w:hAnsi="Palatino Linotype" w:cs="Palatino Linotype"/>
          <w:color w:val="000000"/>
          <w:sz w:val="24"/>
          <w:szCs w:val="24"/>
        </w:rPr>
        <w:t>,</w:t>
      </w:r>
      <w:r w:rsidRPr="00AD43B8">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la que se</w:t>
      </w:r>
      <w:r w:rsidRPr="00AD43B8">
        <w:rPr>
          <w:rFonts w:ascii="Palatino Linotype" w:eastAsia="Palatino Linotype" w:hAnsi="Palatino Linotype" w:cs="Palatino Linotype"/>
          <w:color w:val="000000"/>
          <w:sz w:val="24"/>
          <w:szCs w:val="24"/>
        </w:rPr>
        <w:t xml:space="preserve"> solicitó lo siguiente:</w:t>
      </w:r>
    </w:p>
    <w:p w14:paraId="6FCD4FCA"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4FCB" w14:textId="77777777" w:rsidR="00694C6A" w:rsidRPr="00AD43B8" w:rsidRDefault="00AD43B8">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r w:rsidRPr="00AD43B8">
        <w:rPr>
          <w:rFonts w:ascii="Palatino Linotype" w:eastAsia="Palatino Linotype" w:hAnsi="Palatino Linotype" w:cs="Palatino Linotype"/>
          <w:i/>
          <w:color w:val="000000"/>
          <w:sz w:val="24"/>
          <w:szCs w:val="24"/>
        </w:rPr>
        <w:t xml:space="preserve">“Se solicita los expedientes de los trabajos de reparación y mantenimiento realizados en el EPO 209, desde Septiembre del 2021 a la fecha , así como el historial de registro de los mismos en la plataforma o sistema designado para ello, incluyendo la evidencia de rechazo y autorizaciones para ejercer el gasto emitido por Dirección General de Supervisión de Ingresos y Egresos de Instituciones Educativas, se solicita copia de las acciones realizadas por el Titular del Órgano Interno de Control a cargo en su momento del MAP Javier Renato Estrada Medina, en relación al escrito entregado en diciembre 2022, por posibles actos de uso de recursos de la EPO209, en beneficio </w:t>
      </w:r>
      <w:r w:rsidRPr="00AD43B8">
        <w:rPr>
          <w:rFonts w:ascii="Palatino Linotype" w:eastAsia="Palatino Linotype" w:hAnsi="Palatino Linotype" w:cs="Palatino Linotype"/>
          <w:i/>
          <w:color w:val="000000"/>
          <w:sz w:val="24"/>
          <w:szCs w:val="24"/>
        </w:rPr>
        <w:lastRenderedPageBreak/>
        <w:t>personal, de los titulares Directivos del Plantel desde Mayo 2022 como de la Supervisión de Ingresos y Egresos”</w:t>
      </w:r>
    </w:p>
    <w:p w14:paraId="6FCD4FCC" w14:textId="77777777" w:rsidR="00694C6A" w:rsidRPr="00AD43B8" w:rsidRDefault="00694C6A">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p>
    <w:p w14:paraId="6FCD4FCD" w14:textId="77777777" w:rsidR="00694C6A" w:rsidRPr="00AD43B8" w:rsidRDefault="00AD43B8">
      <w:pPr>
        <w:numPr>
          <w:ilvl w:val="0"/>
          <w:numId w:val="8"/>
        </w:num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r w:rsidRPr="00AD43B8">
        <w:rPr>
          <w:rFonts w:ascii="Palatino Linotype" w:eastAsia="Palatino Linotype" w:hAnsi="Palatino Linotype" w:cs="Palatino Linotype"/>
          <w:color w:val="000000"/>
          <w:sz w:val="24"/>
          <w:szCs w:val="24"/>
        </w:rPr>
        <w:t>El Recurrente adjuntó el documento electrónico denominado</w:t>
      </w:r>
      <w:r w:rsidRPr="00AD43B8">
        <w:rPr>
          <w:rFonts w:ascii="Palatino Linotype" w:eastAsia="Palatino Linotype" w:hAnsi="Palatino Linotype" w:cs="Palatino Linotype"/>
          <w:i/>
          <w:color w:val="000000"/>
          <w:sz w:val="24"/>
          <w:szCs w:val="24"/>
        </w:rPr>
        <w:t xml:space="preserve"> </w:t>
      </w:r>
      <w:r w:rsidRPr="00AD43B8">
        <w:rPr>
          <w:rFonts w:ascii="Palatino Linotype" w:eastAsia="Palatino Linotype" w:hAnsi="Palatino Linotype" w:cs="Palatino Linotype"/>
          <w:b/>
          <w:color w:val="000000"/>
          <w:sz w:val="24"/>
          <w:szCs w:val="24"/>
        </w:rPr>
        <w:t xml:space="preserve">contraloría epo209.pdf </w:t>
      </w:r>
      <w:r w:rsidRPr="00AD43B8">
        <w:rPr>
          <w:rFonts w:ascii="Palatino Linotype" w:eastAsia="Palatino Linotype" w:hAnsi="Palatino Linotype" w:cs="Palatino Linotype"/>
          <w:color w:val="000000"/>
          <w:sz w:val="24"/>
          <w:szCs w:val="24"/>
        </w:rPr>
        <w:t>que contiene una solicitud de verificación de auditoría de recursos de obra de fecha 16 de diciembre de dos mil veintidós respecto de presupuestos de obra en escuela oficial 209.</w:t>
      </w:r>
    </w:p>
    <w:p w14:paraId="6FCD4FCE" w14:textId="77777777" w:rsidR="00694C6A" w:rsidRPr="00AD43B8" w:rsidRDefault="00694C6A">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4"/>
          <w:szCs w:val="24"/>
        </w:rPr>
      </w:pPr>
    </w:p>
    <w:p w14:paraId="6FCD4FCF"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Señaló como modalidad de entrega de la información a través del </w:t>
      </w:r>
      <w:r w:rsidRPr="00AD43B8">
        <w:rPr>
          <w:rFonts w:ascii="Palatino Linotype" w:eastAsia="Palatino Linotype" w:hAnsi="Palatino Linotype" w:cs="Palatino Linotype"/>
          <w:b/>
          <w:color w:val="000000"/>
          <w:sz w:val="24"/>
          <w:szCs w:val="24"/>
        </w:rPr>
        <w:t>SAIMEX.</w:t>
      </w:r>
    </w:p>
    <w:p w14:paraId="6FCD4FD0"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4FD1"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El diez (10) de octubre de dos mil veintitrés dio respuesta a la solicitud, en los siguientes términos:</w:t>
      </w:r>
    </w:p>
    <w:p w14:paraId="6FCD4FD2" w14:textId="77777777" w:rsidR="00694C6A" w:rsidRPr="00AD43B8" w:rsidRDefault="00AD43B8">
      <w:pPr>
        <w:spacing w:line="360" w:lineRule="auto"/>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FCD4FD3" w14:textId="77777777" w:rsidR="00694C6A" w:rsidRPr="00AD43B8" w:rsidRDefault="00AD43B8">
      <w:pPr>
        <w:spacing w:line="360" w:lineRule="auto"/>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Con fundamento en los artículos 53 fracciones II, V y VI y 163 de la Ley de Transparencia y Acceso a la Información Pública del Estado de México y Municipios, en respuesta a su solicitud de información se adjunta el Acuerdo de respuesta de fecha 06 de octubre de dos mil veintitrés, asimismo, se anexan los archivos que contienen la información remitida por el Servidor Público Habilitado responsable de generar la información.</w:t>
      </w:r>
    </w:p>
    <w:p w14:paraId="6FCD4FD4" w14:textId="77777777" w:rsidR="00694C6A" w:rsidRPr="00AD43B8" w:rsidRDefault="00AD43B8">
      <w:pPr>
        <w:spacing w:line="360" w:lineRule="auto"/>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ATENTAMENTE</w:t>
      </w:r>
    </w:p>
    <w:p w14:paraId="6FCD4FD5"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i/>
          <w:sz w:val="22"/>
          <w:szCs w:val="24"/>
        </w:rPr>
        <w:t xml:space="preserve">L.C. Paulina Cruz Casas” (sic) </w:t>
      </w:r>
    </w:p>
    <w:p w14:paraId="6FCD4FD6"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r w:rsidRPr="00AD43B8">
        <w:rPr>
          <w:rFonts w:ascii="Palatino Linotype" w:eastAsia="Palatino Linotype" w:hAnsi="Palatino Linotype" w:cs="Palatino Linotype"/>
          <w:color w:val="000000"/>
          <w:sz w:val="24"/>
          <w:szCs w:val="24"/>
        </w:rPr>
        <w:t>El Sujeto Obligado adjuntó a la respuesta los siguientes documentos electrónicos:</w:t>
      </w:r>
    </w:p>
    <w:p w14:paraId="6FCD4FD7" w14:textId="77777777" w:rsidR="00694C6A" w:rsidRPr="00AD43B8" w:rsidRDefault="00AD43B8">
      <w:pPr>
        <w:numPr>
          <w:ilvl w:val="0"/>
          <w:numId w:val="4"/>
        </w:numPr>
        <w:pBdr>
          <w:top w:val="nil"/>
          <w:left w:val="nil"/>
          <w:bottom w:val="nil"/>
          <w:right w:val="nil"/>
          <w:between w:val="nil"/>
        </w:pBdr>
        <w:spacing w:line="360" w:lineRule="auto"/>
        <w:ind w:left="426"/>
        <w:jc w:val="both"/>
        <w:rPr>
          <w:rFonts w:ascii="Palatino Linotype" w:eastAsia="Palatino Linotype" w:hAnsi="Palatino Linotype" w:cs="Palatino Linotype"/>
          <w:b/>
          <w:color w:val="000000"/>
          <w:sz w:val="22"/>
          <w:szCs w:val="24"/>
        </w:rPr>
      </w:pPr>
      <w:r w:rsidRPr="00AD43B8">
        <w:rPr>
          <w:rFonts w:ascii="Palatino Linotype" w:eastAsia="Palatino Linotype" w:hAnsi="Palatino Linotype" w:cs="Palatino Linotype"/>
          <w:b/>
          <w:color w:val="000000"/>
          <w:sz w:val="22"/>
          <w:szCs w:val="24"/>
        </w:rPr>
        <w:lastRenderedPageBreak/>
        <w:t>Anexos DEPTO.INGRESOS Y EGRESOS.pdf: Documento que se integra por veintisiete (27) páginas en las que se encuentran:</w:t>
      </w:r>
    </w:p>
    <w:p w14:paraId="6FCD4FD8" w14:textId="77777777" w:rsidR="00694C6A" w:rsidRPr="00AD43B8" w:rsidRDefault="00AD43B8">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Estados de cuenta del mes de abril de 2022.</w:t>
      </w:r>
    </w:p>
    <w:p w14:paraId="6FCD4FD9" w14:textId="77777777" w:rsidR="00694C6A" w:rsidRPr="00AD43B8" w:rsidRDefault="00AD43B8">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Cotizaciones de materiales y fotografías</w:t>
      </w:r>
    </w:p>
    <w:p w14:paraId="6FCD4FDA" w14:textId="77777777" w:rsidR="00694C6A" w:rsidRPr="00AD43B8" w:rsidRDefault="00AD43B8">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Autorización del ejercicio de gastos a favor de Rodrigo Valdes Valenzuela por concepto de cercado eléctrico.</w:t>
      </w:r>
    </w:p>
    <w:p w14:paraId="6FCD4FDB" w14:textId="77777777" w:rsidR="00694C6A" w:rsidRPr="00AD43B8" w:rsidRDefault="00AD43B8">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 xml:space="preserve">Documento signado por la </w:t>
      </w:r>
      <w:proofErr w:type="gramStart"/>
      <w:r w:rsidRPr="00AD43B8">
        <w:rPr>
          <w:rFonts w:ascii="Palatino Linotype" w:eastAsia="Palatino Linotype" w:hAnsi="Palatino Linotype" w:cs="Palatino Linotype"/>
          <w:color w:val="000000"/>
          <w:sz w:val="22"/>
          <w:szCs w:val="24"/>
        </w:rPr>
        <w:t>Secretaria</w:t>
      </w:r>
      <w:proofErr w:type="gramEnd"/>
      <w:r w:rsidRPr="00AD43B8">
        <w:rPr>
          <w:rFonts w:ascii="Palatino Linotype" w:eastAsia="Palatino Linotype" w:hAnsi="Palatino Linotype" w:cs="Palatino Linotype"/>
          <w:color w:val="000000"/>
          <w:sz w:val="22"/>
          <w:szCs w:val="24"/>
        </w:rPr>
        <w:t xml:space="preserve"> Escolar en el que refiere que remite el informe financiero correspondiente al bimestre MAYO-JUNIO de 2022.</w:t>
      </w:r>
    </w:p>
    <w:p w14:paraId="6FCD4FDC" w14:textId="77777777" w:rsidR="00694C6A" w:rsidRPr="00AD43B8" w:rsidRDefault="00AD43B8">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 xml:space="preserve">Autorización del informe financiero para revisión por parte del </w:t>
      </w:r>
      <w:proofErr w:type="gramStart"/>
      <w:r w:rsidRPr="00AD43B8">
        <w:rPr>
          <w:rFonts w:ascii="Palatino Linotype" w:eastAsia="Palatino Linotype" w:hAnsi="Palatino Linotype" w:cs="Palatino Linotype"/>
          <w:color w:val="000000"/>
          <w:sz w:val="22"/>
          <w:szCs w:val="24"/>
        </w:rPr>
        <w:t>Director General</w:t>
      </w:r>
      <w:proofErr w:type="gramEnd"/>
      <w:r w:rsidRPr="00AD43B8">
        <w:rPr>
          <w:rFonts w:ascii="Palatino Linotype" w:eastAsia="Palatino Linotype" w:hAnsi="Palatino Linotype" w:cs="Palatino Linotype"/>
          <w:color w:val="000000"/>
          <w:sz w:val="22"/>
          <w:szCs w:val="24"/>
        </w:rPr>
        <w:t xml:space="preserve"> de Supervisión de Ingresos y Egresos de Instituciones Educativas;</w:t>
      </w:r>
    </w:p>
    <w:p w14:paraId="6FCD4FDD" w14:textId="77777777" w:rsidR="00694C6A" w:rsidRPr="00AD43B8" w:rsidRDefault="00AD43B8">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Dos Solicitudes de gasto corriente de la Escuela Oficial 209 rechazadas de fecha 08/09/2023 y 02/05/2022</w:t>
      </w:r>
    </w:p>
    <w:p w14:paraId="6FCD4FDE" w14:textId="77777777" w:rsidR="00694C6A" w:rsidRPr="00AD43B8" w:rsidRDefault="00AD43B8">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Autorización del ejercicio de gastos a favor de Miriam Fuentes Coyote por concepto de mantenimiento general a la institución reparación de línea eléctrica y pintura por un monto de $1, 595,345.68.</w:t>
      </w:r>
    </w:p>
    <w:p w14:paraId="6FCD4FDF" w14:textId="77777777" w:rsidR="00694C6A" w:rsidRPr="00AD43B8" w:rsidRDefault="00AD43B8">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 xml:space="preserve">Autorización del ejercicio de gastos a favor de Enrique Guillermo Contreras Miller por concepto de Reparación y </w:t>
      </w:r>
      <w:r w:rsidR="00FE3DB1">
        <w:rPr>
          <w:rFonts w:ascii="Palatino Linotype" w:eastAsia="Palatino Linotype" w:hAnsi="Palatino Linotype" w:cs="Palatino Linotype"/>
          <w:color w:val="000000"/>
          <w:sz w:val="22"/>
          <w:szCs w:val="24"/>
        </w:rPr>
        <w:t>Mantenimiento de Inmuebles Divis</w:t>
      </w:r>
      <w:r w:rsidRPr="00AD43B8">
        <w:rPr>
          <w:rFonts w:ascii="Palatino Linotype" w:eastAsia="Palatino Linotype" w:hAnsi="Palatino Linotype" w:cs="Palatino Linotype"/>
          <w:color w:val="000000"/>
          <w:sz w:val="22"/>
          <w:szCs w:val="24"/>
        </w:rPr>
        <w:t>ión de Durock con reforzamiento de metal, afinado de paredes y pintura por un monto de $1, 384,963.68.</w:t>
      </w:r>
    </w:p>
    <w:p w14:paraId="6FCD4FE0" w14:textId="77777777" w:rsidR="00694C6A" w:rsidRPr="00AD43B8" w:rsidRDefault="00694C6A">
      <w:pPr>
        <w:pBdr>
          <w:top w:val="nil"/>
          <w:left w:val="nil"/>
          <w:bottom w:val="nil"/>
          <w:right w:val="nil"/>
          <w:between w:val="nil"/>
        </w:pBdr>
        <w:spacing w:line="360" w:lineRule="auto"/>
        <w:ind w:left="426"/>
        <w:jc w:val="both"/>
        <w:rPr>
          <w:rFonts w:ascii="Palatino Linotype" w:eastAsia="Palatino Linotype" w:hAnsi="Palatino Linotype" w:cs="Palatino Linotype"/>
          <w:b/>
          <w:color w:val="000000"/>
          <w:sz w:val="22"/>
          <w:szCs w:val="24"/>
        </w:rPr>
      </w:pPr>
    </w:p>
    <w:p w14:paraId="6FCD4FE1" w14:textId="77777777" w:rsidR="00694C6A" w:rsidRPr="00AD43B8" w:rsidRDefault="00AD43B8">
      <w:pPr>
        <w:numPr>
          <w:ilvl w:val="0"/>
          <w:numId w:val="4"/>
        </w:numPr>
        <w:pBdr>
          <w:top w:val="nil"/>
          <w:left w:val="nil"/>
          <w:bottom w:val="nil"/>
          <w:right w:val="nil"/>
          <w:between w:val="nil"/>
        </w:pBdr>
        <w:spacing w:line="360" w:lineRule="auto"/>
        <w:ind w:left="426"/>
        <w:jc w:val="both"/>
        <w:rPr>
          <w:rFonts w:ascii="Palatino Linotype" w:eastAsia="Palatino Linotype" w:hAnsi="Palatino Linotype" w:cs="Palatino Linotype"/>
          <w:b/>
          <w:color w:val="000000"/>
          <w:sz w:val="22"/>
          <w:szCs w:val="24"/>
        </w:rPr>
      </w:pPr>
      <w:r w:rsidRPr="00AD43B8">
        <w:rPr>
          <w:rFonts w:ascii="Palatino Linotype" w:eastAsia="Palatino Linotype" w:hAnsi="Palatino Linotype" w:cs="Palatino Linotype"/>
          <w:b/>
          <w:color w:val="000000"/>
          <w:sz w:val="22"/>
          <w:szCs w:val="24"/>
        </w:rPr>
        <w:t>Anexos OIC.pdf:</w:t>
      </w:r>
    </w:p>
    <w:p w14:paraId="6FCD4FE2" w14:textId="77777777" w:rsidR="00694C6A" w:rsidRPr="00AD43B8" w:rsidRDefault="00AD43B8">
      <w:pPr>
        <w:numPr>
          <w:ilvl w:val="0"/>
          <w:numId w:val="13"/>
        </w:num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Documento signado por el Titular del área de quejas en el que refiere que la solicitud puede ser atribuible al Instituto Mexiquense de la Infraestructura Física Educativa del Estado de México;</w:t>
      </w:r>
    </w:p>
    <w:p w14:paraId="6FCD4FE3" w14:textId="77777777" w:rsidR="00694C6A" w:rsidRPr="00AD43B8" w:rsidRDefault="00AD43B8">
      <w:pPr>
        <w:numPr>
          <w:ilvl w:val="0"/>
          <w:numId w:val="13"/>
        </w:num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lastRenderedPageBreak/>
        <w:t>Documento suscrito por el Titular del área de quejas en el que refiere que no se advierte la comisión de alguna falta administrativa prevista y sancionada por la Ley de Responsabilidades Administrativas del Estado de México.</w:t>
      </w:r>
    </w:p>
    <w:p w14:paraId="6FCD4FE4" w14:textId="77777777" w:rsidR="00694C6A" w:rsidRPr="00AD43B8" w:rsidRDefault="00AD43B8">
      <w:pPr>
        <w:numPr>
          <w:ilvl w:val="0"/>
          <w:numId w:val="13"/>
        </w:num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 xml:space="preserve">Documento Oficio 210C1501010000S-0225/2023 que se encuentra incompleto, ya que se aprecia que son dos </w:t>
      </w:r>
      <w:proofErr w:type="gramStart"/>
      <w:r w:rsidRPr="00AD43B8">
        <w:rPr>
          <w:rFonts w:ascii="Palatino Linotype" w:eastAsia="Palatino Linotype" w:hAnsi="Palatino Linotype" w:cs="Palatino Linotype"/>
          <w:color w:val="000000"/>
          <w:sz w:val="22"/>
          <w:szCs w:val="24"/>
        </w:rPr>
        <w:t>páginas</w:t>
      </w:r>
      <w:proofErr w:type="gramEnd"/>
      <w:r w:rsidRPr="00AD43B8">
        <w:rPr>
          <w:rFonts w:ascii="Palatino Linotype" w:eastAsia="Palatino Linotype" w:hAnsi="Palatino Linotype" w:cs="Palatino Linotype"/>
          <w:color w:val="000000"/>
          <w:sz w:val="22"/>
          <w:szCs w:val="24"/>
        </w:rPr>
        <w:t xml:space="preserve"> sin embargo, sólo se remite la primera; sin embargo, se aprecia que el Instituto Mexiquense de la Infraestructura Física Educativa indica que no se </w:t>
      </w:r>
      <w:r w:rsidRPr="00AD43B8">
        <w:rPr>
          <w:rFonts w:ascii="Palatino Linotype" w:eastAsia="Palatino Linotype" w:hAnsi="Palatino Linotype" w:cs="Palatino Linotype"/>
          <w:sz w:val="22"/>
          <w:szCs w:val="24"/>
        </w:rPr>
        <w:t>contempló</w:t>
      </w:r>
      <w:r w:rsidRPr="00AD43B8">
        <w:rPr>
          <w:rFonts w:ascii="Palatino Linotype" w:eastAsia="Palatino Linotype" w:hAnsi="Palatino Linotype" w:cs="Palatino Linotype"/>
          <w:color w:val="000000"/>
          <w:sz w:val="22"/>
          <w:szCs w:val="24"/>
        </w:rPr>
        <w:t xml:space="preserve"> al plantel 209 dentro del programa general de obras.</w:t>
      </w:r>
    </w:p>
    <w:p w14:paraId="6FCD4FE5" w14:textId="77777777" w:rsidR="00694C6A" w:rsidRPr="00AD43B8" w:rsidRDefault="00AD43B8">
      <w:pPr>
        <w:numPr>
          <w:ilvl w:val="0"/>
          <w:numId w:val="13"/>
        </w:num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 xml:space="preserve">Documento signado por el Titular del área de quejas mediante el cual refiere </w:t>
      </w:r>
      <w:proofErr w:type="gramStart"/>
      <w:r w:rsidRPr="00AD43B8">
        <w:rPr>
          <w:rFonts w:ascii="Palatino Linotype" w:eastAsia="Palatino Linotype" w:hAnsi="Palatino Linotype" w:cs="Palatino Linotype"/>
          <w:color w:val="000000"/>
          <w:sz w:val="22"/>
          <w:szCs w:val="24"/>
        </w:rPr>
        <w:t>que</w:t>
      </w:r>
      <w:proofErr w:type="gramEnd"/>
      <w:r w:rsidRPr="00AD43B8">
        <w:rPr>
          <w:rFonts w:ascii="Palatino Linotype" w:eastAsia="Palatino Linotype" w:hAnsi="Palatino Linotype" w:cs="Palatino Linotype"/>
          <w:color w:val="000000"/>
          <w:sz w:val="22"/>
          <w:szCs w:val="24"/>
        </w:rPr>
        <w:t xml:space="preserve"> del análisis a la queja remitida, no se advierten elementos que pudieran constituir responsabilidad administrativa de algún servidor público de la Secretaría de Educación. </w:t>
      </w:r>
    </w:p>
    <w:p w14:paraId="6FCD4FE6" w14:textId="77777777" w:rsidR="00694C6A" w:rsidRPr="00AD43B8" w:rsidRDefault="00AD43B8">
      <w:pPr>
        <w:numPr>
          <w:ilvl w:val="0"/>
          <w:numId w:val="4"/>
        </w:numPr>
        <w:pBdr>
          <w:top w:val="nil"/>
          <w:left w:val="nil"/>
          <w:bottom w:val="nil"/>
          <w:right w:val="nil"/>
          <w:between w:val="nil"/>
        </w:pBdr>
        <w:spacing w:line="360" w:lineRule="auto"/>
        <w:ind w:left="426"/>
        <w:jc w:val="both"/>
        <w:rPr>
          <w:rFonts w:ascii="Palatino Linotype" w:eastAsia="Palatino Linotype" w:hAnsi="Palatino Linotype" w:cs="Palatino Linotype"/>
          <w:b/>
          <w:color w:val="000000"/>
          <w:sz w:val="22"/>
          <w:szCs w:val="24"/>
        </w:rPr>
      </w:pPr>
      <w:r w:rsidRPr="00AD43B8">
        <w:rPr>
          <w:rFonts w:ascii="Palatino Linotype" w:eastAsia="Palatino Linotype" w:hAnsi="Palatino Linotype" w:cs="Palatino Linotype"/>
          <w:b/>
          <w:color w:val="000000"/>
          <w:sz w:val="22"/>
          <w:szCs w:val="24"/>
        </w:rPr>
        <w:t xml:space="preserve">Respuesta_UT_963.pdf: </w:t>
      </w:r>
      <w:r w:rsidRPr="00AD43B8">
        <w:rPr>
          <w:rFonts w:ascii="Palatino Linotype" w:eastAsia="Palatino Linotype" w:hAnsi="Palatino Linotype" w:cs="Palatino Linotype"/>
          <w:color w:val="000000"/>
          <w:sz w:val="22"/>
          <w:szCs w:val="24"/>
        </w:rPr>
        <w:t>Documento signado por el Titular de la Unidad de Transparencia en el que hace de conocimiento al Solicitante que adjunta las respuestas de las áreas competentes.</w:t>
      </w:r>
    </w:p>
    <w:p w14:paraId="6FCD4FE7" w14:textId="77777777" w:rsidR="00694C6A" w:rsidRPr="00AD43B8" w:rsidRDefault="00AD43B8">
      <w:pPr>
        <w:numPr>
          <w:ilvl w:val="0"/>
          <w:numId w:val="4"/>
        </w:numPr>
        <w:pBdr>
          <w:top w:val="nil"/>
          <w:left w:val="nil"/>
          <w:bottom w:val="nil"/>
          <w:right w:val="nil"/>
          <w:between w:val="nil"/>
        </w:pBdr>
        <w:spacing w:line="360" w:lineRule="auto"/>
        <w:ind w:left="426"/>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b/>
          <w:color w:val="000000"/>
          <w:sz w:val="22"/>
          <w:szCs w:val="24"/>
        </w:rPr>
        <w:t xml:space="preserve">SPH_963 DEPTO.INGRESOS Y EGRESOS.pdf: </w:t>
      </w:r>
      <w:r w:rsidRPr="00AD43B8">
        <w:rPr>
          <w:rFonts w:ascii="Palatino Linotype" w:eastAsia="Palatino Linotype" w:hAnsi="Palatino Linotype" w:cs="Palatino Linotype"/>
          <w:color w:val="000000"/>
          <w:sz w:val="22"/>
          <w:szCs w:val="24"/>
        </w:rPr>
        <w:t xml:space="preserve">Documento signado por la Encargada de Despacho de la Dirección General de </w:t>
      </w:r>
      <w:r w:rsidRPr="00AD43B8">
        <w:rPr>
          <w:rFonts w:ascii="Palatino Linotype" w:eastAsia="Palatino Linotype" w:hAnsi="Palatino Linotype" w:cs="Palatino Linotype"/>
          <w:sz w:val="22"/>
          <w:szCs w:val="24"/>
        </w:rPr>
        <w:t>Supervisión</w:t>
      </w:r>
      <w:r w:rsidRPr="00AD43B8">
        <w:rPr>
          <w:rFonts w:ascii="Palatino Linotype" w:eastAsia="Palatino Linotype" w:hAnsi="Palatino Linotype" w:cs="Palatino Linotype"/>
          <w:color w:val="000000"/>
          <w:sz w:val="22"/>
          <w:szCs w:val="24"/>
        </w:rPr>
        <w:t xml:space="preserve"> de Ingresos y Egresos de Instituciones Educativas en el que señala que entrega la siguiente información:</w:t>
      </w:r>
    </w:p>
    <w:p w14:paraId="6FCD4FE8" w14:textId="77777777" w:rsidR="00694C6A" w:rsidRPr="00AD43B8" w:rsidRDefault="00AD43B8">
      <w:pPr>
        <w:numPr>
          <w:ilvl w:val="0"/>
          <w:numId w:val="12"/>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Expediente de los trabajos de reparación y mantenimiento realizados en la EPO. 209, desde septiembre del 2021 a la fecha. Cabe destacar que la afirmación de su realización necesariamente deriva de la revisión de los informes financieros bimestrales correspondientes, siendo el de mayo-junio del 2002 el último autorizado por esta unidad administrativa al plantel en comento (anexo 1).</w:t>
      </w:r>
    </w:p>
    <w:p w14:paraId="6FCD4FE9" w14:textId="77777777" w:rsidR="00694C6A" w:rsidRPr="00AD43B8" w:rsidRDefault="00AD43B8">
      <w:pPr>
        <w:numPr>
          <w:ilvl w:val="0"/>
          <w:numId w:val="12"/>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Historial de registro de los trabajos de reparación y mantenimiento realizados en la EPO. 209, desde septiembre del 2021 a la fecha, en el Sistema Integral de Administración de la Secretaría de Educación (SIASE), incluyendo, en su caso, la evidencia de rechazos y autorizaciones para ejercer el gasto emitidos por la Dirección General de Supervisión de Ingresos y Egresos de Instituciones Educativas (anexo 2).</w:t>
      </w:r>
    </w:p>
    <w:p w14:paraId="6FCD4FEA" w14:textId="77777777" w:rsidR="00694C6A" w:rsidRPr="00AD43B8" w:rsidRDefault="00AD43B8">
      <w:pPr>
        <w:numPr>
          <w:ilvl w:val="0"/>
          <w:numId w:val="12"/>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lastRenderedPageBreak/>
        <w:t>Esta Dirección General no tiene conocimiento de acción alguna del Titular del Órgano Interno de Control en relación al escrito que se refiere en su ocurso.</w:t>
      </w:r>
    </w:p>
    <w:p w14:paraId="6FCD4FEB" w14:textId="77777777" w:rsidR="00694C6A" w:rsidRPr="00AD43B8" w:rsidRDefault="00694C6A">
      <w:pPr>
        <w:pBdr>
          <w:top w:val="nil"/>
          <w:left w:val="nil"/>
          <w:bottom w:val="nil"/>
          <w:right w:val="nil"/>
          <w:between w:val="nil"/>
        </w:pBdr>
        <w:spacing w:line="360" w:lineRule="auto"/>
        <w:ind w:left="426"/>
        <w:jc w:val="both"/>
        <w:rPr>
          <w:rFonts w:ascii="Palatino Linotype" w:eastAsia="Palatino Linotype" w:hAnsi="Palatino Linotype" w:cs="Palatino Linotype"/>
          <w:b/>
          <w:color w:val="000000"/>
          <w:sz w:val="22"/>
          <w:szCs w:val="24"/>
        </w:rPr>
      </w:pPr>
    </w:p>
    <w:p w14:paraId="6FCD4FEC" w14:textId="77777777" w:rsidR="00694C6A" w:rsidRPr="00AD43B8" w:rsidRDefault="00AD43B8">
      <w:pPr>
        <w:numPr>
          <w:ilvl w:val="0"/>
          <w:numId w:val="4"/>
        </w:numPr>
        <w:pBdr>
          <w:top w:val="nil"/>
          <w:left w:val="nil"/>
          <w:bottom w:val="nil"/>
          <w:right w:val="nil"/>
          <w:between w:val="nil"/>
        </w:pBdr>
        <w:spacing w:line="360" w:lineRule="auto"/>
        <w:ind w:left="426"/>
        <w:jc w:val="both"/>
        <w:rPr>
          <w:rFonts w:ascii="Palatino Linotype" w:eastAsia="Palatino Linotype" w:hAnsi="Palatino Linotype" w:cs="Palatino Linotype"/>
          <w:b/>
          <w:color w:val="000000"/>
          <w:sz w:val="22"/>
          <w:szCs w:val="24"/>
        </w:rPr>
      </w:pPr>
      <w:r w:rsidRPr="00AD43B8">
        <w:rPr>
          <w:rFonts w:ascii="Palatino Linotype" w:eastAsia="Palatino Linotype" w:hAnsi="Palatino Linotype" w:cs="Palatino Linotype"/>
          <w:b/>
          <w:color w:val="000000"/>
          <w:sz w:val="22"/>
          <w:szCs w:val="24"/>
        </w:rPr>
        <w:t xml:space="preserve">SPH OIC 963.pdf: </w:t>
      </w:r>
      <w:r w:rsidRPr="00AD43B8">
        <w:rPr>
          <w:rFonts w:ascii="Palatino Linotype" w:eastAsia="Palatino Linotype" w:hAnsi="Palatino Linotype" w:cs="Palatino Linotype"/>
          <w:color w:val="000000"/>
          <w:sz w:val="22"/>
          <w:szCs w:val="24"/>
        </w:rPr>
        <w:t>Documento signado por el Titular del Órgano Interno de Control en el que indica que adjunta las respuestas a la solicitud por parte del área de quejas.</w:t>
      </w:r>
    </w:p>
    <w:p w14:paraId="6FCD4FED" w14:textId="77777777" w:rsidR="00694C6A" w:rsidRPr="00AD43B8" w:rsidRDefault="00694C6A">
      <w:pPr>
        <w:pBdr>
          <w:top w:val="nil"/>
          <w:left w:val="nil"/>
          <w:bottom w:val="nil"/>
          <w:right w:val="nil"/>
          <w:between w:val="nil"/>
        </w:pBdr>
        <w:spacing w:line="360" w:lineRule="auto"/>
        <w:ind w:left="426"/>
        <w:jc w:val="both"/>
        <w:rPr>
          <w:rFonts w:ascii="Palatino Linotype" w:eastAsia="Palatino Linotype" w:hAnsi="Palatino Linotype" w:cs="Palatino Linotype"/>
          <w:b/>
          <w:color w:val="000000"/>
          <w:sz w:val="24"/>
          <w:szCs w:val="24"/>
        </w:rPr>
      </w:pPr>
    </w:p>
    <w:p w14:paraId="6FCD4FEE"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bookmarkStart w:id="1" w:name="_heading=h.30j0zll" w:colFirst="0" w:colLast="0"/>
      <w:bookmarkEnd w:id="1"/>
      <w:r w:rsidRPr="00AD43B8">
        <w:rPr>
          <w:rFonts w:ascii="Palatino Linotype" w:eastAsia="Palatino Linotype" w:hAnsi="Palatino Linotype" w:cs="Palatino Linotype"/>
          <w:color w:val="000000"/>
          <w:sz w:val="24"/>
          <w:szCs w:val="24"/>
        </w:rPr>
        <w:t xml:space="preserve">El quince (15) de octubre de dos mil veintitrés, </w:t>
      </w:r>
      <w:r w:rsidRPr="00AD43B8">
        <w:rPr>
          <w:rFonts w:ascii="Palatino Linotype" w:eastAsia="Palatino Linotype" w:hAnsi="Palatino Linotype" w:cs="Palatino Linotype"/>
          <w:b/>
          <w:color w:val="000000"/>
          <w:sz w:val="24"/>
          <w:szCs w:val="24"/>
        </w:rPr>
        <w:t>EL RECURRENTE</w:t>
      </w:r>
      <w:r w:rsidRPr="00AD43B8">
        <w:rPr>
          <w:rFonts w:ascii="Palatino Linotype" w:eastAsia="Palatino Linotype" w:hAnsi="Palatino Linotype" w:cs="Palatino Linotype"/>
          <w:color w:val="000000"/>
          <w:sz w:val="24"/>
          <w:szCs w:val="24"/>
        </w:rPr>
        <w:t xml:space="preserve"> interpuso el recurso de revisión, en contra de la respuesta y señaló como:</w:t>
      </w:r>
    </w:p>
    <w:p w14:paraId="6FCD4FEF" w14:textId="77777777" w:rsidR="00694C6A" w:rsidRPr="00AD43B8" w:rsidRDefault="00AD43B8" w:rsidP="00AD43B8">
      <w:pPr>
        <w:pStyle w:val="Prrafodelista"/>
        <w:numPr>
          <w:ilvl w:val="0"/>
          <w:numId w:val="14"/>
        </w:numPr>
        <w:pBdr>
          <w:top w:val="nil"/>
          <w:left w:val="nil"/>
          <w:bottom w:val="nil"/>
          <w:right w:val="nil"/>
          <w:between w:val="nil"/>
        </w:pBdr>
        <w:spacing w:line="360" w:lineRule="auto"/>
        <w:ind w:left="993" w:right="680"/>
        <w:jc w:val="both"/>
        <w:rPr>
          <w:rFonts w:ascii="Palatino Linotype" w:eastAsia="Palatino Linotype" w:hAnsi="Palatino Linotype" w:cs="Palatino Linotype"/>
          <w:i/>
          <w:color w:val="000000"/>
        </w:rPr>
      </w:pPr>
      <w:r w:rsidRPr="00AD43B8">
        <w:rPr>
          <w:rFonts w:ascii="Palatino Linotype" w:eastAsia="Palatino Linotype" w:hAnsi="Palatino Linotype" w:cs="Palatino Linotype"/>
          <w:b/>
          <w:color w:val="000000"/>
        </w:rPr>
        <w:t xml:space="preserve">Acto impugnado: </w:t>
      </w:r>
      <w:r w:rsidRPr="00AD43B8">
        <w:rPr>
          <w:rFonts w:ascii="Palatino Linotype" w:eastAsia="Palatino Linotype" w:hAnsi="Palatino Linotype" w:cs="Palatino Linotype"/>
          <w:i/>
          <w:color w:val="000000"/>
        </w:rPr>
        <w:t>“INFORMACIÓN INCOMPLETA ENTREGADA DE FORMA SELECTIVA” (sic)</w:t>
      </w:r>
    </w:p>
    <w:p w14:paraId="6FCD4FF0" w14:textId="77777777" w:rsidR="00694C6A" w:rsidRPr="00AD43B8" w:rsidRDefault="00AD43B8" w:rsidP="00AD43B8">
      <w:pPr>
        <w:pStyle w:val="Prrafodelista"/>
        <w:numPr>
          <w:ilvl w:val="0"/>
          <w:numId w:val="14"/>
        </w:numPr>
        <w:pBdr>
          <w:top w:val="nil"/>
          <w:left w:val="nil"/>
          <w:bottom w:val="nil"/>
          <w:right w:val="nil"/>
          <w:between w:val="nil"/>
        </w:pBdr>
        <w:spacing w:line="360" w:lineRule="auto"/>
        <w:ind w:left="993" w:right="680"/>
        <w:jc w:val="both"/>
        <w:rPr>
          <w:rFonts w:ascii="Palatino Linotype" w:eastAsia="Palatino Linotype" w:hAnsi="Palatino Linotype" w:cs="Palatino Linotype"/>
          <w:i/>
          <w:color w:val="000000"/>
        </w:rPr>
      </w:pPr>
      <w:r w:rsidRPr="00AD43B8">
        <w:rPr>
          <w:rFonts w:ascii="Palatino Linotype" w:eastAsia="Palatino Linotype" w:hAnsi="Palatino Linotype" w:cs="Palatino Linotype"/>
          <w:b/>
          <w:color w:val="000000"/>
        </w:rPr>
        <w:t>Motivos o razones de inconformidad: “</w:t>
      </w:r>
      <w:r w:rsidRPr="00AD43B8">
        <w:rPr>
          <w:rFonts w:ascii="Palatino Linotype" w:eastAsia="Palatino Linotype" w:hAnsi="Palatino Linotype" w:cs="Palatino Linotype"/>
          <w:color w:val="000000"/>
        </w:rPr>
        <w:t xml:space="preserve">Se solicitó los expedientes (TODOS) de los trabajos de reparación y mantenimiento realizados en el EPO 209, (CADA EXPEDIENTE CONSTA DESDE LA SOLICITUD Y AVISO A LA DIRECCIÓN DE MEDIA SUPERIOR, JUSTIFICACIÓN, LA SOLICITUD A DIRECCIÓN DE INGRESOS, EN SU CASO LA SOLICITUD DE AUTORIZACIÓN A IMIFE, EVIDENCIA FOTOGRÁFICA DEL ANTES, LA PRESENTACIÓN DE MÍNIMO 3 PRESUPUESTOS, CÉDULA DE CONSTANCIA DE REGISTRO DE CONTRATISTA O PROVEEDOR SEGÚN SEA EL CASO, DE GOBIERNO DEL ESTADO DE MÉXICO, ASIMISMO AL JUSTIFICAR LA EJECUCIÓN DEL GASTO ENTREGAN EL ARCHIVO FOTOGRÁFICO DE COMO QUEDARON LOS TRABAJOS ASÍ COMO LA PRUEBA DE LOS MATERIALES O PIEZAS SUSTITUIDOS, ACTA ENTREGA RECEPCIÓN Y GARANTÍAS O FIANZAS EN SU CASO, ENTREGANDO TAMBIÉN A IMIFE LO CORRESPONDIENTE desde Septiembre del 2021 a la fecha , así como el historial de registro de los mismos en la plataforma (SIASE)o sistema designado para ello, (LA PLATAFORMA TIENE </w:t>
      </w:r>
      <w:r w:rsidRPr="00AD43B8">
        <w:rPr>
          <w:rFonts w:ascii="Palatino Linotype" w:eastAsia="Palatino Linotype" w:hAnsi="Palatino Linotype" w:cs="Palatino Linotype"/>
          <w:color w:val="000000"/>
        </w:rPr>
        <w:lastRenderedPageBreak/>
        <w:t>UN REGISTRO DE TODOS,SOLO SELECCIONARON UNOS EN PARTICULAR, EL INTERES PUNTUAL ES VERIFICAR LAS FECHAS DE INGRESO DE TODOS Y CADA UNO DE ELLOS, LA FECHA DE RESPUESTA Y SENTIDO DE LA MISMA Y LAS FECHAS DE AUTORIZACIÓN) incluyendo la evidencia de rechazo y autorizaciones para ejercer el gasto emitido por Dirección General de Supervisión de Ingresos y Egresos de Instituciones Educativas,</w:t>
      </w:r>
      <w:r w:rsidRPr="00AD43B8">
        <w:rPr>
          <w:rFonts w:ascii="Palatino Linotype" w:eastAsia="Palatino Linotype" w:hAnsi="Palatino Linotype" w:cs="Palatino Linotype"/>
          <w:b/>
          <w:color w:val="000000"/>
        </w:rPr>
        <w:t>”</w:t>
      </w:r>
      <w:r w:rsidRPr="00AD43B8">
        <w:rPr>
          <w:rFonts w:ascii="Palatino Linotype" w:eastAsia="Palatino Linotype" w:hAnsi="Palatino Linotype" w:cs="Palatino Linotype"/>
          <w:i/>
          <w:color w:val="000000"/>
        </w:rPr>
        <w:t xml:space="preserve"> (sic)</w:t>
      </w:r>
    </w:p>
    <w:p w14:paraId="6FCD4FF1" w14:textId="77777777" w:rsidR="00694C6A" w:rsidRPr="00AD43B8" w:rsidRDefault="00694C6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4"/>
          <w:szCs w:val="24"/>
        </w:rPr>
      </w:pPr>
    </w:p>
    <w:p w14:paraId="6FCD4FF2"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w:t>
      </w:r>
      <w:r w:rsidRPr="00AD43B8">
        <w:rPr>
          <w:rFonts w:ascii="Palatino Linotype" w:eastAsia="Palatino Linotype" w:hAnsi="Palatino Linotype" w:cs="Palatino Linotype"/>
          <w:color w:val="000000"/>
          <w:sz w:val="24"/>
          <w:szCs w:val="24"/>
        </w:rPr>
        <w:t xml:space="preserve"> Recurrente adjuntó los documentos electrónicos denominados </w:t>
      </w:r>
      <w:r w:rsidRPr="00AD43B8">
        <w:rPr>
          <w:rFonts w:ascii="Palatino Linotype" w:eastAsia="Palatino Linotype" w:hAnsi="Palatino Linotype" w:cs="Palatino Linotype"/>
          <w:b/>
          <w:color w:val="000000"/>
          <w:sz w:val="24"/>
          <w:szCs w:val="24"/>
        </w:rPr>
        <w:t>SPH_963 DEPTO.INGRESOS Y EGRESOS.pdf; Respuesta_UT_963.pdf; Anexos DEPTO.INGRESOS Y EGRESOS.pdf,</w:t>
      </w:r>
      <w:r w:rsidRPr="00AD43B8">
        <w:rPr>
          <w:rFonts w:ascii="Palatino Linotype" w:eastAsia="Palatino Linotype" w:hAnsi="Palatino Linotype" w:cs="Palatino Linotype"/>
          <w:color w:val="000000"/>
          <w:sz w:val="24"/>
          <w:szCs w:val="24"/>
        </w:rPr>
        <w:t xml:space="preserve"> los cuales corresponden a documento </w:t>
      </w:r>
      <w:r w:rsidRPr="00AD43B8">
        <w:rPr>
          <w:rFonts w:ascii="Palatino Linotype" w:eastAsia="Palatino Linotype" w:hAnsi="Palatino Linotype" w:cs="Palatino Linotype"/>
          <w:sz w:val="24"/>
          <w:szCs w:val="24"/>
        </w:rPr>
        <w:t>enviados</w:t>
      </w:r>
      <w:r w:rsidRPr="00AD43B8">
        <w:rPr>
          <w:rFonts w:ascii="Palatino Linotype" w:eastAsia="Palatino Linotype" w:hAnsi="Palatino Linotype" w:cs="Palatino Linotype"/>
          <w:color w:val="000000"/>
          <w:sz w:val="24"/>
          <w:szCs w:val="24"/>
        </w:rPr>
        <w:t xml:space="preserve"> en respuesta por el Sujeto Obligado, razón por la que se omite su contenido a efecto de repeticiones innecesarias. </w:t>
      </w:r>
    </w:p>
    <w:p w14:paraId="6FCD4FF3"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4FF4"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Se registró el recurso revisión bajo el número de expediente al rubro indicado, asimismo con fundamento en lo dispuesto por el artículo 185 fracción I de la </w:t>
      </w:r>
      <w:r w:rsidRPr="00AD43B8">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sidRPr="00AD43B8">
        <w:rPr>
          <w:rFonts w:ascii="Palatino Linotype" w:eastAsia="Palatino Linotype" w:hAnsi="Palatino Linotype" w:cs="Palatino Linotype"/>
          <w:color w:val="000000"/>
          <w:sz w:val="24"/>
          <w:szCs w:val="24"/>
        </w:rPr>
        <w:t xml:space="preserve">se turnó a la </w:t>
      </w:r>
      <w:r w:rsidRPr="00AD43B8">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color w:val="000000"/>
          <w:sz w:val="24"/>
          <w:szCs w:val="24"/>
        </w:rPr>
        <w:t>para</w:t>
      </w:r>
      <w:r w:rsidRPr="00AD43B8">
        <w:rPr>
          <w:rFonts w:ascii="Palatino Linotype" w:eastAsia="Palatino Linotype" w:hAnsi="Palatino Linotype" w:cs="Palatino Linotype"/>
          <w:color w:val="000000"/>
          <w:sz w:val="24"/>
          <w:szCs w:val="24"/>
        </w:rPr>
        <w:t xml:space="preserve"> su análisis.</w:t>
      </w:r>
    </w:p>
    <w:p w14:paraId="6FCD4FF5"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4FF6"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r w:rsidRPr="00AD43B8">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diecisiete (17) de octubre de dos mil veintitrés, puso a disposición de las partes el expediente electrónico vía </w:t>
      </w:r>
      <w:r w:rsidRPr="00AD43B8">
        <w:rPr>
          <w:rFonts w:ascii="Palatino Linotype" w:eastAsia="Palatino Linotype" w:hAnsi="Palatino Linotype" w:cs="Palatino Linotype"/>
          <w:b/>
          <w:color w:val="000000"/>
          <w:sz w:val="24"/>
          <w:szCs w:val="24"/>
        </w:rPr>
        <w:t xml:space="preserve">SAIMEX </w:t>
      </w:r>
      <w:r w:rsidRPr="00AD43B8">
        <w:rPr>
          <w:rFonts w:ascii="Palatino Linotype" w:eastAsia="Palatino Linotype" w:hAnsi="Palatino Linotype" w:cs="Palatino Linotype"/>
          <w:color w:val="000000"/>
          <w:sz w:val="24"/>
          <w:szCs w:val="24"/>
        </w:rPr>
        <w:t xml:space="preserve">a efecto de que en un plazo máximo de siete días manifestaran lo que a derecho convinieran, </w:t>
      </w:r>
      <w:r w:rsidRPr="00AD43B8">
        <w:rPr>
          <w:rFonts w:ascii="Palatino Linotype" w:eastAsia="Palatino Linotype" w:hAnsi="Palatino Linotype" w:cs="Palatino Linotype"/>
          <w:color w:val="000000"/>
          <w:sz w:val="24"/>
          <w:szCs w:val="24"/>
        </w:rPr>
        <w:lastRenderedPageBreak/>
        <w:t xml:space="preserve">ofrecieran pruebas y alegatos según corresponda al caso concreto, de esta forma para que el </w:t>
      </w:r>
      <w:r w:rsidRPr="00AD43B8">
        <w:rPr>
          <w:rFonts w:ascii="Palatino Linotype" w:eastAsia="Palatino Linotype" w:hAnsi="Palatino Linotype" w:cs="Palatino Linotype"/>
          <w:b/>
          <w:color w:val="000000"/>
          <w:sz w:val="24"/>
          <w:szCs w:val="24"/>
        </w:rPr>
        <w:t>SUJETO OBLIGADO</w:t>
      </w:r>
      <w:r w:rsidRPr="00AD43B8">
        <w:rPr>
          <w:rFonts w:ascii="Palatino Linotype" w:eastAsia="Palatino Linotype" w:hAnsi="Palatino Linotype" w:cs="Palatino Linotype"/>
          <w:color w:val="000000"/>
          <w:sz w:val="24"/>
          <w:szCs w:val="24"/>
        </w:rPr>
        <w:t xml:space="preserve"> presentara el informe justificado procedente.</w:t>
      </w:r>
    </w:p>
    <w:p w14:paraId="6FCD4FF7"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i/>
          <w:color w:val="000000"/>
          <w:sz w:val="24"/>
          <w:szCs w:val="24"/>
        </w:rPr>
      </w:pPr>
    </w:p>
    <w:p w14:paraId="6FCD4FF8" w14:textId="77777777" w:rsidR="00694C6A" w:rsidRPr="00AD43B8" w:rsidRDefault="00AD43B8">
      <w:pPr>
        <w:numPr>
          <w:ilvl w:val="0"/>
          <w:numId w:val="10"/>
        </w:numPr>
        <w:tabs>
          <w:tab w:val="left" w:pos="284"/>
        </w:tabs>
        <w:spacing w:before="240" w:after="240" w:line="360" w:lineRule="auto"/>
        <w:ind w:left="0" w:firstLine="0"/>
        <w:jc w:val="both"/>
        <w:rPr>
          <w:rFonts w:ascii="Palatino Linotype" w:eastAsia="Palatino Linotype" w:hAnsi="Palatino Linotype" w:cs="Palatino Linotype"/>
          <w:i/>
          <w:color w:val="000000"/>
          <w:sz w:val="24"/>
          <w:szCs w:val="24"/>
        </w:rPr>
      </w:pPr>
      <w:r w:rsidRPr="00AD43B8">
        <w:rPr>
          <w:rFonts w:ascii="Palatino Linotype" w:eastAsia="Palatino Linotype" w:hAnsi="Palatino Linotype" w:cs="Palatino Linotype"/>
          <w:color w:val="000000"/>
          <w:sz w:val="24"/>
          <w:szCs w:val="24"/>
        </w:rPr>
        <w:t xml:space="preserve">El </w:t>
      </w:r>
      <w:r w:rsidRPr="00AD43B8">
        <w:rPr>
          <w:rFonts w:ascii="Palatino Linotype" w:eastAsia="Palatino Linotype" w:hAnsi="Palatino Linotype" w:cs="Palatino Linotype"/>
          <w:b/>
          <w:color w:val="000000"/>
          <w:sz w:val="24"/>
          <w:szCs w:val="24"/>
        </w:rPr>
        <w:t xml:space="preserve">SUJETO OBLIGADO </w:t>
      </w:r>
      <w:r w:rsidRPr="00AD43B8">
        <w:rPr>
          <w:rFonts w:ascii="Palatino Linotype" w:eastAsia="Palatino Linotype" w:hAnsi="Palatino Linotype" w:cs="Palatino Linotype"/>
          <w:color w:val="000000"/>
          <w:sz w:val="24"/>
          <w:szCs w:val="24"/>
        </w:rPr>
        <w:t>el veintiséis (26) de octubre de dos mil veintitrés, el cual se puso a la vista del Recurrente el catorce (14) de agosto de dos mil veinticuatro; sin embargo, se describe su contenido medular, siendo el siguiente:</w:t>
      </w:r>
    </w:p>
    <w:p w14:paraId="6FCD4FF9" w14:textId="77777777" w:rsidR="00694C6A" w:rsidRPr="00AD43B8" w:rsidRDefault="00AD43B8">
      <w:pPr>
        <w:numPr>
          <w:ilvl w:val="0"/>
          <w:numId w:val="9"/>
        </w:numPr>
        <w:pBdr>
          <w:top w:val="nil"/>
          <w:left w:val="nil"/>
          <w:bottom w:val="nil"/>
          <w:right w:val="nil"/>
          <w:between w:val="nil"/>
        </w:pBdr>
        <w:tabs>
          <w:tab w:val="left" w:pos="284"/>
        </w:tabs>
        <w:spacing w:before="240" w:line="360" w:lineRule="auto"/>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 xml:space="preserve">Informe justificado 963.pdf: </w:t>
      </w:r>
      <w:r w:rsidRPr="00AD43B8">
        <w:rPr>
          <w:rFonts w:ascii="Palatino Linotype" w:eastAsia="Palatino Linotype" w:hAnsi="Palatino Linotype" w:cs="Palatino Linotype"/>
          <w:color w:val="000000"/>
          <w:sz w:val="22"/>
          <w:szCs w:val="24"/>
        </w:rPr>
        <w:t>Documento signado por el Titular de la Unidad de Transparencia mediante el cual ratifica su respuesta, argumentando que entregó la información requerida y que obra en sus archivos.</w:t>
      </w:r>
    </w:p>
    <w:p w14:paraId="6FCD4FFA" w14:textId="77777777" w:rsidR="00694C6A" w:rsidRPr="00AD43B8" w:rsidRDefault="00AD43B8">
      <w:pPr>
        <w:numPr>
          <w:ilvl w:val="0"/>
          <w:numId w:val="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 xml:space="preserve">Anexos </w:t>
      </w:r>
      <w:proofErr w:type="gramStart"/>
      <w:r w:rsidRPr="00AD43B8">
        <w:rPr>
          <w:rFonts w:ascii="Palatino Linotype" w:eastAsia="Palatino Linotype" w:hAnsi="Palatino Linotype" w:cs="Palatino Linotype"/>
          <w:b/>
          <w:i/>
          <w:color w:val="000000"/>
          <w:sz w:val="22"/>
          <w:szCs w:val="24"/>
        </w:rPr>
        <w:t>I,II</w:t>
      </w:r>
      <w:proofErr w:type="gramEnd"/>
      <w:r w:rsidRPr="00AD43B8">
        <w:rPr>
          <w:rFonts w:ascii="Palatino Linotype" w:eastAsia="Palatino Linotype" w:hAnsi="Palatino Linotype" w:cs="Palatino Linotype"/>
          <w:b/>
          <w:i/>
          <w:color w:val="000000"/>
          <w:sz w:val="22"/>
          <w:szCs w:val="24"/>
        </w:rPr>
        <w:t xml:space="preserve">, III DEPTO.INGRESOS Y EGRESOS.pdf: </w:t>
      </w:r>
      <w:r w:rsidRPr="00AD43B8">
        <w:rPr>
          <w:rFonts w:ascii="Palatino Linotype" w:eastAsia="Palatino Linotype" w:hAnsi="Palatino Linotype" w:cs="Palatino Linotype"/>
          <w:color w:val="000000"/>
          <w:sz w:val="22"/>
          <w:szCs w:val="24"/>
        </w:rPr>
        <w:t>Documento signado por el Director General de Supervisión de Ingresos y Egresos de Instituciones Educativas en el que refiere que se autoriza el informe financiero de la Institución Educativa, contiene la autorización de la solicitud del gasto corriente del bimestre mayo junio y una descripción del proyecto de reparación y mantenimiento de inmuebles ingresado por el SIASE por la EPO 209</w:t>
      </w:r>
    </w:p>
    <w:p w14:paraId="6FCD4FFB" w14:textId="77777777" w:rsidR="00694C6A" w:rsidRPr="00AD43B8" w:rsidRDefault="00AD43B8">
      <w:pPr>
        <w:numPr>
          <w:ilvl w:val="0"/>
          <w:numId w:val="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 xml:space="preserve">Anexos IV DEPTO.INGRESOS Y EGRESOS.pdf: </w:t>
      </w:r>
      <w:r w:rsidRPr="00AD43B8">
        <w:rPr>
          <w:rFonts w:ascii="Palatino Linotype" w:eastAsia="Palatino Linotype" w:hAnsi="Palatino Linotype" w:cs="Palatino Linotype"/>
          <w:color w:val="000000"/>
          <w:sz w:val="22"/>
          <w:szCs w:val="24"/>
        </w:rPr>
        <w:t>Documento integrado por 151 páginas y signado por la Encargada de Despacho de la Dirección General de Supervisión de Ingresos y Egresos de Instituciones Educativas mediante el cual indica que se anexa el registro completo de los proyectos de reparación y mantenimiento de inmuebles ejecutados o no que fueron ingresados por la EPO 209 desde febrero de 2019 a la fecha.</w:t>
      </w:r>
    </w:p>
    <w:p w14:paraId="6FCD4FFC" w14:textId="77777777" w:rsidR="00694C6A" w:rsidRPr="00AD43B8" w:rsidRDefault="00AD43B8">
      <w:pPr>
        <w:numPr>
          <w:ilvl w:val="0"/>
          <w:numId w:val="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 xml:space="preserve">SPH_963 DEPTO.INGRESOS Y </w:t>
      </w:r>
      <w:proofErr w:type="gramStart"/>
      <w:r w:rsidRPr="00AD43B8">
        <w:rPr>
          <w:rFonts w:ascii="Palatino Linotype" w:eastAsia="Palatino Linotype" w:hAnsi="Palatino Linotype" w:cs="Palatino Linotype"/>
          <w:b/>
          <w:i/>
          <w:color w:val="000000"/>
          <w:sz w:val="22"/>
          <w:szCs w:val="24"/>
        </w:rPr>
        <w:t>EGRESOS.pdf::</w:t>
      </w:r>
      <w:proofErr w:type="gramEnd"/>
      <w:r w:rsidRPr="00AD43B8">
        <w:rPr>
          <w:rFonts w:ascii="Palatino Linotype" w:eastAsia="Palatino Linotype" w:hAnsi="Palatino Linotype" w:cs="Palatino Linotype"/>
          <w:b/>
          <w:i/>
          <w:color w:val="000000"/>
          <w:sz w:val="22"/>
          <w:szCs w:val="24"/>
        </w:rPr>
        <w:t xml:space="preserve"> </w:t>
      </w:r>
      <w:r w:rsidRPr="00AD43B8">
        <w:rPr>
          <w:rFonts w:ascii="Palatino Linotype" w:eastAsia="Palatino Linotype" w:hAnsi="Palatino Linotype" w:cs="Palatino Linotype"/>
          <w:color w:val="000000"/>
          <w:sz w:val="22"/>
          <w:szCs w:val="24"/>
        </w:rPr>
        <w:t>Documento suscrito por la Encargada de Despacho de la Dirección General de Supervisión de Ingresos y egresos de Instituciones Educativas en el que refiere la respuesta remitida y que fue descrita en los archivos anteriores.</w:t>
      </w:r>
    </w:p>
    <w:p w14:paraId="6FCD4FFD" w14:textId="77777777" w:rsidR="00694C6A" w:rsidRPr="00AD43B8" w:rsidRDefault="00694C6A">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b/>
          <w:i/>
          <w:color w:val="000000"/>
          <w:sz w:val="24"/>
          <w:szCs w:val="24"/>
        </w:rPr>
      </w:pPr>
    </w:p>
    <w:p w14:paraId="6FCD4FFE"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w:t>
      </w:r>
      <w:r w:rsidRPr="00AD43B8">
        <w:rPr>
          <w:rFonts w:ascii="Palatino Linotype" w:eastAsia="Palatino Linotype" w:hAnsi="Palatino Linotype" w:cs="Palatino Linotype"/>
          <w:color w:val="000000"/>
          <w:sz w:val="24"/>
          <w:szCs w:val="24"/>
        </w:rPr>
        <w:t xml:space="preserve"> Recurrente, el veintinueve (29) de enero de dos mil veinticuatro, adjuntó los documentos electrónicos denominados </w:t>
      </w:r>
      <w:r w:rsidRPr="00AD43B8">
        <w:rPr>
          <w:rFonts w:ascii="Palatino Linotype" w:eastAsia="Palatino Linotype" w:hAnsi="Palatino Linotype" w:cs="Palatino Linotype"/>
          <w:b/>
          <w:color w:val="000000"/>
          <w:sz w:val="24"/>
          <w:szCs w:val="24"/>
        </w:rPr>
        <w:t>SPH_963 DEPTO.INGRESOS Y EGRESOS.pdf; Respuesta_UT_963.pdf; SPH OIC,</w:t>
      </w:r>
      <w:r w:rsidRPr="00AD43B8">
        <w:rPr>
          <w:rFonts w:ascii="Palatino Linotype" w:eastAsia="Palatino Linotype" w:hAnsi="Palatino Linotype" w:cs="Palatino Linotype"/>
          <w:color w:val="000000"/>
          <w:sz w:val="24"/>
          <w:szCs w:val="24"/>
        </w:rPr>
        <w:t xml:space="preserve"> los cuales corresponden a documento </w:t>
      </w:r>
      <w:r w:rsidRPr="00AD43B8">
        <w:rPr>
          <w:rFonts w:ascii="Palatino Linotype" w:eastAsia="Palatino Linotype" w:hAnsi="Palatino Linotype" w:cs="Palatino Linotype"/>
          <w:sz w:val="24"/>
          <w:szCs w:val="24"/>
        </w:rPr>
        <w:t>enviados</w:t>
      </w:r>
      <w:r w:rsidRPr="00AD43B8">
        <w:rPr>
          <w:rFonts w:ascii="Palatino Linotype" w:eastAsia="Palatino Linotype" w:hAnsi="Palatino Linotype" w:cs="Palatino Linotype"/>
          <w:color w:val="000000"/>
          <w:sz w:val="24"/>
          <w:szCs w:val="24"/>
        </w:rPr>
        <w:t xml:space="preserve"> en respuesta por el Sujeto Obligado, razón por la que se omite su contenido a efecto de repeticiones innecesarias. </w:t>
      </w:r>
    </w:p>
    <w:p w14:paraId="6FCD4FFF"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00"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El catorce (14) de agosto de dos mil veinticuatro, la Comisionada Ponente notificó el acuerdo de ampliación para emitir resolución.</w:t>
      </w:r>
    </w:p>
    <w:p w14:paraId="6FCD5001"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02"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El veinte (20) de agosto de dos mil veinticuatro se notificó el acuerdo mediante el cual se decretó el cierre de instrucción.</w:t>
      </w:r>
    </w:p>
    <w:p w14:paraId="6FCD5003"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004"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6FCD5005"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06"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AD43B8">
        <w:rPr>
          <w:rFonts w:ascii="Palatino Linotype" w:eastAsia="Palatino Linotype" w:hAnsi="Palatino Linotype" w:cs="Palatino Linotype"/>
          <w:color w:val="000000"/>
          <w:sz w:val="24"/>
          <w:szCs w:val="24"/>
        </w:rPr>
        <w:lastRenderedPageBreak/>
        <w:t>asuntos conforme a los parámetros establecidos por diversos órganos jurisdiccionales federales, aplicables también en procedimientos análogos, como el que nos ocupa.</w:t>
      </w:r>
    </w:p>
    <w:p w14:paraId="6FCD5007"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08"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FCD5009"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00A"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FCD500B"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0C"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FCD500D" w14:textId="77777777" w:rsidR="00694C6A" w:rsidRPr="00AD43B8" w:rsidRDefault="00AD43B8" w:rsidP="00AD43B8">
      <w:pPr>
        <w:pBdr>
          <w:top w:val="nil"/>
          <w:left w:val="nil"/>
          <w:bottom w:val="nil"/>
          <w:right w:val="nil"/>
          <w:between w:val="nil"/>
        </w:pBdr>
        <w:spacing w:line="360" w:lineRule="auto"/>
        <w:ind w:left="284" w:right="822"/>
        <w:jc w:val="both"/>
        <w:rPr>
          <w:rFonts w:ascii="Palatino Linotype" w:eastAsia="Palatino Linotype" w:hAnsi="Palatino Linotype" w:cs="Palatino Linotype"/>
          <w:color w:val="000000"/>
          <w:sz w:val="22"/>
          <w:szCs w:val="24"/>
        </w:rPr>
      </w:pPr>
      <w:r>
        <w:rPr>
          <w:rFonts w:ascii="Palatino Linotype" w:eastAsia="Palatino Linotype" w:hAnsi="Palatino Linotype" w:cs="Palatino Linotype"/>
          <w:color w:val="000000"/>
          <w:sz w:val="22"/>
          <w:szCs w:val="24"/>
        </w:rPr>
        <w:t xml:space="preserve">a) </w:t>
      </w:r>
      <w:r w:rsidRPr="00AD43B8">
        <w:rPr>
          <w:rFonts w:ascii="Palatino Linotype" w:eastAsia="Palatino Linotype" w:hAnsi="Palatino Linotype" w:cs="Palatino Linotype"/>
          <w:color w:val="000000"/>
          <w:sz w:val="22"/>
          <w:szCs w:val="24"/>
        </w:rPr>
        <w:t>Complejidad del asunto: La complejidad de la prueba, la pluralidad de sujetos procesales, el tiempo transcurrido, las características y contexto del recurso.</w:t>
      </w:r>
    </w:p>
    <w:p w14:paraId="6FCD500E" w14:textId="77777777" w:rsidR="00694C6A" w:rsidRPr="00AD43B8" w:rsidRDefault="00AD43B8" w:rsidP="00AD43B8">
      <w:pPr>
        <w:pBdr>
          <w:top w:val="nil"/>
          <w:left w:val="nil"/>
          <w:bottom w:val="nil"/>
          <w:right w:val="nil"/>
          <w:between w:val="nil"/>
        </w:pBdr>
        <w:spacing w:line="360" w:lineRule="auto"/>
        <w:ind w:left="284" w:right="822"/>
        <w:jc w:val="both"/>
        <w:rPr>
          <w:rFonts w:ascii="Palatino Linotype" w:eastAsia="Palatino Linotype" w:hAnsi="Palatino Linotype" w:cs="Palatino Linotype"/>
          <w:color w:val="000000"/>
          <w:sz w:val="22"/>
          <w:szCs w:val="24"/>
        </w:rPr>
      </w:pPr>
      <w:r>
        <w:rPr>
          <w:rFonts w:ascii="Palatino Linotype" w:eastAsia="Palatino Linotype" w:hAnsi="Palatino Linotype" w:cs="Palatino Linotype"/>
          <w:color w:val="000000"/>
          <w:sz w:val="22"/>
          <w:szCs w:val="24"/>
        </w:rPr>
        <w:t xml:space="preserve">b)   </w:t>
      </w:r>
      <w:r w:rsidRPr="00AD43B8">
        <w:rPr>
          <w:rFonts w:ascii="Palatino Linotype" w:eastAsia="Palatino Linotype" w:hAnsi="Palatino Linotype" w:cs="Palatino Linotype"/>
          <w:color w:val="000000"/>
          <w:sz w:val="22"/>
          <w:szCs w:val="24"/>
        </w:rPr>
        <w:t>Actividad Procesal del interesado: Acciones u omisiones del interesado.</w:t>
      </w:r>
    </w:p>
    <w:p w14:paraId="6FCD500F" w14:textId="77777777" w:rsidR="00694C6A" w:rsidRPr="00AD43B8" w:rsidRDefault="00AD43B8" w:rsidP="00AD43B8">
      <w:pPr>
        <w:pBdr>
          <w:top w:val="nil"/>
          <w:left w:val="nil"/>
          <w:bottom w:val="nil"/>
          <w:right w:val="nil"/>
          <w:between w:val="nil"/>
        </w:pBdr>
        <w:spacing w:line="360" w:lineRule="auto"/>
        <w:ind w:left="284" w:right="822"/>
        <w:jc w:val="both"/>
        <w:rPr>
          <w:rFonts w:ascii="Palatino Linotype" w:eastAsia="Palatino Linotype" w:hAnsi="Palatino Linotype" w:cs="Palatino Linotype"/>
          <w:color w:val="000000"/>
          <w:sz w:val="22"/>
          <w:szCs w:val="24"/>
        </w:rPr>
      </w:pPr>
      <w:r>
        <w:rPr>
          <w:rFonts w:ascii="Palatino Linotype" w:eastAsia="Palatino Linotype" w:hAnsi="Palatino Linotype" w:cs="Palatino Linotype"/>
          <w:color w:val="000000"/>
          <w:sz w:val="22"/>
          <w:szCs w:val="24"/>
        </w:rPr>
        <w:t xml:space="preserve">c)   </w:t>
      </w:r>
      <w:r w:rsidRPr="00AD43B8">
        <w:rPr>
          <w:rFonts w:ascii="Palatino Linotype" w:eastAsia="Palatino Linotype" w:hAnsi="Palatino Linotype" w:cs="Palatino Linotype"/>
          <w:color w:val="000000"/>
          <w:sz w:val="22"/>
          <w:szCs w:val="24"/>
        </w:rPr>
        <w:t>Conducta de la Autoridad: Las Acciones u omisiones realizadas en el procedimiento. Así como si la autoridad actuó con la debida diligencia.</w:t>
      </w:r>
    </w:p>
    <w:p w14:paraId="6FCD5010" w14:textId="77777777" w:rsidR="00694C6A" w:rsidRPr="00AD43B8" w:rsidRDefault="00AD43B8" w:rsidP="00AD43B8">
      <w:pPr>
        <w:pBdr>
          <w:top w:val="nil"/>
          <w:left w:val="nil"/>
          <w:bottom w:val="nil"/>
          <w:right w:val="nil"/>
          <w:between w:val="nil"/>
        </w:pBdr>
        <w:spacing w:line="360" w:lineRule="auto"/>
        <w:ind w:left="284" w:right="822"/>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d) La afectación generada en la situación jurídica de la persona involucrada en el proceso: Violación a sus derechos humanos.</w:t>
      </w:r>
    </w:p>
    <w:p w14:paraId="6FCD5011"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12"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FCD5013"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14"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Argumento que encuentra sustento en la jurisprudencia P./J. 32/92 emitida por el Pleno de la Suprema Corte de Justicia de la Nación de</w:t>
      </w:r>
      <w:r w:rsidR="00FE3DB1">
        <w:rPr>
          <w:rFonts w:ascii="Palatino Linotype" w:eastAsia="Palatino Linotype" w:hAnsi="Palatino Linotype" w:cs="Palatino Linotype"/>
          <w:color w:val="000000"/>
          <w:sz w:val="24"/>
          <w:szCs w:val="24"/>
        </w:rPr>
        <w:t>l</w:t>
      </w:r>
      <w:r w:rsidRPr="00AD43B8">
        <w:rPr>
          <w:rFonts w:ascii="Palatino Linotype" w:eastAsia="Palatino Linotype" w:hAnsi="Palatino Linotype" w:cs="Palatino Linotype"/>
          <w:color w:val="000000"/>
          <w:sz w:val="24"/>
          <w:szCs w:val="24"/>
        </w:rPr>
        <w:t xml:space="preserve"> rubro “TÉRMINOS PROCESALES. PARA DETERMINAR SI UN FUNCIONARIO JUDICIAL ACTUÓ INDEBIDAMENTE POR NO RESPETARLOS SE DEBE ATENDER AL PRESUPUESTO QUE CONSIDERÓ EL LEGISLADOR AL FIJARLOS Y LAS CARACTERÍSTICAS DEL CASO.</w:t>
      </w:r>
      <w:r w:rsidR="00FE3DB1">
        <w:rPr>
          <w:rFonts w:ascii="Palatino Linotype" w:eastAsia="Palatino Linotype" w:hAnsi="Palatino Linotype" w:cs="Palatino Linotype"/>
          <w:color w:val="000000"/>
          <w:sz w:val="24"/>
          <w:szCs w:val="24"/>
        </w:rPr>
        <w:t>”, visible en la Gaceta del Sema</w:t>
      </w:r>
      <w:r w:rsidRPr="00AD43B8">
        <w:rPr>
          <w:rFonts w:ascii="Palatino Linotype" w:eastAsia="Palatino Linotype" w:hAnsi="Palatino Linotype" w:cs="Palatino Linotype"/>
          <w:color w:val="000000"/>
          <w:sz w:val="24"/>
          <w:szCs w:val="24"/>
        </w:rPr>
        <w:t>nario Judicial de la Federación con el registro digital 205635.</w:t>
      </w:r>
    </w:p>
    <w:p w14:paraId="6FCD5015"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016"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FCD5017"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18"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lastRenderedPageBreak/>
        <w:t>Al respecto, también son de considerar los criterios sostenidos por el Cuarto Tribunal Colegiado en Materia Administrativa del Primer Circuito, cuyos rubros y datos de identificación son los siguientes:</w:t>
      </w:r>
    </w:p>
    <w:p w14:paraId="6FCD5019" w14:textId="77777777" w:rsidR="00694C6A" w:rsidRPr="00AD43B8" w:rsidRDefault="00AD43B8" w:rsidP="00AD43B8">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“PLAZO RAZONABLE PARA RESOLVER. DIMENSIÓN Y EFECTOS DE ESTE CONCEPTO CUANDO SE ADUCE EXCESIVA CARGA DE TRABAJO.” consultable en el Sem</w:t>
      </w:r>
      <w:r w:rsidR="00FE3DB1">
        <w:rPr>
          <w:rFonts w:ascii="Palatino Linotype" w:eastAsia="Palatino Linotype" w:hAnsi="Palatino Linotype" w:cs="Palatino Linotype"/>
          <w:color w:val="000000"/>
          <w:sz w:val="22"/>
          <w:szCs w:val="24"/>
        </w:rPr>
        <w:t>a</w:t>
      </w:r>
      <w:r w:rsidRPr="00AD43B8">
        <w:rPr>
          <w:rFonts w:ascii="Palatino Linotype" w:eastAsia="Palatino Linotype" w:hAnsi="Palatino Linotype" w:cs="Palatino Linotype"/>
          <w:color w:val="000000"/>
          <w:sz w:val="22"/>
          <w:szCs w:val="24"/>
        </w:rPr>
        <w:t>nario Judicial de la Federación y su gaceta, con el registro digital 2002351.</w:t>
      </w:r>
    </w:p>
    <w:p w14:paraId="6FCD501A" w14:textId="77777777" w:rsidR="00694C6A" w:rsidRPr="00AD43B8" w:rsidRDefault="00AD43B8" w:rsidP="00AD43B8">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“PLAZO RAZONABLE PARA RESOLVER. CONCEPTO Y ELEMENTOS QUE LO INTEGRAN A LA LUZ DEL DERECHO INTERNACIONAL DE LOS DERECHOS HUMANOS.”, visible en el Sem</w:t>
      </w:r>
      <w:r w:rsidR="00FE3DB1">
        <w:rPr>
          <w:rFonts w:ascii="Palatino Linotype" w:eastAsia="Palatino Linotype" w:hAnsi="Palatino Linotype" w:cs="Palatino Linotype"/>
          <w:color w:val="000000"/>
          <w:sz w:val="22"/>
          <w:szCs w:val="24"/>
        </w:rPr>
        <w:t>a</w:t>
      </w:r>
      <w:r w:rsidRPr="00AD43B8">
        <w:rPr>
          <w:rFonts w:ascii="Palatino Linotype" w:eastAsia="Palatino Linotype" w:hAnsi="Palatino Linotype" w:cs="Palatino Linotype"/>
          <w:color w:val="000000"/>
          <w:sz w:val="22"/>
          <w:szCs w:val="24"/>
        </w:rPr>
        <w:t>nario Judicial de la Federación y su gaceta, con el registro digital 2002350.</w:t>
      </w:r>
    </w:p>
    <w:p w14:paraId="6FCD501B" w14:textId="77777777" w:rsidR="00694C6A" w:rsidRPr="00AD43B8" w:rsidRDefault="00694C6A">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4"/>
          <w:szCs w:val="24"/>
        </w:rPr>
      </w:pPr>
    </w:p>
    <w:p w14:paraId="6FCD501C" w14:textId="77777777" w:rsidR="00694C6A"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6FCD501D" w14:textId="77777777" w:rsidR="00AD43B8" w:rsidRDefault="00AD43B8" w:rsidP="00AD43B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1E" w14:textId="77777777" w:rsidR="00AD43B8" w:rsidRDefault="00AD43B8" w:rsidP="00AD43B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1F" w14:textId="77777777" w:rsidR="00AD43B8" w:rsidRPr="00AD43B8" w:rsidRDefault="00AD43B8" w:rsidP="00AD43B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20" w14:textId="77777777" w:rsidR="00694C6A" w:rsidRPr="00AD43B8" w:rsidRDefault="00AD43B8">
      <w:pPr>
        <w:pStyle w:val="Ttulo1"/>
        <w:jc w:val="center"/>
        <w:rPr>
          <w:rFonts w:ascii="Palatino Linotype" w:eastAsia="Palatino Linotype" w:hAnsi="Palatino Linotype" w:cs="Palatino Linotype"/>
          <w:b/>
          <w:color w:val="000000"/>
          <w:sz w:val="24"/>
          <w:szCs w:val="24"/>
        </w:rPr>
      </w:pPr>
      <w:bookmarkStart w:id="2" w:name="_heading=h.1fob9te" w:colFirst="0" w:colLast="0"/>
      <w:bookmarkEnd w:id="2"/>
      <w:r w:rsidRPr="00AD43B8">
        <w:rPr>
          <w:rFonts w:ascii="Palatino Linotype" w:eastAsia="Palatino Linotype" w:hAnsi="Palatino Linotype" w:cs="Palatino Linotype"/>
          <w:b/>
          <w:color w:val="000000"/>
          <w:sz w:val="24"/>
          <w:szCs w:val="24"/>
        </w:rPr>
        <w:t>C</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O</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N</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S</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I</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D</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E</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R</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A</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N</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D</w:t>
      </w:r>
      <w:r>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b/>
          <w:color w:val="000000"/>
          <w:sz w:val="24"/>
          <w:szCs w:val="24"/>
        </w:rPr>
        <w:t xml:space="preserve">O </w:t>
      </w:r>
    </w:p>
    <w:p w14:paraId="6FCD5021" w14:textId="77777777" w:rsidR="00694C6A" w:rsidRPr="00AD43B8" w:rsidRDefault="00694C6A">
      <w:pPr>
        <w:rPr>
          <w:rFonts w:ascii="Palatino Linotype" w:eastAsia="Palatino Linotype" w:hAnsi="Palatino Linotype" w:cs="Palatino Linotype"/>
          <w:sz w:val="24"/>
          <w:szCs w:val="24"/>
        </w:rPr>
      </w:pPr>
    </w:p>
    <w:p w14:paraId="6FCD5022" w14:textId="77777777" w:rsidR="00694C6A" w:rsidRPr="00AD43B8" w:rsidRDefault="00AD43B8">
      <w:pPr>
        <w:pStyle w:val="Ttulo2"/>
        <w:rPr>
          <w:rFonts w:ascii="Palatino Linotype" w:eastAsia="Palatino Linotype" w:hAnsi="Palatino Linotype" w:cs="Palatino Linotype"/>
          <w:b/>
          <w:color w:val="000000"/>
          <w:sz w:val="24"/>
          <w:szCs w:val="24"/>
        </w:rPr>
      </w:pPr>
      <w:bookmarkStart w:id="3" w:name="_heading=h.3znysh7" w:colFirst="0" w:colLast="0"/>
      <w:bookmarkEnd w:id="3"/>
      <w:r w:rsidRPr="00AD43B8">
        <w:rPr>
          <w:rFonts w:ascii="Palatino Linotype" w:eastAsia="Palatino Linotype" w:hAnsi="Palatino Linotype" w:cs="Palatino Linotype"/>
          <w:b/>
          <w:color w:val="000000"/>
          <w:sz w:val="24"/>
          <w:szCs w:val="24"/>
        </w:rPr>
        <w:t>PRIMERO. De la competencia</w:t>
      </w:r>
    </w:p>
    <w:p w14:paraId="6FCD5023" w14:textId="77777777" w:rsidR="00694C6A" w:rsidRPr="00AD43B8" w:rsidRDefault="00694C6A">
      <w:pPr>
        <w:rPr>
          <w:sz w:val="24"/>
          <w:szCs w:val="24"/>
        </w:rPr>
      </w:pPr>
    </w:p>
    <w:p w14:paraId="6FCD5024" w14:textId="77777777" w:rsidR="00694C6A" w:rsidRPr="00AD43B8" w:rsidRDefault="00AD43B8">
      <w:pPr>
        <w:numPr>
          <w:ilvl w:val="0"/>
          <w:numId w:val="10"/>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sz w:val="24"/>
          <w:szCs w:val="24"/>
        </w:rPr>
      </w:pPr>
      <w:r w:rsidRPr="00AD43B8">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AD43B8">
        <w:rPr>
          <w:rFonts w:ascii="Palatino Linotype" w:eastAsia="Palatino Linotype" w:hAnsi="Palatino Linotype" w:cs="Palatino Linotype"/>
          <w:b/>
          <w:color w:val="000000"/>
          <w:sz w:val="24"/>
          <w:szCs w:val="24"/>
        </w:rPr>
        <w:lastRenderedPageBreak/>
        <w:t>Constitución Política de los Estados Unidos Mexicanos</w:t>
      </w:r>
      <w:r w:rsidRPr="00AD43B8">
        <w:rPr>
          <w:rFonts w:ascii="Palatino Linotype" w:eastAsia="Palatino Linotype" w:hAnsi="Palatino Linotype" w:cs="Palatino Linotype"/>
          <w:color w:val="000000"/>
          <w:sz w:val="24"/>
          <w:szCs w:val="24"/>
        </w:rPr>
        <w:t xml:space="preserve">; 5, párrafos </w:t>
      </w:r>
      <w:r w:rsidRPr="00AD43B8">
        <w:rPr>
          <w:rFonts w:ascii="Palatino Linotype" w:eastAsia="Palatino Linotype" w:hAnsi="Palatino Linotype" w:cs="Palatino Linotype"/>
          <w:color w:val="222222"/>
          <w:sz w:val="24"/>
          <w:szCs w:val="24"/>
        </w:rPr>
        <w:t>trigésimo segundo, trigésimo tercero y trigésimo cuarto fracciones</w:t>
      </w:r>
      <w:r w:rsidRPr="00AD43B8">
        <w:rPr>
          <w:rFonts w:ascii="Palatino Linotype" w:eastAsia="Palatino Linotype" w:hAnsi="Palatino Linotype" w:cs="Palatino Linotype"/>
          <w:color w:val="000000"/>
          <w:sz w:val="24"/>
          <w:szCs w:val="24"/>
        </w:rPr>
        <w:t xml:space="preserve"> IV y V de la </w:t>
      </w:r>
      <w:r w:rsidRPr="00AD43B8">
        <w:rPr>
          <w:rFonts w:ascii="Palatino Linotype" w:eastAsia="Palatino Linotype" w:hAnsi="Palatino Linotype" w:cs="Palatino Linotype"/>
          <w:b/>
          <w:color w:val="000000"/>
          <w:sz w:val="24"/>
          <w:szCs w:val="24"/>
        </w:rPr>
        <w:t>Constitución Política del Estado Libre y Soberano de México</w:t>
      </w:r>
      <w:r w:rsidRPr="00AD43B8">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sidRPr="00AD43B8">
        <w:rPr>
          <w:rFonts w:ascii="Palatino Linotype" w:eastAsia="Palatino Linotype" w:hAnsi="Palatino Linotype" w:cs="Palatino Linotype"/>
          <w:b/>
          <w:color w:val="000000"/>
          <w:sz w:val="24"/>
          <w:szCs w:val="24"/>
        </w:rPr>
        <w:t>Ley de Transparencia y Acceso a la Información Pública del Estado de México y Municipios</w:t>
      </w:r>
      <w:r w:rsidRPr="00AD43B8">
        <w:rPr>
          <w:rFonts w:ascii="Palatino Linotype" w:eastAsia="Palatino Linotype" w:hAnsi="Palatino Linotype" w:cs="Palatino Linotype"/>
          <w:color w:val="000000"/>
          <w:sz w:val="24"/>
          <w:szCs w:val="24"/>
        </w:rPr>
        <w:t xml:space="preserve">; y 7, 9 fracciones I y XXIII, y 11 del </w:t>
      </w:r>
      <w:r w:rsidRPr="00AD43B8">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sidRPr="00AD43B8">
        <w:rPr>
          <w:rFonts w:ascii="Palatino Linotype" w:eastAsia="Palatino Linotype" w:hAnsi="Palatino Linotype" w:cs="Palatino Linotype"/>
          <w:color w:val="000000"/>
          <w:sz w:val="24"/>
          <w:szCs w:val="24"/>
        </w:rPr>
        <w:t>.</w:t>
      </w:r>
    </w:p>
    <w:p w14:paraId="6FCD5025" w14:textId="77777777" w:rsidR="00694C6A" w:rsidRPr="00AD43B8" w:rsidRDefault="00694C6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4"/>
          <w:szCs w:val="24"/>
        </w:rPr>
      </w:pPr>
    </w:p>
    <w:p w14:paraId="6FCD5026" w14:textId="77777777" w:rsidR="00694C6A" w:rsidRPr="00AD43B8" w:rsidRDefault="00AD43B8">
      <w:pPr>
        <w:pStyle w:val="Ttulo2"/>
        <w:rPr>
          <w:rFonts w:ascii="Palatino Linotype" w:eastAsia="Palatino Linotype" w:hAnsi="Palatino Linotype" w:cs="Palatino Linotype"/>
          <w:b/>
          <w:color w:val="000000"/>
          <w:sz w:val="24"/>
          <w:szCs w:val="24"/>
        </w:rPr>
      </w:pPr>
      <w:bookmarkStart w:id="4" w:name="_heading=h.2et92p0" w:colFirst="0" w:colLast="0"/>
      <w:bookmarkEnd w:id="4"/>
      <w:r w:rsidRPr="00AD43B8">
        <w:rPr>
          <w:rFonts w:ascii="Palatino Linotype" w:eastAsia="Palatino Linotype" w:hAnsi="Palatino Linotype" w:cs="Palatino Linotype"/>
          <w:b/>
          <w:color w:val="000000"/>
          <w:sz w:val="24"/>
          <w:szCs w:val="24"/>
        </w:rPr>
        <w:t>SEGUNDO. De la oportunidad y procedencia.</w:t>
      </w:r>
    </w:p>
    <w:p w14:paraId="6FCD5027" w14:textId="77777777" w:rsidR="00694C6A" w:rsidRPr="00AD43B8" w:rsidRDefault="00AD43B8">
      <w:pPr>
        <w:numPr>
          <w:ilvl w:val="0"/>
          <w:numId w:val="10"/>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4"/>
          <w:szCs w:val="24"/>
        </w:rPr>
      </w:pPr>
      <w:bookmarkStart w:id="5" w:name="_heading=h.tyjcwt" w:colFirst="0" w:colLast="0"/>
      <w:bookmarkEnd w:id="5"/>
      <w:r w:rsidRPr="00AD43B8">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otorgados; siendo así que el </w:t>
      </w:r>
      <w:r w:rsidRPr="00AD43B8">
        <w:rPr>
          <w:rFonts w:ascii="Palatino Linotype" w:eastAsia="Palatino Linotype" w:hAnsi="Palatino Linotype" w:cs="Palatino Linotype"/>
          <w:b/>
          <w:color w:val="000000"/>
          <w:sz w:val="24"/>
          <w:szCs w:val="24"/>
        </w:rPr>
        <w:t>SUJETO OBLIGADO</w:t>
      </w:r>
      <w:r w:rsidRPr="00AD43B8">
        <w:rPr>
          <w:rFonts w:ascii="Palatino Linotype" w:eastAsia="Palatino Linotype" w:hAnsi="Palatino Linotype" w:cs="Palatino Linotype"/>
          <w:color w:val="000000"/>
          <w:sz w:val="24"/>
          <w:szCs w:val="24"/>
        </w:rPr>
        <w:t xml:space="preserve"> entregó respuesta el diez (10) de octubre de dos mil veintitrés, de tal forma que el plazo para interponer el recurso de revisión transcurrió del once (11) al treinta y uno (31) de octubre de dos mil veinticuatro, el recurso de revisión fue interpuesto el quince (15) de octubre de dos mil veintitrés, éste se encuentra dentro de los márgenes temporales previstos en el artículo 178 de la Ley de Transparencia y Acceso a la Información Pública del Estado de México y Municipios</w:t>
      </w:r>
      <w:r w:rsidRPr="00AD43B8">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color w:val="000000"/>
          <w:sz w:val="24"/>
          <w:szCs w:val="24"/>
        </w:rPr>
        <w:t xml:space="preserve">vigente. </w:t>
      </w:r>
    </w:p>
    <w:p w14:paraId="6FCD5028" w14:textId="77777777" w:rsidR="00694C6A" w:rsidRPr="00AD43B8" w:rsidRDefault="00AD43B8">
      <w:pPr>
        <w:numPr>
          <w:ilvl w:val="0"/>
          <w:numId w:val="10"/>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FCD5029" w14:textId="77777777" w:rsidR="00694C6A" w:rsidRPr="00AD43B8" w:rsidRDefault="00AD43B8">
      <w:pPr>
        <w:pStyle w:val="Ttulo1"/>
        <w:rPr>
          <w:rFonts w:ascii="Palatino Linotype" w:eastAsia="Palatino Linotype" w:hAnsi="Palatino Linotype" w:cs="Palatino Linotype"/>
          <w:b/>
          <w:color w:val="000000"/>
          <w:sz w:val="24"/>
          <w:szCs w:val="24"/>
        </w:rPr>
      </w:pPr>
      <w:r w:rsidRPr="00AD43B8">
        <w:rPr>
          <w:rFonts w:ascii="Palatino Linotype" w:eastAsia="Palatino Linotype" w:hAnsi="Palatino Linotype" w:cs="Palatino Linotype"/>
          <w:b/>
          <w:color w:val="000000"/>
          <w:sz w:val="24"/>
          <w:szCs w:val="24"/>
        </w:rPr>
        <w:lastRenderedPageBreak/>
        <w:t xml:space="preserve">TERCERO. Planteamiento de la Litis </w:t>
      </w:r>
    </w:p>
    <w:p w14:paraId="6FCD502A" w14:textId="77777777" w:rsidR="00694C6A" w:rsidRPr="00AD43B8" w:rsidRDefault="00AD43B8">
      <w:pPr>
        <w:numPr>
          <w:ilvl w:val="0"/>
          <w:numId w:val="10"/>
        </w:numPr>
        <w:pBdr>
          <w:top w:val="nil"/>
          <w:left w:val="nil"/>
          <w:bottom w:val="nil"/>
          <w:right w:val="nil"/>
          <w:between w:val="nil"/>
        </w:pBdr>
        <w:spacing w:before="240" w:after="240" w:line="360" w:lineRule="auto"/>
        <w:ind w:left="0" w:right="49" w:firstLine="0"/>
        <w:jc w:val="both"/>
        <w:rPr>
          <w:rFonts w:ascii="Palatino Linotype" w:eastAsia="Palatino Linotype" w:hAnsi="Palatino Linotype" w:cs="Palatino Linotype"/>
          <w:i/>
          <w:color w:val="000000"/>
          <w:sz w:val="24"/>
          <w:szCs w:val="24"/>
        </w:rPr>
      </w:pPr>
      <w:r w:rsidRPr="00AD43B8">
        <w:rPr>
          <w:rFonts w:ascii="Palatino Linotype" w:eastAsia="Palatino Linotype" w:hAnsi="Palatino Linotype" w:cs="Palatino Linotype"/>
          <w:color w:val="000000"/>
          <w:sz w:val="24"/>
          <w:szCs w:val="24"/>
        </w:rPr>
        <w:t>El recurrente solicitó la siguiente información:</w:t>
      </w:r>
    </w:p>
    <w:p w14:paraId="6FCD502B" w14:textId="77777777" w:rsidR="00694C6A" w:rsidRPr="00AD43B8" w:rsidRDefault="00AD43B8" w:rsidP="00AD43B8">
      <w:pPr>
        <w:spacing w:line="360" w:lineRule="auto"/>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 xml:space="preserve">Expedientes de los trabajos de reparación y mantenimiento realizados en el EPO 209, desde Septiembre del 2021 a la </w:t>
      </w:r>
      <w:proofErr w:type="gramStart"/>
      <w:r w:rsidRPr="00AD43B8">
        <w:rPr>
          <w:rFonts w:ascii="Palatino Linotype" w:eastAsia="Palatino Linotype" w:hAnsi="Palatino Linotype" w:cs="Palatino Linotype"/>
          <w:i/>
          <w:sz w:val="22"/>
          <w:szCs w:val="24"/>
        </w:rPr>
        <w:t>fecha ,</w:t>
      </w:r>
      <w:proofErr w:type="gramEnd"/>
      <w:r w:rsidRPr="00AD43B8">
        <w:rPr>
          <w:rFonts w:ascii="Palatino Linotype" w:eastAsia="Palatino Linotype" w:hAnsi="Palatino Linotype" w:cs="Palatino Linotype"/>
          <w:i/>
          <w:sz w:val="22"/>
          <w:szCs w:val="24"/>
        </w:rPr>
        <w:t xml:space="preserve"> así como el historial de registro de los mismos en la plataforma o sistema designado para ello, incluyendo la evidencia de rechazo y autorizaciones para ejercer el gasto emitido por Dirección General de Supervisión de Ingresos y Egresos de Instituciones Educativas.</w:t>
      </w:r>
    </w:p>
    <w:p w14:paraId="6FCD502C" w14:textId="77777777" w:rsidR="00694C6A" w:rsidRPr="00AD43B8" w:rsidRDefault="00694C6A" w:rsidP="00AD43B8">
      <w:pPr>
        <w:spacing w:line="360" w:lineRule="auto"/>
        <w:ind w:left="567" w:right="822"/>
        <w:jc w:val="both"/>
        <w:rPr>
          <w:rFonts w:ascii="Palatino Linotype" w:eastAsia="Palatino Linotype" w:hAnsi="Palatino Linotype" w:cs="Palatino Linotype"/>
          <w:i/>
          <w:sz w:val="22"/>
          <w:szCs w:val="24"/>
        </w:rPr>
      </w:pPr>
    </w:p>
    <w:p w14:paraId="6FCD502D" w14:textId="77777777" w:rsidR="00694C6A" w:rsidRPr="00AD43B8" w:rsidRDefault="00AD43B8" w:rsidP="00AD43B8">
      <w:pPr>
        <w:spacing w:line="360" w:lineRule="auto"/>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 xml:space="preserve">Copia de las acciones realizadas por el Titular del Órgano Interno de Control a cargo en su momento del MAP Javier Renato Estrada Medina, en relación al escrito entregado en diciembre 2022, por posibles actos de uso de recursos de la EPO209, en beneficio personal, de los titulares Directivos del Plantel desde </w:t>
      </w:r>
      <w:proofErr w:type="gramStart"/>
      <w:r w:rsidRPr="00AD43B8">
        <w:rPr>
          <w:rFonts w:ascii="Palatino Linotype" w:eastAsia="Palatino Linotype" w:hAnsi="Palatino Linotype" w:cs="Palatino Linotype"/>
          <w:i/>
          <w:sz w:val="22"/>
          <w:szCs w:val="24"/>
        </w:rPr>
        <w:t>Mayo</w:t>
      </w:r>
      <w:proofErr w:type="gramEnd"/>
      <w:r w:rsidRPr="00AD43B8">
        <w:rPr>
          <w:rFonts w:ascii="Palatino Linotype" w:eastAsia="Palatino Linotype" w:hAnsi="Palatino Linotype" w:cs="Palatino Linotype"/>
          <w:i/>
          <w:sz w:val="22"/>
          <w:szCs w:val="24"/>
        </w:rPr>
        <w:t xml:space="preserve"> 2022 como de la Supervisión de Ingresos y Egresos</w:t>
      </w:r>
    </w:p>
    <w:p w14:paraId="6FCD502E" w14:textId="77777777" w:rsidR="00694C6A" w:rsidRPr="00AD43B8" w:rsidRDefault="00694C6A" w:rsidP="00AD43B8">
      <w:pPr>
        <w:spacing w:line="360" w:lineRule="auto"/>
        <w:ind w:left="567" w:right="822"/>
        <w:jc w:val="both"/>
        <w:rPr>
          <w:rFonts w:ascii="Palatino Linotype" w:eastAsia="Palatino Linotype" w:hAnsi="Palatino Linotype" w:cs="Palatino Linotype"/>
          <w:i/>
          <w:sz w:val="22"/>
          <w:szCs w:val="24"/>
        </w:rPr>
      </w:pPr>
    </w:p>
    <w:p w14:paraId="6FCD502F" w14:textId="77777777" w:rsidR="00694C6A" w:rsidRPr="00AD43B8" w:rsidRDefault="00AD43B8">
      <w:pPr>
        <w:numPr>
          <w:ilvl w:val="0"/>
          <w:numId w:val="10"/>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i/>
          <w:color w:val="000000"/>
          <w:sz w:val="24"/>
          <w:szCs w:val="24"/>
        </w:rPr>
      </w:pPr>
      <w:r w:rsidRPr="00AD43B8">
        <w:rPr>
          <w:rFonts w:ascii="Palatino Linotype" w:eastAsia="Palatino Linotype" w:hAnsi="Palatino Linotype" w:cs="Palatino Linotype"/>
          <w:color w:val="000000"/>
          <w:sz w:val="24"/>
          <w:szCs w:val="24"/>
        </w:rPr>
        <w:t>El Sujeto Obligado entregó el expediente de los trabajos realizados en la escuela referida, asimismo, indicó que no se localizaron elementos que permitan identificar una falta administrativa a la Ley de Responsabilidades Administrativas.</w:t>
      </w:r>
    </w:p>
    <w:p w14:paraId="6FCD5030" w14:textId="77777777" w:rsidR="00694C6A" w:rsidRPr="00AD43B8" w:rsidRDefault="00AD43B8">
      <w:pPr>
        <w:numPr>
          <w:ilvl w:val="0"/>
          <w:numId w:val="10"/>
        </w:numPr>
        <w:tabs>
          <w:tab w:val="left" w:pos="284"/>
        </w:tabs>
        <w:spacing w:before="240" w:line="360" w:lineRule="auto"/>
        <w:ind w:left="0" w:firstLine="0"/>
        <w:jc w:val="both"/>
        <w:rPr>
          <w:rFonts w:ascii="Palatino Linotype" w:eastAsia="Palatino Linotype" w:hAnsi="Palatino Linotype" w:cs="Palatino Linotype"/>
          <w:i/>
          <w:sz w:val="24"/>
          <w:szCs w:val="24"/>
        </w:rPr>
      </w:pPr>
      <w:r w:rsidRPr="00AD43B8">
        <w:rPr>
          <w:rFonts w:ascii="Palatino Linotype" w:eastAsia="Palatino Linotype" w:hAnsi="Palatino Linotype" w:cs="Palatino Linotype"/>
          <w:sz w:val="24"/>
          <w:szCs w:val="24"/>
        </w:rPr>
        <w:t>El Recurrente se inconformó por la entrega incompleta de la información respecto a los expedientes de trabajos de reparación y mantenimientos realizados en la EPO 209.</w:t>
      </w:r>
    </w:p>
    <w:p w14:paraId="6FCD5031" w14:textId="77777777" w:rsidR="00694C6A" w:rsidRPr="00AD43B8" w:rsidRDefault="00694C6A">
      <w:pPr>
        <w:tabs>
          <w:tab w:val="left" w:pos="284"/>
        </w:tabs>
        <w:spacing w:line="360" w:lineRule="auto"/>
        <w:jc w:val="both"/>
        <w:rPr>
          <w:rFonts w:ascii="Palatino Linotype" w:eastAsia="Palatino Linotype" w:hAnsi="Palatino Linotype" w:cs="Palatino Linotype"/>
          <w:sz w:val="24"/>
          <w:szCs w:val="24"/>
        </w:rPr>
      </w:pPr>
    </w:p>
    <w:p w14:paraId="6FCD5032" w14:textId="77777777" w:rsidR="00694C6A" w:rsidRPr="00AD43B8" w:rsidRDefault="00AD43B8">
      <w:pPr>
        <w:numPr>
          <w:ilvl w:val="0"/>
          <w:numId w:val="10"/>
        </w:numPr>
        <w:tabs>
          <w:tab w:val="left" w:pos="284"/>
        </w:tabs>
        <w:spacing w:line="360" w:lineRule="auto"/>
        <w:ind w:left="0" w:firstLine="0"/>
        <w:jc w:val="both"/>
        <w:rPr>
          <w:rFonts w:ascii="Palatino Linotype" w:eastAsia="Palatino Linotype" w:hAnsi="Palatino Linotype" w:cs="Palatino Linotype"/>
          <w:i/>
          <w:sz w:val="24"/>
          <w:szCs w:val="24"/>
        </w:rPr>
      </w:pPr>
      <w:r w:rsidRPr="00AD43B8">
        <w:rPr>
          <w:rFonts w:ascii="Palatino Linotype" w:eastAsia="Palatino Linotype" w:hAnsi="Palatino Linotype" w:cs="Palatino Linotype"/>
          <w:sz w:val="24"/>
          <w:szCs w:val="24"/>
        </w:rPr>
        <w:t>Por lo tanto, el presente recurso de revisión se circunscribe en determinar si se actualiza las causales de procedencia</w:t>
      </w:r>
      <w:r w:rsidRPr="00AD43B8">
        <w:rPr>
          <w:rFonts w:ascii="Palatino Linotype" w:eastAsia="Palatino Linotype" w:hAnsi="Palatino Linotype" w:cs="Palatino Linotype"/>
          <w:b/>
          <w:sz w:val="24"/>
          <w:szCs w:val="24"/>
        </w:rPr>
        <w:t xml:space="preserve"> </w:t>
      </w:r>
      <w:r w:rsidRPr="00AD43B8">
        <w:rPr>
          <w:rFonts w:ascii="Palatino Linotype" w:eastAsia="Palatino Linotype" w:hAnsi="Palatino Linotype" w:cs="Palatino Linotype"/>
          <w:sz w:val="24"/>
          <w:szCs w:val="24"/>
        </w:rPr>
        <w:t xml:space="preserve">contenidas en el artículo 179 fracciones V, relativo a la </w:t>
      </w:r>
      <w:r w:rsidRPr="00AD43B8">
        <w:rPr>
          <w:rFonts w:ascii="Palatino Linotype" w:eastAsia="Palatino Linotype" w:hAnsi="Palatino Linotype" w:cs="Palatino Linotype"/>
          <w:sz w:val="24"/>
          <w:szCs w:val="24"/>
        </w:rPr>
        <w:lastRenderedPageBreak/>
        <w:t xml:space="preserve">entrega de información incompleta, de la </w:t>
      </w:r>
      <w:r w:rsidRPr="00AD43B8">
        <w:rPr>
          <w:rFonts w:ascii="Palatino Linotype" w:eastAsia="Palatino Linotype" w:hAnsi="Palatino Linotype" w:cs="Palatino Linotype"/>
          <w:b/>
          <w:sz w:val="24"/>
          <w:szCs w:val="24"/>
        </w:rPr>
        <w:t>Ley de Transparencia y Acceso a la Información Pública del Estado de México y Municipios</w:t>
      </w:r>
      <w:r w:rsidRPr="00AD43B8">
        <w:rPr>
          <w:rFonts w:ascii="Palatino Linotype" w:eastAsia="Palatino Linotype" w:hAnsi="Palatino Linotype" w:cs="Palatino Linotype"/>
          <w:sz w:val="24"/>
          <w:szCs w:val="24"/>
        </w:rPr>
        <w:t>.</w:t>
      </w:r>
    </w:p>
    <w:p w14:paraId="6FCD5033" w14:textId="77777777" w:rsidR="00694C6A" w:rsidRPr="00AD43B8" w:rsidRDefault="00694C6A">
      <w:pPr>
        <w:tabs>
          <w:tab w:val="left" w:pos="426"/>
        </w:tabs>
        <w:spacing w:line="360" w:lineRule="auto"/>
        <w:ind w:left="567" w:right="616"/>
        <w:jc w:val="both"/>
        <w:rPr>
          <w:rFonts w:ascii="Palatino Linotype" w:eastAsia="Palatino Linotype" w:hAnsi="Palatino Linotype" w:cs="Palatino Linotype"/>
          <w:i/>
          <w:color w:val="000000"/>
          <w:sz w:val="24"/>
          <w:szCs w:val="24"/>
        </w:rPr>
      </w:pPr>
    </w:p>
    <w:p w14:paraId="6FCD5034" w14:textId="77777777" w:rsidR="00694C6A" w:rsidRPr="00AD43B8" w:rsidRDefault="00AD43B8">
      <w:pPr>
        <w:pStyle w:val="Ttulo2"/>
        <w:tabs>
          <w:tab w:val="left" w:pos="426"/>
        </w:tabs>
        <w:rPr>
          <w:rFonts w:ascii="Palatino Linotype" w:eastAsia="Palatino Linotype" w:hAnsi="Palatino Linotype" w:cs="Palatino Linotype"/>
          <w:b/>
          <w:color w:val="000000"/>
          <w:sz w:val="24"/>
          <w:szCs w:val="24"/>
        </w:rPr>
      </w:pPr>
      <w:bookmarkStart w:id="6" w:name="_heading=h.3dy6vkm" w:colFirst="0" w:colLast="0"/>
      <w:bookmarkEnd w:id="6"/>
      <w:r w:rsidRPr="00AD43B8">
        <w:rPr>
          <w:rFonts w:ascii="Palatino Linotype" w:eastAsia="Palatino Linotype" w:hAnsi="Palatino Linotype" w:cs="Palatino Linotype"/>
          <w:b/>
          <w:color w:val="000000"/>
          <w:sz w:val="24"/>
          <w:szCs w:val="24"/>
        </w:rPr>
        <w:t>CUARTO. Estudio y Resolución del asunto.</w:t>
      </w:r>
    </w:p>
    <w:p w14:paraId="6FCD5035" w14:textId="77777777" w:rsidR="00694C6A" w:rsidRPr="00AD43B8" w:rsidRDefault="00AD43B8">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color w:val="000000"/>
          <w:sz w:val="24"/>
          <w:szCs w:val="24"/>
        </w:rPr>
      </w:pPr>
      <w:bookmarkStart w:id="7" w:name="_heading=h.1t3h5sf" w:colFirst="0" w:colLast="0"/>
      <w:bookmarkEnd w:id="7"/>
      <w:r w:rsidRPr="00AD43B8">
        <w:rPr>
          <w:rFonts w:ascii="Palatino Linotype" w:eastAsia="Palatino Linotype" w:hAnsi="Palatino Linotype" w:cs="Palatino Linotype"/>
          <w:b/>
          <w:color w:val="000000"/>
          <w:sz w:val="24"/>
          <w:szCs w:val="24"/>
        </w:rPr>
        <w:t>I. De la atención a la solicitud de información.</w:t>
      </w:r>
    </w:p>
    <w:p w14:paraId="6FCD5036" w14:textId="77777777" w:rsidR="00694C6A" w:rsidRPr="00AD43B8" w:rsidRDefault="00AD43B8">
      <w:pPr>
        <w:pStyle w:val="Ttulo2"/>
        <w:numPr>
          <w:ilvl w:val="1"/>
          <w:numId w:val="10"/>
        </w:numPr>
        <w:spacing w:line="259" w:lineRule="auto"/>
        <w:ind w:left="993" w:hanging="360"/>
        <w:rPr>
          <w:rFonts w:ascii="Palatino Linotype" w:eastAsia="Palatino Linotype" w:hAnsi="Palatino Linotype" w:cs="Palatino Linotype"/>
          <w:b/>
          <w:color w:val="000000"/>
          <w:sz w:val="24"/>
          <w:szCs w:val="24"/>
        </w:rPr>
      </w:pPr>
      <w:bookmarkStart w:id="8" w:name="_heading=h.4d34og8" w:colFirst="0" w:colLast="0"/>
      <w:bookmarkEnd w:id="8"/>
      <w:r w:rsidRPr="00AD43B8">
        <w:rPr>
          <w:rFonts w:ascii="Palatino Linotype" w:eastAsia="Palatino Linotype" w:hAnsi="Palatino Linotype" w:cs="Palatino Linotype"/>
          <w:b/>
          <w:color w:val="000000"/>
          <w:sz w:val="24"/>
          <w:szCs w:val="24"/>
        </w:rPr>
        <w:t>De la fuente obligacional</w:t>
      </w:r>
    </w:p>
    <w:p w14:paraId="6FCD5037" w14:textId="77777777" w:rsidR="00694C6A" w:rsidRPr="00AD43B8" w:rsidRDefault="00AD43B8">
      <w:pPr>
        <w:numPr>
          <w:ilvl w:val="0"/>
          <w:numId w:val="10"/>
        </w:numPr>
        <w:spacing w:line="360" w:lineRule="auto"/>
        <w:ind w:left="0" w:right="34"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AD43B8">
        <w:rPr>
          <w:rFonts w:ascii="Palatino Linotype" w:eastAsia="Palatino Linotype" w:hAnsi="Palatino Linotype" w:cs="Palatino Linotype"/>
          <w:b/>
          <w:color w:val="000000"/>
          <w:sz w:val="24"/>
          <w:szCs w:val="24"/>
        </w:rPr>
        <w:t>SUJETO OBLIGADO</w:t>
      </w:r>
      <w:r w:rsidRPr="00AD43B8">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AD43B8">
        <w:rPr>
          <w:rFonts w:ascii="Palatino Linotype" w:eastAsia="Palatino Linotype" w:hAnsi="Palatino Linotype" w:cs="Palatino Linotype"/>
          <w:b/>
          <w:color w:val="000000"/>
          <w:sz w:val="24"/>
          <w:szCs w:val="24"/>
        </w:rPr>
        <w:t xml:space="preserve">Constitución Política de los Estados Unidos Mexicanos </w:t>
      </w:r>
      <w:r w:rsidRPr="00AD43B8">
        <w:rPr>
          <w:rFonts w:ascii="Palatino Linotype" w:eastAsia="Palatino Linotype" w:hAnsi="Palatino Linotype" w:cs="Palatino Linotype"/>
          <w:color w:val="000000"/>
          <w:sz w:val="24"/>
          <w:szCs w:val="24"/>
        </w:rPr>
        <w:t xml:space="preserve">al señalar la obligación de “promover, </w:t>
      </w:r>
      <w:r w:rsidRPr="00AD43B8">
        <w:rPr>
          <w:rFonts w:ascii="Palatino Linotype" w:eastAsia="Palatino Linotype" w:hAnsi="Palatino Linotype" w:cs="Palatino Linotype"/>
          <w:b/>
          <w:color w:val="000000"/>
          <w:sz w:val="24"/>
          <w:szCs w:val="24"/>
        </w:rPr>
        <w:t>respetar</w:t>
      </w:r>
      <w:r w:rsidRPr="00AD43B8">
        <w:rPr>
          <w:rFonts w:ascii="Palatino Linotype" w:eastAsia="Palatino Linotype" w:hAnsi="Palatino Linotype" w:cs="Palatino Linotype"/>
          <w:color w:val="000000"/>
          <w:sz w:val="24"/>
          <w:szCs w:val="24"/>
        </w:rPr>
        <w:t xml:space="preserve">, proteger y </w:t>
      </w:r>
      <w:r w:rsidRPr="00AD43B8">
        <w:rPr>
          <w:rFonts w:ascii="Palatino Linotype" w:eastAsia="Palatino Linotype" w:hAnsi="Palatino Linotype" w:cs="Palatino Linotype"/>
          <w:b/>
          <w:color w:val="000000"/>
          <w:sz w:val="24"/>
          <w:szCs w:val="24"/>
        </w:rPr>
        <w:t>garantizar</w:t>
      </w:r>
      <w:r w:rsidRPr="00AD43B8">
        <w:rPr>
          <w:rFonts w:ascii="Palatino Linotype" w:eastAsia="Palatino Linotype" w:hAnsi="Palatino Linotype" w:cs="Palatino Linotype"/>
          <w:color w:val="000000"/>
          <w:sz w:val="24"/>
          <w:szCs w:val="24"/>
        </w:rPr>
        <w:t xml:space="preserve"> los derechos humanos”, entre los cuales se encuentra dicho derecho. </w:t>
      </w:r>
    </w:p>
    <w:p w14:paraId="6FCD5038" w14:textId="77777777" w:rsidR="00694C6A" w:rsidRPr="00AD43B8" w:rsidRDefault="00694C6A">
      <w:pPr>
        <w:tabs>
          <w:tab w:val="left" w:pos="284"/>
        </w:tabs>
        <w:spacing w:line="360" w:lineRule="auto"/>
        <w:ind w:right="49"/>
        <w:jc w:val="both"/>
        <w:rPr>
          <w:rFonts w:ascii="Palatino Linotype" w:eastAsia="Palatino Linotype" w:hAnsi="Palatino Linotype" w:cs="Palatino Linotype"/>
          <w:color w:val="000000"/>
          <w:sz w:val="24"/>
          <w:szCs w:val="24"/>
        </w:rPr>
      </w:pPr>
    </w:p>
    <w:p w14:paraId="6FCD5039" w14:textId="77777777" w:rsidR="00694C6A" w:rsidRPr="00AD43B8" w:rsidRDefault="00AD43B8">
      <w:pPr>
        <w:numPr>
          <w:ilvl w:val="0"/>
          <w:numId w:val="10"/>
        </w:numPr>
        <w:tabs>
          <w:tab w:val="left" w:pos="284"/>
        </w:tabs>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Definiendo el Derecho de Acceso a la Información Pública como: </w:t>
      </w:r>
      <w:r w:rsidRPr="00AD43B8">
        <w:rPr>
          <w:rFonts w:ascii="Palatino Linotype" w:eastAsia="Palatino Linotype" w:hAnsi="Palatino Linotype" w:cs="Palatino Linotype"/>
          <w:i/>
          <w:color w:val="000000"/>
          <w:sz w:val="24"/>
          <w:szCs w:val="24"/>
        </w:rPr>
        <w:t>La igualdad de oportunidades para recibir, buscar e impartir información</w:t>
      </w:r>
      <w:r w:rsidRPr="00AD43B8">
        <w:rPr>
          <w:rFonts w:ascii="Palatino Linotype" w:eastAsia="Palatino Linotype" w:hAnsi="Palatino Linotype" w:cs="Palatino Linotype"/>
          <w:i/>
          <w:color w:val="000000"/>
          <w:sz w:val="24"/>
          <w:szCs w:val="24"/>
          <w:vertAlign w:val="superscript"/>
        </w:rPr>
        <w:footnoteReference w:id="1"/>
      </w:r>
      <w:r w:rsidRPr="00AD43B8">
        <w:rPr>
          <w:rFonts w:ascii="Palatino Linotype" w:eastAsia="Palatino Linotype" w:hAnsi="Palatino Linotype" w:cs="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w:t>
      </w:r>
      <w:r w:rsidRPr="00AD43B8">
        <w:rPr>
          <w:rFonts w:ascii="Palatino Linotype" w:eastAsia="Palatino Linotype" w:hAnsi="Palatino Linotype" w:cs="Palatino Linotype"/>
          <w:i/>
          <w:color w:val="000000"/>
          <w:sz w:val="24"/>
          <w:szCs w:val="24"/>
        </w:rPr>
        <w:lastRenderedPageBreak/>
        <w:t>y municipal,</w:t>
      </w:r>
      <w:r w:rsidRPr="00AD43B8">
        <w:rPr>
          <w:rFonts w:ascii="Palatino Linotype" w:eastAsia="Palatino Linotype" w:hAnsi="Palatino Linotype" w:cs="Palatino Linotype"/>
          <w:i/>
          <w:color w:val="000000"/>
          <w:sz w:val="24"/>
          <w:szCs w:val="24"/>
          <w:vertAlign w:val="superscript"/>
        </w:rPr>
        <w:footnoteReference w:id="2"/>
      </w:r>
      <w:r w:rsidRPr="00AD43B8">
        <w:rPr>
          <w:rFonts w:ascii="Palatino Linotype" w:eastAsia="Palatino Linotype" w:hAnsi="Palatino Linotype" w:cs="Palatino Linotype"/>
          <w:color w:val="000000"/>
          <w:sz w:val="24"/>
          <w:szCs w:val="24"/>
        </w:rPr>
        <w:t>que se constituye como una herramienta fundamental para ejercer</w:t>
      </w:r>
      <w:r w:rsidRPr="00AD43B8">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AD43B8">
        <w:rPr>
          <w:rFonts w:ascii="Palatino Linotype" w:eastAsia="Palatino Linotype" w:hAnsi="Palatino Linotype" w:cs="Palatino Linotype"/>
          <w:i/>
          <w:color w:val="000000"/>
          <w:sz w:val="24"/>
          <w:szCs w:val="24"/>
          <w:vertAlign w:val="superscript"/>
        </w:rPr>
        <w:footnoteReference w:id="3"/>
      </w:r>
      <w:r w:rsidRPr="00AD43B8">
        <w:rPr>
          <w:rFonts w:ascii="Palatino Linotype" w:eastAsia="Palatino Linotype" w:hAnsi="Palatino Linotype" w:cs="Palatino Linotype"/>
          <w:color w:val="000000"/>
          <w:sz w:val="24"/>
          <w:szCs w:val="24"/>
        </w:rPr>
        <w:t>fomentando</w:t>
      </w:r>
      <w:r w:rsidRPr="00AD43B8">
        <w:rPr>
          <w:rFonts w:ascii="Palatino Linotype" w:eastAsia="Palatino Linotype" w:hAnsi="Palatino Linotype" w:cs="Palatino Linotype"/>
          <w:i/>
          <w:color w:val="000000"/>
          <w:sz w:val="24"/>
          <w:szCs w:val="24"/>
        </w:rPr>
        <w:t xml:space="preserve"> la transparencia de las actividades estatales y </w:t>
      </w:r>
      <w:r w:rsidRPr="00AD43B8">
        <w:rPr>
          <w:rFonts w:ascii="Palatino Linotype" w:eastAsia="Palatino Linotype" w:hAnsi="Palatino Linotype" w:cs="Palatino Linotype"/>
          <w:color w:val="000000"/>
          <w:sz w:val="24"/>
          <w:szCs w:val="24"/>
        </w:rPr>
        <w:t>promoviendo</w:t>
      </w:r>
      <w:r w:rsidRPr="00AD43B8">
        <w:rPr>
          <w:rFonts w:ascii="Palatino Linotype" w:eastAsia="Palatino Linotype" w:hAnsi="Palatino Linotype" w:cs="Palatino Linotype"/>
          <w:i/>
          <w:color w:val="000000"/>
          <w:sz w:val="24"/>
          <w:szCs w:val="24"/>
        </w:rPr>
        <w:t xml:space="preserve"> la responsabilidad de los funcionarios sobre su gestión pública,</w:t>
      </w:r>
      <w:r w:rsidRPr="00AD43B8">
        <w:rPr>
          <w:rFonts w:ascii="Palatino Linotype" w:eastAsia="Palatino Linotype" w:hAnsi="Palatino Linotype" w:cs="Palatino Linotype"/>
          <w:i/>
          <w:color w:val="000000"/>
          <w:sz w:val="24"/>
          <w:szCs w:val="24"/>
          <w:vertAlign w:val="superscript"/>
        </w:rPr>
        <w:footnoteReference w:id="4"/>
      </w:r>
      <w:r w:rsidRPr="00AD43B8">
        <w:rPr>
          <w:rFonts w:ascii="Palatino Linotype" w:eastAsia="Palatino Linotype" w:hAnsi="Palatino Linotype" w:cs="Palatino Linotype"/>
          <w:color w:val="000000"/>
          <w:sz w:val="24"/>
          <w:szCs w:val="24"/>
        </w:rPr>
        <w:t>que permite</w:t>
      </w:r>
      <w:r w:rsidRPr="00AD43B8">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6FCD503A" w14:textId="77777777" w:rsidR="00694C6A" w:rsidRPr="00AD43B8" w:rsidRDefault="00694C6A">
      <w:pPr>
        <w:tabs>
          <w:tab w:val="left" w:pos="284"/>
        </w:tabs>
        <w:rPr>
          <w:rFonts w:ascii="Palatino Linotype" w:eastAsia="Palatino Linotype" w:hAnsi="Palatino Linotype" w:cs="Palatino Linotype"/>
          <w:sz w:val="24"/>
          <w:szCs w:val="24"/>
        </w:rPr>
      </w:pPr>
    </w:p>
    <w:p w14:paraId="6FCD503B" w14:textId="77777777" w:rsidR="00694C6A" w:rsidRPr="00AD43B8" w:rsidRDefault="00AD43B8">
      <w:pPr>
        <w:numPr>
          <w:ilvl w:val="0"/>
          <w:numId w:val="10"/>
        </w:numPr>
        <w:tabs>
          <w:tab w:val="left" w:pos="284"/>
        </w:tabs>
        <w:spacing w:line="360" w:lineRule="auto"/>
        <w:ind w:left="0" w:firstLine="0"/>
        <w:jc w:val="both"/>
        <w:rPr>
          <w:rFonts w:ascii="Palatino Linotype" w:eastAsia="Palatino Linotype" w:hAnsi="Palatino Linotype" w:cs="Palatino Linotype"/>
          <w:i/>
          <w:sz w:val="24"/>
          <w:szCs w:val="24"/>
        </w:rPr>
      </w:pPr>
      <w:r w:rsidRPr="00AD43B8">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FCD503C" w14:textId="77777777" w:rsidR="00694C6A" w:rsidRPr="00AD43B8" w:rsidRDefault="00AD43B8">
      <w:pPr>
        <w:tabs>
          <w:tab w:val="left" w:pos="284"/>
        </w:tabs>
        <w:spacing w:line="360" w:lineRule="auto"/>
        <w:jc w:val="both"/>
        <w:rPr>
          <w:rFonts w:ascii="Palatino Linotype" w:eastAsia="Palatino Linotype" w:hAnsi="Palatino Linotype" w:cs="Palatino Linotype"/>
          <w:i/>
          <w:sz w:val="24"/>
          <w:szCs w:val="24"/>
        </w:rPr>
      </w:pPr>
      <w:r w:rsidRPr="00AD43B8">
        <w:rPr>
          <w:rFonts w:ascii="Palatino Linotype" w:eastAsia="Palatino Linotype" w:hAnsi="Palatino Linotype" w:cs="Palatino Linotype"/>
          <w:i/>
          <w:sz w:val="24"/>
          <w:szCs w:val="24"/>
        </w:rPr>
        <w:t xml:space="preserve"> </w:t>
      </w:r>
    </w:p>
    <w:p w14:paraId="6FCD503D" w14:textId="77777777" w:rsidR="00694C6A" w:rsidRPr="00AD43B8" w:rsidRDefault="00AD43B8">
      <w:pPr>
        <w:numPr>
          <w:ilvl w:val="0"/>
          <w:numId w:val="10"/>
        </w:numPr>
        <w:tabs>
          <w:tab w:val="left" w:pos="284"/>
        </w:tabs>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AD43B8">
        <w:rPr>
          <w:rFonts w:ascii="Palatino Linotype" w:eastAsia="Palatino Linotype" w:hAnsi="Palatino Linotype" w:cs="Palatino Linotype"/>
          <w:sz w:val="24"/>
          <w:szCs w:val="24"/>
        </w:rPr>
        <w:t>que</w:t>
      </w:r>
      <w:proofErr w:type="gramEnd"/>
      <w:r w:rsidRPr="00AD43B8">
        <w:rPr>
          <w:rFonts w:ascii="Palatino Linotype" w:eastAsia="Palatino Linotype" w:hAnsi="Palatino Linotype" w:cs="Palatino Linotype"/>
          <w:sz w:val="24"/>
          <w:szCs w:val="24"/>
        </w:rPr>
        <w:t xml:space="preserve"> además, establece que se regirá </w:t>
      </w:r>
      <w:r w:rsidRPr="00AD43B8">
        <w:rPr>
          <w:rFonts w:ascii="Palatino Linotype" w:eastAsia="Palatino Linotype" w:hAnsi="Palatino Linotype" w:cs="Palatino Linotype"/>
          <w:i/>
          <w:sz w:val="24"/>
          <w:szCs w:val="24"/>
        </w:rPr>
        <w:t>por los principios de simplicidad, rapidez gratuidad del procedimiento, auxilio y orientación a los particulares</w:t>
      </w:r>
      <w:r w:rsidRPr="00AD43B8">
        <w:rPr>
          <w:rFonts w:ascii="Palatino Linotype" w:eastAsia="Palatino Linotype" w:hAnsi="Palatino Linotype" w:cs="Palatino Linotype"/>
          <w:sz w:val="24"/>
          <w:szCs w:val="24"/>
        </w:rPr>
        <w:t xml:space="preserve">, contemplando el derecho de las personas con discapacidad y hablantes de lengua indígena. </w:t>
      </w:r>
    </w:p>
    <w:p w14:paraId="6FCD503E" w14:textId="77777777" w:rsidR="00694C6A" w:rsidRPr="00AD43B8" w:rsidRDefault="00694C6A">
      <w:pPr>
        <w:tabs>
          <w:tab w:val="left" w:pos="284"/>
        </w:tabs>
        <w:spacing w:line="360" w:lineRule="auto"/>
        <w:jc w:val="both"/>
        <w:rPr>
          <w:rFonts w:ascii="Palatino Linotype" w:eastAsia="Palatino Linotype" w:hAnsi="Palatino Linotype" w:cs="Palatino Linotype"/>
          <w:sz w:val="24"/>
          <w:szCs w:val="24"/>
        </w:rPr>
      </w:pPr>
    </w:p>
    <w:p w14:paraId="6FCD503F" w14:textId="77777777" w:rsidR="00694C6A" w:rsidRPr="00AD43B8" w:rsidRDefault="00AD43B8">
      <w:pPr>
        <w:numPr>
          <w:ilvl w:val="0"/>
          <w:numId w:val="10"/>
        </w:numPr>
        <w:tabs>
          <w:tab w:val="left" w:pos="284"/>
        </w:tabs>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lastRenderedPageBreak/>
        <w:t xml:space="preserve">Es así que la </w:t>
      </w:r>
      <w:r w:rsidRPr="00AD43B8">
        <w:rPr>
          <w:rFonts w:ascii="Palatino Linotype" w:eastAsia="Palatino Linotype" w:hAnsi="Palatino Linotype" w:cs="Palatino Linotype"/>
          <w:b/>
          <w:sz w:val="24"/>
          <w:szCs w:val="24"/>
        </w:rPr>
        <w:t xml:space="preserve">Ley de Transparencia y Acceso a la Información Pública del Estado de México y Municipios, </w:t>
      </w:r>
      <w:r w:rsidRPr="00AD43B8">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AD43B8">
        <w:rPr>
          <w:rFonts w:ascii="Palatino Linotype" w:eastAsia="Palatino Linotype" w:hAnsi="Palatino Linotype" w:cs="Palatino Linotype"/>
          <w:b/>
          <w:sz w:val="24"/>
          <w:szCs w:val="24"/>
        </w:rPr>
        <w:t xml:space="preserve"> </w:t>
      </w:r>
      <w:r w:rsidRPr="00AD43B8">
        <w:rPr>
          <w:rFonts w:ascii="Palatino Linotype" w:eastAsia="Palatino Linotype" w:hAnsi="Palatino Linotype" w:cs="Palatino Linotype"/>
          <w:sz w:val="24"/>
          <w:szCs w:val="24"/>
        </w:rPr>
        <w:t xml:space="preserve">establece que </w:t>
      </w:r>
      <w:r w:rsidRPr="00AD43B8">
        <w:rPr>
          <w:rFonts w:ascii="Palatino Linotype" w:eastAsia="Palatino Linotype" w:hAnsi="Palatino Linotype" w:cs="Palatino Linotype"/>
          <w:b/>
          <w:i/>
          <w:sz w:val="24"/>
          <w:szCs w:val="24"/>
          <w:u w:val="single"/>
        </w:rPr>
        <w:t>el recurso de revisión es la garantía secundaria</w:t>
      </w:r>
      <w:r w:rsidRPr="00AD43B8">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sidRPr="00AD43B8">
        <w:rPr>
          <w:rFonts w:ascii="Palatino Linotype" w:eastAsia="Palatino Linotype" w:hAnsi="Palatino Linotype" w:cs="Palatino Linotype"/>
          <w:b/>
          <w:sz w:val="24"/>
          <w:szCs w:val="24"/>
        </w:rPr>
        <w:t>, s</w:t>
      </w:r>
      <w:r w:rsidRPr="00AD43B8">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6FCD5040" w14:textId="77777777" w:rsidR="00694C6A" w:rsidRPr="00AD43B8" w:rsidRDefault="00694C6A">
      <w:pPr>
        <w:tabs>
          <w:tab w:val="left" w:pos="284"/>
        </w:tabs>
        <w:rPr>
          <w:rFonts w:ascii="Palatino Linotype" w:eastAsia="Palatino Linotype" w:hAnsi="Palatino Linotype" w:cs="Palatino Linotype"/>
          <w:sz w:val="24"/>
          <w:szCs w:val="24"/>
        </w:rPr>
      </w:pPr>
    </w:p>
    <w:p w14:paraId="6FCD5041" w14:textId="77777777" w:rsidR="00694C6A" w:rsidRPr="00AD43B8" w:rsidRDefault="00AD43B8">
      <w:pPr>
        <w:numPr>
          <w:ilvl w:val="0"/>
          <w:numId w:val="10"/>
        </w:numPr>
        <w:tabs>
          <w:tab w:val="left" w:pos="284"/>
        </w:tabs>
        <w:spacing w:after="240"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sidRPr="00AD43B8">
        <w:rPr>
          <w:rFonts w:ascii="Palatino Linotype" w:eastAsia="Palatino Linotype" w:hAnsi="Palatino Linotype" w:cs="Palatino Linotype"/>
          <w:b/>
          <w:sz w:val="24"/>
          <w:szCs w:val="24"/>
        </w:rPr>
        <w:t>fundadas y procedentes</w:t>
      </w:r>
      <w:r w:rsidRPr="00AD43B8">
        <w:rPr>
          <w:rFonts w:ascii="Palatino Linotype" w:eastAsia="Palatino Linotype" w:hAnsi="Palatino Linotype" w:cs="Palatino Linotype"/>
          <w:sz w:val="24"/>
          <w:szCs w:val="24"/>
        </w:rPr>
        <w:t xml:space="preserve">, debido a que el </w:t>
      </w:r>
      <w:r w:rsidRPr="00AD43B8">
        <w:rPr>
          <w:rFonts w:ascii="Palatino Linotype" w:eastAsia="Palatino Linotype" w:hAnsi="Palatino Linotype" w:cs="Palatino Linotype"/>
          <w:b/>
          <w:sz w:val="24"/>
          <w:szCs w:val="24"/>
        </w:rPr>
        <w:t>SUJETO OBLIGADO</w:t>
      </w:r>
      <w:r w:rsidRPr="00AD43B8">
        <w:rPr>
          <w:rFonts w:ascii="Palatino Linotype" w:eastAsia="Palatino Linotype" w:hAnsi="Palatino Linotype" w:cs="Palatino Linotype"/>
          <w:sz w:val="24"/>
          <w:szCs w:val="24"/>
        </w:rPr>
        <w:t xml:space="preserve"> proporcionó información que no corresponde con lo solicitado.</w:t>
      </w:r>
    </w:p>
    <w:p w14:paraId="6FCD5042" w14:textId="77777777" w:rsidR="00694C6A" w:rsidRPr="00AD43B8" w:rsidRDefault="00AD43B8">
      <w:pPr>
        <w:numPr>
          <w:ilvl w:val="0"/>
          <w:numId w:val="10"/>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i/>
          <w:color w:val="000000"/>
          <w:sz w:val="24"/>
          <w:szCs w:val="24"/>
        </w:rPr>
      </w:pPr>
      <w:r w:rsidRPr="00AD43B8">
        <w:rPr>
          <w:rFonts w:ascii="Palatino Linotype" w:eastAsia="Palatino Linotype" w:hAnsi="Palatino Linotype" w:cs="Palatino Linotype"/>
          <w:color w:val="000000"/>
          <w:sz w:val="24"/>
          <w:szCs w:val="24"/>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FCD5043" w14:textId="77777777" w:rsidR="00694C6A" w:rsidRPr="00AD43B8" w:rsidRDefault="00AD43B8" w:rsidP="00AD43B8">
      <w:pPr>
        <w:ind w:left="567" w:right="822"/>
        <w:jc w:val="both"/>
        <w:rPr>
          <w:rFonts w:ascii="Palatino Linotype" w:eastAsia="Palatino Linotype" w:hAnsi="Palatino Linotype" w:cs="Palatino Linotype"/>
          <w:b/>
          <w:i/>
          <w:sz w:val="22"/>
          <w:szCs w:val="24"/>
        </w:rPr>
      </w:pPr>
      <w:r w:rsidRPr="00AD43B8">
        <w:rPr>
          <w:rFonts w:ascii="Palatino Linotype" w:eastAsia="Palatino Linotype" w:hAnsi="Palatino Linotype" w:cs="Palatino Linotype"/>
          <w:b/>
          <w:i/>
          <w:sz w:val="22"/>
          <w:szCs w:val="24"/>
        </w:rPr>
        <w:t>“CRITERIO 0002-11</w:t>
      </w:r>
    </w:p>
    <w:p w14:paraId="6FCD5044"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INFORMACIÓN PÚBLICA, CONCEPTO DE, EN MATERIA DE TRANSPARENCIA. INTERPRETACIÓN TEMÁTICA DE LOS ARTÍCULOS 2, FRACCIÓN V, XV, Y XVI, 3, 4,11 Y 41.</w:t>
      </w:r>
      <w:r w:rsidRPr="00AD43B8">
        <w:rPr>
          <w:rFonts w:ascii="Palatino Linotype" w:eastAsia="Palatino Linotype" w:hAnsi="Palatino Linotype" w:cs="Palatino Linotype"/>
          <w:i/>
          <w:sz w:val="22"/>
          <w:szCs w:val="24"/>
        </w:rPr>
        <w:t xml:space="preserve"> De conformidad con los artículos antes referidos, el derecho de acceso a la información pública, se define en cuanto a su alcance y resultado material, el acceso a los archivos, registros y documentos públicos, administrados, generados </w:t>
      </w:r>
      <w:r w:rsidRPr="00AD43B8">
        <w:rPr>
          <w:rFonts w:ascii="Palatino Linotype" w:eastAsia="Palatino Linotype" w:hAnsi="Palatino Linotype" w:cs="Palatino Linotype"/>
          <w:i/>
          <w:sz w:val="22"/>
          <w:szCs w:val="24"/>
        </w:rPr>
        <w:lastRenderedPageBreak/>
        <w:t>o en posesión de los órganos u organismos públicos, en virtud del ejercicio de sus funciones de derecho público, sin importar su fuente, soporte o fecha de elaboración.</w:t>
      </w:r>
    </w:p>
    <w:p w14:paraId="6FCD5045"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 xml:space="preserve">En </w:t>
      </w:r>
      <w:proofErr w:type="gramStart"/>
      <w:r w:rsidRPr="00AD43B8">
        <w:rPr>
          <w:rFonts w:ascii="Palatino Linotype" w:eastAsia="Palatino Linotype" w:hAnsi="Palatino Linotype" w:cs="Palatino Linotype"/>
          <w:i/>
          <w:sz w:val="22"/>
          <w:szCs w:val="24"/>
        </w:rPr>
        <w:t>consecuencia</w:t>
      </w:r>
      <w:proofErr w:type="gramEnd"/>
      <w:r w:rsidRPr="00AD43B8">
        <w:rPr>
          <w:rFonts w:ascii="Palatino Linotype" w:eastAsia="Palatino Linotype" w:hAnsi="Palatino Linotype" w:cs="Palatino Linotype"/>
          <w:i/>
          <w:sz w:val="22"/>
          <w:szCs w:val="24"/>
        </w:rPr>
        <w:t xml:space="preserve"> el acceso a la información se refiere a que se cumplan cualquiera de los siguientes tres supuestos:</w:t>
      </w:r>
    </w:p>
    <w:p w14:paraId="6FCD5046"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 xml:space="preserve">Que se trate de información registrada en cualquier soporte documental, </w:t>
      </w:r>
      <w:proofErr w:type="gramStart"/>
      <w:r w:rsidRPr="00AD43B8">
        <w:rPr>
          <w:rFonts w:ascii="Palatino Linotype" w:eastAsia="Palatino Linotype" w:hAnsi="Palatino Linotype" w:cs="Palatino Linotype"/>
          <w:i/>
          <w:sz w:val="22"/>
          <w:szCs w:val="24"/>
        </w:rPr>
        <w:t>que</w:t>
      </w:r>
      <w:proofErr w:type="gramEnd"/>
      <w:r w:rsidRPr="00AD43B8">
        <w:rPr>
          <w:rFonts w:ascii="Palatino Linotype" w:eastAsia="Palatino Linotype" w:hAnsi="Palatino Linotype" w:cs="Palatino Linotype"/>
          <w:i/>
          <w:sz w:val="22"/>
          <w:szCs w:val="24"/>
        </w:rPr>
        <w:t xml:space="preserve"> en ejercicio de las atribuciones conferidas, sea generada por los Sujetos Obligados;</w:t>
      </w:r>
    </w:p>
    <w:p w14:paraId="6FCD5047"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 xml:space="preserve">Que se trate de información registrada en cualquier soporte documental, </w:t>
      </w:r>
      <w:proofErr w:type="gramStart"/>
      <w:r w:rsidRPr="00AD43B8">
        <w:rPr>
          <w:rFonts w:ascii="Palatino Linotype" w:eastAsia="Palatino Linotype" w:hAnsi="Palatino Linotype" w:cs="Palatino Linotype"/>
          <w:i/>
          <w:sz w:val="22"/>
          <w:szCs w:val="24"/>
        </w:rPr>
        <w:t>que</w:t>
      </w:r>
      <w:proofErr w:type="gramEnd"/>
      <w:r w:rsidRPr="00AD43B8">
        <w:rPr>
          <w:rFonts w:ascii="Palatino Linotype" w:eastAsia="Palatino Linotype" w:hAnsi="Palatino Linotype" w:cs="Palatino Linotype"/>
          <w:i/>
          <w:sz w:val="22"/>
          <w:szCs w:val="24"/>
        </w:rPr>
        <w:t xml:space="preserve"> en ejercicio de las atribuciones conferidas, sea administrada por los Sujetos Obligados, y</w:t>
      </w:r>
    </w:p>
    <w:p w14:paraId="6FCD5048" w14:textId="77777777" w:rsidR="00694C6A" w:rsidRPr="00AD43B8" w:rsidRDefault="00AD43B8" w:rsidP="00AD43B8">
      <w:pPr>
        <w:ind w:left="567" w:right="822"/>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sz w:val="22"/>
          <w:szCs w:val="24"/>
        </w:rPr>
        <w:t xml:space="preserve">Que se trate de información registrada en cualquier soporte documental, </w:t>
      </w:r>
      <w:proofErr w:type="gramStart"/>
      <w:r w:rsidRPr="00AD43B8">
        <w:rPr>
          <w:rFonts w:ascii="Palatino Linotype" w:eastAsia="Palatino Linotype" w:hAnsi="Palatino Linotype" w:cs="Palatino Linotype"/>
          <w:i/>
          <w:sz w:val="22"/>
          <w:szCs w:val="24"/>
        </w:rPr>
        <w:t>que</w:t>
      </w:r>
      <w:proofErr w:type="gramEnd"/>
      <w:r w:rsidRPr="00AD43B8">
        <w:rPr>
          <w:rFonts w:ascii="Palatino Linotype" w:eastAsia="Palatino Linotype" w:hAnsi="Palatino Linotype" w:cs="Palatino Linotype"/>
          <w:i/>
          <w:sz w:val="22"/>
          <w:szCs w:val="24"/>
        </w:rPr>
        <w:t xml:space="preserve"> en ejercicio de las atribuciones conferidas, se encuentre en posesión de los Sujetos Obligados.”</w:t>
      </w:r>
    </w:p>
    <w:p w14:paraId="6FCD5049" w14:textId="77777777" w:rsidR="00694C6A" w:rsidRPr="00AD43B8" w:rsidRDefault="00694C6A">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6FCD504A" w14:textId="77777777" w:rsidR="00694C6A" w:rsidRPr="00AD43B8" w:rsidRDefault="00AD43B8">
      <w:pPr>
        <w:numPr>
          <w:ilvl w:val="0"/>
          <w:numId w:val="10"/>
        </w:numPr>
        <w:pBdr>
          <w:top w:val="nil"/>
          <w:left w:val="nil"/>
          <w:bottom w:val="nil"/>
          <w:right w:val="nil"/>
          <w:between w:val="nil"/>
        </w:pBdr>
        <w:tabs>
          <w:tab w:val="left" w:pos="851"/>
        </w:tabs>
        <w:spacing w:after="240"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14:paraId="6FCD504B"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 xml:space="preserve">XI. Documento: </w:t>
      </w:r>
      <w:r w:rsidRPr="00AD43B8">
        <w:rPr>
          <w:rFonts w:ascii="Palatino Linotype" w:eastAsia="Palatino Linotype" w:hAnsi="Palatino Linotype" w:cs="Palatino Linotype"/>
          <w:i/>
          <w:sz w:val="22"/>
          <w:szCs w:val="24"/>
        </w:rPr>
        <w:t xml:space="preserve">Los expedientes, reportes, estudios, actas, resoluciones, </w:t>
      </w:r>
      <w:r w:rsidRPr="00AD43B8">
        <w:rPr>
          <w:rFonts w:ascii="Palatino Linotype" w:eastAsia="Palatino Linotype" w:hAnsi="Palatino Linotype" w:cs="Palatino Linotype"/>
          <w:b/>
          <w:i/>
          <w:sz w:val="22"/>
          <w:szCs w:val="24"/>
        </w:rPr>
        <w:t>oficios,</w:t>
      </w:r>
      <w:r w:rsidRPr="00AD43B8">
        <w:rPr>
          <w:rFonts w:ascii="Palatino Linotype" w:eastAsia="Palatino Linotype" w:hAnsi="Palatino Linotype" w:cs="Palatino Linotype"/>
          <w:i/>
          <w:sz w:val="22"/>
          <w:szCs w:val="24"/>
        </w:rPr>
        <w:t xml:space="preserve"> correspondencia, acuerdos, directivas, directrices, circulares, contratos, convenios, instructivos, notas, memorandos, estadísticas o bien, </w:t>
      </w:r>
      <w:r w:rsidRPr="00AD43B8">
        <w:rPr>
          <w:rFonts w:ascii="Palatino Linotype" w:eastAsia="Palatino Linotype" w:hAnsi="Palatino Linotype" w:cs="Palatino Linotype"/>
          <w:b/>
          <w:i/>
          <w:sz w:val="22"/>
          <w:szCs w:val="24"/>
        </w:rPr>
        <w:t>cualquier otro registro</w:t>
      </w:r>
      <w:r w:rsidRPr="00AD43B8">
        <w:rPr>
          <w:rFonts w:ascii="Palatino Linotype" w:eastAsia="Palatino Linotype" w:hAnsi="Palatino Linotype" w:cs="Palatino Linotype"/>
          <w:i/>
          <w:sz w:val="22"/>
          <w:szCs w:val="24"/>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AD43B8">
        <w:rPr>
          <w:rFonts w:ascii="Palatino Linotype" w:eastAsia="Palatino Linotype" w:hAnsi="Palatino Linotype" w:cs="Palatino Linotype"/>
          <w:i/>
          <w:sz w:val="22"/>
          <w:szCs w:val="24"/>
        </w:rPr>
        <w:t>impreso,  sonoro</w:t>
      </w:r>
      <w:proofErr w:type="gramEnd"/>
      <w:r w:rsidRPr="00AD43B8">
        <w:rPr>
          <w:rFonts w:ascii="Palatino Linotype" w:eastAsia="Palatino Linotype" w:hAnsi="Palatino Linotype" w:cs="Palatino Linotype"/>
          <w:i/>
          <w:sz w:val="22"/>
          <w:szCs w:val="24"/>
        </w:rPr>
        <w:t>, visual, electrónico, informático u holográfico;</w:t>
      </w:r>
    </w:p>
    <w:p w14:paraId="6FCD504C" w14:textId="77777777" w:rsidR="00694C6A" w:rsidRPr="00AD43B8" w:rsidRDefault="00694C6A" w:rsidP="00AD43B8">
      <w:pPr>
        <w:pBdr>
          <w:top w:val="nil"/>
          <w:left w:val="nil"/>
          <w:bottom w:val="nil"/>
          <w:right w:val="nil"/>
          <w:between w:val="nil"/>
        </w:pBdr>
        <w:tabs>
          <w:tab w:val="left" w:pos="851"/>
        </w:tabs>
        <w:spacing w:line="360" w:lineRule="auto"/>
        <w:ind w:right="822"/>
        <w:jc w:val="both"/>
        <w:rPr>
          <w:rFonts w:ascii="Palatino Linotype" w:eastAsia="Palatino Linotype" w:hAnsi="Palatino Linotype" w:cs="Palatino Linotype"/>
          <w:color w:val="000000"/>
          <w:sz w:val="22"/>
          <w:szCs w:val="24"/>
        </w:rPr>
      </w:pPr>
    </w:p>
    <w:p w14:paraId="6FCD504D" w14:textId="77777777" w:rsidR="00694C6A" w:rsidRPr="00AD43B8" w:rsidRDefault="00AD43B8">
      <w:pPr>
        <w:numPr>
          <w:ilvl w:val="0"/>
          <w:numId w:val="10"/>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6FCD504E"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4F"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w:t>
      </w:r>
      <w:r w:rsidRPr="00AD43B8">
        <w:rPr>
          <w:rFonts w:ascii="Palatino Linotype" w:eastAsia="Palatino Linotype" w:hAnsi="Palatino Linotype" w:cs="Palatino Linotype"/>
          <w:color w:val="000000"/>
          <w:sz w:val="24"/>
          <w:szCs w:val="24"/>
        </w:rPr>
        <w:lastRenderedPageBreak/>
        <w:t xml:space="preserve">del Estado Libre y Soberano de México y el artículo 18 de la Ley de Transparencia y Acceso a la Información Pública del Estado de México y Municipios, guardan una estrecha relación, puesto que los ordenamientos citados concurren refiriendo que </w:t>
      </w:r>
      <w:r w:rsidRPr="00AD43B8">
        <w:rPr>
          <w:rFonts w:ascii="Palatino Linotype" w:eastAsia="Palatino Linotype" w:hAnsi="Palatino Linotype" w:cs="Palatino Linotype"/>
          <w:b/>
          <w:color w:val="000000"/>
          <w:sz w:val="24"/>
          <w:szCs w:val="24"/>
        </w:rPr>
        <w:t>los Sujetos Obligados deberán documentar todo acto que se derive del ejercicio de sus facultades, competencias o funciones,</w:t>
      </w:r>
      <w:r w:rsidRPr="00AD43B8">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14:paraId="6FCD5050"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051"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14:paraId="6FCD5052"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 xml:space="preserve">Artículo 4. </w:t>
      </w:r>
      <w:r w:rsidRPr="00AD43B8">
        <w:rPr>
          <w:rFonts w:ascii="Palatino Linotype" w:eastAsia="Palatino Linotype" w:hAnsi="Palatino Linotype" w:cs="Palatino Linotyp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6FCD5053"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54"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FCD5055"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56"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Los sujetos obligados deben poner en práctica, políticas y programas de acceso a la información que se apeguen a criterios de publicidad, veracidad, oportunidad, precisión y suficiencia en beneficio de los solicitantes.</w:t>
      </w:r>
    </w:p>
    <w:p w14:paraId="6FCD5057" w14:textId="77777777" w:rsidR="00694C6A" w:rsidRPr="00AD43B8" w:rsidRDefault="00694C6A" w:rsidP="00AD43B8">
      <w:pPr>
        <w:ind w:left="567" w:right="822"/>
        <w:jc w:val="both"/>
        <w:rPr>
          <w:rFonts w:ascii="Palatino Linotype" w:eastAsia="Palatino Linotype" w:hAnsi="Palatino Linotype" w:cs="Palatino Linotype"/>
          <w:i/>
          <w:color w:val="000000"/>
          <w:sz w:val="22"/>
          <w:szCs w:val="24"/>
        </w:rPr>
      </w:pPr>
    </w:p>
    <w:p w14:paraId="6FCD5058"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 xml:space="preserve">Artículo 12. </w:t>
      </w:r>
      <w:r w:rsidRPr="00AD43B8">
        <w:rPr>
          <w:rFonts w:ascii="Palatino Linotype" w:eastAsia="Palatino Linotype" w:hAnsi="Palatino Linotype" w:cs="Palatino Linotype"/>
          <w:i/>
          <w:sz w:val="22"/>
          <w:szCs w:val="24"/>
        </w:rPr>
        <w:t xml:space="preserve">Quienes generen, recopilen, administren, manejen, procesen, archiven o conserven información pública serán responsables de la misma en los términos de las disposiciones jurídicas aplicables. </w:t>
      </w:r>
    </w:p>
    <w:p w14:paraId="6FCD5059"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5A" w14:textId="77777777" w:rsidR="00694C6A" w:rsidRPr="00AD43B8" w:rsidRDefault="00AD43B8" w:rsidP="00AD43B8">
      <w:pPr>
        <w:ind w:left="567" w:right="822"/>
        <w:jc w:val="both"/>
        <w:rPr>
          <w:rFonts w:ascii="Palatino Linotype" w:eastAsia="Palatino Linotype" w:hAnsi="Palatino Linotype" w:cs="Palatino Linotype"/>
          <w:b/>
          <w:i/>
          <w:sz w:val="22"/>
          <w:szCs w:val="24"/>
        </w:rPr>
      </w:pPr>
      <w:r w:rsidRPr="00AD43B8">
        <w:rPr>
          <w:rFonts w:ascii="Palatino Linotype" w:eastAsia="Palatino Linotype" w:hAnsi="Palatino Linotype" w:cs="Palatino Linotype"/>
          <w:i/>
          <w:sz w:val="22"/>
          <w:szCs w:val="24"/>
        </w:rPr>
        <w:lastRenderedPageBreak/>
        <w:t xml:space="preserve">Los sujetos obligados sólo proporcionarán la información pública que se les requiera y que obre en sus archivos y en el estado en que ésta se encuentre. </w:t>
      </w:r>
      <w:r w:rsidRPr="00AD43B8">
        <w:rPr>
          <w:rFonts w:ascii="Palatino Linotype" w:eastAsia="Palatino Linotype" w:hAnsi="Palatino Linotype" w:cs="Palatino Linotyp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6FCD505B" w14:textId="77777777" w:rsidR="00694C6A" w:rsidRPr="00AD43B8" w:rsidRDefault="00694C6A">
      <w:pPr>
        <w:spacing w:line="360" w:lineRule="auto"/>
        <w:ind w:left="567" w:right="567"/>
        <w:jc w:val="both"/>
        <w:rPr>
          <w:rFonts w:ascii="Palatino Linotype" w:eastAsia="Palatino Linotype" w:hAnsi="Palatino Linotype" w:cs="Palatino Linotype"/>
          <w:i/>
          <w:sz w:val="24"/>
          <w:szCs w:val="24"/>
        </w:rPr>
      </w:pPr>
    </w:p>
    <w:p w14:paraId="6FCD505C" w14:textId="77777777" w:rsidR="00694C6A" w:rsidRPr="00AD43B8" w:rsidRDefault="00AD43B8">
      <w:pPr>
        <w:numPr>
          <w:ilvl w:val="0"/>
          <w:numId w:val="10"/>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AD43B8">
        <w:rPr>
          <w:rFonts w:ascii="Palatino Linotype" w:eastAsia="Palatino Linotype" w:hAnsi="Palatino Linotype" w:cs="Palatino Linotype"/>
          <w:color w:val="000000"/>
          <w:sz w:val="24"/>
          <w:szCs w:val="24"/>
          <w:vertAlign w:val="superscript"/>
        </w:rPr>
        <w:footnoteReference w:id="5"/>
      </w:r>
      <w:r w:rsidRPr="00AD43B8">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FCD505D" w14:textId="77777777" w:rsidR="00694C6A" w:rsidRPr="00AD43B8" w:rsidRDefault="00694C6A">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6FCD505E" w14:textId="77777777" w:rsidR="00694C6A" w:rsidRPr="00AD43B8" w:rsidRDefault="00AD43B8">
      <w:pPr>
        <w:numPr>
          <w:ilvl w:val="0"/>
          <w:numId w:val="10"/>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Robustece lo anterior la Tesis aislada identificada con la clave I.</w:t>
      </w:r>
      <w:proofErr w:type="gramStart"/>
      <w:r w:rsidRPr="00AD43B8">
        <w:rPr>
          <w:rFonts w:ascii="Palatino Linotype" w:eastAsia="Palatino Linotype" w:hAnsi="Palatino Linotype" w:cs="Palatino Linotype"/>
          <w:color w:val="000000"/>
          <w:sz w:val="24"/>
          <w:szCs w:val="24"/>
        </w:rPr>
        <w:t>4º.A.</w:t>
      </w:r>
      <w:proofErr w:type="gramEnd"/>
      <w:r w:rsidRPr="00AD43B8">
        <w:rPr>
          <w:rFonts w:ascii="Palatino Linotype" w:eastAsia="Palatino Linotype" w:hAnsi="Palatino Linotype" w:cs="Palatino Linotype"/>
          <w:color w:val="000000"/>
          <w:sz w:val="24"/>
          <w:szCs w:val="24"/>
        </w:rPr>
        <w:t>40 A del Cuarto Tribunal colegiado en Materia Administrativa del Prime</w:t>
      </w:r>
      <w:r w:rsidR="00FE3DB1">
        <w:rPr>
          <w:rFonts w:ascii="Palatino Linotype" w:eastAsia="Palatino Linotype" w:hAnsi="Palatino Linotype" w:cs="Palatino Linotype"/>
          <w:color w:val="000000"/>
          <w:sz w:val="24"/>
          <w:szCs w:val="24"/>
        </w:rPr>
        <w:t>r Circuito, publicada en el Sema</w:t>
      </w:r>
      <w:r w:rsidRPr="00AD43B8">
        <w:rPr>
          <w:rFonts w:ascii="Palatino Linotype" w:eastAsia="Palatino Linotype" w:hAnsi="Palatino Linotype" w:cs="Palatino Linotype"/>
          <w:color w:val="000000"/>
          <w:sz w:val="24"/>
          <w:szCs w:val="24"/>
        </w:rPr>
        <w:t>nario Judicial de la Federación y su Gaceta en el libro XVIII, Marzo 2013, Página 1899.</w:t>
      </w:r>
    </w:p>
    <w:p w14:paraId="6FCD505F" w14:textId="77777777" w:rsidR="00694C6A" w:rsidRPr="00AD43B8" w:rsidRDefault="00AD43B8">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b/>
          <w:i/>
          <w:color w:val="000000"/>
          <w:sz w:val="22"/>
          <w:szCs w:val="24"/>
        </w:rPr>
        <w:t>ACCESO A LA INFORMACIÓN. IMPLICACIÓN DEL PRINCIPIO DE MÁXIMA PUBLICIDAD EN EL DERECHO FUNDAMENTAL RELATIVO.</w:t>
      </w:r>
      <w:r w:rsidRPr="00AD43B8">
        <w:rPr>
          <w:rFonts w:ascii="Palatino Linotype" w:eastAsia="Palatino Linotype" w:hAnsi="Palatino Linotype" w:cs="Palatino Linotype"/>
          <w:i/>
          <w:color w:val="000000"/>
          <w:sz w:val="22"/>
          <w:szCs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w:t>
      </w:r>
      <w:r w:rsidRPr="00AD43B8">
        <w:rPr>
          <w:rFonts w:ascii="Palatino Linotype" w:eastAsia="Palatino Linotype" w:hAnsi="Palatino Linotype" w:cs="Palatino Linotype"/>
          <w:i/>
          <w:color w:val="000000"/>
          <w:sz w:val="22"/>
          <w:szCs w:val="24"/>
        </w:rPr>
        <w:lastRenderedPageBreak/>
        <w:t xml:space="preserve">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6FCD5060" w14:textId="77777777" w:rsidR="00694C6A" w:rsidRPr="00AD43B8" w:rsidRDefault="00694C6A">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4"/>
        </w:rPr>
      </w:pPr>
    </w:p>
    <w:p w14:paraId="6FCD5061" w14:textId="77777777" w:rsidR="00694C6A" w:rsidRPr="00AD43B8" w:rsidRDefault="00AD43B8">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 xml:space="preserve">CUARTO TRIBUNAL COLEGIADO EN MATERIA ADMINISTRATIVA DEL PRIMER CIRCUITO. </w:t>
      </w:r>
    </w:p>
    <w:p w14:paraId="6FCD5062" w14:textId="77777777" w:rsidR="00694C6A" w:rsidRPr="00AD43B8" w:rsidRDefault="00694C6A">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4"/>
        </w:rPr>
      </w:pPr>
    </w:p>
    <w:p w14:paraId="6FCD5063" w14:textId="77777777" w:rsidR="00694C6A" w:rsidRPr="00AD43B8" w:rsidRDefault="00AD43B8">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Amparo en revisión 257/2012. Ruth Corona Muñoz. 6 de diciembre de 2012. Unanimidad de votos. Ponente: Jean Claude Tron Petit. Secretaria: Mayra Susana Martínez López.</w:t>
      </w:r>
    </w:p>
    <w:p w14:paraId="6FCD5064" w14:textId="77777777" w:rsidR="00694C6A" w:rsidRPr="00AD43B8" w:rsidRDefault="00694C6A">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4"/>
          <w:szCs w:val="24"/>
        </w:rPr>
      </w:pPr>
    </w:p>
    <w:p w14:paraId="6FCD5065" w14:textId="77777777" w:rsidR="00694C6A" w:rsidRPr="00AD43B8" w:rsidRDefault="00AD43B8">
      <w:pPr>
        <w:numPr>
          <w:ilvl w:val="0"/>
          <w:numId w:val="10"/>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Como se ha señalado, los Sujetos Obligados deberán proporcionar toda la información que se encuentre en su posesión bajo los estándares más altos de transparencia y máxima publicidad. </w:t>
      </w:r>
    </w:p>
    <w:p w14:paraId="6FCD5066" w14:textId="77777777" w:rsidR="00694C6A" w:rsidRPr="00AD43B8" w:rsidRDefault="00AD43B8">
      <w:pPr>
        <w:numPr>
          <w:ilvl w:val="0"/>
          <w:numId w:val="10"/>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Es pertinente enfatizar lo </w:t>
      </w:r>
      <w:proofErr w:type="gramStart"/>
      <w:r w:rsidRPr="00AD43B8">
        <w:rPr>
          <w:rFonts w:ascii="Palatino Linotype" w:eastAsia="Palatino Linotype" w:hAnsi="Palatino Linotype" w:cs="Palatino Linotype"/>
          <w:color w:val="000000"/>
          <w:sz w:val="24"/>
          <w:szCs w:val="24"/>
        </w:rPr>
        <w:t>que</w:t>
      </w:r>
      <w:proofErr w:type="gramEnd"/>
      <w:r w:rsidRPr="00AD43B8">
        <w:rPr>
          <w:rFonts w:ascii="Palatino Linotype" w:eastAsia="Palatino Linotype" w:hAnsi="Palatino Linotype" w:cs="Palatino Linotype"/>
          <w:color w:val="000000"/>
          <w:sz w:val="24"/>
          <w:szCs w:val="24"/>
        </w:rPr>
        <w:t xml:space="preserve"> respecto al derecho de acceso a la información pública, refiere el artículo 6° de la Constitución Política de los Estados Unidos Mexicanos, que en su parte conducente señala:</w:t>
      </w:r>
    </w:p>
    <w:p w14:paraId="6FCD5067"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“Artículo 6o.</w:t>
      </w:r>
      <w:r w:rsidRPr="00AD43B8">
        <w:rPr>
          <w:rFonts w:ascii="Palatino Linotype" w:eastAsia="Palatino Linotype" w:hAnsi="Palatino Linotype" w:cs="Palatino Linotype"/>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D43B8">
        <w:rPr>
          <w:rFonts w:ascii="Palatino Linotype" w:eastAsia="Palatino Linotype" w:hAnsi="Palatino Linotype" w:cs="Palatino Linotype"/>
          <w:b/>
          <w:i/>
          <w:sz w:val="22"/>
          <w:szCs w:val="24"/>
        </w:rPr>
        <w:t>El derecho a la información será garantizado por el Estado.</w:t>
      </w:r>
      <w:r w:rsidRPr="00AD43B8">
        <w:rPr>
          <w:rFonts w:ascii="Palatino Linotype" w:eastAsia="Palatino Linotype" w:hAnsi="Palatino Linotype" w:cs="Palatino Linotype"/>
          <w:i/>
          <w:sz w:val="22"/>
          <w:szCs w:val="24"/>
        </w:rPr>
        <w:t xml:space="preserve"> </w:t>
      </w:r>
    </w:p>
    <w:p w14:paraId="6FCD5068"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69"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lastRenderedPageBreak/>
        <w:t>Toda persona tiene derecho al libre acceso a información plural y oportuna, así como a buscar, recibir y difundir información e ideas de toda índole por cualquier medio de expresión.</w:t>
      </w:r>
    </w:p>
    <w:p w14:paraId="6FCD506A"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6B"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Para efectos de lo dispuesto en el presente artículo se observará lo siguiente:</w:t>
      </w:r>
    </w:p>
    <w:p w14:paraId="6FCD506C"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6D"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A. Para el ejercicio del derecho de acceso a la información, la Federación, los Estados y el Distrito Federal, en el ámbito de sus respectivas competencias, se regirán por los siguientes principios y bases:</w:t>
      </w:r>
    </w:p>
    <w:p w14:paraId="6FCD506E" w14:textId="77777777" w:rsidR="00694C6A" w:rsidRPr="00AD43B8" w:rsidRDefault="00694C6A" w:rsidP="00AD43B8">
      <w:pPr>
        <w:ind w:left="567" w:right="822"/>
        <w:jc w:val="both"/>
        <w:rPr>
          <w:rFonts w:ascii="Palatino Linotype" w:eastAsia="Palatino Linotype" w:hAnsi="Palatino Linotype" w:cs="Palatino Linotype"/>
          <w:b/>
          <w:i/>
          <w:sz w:val="22"/>
          <w:szCs w:val="24"/>
        </w:rPr>
      </w:pPr>
    </w:p>
    <w:p w14:paraId="6FCD506F"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I. Toda la información en posesión de</w:t>
      </w:r>
      <w:r w:rsidRPr="00AD43B8">
        <w:rPr>
          <w:rFonts w:ascii="Palatino Linotype" w:eastAsia="Palatino Linotype" w:hAnsi="Palatino Linotype" w:cs="Palatino Linotype"/>
          <w:i/>
          <w:sz w:val="22"/>
          <w:szCs w:val="24"/>
        </w:rPr>
        <w:t xml:space="preserve"> </w:t>
      </w:r>
      <w:r w:rsidRPr="00AD43B8">
        <w:rPr>
          <w:rFonts w:ascii="Palatino Linotype" w:eastAsia="Palatino Linotype" w:hAnsi="Palatino Linotype" w:cs="Palatino Linotype"/>
          <w:b/>
          <w:i/>
          <w:sz w:val="22"/>
          <w:szCs w:val="24"/>
        </w:rPr>
        <w:t>cualquier autoridad</w:t>
      </w:r>
      <w:r w:rsidRPr="00AD43B8">
        <w:rPr>
          <w:rFonts w:ascii="Palatino Linotype" w:eastAsia="Palatino Linotype" w:hAnsi="Palatino Linotype" w:cs="Palatino Linotype"/>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AD43B8">
        <w:rPr>
          <w:rFonts w:ascii="Palatino Linotype" w:eastAsia="Palatino Linotype" w:hAnsi="Palatino Linotype" w:cs="Palatino Linotype"/>
          <w:b/>
          <w:i/>
          <w:sz w:val="22"/>
          <w:szCs w:val="24"/>
        </w:rPr>
        <w:t>es pública</w:t>
      </w:r>
      <w:r w:rsidRPr="00AD43B8">
        <w:rPr>
          <w:rFonts w:ascii="Palatino Linotype" w:eastAsia="Palatino Linotype" w:hAnsi="Palatino Linotype" w:cs="Palatino Linotype"/>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AD43B8">
        <w:rPr>
          <w:rFonts w:ascii="Palatino Linotype" w:eastAsia="Palatino Linotype" w:hAnsi="Palatino Linotype" w:cs="Palatino Linotype"/>
          <w:b/>
          <w:i/>
          <w:sz w:val="22"/>
          <w:szCs w:val="24"/>
        </w:rPr>
        <w:t>Los sujetos obligados deberán documentar todo acto que derive del ejercicio de sus facultades, competencias o funciones</w:t>
      </w:r>
      <w:r w:rsidRPr="00AD43B8">
        <w:rPr>
          <w:rFonts w:ascii="Palatino Linotype" w:eastAsia="Palatino Linotype" w:hAnsi="Palatino Linotype" w:cs="Palatino Linotype"/>
          <w:i/>
          <w:sz w:val="22"/>
          <w:szCs w:val="24"/>
        </w:rPr>
        <w:t>, la ley determinará los supuestos específicos bajo los cuales procederá la declaración de inexistencia de la información.</w:t>
      </w:r>
    </w:p>
    <w:p w14:paraId="6FCD5070"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71"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II. La información que se refiere a la vida privada y los datos personales será protegida en los términos y con las excepciones que fijen las leyes.</w:t>
      </w:r>
    </w:p>
    <w:p w14:paraId="6FCD5072"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73"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III. Toda persona, sin necesidad de acreditar interés alguno o justificar su utilización, tendrá acceso gratuito a la información pública, a sus datos personales o a la rectificación de éstos.</w:t>
      </w:r>
    </w:p>
    <w:p w14:paraId="6FCD5074"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75"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IV.   Se establecerán mecanismos de acceso a la información y procedimientos de revisión expeditos que se sustanciarán ante los organismos autónomos especializados e imparciales que establece esta Constitución.</w:t>
      </w:r>
    </w:p>
    <w:p w14:paraId="6FCD5076" w14:textId="77777777" w:rsidR="00694C6A" w:rsidRPr="00AD43B8" w:rsidRDefault="00694C6A" w:rsidP="00AD43B8">
      <w:pPr>
        <w:ind w:left="567" w:right="822"/>
        <w:jc w:val="both"/>
        <w:rPr>
          <w:rFonts w:ascii="Palatino Linotype" w:eastAsia="Palatino Linotype" w:hAnsi="Palatino Linotype" w:cs="Palatino Linotype"/>
          <w:b/>
          <w:i/>
          <w:sz w:val="22"/>
          <w:szCs w:val="24"/>
        </w:rPr>
      </w:pPr>
    </w:p>
    <w:p w14:paraId="6FCD5077"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V. Los sujetos obligados deberán preservar sus documentos en archivos administrativos actualizados y publicarán, a través de los medios electrónicos disponibles</w:t>
      </w:r>
      <w:r w:rsidRPr="00AD43B8">
        <w:rPr>
          <w:rFonts w:ascii="Palatino Linotype" w:eastAsia="Palatino Linotype" w:hAnsi="Palatino Linotype" w:cs="Palatino Linotype"/>
          <w:i/>
          <w:sz w:val="22"/>
          <w:szCs w:val="24"/>
        </w:rPr>
        <w:t>, la información completa y actualizada sobre el ejercicio de los recursos públicos y los indicadores que permitan rendir cuenta del cumplimiento de sus objetivos y de los resultados obtenidos.</w:t>
      </w:r>
    </w:p>
    <w:p w14:paraId="6FCD5078"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79"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lastRenderedPageBreak/>
        <w:t>VI. Las leyes determinarán la manera en que los sujetos obligados deberán hacer pública la información relativa a los recursos públicos que entreguen a personas físicas o morales.</w:t>
      </w:r>
    </w:p>
    <w:p w14:paraId="6FCD507A"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7B"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VII. La inobservancia a las disposiciones en materia de acceso a la información pública será sancionada en los términos que dispongan las leyes.</w:t>
      </w:r>
    </w:p>
    <w:p w14:paraId="6FCD507C"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7D"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6FCD507E"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w:t>
      </w:r>
    </w:p>
    <w:p w14:paraId="6FCD507F"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La ley establecerá aquella información que se considere reservada o confidencial.”</w:t>
      </w:r>
    </w:p>
    <w:p w14:paraId="6FCD5080"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81"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(Énfasis añadido)</w:t>
      </w:r>
    </w:p>
    <w:p w14:paraId="6FCD5082" w14:textId="77777777" w:rsidR="00694C6A" w:rsidRPr="00AD43B8" w:rsidRDefault="00694C6A">
      <w:pPr>
        <w:spacing w:line="360" w:lineRule="auto"/>
        <w:ind w:left="709" w:right="757"/>
        <w:jc w:val="both"/>
        <w:rPr>
          <w:rFonts w:ascii="Palatino Linotype" w:eastAsia="Palatino Linotype" w:hAnsi="Palatino Linotype" w:cs="Palatino Linotype"/>
          <w:sz w:val="24"/>
          <w:szCs w:val="24"/>
        </w:rPr>
      </w:pPr>
    </w:p>
    <w:p w14:paraId="6FCD5083"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6FCD5084" w14:textId="77777777" w:rsidR="00694C6A" w:rsidRPr="00AD43B8" w:rsidRDefault="00AD43B8" w:rsidP="00AD43B8">
      <w:pPr>
        <w:ind w:left="567" w:right="822"/>
        <w:jc w:val="both"/>
        <w:rPr>
          <w:rFonts w:ascii="Palatino Linotype" w:eastAsia="Palatino Linotype" w:hAnsi="Palatino Linotype" w:cs="Palatino Linotype"/>
          <w:b/>
          <w:i/>
          <w:sz w:val="22"/>
          <w:szCs w:val="24"/>
        </w:rPr>
      </w:pPr>
      <w:r w:rsidRPr="00AD43B8">
        <w:rPr>
          <w:rFonts w:ascii="Palatino Linotype" w:eastAsia="Palatino Linotype" w:hAnsi="Palatino Linotype" w:cs="Palatino Linotype"/>
          <w:b/>
          <w:i/>
          <w:sz w:val="22"/>
          <w:szCs w:val="24"/>
        </w:rPr>
        <w:t xml:space="preserve">“Artículo 5. … </w:t>
      </w:r>
    </w:p>
    <w:p w14:paraId="6FCD5085"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El derecho a la información será garantizado por el Estado</w:t>
      </w:r>
      <w:r w:rsidRPr="00AD43B8">
        <w:rPr>
          <w:rFonts w:ascii="Palatino Linotype" w:eastAsia="Palatino Linotype" w:hAnsi="Palatino Linotype" w:cs="Palatino Linotype"/>
          <w:i/>
          <w:sz w:val="22"/>
          <w:szCs w:val="24"/>
        </w:rPr>
        <w:t xml:space="preserve">. La ley establecerá las previsiones que permitan asegurar la protección, el respeto y la difusión de este derecho. </w:t>
      </w:r>
    </w:p>
    <w:p w14:paraId="6FCD5086"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FCD5087"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88"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Este derecho se regirá por los principios y bases siguientes:</w:t>
      </w:r>
    </w:p>
    <w:p w14:paraId="6FCD5089" w14:textId="77777777" w:rsidR="00694C6A" w:rsidRPr="00AD43B8" w:rsidRDefault="00694C6A" w:rsidP="00AD43B8">
      <w:pPr>
        <w:ind w:left="567" w:right="822"/>
        <w:jc w:val="both"/>
        <w:rPr>
          <w:rFonts w:ascii="Palatino Linotype" w:eastAsia="Palatino Linotype" w:hAnsi="Palatino Linotype" w:cs="Palatino Linotype"/>
          <w:b/>
          <w:i/>
          <w:sz w:val="22"/>
          <w:szCs w:val="24"/>
        </w:rPr>
      </w:pPr>
    </w:p>
    <w:p w14:paraId="6FCD508A"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 xml:space="preserve">I. Toda la información en posesión </w:t>
      </w:r>
      <w:r w:rsidRPr="00AD43B8">
        <w:rPr>
          <w:rFonts w:ascii="Palatino Linotype" w:eastAsia="Palatino Linotype" w:hAnsi="Palatino Linotype" w:cs="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AD43B8">
        <w:rPr>
          <w:rFonts w:ascii="Palatino Linotype" w:eastAsia="Palatino Linotype" w:hAnsi="Palatino Linotype" w:cs="Palatino Linotype"/>
          <w:b/>
          <w:i/>
          <w:sz w:val="22"/>
          <w:szCs w:val="24"/>
        </w:rPr>
        <w:t>del gobierno y de la administración pública municipal y sus organismos descentralizados</w:t>
      </w:r>
      <w:r w:rsidRPr="00AD43B8">
        <w:rPr>
          <w:rFonts w:ascii="Palatino Linotype" w:eastAsia="Palatino Linotype" w:hAnsi="Palatino Linotype" w:cs="Palatino Linotype"/>
          <w:i/>
          <w:sz w:val="22"/>
          <w:szCs w:val="24"/>
        </w:rPr>
        <w:t xml:space="preserve">, asimismo de cualquier persona física, jurídica colectiva o sindicato que reciba y ejerza recursos públicos o realice actos de autoridad en el ámbito estatal y municipal, </w:t>
      </w:r>
      <w:r w:rsidRPr="00AD43B8">
        <w:rPr>
          <w:rFonts w:ascii="Palatino Linotype" w:eastAsia="Palatino Linotype" w:hAnsi="Palatino Linotype" w:cs="Palatino Linotype"/>
          <w:b/>
          <w:i/>
          <w:sz w:val="22"/>
          <w:szCs w:val="24"/>
        </w:rPr>
        <w:t>es pública</w:t>
      </w:r>
      <w:r w:rsidRPr="00AD43B8">
        <w:rPr>
          <w:rFonts w:ascii="Palatino Linotype" w:eastAsia="Palatino Linotype" w:hAnsi="Palatino Linotype" w:cs="Palatino Linotype"/>
          <w:i/>
          <w:sz w:val="22"/>
          <w:szCs w:val="24"/>
        </w:rPr>
        <w:t xml:space="preserve"> y sólo podrá ser </w:t>
      </w:r>
      <w:r w:rsidRPr="00AD43B8">
        <w:rPr>
          <w:rFonts w:ascii="Palatino Linotype" w:eastAsia="Palatino Linotype" w:hAnsi="Palatino Linotype" w:cs="Palatino Linotype"/>
          <w:i/>
          <w:sz w:val="22"/>
          <w:szCs w:val="24"/>
        </w:rPr>
        <w:lastRenderedPageBreak/>
        <w:t>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FCD508B"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8C"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FCD508D"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8E"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III. Toda persona, sin necesidad de acreditar interés alguno o justificar su utilización, tendrá acceso gratuito a la información pública, a sus datos personales o a la rectificación de éstos.</w:t>
      </w:r>
    </w:p>
    <w:p w14:paraId="6FCD508F"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90"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IV. Se establecerán mecanismos de acceso a la información y procedimientos de revisión expeditos que se sustanciarán ante el organismo autónomo especializado e imparcial que establece esta Constitución.</w:t>
      </w:r>
    </w:p>
    <w:p w14:paraId="6FCD5091"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92"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FCD5093" w14:textId="77777777" w:rsidR="00694C6A" w:rsidRPr="00AD43B8" w:rsidRDefault="00694C6A" w:rsidP="00AD43B8">
      <w:pPr>
        <w:ind w:left="567" w:right="822"/>
        <w:jc w:val="both"/>
        <w:rPr>
          <w:rFonts w:ascii="Palatino Linotype" w:eastAsia="Palatino Linotype" w:hAnsi="Palatino Linotype" w:cs="Palatino Linotype"/>
          <w:b/>
          <w:i/>
          <w:sz w:val="22"/>
          <w:szCs w:val="24"/>
        </w:rPr>
      </w:pPr>
    </w:p>
    <w:p w14:paraId="6FCD5094"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AD43B8">
        <w:rPr>
          <w:rFonts w:ascii="Palatino Linotype" w:eastAsia="Palatino Linotype" w:hAnsi="Palatino Linotype" w:cs="Palatino Linotype"/>
          <w:i/>
          <w:sz w:val="22"/>
          <w:szCs w:val="24"/>
        </w:rPr>
        <w:t xml:space="preserve"> y los indicadores que permitan rendir cuenta del cumplimiento de sus objetivos y los resultados obtenidos.</w:t>
      </w:r>
    </w:p>
    <w:p w14:paraId="6FCD5095" w14:textId="77777777" w:rsidR="00694C6A" w:rsidRPr="00AD43B8" w:rsidRDefault="00694C6A" w:rsidP="00AD43B8">
      <w:pPr>
        <w:ind w:left="567" w:right="822"/>
        <w:jc w:val="both"/>
        <w:rPr>
          <w:rFonts w:ascii="Palatino Linotype" w:eastAsia="Palatino Linotype" w:hAnsi="Palatino Linotype" w:cs="Palatino Linotype"/>
          <w:i/>
          <w:sz w:val="22"/>
          <w:szCs w:val="24"/>
        </w:rPr>
      </w:pPr>
    </w:p>
    <w:p w14:paraId="6FCD5096" w14:textId="77777777" w:rsidR="00694C6A" w:rsidRPr="00AD43B8" w:rsidRDefault="00AD43B8" w:rsidP="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6FCD5097" w14:textId="77777777" w:rsidR="00694C6A" w:rsidRPr="00AD43B8" w:rsidRDefault="00694C6A" w:rsidP="00AD43B8">
      <w:pPr>
        <w:ind w:left="567" w:right="822"/>
        <w:jc w:val="both"/>
        <w:rPr>
          <w:rFonts w:ascii="Palatino Linotype" w:eastAsia="Palatino Linotype" w:hAnsi="Palatino Linotype" w:cs="Palatino Linotype"/>
          <w:sz w:val="22"/>
          <w:szCs w:val="24"/>
        </w:rPr>
      </w:pPr>
    </w:p>
    <w:p w14:paraId="6FCD5098" w14:textId="77777777" w:rsidR="00694C6A" w:rsidRPr="00AD43B8" w:rsidRDefault="00AD43B8" w:rsidP="00AD43B8">
      <w:pPr>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sz w:val="22"/>
          <w:szCs w:val="24"/>
        </w:rPr>
        <w:t>(Énfasis añadido)</w:t>
      </w:r>
    </w:p>
    <w:p w14:paraId="6FCD5099" w14:textId="77777777" w:rsidR="00694C6A" w:rsidRPr="00AD43B8" w:rsidRDefault="00694C6A">
      <w:pPr>
        <w:spacing w:line="360" w:lineRule="auto"/>
        <w:ind w:left="567" w:right="567"/>
        <w:jc w:val="both"/>
        <w:rPr>
          <w:rFonts w:ascii="Palatino Linotype" w:eastAsia="Palatino Linotype" w:hAnsi="Palatino Linotype" w:cs="Palatino Linotype"/>
          <w:sz w:val="24"/>
          <w:szCs w:val="24"/>
        </w:rPr>
      </w:pPr>
    </w:p>
    <w:p w14:paraId="6FCD509A"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lastRenderedPageBreak/>
        <w:t>Adicional, tenemos que la Ley de Transparencia y Acceso a la Información Pública del Estado de México y Municipios, prevé en su artículo 23 fracción I, lo siguiente:</w:t>
      </w:r>
    </w:p>
    <w:p w14:paraId="6FCD509B" w14:textId="77777777" w:rsidR="00694C6A" w:rsidRPr="00AD43B8" w:rsidRDefault="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“Artículo 23. Son sujetos obligados a transparentar y permitir el acceso a su información y proteger los datos personales que obren en su poder</w:t>
      </w:r>
      <w:r w:rsidRPr="00AD43B8">
        <w:rPr>
          <w:rFonts w:ascii="Palatino Linotype" w:eastAsia="Palatino Linotype" w:hAnsi="Palatino Linotype" w:cs="Palatino Linotype"/>
          <w:i/>
          <w:sz w:val="22"/>
          <w:szCs w:val="24"/>
        </w:rPr>
        <w:t>:</w:t>
      </w:r>
    </w:p>
    <w:p w14:paraId="6FCD509C" w14:textId="77777777" w:rsidR="00694C6A" w:rsidRPr="00AD43B8" w:rsidRDefault="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w:t>
      </w:r>
    </w:p>
    <w:p w14:paraId="6FCD509D" w14:textId="77777777" w:rsidR="00694C6A" w:rsidRPr="00AD43B8" w:rsidRDefault="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 xml:space="preserve">I. El Poder Ejecutivo del Estado de México, las dependencias, organismos auxiliares, órganos, entidades, fideicomisos y fondos públicos, así como la </w:t>
      </w:r>
      <w:proofErr w:type="gramStart"/>
      <w:r w:rsidRPr="00AD43B8">
        <w:rPr>
          <w:rFonts w:ascii="Palatino Linotype" w:eastAsia="Palatino Linotype" w:hAnsi="Palatino Linotype" w:cs="Palatino Linotype"/>
          <w:i/>
          <w:sz w:val="22"/>
          <w:szCs w:val="24"/>
        </w:rPr>
        <w:t>Fiscalía General</w:t>
      </w:r>
      <w:proofErr w:type="gramEnd"/>
      <w:r w:rsidRPr="00AD43B8">
        <w:rPr>
          <w:rFonts w:ascii="Palatino Linotype" w:eastAsia="Palatino Linotype" w:hAnsi="Palatino Linotype" w:cs="Palatino Linotype"/>
          <w:i/>
          <w:sz w:val="22"/>
          <w:szCs w:val="24"/>
        </w:rPr>
        <w:t xml:space="preserve"> de Justicia del Estado de México; </w:t>
      </w:r>
    </w:p>
    <w:p w14:paraId="6FCD509E" w14:textId="77777777" w:rsidR="00694C6A" w:rsidRPr="00AD43B8" w:rsidRDefault="00AD43B8">
      <w:pPr>
        <w:ind w:left="567" w:right="822"/>
        <w:jc w:val="both"/>
        <w:rPr>
          <w:rFonts w:ascii="Palatino Linotype" w:eastAsia="Palatino Linotype" w:hAnsi="Palatino Linotype" w:cs="Palatino Linotype"/>
          <w:b/>
          <w:i/>
          <w:sz w:val="22"/>
          <w:szCs w:val="24"/>
        </w:rPr>
      </w:pPr>
      <w:r w:rsidRPr="00AD43B8">
        <w:rPr>
          <w:rFonts w:ascii="Palatino Linotype" w:eastAsia="Palatino Linotype" w:hAnsi="Palatino Linotype" w:cs="Palatino Linotype"/>
          <w:b/>
          <w:i/>
          <w:sz w:val="22"/>
          <w:szCs w:val="24"/>
        </w:rPr>
        <w:t>…</w:t>
      </w:r>
    </w:p>
    <w:p w14:paraId="6FCD509F" w14:textId="77777777" w:rsidR="00694C6A" w:rsidRPr="00AD43B8" w:rsidRDefault="00AD43B8">
      <w:pPr>
        <w:ind w:left="567" w:right="822"/>
        <w:jc w:val="both"/>
        <w:rPr>
          <w:rFonts w:ascii="Palatino Linotype" w:eastAsia="Palatino Linotype" w:hAnsi="Palatino Linotype" w:cs="Palatino Linotype"/>
          <w:b/>
          <w:i/>
          <w:sz w:val="22"/>
          <w:szCs w:val="24"/>
        </w:rPr>
      </w:pPr>
      <w:r w:rsidRPr="00AD43B8">
        <w:rPr>
          <w:rFonts w:ascii="Palatino Linotype" w:eastAsia="Palatino Linotype" w:hAnsi="Palatino Linotype" w:cs="Palatino Linotype"/>
          <w:b/>
          <w:i/>
          <w:sz w:val="22"/>
          <w:szCs w:val="24"/>
        </w:rPr>
        <w:t>Los sujetos obligados deberán hacer pública toda aquella información relativa a los montos y las personas a quienes entreguen, por cualquier motivo, recursos públicos</w:t>
      </w:r>
      <w:r w:rsidRPr="00AD43B8">
        <w:rPr>
          <w:rFonts w:ascii="Palatino Linotype" w:eastAsia="Palatino Linotype" w:hAnsi="Palatino Linotype" w:cs="Palatino Linotype"/>
          <w:i/>
          <w:sz w:val="22"/>
          <w:szCs w:val="24"/>
        </w:rPr>
        <w:t xml:space="preserve">, </w:t>
      </w:r>
      <w:r w:rsidRPr="00AD43B8">
        <w:rPr>
          <w:rFonts w:ascii="Palatino Linotype" w:eastAsia="Palatino Linotype" w:hAnsi="Palatino Linotype" w:cs="Palatino Linotype"/>
          <w:b/>
          <w:i/>
          <w:sz w:val="22"/>
          <w:szCs w:val="24"/>
        </w:rPr>
        <w:t>así como</w:t>
      </w:r>
      <w:r w:rsidRPr="00AD43B8">
        <w:rPr>
          <w:rFonts w:ascii="Palatino Linotype" w:eastAsia="Palatino Linotype" w:hAnsi="Palatino Linotype" w:cs="Palatino Linotype"/>
          <w:i/>
          <w:sz w:val="22"/>
          <w:szCs w:val="24"/>
        </w:rPr>
        <w:t xml:space="preserve"> </w:t>
      </w:r>
      <w:r w:rsidRPr="00AD43B8">
        <w:rPr>
          <w:rFonts w:ascii="Palatino Linotype" w:eastAsia="Palatino Linotype" w:hAnsi="Palatino Linotype" w:cs="Palatino Linotype"/>
          <w:b/>
          <w:i/>
          <w:sz w:val="22"/>
          <w:szCs w:val="24"/>
        </w:rPr>
        <w:t>los informes que dichas personas les entreguen sobre el uso y destino de dichos recursos.</w:t>
      </w:r>
    </w:p>
    <w:p w14:paraId="6FCD50A0" w14:textId="77777777" w:rsidR="00694C6A" w:rsidRPr="00AD43B8" w:rsidRDefault="00694C6A">
      <w:pPr>
        <w:ind w:left="567" w:right="822"/>
        <w:jc w:val="both"/>
        <w:rPr>
          <w:rFonts w:ascii="Palatino Linotype" w:eastAsia="Palatino Linotype" w:hAnsi="Palatino Linotype" w:cs="Palatino Linotype"/>
          <w:b/>
          <w:i/>
          <w:sz w:val="22"/>
          <w:szCs w:val="24"/>
        </w:rPr>
      </w:pPr>
    </w:p>
    <w:p w14:paraId="6FCD50A1" w14:textId="77777777" w:rsidR="00694C6A" w:rsidRPr="00AD43B8" w:rsidRDefault="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 xml:space="preserve">Los servidores públicos deberán transparentar sus </w:t>
      </w:r>
      <w:proofErr w:type="gramStart"/>
      <w:r w:rsidRPr="00AD43B8">
        <w:rPr>
          <w:rFonts w:ascii="Palatino Linotype" w:eastAsia="Palatino Linotype" w:hAnsi="Palatino Linotype" w:cs="Palatino Linotype"/>
          <w:b/>
          <w:i/>
          <w:sz w:val="22"/>
          <w:szCs w:val="24"/>
        </w:rPr>
        <w:t>acciones</w:t>
      </w:r>
      <w:proofErr w:type="gramEnd"/>
      <w:r w:rsidRPr="00AD43B8">
        <w:rPr>
          <w:rFonts w:ascii="Palatino Linotype" w:eastAsia="Palatino Linotype" w:hAnsi="Palatino Linotype" w:cs="Palatino Linotype"/>
          <w:b/>
          <w:i/>
          <w:sz w:val="22"/>
          <w:szCs w:val="24"/>
        </w:rPr>
        <w:t xml:space="preserve"> así como garantizar y respetar el derecho de acceso a la información pública.”</w:t>
      </w:r>
    </w:p>
    <w:p w14:paraId="6FCD50A2" w14:textId="77777777" w:rsidR="00694C6A" w:rsidRPr="00AD43B8" w:rsidRDefault="00AD43B8">
      <w:pPr>
        <w:ind w:left="567" w:right="822"/>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i/>
          <w:sz w:val="22"/>
          <w:szCs w:val="24"/>
        </w:rPr>
        <w:t>(Énfasis añadido)</w:t>
      </w:r>
    </w:p>
    <w:p w14:paraId="6FCD50A3" w14:textId="77777777" w:rsidR="00694C6A" w:rsidRPr="00AD43B8" w:rsidRDefault="00694C6A">
      <w:pPr>
        <w:spacing w:line="360" w:lineRule="auto"/>
        <w:jc w:val="both"/>
        <w:rPr>
          <w:rFonts w:ascii="Palatino Linotype" w:eastAsia="Palatino Linotype" w:hAnsi="Palatino Linotype" w:cs="Palatino Linotype"/>
          <w:sz w:val="24"/>
          <w:szCs w:val="24"/>
        </w:rPr>
      </w:pPr>
    </w:p>
    <w:p w14:paraId="6FCD50A4"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FCD50A5"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A6"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Por lo anterior, es de referir que,</w:t>
      </w:r>
      <w:r w:rsidRPr="00AD43B8">
        <w:rPr>
          <w:rFonts w:ascii="Palatino Linotype" w:eastAsia="Palatino Linotype" w:hAnsi="Palatino Linotype" w:cs="Palatino Linotype"/>
          <w:b/>
          <w:color w:val="000000"/>
          <w:sz w:val="24"/>
          <w:szCs w:val="24"/>
        </w:rPr>
        <w:t xml:space="preserve"> la Secretaría de Educación</w:t>
      </w:r>
      <w:r w:rsidRPr="00AD43B8">
        <w:rPr>
          <w:rFonts w:ascii="Palatino Linotype" w:eastAsia="Palatino Linotype" w:hAnsi="Palatino Linotype" w:cs="Palatino Linotype"/>
          <w:color w:val="000000"/>
          <w:sz w:val="24"/>
          <w:szCs w:val="24"/>
        </w:rPr>
        <w:t>, al ser un Sujeto Obligado comprendido por la Legislación Local en materia de Transparencia, se encuentra obligado a hacer pública toda aquella información que genere, administre o posea.</w:t>
      </w:r>
    </w:p>
    <w:p w14:paraId="6FCD50A7"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0A8" w14:textId="77777777" w:rsidR="00694C6A" w:rsidRPr="00AD43B8" w:rsidRDefault="00AD43B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4"/>
          <w:szCs w:val="24"/>
        </w:rPr>
      </w:pPr>
      <w:bookmarkStart w:id="9" w:name="_heading=h.2s8eyo1" w:colFirst="0" w:colLast="0"/>
      <w:bookmarkEnd w:id="9"/>
      <w:r w:rsidRPr="00AD43B8">
        <w:rPr>
          <w:rFonts w:ascii="Palatino Linotype" w:eastAsia="Palatino Linotype" w:hAnsi="Palatino Linotype" w:cs="Palatino Linotype"/>
          <w:b/>
          <w:color w:val="000000"/>
          <w:sz w:val="24"/>
          <w:szCs w:val="24"/>
        </w:rPr>
        <w:t xml:space="preserve">II. De la información requerida. </w:t>
      </w:r>
    </w:p>
    <w:p w14:paraId="6FCD50A9"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AD43B8">
        <w:rPr>
          <w:rFonts w:ascii="Palatino Linotype" w:eastAsia="Palatino Linotype" w:hAnsi="Palatino Linotype" w:cs="Palatino Linotype"/>
          <w:color w:val="000000"/>
          <w:sz w:val="24"/>
          <w:szCs w:val="24"/>
        </w:rPr>
        <w:lastRenderedPageBreak/>
        <w:t xml:space="preserve">Conocida la respuesta, el Recurrente promovió recurso de revisión manifestando su inconformidad porque no se entregaron los expedientes completos de los trabajos de reparación y mantenimiento realizados en la EPO 209. </w:t>
      </w:r>
      <w:r w:rsidRPr="00AD43B8">
        <w:rPr>
          <w:rFonts w:ascii="Palatino Linotype" w:eastAsia="Palatino Linotype" w:hAnsi="Palatino Linotype" w:cs="Palatino Linotype"/>
          <w:b/>
          <w:color w:val="000000"/>
          <w:sz w:val="24"/>
          <w:szCs w:val="24"/>
        </w:rPr>
        <w:t xml:space="preserve">No mostró agravio respecto a las acciones realizadas por el Órgano Interno de Control por posibles actos de uso de recursos públicos a beneficio personal de los Directivos del Plantel. </w:t>
      </w:r>
      <w:r w:rsidRPr="00AD43B8">
        <w:rPr>
          <w:rFonts w:ascii="Palatino Linotype" w:eastAsia="Palatino Linotype" w:hAnsi="Palatino Linotype" w:cs="Palatino Linotype"/>
          <w:color w:val="000000"/>
          <w:sz w:val="24"/>
          <w:szCs w:val="24"/>
        </w:rPr>
        <w:t>En consecuencia, dicho rubro debe declararse atendido,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FCD50AA" w14:textId="77777777" w:rsidR="00694C6A" w:rsidRPr="00AD43B8" w:rsidRDefault="00AD43B8">
      <w:pPr>
        <w:spacing w:before="240" w:after="360"/>
        <w:ind w:left="851" w:right="900"/>
        <w:jc w:val="both"/>
        <w:rPr>
          <w:rFonts w:ascii="Palatino Linotype" w:eastAsia="Palatino Linotype" w:hAnsi="Palatino Linotype" w:cs="Palatino Linotype"/>
          <w:i/>
          <w:sz w:val="22"/>
          <w:szCs w:val="24"/>
        </w:rPr>
      </w:pPr>
      <w:r w:rsidRPr="00AD43B8">
        <w:rPr>
          <w:rFonts w:ascii="Palatino Linotype" w:eastAsia="Palatino Linotype" w:hAnsi="Palatino Linotype" w:cs="Palatino Linotype"/>
          <w:b/>
          <w:i/>
          <w:sz w:val="22"/>
          <w:szCs w:val="24"/>
        </w:rPr>
        <w:t xml:space="preserve">“REVISIÓN EN AMPARO. LOS RESOLUTIVOS NO COMBATIDOS DEBEN DECLARARSE FIRMES. </w:t>
      </w:r>
      <w:r w:rsidRPr="00AD43B8">
        <w:rPr>
          <w:rFonts w:ascii="Palatino Linotype" w:eastAsia="Palatino Linotype" w:hAnsi="Palatino Linotype" w:cs="Palatino Linotype"/>
          <w:i/>
          <w:sz w:val="22"/>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FCD50AB" w14:textId="77777777" w:rsidR="00694C6A" w:rsidRPr="00AD43B8" w:rsidRDefault="00AD43B8">
      <w:pPr>
        <w:numPr>
          <w:ilvl w:val="0"/>
          <w:numId w:val="10"/>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6FCD50AC"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0AD"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lastRenderedPageBreak/>
        <w:t>Sirve de sustento a lo anterior por analogía la tesis jurisprudencial número VI.3o.C. J/60, publicada en el Semanario Judicial de la Federación y su Gaceta bajo el número de registro 176,608 que a la letra dice:</w:t>
      </w:r>
    </w:p>
    <w:p w14:paraId="6FCD50AE" w14:textId="77777777" w:rsidR="00694C6A" w:rsidRPr="00AD43B8" w:rsidRDefault="00AD43B8" w:rsidP="00AD43B8">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b/>
          <w:i/>
          <w:smallCaps/>
          <w:color w:val="000000"/>
          <w:sz w:val="22"/>
          <w:szCs w:val="24"/>
        </w:rPr>
        <w:t xml:space="preserve">“ACTOS CONSENTIDOS. SON LOS QUE NO SE IMPUGNAN MEDIANTE EL RECURSO IDÓNEO. </w:t>
      </w:r>
      <w:r w:rsidRPr="00AD43B8">
        <w:rPr>
          <w:rFonts w:ascii="Palatino Linotype" w:eastAsia="Palatino Linotype" w:hAnsi="Palatino Linotype" w:cs="Palatino Linotype"/>
          <w:i/>
          <w:color w:val="000000"/>
          <w:sz w:val="22"/>
          <w:szCs w:val="24"/>
        </w:rPr>
        <w:t xml:space="preserve">Debe reputarse como consentido el acto que no se impugnó por el medio establecido por la ley, </w:t>
      </w:r>
      <w:proofErr w:type="gramStart"/>
      <w:r w:rsidRPr="00AD43B8">
        <w:rPr>
          <w:rFonts w:ascii="Palatino Linotype" w:eastAsia="Palatino Linotype" w:hAnsi="Palatino Linotype" w:cs="Palatino Linotype"/>
          <w:i/>
          <w:color w:val="000000"/>
          <w:sz w:val="22"/>
          <w:szCs w:val="24"/>
        </w:rPr>
        <w:t>ya que</w:t>
      </w:r>
      <w:proofErr w:type="gramEnd"/>
      <w:r w:rsidRPr="00AD43B8">
        <w:rPr>
          <w:rFonts w:ascii="Palatino Linotype" w:eastAsia="Palatino Linotype" w:hAnsi="Palatino Linotype" w:cs="Palatino Linotype"/>
          <w:i/>
          <w:color w:val="000000"/>
          <w:sz w:val="22"/>
          <w:szCs w:val="24"/>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FCD50AF" w14:textId="77777777" w:rsidR="00694C6A" w:rsidRPr="00AD43B8" w:rsidRDefault="00694C6A">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6FCD50B0" w14:textId="77777777" w:rsidR="00694C6A" w:rsidRPr="00AD43B8" w:rsidRDefault="00AD43B8">
      <w:pPr>
        <w:numPr>
          <w:ilvl w:val="0"/>
          <w:numId w:val="10"/>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Por lo que el Estudio se centrará únicamente por los puntos de los que el particular mostró agravio, siendo esto, los expedientes de los trabajos de reparación y mantenimiento realizados en el EPO 209 de septiembre de 2021 al veinticinco (25) de septiembre de 2023.</w:t>
      </w:r>
    </w:p>
    <w:p w14:paraId="6FCD50B1" w14:textId="77777777" w:rsidR="00694C6A" w:rsidRPr="00AD43B8" w:rsidRDefault="00694C6A">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6FCD50B2" w14:textId="77777777" w:rsidR="00694C6A" w:rsidRPr="00AD43B8" w:rsidRDefault="00AD43B8">
      <w:pPr>
        <w:numPr>
          <w:ilvl w:val="0"/>
          <w:numId w:val="10"/>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Se enfatiza el hecho de verificar que la información a entregar cumpla con las características y cualidades que establece el referido artículo 11 de la Ley de Transparencia Local, el cual contiene lo siguiente:</w:t>
      </w:r>
    </w:p>
    <w:p w14:paraId="6FCD50B3" w14:textId="77777777" w:rsidR="00694C6A" w:rsidRPr="00AD43B8" w:rsidRDefault="00AD43B8">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b/>
          <w:i/>
          <w:color w:val="000000"/>
          <w:sz w:val="22"/>
          <w:szCs w:val="24"/>
        </w:rPr>
        <w:t>Artículo 11. En la generación, publicación y entrega de información se deberá garantizar que ésta sea accesible,</w:t>
      </w:r>
      <w:r w:rsidRPr="00AD43B8">
        <w:rPr>
          <w:rFonts w:ascii="Palatino Linotype" w:eastAsia="Palatino Linotype" w:hAnsi="Palatino Linotype" w:cs="Palatino Linotype"/>
          <w:i/>
          <w:color w:val="000000"/>
          <w:sz w:val="22"/>
          <w:szCs w:val="24"/>
        </w:rPr>
        <w:t xml:space="preserve"> actualizada, </w:t>
      </w:r>
      <w:r w:rsidRPr="00AD43B8">
        <w:rPr>
          <w:rFonts w:ascii="Palatino Linotype" w:eastAsia="Palatino Linotype" w:hAnsi="Palatino Linotype" w:cs="Palatino Linotype"/>
          <w:b/>
          <w:i/>
          <w:color w:val="000000"/>
          <w:sz w:val="22"/>
          <w:szCs w:val="24"/>
        </w:rPr>
        <w:t>completa</w:t>
      </w:r>
      <w:r w:rsidRPr="00AD43B8">
        <w:rPr>
          <w:rFonts w:ascii="Palatino Linotype" w:eastAsia="Palatino Linotype" w:hAnsi="Palatino Linotype" w:cs="Palatino Linotype"/>
          <w:i/>
          <w:color w:val="000000"/>
          <w:sz w:val="22"/>
          <w:szCs w:val="24"/>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6FCD50B4"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0B5"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lastRenderedPageBreak/>
        <w:t>Tal y como se muestra en el precepto legal citado, en la entrega de la información se debe garantizar que esta sea accesible, lo cual se relaciona con el artículo 22 del mismo cuerpo normativo, el cual refiere lo siguiente:</w:t>
      </w:r>
    </w:p>
    <w:p w14:paraId="6FCD50B6" w14:textId="77777777" w:rsidR="00694C6A" w:rsidRPr="00AD43B8" w:rsidRDefault="00694C6A">
      <w:pPr>
        <w:pBdr>
          <w:top w:val="nil"/>
          <w:left w:val="nil"/>
          <w:bottom w:val="nil"/>
          <w:right w:val="nil"/>
          <w:between w:val="nil"/>
        </w:pBdr>
        <w:rPr>
          <w:rFonts w:ascii="Palatino Linotype" w:eastAsia="Palatino Linotype" w:hAnsi="Palatino Linotype" w:cs="Palatino Linotype"/>
          <w:color w:val="000000"/>
          <w:sz w:val="24"/>
          <w:szCs w:val="24"/>
        </w:rPr>
      </w:pPr>
    </w:p>
    <w:p w14:paraId="6FCD50B7" w14:textId="77777777" w:rsidR="00694C6A" w:rsidRPr="00AD43B8" w:rsidRDefault="00AD43B8" w:rsidP="00AD43B8">
      <w:pPr>
        <w:pBdr>
          <w:top w:val="nil"/>
          <w:left w:val="nil"/>
          <w:bottom w:val="nil"/>
          <w:right w:val="nil"/>
          <w:between w:val="nil"/>
        </w:pBdr>
        <w:tabs>
          <w:tab w:val="left" w:pos="426"/>
          <w:tab w:val="left" w:pos="851"/>
        </w:tabs>
        <w:spacing w:line="360" w:lineRule="auto"/>
        <w:ind w:left="567" w:right="822"/>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b/>
          <w:i/>
          <w:color w:val="000000"/>
          <w:sz w:val="22"/>
          <w:szCs w:val="24"/>
        </w:rPr>
        <w:t>Artículo 22. En el procedimiento de acceso, entrega y publicación de la información se propiciarán las condiciones necesarias para que ésta sea accesible a cualquier persona</w:t>
      </w:r>
      <w:r w:rsidRPr="00AD43B8">
        <w:rPr>
          <w:rFonts w:ascii="Palatino Linotype" w:eastAsia="Palatino Linotype" w:hAnsi="Palatino Linotype" w:cs="Palatino Linotype"/>
          <w:i/>
          <w:color w:val="000000"/>
          <w:sz w:val="22"/>
          <w:szCs w:val="24"/>
        </w:rPr>
        <w:t>, de conformidad con el artículo 5 de la Constitución Local y demás disposiciones de la materia.</w:t>
      </w:r>
    </w:p>
    <w:p w14:paraId="6FCD50B8" w14:textId="77777777" w:rsidR="00694C6A" w:rsidRPr="00AD43B8" w:rsidRDefault="00694C6A">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6FCD50B9" w14:textId="77777777" w:rsidR="00694C6A" w:rsidRPr="00AD43B8" w:rsidRDefault="00AD43B8">
      <w:pPr>
        <w:numPr>
          <w:ilvl w:val="0"/>
          <w:numId w:val="10"/>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Al establecer “</w:t>
      </w:r>
      <w:r w:rsidRPr="00AD43B8">
        <w:rPr>
          <w:rFonts w:ascii="Palatino Linotype" w:eastAsia="Palatino Linotype" w:hAnsi="Palatino Linotype" w:cs="Palatino Linotype"/>
          <w:i/>
          <w:color w:val="000000"/>
          <w:sz w:val="24"/>
          <w:szCs w:val="24"/>
        </w:rPr>
        <w:t>condiciones necesarias para que esta sea accesible</w:t>
      </w:r>
      <w:r w:rsidRPr="00AD43B8">
        <w:rPr>
          <w:rFonts w:ascii="Palatino Linotype" w:eastAsia="Palatino Linotype" w:hAnsi="Palatino Linotype" w:cs="Palatino Linotype"/>
          <w:color w:val="000000"/>
          <w:sz w:val="24"/>
          <w:szCs w:val="24"/>
        </w:rPr>
        <w:t>”, abarca muchos factores, algunos más complejos y específicos como accesibilidad a personas con discapacidad o lenguas indígenas, como algunos más simples, como en el presente asunto en particular, que la entrega de la información completa.</w:t>
      </w:r>
    </w:p>
    <w:p w14:paraId="6FCD50BA" w14:textId="77777777" w:rsidR="00694C6A" w:rsidRPr="00AD43B8" w:rsidRDefault="00694C6A">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6FCD50BB" w14:textId="77777777" w:rsidR="00694C6A" w:rsidRPr="00AD43B8" w:rsidRDefault="00AD43B8">
      <w:pPr>
        <w:numPr>
          <w:ilvl w:val="0"/>
          <w:numId w:val="10"/>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La información que proporcionen los Sujetos Obligados para dar cumplimiento al derecho de acceso a la información debe ser clara, precisa y completa, para cumplir en estricto sentido con el principio de accesibilidad, puesto que de lo contrario se restringe de manera ilegítima el derecho de los particulares al impedirles conocer el contenido de los documentos solicitados.</w:t>
      </w:r>
    </w:p>
    <w:p w14:paraId="6FCD50BC"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0BD"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0BE"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Dicho lo anterior, el análisis de la fuente obligacional es para fijar las atribuciones, facultades o competencias para generar, administrar o poseer la información solicitada; sin embargo, en aquellos casos que los Sujetos Obligados asuman que generan, poseen o </w:t>
      </w:r>
      <w:r w:rsidRPr="00AD43B8">
        <w:rPr>
          <w:rFonts w:ascii="Palatino Linotype" w:eastAsia="Palatino Linotype" w:hAnsi="Palatino Linotype" w:cs="Palatino Linotype"/>
          <w:sz w:val="24"/>
          <w:szCs w:val="24"/>
        </w:rPr>
        <w:lastRenderedPageBreak/>
        <w:t>administran lo requerido, a nada practico nos conduciría el análisis de la fuente obligacional, tal y como sucede en el asunto que se resuelve, pues a través de la respuesta e informe justificado el Sujeto Obligado entrega información relacionada con los expedientes de mantenimiento y reparación realizados en la Escuela Preparatoria Oficial 209 señalada por el Recurrente.</w:t>
      </w:r>
    </w:p>
    <w:p w14:paraId="6FCD50BF"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0C0"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Dicho lo anterior, en Respuesta, el Sujeto Obligado entregó la siguiente información:</w:t>
      </w:r>
    </w:p>
    <w:p w14:paraId="6FCD50C1" w14:textId="77777777" w:rsidR="00694C6A" w:rsidRPr="00AD43B8" w:rsidRDefault="00AD43B8" w:rsidP="00AD43B8">
      <w:pPr>
        <w:numPr>
          <w:ilvl w:val="0"/>
          <w:numId w:val="11"/>
        </w:numPr>
        <w:pBdr>
          <w:top w:val="nil"/>
          <w:left w:val="nil"/>
          <w:bottom w:val="nil"/>
          <w:right w:val="nil"/>
          <w:between w:val="nil"/>
        </w:pBdr>
        <w:spacing w:before="240" w:line="360" w:lineRule="auto"/>
        <w:ind w:right="680"/>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Estados de cuenta del mes de abril de 2022.</w:t>
      </w:r>
    </w:p>
    <w:p w14:paraId="6FCD50C2" w14:textId="77777777" w:rsidR="00694C6A" w:rsidRPr="00AD43B8" w:rsidRDefault="00AD43B8" w:rsidP="00AD43B8">
      <w:pPr>
        <w:numPr>
          <w:ilvl w:val="0"/>
          <w:numId w:val="11"/>
        </w:numPr>
        <w:pBdr>
          <w:top w:val="nil"/>
          <w:left w:val="nil"/>
          <w:bottom w:val="nil"/>
          <w:right w:val="nil"/>
          <w:between w:val="nil"/>
        </w:pBdr>
        <w:spacing w:line="360" w:lineRule="auto"/>
        <w:ind w:right="680"/>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Cotizaciones de materiales y fotografías</w:t>
      </w:r>
    </w:p>
    <w:p w14:paraId="6FCD50C3" w14:textId="77777777" w:rsidR="00694C6A" w:rsidRPr="00AD43B8" w:rsidRDefault="00AD43B8" w:rsidP="00AD43B8">
      <w:pPr>
        <w:numPr>
          <w:ilvl w:val="0"/>
          <w:numId w:val="11"/>
        </w:numPr>
        <w:pBdr>
          <w:top w:val="nil"/>
          <w:left w:val="nil"/>
          <w:bottom w:val="nil"/>
          <w:right w:val="nil"/>
          <w:between w:val="nil"/>
        </w:pBdr>
        <w:spacing w:line="360" w:lineRule="auto"/>
        <w:ind w:right="680"/>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Autorización del ejercicio de gastos a favor de Rodrigo Valdes Valenzuela por concepto de cercado eléctrico.</w:t>
      </w:r>
    </w:p>
    <w:p w14:paraId="6FCD50C4" w14:textId="77777777" w:rsidR="00694C6A" w:rsidRPr="00AD43B8" w:rsidRDefault="00AD43B8" w:rsidP="00AD43B8">
      <w:pPr>
        <w:numPr>
          <w:ilvl w:val="0"/>
          <w:numId w:val="11"/>
        </w:numPr>
        <w:pBdr>
          <w:top w:val="nil"/>
          <w:left w:val="nil"/>
          <w:bottom w:val="nil"/>
          <w:right w:val="nil"/>
          <w:between w:val="nil"/>
        </w:pBdr>
        <w:spacing w:line="360" w:lineRule="auto"/>
        <w:ind w:right="680"/>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 xml:space="preserve">Documento signado por la </w:t>
      </w:r>
      <w:proofErr w:type="gramStart"/>
      <w:r w:rsidRPr="00AD43B8">
        <w:rPr>
          <w:rFonts w:ascii="Palatino Linotype" w:eastAsia="Palatino Linotype" w:hAnsi="Palatino Linotype" w:cs="Palatino Linotype"/>
          <w:color w:val="000000"/>
          <w:sz w:val="22"/>
          <w:szCs w:val="24"/>
        </w:rPr>
        <w:t>Secretaria</w:t>
      </w:r>
      <w:proofErr w:type="gramEnd"/>
      <w:r w:rsidRPr="00AD43B8">
        <w:rPr>
          <w:rFonts w:ascii="Palatino Linotype" w:eastAsia="Palatino Linotype" w:hAnsi="Palatino Linotype" w:cs="Palatino Linotype"/>
          <w:color w:val="000000"/>
          <w:sz w:val="22"/>
          <w:szCs w:val="24"/>
        </w:rPr>
        <w:t xml:space="preserve"> Escolar en el que refiere que remite el informe financiero correspondiente al bimestre MAYO-JUNIO de 2022.</w:t>
      </w:r>
    </w:p>
    <w:p w14:paraId="6FCD50C5" w14:textId="77777777" w:rsidR="00694C6A" w:rsidRPr="00AD43B8" w:rsidRDefault="00AD43B8" w:rsidP="00AD43B8">
      <w:pPr>
        <w:numPr>
          <w:ilvl w:val="0"/>
          <w:numId w:val="11"/>
        </w:numPr>
        <w:pBdr>
          <w:top w:val="nil"/>
          <w:left w:val="nil"/>
          <w:bottom w:val="nil"/>
          <w:right w:val="nil"/>
          <w:between w:val="nil"/>
        </w:pBdr>
        <w:spacing w:line="360" w:lineRule="auto"/>
        <w:ind w:right="680"/>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 xml:space="preserve">Autorización del informe financiero para revisión por parte del </w:t>
      </w:r>
      <w:proofErr w:type="gramStart"/>
      <w:r w:rsidRPr="00AD43B8">
        <w:rPr>
          <w:rFonts w:ascii="Palatino Linotype" w:eastAsia="Palatino Linotype" w:hAnsi="Palatino Linotype" w:cs="Palatino Linotype"/>
          <w:color w:val="000000"/>
          <w:sz w:val="22"/>
          <w:szCs w:val="24"/>
        </w:rPr>
        <w:t>Director General</w:t>
      </w:r>
      <w:proofErr w:type="gramEnd"/>
      <w:r w:rsidRPr="00AD43B8">
        <w:rPr>
          <w:rFonts w:ascii="Palatino Linotype" w:eastAsia="Palatino Linotype" w:hAnsi="Palatino Linotype" w:cs="Palatino Linotype"/>
          <w:color w:val="000000"/>
          <w:sz w:val="22"/>
          <w:szCs w:val="24"/>
        </w:rPr>
        <w:t xml:space="preserve"> de Supervisión de Ingresos y Egresos de Instituciones Educativas;</w:t>
      </w:r>
    </w:p>
    <w:p w14:paraId="6FCD50C6" w14:textId="77777777" w:rsidR="00694C6A" w:rsidRPr="00AD43B8" w:rsidRDefault="00AD43B8" w:rsidP="00AD43B8">
      <w:pPr>
        <w:numPr>
          <w:ilvl w:val="0"/>
          <w:numId w:val="11"/>
        </w:numPr>
        <w:pBdr>
          <w:top w:val="nil"/>
          <w:left w:val="nil"/>
          <w:bottom w:val="nil"/>
          <w:right w:val="nil"/>
          <w:between w:val="nil"/>
        </w:pBdr>
        <w:spacing w:line="360" w:lineRule="auto"/>
        <w:ind w:right="680"/>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Dos Solicitudes de gasto corriente de la Escuela Oficial 209 rechazadas de fecha 08/09/2023 y 02/05/2022</w:t>
      </w:r>
    </w:p>
    <w:p w14:paraId="6FCD50C7" w14:textId="77777777" w:rsidR="00694C6A" w:rsidRPr="00AD43B8" w:rsidRDefault="00AD43B8" w:rsidP="00AD43B8">
      <w:pPr>
        <w:numPr>
          <w:ilvl w:val="0"/>
          <w:numId w:val="11"/>
        </w:numPr>
        <w:pBdr>
          <w:top w:val="nil"/>
          <w:left w:val="nil"/>
          <w:bottom w:val="nil"/>
          <w:right w:val="nil"/>
          <w:between w:val="nil"/>
        </w:pBdr>
        <w:spacing w:line="360" w:lineRule="auto"/>
        <w:ind w:right="680"/>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Autorización del ejercicio de gastos a favor de Miriam Fuentes Coyote por concepto de mantenimiento general a la institución reparación de línea eléctrica y pintura por un monto de $1, 595,345.68.</w:t>
      </w:r>
    </w:p>
    <w:p w14:paraId="6FCD50C8" w14:textId="77777777" w:rsidR="00694C6A" w:rsidRPr="00AD43B8" w:rsidRDefault="00AD43B8" w:rsidP="00AD43B8">
      <w:pPr>
        <w:numPr>
          <w:ilvl w:val="0"/>
          <w:numId w:val="11"/>
        </w:numPr>
        <w:pBdr>
          <w:top w:val="nil"/>
          <w:left w:val="nil"/>
          <w:bottom w:val="nil"/>
          <w:right w:val="nil"/>
          <w:between w:val="nil"/>
        </w:pBdr>
        <w:spacing w:after="240" w:line="360" w:lineRule="auto"/>
        <w:ind w:right="680"/>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 xml:space="preserve">Autorización del ejercicio de gastos a favor de Enrique Guillermo Contreras Miller por concepto de Reparación y Mantenimiento de Inmuebles </w:t>
      </w:r>
      <w:r w:rsidR="00FE3DB1" w:rsidRPr="00AD43B8">
        <w:rPr>
          <w:rFonts w:ascii="Palatino Linotype" w:eastAsia="Palatino Linotype" w:hAnsi="Palatino Linotype" w:cs="Palatino Linotype"/>
          <w:color w:val="000000"/>
          <w:sz w:val="22"/>
          <w:szCs w:val="24"/>
        </w:rPr>
        <w:t>División</w:t>
      </w:r>
      <w:r w:rsidRPr="00AD43B8">
        <w:rPr>
          <w:rFonts w:ascii="Palatino Linotype" w:eastAsia="Palatino Linotype" w:hAnsi="Palatino Linotype" w:cs="Palatino Linotype"/>
          <w:color w:val="000000"/>
          <w:sz w:val="22"/>
          <w:szCs w:val="24"/>
        </w:rPr>
        <w:t xml:space="preserve"> de Durock con reforzamiento de metal, afinado de paredes y pintura por un monto de $1, 384,963.68.</w:t>
      </w:r>
    </w:p>
    <w:p w14:paraId="6FCD50C9" w14:textId="77777777" w:rsidR="00694C6A" w:rsidRPr="00AD43B8" w:rsidRDefault="00694C6A">
      <w:pPr>
        <w:spacing w:line="360" w:lineRule="auto"/>
        <w:jc w:val="both"/>
        <w:rPr>
          <w:rFonts w:ascii="Palatino Linotype" w:eastAsia="Palatino Linotype" w:hAnsi="Palatino Linotype" w:cs="Palatino Linotype"/>
          <w:sz w:val="24"/>
          <w:szCs w:val="24"/>
        </w:rPr>
      </w:pPr>
    </w:p>
    <w:p w14:paraId="6FCD50CA"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El Recurrente se inconformó porque la información estaba incompleta, argumentando lo siguiente:</w:t>
      </w:r>
    </w:p>
    <w:p w14:paraId="6FCD50CB" w14:textId="77777777" w:rsidR="00694C6A" w:rsidRPr="00AD43B8" w:rsidRDefault="00AD43B8">
      <w:pPr>
        <w:numPr>
          <w:ilvl w:val="0"/>
          <w:numId w:val="1"/>
        </w:numPr>
        <w:pBdr>
          <w:top w:val="nil"/>
          <w:left w:val="nil"/>
          <w:bottom w:val="nil"/>
          <w:right w:val="nil"/>
          <w:between w:val="nil"/>
        </w:pBdr>
        <w:spacing w:line="360" w:lineRule="auto"/>
        <w:ind w:left="851" w:right="822" w:hanging="284"/>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 xml:space="preserve">Se solicitó los expedientes (todos) de los trabajos de reparación y mantenimiento realizados en el epo 209 y cada expediente consta desde </w:t>
      </w:r>
    </w:p>
    <w:p w14:paraId="6FCD50CC" w14:textId="77777777" w:rsidR="00694C6A" w:rsidRPr="00AD43B8" w:rsidRDefault="00AD43B8">
      <w:pPr>
        <w:numPr>
          <w:ilvl w:val="0"/>
          <w:numId w:val="1"/>
        </w:numPr>
        <w:pBdr>
          <w:top w:val="nil"/>
          <w:left w:val="nil"/>
          <w:bottom w:val="nil"/>
          <w:right w:val="nil"/>
          <w:between w:val="nil"/>
        </w:pBdr>
        <w:spacing w:line="360" w:lineRule="auto"/>
        <w:ind w:left="851" w:right="822" w:hanging="284"/>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La solicitud y aviso a la dirección de media superior</w:t>
      </w:r>
    </w:p>
    <w:p w14:paraId="6FCD50CD" w14:textId="77777777" w:rsidR="00694C6A" w:rsidRPr="00AD43B8" w:rsidRDefault="00AD43B8">
      <w:pPr>
        <w:numPr>
          <w:ilvl w:val="0"/>
          <w:numId w:val="1"/>
        </w:numPr>
        <w:pBdr>
          <w:top w:val="nil"/>
          <w:left w:val="nil"/>
          <w:bottom w:val="nil"/>
          <w:right w:val="nil"/>
          <w:between w:val="nil"/>
        </w:pBdr>
        <w:spacing w:line="360" w:lineRule="auto"/>
        <w:ind w:left="851" w:right="822" w:hanging="284"/>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Justificación</w:t>
      </w:r>
    </w:p>
    <w:p w14:paraId="6FCD50CE" w14:textId="77777777" w:rsidR="00694C6A" w:rsidRPr="00AD43B8" w:rsidRDefault="00AD43B8">
      <w:pPr>
        <w:numPr>
          <w:ilvl w:val="0"/>
          <w:numId w:val="1"/>
        </w:numPr>
        <w:pBdr>
          <w:top w:val="nil"/>
          <w:left w:val="nil"/>
          <w:bottom w:val="nil"/>
          <w:right w:val="nil"/>
          <w:between w:val="nil"/>
        </w:pBdr>
        <w:spacing w:line="360" w:lineRule="auto"/>
        <w:ind w:left="851" w:right="822" w:hanging="284"/>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La solicitud a dirección de ingresos, en su caso la solicitud de autorización a imife</w:t>
      </w:r>
    </w:p>
    <w:p w14:paraId="6FCD50CF" w14:textId="77777777" w:rsidR="00694C6A" w:rsidRPr="00AD43B8" w:rsidRDefault="00AD43B8">
      <w:pPr>
        <w:numPr>
          <w:ilvl w:val="0"/>
          <w:numId w:val="1"/>
        </w:numPr>
        <w:pBdr>
          <w:top w:val="nil"/>
          <w:left w:val="nil"/>
          <w:bottom w:val="nil"/>
          <w:right w:val="nil"/>
          <w:between w:val="nil"/>
        </w:pBdr>
        <w:spacing w:line="360" w:lineRule="auto"/>
        <w:ind w:left="851" w:right="822" w:hanging="284"/>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Evidencia fotográfica del antes</w:t>
      </w:r>
    </w:p>
    <w:p w14:paraId="6FCD50D0" w14:textId="77777777" w:rsidR="00694C6A" w:rsidRPr="00AD43B8" w:rsidRDefault="00AD43B8">
      <w:pPr>
        <w:numPr>
          <w:ilvl w:val="0"/>
          <w:numId w:val="1"/>
        </w:numPr>
        <w:pBdr>
          <w:top w:val="nil"/>
          <w:left w:val="nil"/>
          <w:bottom w:val="nil"/>
          <w:right w:val="nil"/>
          <w:between w:val="nil"/>
        </w:pBdr>
        <w:spacing w:line="360" w:lineRule="auto"/>
        <w:ind w:left="851" w:right="822" w:hanging="284"/>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La presentación de mínimo 3 presupuestos</w:t>
      </w:r>
    </w:p>
    <w:p w14:paraId="6FCD50D1" w14:textId="77777777" w:rsidR="00694C6A" w:rsidRPr="00AD43B8" w:rsidRDefault="00AD43B8">
      <w:pPr>
        <w:numPr>
          <w:ilvl w:val="0"/>
          <w:numId w:val="1"/>
        </w:numPr>
        <w:pBdr>
          <w:top w:val="nil"/>
          <w:left w:val="nil"/>
          <w:bottom w:val="nil"/>
          <w:right w:val="nil"/>
          <w:between w:val="nil"/>
        </w:pBdr>
        <w:spacing w:line="360" w:lineRule="auto"/>
        <w:ind w:left="851" w:right="822" w:hanging="284"/>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Cédula de constancia de registro de contratista o proveedor según sea el caso</w:t>
      </w:r>
    </w:p>
    <w:p w14:paraId="6FCD50D2" w14:textId="77777777" w:rsidR="00694C6A" w:rsidRPr="00AD43B8" w:rsidRDefault="00AD43B8">
      <w:pPr>
        <w:numPr>
          <w:ilvl w:val="0"/>
          <w:numId w:val="1"/>
        </w:numPr>
        <w:pBdr>
          <w:top w:val="nil"/>
          <w:left w:val="nil"/>
          <w:bottom w:val="nil"/>
          <w:right w:val="nil"/>
          <w:between w:val="nil"/>
        </w:pBdr>
        <w:spacing w:line="360" w:lineRule="auto"/>
        <w:ind w:left="851" w:right="822" w:hanging="284"/>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 xml:space="preserve">Al justificar la ejecución del gasto entregan el archivo fotográfico de como quedaron los </w:t>
      </w:r>
      <w:proofErr w:type="gramStart"/>
      <w:r w:rsidRPr="00AD43B8">
        <w:rPr>
          <w:rFonts w:ascii="Palatino Linotype" w:eastAsia="Palatino Linotype" w:hAnsi="Palatino Linotype" w:cs="Palatino Linotype"/>
          <w:i/>
          <w:color w:val="000000"/>
          <w:sz w:val="22"/>
          <w:szCs w:val="24"/>
        </w:rPr>
        <w:t>trabajos</w:t>
      </w:r>
      <w:proofErr w:type="gramEnd"/>
      <w:r w:rsidRPr="00AD43B8">
        <w:rPr>
          <w:rFonts w:ascii="Palatino Linotype" w:eastAsia="Palatino Linotype" w:hAnsi="Palatino Linotype" w:cs="Palatino Linotype"/>
          <w:i/>
          <w:color w:val="000000"/>
          <w:sz w:val="22"/>
          <w:szCs w:val="24"/>
        </w:rPr>
        <w:t xml:space="preserve"> así como la prueba de los materiales o piezas sustituidos</w:t>
      </w:r>
    </w:p>
    <w:p w14:paraId="6FCD50D3" w14:textId="77777777" w:rsidR="00694C6A" w:rsidRPr="00AD43B8" w:rsidRDefault="00AD43B8">
      <w:pPr>
        <w:numPr>
          <w:ilvl w:val="0"/>
          <w:numId w:val="1"/>
        </w:numPr>
        <w:pBdr>
          <w:top w:val="nil"/>
          <w:left w:val="nil"/>
          <w:bottom w:val="nil"/>
          <w:right w:val="nil"/>
          <w:between w:val="nil"/>
        </w:pBdr>
        <w:spacing w:line="360" w:lineRule="auto"/>
        <w:ind w:left="851" w:right="822" w:hanging="284"/>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Acta entrega recepción y garantías o fianzas en su caso</w:t>
      </w:r>
    </w:p>
    <w:p w14:paraId="6FCD50D4" w14:textId="77777777" w:rsidR="00694C6A" w:rsidRPr="00AD43B8" w:rsidRDefault="00AD43B8">
      <w:pPr>
        <w:numPr>
          <w:ilvl w:val="0"/>
          <w:numId w:val="1"/>
        </w:numPr>
        <w:pBdr>
          <w:top w:val="nil"/>
          <w:left w:val="nil"/>
          <w:bottom w:val="nil"/>
          <w:right w:val="nil"/>
          <w:between w:val="nil"/>
        </w:pBdr>
        <w:spacing w:line="360" w:lineRule="auto"/>
        <w:ind w:left="851" w:right="822" w:hanging="284"/>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Entregando también a imife lo correspondiente</w:t>
      </w:r>
    </w:p>
    <w:p w14:paraId="6FCD50D5" w14:textId="77777777" w:rsidR="00694C6A" w:rsidRPr="00AD43B8" w:rsidRDefault="00AD43B8">
      <w:pPr>
        <w:numPr>
          <w:ilvl w:val="0"/>
          <w:numId w:val="1"/>
        </w:numPr>
        <w:pBdr>
          <w:top w:val="nil"/>
          <w:left w:val="nil"/>
          <w:bottom w:val="nil"/>
          <w:right w:val="nil"/>
          <w:between w:val="nil"/>
        </w:pBdr>
        <w:spacing w:line="360" w:lineRule="auto"/>
        <w:ind w:left="851" w:right="822" w:hanging="284"/>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 xml:space="preserve">Historial de registro de los mismos en la plataforma (siase) o sistema designado para ello, </w:t>
      </w:r>
    </w:p>
    <w:p w14:paraId="6FCD50D6" w14:textId="77777777" w:rsidR="00694C6A" w:rsidRPr="00AD43B8" w:rsidRDefault="00AD43B8">
      <w:pPr>
        <w:numPr>
          <w:ilvl w:val="0"/>
          <w:numId w:val="1"/>
        </w:numPr>
        <w:pBdr>
          <w:top w:val="nil"/>
          <w:left w:val="nil"/>
          <w:bottom w:val="nil"/>
          <w:right w:val="nil"/>
          <w:between w:val="nil"/>
        </w:pBdr>
        <w:spacing w:line="360" w:lineRule="auto"/>
        <w:ind w:left="851" w:right="822" w:hanging="284"/>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Incluyendo la evidencia de rechazo y autorizaciones para ejercer el gasto emitido por dirección general de supervisión de ingresos y egresos de instituciones educativas</w:t>
      </w:r>
    </w:p>
    <w:p w14:paraId="6FCD50D7" w14:textId="77777777" w:rsidR="00694C6A" w:rsidRPr="00AD43B8" w:rsidRDefault="00694C6A">
      <w:pPr>
        <w:spacing w:line="360" w:lineRule="auto"/>
        <w:jc w:val="both"/>
        <w:rPr>
          <w:rFonts w:ascii="Verdana" w:eastAsia="Verdana" w:hAnsi="Verdana" w:cs="Verdana"/>
          <w:color w:val="000000"/>
          <w:sz w:val="24"/>
          <w:szCs w:val="24"/>
        </w:rPr>
      </w:pPr>
    </w:p>
    <w:p w14:paraId="6FCD50D8"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Hasta este punto, debemos partir del hecho de que el Recurrente solicitó expediente de los trabajos de reparación y mantenimiento </w:t>
      </w:r>
      <w:r w:rsidRPr="00AD43B8">
        <w:rPr>
          <w:rFonts w:ascii="Palatino Linotype" w:eastAsia="Palatino Linotype" w:hAnsi="Palatino Linotype" w:cs="Palatino Linotype"/>
          <w:b/>
          <w:sz w:val="24"/>
          <w:szCs w:val="24"/>
        </w:rPr>
        <w:t xml:space="preserve">realizados en la EPO 209 desde el uno (1) septiembre de 2021 al veinticinco (25) de septiembre de dos mil veintitrés. </w:t>
      </w:r>
    </w:p>
    <w:p w14:paraId="6FCD50D9" w14:textId="77777777" w:rsidR="00694C6A" w:rsidRPr="00AD43B8" w:rsidRDefault="00694C6A">
      <w:pPr>
        <w:spacing w:line="360" w:lineRule="auto"/>
        <w:jc w:val="both"/>
        <w:rPr>
          <w:rFonts w:ascii="Palatino Linotype" w:eastAsia="Palatino Linotype" w:hAnsi="Palatino Linotype" w:cs="Palatino Linotype"/>
          <w:sz w:val="24"/>
          <w:szCs w:val="24"/>
        </w:rPr>
      </w:pPr>
    </w:p>
    <w:p w14:paraId="6FCD50DA"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lastRenderedPageBreak/>
        <w:t>Esto cobra relevancia, pues a través del informe justificado, el Sujeto Obligado refiere que, en efecto, en el sistema hay más requerimientos sin embargo corresponden a solicitudes rechazadas, por lo que, las enviadas en respuesta corresponden a las solicitudes autorizadas; sin embargo, en aras de salvaguardar el derecho accionado por el Recurrente, se adjuntó toda la información que se tiene en el SIASE, remitiendo un documento con un total de 151 páginas que se integra del</w:t>
      </w:r>
      <w:r w:rsidRPr="00AD43B8">
        <w:rPr>
          <w:rFonts w:ascii="Palatino Linotype" w:eastAsia="Palatino Linotype" w:hAnsi="Palatino Linotype" w:cs="Palatino Linotype"/>
          <w:b/>
          <w:sz w:val="24"/>
          <w:szCs w:val="24"/>
        </w:rPr>
        <w:t xml:space="preserve"> </w:t>
      </w:r>
      <w:r w:rsidRPr="00AD43B8">
        <w:rPr>
          <w:rFonts w:ascii="Palatino Linotype" w:eastAsia="Palatino Linotype" w:hAnsi="Palatino Linotype" w:cs="Palatino Linotype"/>
          <w:b/>
          <w:color w:val="000000"/>
          <w:sz w:val="24"/>
          <w:szCs w:val="24"/>
        </w:rPr>
        <w:t xml:space="preserve"> registro completo de los proyectos de reparación y mantenimiento de inmuebles ejecutados o no que fueron ingresados por la EPO 209 desde febrero de 2019 a la fecha.</w:t>
      </w:r>
    </w:p>
    <w:p w14:paraId="6FCD50DB" w14:textId="77777777" w:rsidR="00694C6A" w:rsidRPr="00AD43B8" w:rsidRDefault="00694C6A">
      <w:pPr>
        <w:spacing w:line="360" w:lineRule="auto"/>
        <w:jc w:val="both"/>
        <w:rPr>
          <w:rFonts w:ascii="Palatino Linotype" w:eastAsia="Palatino Linotype" w:hAnsi="Palatino Linotype" w:cs="Palatino Linotype"/>
          <w:sz w:val="24"/>
          <w:szCs w:val="24"/>
        </w:rPr>
      </w:pPr>
    </w:p>
    <w:p w14:paraId="6FCD50DC"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Con la información que se remite en informe justificado se pretenden colmar los requerimientos del particular; sin embargo, no pasa desapercibido para este Órgano Garante que se remitió la gran mayoría de documentos a través de versiones públicas, las cuales no se acompañan del acuerdo del comité de transparencia.</w:t>
      </w:r>
    </w:p>
    <w:p w14:paraId="6FCD50DD"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0DE"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Ante tal situación, es necesario referir que la clasificación total o parcial de la información, mediante solicitud de acceso a la información pública, constituye una restricción al derecho humano de acceso a la información, como reiteradamente han dicho diversos órganos jurisdiccionales, ningún derecho es absoluto. </w:t>
      </w:r>
    </w:p>
    <w:p w14:paraId="6FCD50DF"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0E0"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Por lo que, cualquier límite o restricción, para ser legítimo, debe reunir con tres requisitos: primero, debe estar establecida en un ordenamiento legal, antes de su aplicación; debe corresponder a un fin legítimo y ser estrictamente proporcional con el principio o valor que se pretende preservar. En este caso, la clasificación total o parcial de la </w:t>
      </w:r>
      <w:r w:rsidRPr="00AD43B8">
        <w:rPr>
          <w:rFonts w:ascii="Palatino Linotype" w:eastAsia="Palatino Linotype" w:hAnsi="Palatino Linotype" w:cs="Palatino Linotype"/>
          <w:sz w:val="24"/>
          <w:szCs w:val="24"/>
        </w:rPr>
        <w:lastRenderedPageBreak/>
        <w:t xml:space="preserve">información es un supuesto que tanto la Ley General de Transparencia y Acceso a la Información Pública, como la Ley de Transparencia y Acceso a la Información Pública del Estado de México y Municipios establecen, y agotar el procedimiento legalmente establecido, es precisamente lo que permite acreditar el cumplimiento de los otros dos requisitos. </w:t>
      </w:r>
    </w:p>
    <w:p w14:paraId="6FCD50E1" w14:textId="77777777" w:rsidR="00694C6A" w:rsidRPr="00AD43B8" w:rsidRDefault="00694C6A">
      <w:pPr>
        <w:spacing w:line="360" w:lineRule="auto"/>
        <w:ind w:right="49"/>
        <w:jc w:val="both"/>
        <w:rPr>
          <w:rFonts w:ascii="Palatino Linotype" w:eastAsia="Palatino Linotype" w:hAnsi="Palatino Linotype" w:cs="Palatino Linotype"/>
          <w:sz w:val="24"/>
          <w:szCs w:val="24"/>
        </w:rPr>
      </w:pPr>
    </w:p>
    <w:p w14:paraId="6FCD50E2"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Ahora bien, en el presente asunto se observó que el </w:t>
      </w:r>
      <w:r w:rsidRPr="00AD43B8">
        <w:rPr>
          <w:rFonts w:ascii="Palatino Linotype" w:eastAsia="Palatino Linotype" w:hAnsi="Palatino Linotype" w:cs="Palatino Linotype"/>
          <w:b/>
          <w:sz w:val="24"/>
          <w:szCs w:val="24"/>
        </w:rPr>
        <w:t xml:space="preserve">Sujeto Obligado </w:t>
      </w:r>
      <w:r w:rsidRPr="00AD43B8">
        <w:rPr>
          <w:rFonts w:ascii="Palatino Linotype" w:eastAsia="Palatino Linotype" w:hAnsi="Palatino Linotype" w:cs="Palatino Linotype"/>
          <w:sz w:val="24"/>
          <w:szCs w:val="24"/>
        </w:rPr>
        <w:t xml:space="preserve">además de pretender clasificar información que por ley es pública, no siguió las formalidades que deben cumplirse, es decir no basta con manifestar que cierta información no puede ser proporcionada por considerarse clasificada, sino que es necesario se realicen una serie de formalidades, entre ellas, proporcionar el Acuerdo de Clasificación que emita el Comité de Transparencia del </w:t>
      </w:r>
      <w:r w:rsidRPr="00AD43B8">
        <w:rPr>
          <w:rFonts w:ascii="Palatino Linotype" w:eastAsia="Palatino Linotype" w:hAnsi="Palatino Linotype" w:cs="Palatino Linotype"/>
          <w:b/>
          <w:sz w:val="24"/>
          <w:szCs w:val="24"/>
        </w:rPr>
        <w:t xml:space="preserve">Sujeto Obligado </w:t>
      </w:r>
      <w:r w:rsidRPr="00AD43B8">
        <w:rPr>
          <w:rFonts w:ascii="Palatino Linotype" w:eastAsia="Palatino Linotype" w:hAnsi="Palatino Linotype" w:cs="Palatino Linotype"/>
          <w:sz w:val="24"/>
          <w:szCs w:val="24"/>
        </w:rPr>
        <w:t xml:space="preserve">mediante el cual de manera fundada y motivada confirme la clasificación de la información requerida, es por ello que es menester mencionar lo siguiente: </w:t>
      </w:r>
    </w:p>
    <w:p w14:paraId="6FCD50E3"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0E4" w14:textId="77777777" w:rsidR="00694C6A" w:rsidRPr="00AD43B8" w:rsidRDefault="00AD43B8">
      <w:pPr>
        <w:keepNext/>
        <w:keepLines/>
        <w:pBdr>
          <w:top w:val="nil"/>
          <w:left w:val="nil"/>
          <w:bottom w:val="nil"/>
          <w:right w:val="nil"/>
          <w:between w:val="nil"/>
        </w:pBdr>
        <w:spacing w:line="360" w:lineRule="auto"/>
        <w:rPr>
          <w:rFonts w:ascii="Palatino Linotype" w:eastAsia="Palatino Linotype" w:hAnsi="Palatino Linotype" w:cs="Palatino Linotype"/>
          <w:b/>
          <w:color w:val="000000"/>
          <w:sz w:val="24"/>
          <w:szCs w:val="24"/>
        </w:rPr>
      </w:pPr>
      <w:bookmarkStart w:id="10" w:name="_heading=h.17dp8vu" w:colFirst="0" w:colLast="0"/>
      <w:bookmarkEnd w:id="10"/>
      <w:r w:rsidRPr="00AD43B8">
        <w:rPr>
          <w:rFonts w:ascii="Palatino Linotype" w:eastAsia="Palatino Linotype" w:hAnsi="Palatino Linotype" w:cs="Palatino Linotype"/>
          <w:b/>
          <w:color w:val="000000"/>
          <w:sz w:val="24"/>
          <w:szCs w:val="24"/>
        </w:rPr>
        <w:t>a) Requisitos previos.</w:t>
      </w:r>
    </w:p>
    <w:p w14:paraId="6FCD50E5"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Los artículos 122 y 100 de la Ley Estatal y la Ley General, respectivamente señalan que los </w:t>
      </w:r>
      <w:r w:rsidRPr="00AD43B8">
        <w:rPr>
          <w:rFonts w:ascii="Palatino Linotype" w:eastAsia="Palatino Linotype" w:hAnsi="Palatino Linotype" w:cs="Palatino Linotype"/>
          <w:b/>
          <w:sz w:val="24"/>
          <w:szCs w:val="24"/>
        </w:rPr>
        <w:t xml:space="preserve">Sujetos Obligados </w:t>
      </w:r>
      <w:r w:rsidRPr="00AD43B8">
        <w:rPr>
          <w:rFonts w:ascii="Palatino Linotype" w:eastAsia="Palatino Linotype" w:hAnsi="Palatino Linotype" w:cs="Palatino Linotype"/>
          <w:sz w:val="24"/>
          <w:szCs w:val="24"/>
        </w:rPr>
        <w:t xml:space="preserve">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w:t>
      </w:r>
      <w:r w:rsidRPr="00AD43B8">
        <w:rPr>
          <w:rFonts w:ascii="Palatino Linotype" w:eastAsia="Palatino Linotype" w:hAnsi="Palatino Linotype" w:cs="Palatino Linotype"/>
          <w:sz w:val="24"/>
          <w:szCs w:val="24"/>
        </w:rPr>
        <w:lastRenderedPageBreak/>
        <w:t xml:space="preserve">pretende reservar (contrato, licencia, póliza, entre otros), señalando el supuesto de clasificación: </w:t>
      </w:r>
      <w:r w:rsidRPr="00AD43B8">
        <w:rPr>
          <w:rFonts w:ascii="Palatino Linotype" w:eastAsia="Palatino Linotype" w:hAnsi="Palatino Linotype" w:cs="Palatino Linotype"/>
          <w:b/>
          <w:sz w:val="24"/>
          <w:szCs w:val="24"/>
        </w:rPr>
        <w:t>confidencialidad o reserva.</w:t>
      </w:r>
    </w:p>
    <w:p w14:paraId="6FCD50E6" w14:textId="77777777" w:rsidR="00694C6A" w:rsidRPr="00AD43B8" w:rsidRDefault="00694C6A">
      <w:pPr>
        <w:spacing w:line="360" w:lineRule="auto"/>
        <w:ind w:right="49"/>
        <w:jc w:val="both"/>
        <w:rPr>
          <w:rFonts w:ascii="Palatino Linotype" w:eastAsia="Palatino Linotype" w:hAnsi="Palatino Linotype" w:cs="Palatino Linotype"/>
          <w:sz w:val="24"/>
          <w:szCs w:val="24"/>
        </w:rPr>
      </w:pPr>
    </w:p>
    <w:p w14:paraId="6FCD50E7"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Aunado a ello,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 </w:t>
      </w:r>
    </w:p>
    <w:p w14:paraId="6FCD50E8" w14:textId="77777777" w:rsidR="00694C6A" w:rsidRPr="00AD43B8" w:rsidRDefault="00694C6A">
      <w:pPr>
        <w:spacing w:line="360" w:lineRule="auto"/>
        <w:ind w:right="49"/>
        <w:jc w:val="both"/>
        <w:rPr>
          <w:rFonts w:ascii="Palatino Linotype" w:eastAsia="Palatino Linotype" w:hAnsi="Palatino Linotype" w:cs="Palatino Linotype"/>
          <w:sz w:val="24"/>
          <w:szCs w:val="24"/>
        </w:rPr>
      </w:pPr>
    </w:p>
    <w:p w14:paraId="6FCD50E9"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El último de estos requisitos previos consiste en que no se pueden emitir acuerdos de carácter general ni particular, de acuerdo con lo que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 </w:t>
      </w:r>
    </w:p>
    <w:p w14:paraId="6FCD50EA" w14:textId="77777777" w:rsidR="00694C6A" w:rsidRPr="00AD43B8" w:rsidRDefault="00694C6A">
      <w:pPr>
        <w:spacing w:line="360" w:lineRule="auto"/>
        <w:ind w:right="49"/>
        <w:jc w:val="both"/>
        <w:rPr>
          <w:rFonts w:ascii="Palatino Linotype" w:eastAsia="Palatino Linotype" w:hAnsi="Palatino Linotype" w:cs="Palatino Linotype"/>
          <w:sz w:val="24"/>
          <w:szCs w:val="24"/>
        </w:rPr>
      </w:pPr>
    </w:p>
    <w:p w14:paraId="6FCD50EB" w14:textId="77777777" w:rsidR="00694C6A" w:rsidRPr="00AD43B8" w:rsidRDefault="00AD43B8">
      <w:pPr>
        <w:keepNext/>
        <w:keepLines/>
        <w:pBdr>
          <w:top w:val="nil"/>
          <w:left w:val="nil"/>
          <w:bottom w:val="nil"/>
          <w:right w:val="nil"/>
          <w:between w:val="nil"/>
        </w:pBdr>
        <w:spacing w:line="360" w:lineRule="auto"/>
        <w:rPr>
          <w:rFonts w:ascii="Palatino Linotype" w:eastAsia="Palatino Linotype" w:hAnsi="Palatino Linotype" w:cs="Palatino Linotype"/>
          <w:b/>
          <w:color w:val="000000"/>
          <w:sz w:val="24"/>
          <w:szCs w:val="24"/>
        </w:rPr>
      </w:pPr>
      <w:bookmarkStart w:id="11" w:name="_heading=h.3rdcrjn" w:colFirst="0" w:colLast="0"/>
      <w:bookmarkEnd w:id="11"/>
      <w:r w:rsidRPr="00AD43B8">
        <w:rPr>
          <w:rFonts w:ascii="Palatino Linotype" w:eastAsia="Palatino Linotype" w:hAnsi="Palatino Linotype" w:cs="Palatino Linotype"/>
          <w:b/>
          <w:color w:val="000000"/>
          <w:sz w:val="24"/>
          <w:szCs w:val="24"/>
        </w:rPr>
        <w:t xml:space="preserve">b) Supuestos de clasificación. </w:t>
      </w:r>
    </w:p>
    <w:p w14:paraId="6FCD50EC"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Ahora bien, las disposiciones constitucionales y legales en la materia establecen los dos supuestos generales para clasificar la información: </w:t>
      </w:r>
      <w:r w:rsidRPr="00AD43B8">
        <w:rPr>
          <w:rFonts w:ascii="Palatino Linotype" w:eastAsia="Palatino Linotype" w:hAnsi="Palatino Linotype" w:cs="Palatino Linotype"/>
          <w:b/>
          <w:sz w:val="24"/>
          <w:szCs w:val="24"/>
        </w:rPr>
        <w:t xml:space="preserve">por reserva y por confidencialidad. </w:t>
      </w:r>
      <w:r w:rsidRPr="00AD43B8">
        <w:rPr>
          <w:rFonts w:ascii="Palatino Linotype" w:eastAsia="Palatino Linotype" w:hAnsi="Palatino Linotype" w:cs="Palatino Linotype"/>
          <w:sz w:val="24"/>
          <w:szCs w:val="24"/>
        </w:rPr>
        <w:t xml:space="preserve">Siendo los artículos 140 y 113 de la Ley Estatal y de la Ley General, los que enmarcan los supuestos para que la información pueda considerarse como </w:t>
      </w:r>
      <w:r w:rsidRPr="00AD43B8">
        <w:rPr>
          <w:rFonts w:ascii="Palatino Linotype" w:eastAsia="Palatino Linotype" w:hAnsi="Palatino Linotype" w:cs="Palatino Linotype"/>
          <w:b/>
          <w:sz w:val="24"/>
          <w:szCs w:val="24"/>
        </w:rPr>
        <w:t>reservada</w:t>
      </w:r>
      <w:r w:rsidRPr="00AD43B8">
        <w:rPr>
          <w:rFonts w:ascii="Palatino Linotype" w:eastAsia="Palatino Linotype" w:hAnsi="Palatino Linotype" w:cs="Palatino Linotype"/>
          <w:sz w:val="24"/>
          <w:szCs w:val="24"/>
        </w:rPr>
        <w:t xml:space="preserve">, y los artículos 143 </w:t>
      </w:r>
      <w:r w:rsidRPr="00AD43B8">
        <w:rPr>
          <w:rFonts w:ascii="Palatino Linotype" w:eastAsia="Palatino Linotype" w:hAnsi="Palatino Linotype" w:cs="Palatino Linotype"/>
          <w:sz w:val="24"/>
          <w:szCs w:val="24"/>
        </w:rPr>
        <w:lastRenderedPageBreak/>
        <w:t xml:space="preserve">y 116 de la Ley Estatal y de la Ley General, los supuestos para que la información pueda ser clasificada como </w:t>
      </w:r>
      <w:r w:rsidRPr="00AD43B8">
        <w:rPr>
          <w:rFonts w:ascii="Palatino Linotype" w:eastAsia="Palatino Linotype" w:hAnsi="Palatino Linotype" w:cs="Palatino Linotype"/>
          <w:b/>
          <w:sz w:val="24"/>
          <w:szCs w:val="24"/>
        </w:rPr>
        <w:t xml:space="preserve">confidencial. </w:t>
      </w:r>
    </w:p>
    <w:p w14:paraId="6FCD50ED" w14:textId="77777777" w:rsidR="00694C6A" w:rsidRPr="00AD43B8" w:rsidRDefault="00694C6A">
      <w:pPr>
        <w:spacing w:line="360" w:lineRule="auto"/>
        <w:ind w:right="49"/>
        <w:jc w:val="both"/>
        <w:rPr>
          <w:rFonts w:ascii="Palatino Linotype" w:eastAsia="Palatino Linotype" w:hAnsi="Palatino Linotype" w:cs="Palatino Linotype"/>
          <w:sz w:val="24"/>
          <w:szCs w:val="24"/>
        </w:rPr>
      </w:pPr>
    </w:p>
    <w:p w14:paraId="6FCD50EE"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En el mismo sentido, el artículo 105 de la Ley General y el artículo 130 de la Ley Estatal, establecen medularmente que </w:t>
      </w:r>
      <w:r w:rsidRPr="00AD43B8">
        <w:rPr>
          <w:rFonts w:ascii="Palatino Linotype" w:eastAsia="Palatino Linotype" w:hAnsi="Palatino Linotype" w:cs="Palatino Linotype"/>
          <w:b/>
          <w:sz w:val="24"/>
          <w:szCs w:val="24"/>
        </w:rPr>
        <w:t xml:space="preserve">los sujetos obligados deberán aplicar, de manera restrictiva y limitada los supuestos de clasificación, debiendo acreditarse que se cumple con dicha condición y no se pueden ampliar las excepciones o supuestos de clasificación aduciendo analogía o mayoría de razón. </w:t>
      </w:r>
    </w:p>
    <w:p w14:paraId="6FCD50EF" w14:textId="77777777" w:rsidR="00694C6A" w:rsidRPr="00AD43B8" w:rsidRDefault="00694C6A">
      <w:pPr>
        <w:spacing w:line="360" w:lineRule="auto"/>
        <w:ind w:right="49"/>
        <w:jc w:val="both"/>
        <w:rPr>
          <w:rFonts w:ascii="Palatino Linotype" w:eastAsia="Palatino Linotype" w:hAnsi="Palatino Linotype" w:cs="Palatino Linotype"/>
          <w:sz w:val="24"/>
          <w:szCs w:val="24"/>
        </w:rPr>
      </w:pPr>
    </w:p>
    <w:p w14:paraId="6FCD50F0"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Como consecuencia de lo anterior, el </w:t>
      </w:r>
      <w:r w:rsidRPr="00AD43B8">
        <w:rPr>
          <w:rFonts w:ascii="Palatino Linotype" w:eastAsia="Palatino Linotype" w:hAnsi="Palatino Linotype" w:cs="Palatino Linotype"/>
          <w:b/>
          <w:sz w:val="24"/>
          <w:szCs w:val="24"/>
        </w:rPr>
        <w:t xml:space="preserve">Sujeto Obligado </w:t>
      </w:r>
      <w:r w:rsidRPr="00AD43B8">
        <w:rPr>
          <w:rFonts w:ascii="Palatino Linotype" w:eastAsia="Palatino Linotype" w:hAnsi="Palatino Linotype" w:cs="Palatino Linotype"/>
          <w:sz w:val="24"/>
          <w:szCs w:val="24"/>
        </w:rPr>
        <w:t xml:space="preserve">debe identificar claramente el tipo de información y hacer un juicio de subsunción o encaje, para acreditar que el supuesto de hecho corresponde estrictamente con la hipótesis jurídica, esto también lo debe realizar el servidor público habilitado y el titular del área que administra la información. </w:t>
      </w:r>
    </w:p>
    <w:p w14:paraId="6FCD50F1" w14:textId="77777777" w:rsidR="00694C6A" w:rsidRPr="00AD43B8" w:rsidRDefault="00694C6A">
      <w:pPr>
        <w:spacing w:line="360" w:lineRule="auto"/>
        <w:ind w:right="49"/>
        <w:jc w:val="both"/>
        <w:rPr>
          <w:rFonts w:ascii="Palatino Linotype" w:eastAsia="Palatino Linotype" w:hAnsi="Palatino Linotype" w:cs="Palatino Linotype"/>
          <w:sz w:val="24"/>
          <w:szCs w:val="24"/>
        </w:rPr>
      </w:pPr>
    </w:p>
    <w:p w14:paraId="6FCD50F2"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Una vez realizado, se remite la información al Titular de la Unidad de Transparencia, con el acuerdo de clasificación correspondiente, para que sea sometido al conocimiento del Comité de Transparencia. </w:t>
      </w:r>
    </w:p>
    <w:p w14:paraId="6FCD50F3" w14:textId="77777777" w:rsidR="00694C6A" w:rsidRPr="00AD43B8" w:rsidRDefault="00694C6A">
      <w:pPr>
        <w:spacing w:line="360" w:lineRule="auto"/>
        <w:ind w:right="49"/>
        <w:jc w:val="both"/>
        <w:rPr>
          <w:rFonts w:ascii="Palatino Linotype" w:eastAsia="Palatino Linotype" w:hAnsi="Palatino Linotype" w:cs="Palatino Linotype"/>
          <w:sz w:val="24"/>
          <w:szCs w:val="24"/>
        </w:rPr>
      </w:pPr>
    </w:p>
    <w:p w14:paraId="6FCD50F4" w14:textId="77777777" w:rsidR="00694C6A" w:rsidRPr="00AD43B8" w:rsidRDefault="00AD43B8">
      <w:pPr>
        <w:keepNext/>
        <w:keepLines/>
        <w:pBdr>
          <w:top w:val="nil"/>
          <w:left w:val="nil"/>
          <w:bottom w:val="nil"/>
          <w:right w:val="nil"/>
          <w:between w:val="nil"/>
        </w:pBdr>
        <w:spacing w:line="360" w:lineRule="auto"/>
        <w:rPr>
          <w:rFonts w:ascii="Palatino Linotype" w:eastAsia="Palatino Linotype" w:hAnsi="Palatino Linotype" w:cs="Palatino Linotype"/>
          <w:b/>
          <w:color w:val="000000"/>
          <w:sz w:val="24"/>
          <w:szCs w:val="24"/>
        </w:rPr>
      </w:pPr>
      <w:bookmarkStart w:id="12" w:name="_heading=h.26in1rg" w:colFirst="0" w:colLast="0"/>
      <w:bookmarkEnd w:id="12"/>
      <w:r w:rsidRPr="00AD43B8">
        <w:rPr>
          <w:rFonts w:ascii="Palatino Linotype" w:eastAsia="Palatino Linotype" w:hAnsi="Palatino Linotype" w:cs="Palatino Linotype"/>
          <w:b/>
          <w:color w:val="000000"/>
          <w:sz w:val="24"/>
          <w:szCs w:val="24"/>
        </w:rPr>
        <w:t>c) La intervención del Comité de Transparencia.</w:t>
      </w:r>
    </w:p>
    <w:p w14:paraId="6FCD50F5" w14:textId="77777777" w:rsidR="00694C6A" w:rsidRPr="00AD43B8" w:rsidRDefault="00AD43B8">
      <w:pPr>
        <w:keepNext/>
        <w:keepLines/>
        <w:numPr>
          <w:ilvl w:val="0"/>
          <w:numId w:val="2"/>
        </w:numPr>
        <w:pBdr>
          <w:top w:val="nil"/>
          <w:left w:val="nil"/>
          <w:bottom w:val="nil"/>
          <w:right w:val="nil"/>
          <w:between w:val="nil"/>
        </w:pBdr>
        <w:spacing w:line="360" w:lineRule="auto"/>
        <w:rPr>
          <w:rFonts w:ascii="Palatino Linotype" w:eastAsia="Palatino Linotype" w:hAnsi="Palatino Linotype" w:cs="Palatino Linotype"/>
          <w:b/>
          <w:color w:val="000000"/>
          <w:sz w:val="24"/>
          <w:szCs w:val="24"/>
        </w:rPr>
      </w:pPr>
      <w:bookmarkStart w:id="13" w:name="_heading=h.lnxbz9" w:colFirst="0" w:colLast="0"/>
      <w:bookmarkEnd w:id="13"/>
      <w:r w:rsidRPr="00AD43B8">
        <w:rPr>
          <w:rFonts w:ascii="Palatino Linotype" w:eastAsia="Palatino Linotype" w:hAnsi="Palatino Linotype" w:cs="Palatino Linotype"/>
          <w:b/>
          <w:color w:val="000000"/>
          <w:sz w:val="24"/>
          <w:szCs w:val="24"/>
        </w:rPr>
        <w:t>Formalidades para emitir el acuerdo de clasificación.</w:t>
      </w:r>
    </w:p>
    <w:p w14:paraId="6FCD50F6"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El Comité de Transparencia, </w:t>
      </w:r>
      <w:r w:rsidRPr="00AD43B8">
        <w:rPr>
          <w:rFonts w:ascii="Palatino Linotype" w:eastAsia="Palatino Linotype" w:hAnsi="Palatino Linotype" w:cs="Palatino Linotype"/>
          <w:color w:val="000000"/>
          <w:sz w:val="24"/>
          <w:szCs w:val="24"/>
        </w:rPr>
        <w:t xml:space="preserve">según lo dispuesto en los artículos 128 y 103 de la Ley Estatal y de la Ley General, respectivamente, y la fracción III del numeral Segundo de los Lineamientos generales en materia de clasificación y desclasificación de la información, así </w:t>
      </w:r>
      <w:r w:rsidRPr="00AD43B8">
        <w:rPr>
          <w:rFonts w:ascii="Palatino Linotype" w:eastAsia="Palatino Linotype" w:hAnsi="Palatino Linotype" w:cs="Palatino Linotype"/>
          <w:color w:val="000000"/>
          <w:sz w:val="24"/>
          <w:szCs w:val="24"/>
        </w:rPr>
        <w:lastRenderedPageBreak/>
        <w:t xml:space="preserve">como para la elaboración de versiones públicas, 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 </w:t>
      </w:r>
    </w:p>
    <w:p w14:paraId="6FCD50F7" w14:textId="77777777" w:rsidR="00694C6A" w:rsidRPr="00AD43B8" w:rsidRDefault="00694C6A">
      <w:pPr>
        <w:spacing w:line="360" w:lineRule="auto"/>
        <w:ind w:right="49"/>
        <w:jc w:val="both"/>
        <w:rPr>
          <w:rFonts w:ascii="Palatino Linotype" w:eastAsia="Palatino Linotype" w:hAnsi="Palatino Linotype" w:cs="Palatino Linotype"/>
          <w:sz w:val="24"/>
          <w:szCs w:val="24"/>
        </w:rPr>
      </w:pPr>
    </w:p>
    <w:p w14:paraId="6FCD50F8"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Evidentemente, 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6FCD50F9" w14:textId="77777777" w:rsidR="00694C6A" w:rsidRPr="00AD43B8" w:rsidRDefault="00694C6A">
      <w:pPr>
        <w:spacing w:line="360" w:lineRule="auto"/>
        <w:ind w:right="49"/>
        <w:jc w:val="both"/>
        <w:rPr>
          <w:rFonts w:ascii="Palatino Linotype" w:eastAsia="Palatino Linotype" w:hAnsi="Palatino Linotype" w:cs="Palatino Linotype"/>
          <w:sz w:val="24"/>
          <w:szCs w:val="24"/>
        </w:rPr>
      </w:pPr>
    </w:p>
    <w:p w14:paraId="6FCD50FA"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color w:val="000000"/>
          <w:sz w:val="24"/>
          <w:szCs w:val="24"/>
        </w:rPr>
        <w:t xml:space="preserve">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w:t>
      </w:r>
      <w:r w:rsidRPr="00AD43B8">
        <w:rPr>
          <w:rFonts w:ascii="Palatino Linotype" w:eastAsia="Palatino Linotype" w:hAnsi="Palatino Linotype" w:cs="Palatino Linotype"/>
          <w:color w:val="000000"/>
          <w:sz w:val="24"/>
          <w:szCs w:val="24"/>
        </w:rPr>
        <w:lastRenderedPageBreak/>
        <w:t>a partir de las decisiones adoptadas previamente por los titulares de áreas y que son sujetas a control, en primera instancia, por el Comité de Transparencia.</w:t>
      </w:r>
    </w:p>
    <w:p w14:paraId="6FCD50FB" w14:textId="77777777" w:rsidR="00694C6A" w:rsidRPr="00AD43B8" w:rsidRDefault="00694C6A">
      <w:pPr>
        <w:pBdr>
          <w:top w:val="nil"/>
          <w:left w:val="nil"/>
          <w:bottom w:val="nil"/>
          <w:right w:val="nil"/>
          <w:between w:val="nil"/>
        </w:pBdr>
        <w:spacing w:line="360" w:lineRule="auto"/>
        <w:ind w:left="360" w:right="49"/>
        <w:jc w:val="both"/>
        <w:rPr>
          <w:rFonts w:ascii="Palatino Linotype" w:eastAsia="Palatino Linotype" w:hAnsi="Palatino Linotype" w:cs="Palatino Linotype"/>
          <w:color w:val="000000"/>
          <w:sz w:val="24"/>
          <w:szCs w:val="24"/>
        </w:rPr>
      </w:pPr>
    </w:p>
    <w:p w14:paraId="6FCD50FC" w14:textId="77777777" w:rsidR="00694C6A" w:rsidRPr="00AD43B8" w:rsidRDefault="00AD43B8">
      <w:pPr>
        <w:keepNext/>
        <w:keepLines/>
        <w:numPr>
          <w:ilvl w:val="0"/>
          <w:numId w:val="2"/>
        </w:numPr>
        <w:pBdr>
          <w:top w:val="nil"/>
          <w:left w:val="nil"/>
          <w:bottom w:val="nil"/>
          <w:right w:val="nil"/>
          <w:between w:val="nil"/>
        </w:pBdr>
        <w:spacing w:line="360" w:lineRule="auto"/>
        <w:rPr>
          <w:rFonts w:ascii="Palatino Linotype" w:eastAsia="Palatino Linotype" w:hAnsi="Palatino Linotype" w:cs="Palatino Linotype"/>
          <w:b/>
          <w:color w:val="000000"/>
          <w:sz w:val="24"/>
          <w:szCs w:val="24"/>
        </w:rPr>
      </w:pPr>
      <w:bookmarkStart w:id="14" w:name="_heading=h.35nkun2" w:colFirst="0" w:colLast="0"/>
      <w:bookmarkEnd w:id="14"/>
      <w:r w:rsidRPr="00AD43B8">
        <w:rPr>
          <w:rFonts w:ascii="Palatino Linotype" w:eastAsia="Palatino Linotype" w:hAnsi="Palatino Linotype" w:cs="Palatino Linotype"/>
          <w:b/>
          <w:color w:val="000000"/>
          <w:sz w:val="24"/>
          <w:szCs w:val="24"/>
        </w:rPr>
        <w:t xml:space="preserve">Requisitos de fondo del acuerdo de clasificación. </w:t>
      </w:r>
    </w:p>
    <w:p w14:paraId="6FCD50FD"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w:t>
      </w:r>
      <w:proofErr w:type="gramStart"/>
      <w:r w:rsidRPr="00AD43B8">
        <w:rPr>
          <w:rFonts w:ascii="Palatino Linotype" w:eastAsia="Palatino Linotype" w:hAnsi="Palatino Linotype" w:cs="Palatino Linotype"/>
          <w:color w:val="000000"/>
          <w:sz w:val="24"/>
          <w:szCs w:val="24"/>
        </w:rPr>
        <w:t>Generales,  al</w:t>
      </w:r>
      <w:proofErr w:type="gramEnd"/>
      <w:r w:rsidRPr="00AD43B8">
        <w:rPr>
          <w:rFonts w:ascii="Palatino Linotype" w:eastAsia="Palatino Linotype" w:hAnsi="Palatino Linotype" w:cs="Palatino Linotype"/>
          <w:color w:val="000000"/>
          <w:sz w:val="24"/>
          <w:szCs w:val="24"/>
        </w:rPr>
        <w:t xml:space="preserve"> señalar que la carga de la prueba, para justificar las restricciones, corresponde a los sujetos obligados, por lo que deberán fundar y motivar debidamente la clasificación. </w:t>
      </w:r>
    </w:p>
    <w:p w14:paraId="6FCD50FE" w14:textId="77777777" w:rsidR="00694C6A" w:rsidRPr="00AD43B8" w:rsidRDefault="00694C6A">
      <w:pPr>
        <w:spacing w:line="360" w:lineRule="auto"/>
        <w:jc w:val="both"/>
        <w:rPr>
          <w:rFonts w:ascii="Palatino Linotype" w:eastAsia="Palatino Linotype" w:hAnsi="Palatino Linotype" w:cs="Palatino Linotype"/>
          <w:color w:val="000000"/>
          <w:sz w:val="24"/>
          <w:szCs w:val="24"/>
          <w:highlight w:val="yellow"/>
        </w:rPr>
      </w:pPr>
    </w:p>
    <w:p w14:paraId="6FCD50FF"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De lo anterior, se desprende que para una correcta clasificación total o parcial, esto es, determinar los datos que se suprimen en las versiones públicas, </w:t>
      </w:r>
      <w:r w:rsidRPr="00AD43B8">
        <w:rPr>
          <w:rFonts w:ascii="Palatino Linotype" w:eastAsia="Palatino Linotype" w:hAnsi="Palatino Linotype" w:cs="Palatino Linotype"/>
          <w:b/>
          <w:color w:val="000000"/>
          <w:sz w:val="24"/>
          <w:szCs w:val="24"/>
        </w:rPr>
        <w:t>es necesario fundar y motivar</w:t>
      </w:r>
      <w:r w:rsidRPr="00AD43B8">
        <w:rPr>
          <w:rFonts w:ascii="Palatino Linotype" w:eastAsia="Palatino Linotype" w:hAnsi="Palatino Linotype" w:cs="Palatino Linotype"/>
          <w:color w:val="000000"/>
          <w:sz w:val="24"/>
          <w:szCs w:val="24"/>
        </w:rPr>
        <w:t>, de manera correcta la clasificación; considerando que todo acto que la autoridad pronuncie en el ejercicio de sus atribuciones, debe expresar los fundamentos legales que le dieron origen y las razones por las que se deben aplicar al caso concreto, por lo que debe entenderse por fundamentación y motivación, lo siguiente:</w:t>
      </w:r>
    </w:p>
    <w:p w14:paraId="6FCD5100" w14:textId="77777777" w:rsidR="00694C6A" w:rsidRPr="00AD43B8" w:rsidRDefault="00AD43B8" w:rsidP="00AD43B8">
      <w:pPr>
        <w:spacing w:line="360" w:lineRule="auto"/>
        <w:ind w:left="567" w:right="822"/>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b/>
          <w:i/>
          <w:color w:val="000000"/>
          <w:sz w:val="22"/>
          <w:szCs w:val="24"/>
        </w:rPr>
        <w:t>FUNDAMENTACIÓN Y MOTIVACIÓN.</w:t>
      </w:r>
      <w:r w:rsidRPr="00AD43B8">
        <w:rPr>
          <w:rFonts w:ascii="Palatino Linotype" w:eastAsia="Palatino Linotype" w:hAnsi="Palatino Linotype" w:cs="Palatino Linotype"/>
          <w:i/>
          <w:color w:val="000000"/>
          <w:sz w:val="22"/>
          <w:szCs w:val="24"/>
        </w:rPr>
        <w:t xml:space="preserve"> La debida fundamentación y motivación legal, deben entenderse, por lo primero, la cita del precepto legal aplicable al caso, y por lo segundo, las razones, motivos o circunstancias especiales que llevaron a la autoridad a concluir que el </w:t>
      </w:r>
      <w:r w:rsidRPr="00AD43B8">
        <w:rPr>
          <w:rFonts w:ascii="Palatino Linotype" w:eastAsia="Palatino Linotype" w:hAnsi="Palatino Linotype" w:cs="Palatino Linotype"/>
          <w:i/>
          <w:color w:val="000000"/>
          <w:sz w:val="22"/>
          <w:szCs w:val="24"/>
        </w:rPr>
        <w:lastRenderedPageBreak/>
        <w:t>caso particular encuadra en el supuesto previsto por la norma legal invocada como fundamento.</w:t>
      </w:r>
    </w:p>
    <w:p w14:paraId="6FCD5101" w14:textId="77777777" w:rsidR="00694C6A" w:rsidRPr="00AD43B8" w:rsidRDefault="00694C6A" w:rsidP="00AD43B8">
      <w:pPr>
        <w:spacing w:line="360" w:lineRule="auto"/>
        <w:ind w:right="822"/>
        <w:jc w:val="both"/>
        <w:rPr>
          <w:rFonts w:ascii="Palatino Linotype" w:eastAsia="Palatino Linotype" w:hAnsi="Palatino Linotype" w:cs="Palatino Linotype"/>
          <w:i/>
          <w:color w:val="000000"/>
          <w:sz w:val="22"/>
          <w:szCs w:val="24"/>
          <w:highlight w:val="yellow"/>
        </w:rPr>
      </w:pPr>
    </w:p>
    <w:p w14:paraId="6FCD5102" w14:textId="77777777" w:rsidR="00694C6A" w:rsidRPr="00AD43B8" w:rsidRDefault="00AD43B8" w:rsidP="00AD43B8">
      <w:pPr>
        <w:spacing w:line="360" w:lineRule="auto"/>
        <w:ind w:left="567" w:right="822"/>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SEGUNDO TRIBUNAL COLEGIADO DEL SEXTO CIRCUITO. Amparo directo 194/88. Bufete Industrial Construcciones, S.A. de C.V. 28 de junio de 1988. Unanimidad de votos. Ponente: Gustavo Calvillo Rangel. Secretario: Jorge Alberto González Álvarez. Revisión fiscal 103/88. Instituto Mexicano del Seguro Social. 18 de octubre de 1988. Unanimidad de votos. Ponente: Arnoldo Nájera Virgen. Secretario: Alejandro Esponda Rincón. Amparo en revisión 333/88. Adilia Romero. 26 de octubre de 1988. Unanimidad de votos. Ponente: Arnoldo Nájera Virgen. Secretario: Enrique Crispín Campos Ramírez. Amparo en revisión 597/95. Emilio Maurer Bretón. 15 de noviembre de 1995. Unanimidad de votos. Ponente: Clementina Ramírez Moguel Goyzueta. Secretario: Gonzalo Carrera Molina. Amparo directo 7/96. Pedro Vicente López Miro. 21 de febrero de 1996. Unanimidad de votos. Ponente: María Eugenia Estela Martínez Cardiel. Secretario: Enrique Baigts Muñoz.</w:t>
      </w:r>
    </w:p>
    <w:p w14:paraId="6FCD5103" w14:textId="77777777" w:rsidR="00694C6A" w:rsidRPr="00AD43B8" w:rsidRDefault="00694C6A">
      <w:pPr>
        <w:spacing w:line="360" w:lineRule="auto"/>
        <w:ind w:left="567"/>
        <w:jc w:val="both"/>
        <w:rPr>
          <w:rFonts w:ascii="Palatino Linotype" w:eastAsia="Palatino Linotype" w:hAnsi="Palatino Linotype" w:cs="Palatino Linotype"/>
          <w:color w:val="000000"/>
          <w:sz w:val="24"/>
          <w:szCs w:val="24"/>
          <w:highlight w:val="yellow"/>
        </w:rPr>
      </w:pPr>
    </w:p>
    <w:p w14:paraId="6FCD5104" w14:textId="77777777" w:rsidR="00694C6A" w:rsidRPr="00AD43B8" w:rsidRDefault="00AD43B8">
      <w:pPr>
        <w:numPr>
          <w:ilvl w:val="0"/>
          <w:numId w:val="10"/>
        </w:numPr>
        <w:shd w:val="clear" w:color="auto" w:fill="FFFFFF"/>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FCD5105" w14:textId="77777777" w:rsidR="00694C6A" w:rsidRPr="00AD43B8" w:rsidRDefault="00694C6A">
      <w:pPr>
        <w:shd w:val="clear" w:color="auto" w:fill="FFFFFF"/>
        <w:spacing w:line="360" w:lineRule="auto"/>
        <w:jc w:val="both"/>
        <w:rPr>
          <w:rFonts w:ascii="Palatino Linotype" w:eastAsia="Palatino Linotype" w:hAnsi="Palatino Linotype" w:cs="Palatino Linotype"/>
          <w:color w:val="000000"/>
          <w:sz w:val="24"/>
          <w:szCs w:val="24"/>
        </w:rPr>
      </w:pPr>
    </w:p>
    <w:p w14:paraId="6FCD5106" w14:textId="77777777" w:rsidR="00694C6A" w:rsidRPr="00AD43B8" w:rsidRDefault="00AD43B8">
      <w:pPr>
        <w:numPr>
          <w:ilvl w:val="0"/>
          <w:numId w:val="10"/>
        </w:numPr>
        <w:shd w:val="clear" w:color="auto" w:fill="FFFFFF"/>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En ese mismo sentido, el lineamiento trigésimo tercero fracción V de los Lineamientos Generales, precisa que para motivar la clasificación se deben acreditar las circunstancias de tiempo, modo y lugar.</w:t>
      </w:r>
    </w:p>
    <w:p w14:paraId="6FCD5107" w14:textId="77777777" w:rsidR="00694C6A" w:rsidRPr="00AD43B8" w:rsidRDefault="00694C6A">
      <w:pPr>
        <w:spacing w:line="360" w:lineRule="auto"/>
        <w:ind w:right="49"/>
        <w:jc w:val="both"/>
        <w:rPr>
          <w:rFonts w:ascii="Palatino Linotype" w:eastAsia="Palatino Linotype" w:hAnsi="Palatino Linotype" w:cs="Palatino Linotype"/>
          <w:sz w:val="24"/>
          <w:szCs w:val="24"/>
        </w:rPr>
      </w:pPr>
    </w:p>
    <w:p w14:paraId="6FCD5108"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lastRenderedPageBreak/>
        <w:t xml:space="preserve">Los elementos que brevemente se han señalado, deben integrar el proceso de clasificación total o parcial de la información, siendo que la falta de cualquiera de ellos puede provocar que el acto que limita o restringe el derecho de acceso a la información sea considerado </w:t>
      </w:r>
      <w:r w:rsidRPr="00AD43B8">
        <w:rPr>
          <w:rFonts w:ascii="Palatino Linotype" w:eastAsia="Palatino Linotype" w:hAnsi="Palatino Linotype" w:cs="Palatino Linotype"/>
          <w:b/>
          <w:sz w:val="24"/>
          <w:szCs w:val="24"/>
        </w:rPr>
        <w:t xml:space="preserve">infundado y se proceda a ordenar la desclasificación de la información por el incumplimiento de las formalidades, es decir, por vicios de legalidad o a la reposición del acto. </w:t>
      </w:r>
    </w:p>
    <w:p w14:paraId="6FCD5109"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10A"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Por lo anterior, si la información con la que se pueda responder a una solicitud de información, encuadra en algún supuesto de clasificación, se procederá a la misma, en términos de la Ley de la materia y los Lineamientos Generales en materia de Clasificación y Desclasificación de la Información, así como para la elaboración de versiones públicas, de manera previa a su entrega al solicitante, de lo contrario los servidores públicos involucrados incurrirían en responsabilidad.</w:t>
      </w:r>
    </w:p>
    <w:p w14:paraId="6FCD510B"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10C"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De lo anterior, se deprende que una clasificación de información debe estar sustentada y aprobada por el Comité de Transparencia, pues este resulta ser la máxima autoridad, dentro de la estructura de los Sujetos Obligados en materia de transparencia y protección de datos, pues de la normatividad que rige su actuar, se advierte la atribución de confirmar, modificar o revocar las determinaciones en materia de clasificación de información que propongan los servidores públicos habilitados.</w:t>
      </w:r>
    </w:p>
    <w:p w14:paraId="6FCD510D"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10E"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La entrega de información testada sin el acuerdo del Comité de Transparencia, se vuelve una restricción ilegitima que vulnera el derecho de acceso a la información de los particulares. </w:t>
      </w:r>
    </w:p>
    <w:p w14:paraId="6FCD510F"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110" w14:textId="77777777" w:rsidR="00694C6A" w:rsidRPr="00AD43B8" w:rsidRDefault="00AD43B8">
      <w:pPr>
        <w:numPr>
          <w:ilvl w:val="0"/>
          <w:numId w:val="10"/>
        </w:numPr>
        <w:spacing w:line="360" w:lineRule="auto"/>
        <w:ind w:left="0" w:right="49"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Ahora bien, no pasa desapercibido que entre la información que se testó se encuentra la siguiente:</w:t>
      </w:r>
    </w:p>
    <w:p w14:paraId="6FCD5111" w14:textId="77777777" w:rsidR="00694C6A" w:rsidRPr="00AD43B8" w:rsidRDefault="00AD43B8">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Número de cuenta de la Institución Educativa</w:t>
      </w:r>
    </w:p>
    <w:p w14:paraId="6FCD5112" w14:textId="77777777" w:rsidR="00694C6A" w:rsidRPr="00AD43B8" w:rsidRDefault="00AD43B8">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Nombre y firma de proveedor o contratista</w:t>
      </w:r>
    </w:p>
    <w:p w14:paraId="6FCD5113" w14:textId="77777777" w:rsidR="00694C6A" w:rsidRPr="00AD43B8" w:rsidRDefault="00AD43B8">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Datos de contacto de proveedor y contratista</w:t>
      </w:r>
    </w:p>
    <w:p w14:paraId="6FCD5114" w14:textId="77777777" w:rsidR="00694C6A" w:rsidRPr="00AD43B8" w:rsidRDefault="00AD43B8">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RFC del proveedor o contratista;</w:t>
      </w:r>
    </w:p>
    <w:p w14:paraId="6FCD5115" w14:textId="77777777" w:rsidR="00694C6A" w:rsidRPr="00AD43B8" w:rsidRDefault="00AD43B8">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 xml:space="preserve">Domicilio fiscal: </w:t>
      </w:r>
    </w:p>
    <w:p w14:paraId="6FCD5116" w14:textId="77777777" w:rsidR="00694C6A" w:rsidRPr="00AD43B8" w:rsidRDefault="00AD43B8">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4"/>
        </w:rPr>
      </w:pPr>
      <w:r w:rsidRPr="00AD43B8">
        <w:rPr>
          <w:rFonts w:ascii="Palatino Linotype" w:eastAsia="Palatino Linotype" w:hAnsi="Palatino Linotype" w:cs="Palatino Linotype"/>
          <w:color w:val="000000"/>
          <w:sz w:val="22"/>
          <w:szCs w:val="24"/>
        </w:rPr>
        <w:t>CURP</w:t>
      </w:r>
    </w:p>
    <w:p w14:paraId="6FCD5117" w14:textId="77777777" w:rsidR="00694C6A" w:rsidRPr="00AD43B8" w:rsidRDefault="00694C6A">
      <w:pPr>
        <w:spacing w:line="360" w:lineRule="auto"/>
        <w:jc w:val="both"/>
        <w:rPr>
          <w:rFonts w:ascii="Palatino Linotype" w:eastAsia="Palatino Linotype" w:hAnsi="Palatino Linotype" w:cs="Palatino Linotype"/>
          <w:sz w:val="24"/>
          <w:szCs w:val="24"/>
        </w:rPr>
      </w:pPr>
    </w:p>
    <w:p w14:paraId="6FCD5118" w14:textId="77777777" w:rsidR="00694C6A" w:rsidRPr="00AD43B8" w:rsidRDefault="00AD43B8">
      <w:pPr>
        <w:numPr>
          <w:ilvl w:val="0"/>
          <w:numId w:val="5"/>
        </w:num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b/>
          <w:color w:val="000000"/>
          <w:sz w:val="24"/>
          <w:szCs w:val="24"/>
        </w:rPr>
      </w:pPr>
      <w:r w:rsidRPr="00AD43B8">
        <w:rPr>
          <w:rFonts w:ascii="Palatino Linotype" w:eastAsia="Palatino Linotype" w:hAnsi="Palatino Linotype" w:cs="Palatino Linotype"/>
          <w:b/>
          <w:color w:val="000000"/>
          <w:sz w:val="24"/>
          <w:szCs w:val="24"/>
        </w:rPr>
        <w:t>Cuenta bancaria y clabe interbancaria</w:t>
      </w:r>
    </w:p>
    <w:p w14:paraId="6FCD5119" w14:textId="77777777" w:rsidR="00694C6A" w:rsidRPr="00AD43B8" w:rsidRDefault="00AD43B8">
      <w:pPr>
        <w:numPr>
          <w:ilvl w:val="0"/>
          <w:numId w:val="10"/>
        </w:numPr>
        <w:pBdr>
          <w:top w:val="nil"/>
          <w:left w:val="nil"/>
          <w:bottom w:val="nil"/>
          <w:right w:val="nil"/>
          <w:between w:val="nil"/>
        </w:pBdr>
        <w:shd w:val="clear" w:color="auto" w:fill="FFFFFF"/>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Debemos partir de lo que se entiende por cuenta bancaria, según el Glosario de Definiciones del Banco de México: </w:t>
      </w:r>
    </w:p>
    <w:p w14:paraId="6FCD511A" w14:textId="77777777" w:rsidR="00694C6A" w:rsidRPr="00AD43B8" w:rsidRDefault="00AD43B8">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4"/>
        </w:rPr>
      </w:pPr>
      <w:proofErr w:type="gramStart"/>
      <w:r w:rsidRPr="00AD43B8">
        <w:rPr>
          <w:rFonts w:ascii="Palatino Linotype" w:eastAsia="Palatino Linotype" w:hAnsi="Palatino Linotype" w:cs="Palatino Linotype"/>
          <w:i/>
          <w:color w:val="000000"/>
          <w:sz w:val="22"/>
          <w:szCs w:val="24"/>
        </w:rPr>
        <w:t>Cuenta.-</w:t>
      </w:r>
      <w:proofErr w:type="gramEnd"/>
      <w:r w:rsidRPr="00AD43B8">
        <w:rPr>
          <w:rFonts w:ascii="Palatino Linotype" w:eastAsia="Palatino Linotype" w:hAnsi="Palatino Linotype" w:cs="Palatino Linotype"/>
          <w:i/>
          <w:color w:val="000000"/>
          <w:sz w:val="22"/>
          <w:szCs w:val="24"/>
        </w:rPr>
        <w:t xml:space="preserve"> Registros contables a cargo o abono que identifican las operaciones realizadas por un cliente con una entidad, relacionadas con un Contrato de adhesión de una operación activa o pasiva.</w:t>
      </w:r>
    </w:p>
    <w:p w14:paraId="6FCD511B" w14:textId="77777777" w:rsidR="00694C6A" w:rsidRPr="00AD43B8" w:rsidRDefault="00694C6A">
      <w:pPr>
        <w:pBdr>
          <w:top w:val="nil"/>
          <w:left w:val="nil"/>
          <w:bottom w:val="nil"/>
          <w:right w:val="nil"/>
          <w:between w:val="nil"/>
        </w:pBdr>
        <w:tabs>
          <w:tab w:val="left" w:pos="2880"/>
        </w:tabs>
        <w:spacing w:line="360" w:lineRule="auto"/>
        <w:ind w:left="567" w:right="567"/>
        <w:jc w:val="both"/>
        <w:rPr>
          <w:rFonts w:ascii="Palatino Linotype" w:eastAsia="Palatino Linotype" w:hAnsi="Palatino Linotype" w:cs="Palatino Linotype"/>
          <w:i/>
          <w:color w:val="000000"/>
          <w:sz w:val="22"/>
          <w:szCs w:val="24"/>
        </w:rPr>
      </w:pPr>
    </w:p>
    <w:p w14:paraId="6FCD511C" w14:textId="77777777" w:rsidR="00694C6A" w:rsidRPr="00AD43B8" w:rsidRDefault="00AD43B8">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 xml:space="preserve">Cuenta </w:t>
      </w:r>
      <w:proofErr w:type="gramStart"/>
      <w:r w:rsidRPr="00AD43B8">
        <w:rPr>
          <w:rFonts w:ascii="Palatino Linotype" w:eastAsia="Palatino Linotype" w:hAnsi="Palatino Linotype" w:cs="Palatino Linotype"/>
          <w:i/>
          <w:color w:val="000000"/>
          <w:sz w:val="22"/>
          <w:szCs w:val="24"/>
        </w:rPr>
        <w:t>básica.-</w:t>
      </w:r>
      <w:proofErr w:type="gramEnd"/>
      <w:r w:rsidRPr="00AD43B8">
        <w:rPr>
          <w:rFonts w:ascii="Palatino Linotype" w:eastAsia="Palatino Linotype" w:hAnsi="Palatino Linotype" w:cs="Palatino Linotype"/>
          <w:i/>
          <w:color w:val="000000"/>
          <w:sz w:val="22"/>
          <w:szCs w:val="24"/>
        </w:rPr>
        <w:t xml:space="preserve"> Cuenta de depósito bancario de dinero a la vista sin comisiones que las instituciones de crédito están obligadas a ofrecer en los términos y condiciones que establece el Banco de México. La disposición establece una cuenta de nómina y otra para el público general y especifican los servicios mínimos que deben comprender como es el contar con tarjeta de débito.</w:t>
      </w:r>
    </w:p>
    <w:p w14:paraId="6FCD511D" w14:textId="77777777" w:rsidR="00694C6A" w:rsidRPr="00AD43B8" w:rsidRDefault="00694C6A">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4"/>
          <w:szCs w:val="24"/>
        </w:rPr>
      </w:pPr>
    </w:p>
    <w:p w14:paraId="6FCD511E" w14:textId="77777777" w:rsidR="00694C6A" w:rsidRPr="00AD43B8" w:rsidRDefault="00AD43B8">
      <w:pPr>
        <w:numPr>
          <w:ilvl w:val="0"/>
          <w:numId w:val="10"/>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lastRenderedPageBreak/>
        <w:t xml:space="preserve">Es así, que se puede determinar que una cuenta bancaria, es un </w:t>
      </w:r>
      <w:r w:rsidRPr="00AD43B8">
        <w:rPr>
          <w:rFonts w:ascii="Palatino Linotype" w:eastAsia="Palatino Linotype" w:hAnsi="Palatino Linotype" w:cs="Palatino Linotype"/>
          <w:b/>
          <w:color w:val="000000"/>
          <w:sz w:val="24"/>
          <w:szCs w:val="24"/>
        </w:rPr>
        <w:t>contrato financiero</w:t>
      </w:r>
      <w:r w:rsidRPr="00AD43B8">
        <w:rPr>
          <w:rFonts w:ascii="Palatino Linotype" w:eastAsia="Palatino Linotype" w:hAnsi="Palatino Linotype" w:cs="Palatino Linotype"/>
          <w:color w:val="000000"/>
          <w:sz w:val="24"/>
          <w:szCs w:val="24"/>
        </w:rPr>
        <w:t xml:space="preserve"> con una entidad bancaria mediante la cual se llevan a cabo registros contables de cargo o abono de las operaciones realizadas por un cliente.</w:t>
      </w:r>
    </w:p>
    <w:p w14:paraId="6FCD511F" w14:textId="77777777" w:rsidR="00694C6A" w:rsidRPr="00AD43B8" w:rsidRDefault="00694C6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6FCD5120" w14:textId="77777777" w:rsidR="00694C6A" w:rsidRPr="00AD43B8" w:rsidRDefault="00AD43B8">
      <w:pPr>
        <w:numPr>
          <w:ilvl w:val="0"/>
          <w:numId w:val="10"/>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Por lo anterior, se deduce que los </w:t>
      </w:r>
      <w:r w:rsidRPr="00AD43B8">
        <w:rPr>
          <w:rFonts w:ascii="Palatino Linotype" w:eastAsia="Palatino Linotype" w:hAnsi="Palatino Linotype" w:cs="Palatino Linotype"/>
          <w:b/>
          <w:color w:val="000000"/>
          <w:sz w:val="24"/>
          <w:szCs w:val="24"/>
        </w:rPr>
        <w:t xml:space="preserve">Sujetos Obligados </w:t>
      </w:r>
      <w:r w:rsidRPr="00AD43B8">
        <w:rPr>
          <w:rFonts w:ascii="Palatino Linotype" w:eastAsia="Palatino Linotype" w:hAnsi="Palatino Linotype" w:cs="Palatino Linotype"/>
          <w:color w:val="000000"/>
          <w:sz w:val="24"/>
          <w:szCs w:val="24"/>
        </w:rPr>
        <w:t xml:space="preserve">tiene la obligación y responsabilidad de solicitar los servicios de </w:t>
      </w:r>
      <w:proofErr w:type="gramStart"/>
      <w:r w:rsidRPr="00AD43B8">
        <w:rPr>
          <w:rFonts w:ascii="Palatino Linotype" w:eastAsia="Palatino Linotype" w:hAnsi="Palatino Linotype" w:cs="Palatino Linotype"/>
          <w:color w:val="000000"/>
          <w:sz w:val="24"/>
          <w:szCs w:val="24"/>
        </w:rPr>
        <w:t>la  Institución</w:t>
      </w:r>
      <w:proofErr w:type="gramEnd"/>
      <w:r w:rsidRPr="00AD43B8">
        <w:rPr>
          <w:rFonts w:ascii="Palatino Linotype" w:eastAsia="Palatino Linotype" w:hAnsi="Palatino Linotype" w:cs="Palatino Linotype"/>
          <w:color w:val="000000"/>
          <w:sz w:val="24"/>
          <w:szCs w:val="24"/>
        </w:rPr>
        <w:t xml:space="preserve"> Bancaria que prefiera con el objeto de </w:t>
      </w:r>
      <w:r w:rsidRPr="00AD43B8">
        <w:rPr>
          <w:rFonts w:ascii="Palatino Linotype" w:eastAsia="Palatino Linotype" w:hAnsi="Palatino Linotype" w:cs="Palatino Linotype"/>
          <w:b/>
          <w:color w:val="000000"/>
          <w:sz w:val="24"/>
          <w:szCs w:val="24"/>
          <w:u w:val="single"/>
        </w:rPr>
        <w:t>contratar</w:t>
      </w:r>
      <w:r w:rsidRPr="00AD43B8">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color w:val="000000"/>
          <w:sz w:val="24"/>
          <w:szCs w:val="24"/>
        </w:rPr>
        <w:t>la apertura de cuentas bancarias por cada uno de los programas o recursos federales, estatales o municipales; por ende la información solicitada por el particular</w:t>
      </w:r>
      <w:r w:rsidRPr="00AD43B8">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color w:val="000000"/>
          <w:sz w:val="24"/>
          <w:szCs w:val="24"/>
        </w:rPr>
        <w:t>es generada, administrada.</w:t>
      </w:r>
    </w:p>
    <w:p w14:paraId="6FCD5121" w14:textId="77777777" w:rsidR="00694C6A" w:rsidRPr="00AD43B8" w:rsidRDefault="00694C6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6FCD5122" w14:textId="77777777" w:rsidR="00694C6A" w:rsidRPr="00AD43B8" w:rsidRDefault="00AD43B8">
      <w:pPr>
        <w:numPr>
          <w:ilvl w:val="0"/>
          <w:numId w:val="10"/>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color w:val="000000"/>
          <w:sz w:val="24"/>
          <w:szCs w:val="24"/>
          <w:u w:val="single"/>
        </w:rPr>
      </w:pPr>
      <w:r w:rsidRPr="00AD43B8">
        <w:rPr>
          <w:rFonts w:ascii="Palatino Linotype" w:eastAsia="Palatino Linotype" w:hAnsi="Palatino Linotype" w:cs="Palatino Linotype"/>
          <w:color w:val="000000"/>
          <w:sz w:val="24"/>
          <w:szCs w:val="24"/>
        </w:rPr>
        <w:t xml:space="preserve">No obstante, el </w:t>
      </w:r>
      <w:r w:rsidRPr="00AD43B8">
        <w:rPr>
          <w:rFonts w:ascii="Palatino Linotype" w:eastAsia="Palatino Linotype" w:hAnsi="Palatino Linotype" w:cs="Palatino Linotype"/>
          <w:b/>
          <w:color w:val="000000"/>
          <w:sz w:val="24"/>
          <w:szCs w:val="24"/>
        </w:rPr>
        <w:t>Código Civil Federal</w:t>
      </w:r>
      <w:r w:rsidRPr="00AD43B8">
        <w:rPr>
          <w:rFonts w:ascii="Palatino Linotype" w:eastAsia="Palatino Linotype" w:hAnsi="Palatino Linotype" w:cs="Palatino Linotype"/>
          <w:color w:val="000000"/>
          <w:sz w:val="24"/>
          <w:szCs w:val="24"/>
        </w:rPr>
        <w:t xml:space="preserve"> correlativamente al </w:t>
      </w:r>
      <w:r w:rsidRPr="00AD43B8">
        <w:rPr>
          <w:rFonts w:ascii="Palatino Linotype" w:eastAsia="Palatino Linotype" w:hAnsi="Palatino Linotype" w:cs="Palatino Linotype"/>
          <w:b/>
          <w:color w:val="000000"/>
          <w:sz w:val="24"/>
          <w:szCs w:val="24"/>
        </w:rPr>
        <w:t xml:space="preserve">Código Civil del Estado de México </w:t>
      </w:r>
      <w:r w:rsidRPr="00AD43B8">
        <w:rPr>
          <w:rFonts w:ascii="Palatino Linotype" w:eastAsia="Palatino Linotype" w:hAnsi="Palatino Linotype" w:cs="Palatino Linotype"/>
          <w:color w:val="000000"/>
          <w:sz w:val="24"/>
          <w:szCs w:val="24"/>
        </w:rPr>
        <w:t>en sus artículos 1792 y 7.30 respectivamente conceptualizan al convenio como: “</w:t>
      </w:r>
      <w:r w:rsidRPr="00AD43B8">
        <w:rPr>
          <w:rFonts w:ascii="Palatino Linotype" w:eastAsia="Palatino Linotype" w:hAnsi="Palatino Linotype" w:cs="Palatino Linotype"/>
          <w:i/>
          <w:color w:val="000000"/>
          <w:sz w:val="24"/>
          <w:szCs w:val="24"/>
        </w:rPr>
        <w:t>el acuerdo de dos o más personas para crear, transferir, modificar o extinguir obligaciones</w:t>
      </w:r>
      <w:r w:rsidRPr="00AD43B8">
        <w:rPr>
          <w:rFonts w:ascii="Palatino Linotype" w:eastAsia="Palatino Linotype" w:hAnsi="Palatino Linotype" w:cs="Palatino Linotype"/>
          <w:color w:val="000000"/>
          <w:sz w:val="24"/>
          <w:szCs w:val="24"/>
        </w:rPr>
        <w:t>”, así mismo dichos ordenamientos jurídicos en sus artículos 1793 y 7.31 definen a los contratos como “</w:t>
      </w:r>
      <w:r w:rsidRPr="00AD43B8">
        <w:rPr>
          <w:rFonts w:ascii="Palatino Linotype" w:eastAsia="Palatino Linotype" w:hAnsi="Palatino Linotype" w:cs="Palatino Linotype"/>
          <w:i/>
          <w:color w:val="000000"/>
          <w:sz w:val="24"/>
          <w:szCs w:val="24"/>
        </w:rPr>
        <w:t>convenios que producen o transfieren las obligaciones y derechos</w:t>
      </w:r>
      <w:r w:rsidRPr="00AD43B8">
        <w:rPr>
          <w:rFonts w:ascii="Palatino Linotype" w:eastAsia="Palatino Linotype" w:hAnsi="Palatino Linotype" w:cs="Palatino Linotype"/>
          <w:color w:val="000000"/>
          <w:sz w:val="24"/>
          <w:szCs w:val="24"/>
        </w:rPr>
        <w:t>”.</w:t>
      </w:r>
    </w:p>
    <w:p w14:paraId="6FCD5123"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124" w14:textId="77777777" w:rsidR="00694C6A" w:rsidRPr="00AD43B8" w:rsidRDefault="00AD43B8">
      <w:pPr>
        <w:numPr>
          <w:ilvl w:val="0"/>
          <w:numId w:val="10"/>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Así mismo no se omite señalar que los contratos a que se refiere el párrafo anterior no tendrán validez si únicamente se encuentra manifiesta la voluntad de uno de los contratantes -en el presente caso- ya sea el Ayuntamiento o bien el proveedor o prestador de servicios, de conformidad con el artículo 7.33 del </w:t>
      </w:r>
      <w:r w:rsidRPr="00AD43B8">
        <w:rPr>
          <w:rFonts w:ascii="Palatino Linotype" w:eastAsia="Palatino Linotype" w:hAnsi="Palatino Linotype" w:cs="Palatino Linotype"/>
          <w:b/>
          <w:color w:val="000000"/>
          <w:sz w:val="24"/>
          <w:szCs w:val="24"/>
        </w:rPr>
        <w:t>Código Civil del Estado de México</w:t>
      </w:r>
      <w:r w:rsidRPr="00AD43B8">
        <w:rPr>
          <w:rFonts w:ascii="Palatino Linotype" w:eastAsia="Palatino Linotype" w:hAnsi="Palatino Linotype" w:cs="Palatino Linotype"/>
          <w:color w:val="000000"/>
          <w:sz w:val="24"/>
          <w:szCs w:val="24"/>
        </w:rPr>
        <w:t xml:space="preserve"> que a la letra señala: </w:t>
      </w:r>
    </w:p>
    <w:p w14:paraId="6FCD5125" w14:textId="77777777" w:rsidR="00694C6A" w:rsidRPr="00AD43B8" w:rsidRDefault="00AD43B8" w:rsidP="00AD43B8">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Artículo 7.33.- La validez y el cumplimiento de los contratos no pueden dejarse a la voluntad de uno de los contratantes.</w:t>
      </w:r>
    </w:p>
    <w:p w14:paraId="6FCD5126" w14:textId="77777777" w:rsidR="00694C6A" w:rsidRPr="00AD43B8" w:rsidRDefault="00694C6A">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4"/>
          <w:szCs w:val="24"/>
        </w:rPr>
      </w:pPr>
    </w:p>
    <w:p w14:paraId="6FCD5127" w14:textId="77777777" w:rsidR="00694C6A" w:rsidRPr="00AD43B8" w:rsidRDefault="00AD43B8">
      <w:pPr>
        <w:numPr>
          <w:ilvl w:val="0"/>
          <w:numId w:val="10"/>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Ahora bien, el contrato bancario puede definirse como aquellos acuerdos de voluntades por los que se crean, modifican o extinguen las relaciones jurídicas derivadas de operaciones bancarias. </w:t>
      </w:r>
    </w:p>
    <w:p w14:paraId="6FCD5128" w14:textId="77777777" w:rsidR="00694C6A" w:rsidRPr="00AD43B8" w:rsidRDefault="00694C6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6FCD5129" w14:textId="77777777" w:rsidR="00694C6A" w:rsidRPr="00AD43B8" w:rsidRDefault="00AD43B8">
      <w:pPr>
        <w:numPr>
          <w:ilvl w:val="0"/>
          <w:numId w:val="10"/>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En este sentido, es indudable el hecho de que </w:t>
      </w:r>
      <w:proofErr w:type="gramStart"/>
      <w:r w:rsidRPr="00AD43B8">
        <w:rPr>
          <w:rFonts w:ascii="Palatino Linotype" w:eastAsia="Palatino Linotype" w:hAnsi="Palatino Linotype" w:cs="Palatino Linotype"/>
          <w:color w:val="000000"/>
          <w:sz w:val="24"/>
          <w:szCs w:val="24"/>
        </w:rPr>
        <w:t xml:space="preserve">el  </w:t>
      </w:r>
      <w:r w:rsidRPr="00AD43B8">
        <w:rPr>
          <w:rFonts w:ascii="Palatino Linotype" w:eastAsia="Palatino Linotype" w:hAnsi="Palatino Linotype" w:cs="Palatino Linotype"/>
          <w:b/>
          <w:color w:val="000000"/>
          <w:sz w:val="24"/>
          <w:szCs w:val="24"/>
        </w:rPr>
        <w:t>Sujeto</w:t>
      </w:r>
      <w:proofErr w:type="gramEnd"/>
      <w:r w:rsidRPr="00AD43B8">
        <w:rPr>
          <w:rFonts w:ascii="Palatino Linotype" w:eastAsia="Palatino Linotype" w:hAnsi="Palatino Linotype" w:cs="Palatino Linotype"/>
          <w:b/>
          <w:color w:val="000000"/>
          <w:sz w:val="24"/>
          <w:szCs w:val="24"/>
        </w:rPr>
        <w:t xml:space="preserve"> Obligado </w:t>
      </w:r>
      <w:r w:rsidRPr="00AD43B8">
        <w:rPr>
          <w:rFonts w:ascii="Palatino Linotype" w:eastAsia="Palatino Linotype" w:hAnsi="Palatino Linotype" w:cs="Palatino Linotype"/>
          <w:color w:val="000000"/>
          <w:sz w:val="24"/>
          <w:szCs w:val="24"/>
        </w:rPr>
        <w:t>tiene la obligación de aperturar cuentas bancarias a efecto de que le sean depositados recursos del orden federal, estatal y para los ingresos propios, cuantas bancarias que se aperturan a partir de la celebración de contratos de los cuales como se ha dicho se puede obtener la denominación de la Institución Bancaria, un número de cuenta y una clabe interbancaria, entre otra información.</w:t>
      </w:r>
    </w:p>
    <w:p w14:paraId="6FCD512A" w14:textId="77777777" w:rsidR="00694C6A" w:rsidRPr="00AD43B8" w:rsidRDefault="00694C6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FCD512B" w14:textId="77777777" w:rsidR="00694C6A" w:rsidRPr="00AD43B8" w:rsidRDefault="00AD43B8">
      <w:pPr>
        <w:numPr>
          <w:ilvl w:val="0"/>
          <w:numId w:val="10"/>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Robusteciendo lo anterior, es preciso mencionar que este Instituto actúa en estricto apego a derecho, tan es así que considera oportuno adoptar en el presente asunto el </w:t>
      </w:r>
      <w:r w:rsidRPr="00AD43B8">
        <w:rPr>
          <w:rFonts w:ascii="Palatino Linotype" w:eastAsia="Palatino Linotype" w:hAnsi="Palatino Linotype" w:cs="Palatino Linotype"/>
          <w:b/>
          <w:color w:val="000000"/>
          <w:sz w:val="24"/>
          <w:szCs w:val="24"/>
        </w:rPr>
        <w:t>criterio 11/17</w:t>
      </w:r>
      <w:r w:rsidRPr="00AD43B8">
        <w:rPr>
          <w:rFonts w:ascii="Palatino Linotype" w:eastAsia="Palatino Linotype" w:hAnsi="Palatino Linotype" w:cs="Palatino Linotype"/>
          <w:color w:val="000000"/>
          <w:sz w:val="24"/>
          <w:szCs w:val="24"/>
        </w:rPr>
        <w:t xml:space="preserve"> emitido por el Pleno del Instituto Nacional de Acceso a la Información y Protección de Datos Personales del Estado de México y Municipios el cual a la letra establece lo siguiente: </w:t>
      </w:r>
    </w:p>
    <w:p w14:paraId="6FCD512C" w14:textId="77777777" w:rsidR="00694C6A" w:rsidRPr="00AD43B8" w:rsidRDefault="00AD43B8">
      <w:pPr>
        <w:pBdr>
          <w:top w:val="nil"/>
          <w:left w:val="nil"/>
          <w:bottom w:val="nil"/>
          <w:right w:val="nil"/>
          <w:between w:val="nil"/>
        </w:pBdr>
        <w:spacing w:line="360" w:lineRule="auto"/>
        <w:ind w:left="567" w:right="49"/>
        <w:jc w:val="both"/>
        <w:rPr>
          <w:rFonts w:ascii="Palatino Linotype" w:eastAsia="Palatino Linotype" w:hAnsi="Palatino Linotype" w:cs="Palatino Linotype"/>
          <w:b/>
          <w:color w:val="000000"/>
          <w:sz w:val="22"/>
          <w:szCs w:val="24"/>
        </w:rPr>
      </w:pPr>
      <w:r w:rsidRPr="00AD43B8">
        <w:rPr>
          <w:rFonts w:ascii="Palatino Linotype" w:eastAsia="Palatino Linotype" w:hAnsi="Palatino Linotype" w:cs="Palatino Linotype"/>
          <w:b/>
          <w:color w:val="000000"/>
          <w:sz w:val="22"/>
          <w:szCs w:val="24"/>
        </w:rPr>
        <w:t>Criterio 11/17</w:t>
      </w:r>
    </w:p>
    <w:p w14:paraId="6FCD512D" w14:textId="77777777" w:rsidR="00694C6A" w:rsidRPr="00AD43B8" w:rsidRDefault="00AD43B8">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b/>
          <w:i/>
          <w:color w:val="000000"/>
          <w:sz w:val="22"/>
          <w:szCs w:val="24"/>
        </w:rPr>
        <w:t>Cuentas bancarias y/o CLABE interbancaria de sujetos obligados que reciben y/o transfieren recursos públicos, son información pública.</w:t>
      </w:r>
      <w:r w:rsidRPr="00AD43B8">
        <w:rPr>
          <w:rFonts w:ascii="Palatino Linotype" w:eastAsia="Palatino Linotype" w:hAnsi="Palatino Linotype" w:cs="Palatino Linotype"/>
          <w:i/>
          <w:color w:val="000000"/>
          <w:sz w:val="22"/>
          <w:szCs w:val="24"/>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6FCD512E" w14:textId="77777777" w:rsidR="00694C6A" w:rsidRPr="00AD43B8" w:rsidRDefault="00694C6A">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4"/>
        </w:rPr>
      </w:pPr>
    </w:p>
    <w:p w14:paraId="6FCD512F" w14:textId="77777777" w:rsidR="00694C6A" w:rsidRPr="00AD43B8" w:rsidRDefault="00AD43B8">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lastRenderedPageBreak/>
        <w:t xml:space="preserve">Resoluciones: </w:t>
      </w:r>
    </w:p>
    <w:p w14:paraId="6FCD5130" w14:textId="77777777" w:rsidR="00694C6A" w:rsidRPr="00AD43B8" w:rsidRDefault="00AD43B8">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4"/>
        </w:rPr>
      </w:pPr>
      <w:r w:rsidRPr="00AD43B8">
        <w:rPr>
          <w:rFonts w:ascii="Symbol" w:eastAsia="Symbol" w:hAnsi="Symbol" w:cs="Symbol"/>
          <w:i/>
          <w:color w:val="000000"/>
          <w:sz w:val="22"/>
          <w:szCs w:val="24"/>
        </w:rPr>
        <w:t>∙</w:t>
      </w:r>
      <w:r w:rsidRPr="00AD43B8">
        <w:rPr>
          <w:rFonts w:ascii="Palatino Linotype" w:eastAsia="Palatino Linotype" w:hAnsi="Palatino Linotype" w:cs="Palatino Linotype"/>
          <w:i/>
          <w:color w:val="000000"/>
          <w:sz w:val="22"/>
          <w:szCs w:val="24"/>
        </w:rPr>
        <w:t xml:space="preserve"> RRA 0448/16. NOTIMEX, Agencia de Noticias del Estado Mexicano. 24 de agosto de 2016. Por unanimidad. Comisionado Ponente Joel Salas Suárez.</w:t>
      </w:r>
    </w:p>
    <w:p w14:paraId="6FCD5131" w14:textId="77777777" w:rsidR="00694C6A" w:rsidRPr="00AD43B8" w:rsidRDefault="00AD43B8">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4"/>
        </w:rPr>
      </w:pPr>
      <w:r w:rsidRPr="00AD43B8">
        <w:rPr>
          <w:rFonts w:ascii="Symbol" w:eastAsia="Symbol" w:hAnsi="Symbol" w:cs="Symbol"/>
          <w:i/>
          <w:color w:val="000000"/>
          <w:sz w:val="22"/>
          <w:szCs w:val="24"/>
        </w:rPr>
        <w:t>∙</w:t>
      </w:r>
      <w:r w:rsidRPr="00AD43B8">
        <w:rPr>
          <w:rFonts w:ascii="Palatino Linotype" w:eastAsia="Palatino Linotype" w:hAnsi="Palatino Linotype" w:cs="Palatino Linotype"/>
          <w:i/>
          <w:color w:val="000000"/>
          <w:sz w:val="22"/>
          <w:szCs w:val="24"/>
        </w:rPr>
        <w:t xml:space="preserve"> RRA 2787/16. Colegio de Postgraduados. 01 de noviembre de 2016. Por unanimidad. Comisionado Ponente Francisco Javier Acuña Llamas.</w:t>
      </w:r>
    </w:p>
    <w:p w14:paraId="6FCD5132" w14:textId="77777777" w:rsidR="00694C6A" w:rsidRPr="00AD43B8" w:rsidRDefault="00AD43B8">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4"/>
        </w:rPr>
      </w:pPr>
      <w:r w:rsidRPr="00AD43B8">
        <w:rPr>
          <w:rFonts w:ascii="Symbol" w:eastAsia="Symbol" w:hAnsi="Symbol" w:cs="Symbol"/>
          <w:i/>
          <w:color w:val="000000"/>
          <w:sz w:val="22"/>
          <w:szCs w:val="24"/>
        </w:rPr>
        <w:t>∙</w:t>
      </w:r>
      <w:r w:rsidRPr="00AD43B8">
        <w:rPr>
          <w:rFonts w:ascii="Palatino Linotype" w:eastAsia="Palatino Linotype" w:hAnsi="Palatino Linotype" w:cs="Palatino Linotype"/>
          <w:i/>
          <w:color w:val="000000"/>
          <w:sz w:val="22"/>
          <w:szCs w:val="24"/>
        </w:rPr>
        <w:t xml:space="preserve"> RRA 4756/16. Instituto Mexicano del Seguro Social. 08 de febrero de 2017. Por unanimidad. Comisionado Ponente Oscar Mauricio Guerra Ford.</w:t>
      </w:r>
    </w:p>
    <w:p w14:paraId="6FCD5133" w14:textId="77777777" w:rsidR="00694C6A" w:rsidRPr="00AD43B8" w:rsidRDefault="00694C6A">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4"/>
          <w:szCs w:val="24"/>
        </w:rPr>
      </w:pPr>
    </w:p>
    <w:p w14:paraId="6FCD5134"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De lo anterior se aprecia que, contrario </w:t>
      </w:r>
      <w:proofErr w:type="spellStart"/>
      <w:r w:rsidR="00FE3DB1" w:rsidRPr="00AD43B8">
        <w:rPr>
          <w:rFonts w:ascii="Palatino Linotype" w:eastAsia="Palatino Linotype" w:hAnsi="Palatino Linotype" w:cs="Palatino Linotype"/>
          <w:sz w:val="24"/>
          <w:szCs w:val="24"/>
        </w:rPr>
        <w:t>ha</w:t>
      </w:r>
      <w:proofErr w:type="spellEnd"/>
      <w:r w:rsidRPr="00AD43B8">
        <w:rPr>
          <w:rFonts w:ascii="Palatino Linotype" w:eastAsia="Palatino Linotype" w:hAnsi="Palatino Linotype" w:cs="Palatino Linotype"/>
          <w:sz w:val="24"/>
          <w:szCs w:val="24"/>
        </w:rPr>
        <w:t xml:space="preserve"> lo que refiere el Sujeto Obligado, la información relativa a número de cuenta y clabe interbancaria es información pública, ya que se trata de información concerniente a la institución educativa y no a personas físicas.</w:t>
      </w:r>
    </w:p>
    <w:p w14:paraId="6FCD5135" w14:textId="77777777" w:rsidR="00694C6A" w:rsidRPr="00AD43B8" w:rsidRDefault="00694C6A">
      <w:pPr>
        <w:spacing w:line="360" w:lineRule="auto"/>
        <w:jc w:val="both"/>
        <w:rPr>
          <w:rFonts w:ascii="Palatino Linotype" w:eastAsia="Palatino Linotype" w:hAnsi="Palatino Linotype" w:cs="Palatino Linotype"/>
          <w:sz w:val="24"/>
          <w:szCs w:val="24"/>
        </w:rPr>
      </w:pPr>
    </w:p>
    <w:p w14:paraId="6FCD5136" w14:textId="77777777" w:rsidR="00694C6A" w:rsidRPr="00AD43B8" w:rsidRDefault="00AD43B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AD43B8">
        <w:rPr>
          <w:rFonts w:ascii="Palatino Linotype" w:eastAsia="Palatino Linotype" w:hAnsi="Palatino Linotype" w:cs="Palatino Linotype"/>
          <w:b/>
          <w:color w:val="000000"/>
          <w:sz w:val="24"/>
          <w:szCs w:val="24"/>
        </w:rPr>
        <w:t>De los proveedores o contratistas.</w:t>
      </w:r>
    </w:p>
    <w:p w14:paraId="6FCD5137"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Sobre este tema, al tratarse de bienes o servicios, por regla general, la Ley de Transparencia y Acceso a la Información Pública del Estado de México y Municipios establece en el artículo 92 lo siguiente:</w:t>
      </w:r>
    </w:p>
    <w:p w14:paraId="6FCD5138"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“Artículo 92. </w:t>
      </w:r>
      <w:r w:rsidRPr="00AD43B8">
        <w:rPr>
          <w:rFonts w:ascii="Palatino Linotype" w:eastAsia="Palatino Linotype" w:hAnsi="Palatino Linotype" w:cs="Palatino Linotype"/>
          <w:i/>
          <w:sz w:val="22"/>
          <w:szCs w:val="24"/>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FCD5139"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i/>
          <w:sz w:val="22"/>
          <w:szCs w:val="24"/>
        </w:rPr>
        <w:t>(…)</w:t>
      </w:r>
    </w:p>
    <w:p w14:paraId="6FCD513A" w14:textId="77777777" w:rsidR="00694C6A" w:rsidRPr="00AD43B8" w:rsidRDefault="00694C6A">
      <w:pPr>
        <w:spacing w:line="360" w:lineRule="auto"/>
        <w:ind w:left="567" w:right="822"/>
        <w:jc w:val="both"/>
        <w:rPr>
          <w:rFonts w:ascii="Palatino Linotype" w:eastAsia="Palatino Linotype" w:hAnsi="Palatino Linotype" w:cs="Palatino Linotype"/>
          <w:b/>
          <w:i/>
          <w:sz w:val="22"/>
          <w:szCs w:val="24"/>
        </w:rPr>
      </w:pPr>
    </w:p>
    <w:p w14:paraId="6FCD513B"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lastRenderedPageBreak/>
        <w:t>XXIX. </w:t>
      </w:r>
      <w:r w:rsidRPr="00AD43B8">
        <w:rPr>
          <w:rFonts w:ascii="Palatino Linotype" w:eastAsia="Palatino Linotype" w:hAnsi="Palatino Linotype" w:cs="Palatino Linotype"/>
          <w:i/>
          <w:sz w:val="22"/>
          <w:szCs w:val="24"/>
        </w:rPr>
        <w:t>La información sobre los procesos y resultados sobre procedimientos de adjudicación directa, invitación restringida y licitación de cualquier naturaleza, </w:t>
      </w:r>
      <w:r w:rsidRPr="00AD43B8">
        <w:rPr>
          <w:rFonts w:ascii="Palatino Linotype" w:eastAsia="Palatino Linotype" w:hAnsi="Palatino Linotype" w:cs="Palatino Linotype"/>
          <w:b/>
          <w:i/>
          <w:sz w:val="22"/>
          <w:szCs w:val="24"/>
          <w:u w:val="single"/>
        </w:rPr>
        <w:t>incluyendo la versión pública del expediente respectivo y de los contratos</w:t>
      </w:r>
      <w:r w:rsidRPr="00AD43B8">
        <w:rPr>
          <w:rFonts w:ascii="Palatino Linotype" w:eastAsia="Palatino Linotype" w:hAnsi="Palatino Linotype" w:cs="Palatino Linotype"/>
          <w:i/>
          <w:sz w:val="22"/>
          <w:szCs w:val="24"/>
        </w:rPr>
        <w:t> celebrados, que deberán contener, por los menos, lo siguiente:</w:t>
      </w:r>
    </w:p>
    <w:p w14:paraId="6FCD513C"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a) </w:t>
      </w:r>
      <w:r w:rsidRPr="00AD43B8">
        <w:rPr>
          <w:rFonts w:ascii="Palatino Linotype" w:eastAsia="Palatino Linotype" w:hAnsi="Palatino Linotype" w:cs="Palatino Linotype"/>
          <w:i/>
          <w:sz w:val="22"/>
          <w:szCs w:val="24"/>
        </w:rPr>
        <w:t>De licitaciones públicas o procedimientos de invitación restringida:</w:t>
      </w:r>
    </w:p>
    <w:p w14:paraId="6FCD513D"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1)</w:t>
      </w:r>
      <w:r w:rsidRPr="00AD43B8">
        <w:rPr>
          <w:rFonts w:ascii="Palatino Linotype" w:eastAsia="Palatino Linotype" w:hAnsi="Palatino Linotype" w:cs="Palatino Linotype"/>
          <w:i/>
          <w:sz w:val="22"/>
          <w:szCs w:val="24"/>
        </w:rPr>
        <w:t> La convocatoria o invitación emitida, así como los fundamentos legales aplicados para llevarla a cabo;</w:t>
      </w:r>
    </w:p>
    <w:p w14:paraId="6FCD513E"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2) </w:t>
      </w:r>
      <w:r w:rsidRPr="00AD43B8">
        <w:rPr>
          <w:rFonts w:ascii="Palatino Linotype" w:eastAsia="Palatino Linotype" w:hAnsi="Palatino Linotype" w:cs="Palatino Linotype"/>
          <w:i/>
          <w:sz w:val="22"/>
          <w:szCs w:val="24"/>
        </w:rPr>
        <w:t>Los nombres de los participantes o invitados;</w:t>
      </w:r>
    </w:p>
    <w:p w14:paraId="6FCD513F"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3)</w:t>
      </w:r>
      <w:r w:rsidRPr="00AD43B8">
        <w:rPr>
          <w:rFonts w:ascii="Palatino Linotype" w:eastAsia="Palatino Linotype" w:hAnsi="Palatino Linotype" w:cs="Palatino Linotype"/>
          <w:i/>
          <w:sz w:val="22"/>
          <w:szCs w:val="24"/>
        </w:rPr>
        <w:t> El nombre del ganador y las razones que lo justifican;</w:t>
      </w:r>
    </w:p>
    <w:p w14:paraId="6FCD5140"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4) </w:t>
      </w:r>
      <w:r w:rsidRPr="00AD43B8">
        <w:rPr>
          <w:rFonts w:ascii="Palatino Linotype" w:eastAsia="Palatino Linotype" w:hAnsi="Palatino Linotype" w:cs="Palatino Linotype"/>
          <w:i/>
          <w:sz w:val="22"/>
          <w:szCs w:val="24"/>
        </w:rPr>
        <w:t>El área solicitante y la responsable de su ejecución;</w:t>
      </w:r>
    </w:p>
    <w:p w14:paraId="6FCD5141"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5) </w:t>
      </w:r>
      <w:r w:rsidRPr="00AD43B8">
        <w:rPr>
          <w:rFonts w:ascii="Palatino Linotype" w:eastAsia="Palatino Linotype" w:hAnsi="Palatino Linotype" w:cs="Palatino Linotype"/>
          <w:i/>
          <w:sz w:val="22"/>
          <w:szCs w:val="24"/>
        </w:rPr>
        <w:t>Las convocatorias e invitaciones emitidas;</w:t>
      </w:r>
    </w:p>
    <w:p w14:paraId="6FCD5142"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6)</w:t>
      </w:r>
      <w:r w:rsidRPr="00AD43B8">
        <w:rPr>
          <w:rFonts w:ascii="Palatino Linotype" w:eastAsia="Palatino Linotype" w:hAnsi="Palatino Linotype" w:cs="Palatino Linotype"/>
          <w:i/>
          <w:sz w:val="22"/>
          <w:szCs w:val="24"/>
        </w:rPr>
        <w:t> Los dictámenes y fallo de adjudicación;</w:t>
      </w:r>
    </w:p>
    <w:p w14:paraId="6FCD5143"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u w:val="single"/>
        </w:rPr>
        <w:t>7) El contrato y, en su caso, sus anexos</w:t>
      </w:r>
      <w:r w:rsidRPr="00AD43B8">
        <w:rPr>
          <w:rFonts w:ascii="Palatino Linotype" w:eastAsia="Palatino Linotype" w:hAnsi="Palatino Linotype" w:cs="Palatino Linotype"/>
          <w:i/>
          <w:sz w:val="22"/>
          <w:szCs w:val="24"/>
        </w:rPr>
        <w:t>;</w:t>
      </w:r>
    </w:p>
    <w:p w14:paraId="6FCD5144"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8) </w:t>
      </w:r>
      <w:r w:rsidRPr="00AD43B8">
        <w:rPr>
          <w:rFonts w:ascii="Palatino Linotype" w:eastAsia="Palatino Linotype" w:hAnsi="Palatino Linotype" w:cs="Palatino Linotype"/>
          <w:i/>
          <w:sz w:val="22"/>
          <w:szCs w:val="24"/>
        </w:rPr>
        <w:t>Los mecanismos de vigilancia y supervisión, incluyendo en su caso, los estudios de impacto urbano y ambiental, según corresponda;</w:t>
      </w:r>
    </w:p>
    <w:p w14:paraId="6FCD5145"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9) </w:t>
      </w:r>
      <w:r w:rsidRPr="00AD43B8">
        <w:rPr>
          <w:rFonts w:ascii="Palatino Linotype" w:eastAsia="Palatino Linotype" w:hAnsi="Palatino Linotype" w:cs="Palatino Linotype"/>
          <w:i/>
          <w:sz w:val="22"/>
          <w:szCs w:val="24"/>
        </w:rPr>
        <w:t>La partida presupuestal, de conformidad con el clasificador por objeto del gasto, en el caso de ser aplicable;</w:t>
      </w:r>
    </w:p>
    <w:p w14:paraId="6FCD5146"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i/>
          <w:sz w:val="22"/>
          <w:szCs w:val="24"/>
        </w:rPr>
        <w:t>10) Origen de los recursos especificando si son federales, estatales o municipales, así como el tipo de fondo de participación o aportación respectiva;</w:t>
      </w:r>
    </w:p>
    <w:p w14:paraId="6FCD5147"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11) </w:t>
      </w:r>
      <w:r w:rsidRPr="00AD43B8">
        <w:rPr>
          <w:rFonts w:ascii="Palatino Linotype" w:eastAsia="Palatino Linotype" w:hAnsi="Palatino Linotype" w:cs="Palatino Linotype"/>
          <w:i/>
          <w:sz w:val="22"/>
          <w:szCs w:val="24"/>
        </w:rPr>
        <w:t>Los convenios modificatorios que, en su caso, sean firmados, precisando el objeto y la fecha de celebración;</w:t>
      </w:r>
    </w:p>
    <w:p w14:paraId="6FCD5148"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12) </w:t>
      </w:r>
      <w:r w:rsidRPr="00AD43B8">
        <w:rPr>
          <w:rFonts w:ascii="Palatino Linotype" w:eastAsia="Palatino Linotype" w:hAnsi="Palatino Linotype" w:cs="Palatino Linotype"/>
          <w:i/>
          <w:sz w:val="22"/>
          <w:szCs w:val="24"/>
        </w:rPr>
        <w:t>Los informes de avance físico y financiero sobre las obras o servicios contratados;</w:t>
      </w:r>
    </w:p>
    <w:p w14:paraId="6FCD5149"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13) </w:t>
      </w:r>
      <w:r w:rsidRPr="00AD43B8">
        <w:rPr>
          <w:rFonts w:ascii="Palatino Linotype" w:eastAsia="Palatino Linotype" w:hAnsi="Palatino Linotype" w:cs="Palatino Linotype"/>
          <w:i/>
          <w:sz w:val="22"/>
          <w:szCs w:val="24"/>
        </w:rPr>
        <w:t>El convenio de terminación; y</w:t>
      </w:r>
    </w:p>
    <w:p w14:paraId="6FCD514A"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14) </w:t>
      </w:r>
      <w:r w:rsidRPr="00AD43B8">
        <w:rPr>
          <w:rFonts w:ascii="Palatino Linotype" w:eastAsia="Palatino Linotype" w:hAnsi="Palatino Linotype" w:cs="Palatino Linotype"/>
          <w:i/>
          <w:sz w:val="22"/>
          <w:szCs w:val="24"/>
        </w:rPr>
        <w:t>El finiquito.</w:t>
      </w:r>
    </w:p>
    <w:p w14:paraId="6FCD514B"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b) </w:t>
      </w:r>
      <w:r w:rsidRPr="00AD43B8">
        <w:rPr>
          <w:rFonts w:ascii="Palatino Linotype" w:eastAsia="Palatino Linotype" w:hAnsi="Palatino Linotype" w:cs="Palatino Linotype"/>
          <w:i/>
          <w:sz w:val="22"/>
          <w:szCs w:val="24"/>
        </w:rPr>
        <w:t>De las adjudicaciones directas:</w:t>
      </w:r>
    </w:p>
    <w:p w14:paraId="6FCD514C"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lastRenderedPageBreak/>
        <w:t>1) </w:t>
      </w:r>
      <w:r w:rsidRPr="00AD43B8">
        <w:rPr>
          <w:rFonts w:ascii="Palatino Linotype" w:eastAsia="Palatino Linotype" w:hAnsi="Palatino Linotype" w:cs="Palatino Linotype"/>
          <w:i/>
          <w:sz w:val="22"/>
          <w:szCs w:val="24"/>
        </w:rPr>
        <w:t>La propuesta enviada por el participante;</w:t>
      </w:r>
    </w:p>
    <w:p w14:paraId="6FCD514D"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2) </w:t>
      </w:r>
      <w:r w:rsidRPr="00AD43B8">
        <w:rPr>
          <w:rFonts w:ascii="Palatino Linotype" w:eastAsia="Palatino Linotype" w:hAnsi="Palatino Linotype" w:cs="Palatino Linotype"/>
          <w:i/>
          <w:sz w:val="22"/>
          <w:szCs w:val="24"/>
        </w:rPr>
        <w:t>Los motivos y fundamentos legales aplicados para llevarla a cabo;</w:t>
      </w:r>
    </w:p>
    <w:p w14:paraId="6FCD514E"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3) </w:t>
      </w:r>
      <w:r w:rsidRPr="00AD43B8">
        <w:rPr>
          <w:rFonts w:ascii="Palatino Linotype" w:eastAsia="Palatino Linotype" w:hAnsi="Palatino Linotype" w:cs="Palatino Linotype"/>
          <w:i/>
          <w:sz w:val="22"/>
          <w:szCs w:val="24"/>
        </w:rPr>
        <w:t>La autorización del ejercicio de la opción;</w:t>
      </w:r>
    </w:p>
    <w:p w14:paraId="6FCD514F"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i/>
          <w:sz w:val="22"/>
          <w:szCs w:val="24"/>
        </w:rPr>
        <w:t>4) En su caso, las cotizaciones consideradas, especificando los nombres de los proveedores y sus montos;</w:t>
      </w:r>
    </w:p>
    <w:p w14:paraId="6FCD5150"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5) </w:t>
      </w:r>
      <w:r w:rsidRPr="00AD43B8">
        <w:rPr>
          <w:rFonts w:ascii="Palatino Linotype" w:eastAsia="Palatino Linotype" w:hAnsi="Palatino Linotype" w:cs="Palatino Linotype"/>
          <w:i/>
          <w:sz w:val="22"/>
          <w:szCs w:val="24"/>
        </w:rPr>
        <w:t>El nombre de la persona física o jurídica colectiva adjudicada;</w:t>
      </w:r>
    </w:p>
    <w:p w14:paraId="6FCD5151"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6) </w:t>
      </w:r>
      <w:r w:rsidRPr="00AD43B8">
        <w:rPr>
          <w:rFonts w:ascii="Palatino Linotype" w:eastAsia="Palatino Linotype" w:hAnsi="Palatino Linotype" w:cs="Palatino Linotype"/>
          <w:i/>
          <w:sz w:val="22"/>
          <w:szCs w:val="24"/>
        </w:rPr>
        <w:t>La unidad administrativa solicitante y la responsable de su ejecución;</w:t>
      </w:r>
    </w:p>
    <w:p w14:paraId="6FCD5152"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7)</w:t>
      </w:r>
      <w:r w:rsidRPr="00AD43B8">
        <w:rPr>
          <w:rFonts w:ascii="Palatino Linotype" w:eastAsia="Palatino Linotype" w:hAnsi="Palatino Linotype" w:cs="Palatino Linotype"/>
          <w:i/>
          <w:sz w:val="22"/>
          <w:szCs w:val="24"/>
        </w:rPr>
        <w:t> El número, fecha, el monto del contrato y el plazo de entrega o de ejecución de los servicios u obra;</w:t>
      </w:r>
    </w:p>
    <w:p w14:paraId="6FCD5153"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8) </w:t>
      </w:r>
      <w:r w:rsidRPr="00AD43B8">
        <w:rPr>
          <w:rFonts w:ascii="Palatino Linotype" w:eastAsia="Palatino Linotype" w:hAnsi="Palatino Linotype" w:cs="Palatino Linotype"/>
          <w:i/>
          <w:sz w:val="22"/>
          <w:szCs w:val="24"/>
        </w:rPr>
        <w:t>Los mecanismos de vigilancia y supervisión, incluyendo, en su caso, los estudios de impacto urbano y ambiental, según corresponda;</w:t>
      </w:r>
    </w:p>
    <w:p w14:paraId="6FCD5154"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9) </w:t>
      </w:r>
      <w:r w:rsidRPr="00AD43B8">
        <w:rPr>
          <w:rFonts w:ascii="Palatino Linotype" w:eastAsia="Palatino Linotype" w:hAnsi="Palatino Linotype" w:cs="Palatino Linotype"/>
          <w:i/>
          <w:sz w:val="22"/>
          <w:szCs w:val="24"/>
        </w:rPr>
        <w:t>Los informes de avance sobre las obras o servicios contratados;</w:t>
      </w:r>
    </w:p>
    <w:p w14:paraId="6FCD5155" w14:textId="77777777" w:rsidR="00694C6A" w:rsidRPr="00AD43B8" w:rsidRDefault="00AD43B8">
      <w:pPr>
        <w:spacing w:line="360" w:lineRule="auto"/>
        <w:ind w:left="567" w:right="822"/>
        <w:jc w:val="both"/>
        <w:rPr>
          <w:rFonts w:ascii="Palatino Linotype" w:eastAsia="Palatino Linotype" w:hAnsi="Palatino Linotype" w:cs="Palatino Linotype"/>
          <w:sz w:val="22"/>
          <w:szCs w:val="24"/>
        </w:rPr>
      </w:pPr>
      <w:r w:rsidRPr="00AD43B8">
        <w:rPr>
          <w:rFonts w:ascii="Palatino Linotype" w:eastAsia="Palatino Linotype" w:hAnsi="Palatino Linotype" w:cs="Palatino Linotype"/>
          <w:b/>
          <w:i/>
          <w:sz w:val="22"/>
          <w:szCs w:val="24"/>
        </w:rPr>
        <w:t>10) </w:t>
      </w:r>
      <w:r w:rsidRPr="00AD43B8">
        <w:rPr>
          <w:rFonts w:ascii="Palatino Linotype" w:eastAsia="Palatino Linotype" w:hAnsi="Palatino Linotype" w:cs="Palatino Linotype"/>
          <w:i/>
          <w:sz w:val="22"/>
          <w:szCs w:val="24"/>
        </w:rPr>
        <w:t>El convenio de terminación; y</w:t>
      </w:r>
    </w:p>
    <w:p w14:paraId="6FCD5156" w14:textId="77777777" w:rsidR="00694C6A" w:rsidRPr="00AD43B8" w:rsidRDefault="00AD43B8">
      <w:pPr>
        <w:spacing w:line="360" w:lineRule="auto"/>
        <w:ind w:left="567" w:right="822"/>
        <w:jc w:val="both"/>
        <w:rPr>
          <w:rFonts w:ascii="Palatino Linotype" w:eastAsia="Palatino Linotype" w:hAnsi="Palatino Linotype" w:cs="Palatino Linotype"/>
          <w:b/>
          <w:i/>
          <w:sz w:val="22"/>
          <w:szCs w:val="24"/>
        </w:rPr>
      </w:pPr>
      <w:r w:rsidRPr="00AD43B8">
        <w:rPr>
          <w:rFonts w:ascii="Palatino Linotype" w:eastAsia="Palatino Linotype" w:hAnsi="Palatino Linotype" w:cs="Palatino Linotype"/>
          <w:b/>
          <w:i/>
          <w:sz w:val="22"/>
          <w:szCs w:val="24"/>
        </w:rPr>
        <w:t>11) </w:t>
      </w:r>
      <w:r w:rsidRPr="00AD43B8">
        <w:rPr>
          <w:rFonts w:ascii="Palatino Linotype" w:eastAsia="Palatino Linotype" w:hAnsi="Palatino Linotype" w:cs="Palatino Linotype"/>
          <w:i/>
          <w:sz w:val="22"/>
          <w:szCs w:val="24"/>
        </w:rPr>
        <w:t>El finiquito.</w:t>
      </w:r>
      <w:r w:rsidRPr="00AD43B8">
        <w:rPr>
          <w:rFonts w:ascii="Palatino Linotype" w:eastAsia="Palatino Linotype" w:hAnsi="Palatino Linotype" w:cs="Palatino Linotype"/>
          <w:b/>
          <w:i/>
          <w:sz w:val="22"/>
          <w:szCs w:val="24"/>
        </w:rPr>
        <w:t>”</w:t>
      </w:r>
    </w:p>
    <w:p w14:paraId="6FCD5157" w14:textId="77777777" w:rsidR="00694C6A" w:rsidRPr="00AD43B8" w:rsidRDefault="00694C6A">
      <w:pPr>
        <w:ind w:left="851" w:right="850"/>
        <w:jc w:val="both"/>
        <w:rPr>
          <w:rFonts w:ascii="Palatino Linotype" w:eastAsia="Palatino Linotype" w:hAnsi="Palatino Linotype" w:cs="Palatino Linotype"/>
          <w:sz w:val="24"/>
          <w:szCs w:val="24"/>
        </w:rPr>
      </w:pPr>
    </w:p>
    <w:p w14:paraId="6FCD5158"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En la adquisición de bienes o servicios, se debe hacer pública aquella información relacionada con los mismos, como se muestra en el artículo 92 citado, ya que existe un interés colectivo de conocer el uso y destino de los recursos públicos.</w:t>
      </w:r>
    </w:p>
    <w:p w14:paraId="6FCD5159"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15A"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Robustecen lo anterior </w:t>
      </w:r>
      <w:r w:rsidRPr="00AD43B8">
        <w:rPr>
          <w:rFonts w:ascii="Palatino Linotype" w:eastAsia="Palatino Linotype" w:hAnsi="Palatino Linotype" w:cs="Palatino Linotype"/>
          <w:i/>
          <w:color w:val="000000"/>
          <w:sz w:val="24"/>
          <w:szCs w:val="24"/>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AD43B8">
        <w:rPr>
          <w:rFonts w:ascii="Palatino Linotype" w:eastAsia="Palatino Linotype" w:hAnsi="Palatino Linotype" w:cs="Palatino Linotype"/>
          <w:color w:val="000000"/>
          <w:sz w:val="24"/>
          <w:szCs w:val="24"/>
        </w:rPr>
        <w:t xml:space="preserve">en los criterios sustantivos de contenido correspondientes a la fracción XXVIII </w:t>
      </w:r>
      <w:r w:rsidRPr="00AD43B8">
        <w:rPr>
          <w:rFonts w:ascii="Palatino Linotype" w:eastAsia="Palatino Linotype" w:hAnsi="Palatino Linotype" w:cs="Palatino Linotype"/>
          <w:color w:val="000000"/>
          <w:sz w:val="24"/>
          <w:szCs w:val="24"/>
        </w:rPr>
        <w:lastRenderedPageBreak/>
        <w:t>del artículo 70 de la Ley General de Transparencia que marcan los parámetros para publicar la información en medios electrónicos en los siguientes términos:</w:t>
      </w:r>
    </w:p>
    <w:p w14:paraId="6FCD515B"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 xml:space="preserve">Criterios sustantivos de contenido </w:t>
      </w:r>
    </w:p>
    <w:p w14:paraId="6FCD515C"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 xml:space="preserve">Respecto de cada uno de los eventos de licitación pública y de invitación a cuando menos tres personas se publicarán los siguientes datos: </w:t>
      </w:r>
    </w:p>
    <w:p w14:paraId="6FCD515D" w14:textId="77777777" w:rsidR="00694C6A" w:rsidRPr="00AD43B8" w:rsidRDefault="00694C6A"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i/>
          <w:color w:val="000000"/>
          <w:sz w:val="22"/>
          <w:szCs w:val="24"/>
        </w:rPr>
      </w:pPr>
    </w:p>
    <w:p w14:paraId="6FCD515E"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Criterio 1 Ejercicio</w:t>
      </w:r>
    </w:p>
    <w:p w14:paraId="6FCD515F"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 xml:space="preserve">Criterio 2 Periodo que se informa (fecha de inicio y fecha de término con el formato día/mes/año) </w:t>
      </w:r>
    </w:p>
    <w:p w14:paraId="6FCD5160"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 xml:space="preserve">Criterio 3 Tipo de procedimiento (catálogo): Licitación pública/Invitación a cuando menos tres personas/ Otra (especificar) En caso de que no se haya llevado a cabo alguno de los tres procedimientos en el periodo que se informa, se deberá incluir un registro con el periodo respectivo, el procedimiento y señalar mediante una nota fundamentada, motivada y actualizada al periodo correspondiente, que no se llevó a cabo ningún procedimiento de ese tipo. </w:t>
      </w:r>
    </w:p>
    <w:p w14:paraId="6FCD5161"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 xml:space="preserve">Criterio 4 Materia o tipo de contratación (catálogo): Obra pública/Servicios relacionados con obra pública/Adquisiciones/Arrendamientos/Servicios </w:t>
      </w:r>
    </w:p>
    <w:p w14:paraId="6FCD5162"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 xml:space="preserve">Criterio 5 Carácter del procedimiento (catálogo): Nacional/Internacional Relación con los nombres de las personas físicas o morales de los posibles contratantes: </w:t>
      </w:r>
    </w:p>
    <w:p w14:paraId="6FCD5163"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Criterio 6 En el caso de personas físicas: nombre[s], primer apellido, segundo apellido. En el caso de persona moral: razón social. En su caso, incluir una leyenda señalando que no se realizaron cotizaciones</w:t>
      </w:r>
    </w:p>
    <w:p w14:paraId="6FCD5164"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 xml:space="preserve">Criterio 7 Registro Federal de Contribuyentes (RFC) de las personas físicas o morales de los posibles contratantes </w:t>
      </w:r>
    </w:p>
    <w:p w14:paraId="6FCD5165"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t>…</w:t>
      </w:r>
    </w:p>
    <w:p w14:paraId="6FCD5166"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i/>
          <w:color w:val="000000"/>
          <w:sz w:val="22"/>
          <w:szCs w:val="24"/>
        </w:rPr>
      </w:pPr>
      <w:r w:rsidRPr="00AD43B8">
        <w:rPr>
          <w:rFonts w:ascii="Palatino Linotype" w:eastAsia="Palatino Linotype" w:hAnsi="Palatino Linotype" w:cs="Palatino Linotype"/>
          <w:i/>
          <w:color w:val="000000"/>
          <w:sz w:val="22"/>
          <w:szCs w:val="24"/>
        </w:rPr>
        <w:lastRenderedPageBreak/>
        <w:t xml:space="preserve">Relación con los nombres de las personas físicas o morales que presentaron una proposición u oferta: </w:t>
      </w:r>
    </w:p>
    <w:p w14:paraId="6FCD5167" w14:textId="77777777" w:rsidR="00694C6A" w:rsidRPr="00AD43B8" w:rsidRDefault="00694C6A"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i/>
          <w:color w:val="000000"/>
          <w:sz w:val="22"/>
          <w:szCs w:val="24"/>
        </w:rPr>
      </w:pPr>
    </w:p>
    <w:p w14:paraId="6FCD5168"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 xml:space="preserve">Criterio 12 En el caso de personas físicas: nombre[s], primer apellido, segundo apellido. En el caso de persona moral: razón social </w:t>
      </w:r>
    </w:p>
    <w:p w14:paraId="6FCD5169"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 xml:space="preserve">Criterio 13 Registro Federal de Contribuyentes (RFC) de las personas físicas o morales que presentaron una proposición u oferta </w:t>
      </w:r>
    </w:p>
    <w:p w14:paraId="6FCD516A"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w:t>
      </w:r>
    </w:p>
    <w:p w14:paraId="6FCD516B"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Criterio 30 Domicilio fiscal de la empresa, contratista o proveedor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w:t>
      </w:r>
    </w:p>
    <w:p w14:paraId="6FCD516C" w14:textId="77777777" w:rsidR="00694C6A" w:rsidRPr="00AD43B8" w:rsidRDefault="00694C6A"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p>
    <w:p w14:paraId="6FCD516D"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 xml:space="preserve">Respecto del Representante legal se publicará la siguiente información: </w:t>
      </w:r>
    </w:p>
    <w:p w14:paraId="6FCD516E" w14:textId="77777777" w:rsidR="00694C6A" w:rsidRPr="00AD43B8" w:rsidRDefault="00694C6A"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p>
    <w:p w14:paraId="6FCD516F"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 xml:space="preserve">Criterio 15 Nombre del representante legal de la empresa, es decir, la persona que posee facultades legales para representarla </w:t>
      </w:r>
    </w:p>
    <w:p w14:paraId="6FCD5170"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 xml:space="preserve">Criterio 16 Datos de contacto: teléfono, en su caso extensión </w:t>
      </w:r>
    </w:p>
    <w:p w14:paraId="6FCD5171" w14:textId="77777777" w:rsidR="00694C6A" w:rsidRPr="00AD43B8" w:rsidRDefault="00AD43B8" w:rsidP="00AD43B8">
      <w:pPr>
        <w:pBdr>
          <w:top w:val="nil"/>
          <w:left w:val="nil"/>
          <w:bottom w:val="nil"/>
          <w:right w:val="nil"/>
          <w:between w:val="nil"/>
        </w:pBdr>
        <w:tabs>
          <w:tab w:val="left" w:pos="851"/>
          <w:tab w:val="left" w:pos="8505"/>
        </w:tabs>
        <w:spacing w:line="360" w:lineRule="auto"/>
        <w:ind w:left="567" w:right="1106"/>
        <w:jc w:val="both"/>
        <w:rPr>
          <w:rFonts w:ascii="Palatino Linotype" w:eastAsia="Palatino Linotype" w:hAnsi="Palatino Linotype" w:cs="Palatino Linotype"/>
          <w:b/>
          <w:i/>
          <w:color w:val="000000"/>
          <w:sz w:val="22"/>
          <w:szCs w:val="24"/>
        </w:rPr>
      </w:pPr>
      <w:r w:rsidRPr="00AD43B8">
        <w:rPr>
          <w:rFonts w:ascii="Palatino Linotype" w:eastAsia="Palatino Linotype" w:hAnsi="Palatino Linotype" w:cs="Palatino Linotype"/>
          <w:b/>
          <w:i/>
          <w:color w:val="000000"/>
          <w:sz w:val="22"/>
          <w:szCs w:val="24"/>
        </w:rPr>
        <w:t>Criterio 17 Correo electrónico, siempre y cuando éstos hayan sido proporcionados por la empresa</w:t>
      </w:r>
    </w:p>
    <w:p w14:paraId="6FCD5172" w14:textId="77777777" w:rsidR="00694C6A" w:rsidRPr="00AD43B8" w:rsidRDefault="00694C6A">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6FCD5173"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lastRenderedPageBreak/>
        <w:t>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w:t>
      </w:r>
      <w:r w:rsidRPr="00AD43B8">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color w:val="000000"/>
          <w:sz w:val="24"/>
          <w:szCs w:val="24"/>
        </w:rPr>
        <w:t>el cual debe contener, nombre de los proveedores; datos de contacto como número telefónico, correo electrónico, entre otros; Registro Federal de contribuyentes, domicilio fiscal.</w:t>
      </w:r>
    </w:p>
    <w:p w14:paraId="6FCD5174"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175"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 xml:space="preserve">En consecuencia, contrario </w:t>
      </w:r>
      <w:proofErr w:type="spellStart"/>
      <w:r w:rsidR="00FE3DB1" w:rsidRPr="00AD43B8">
        <w:rPr>
          <w:rFonts w:ascii="Palatino Linotype" w:eastAsia="Palatino Linotype" w:hAnsi="Palatino Linotype" w:cs="Palatino Linotype"/>
          <w:color w:val="000000"/>
          <w:sz w:val="24"/>
          <w:szCs w:val="24"/>
        </w:rPr>
        <w:t>ha</w:t>
      </w:r>
      <w:proofErr w:type="spellEnd"/>
      <w:r w:rsidRPr="00AD43B8">
        <w:rPr>
          <w:rFonts w:ascii="Palatino Linotype" w:eastAsia="Palatino Linotype" w:hAnsi="Palatino Linotype" w:cs="Palatino Linotype"/>
          <w:color w:val="000000"/>
          <w:sz w:val="24"/>
          <w:szCs w:val="24"/>
        </w:rPr>
        <w:t xml:space="preserve"> lo que refiere el Sujeto Obligado los datos de proveedores o </w:t>
      </w:r>
      <w:proofErr w:type="gramStart"/>
      <w:r w:rsidRPr="00AD43B8">
        <w:rPr>
          <w:rFonts w:ascii="Palatino Linotype" w:eastAsia="Palatino Linotype" w:hAnsi="Palatino Linotype" w:cs="Palatino Linotype"/>
          <w:color w:val="000000"/>
          <w:sz w:val="24"/>
          <w:szCs w:val="24"/>
        </w:rPr>
        <w:t>contratistas</w:t>
      </w:r>
      <w:proofErr w:type="gramEnd"/>
      <w:r w:rsidRPr="00AD43B8">
        <w:rPr>
          <w:rFonts w:ascii="Palatino Linotype" w:eastAsia="Palatino Linotype" w:hAnsi="Palatino Linotype" w:cs="Palatino Linotype"/>
          <w:color w:val="000000"/>
          <w:sz w:val="24"/>
          <w:szCs w:val="24"/>
        </w:rPr>
        <w:t xml:space="preserve"> así como de sus representantes legales no son susceptibles de clasificarse como confidenciales, pues corresponden a una obligación de transparencia común.</w:t>
      </w:r>
    </w:p>
    <w:p w14:paraId="6FCD5176" w14:textId="77777777" w:rsidR="00694C6A" w:rsidRPr="00AD43B8" w:rsidRDefault="00694C6A">
      <w:pPr>
        <w:spacing w:line="360" w:lineRule="auto"/>
        <w:jc w:val="both"/>
        <w:rPr>
          <w:rFonts w:ascii="Palatino Linotype" w:eastAsia="Palatino Linotype" w:hAnsi="Palatino Linotype" w:cs="Palatino Linotype"/>
          <w:sz w:val="24"/>
          <w:szCs w:val="24"/>
        </w:rPr>
      </w:pPr>
    </w:p>
    <w:p w14:paraId="6FCD5177" w14:textId="77777777" w:rsidR="00694C6A" w:rsidRPr="00AD43B8" w:rsidRDefault="00AD43B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AD43B8">
        <w:rPr>
          <w:rFonts w:ascii="Palatino Linotype" w:eastAsia="Palatino Linotype" w:hAnsi="Palatino Linotype" w:cs="Palatino Linotype"/>
          <w:b/>
          <w:color w:val="000000"/>
          <w:sz w:val="24"/>
          <w:szCs w:val="24"/>
        </w:rPr>
        <w:t>CURP</w:t>
      </w:r>
    </w:p>
    <w:p w14:paraId="6FCD5178"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color w:val="000000"/>
          <w:sz w:val="24"/>
          <w:szCs w:val="24"/>
        </w:rPr>
        <w:t>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14:paraId="6FCD5179" w14:textId="77777777" w:rsidR="00694C6A" w:rsidRPr="00AD43B8" w:rsidRDefault="00AD43B8">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sz w:val="24"/>
          <w:szCs w:val="24"/>
        </w:rPr>
      </w:pPr>
      <w:r w:rsidRPr="00AD43B8">
        <w:rPr>
          <w:noProof/>
          <w:color w:val="000000"/>
          <w:sz w:val="24"/>
          <w:szCs w:val="24"/>
          <w:lang w:eastAsia="es-MX"/>
        </w:rPr>
        <w:lastRenderedPageBreak/>
        <w:drawing>
          <wp:inline distT="0" distB="0" distL="0" distR="0" wp14:anchorId="6FCD51D1" wp14:editId="6FCD51D2">
            <wp:extent cx="4433744" cy="3660231"/>
            <wp:effectExtent l="12700" t="12700" r="12700" b="12700"/>
            <wp:docPr id="23" name="image1.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Aplicación&#10;&#10;Descripción generada automáticamente"/>
                    <pic:cNvPicPr preferRelativeResize="0"/>
                  </pic:nvPicPr>
                  <pic:blipFill>
                    <a:blip r:embed="rId8"/>
                    <a:srcRect l="25748" t="8269" r="41254" b="18080"/>
                    <a:stretch>
                      <a:fillRect/>
                    </a:stretch>
                  </pic:blipFill>
                  <pic:spPr>
                    <a:xfrm>
                      <a:off x="0" y="0"/>
                      <a:ext cx="4433744" cy="3660231"/>
                    </a:xfrm>
                    <a:prstGeom prst="rect">
                      <a:avLst/>
                    </a:prstGeom>
                    <a:ln w="12700">
                      <a:solidFill>
                        <a:srgbClr val="000000"/>
                      </a:solidFill>
                      <a:prstDash val="solid"/>
                    </a:ln>
                  </pic:spPr>
                </pic:pic>
              </a:graphicData>
            </a:graphic>
          </wp:inline>
        </w:drawing>
      </w:r>
    </w:p>
    <w:p w14:paraId="6FCD517A" w14:textId="77777777" w:rsidR="00694C6A" w:rsidRPr="00AD43B8" w:rsidRDefault="00694C6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4"/>
          <w:szCs w:val="24"/>
        </w:rPr>
      </w:pPr>
    </w:p>
    <w:p w14:paraId="6FCD517B" w14:textId="77777777" w:rsidR="00694C6A" w:rsidRPr="00AD43B8" w:rsidRDefault="00AD43B8">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6FCD517C" w14:textId="77777777" w:rsidR="00694C6A" w:rsidRPr="00AD43B8" w:rsidRDefault="00694C6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4"/>
          <w:szCs w:val="24"/>
        </w:rPr>
      </w:pPr>
    </w:p>
    <w:p w14:paraId="6FCD517D" w14:textId="77777777" w:rsidR="00694C6A" w:rsidRPr="00AD43B8" w:rsidRDefault="00AD43B8">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Entre las características de la CURP, se encuentra:</w:t>
      </w:r>
    </w:p>
    <w:p w14:paraId="6FCD517E" w14:textId="77777777" w:rsidR="00694C6A" w:rsidRPr="00FE3DB1" w:rsidRDefault="00AD43B8" w:rsidP="00FE3DB1">
      <w:pPr>
        <w:tabs>
          <w:tab w:val="left" w:pos="426"/>
          <w:tab w:val="left" w:pos="567"/>
        </w:tabs>
        <w:spacing w:line="276" w:lineRule="auto"/>
        <w:ind w:left="567" w:right="822"/>
        <w:jc w:val="both"/>
        <w:rPr>
          <w:rFonts w:ascii="Palatino Linotype" w:eastAsia="Palatino Linotype" w:hAnsi="Palatino Linotype" w:cs="Palatino Linotype"/>
          <w:i/>
          <w:sz w:val="22"/>
          <w:szCs w:val="24"/>
        </w:rPr>
      </w:pPr>
      <w:r w:rsidRPr="00FE3DB1">
        <w:rPr>
          <w:rFonts w:ascii="Palatino Linotype" w:eastAsia="Palatino Linotype" w:hAnsi="Palatino Linotype" w:cs="Palatino Linotype"/>
          <w:b/>
          <w:i/>
          <w:sz w:val="22"/>
          <w:szCs w:val="24"/>
        </w:rPr>
        <w:t xml:space="preserve">Composición. </w:t>
      </w:r>
      <w:r w:rsidRPr="00FE3DB1">
        <w:rPr>
          <w:rFonts w:ascii="Palatino Linotype" w:eastAsia="Palatino Linotype" w:hAnsi="Palatino Linotype" w:cs="Palatino Linotype"/>
          <w:i/>
          <w:sz w:val="22"/>
          <w:szCs w:val="24"/>
        </w:rPr>
        <w:t>Alfanumérica.</w:t>
      </w:r>
    </w:p>
    <w:p w14:paraId="6FCD517F" w14:textId="77777777" w:rsidR="00694C6A" w:rsidRPr="00FE3DB1" w:rsidRDefault="00AD43B8" w:rsidP="00FE3DB1">
      <w:pPr>
        <w:tabs>
          <w:tab w:val="left" w:pos="426"/>
          <w:tab w:val="left" w:pos="567"/>
        </w:tabs>
        <w:spacing w:line="276" w:lineRule="auto"/>
        <w:ind w:left="567" w:right="822"/>
        <w:jc w:val="both"/>
        <w:rPr>
          <w:rFonts w:ascii="Palatino Linotype" w:eastAsia="Palatino Linotype" w:hAnsi="Palatino Linotype" w:cs="Palatino Linotype"/>
          <w:i/>
          <w:sz w:val="22"/>
          <w:szCs w:val="24"/>
        </w:rPr>
      </w:pPr>
      <w:r w:rsidRPr="00FE3DB1">
        <w:rPr>
          <w:rFonts w:ascii="Palatino Linotype" w:eastAsia="Palatino Linotype" w:hAnsi="Palatino Linotype" w:cs="Palatino Linotype"/>
          <w:b/>
          <w:i/>
          <w:sz w:val="22"/>
          <w:szCs w:val="24"/>
        </w:rPr>
        <w:t xml:space="preserve">Longitud. </w:t>
      </w:r>
      <w:r w:rsidRPr="00FE3DB1">
        <w:rPr>
          <w:rFonts w:ascii="Palatino Linotype" w:eastAsia="Palatino Linotype" w:hAnsi="Palatino Linotype" w:cs="Palatino Linotype"/>
          <w:i/>
          <w:sz w:val="22"/>
          <w:szCs w:val="24"/>
        </w:rPr>
        <w:t xml:space="preserve"> 18 caracteres.</w:t>
      </w:r>
    </w:p>
    <w:p w14:paraId="6FCD5180" w14:textId="77777777" w:rsidR="00694C6A" w:rsidRPr="00FE3DB1" w:rsidRDefault="00AD43B8" w:rsidP="00FE3DB1">
      <w:pPr>
        <w:tabs>
          <w:tab w:val="left" w:pos="426"/>
          <w:tab w:val="left" w:pos="567"/>
        </w:tabs>
        <w:spacing w:line="276" w:lineRule="auto"/>
        <w:ind w:left="567" w:right="822"/>
        <w:jc w:val="both"/>
        <w:rPr>
          <w:rFonts w:ascii="Palatino Linotype" w:eastAsia="Palatino Linotype" w:hAnsi="Palatino Linotype" w:cs="Palatino Linotype"/>
          <w:i/>
          <w:sz w:val="22"/>
          <w:szCs w:val="24"/>
        </w:rPr>
      </w:pPr>
      <w:r w:rsidRPr="00FE3DB1">
        <w:rPr>
          <w:rFonts w:ascii="Palatino Linotype" w:eastAsia="Palatino Linotype" w:hAnsi="Palatino Linotype" w:cs="Palatino Linotype"/>
          <w:b/>
          <w:i/>
          <w:sz w:val="22"/>
          <w:szCs w:val="24"/>
        </w:rPr>
        <w:t xml:space="preserve">Naturaleza. </w:t>
      </w:r>
      <w:r w:rsidRPr="00FE3DB1">
        <w:rPr>
          <w:rFonts w:ascii="Palatino Linotype" w:eastAsia="Palatino Linotype" w:hAnsi="Palatino Linotype" w:cs="Palatino Linotype"/>
          <w:i/>
          <w:sz w:val="22"/>
          <w:szCs w:val="24"/>
        </w:rPr>
        <w:t>Biunívoca.</w:t>
      </w:r>
    </w:p>
    <w:p w14:paraId="6FCD5181" w14:textId="77777777" w:rsidR="00694C6A" w:rsidRPr="00FE3DB1" w:rsidRDefault="00AD43B8" w:rsidP="00FE3DB1">
      <w:pPr>
        <w:tabs>
          <w:tab w:val="left" w:pos="426"/>
          <w:tab w:val="left" w:pos="567"/>
        </w:tabs>
        <w:spacing w:line="276" w:lineRule="auto"/>
        <w:ind w:left="567" w:right="822"/>
        <w:jc w:val="both"/>
        <w:rPr>
          <w:rFonts w:ascii="Palatino Linotype" w:eastAsia="Palatino Linotype" w:hAnsi="Palatino Linotype" w:cs="Palatino Linotype"/>
          <w:i/>
          <w:sz w:val="22"/>
          <w:szCs w:val="24"/>
        </w:rPr>
      </w:pPr>
      <w:r w:rsidRPr="00FE3DB1">
        <w:rPr>
          <w:rFonts w:ascii="Palatino Linotype" w:eastAsia="Palatino Linotype" w:hAnsi="Palatino Linotype" w:cs="Palatino Linotype"/>
          <w:b/>
          <w:i/>
          <w:sz w:val="22"/>
          <w:szCs w:val="24"/>
        </w:rPr>
        <w:t xml:space="preserve">Universalidad. </w:t>
      </w:r>
      <w:r w:rsidRPr="00FE3DB1">
        <w:rPr>
          <w:rFonts w:ascii="Palatino Linotype" w:eastAsia="Palatino Linotype" w:hAnsi="Palatino Linotype" w:cs="Palatino Linotype"/>
          <w:i/>
          <w:sz w:val="22"/>
          <w:szCs w:val="24"/>
        </w:rPr>
        <w:t>Se asigna a todas las personas que conforman la población.</w:t>
      </w:r>
    </w:p>
    <w:p w14:paraId="6FCD5182" w14:textId="77777777" w:rsidR="00694C6A" w:rsidRPr="00FE3DB1" w:rsidRDefault="00AD43B8" w:rsidP="00FE3DB1">
      <w:pPr>
        <w:pBdr>
          <w:top w:val="nil"/>
          <w:left w:val="nil"/>
          <w:bottom w:val="nil"/>
          <w:right w:val="nil"/>
          <w:between w:val="nil"/>
        </w:pBdr>
        <w:tabs>
          <w:tab w:val="left" w:pos="142"/>
          <w:tab w:val="left" w:pos="284"/>
          <w:tab w:val="left" w:pos="426"/>
        </w:tabs>
        <w:spacing w:line="276" w:lineRule="auto"/>
        <w:ind w:left="567" w:right="822"/>
        <w:jc w:val="both"/>
        <w:rPr>
          <w:rFonts w:ascii="Palatino Linotype" w:eastAsia="Palatino Linotype" w:hAnsi="Palatino Linotype" w:cs="Palatino Linotype"/>
          <w:i/>
          <w:color w:val="000000"/>
          <w:sz w:val="22"/>
          <w:szCs w:val="24"/>
        </w:rPr>
      </w:pPr>
      <w:r w:rsidRPr="00FE3DB1">
        <w:rPr>
          <w:rFonts w:ascii="Palatino Linotype" w:eastAsia="Palatino Linotype" w:hAnsi="Palatino Linotype" w:cs="Palatino Linotype"/>
          <w:b/>
          <w:i/>
          <w:color w:val="000000"/>
          <w:sz w:val="22"/>
          <w:szCs w:val="24"/>
        </w:rPr>
        <w:lastRenderedPageBreak/>
        <w:t xml:space="preserve">Verificabilidad. </w:t>
      </w:r>
      <w:r w:rsidRPr="00FE3DB1">
        <w:rPr>
          <w:rFonts w:ascii="Palatino Linotype" w:eastAsia="Palatino Linotype" w:hAnsi="Palatino Linotype" w:cs="Palatino Linotype"/>
          <w:b/>
          <w:i/>
          <w:color w:val="000000"/>
          <w:sz w:val="22"/>
          <w:szCs w:val="24"/>
          <w:u w:val="single"/>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6FCD5183" w14:textId="77777777" w:rsidR="00694C6A" w:rsidRPr="00AD43B8" w:rsidRDefault="00694C6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4"/>
          <w:szCs w:val="24"/>
        </w:rPr>
      </w:pPr>
    </w:p>
    <w:p w14:paraId="6FCD5184" w14:textId="77777777" w:rsidR="00694C6A" w:rsidRPr="00AD43B8" w:rsidRDefault="00AD43B8">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6FCD5185" w14:textId="77777777" w:rsidR="00694C6A" w:rsidRPr="00AD43B8" w:rsidRDefault="00694C6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4"/>
          <w:szCs w:val="24"/>
        </w:rPr>
      </w:pPr>
    </w:p>
    <w:p w14:paraId="6FCD5186" w14:textId="77777777" w:rsidR="00694C6A" w:rsidRPr="00AD43B8" w:rsidRDefault="00AD43B8">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6FCD5187" w14:textId="77777777" w:rsidR="00694C6A" w:rsidRPr="00AD43B8" w:rsidRDefault="00694C6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4"/>
          <w:szCs w:val="24"/>
        </w:rPr>
      </w:pPr>
    </w:p>
    <w:p w14:paraId="6FCD5188" w14:textId="77777777" w:rsidR="00694C6A" w:rsidRPr="00AD43B8" w:rsidRDefault="00AD43B8">
      <w:pPr>
        <w:numPr>
          <w:ilvl w:val="0"/>
          <w:numId w:val="10"/>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Ante ello, resulta aplicable el Criterio 18/17 emitido por el Instituto Nacional de Transparencia, Acceso a la Información y Protección de Datos Personales, que a la literalidad señala:</w:t>
      </w:r>
    </w:p>
    <w:p w14:paraId="6FCD5189" w14:textId="77777777" w:rsidR="00694C6A" w:rsidRPr="00FE3DB1" w:rsidRDefault="00AD43B8" w:rsidP="00FE3DB1">
      <w:pPr>
        <w:shd w:val="clear" w:color="auto" w:fill="FFFFFF"/>
        <w:spacing w:line="276" w:lineRule="auto"/>
        <w:ind w:left="567" w:right="822"/>
        <w:jc w:val="both"/>
        <w:rPr>
          <w:rFonts w:ascii="Palatino Linotype" w:eastAsia="Palatino Linotype" w:hAnsi="Palatino Linotype" w:cs="Palatino Linotype"/>
          <w:i/>
          <w:sz w:val="22"/>
          <w:szCs w:val="24"/>
        </w:rPr>
      </w:pPr>
      <w:r w:rsidRPr="00FE3DB1">
        <w:rPr>
          <w:rFonts w:ascii="Palatino Linotype" w:eastAsia="Palatino Linotype" w:hAnsi="Palatino Linotype" w:cs="Palatino Linotype"/>
          <w:b/>
          <w:i/>
          <w:sz w:val="22"/>
          <w:szCs w:val="24"/>
        </w:rPr>
        <w:t>CLAVE ÚNICA DE REGISTRO DE POBLACIÓN (CURP). “</w:t>
      </w:r>
      <w:r w:rsidRPr="00FE3DB1">
        <w:rPr>
          <w:rFonts w:ascii="Palatino Linotype" w:eastAsia="Palatino Linotype" w:hAnsi="Palatino Linotype" w:cs="Palatino Linotype"/>
          <w:i/>
          <w:sz w:val="22"/>
          <w:szCs w:val="24"/>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w:t>
      </w:r>
      <w:r w:rsidRPr="00FE3DB1">
        <w:rPr>
          <w:rFonts w:ascii="Palatino Linotype" w:eastAsia="Palatino Linotype" w:hAnsi="Palatino Linotype" w:cs="Palatino Linotype"/>
          <w:i/>
          <w:sz w:val="22"/>
          <w:szCs w:val="24"/>
        </w:rPr>
        <w:lastRenderedPageBreak/>
        <w:t>de los habitantes del país, por lo que la CURP está considerada como información confidencial.”</w:t>
      </w:r>
    </w:p>
    <w:p w14:paraId="6FCD518A" w14:textId="77777777" w:rsidR="00694C6A" w:rsidRPr="00AD43B8" w:rsidRDefault="00694C6A">
      <w:pPr>
        <w:spacing w:line="360" w:lineRule="auto"/>
        <w:jc w:val="both"/>
        <w:rPr>
          <w:rFonts w:ascii="Palatino Linotype" w:eastAsia="Palatino Linotype" w:hAnsi="Palatino Linotype" w:cs="Palatino Linotype"/>
          <w:sz w:val="24"/>
          <w:szCs w:val="24"/>
        </w:rPr>
      </w:pPr>
    </w:p>
    <w:p w14:paraId="6FCD518B"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Tal y como se aprecia, las documentales que remitió el Sujeto Obligado tanto en respuesta como en informe justificado testan información que es de carácter pública, razón por la que no es procedente su </w:t>
      </w:r>
      <w:proofErr w:type="gramStart"/>
      <w:r w:rsidRPr="00AD43B8">
        <w:rPr>
          <w:rFonts w:ascii="Palatino Linotype" w:eastAsia="Palatino Linotype" w:hAnsi="Palatino Linotype" w:cs="Palatino Linotype"/>
          <w:sz w:val="24"/>
          <w:szCs w:val="24"/>
        </w:rPr>
        <w:t>versión públicas</w:t>
      </w:r>
      <w:proofErr w:type="gramEnd"/>
      <w:r w:rsidRPr="00AD43B8">
        <w:rPr>
          <w:rFonts w:ascii="Palatino Linotype" w:eastAsia="Palatino Linotype" w:hAnsi="Palatino Linotype" w:cs="Palatino Linotype"/>
          <w:sz w:val="24"/>
          <w:szCs w:val="24"/>
        </w:rPr>
        <w:t xml:space="preserve">. </w:t>
      </w:r>
    </w:p>
    <w:p w14:paraId="6FCD518C" w14:textId="77777777" w:rsidR="00694C6A" w:rsidRPr="00AD43B8" w:rsidRDefault="00694C6A">
      <w:pPr>
        <w:spacing w:line="360" w:lineRule="auto"/>
        <w:jc w:val="both"/>
        <w:rPr>
          <w:rFonts w:ascii="Palatino Linotype" w:eastAsia="Palatino Linotype" w:hAnsi="Palatino Linotype" w:cs="Palatino Linotype"/>
          <w:sz w:val="24"/>
          <w:szCs w:val="24"/>
        </w:rPr>
      </w:pPr>
    </w:p>
    <w:p w14:paraId="6FCD518D"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En consecuencia, se ORDENA al Sujeto Obligado entregar los expedientes respectivos en una correcta versión pública, acompañadas del acuerdo del comité de transparencia que sustente la restricción hecha al particular, por prevalecer la protección a algunos datos personales.</w:t>
      </w:r>
    </w:p>
    <w:p w14:paraId="6FCD518E" w14:textId="77777777" w:rsidR="00694C6A" w:rsidRPr="00AD43B8" w:rsidRDefault="00694C6A">
      <w:pPr>
        <w:spacing w:line="360" w:lineRule="auto"/>
        <w:jc w:val="both"/>
        <w:rPr>
          <w:rFonts w:ascii="Palatino Linotype" w:eastAsia="Palatino Linotype" w:hAnsi="Palatino Linotype" w:cs="Palatino Linotype"/>
          <w:sz w:val="24"/>
          <w:szCs w:val="24"/>
        </w:rPr>
      </w:pPr>
    </w:p>
    <w:p w14:paraId="6FCD518F" w14:textId="77777777" w:rsidR="00694C6A" w:rsidRPr="00AD43B8" w:rsidRDefault="00AD43B8">
      <w:pPr>
        <w:numPr>
          <w:ilvl w:val="0"/>
          <w:numId w:val="10"/>
        </w:numPr>
        <w:spacing w:line="360" w:lineRule="auto"/>
        <w:ind w:left="0" w:firstLine="0"/>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Para la elaboración de las versiones públicas, el Sujeto Obligado deberá estar a lo dispuesto en el Considerando QUINTO de la presente resolución.</w:t>
      </w:r>
    </w:p>
    <w:p w14:paraId="6FCD5190" w14:textId="77777777" w:rsidR="00694C6A" w:rsidRPr="00AD43B8" w:rsidRDefault="00694C6A">
      <w:pPr>
        <w:spacing w:line="360" w:lineRule="auto"/>
        <w:jc w:val="both"/>
        <w:rPr>
          <w:rFonts w:ascii="Palatino Linotype" w:eastAsia="Palatino Linotype" w:hAnsi="Palatino Linotype" w:cs="Palatino Linotype"/>
          <w:sz w:val="24"/>
          <w:szCs w:val="24"/>
        </w:rPr>
      </w:pPr>
    </w:p>
    <w:p w14:paraId="6FCD5191" w14:textId="77777777" w:rsidR="00694C6A" w:rsidRPr="00AD43B8" w:rsidRDefault="00AD43B8">
      <w:pPr>
        <w:pStyle w:val="Ttulo1"/>
        <w:rPr>
          <w:rFonts w:ascii="Palatino Linotype" w:eastAsia="Palatino Linotype" w:hAnsi="Palatino Linotype" w:cs="Palatino Linotype"/>
          <w:b/>
          <w:color w:val="000000"/>
          <w:sz w:val="24"/>
          <w:szCs w:val="24"/>
        </w:rPr>
      </w:pPr>
      <w:bookmarkStart w:id="15" w:name="_heading=h.1ksv4uv" w:colFirst="0" w:colLast="0"/>
      <w:bookmarkEnd w:id="15"/>
      <w:r w:rsidRPr="00AD43B8">
        <w:rPr>
          <w:rFonts w:ascii="Palatino Linotype" w:eastAsia="Palatino Linotype" w:hAnsi="Palatino Linotype" w:cs="Palatino Linotype"/>
          <w:b/>
          <w:color w:val="000000"/>
          <w:sz w:val="24"/>
          <w:szCs w:val="24"/>
        </w:rPr>
        <w:t>QUINTO. De la versión pública.</w:t>
      </w:r>
    </w:p>
    <w:p w14:paraId="6FCD5192" w14:textId="77777777" w:rsidR="00694C6A" w:rsidRPr="00AD43B8" w:rsidRDefault="00694C6A">
      <w:pPr>
        <w:rPr>
          <w:rFonts w:ascii="Palatino Linotype" w:eastAsia="Palatino Linotype" w:hAnsi="Palatino Linotype" w:cs="Palatino Linotype"/>
          <w:sz w:val="24"/>
          <w:szCs w:val="24"/>
        </w:rPr>
      </w:pPr>
    </w:p>
    <w:p w14:paraId="6FCD5193" w14:textId="77777777" w:rsidR="00694C6A" w:rsidRPr="00AD43B8" w:rsidRDefault="00AD43B8">
      <w:pPr>
        <w:pStyle w:val="Ttulo1"/>
        <w:numPr>
          <w:ilvl w:val="0"/>
          <w:numId w:val="6"/>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16" w:name="_heading=h.44sinio" w:colFirst="0" w:colLast="0"/>
      <w:bookmarkEnd w:id="16"/>
      <w:r w:rsidRPr="00AD43B8">
        <w:rPr>
          <w:rFonts w:ascii="Palatino Linotype" w:eastAsia="Palatino Linotype" w:hAnsi="Palatino Linotype" w:cs="Palatino Linotype"/>
          <w:b/>
          <w:color w:val="000000"/>
          <w:sz w:val="24"/>
          <w:szCs w:val="24"/>
        </w:rPr>
        <w:t xml:space="preserve">Nociones generales. </w:t>
      </w:r>
    </w:p>
    <w:p w14:paraId="6FCD5194" w14:textId="77777777" w:rsidR="00694C6A" w:rsidRPr="00AD43B8" w:rsidRDefault="00AD43B8">
      <w:pPr>
        <w:numPr>
          <w:ilvl w:val="0"/>
          <w:numId w:val="10"/>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Debe destacarse que, debido a la naturaleza de la información solicitada</w:t>
      </w:r>
      <w:r w:rsidRPr="00AD43B8">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sidRPr="00AD43B8">
        <w:rPr>
          <w:rFonts w:ascii="Palatino Linotype" w:eastAsia="Palatino Linotype" w:hAnsi="Palatino Linotype" w:cs="Palatino Linotype"/>
          <w:b/>
          <w:color w:val="000000"/>
          <w:sz w:val="24"/>
          <w:szCs w:val="24"/>
        </w:rPr>
        <w:t xml:space="preserve">Sujeto Obligado </w:t>
      </w:r>
      <w:r w:rsidRPr="00AD43B8">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14:paraId="6FCD5195" w14:textId="77777777" w:rsidR="00694C6A" w:rsidRPr="00AD43B8" w:rsidRDefault="00694C6A">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sz w:val="24"/>
          <w:szCs w:val="24"/>
        </w:rPr>
      </w:pPr>
    </w:p>
    <w:p w14:paraId="6FCD5196" w14:textId="77777777" w:rsidR="00694C6A" w:rsidRPr="00AD43B8" w:rsidRDefault="00AD43B8">
      <w:pPr>
        <w:numPr>
          <w:ilvl w:val="0"/>
          <w:numId w:val="10"/>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lastRenderedPageBreak/>
        <w:t xml:space="preserve">No pasa desapercibido para este Órgano Garante que los </w:t>
      </w:r>
      <w:r w:rsidRPr="00AD43B8">
        <w:rPr>
          <w:rFonts w:ascii="Palatino Linotype" w:eastAsia="Palatino Linotype" w:hAnsi="Palatino Linotype" w:cs="Palatino Linotype"/>
          <w:b/>
          <w:color w:val="000000"/>
          <w:sz w:val="24"/>
          <w:szCs w:val="24"/>
        </w:rPr>
        <w:t xml:space="preserve">Sujetos Obligados </w:t>
      </w:r>
      <w:r w:rsidRPr="00AD43B8">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667"/>
      </w:tblGrid>
      <w:tr w:rsidR="00694C6A" w:rsidRPr="00FE3DB1" w14:paraId="6FCD519C" w14:textId="77777777" w:rsidTr="00694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FCD5197" w14:textId="77777777" w:rsidR="00694C6A" w:rsidRPr="00FE3DB1" w:rsidRDefault="00AD43B8">
            <w:pPr>
              <w:tabs>
                <w:tab w:val="left" w:pos="284"/>
              </w:tabs>
              <w:spacing w:line="360" w:lineRule="auto"/>
              <w:rPr>
                <w:rFonts w:ascii="Palatino Linotype" w:eastAsia="Palatino Linotype" w:hAnsi="Palatino Linotype" w:cs="Palatino Linotype"/>
                <w:sz w:val="20"/>
              </w:rPr>
            </w:pPr>
            <w:r w:rsidRPr="00FE3DB1">
              <w:rPr>
                <w:rFonts w:ascii="Palatino Linotype" w:eastAsia="Palatino Linotype" w:hAnsi="Palatino Linotype" w:cs="Palatino Linotype"/>
                <w:sz w:val="20"/>
              </w:rPr>
              <w:t>a) Requisitos previos.</w:t>
            </w:r>
          </w:p>
        </w:tc>
        <w:tc>
          <w:tcPr>
            <w:tcW w:w="6667" w:type="dxa"/>
          </w:tcPr>
          <w:p w14:paraId="6FCD5198" w14:textId="77777777" w:rsidR="00694C6A" w:rsidRPr="00FE3DB1" w:rsidRDefault="00AD43B8">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 xml:space="preserve">Los artículos 100 y 122 de la Ley Estatal y de la Ley General, respectivamente, señalan </w:t>
            </w:r>
            <w:proofErr w:type="gramStart"/>
            <w:r w:rsidRPr="00FE3DB1">
              <w:rPr>
                <w:rFonts w:ascii="Palatino Linotype" w:eastAsia="Palatino Linotype" w:hAnsi="Palatino Linotype" w:cs="Palatino Linotype"/>
                <w:sz w:val="20"/>
              </w:rPr>
              <w:t>que</w:t>
            </w:r>
            <w:proofErr w:type="gramEnd"/>
            <w:r w:rsidRPr="00FE3DB1">
              <w:rPr>
                <w:rFonts w:ascii="Palatino Linotype" w:eastAsia="Palatino Linotype" w:hAnsi="Palatino Linotype" w:cs="Palatino Linotype"/>
                <w:sz w:val="20"/>
              </w:rPr>
              <w:t xml:space="preserve"> si los Sujetos Obligados determinan que la información actualiza alguno de los supuestos de clasificación, es deber de los titulares de las áreas proponer su clasificación y no del Comité de Transparencia. </w:t>
            </w:r>
          </w:p>
          <w:p w14:paraId="6FCD5199" w14:textId="77777777" w:rsidR="00694C6A" w:rsidRPr="00FE3DB1" w:rsidRDefault="00AD43B8">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Al hacerlo tienen que precisar de qué información se trata, señalando el supuesto de clasificación (confidencialidad o reserva).</w:t>
            </w:r>
          </w:p>
          <w:p w14:paraId="6FCD519A" w14:textId="77777777" w:rsidR="00694C6A" w:rsidRPr="00FE3DB1" w:rsidRDefault="00AD43B8">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Además, se debe señalar el procedimiento, de los tres que establecen los artículos 132 y 106 de la Ley Estatal y General, respectivamente.</w:t>
            </w:r>
          </w:p>
          <w:p w14:paraId="6FCD519B" w14:textId="77777777" w:rsidR="00694C6A" w:rsidRPr="00FE3DB1" w:rsidRDefault="00AD43B8">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 xml:space="preserve">El último de estos requisitos previos consiste en que no se pueden emitir acuerdos de carácter general ni particular, esto es, </w:t>
            </w:r>
            <w:r w:rsidRPr="00FE3DB1">
              <w:rPr>
                <w:rFonts w:ascii="Palatino Linotype" w:eastAsia="Palatino Linotype" w:hAnsi="Palatino Linotype" w:cs="Palatino Linotype"/>
                <w:sz w:val="20"/>
                <w:u w:val="single"/>
              </w:rPr>
              <w:t>no se puede hacer un acuerdo para clasificar de manera general todos los documentos de un expediente o área, sin</w:t>
            </w:r>
            <w:r w:rsidRPr="00FE3DB1">
              <w:rPr>
                <w:rFonts w:ascii="Palatino Linotype" w:eastAsia="Palatino Linotype" w:hAnsi="Palatino Linotype" w:cs="Palatino Linotype"/>
                <w:sz w:val="20"/>
              </w:rPr>
              <w:t xml:space="preserve"> individualizar su análisis y tampoco se puede hacer un acuerdo por cada dato que se vaya a clasificar dentro de un documento con diez datos, por ejemplo, susceptibles de ser clasificados.</w:t>
            </w:r>
          </w:p>
        </w:tc>
      </w:tr>
      <w:tr w:rsidR="00694C6A" w:rsidRPr="00FE3DB1" w14:paraId="6FCD51A1" w14:textId="77777777" w:rsidTr="0069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FCD519D" w14:textId="77777777" w:rsidR="00694C6A" w:rsidRPr="00FE3DB1" w:rsidRDefault="00AD43B8">
            <w:pPr>
              <w:tabs>
                <w:tab w:val="left" w:pos="284"/>
              </w:tabs>
              <w:spacing w:line="360" w:lineRule="auto"/>
              <w:rPr>
                <w:rFonts w:ascii="Palatino Linotype" w:eastAsia="Palatino Linotype" w:hAnsi="Palatino Linotype" w:cs="Palatino Linotype"/>
                <w:sz w:val="20"/>
              </w:rPr>
            </w:pPr>
            <w:r w:rsidRPr="00FE3DB1">
              <w:rPr>
                <w:rFonts w:ascii="Palatino Linotype" w:eastAsia="Palatino Linotype" w:hAnsi="Palatino Linotype" w:cs="Palatino Linotype"/>
                <w:sz w:val="20"/>
              </w:rPr>
              <w:t>b) Supuestos de clasificación.</w:t>
            </w:r>
          </w:p>
        </w:tc>
        <w:tc>
          <w:tcPr>
            <w:tcW w:w="6667" w:type="dxa"/>
          </w:tcPr>
          <w:p w14:paraId="6FCD519E" w14:textId="77777777" w:rsidR="00694C6A" w:rsidRPr="00FE3DB1" w:rsidRDefault="00AD43B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Las disposiciones constitucionales y legales en la materia establecen los dos supuestos generales para clasificar la información: por reserva y por confidencialidad.</w:t>
            </w:r>
          </w:p>
          <w:p w14:paraId="6FCD519F" w14:textId="77777777" w:rsidR="00694C6A" w:rsidRPr="00FE3DB1" w:rsidRDefault="00AD43B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FCD51A0" w14:textId="77777777" w:rsidR="00694C6A" w:rsidRPr="00FE3DB1" w:rsidRDefault="00AD43B8">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 xml:space="preserve">El </w:t>
            </w:r>
            <w:r w:rsidRPr="00FE3DB1">
              <w:rPr>
                <w:rFonts w:ascii="Palatino Linotype" w:eastAsia="Palatino Linotype" w:hAnsi="Palatino Linotype" w:cs="Palatino Linotype"/>
                <w:b/>
                <w:sz w:val="20"/>
              </w:rPr>
              <w:t>Sujeto Obligado</w:t>
            </w:r>
            <w:r w:rsidRPr="00FE3DB1">
              <w:rPr>
                <w:rFonts w:ascii="Palatino Linotype" w:eastAsia="Palatino Linotype" w:hAnsi="Palatino Linotype" w:cs="Palatino Linotype"/>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94C6A" w:rsidRPr="00FE3DB1" w14:paraId="6FCD51A6" w14:textId="77777777" w:rsidTr="00694C6A">
        <w:tc>
          <w:tcPr>
            <w:cnfStyle w:val="001000000000" w:firstRow="0" w:lastRow="0" w:firstColumn="1" w:lastColumn="0" w:oddVBand="0" w:evenVBand="0" w:oddHBand="0" w:evenHBand="0" w:firstRowFirstColumn="0" w:firstRowLastColumn="0" w:lastRowFirstColumn="0" w:lastRowLastColumn="0"/>
            <w:tcW w:w="1838" w:type="dxa"/>
          </w:tcPr>
          <w:p w14:paraId="6FCD51A2" w14:textId="77777777" w:rsidR="00694C6A" w:rsidRPr="00FE3DB1" w:rsidRDefault="00AD43B8">
            <w:pPr>
              <w:tabs>
                <w:tab w:val="left" w:pos="284"/>
              </w:tabs>
              <w:spacing w:line="360" w:lineRule="auto"/>
              <w:rPr>
                <w:rFonts w:ascii="Palatino Linotype" w:eastAsia="Palatino Linotype" w:hAnsi="Palatino Linotype" w:cs="Palatino Linotype"/>
                <w:sz w:val="20"/>
              </w:rPr>
            </w:pPr>
            <w:r w:rsidRPr="00FE3DB1">
              <w:rPr>
                <w:rFonts w:ascii="Palatino Linotype" w:eastAsia="Palatino Linotype" w:hAnsi="Palatino Linotype" w:cs="Palatino Linotype"/>
                <w:sz w:val="20"/>
              </w:rPr>
              <w:lastRenderedPageBreak/>
              <w:t>c) Formalidades para emitir el acuerdo de clasificación.</w:t>
            </w:r>
          </w:p>
        </w:tc>
        <w:tc>
          <w:tcPr>
            <w:tcW w:w="6667" w:type="dxa"/>
          </w:tcPr>
          <w:p w14:paraId="6FCD51A3" w14:textId="77777777" w:rsidR="00694C6A" w:rsidRPr="00FE3DB1" w:rsidRDefault="00AD43B8">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 xml:space="preserve">El Comité de Transparencia, según lo dispuesto en los artículos cuenta con las facultades para aprobar, modificar o revocar la clasificación de la información que haya propuesto. </w:t>
            </w:r>
          </w:p>
          <w:p w14:paraId="6FCD51A4" w14:textId="77777777" w:rsidR="00694C6A" w:rsidRPr="00FE3DB1" w:rsidRDefault="00AD43B8">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 xml:space="preserve">Es necesario que </w:t>
            </w:r>
            <w:r w:rsidRPr="00FE3DB1">
              <w:rPr>
                <w:rFonts w:ascii="Palatino Linotype" w:eastAsia="Palatino Linotype" w:hAnsi="Palatino Linotype" w:cs="Palatino Linotype"/>
                <w:b/>
                <w:sz w:val="20"/>
                <w:u w:val="single"/>
              </w:rPr>
              <w:t>el acto reúna con los requisitos elementales</w:t>
            </w:r>
            <w:r w:rsidRPr="00FE3DB1">
              <w:rPr>
                <w:rFonts w:ascii="Palatino Linotype" w:eastAsia="Palatino Linotype" w:hAnsi="Palatino Linotype" w:cs="Palatino Linotype"/>
                <w:sz w:val="20"/>
              </w:rPr>
              <w:t>, entre ellos, que la autoridad que va a emitir el acto de autoridad sea la legalmente facultada para ello.</w:t>
            </w:r>
          </w:p>
          <w:p w14:paraId="6FCD51A5" w14:textId="77777777" w:rsidR="00694C6A" w:rsidRPr="00FE3DB1" w:rsidRDefault="00AD43B8">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94C6A" w:rsidRPr="00FE3DB1" w14:paraId="6FCD51AE" w14:textId="77777777" w:rsidTr="0069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FCD51A7" w14:textId="77777777" w:rsidR="00694C6A" w:rsidRPr="00FE3DB1" w:rsidRDefault="00694C6A">
            <w:pPr>
              <w:tabs>
                <w:tab w:val="left" w:pos="284"/>
              </w:tabs>
              <w:spacing w:line="360" w:lineRule="auto"/>
              <w:rPr>
                <w:rFonts w:ascii="Palatino Linotype" w:eastAsia="Palatino Linotype" w:hAnsi="Palatino Linotype" w:cs="Palatino Linotype"/>
                <w:sz w:val="20"/>
              </w:rPr>
            </w:pPr>
          </w:p>
          <w:p w14:paraId="6FCD51A8" w14:textId="77777777" w:rsidR="00694C6A" w:rsidRPr="00FE3DB1" w:rsidRDefault="00AD43B8">
            <w:pPr>
              <w:tabs>
                <w:tab w:val="left" w:pos="284"/>
              </w:tabs>
              <w:spacing w:line="360" w:lineRule="auto"/>
              <w:jc w:val="both"/>
              <w:rPr>
                <w:rFonts w:ascii="Palatino Linotype" w:eastAsia="Palatino Linotype" w:hAnsi="Palatino Linotype" w:cs="Palatino Linotype"/>
                <w:sz w:val="20"/>
              </w:rPr>
            </w:pPr>
            <w:r w:rsidRPr="00FE3DB1">
              <w:rPr>
                <w:rFonts w:ascii="Palatino Linotype" w:eastAsia="Palatino Linotype" w:hAnsi="Palatino Linotype" w:cs="Palatino Linotype"/>
                <w:sz w:val="20"/>
              </w:rPr>
              <w:t xml:space="preserve">d) Requisitos de fondo del acuerdo de clasificación. </w:t>
            </w:r>
          </w:p>
        </w:tc>
        <w:tc>
          <w:tcPr>
            <w:tcW w:w="6667" w:type="dxa"/>
          </w:tcPr>
          <w:p w14:paraId="6FCD51A9" w14:textId="77777777" w:rsidR="00694C6A" w:rsidRPr="00FE3DB1" w:rsidRDefault="00AD43B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E3DB1">
              <w:rPr>
                <w:rFonts w:ascii="Palatino Linotype" w:eastAsia="Palatino Linotype" w:hAnsi="Palatino Linotype" w:cs="Palatino Linotype"/>
                <w:b/>
                <w:sz w:val="20"/>
              </w:rPr>
              <w:t>Sujetos Obligados</w:t>
            </w:r>
            <w:r w:rsidRPr="00FE3DB1">
              <w:rPr>
                <w:rFonts w:ascii="Palatino Linotype" w:eastAsia="Palatino Linotype" w:hAnsi="Palatino Linotype" w:cs="Palatino Linotype"/>
                <w:sz w:val="20"/>
              </w:rPr>
              <w:t xml:space="preserve">, por lo que deberán fundar y motivar debidamente la clasificación. </w:t>
            </w:r>
          </w:p>
          <w:p w14:paraId="6FCD51AA" w14:textId="77777777" w:rsidR="00694C6A" w:rsidRPr="00FE3DB1" w:rsidRDefault="00AD43B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 xml:space="preserve">De lo anterior, se desprende </w:t>
            </w:r>
            <w:proofErr w:type="gramStart"/>
            <w:r w:rsidRPr="00FE3DB1">
              <w:rPr>
                <w:rFonts w:ascii="Palatino Linotype" w:eastAsia="Palatino Linotype" w:hAnsi="Palatino Linotype" w:cs="Palatino Linotype"/>
                <w:sz w:val="20"/>
              </w:rPr>
              <w:t>que</w:t>
            </w:r>
            <w:proofErr w:type="gramEnd"/>
            <w:r w:rsidRPr="00FE3DB1">
              <w:rPr>
                <w:rFonts w:ascii="Palatino Linotype" w:eastAsia="Palatino Linotype" w:hAnsi="Palatino Linotype" w:cs="Palatino Linotype"/>
                <w:sz w:val="20"/>
              </w:rPr>
              <w:t xml:space="preserve"> para una correcta </w:t>
            </w:r>
            <w:r w:rsidRPr="00FE3DB1">
              <w:rPr>
                <w:rFonts w:ascii="Palatino Linotype" w:eastAsia="Palatino Linotype" w:hAnsi="Palatino Linotype" w:cs="Palatino Linotype"/>
                <w:b/>
                <w:sz w:val="20"/>
              </w:rPr>
              <w:t>clasificación total o parcial</w:t>
            </w:r>
            <w:r w:rsidRPr="00FE3DB1">
              <w:rPr>
                <w:rFonts w:ascii="Palatino Linotype" w:eastAsia="Palatino Linotype" w:hAnsi="Palatino Linotype" w:cs="Palatino Linotype"/>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FCD51AB" w14:textId="77777777" w:rsidR="00694C6A" w:rsidRPr="00FE3DB1" w:rsidRDefault="00AD43B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FCD51AC" w14:textId="77777777" w:rsidR="00694C6A" w:rsidRPr="00FE3DB1" w:rsidRDefault="00AD43B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En ese mismo sentido, el numeral trigésimo tercero fracción V de los Lineamientos Generales, precisa que para motivar la clasificación se deben acreditar las circunstancias de tiempo, modo y lugar.</w:t>
            </w:r>
          </w:p>
          <w:p w14:paraId="6FCD51AD" w14:textId="77777777" w:rsidR="00694C6A" w:rsidRPr="00FE3DB1" w:rsidRDefault="00AD43B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 xml:space="preserve">Ahora bien, </w:t>
            </w:r>
            <w:r w:rsidRPr="00FE3DB1">
              <w:rPr>
                <w:rFonts w:ascii="Palatino Linotype" w:eastAsia="Palatino Linotype" w:hAnsi="Palatino Linotype" w:cs="Palatino Linotype"/>
                <w:b/>
                <w:sz w:val="20"/>
                <w:u w:val="single"/>
              </w:rPr>
              <w:t>para cada caso además de fundar y motivar</w:t>
            </w:r>
            <w:r w:rsidRPr="00FE3DB1">
              <w:rPr>
                <w:rFonts w:ascii="Palatino Linotype" w:eastAsia="Palatino Linotype" w:hAnsi="Palatino Linotype" w:cs="Palatino Linotype"/>
                <w:sz w:val="20"/>
              </w:rPr>
              <w:t xml:space="preserve">, se debe identificar con claridad que datos contenidos en las documentales que son susceptibles de suprimirse, por ejemplo; Clave Única de Registro de Población (CURP), Registro Federal de Contribuyentes (R.F.C.), claves de </w:t>
            </w:r>
            <w:r w:rsidRPr="00FE3DB1">
              <w:rPr>
                <w:rFonts w:ascii="Palatino Linotype" w:eastAsia="Palatino Linotype" w:hAnsi="Palatino Linotype" w:cs="Palatino Linotype"/>
                <w:sz w:val="20"/>
              </w:rPr>
              <w:lastRenderedPageBreak/>
              <w:t>seguros, préstamos o descuentos personales, secretos bancario, fiduciario, industrial, comercial, fiscal, bursátil y postal, cuya titularidad corresponda a particulares, entre otros.</w:t>
            </w:r>
          </w:p>
        </w:tc>
      </w:tr>
      <w:tr w:rsidR="00694C6A" w:rsidRPr="00FE3DB1" w14:paraId="6FCD51B3" w14:textId="77777777" w:rsidTr="00694C6A">
        <w:tc>
          <w:tcPr>
            <w:cnfStyle w:val="001000000000" w:firstRow="0" w:lastRow="0" w:firstColumn="1" w:lastColumn="0" w:oddVBand="0" w:evenVBand="0" w:oddHBand="0" w:evenHBand="0" w:firstRowFirstColumn="0" w:firstRowLastColumn="0" w:lastRowFirstColumn="0" w:lastRowLastColumn="0"/>
            <w:tcW w:w="1838" w:type="dxa"/>
          </w:tcPr>
          <w:p w14:paraId="6FCD51AF" w14:textId="77777777" w:rsidR="00694C6A" w:rsidRPr="00FE3DB1" w:rsidRDefault="00AD43B8">
            <w:pPr>
              <w:tabs>
                <w:tab w:val="left" w:pos="284"/>
              </w:tabs>
              <w:spacing w:line="360" w:lineRule="auto"/>
              <w:ind w:right="49"/>
              <w:jc w:val="both"/>
              <w:rPr>
                <w:rFonts w:ascii="Palatino Linotype" w:eastAsia="Palatino Linotype" w:hAnsi="Palatino Linotype" w:cs="Palatino Linotype"/>
                <w:sz w:val="20"/>
              </w:rPr>
            </w:pPr>
            <w:r w:rsidRPr="00FE3DB1">
              <w:rPr>
                <w:rFonts w:ascii="Palatino Linotype" w:eastAsia="Palatino Linotype" w:hAnsi="Palatino Linotype" w:cs="Palatino Linotype"/>
                <w:sz w:val="20"/>
              </w:rPr>
              <w:lastRenderedPageBreak/>
              <w:t xml:space="preserve">e) Condiciones especiales de la clasificación de la información como confidencial. </w:t>
            </w:r>
          </w:p>
        </w:tc>
        <w:tc>
          <w:tcPr>
            <w:tcW w:w="6667" w:type="dxa"/>
          </w:tcPr>
          <w:p w14:paraId="6FCD51B0" w14:textId="77777777" w:rsidR="00694C6A" w:rsidRPr="00FE3DB1" w:rsidRDefault="00AD43B8">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 xml:space="preserve">Los artículos 148 y 120 de la Ley Estatal y de la Ley General, respectivamente, establecen </w:t>
            </w:r>
            <w:proofErr w:type="gramStart"/>
            <w:r w:rsidRPr="00FE3DB1">
              <w:rPr>
                <w:rFonts w:ascii="Palatino Linotype" w:eastAsia="Palatino Linotype" w:hAnsi="Palatino Linotype" w:cs="Palatino Linotype"/>
                <w:sz w:val="20"/>
              </w:rPr>
              <w:t>que</w:t>
            </w:r>
            <w:proofErr w:type="gramEnd"/>
            <w:r w:rsidRPr="00FE3DB1">
              <w:rPr>
                <w:rFonts w:ascii="Palatino Linotype" w:eastAsia="Palatino Linotype" w:hAnsi="Palatino Linotype" w:cs="Palatino Linotype"/>
                <w:sz w:val="20"/>
              </w:rPr>
              <w:t xml:space="preserve"> aun tratándose de datos personales, se podrán proporcionar, incluso sin solicitar el consentimiento de su titular. </w:t>
            </w:r>
          </w:p>
          <w:p w14:paraId="6FCD51B1" w14:textId="77777777" w:rsidR="00694C6A" w:rsidRPr="00FE3DB1" w:rsidRDefault="00AD43B8">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FCD51B2" w14:textId="77777777" w:rsidR="00694C6A" w:rsidRPr="00FE3DB1" w:rsidRDefault="00AD43B8">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FE3DB1">
              <w:rPr>
                <w:rFonts w:ascii="Palatino Linotype" w:eastAsia="Palatino Linotype" w:hAnsi="Palatino Linotype" w:cs="Palatino Linotype"/>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FCD51B4" w14:textId="77777777" w:rsidR="00694C6A" w:rsidRPr="00AD43B8" w:rsidRDefault="00694C6A">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14:paraId="6FCD51B5"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000000"/>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FCD51B6" w14:textId="77777777" w:rsidR="00694C6A" w:rsidRPr="00AD43B8" w:rsidRDefault="00694C6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6FCD51B7" w14:textId="77777777" w:rsidR="00694C6A" w:rsidRPr="00AD43B8" w:rsidRDefault="00AD43B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color w:val="222222"/>
          <w:sz w:val="24"/>
          <w:szCs w:val="24"/>
        </w:rPr>
        <w:t xml:space="preserve">Por lo anteriormente expuesto y fundado, este </w:t>
      </w:r>
      <w:r w:rsidRPr="00AD43B8">
        <w:rPr>
          <w:rFonts w:ascii="Palatino Linotype" w:eastAsia="Palatino Linotype" w:hAnsi="Palatino Linotype" w:cs="Palatino Linotype"/>
          <w:b/>
          <w:color w:val="222222"/>
          <w:sz w:val="24"/>
          <w:szCs w:val="24"/>
        </w:rPr>
        <w:t>ÓRGANO GARANTE</w:t>
      </w:r>
      <w:r w:rsidRPr="00AD43B8">
        <w:rPr>
          <w:rFonts w:ascii="Palatino Linotype" w:eastAsia="Palatino Linotype" w:hAnsi="Palatino Linotype" w:cs="Palatino Linotype"/>
          <w:color w:val="222222"/>
          <w:sz w:val="24"/>
          <w:szCs w:val="24"/>
        </w:rPr>
        <w:t xml:space="preserve"> emite los siguientes:</w:t>
      </w:r>
    </w:p>
    <w:p w14:paraId="6FCD51B8" w14:textId="77777777" w:rsidR="00694C6A" w:rsidRPr="00AD43B8" w:rsidRDefault="00AD43B8">
      <w:pPr>
        <w:pStyle w:val="Ttulo1"/>
        <w:jc w:val="center"/>
        <w:rPr>
          <w:rFonts w:ascii="Palatino Linotype" w:eastAsia="Palatino Linotype" w:hAnsi="Palatino Linotype" w:cs="Palatino Linotype"/>
          <w:b/>
          <w:color w:val="000000"/>
          <w:sz w:val="24"/>
          <w:szCs w:val="24"/>
        </w:rPr>
      </w:pPr>
      <w:bookmarkStart w:id="17" w:name="_heading=h.2jxsxqh" w:colFirst="0" w:colLast="0"/>
      <w:bookmarkEnd w:id="17"/>
      <w:r w:rsidRPr="00AD43B8">
        <w:rPr>
          <w:rFonts w:ascii="Palatino Linotype" w:eastAsia="Palatino Linotype" w:hAnsi="Palatino Linotype" w:cs="Palatino Linotype"/>
          <w:b/>
          <w:color w:val="000000"/>
          <w:sz w:val="24"/>
          <w:szCs w:val="24"/>
        </w:rPr>
        <w:lastRenderedPageBreak/>
        <w:t>R E S O L U T I V O S</w:t>
      </w:r>
    </w:p>
    <w:p w14:paraId="6FCD51B9" w14:textId="77777777" w:rsidR="00694C6A" w:rsidRPr="00AD43B8" w:rsidRDefault="00694C6A">
      <w:pPr>
        <w:keepNext/>
        <w:keepLines/>
        <w:spacing w:line="360" w:lineRule="auto"/>
        <w:jc w:val="center"/>
        <w:rPr>
          <w:rFonts w:ascii="Palatino Linotype" w:eastAsia="Palatino Linotype" w:hAnsi="Palatino Linotype" w:cs="Palatino Linotype"/>
          <w:b/>
          <w:sz w:val="24"/>
          <w:szCs w:val="24"/>
        </w:rPr>
      </w:pPr>
    </w:p>
    <w:p w14:paraId="6FCD51BA" w14:textId="77777777" w:rsidR="00694C6A" w:rsidRPr="00AD43B8" w:rsidRDefault="00AD43B8">
      <w:pPr>
        <w:spacing w:line="360" w:lineRule="auto"/>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b/>
          <w:sz w:val="24"/>
          <w:szCs w:val="24"/>
        </w:rPr>
        <w:t xml:space="preserve">PRIMERO. </w:t>
      </w:r>
      <w:r w:rsidRPr="00AD43B8">
        <w:rPr>
          <w:rFonts w:ascii="Palatino Linotype" w:eastAsia="Palatino Linotype" w:hAnsi="Palatino Linotype" w:cs="Palatino Linotype"/>
          <w:sz w:val="24"/>
          <w:szCs w:val="24"/>
        </w:rPr>
        <w:t>Resultan parcialmente fundadas las</w:t>
      </w:r>
      <w:r w:rsidRPr="00AD43B8">
        <w:rPr>
          <w:rFonts w:ascii="Palatino Linotype" w:eastAsia="Palatino Linotype" w:hAnsi="Palatino Linotype" w:cs="Palatino Linotype"/>
          <w:b/>
          <w:sz w:val="24"/>
          <w:szCs w:val="24"/>
        </w:rPr>
        <w:t xml:space="preserve"> </w:t>
      </w:r>
      <w:r w:rsidRPr="00AD43B8">
        <w:rPr>
          <w:rFonts w:ascii="Palatino Linotype" w:eastAsia="Palatino Linotype" w:hAnsi="Palatino Linotype" w:cs="Palatino Linotype"/>
          <w:sz w:val="24"/>
          <w:szCs w:val="24"/>
        </w:rPr>
        <w:t xml:space="preserve">razones o motivos de inconformidad hechos valer en el recurso de revisión </w:t>
      </w:r>
      <w:r w:rsidRPr="00AD43B8">
        <w:rPr>
          <w:rFonts w:ascii="Palatino Linotype" w:eastAsia="Palatino Linotype" w:hAnsi="Palatino Linotype" w:cs="Palatino Linotype"/>
          <w:b/>
          <w:sz w:val="24"/>
          <w:szCs w:val="24"/>
        </w:rPr>
        <w:t xml:space="preserve">07053/INFOEM/IP/RR/2023 </w:t>
      </w:r>
      <w:r w:rsidRPr="00AD43B8">
        <w:rPr>
          <w:rFonts w:ascii="Palatino Linotype" w:eastAsia="Palatino Linotype" w:hAnsi="Palatino Linotype" w:cs="Palatino Linotype"/>
          <w:sz w:val="24"/>
          <w:szCs w:val="24"/>
        </w:rPr>
        <w:t>en términos de los</w:t>
      </w:r>
      <w:r w:rsidRPr="00AD43B8">
        <w:rPr>
          <w:rFonts w:ascii="Palatino Linotype" w:eastAsia="Palatino Linotype" w:hAnsi="Palatino Linotype" w:cs="Palatino Linotype"/>
          <w:b/>
          <w:sz w:val="24"/>
          <w:szCs w:val="24"/>
        </w:rPr>
        <w:t xml:space="preserve"> Considerandos</w:t>
      </w:r>
      <w:r w:rsidRPr="00AD43B8">
        <w:rPr>
          <w:rFonts w:ascii="Palatino Linotype" w:eastAsia="Palatino Linotype" w:hAnsi="Palatino Linotype" w:cs="Palatino Linotype"/>
          <w:sz w:val="24"/>
          <w:szCs w:val="24"/>
        </w:rPr>
        <w:t xml:space="preserve"> </w:t>
      </w:r>
      <w:r w:rsidRPr="00AD43B8">
        <w:rPr>
          <w:rFonts w:ascii="Palatino Linotype" w:eastAsia="Palatino Linotype" w:hAnsi="Palatino Linotype" w:cs="Palatino Linotype"/>
          <w:b/>
          <w:sz w:val="24"/>
          <w:szCs w:val="24"/>
        </w:rPr>
        <w:t>CUARTO y QUINTO</w:t>
      </w:r>
      <w:r w:rsidRPr="00AD43B8">
        <w:rPr>
          <w:rFonts w:ascii="Palatino Linotype" w:eastAsia="Palatino Linotype" w:hAnsi="Palatino Linotype" w:cs="Palatino Linotype"/>
          <w:sz w:val="24"/>
          <w:szCs w:val="24"/>
        </w:rPr>
        <w:t xml:space="preserve"> de la presente resolución.</w:t>
      </w:r>
    </w:p>
    <w:p w14:paraId="6FCD51BB" w14:textId="77777777" w:rsidR="00694C6A" w:rsidRPr="00AD43B8" w:rsidRDefault="00694C6A">
      <w:pPr>
        <w:spacing w:line="360" w:lineRule="auto"/>
        <w:jc w:val="both"/>
        <w:rPr>
          <w:rFonts w:ascii="Palatino Linotype" w:eastAsia="Palatino Linotype" w:hAnsi="Palatino Linotype" w:cs="Palatino Linotype"/>
          <w:b/>
          <w:sz w:val="24"/>
          <w:szCs w:val="24"/>
        </w:rPr>
      </w:pPr>
    </w:p>
    <w:p w14:paraId="6FCD51BC" w14:textId="77777777" w:rsidR="00694C6A" w:rsidRPr="00AD43B8" w:rsidRDefault="00AD43B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AD43B8">
        <w:rPr>
          <w:rFonts w:ascii="Palatino Linotype" w:eastAsia="Palatino Linotype" w:hAnsi="Palatino Linotype" w:cs="Palatino Linotype"/>
          <w:b/>
          <w:color w:val="000000"/>
          <w:sz w:val="24"/>
          <w:szCs w:val="24"/>
        </w:rPr>
        <w:t xml:space="preserve">SEGUNDO. </w:t>
      </w:r>
      <w:r w:rsidRPr="00AD43B8">
        <w:rPr>
          <w:rFonts w:ascii="Palatino Linotype" w:eastAsia="Palatino Linotype" w:hAnsi="Palatino Linotype" w:cs="Palatino Linotype"/>
          <w:color w:val="000000"/>
          <w:sz w:val="24"/>
          <w:szCs w:val="24"/>
        </w:rPr>
        <w:t xml:space="preserve">Se </w:t>
      </w:r>
      <w:r w:rsidRPr="00AD43B8">
        <w:rPr>
          <w:rFonts w:ascii="Palatino Linotype" w:eastAsia="Palatino Linotype" w:hAnsi="Palatino Linotype" w:cs="Palatino Linotype"/>
          <w:b/>
          <w:color w:val="000000"/>
          <w:sz w:val="24"/>
          <w:szCs w:val="24"/>
        </w:rPr>
        <w:t>MODIFICA</w:t>
      </w:r>
      <w:r w:rsidRPr="00AD43B8">
        <w:rPr>
          <w:rFonts w:ascii="Palatino Linotype" w:eastAsia="Palatino Linotype" w:hAnsi="Palatino Linotype" w:cs="Palatino Linotype"/>
          <w:color w:val="000000"/>
          <w:sz w:val="24"/>
          <w:szCs w:val="24"/>
        </w:rPr>
        <w:t xml:space="preserve"> la respuesta y se </w:t>
      </w:r>
      <w:r w:rsidRPr="00AD43B8">
        <w:rPr>
          <w:rFonts w:ascii="Palatino Linotype" w:eastAsia="Palatino Linotype" w:hAnsi="Palatino Linotype" w:cs="Palatino Linotype"/>
          <w:b/>
          <w:color w:val="000000"/>
          <w:sz w:val="24"/>
          <w:szCs w:val="24"/>
        </w:rPr>
        <w:t xml:space="preserve">ORDENA </w:t>
      </w:r>
      <w:r w:rsidRPr="00AD43B8">
        <w:rPr>
          <w:rFonts w:ascii="Palatino Linotype" w:eastAsia="Palatino Linotype" w:hAnsi="Palatino Linotype" w:cs="Palatino Linotype"/>
          <w:color w:val="000000"/>
          <w:sz w:val="24"/>
          <w:szCs w:val="24"/>
        </w:rPr>
        <w:t xml:space="preserve">a la </w:t>
      </w:r>
      <w:r w:rsidRPr="00AD43B8">
        <w:rPr>
          <w:rFonts w:ascii="Palatino Linotype" w:eastAsia="Palatino Linotype" w:hAnsi="Palatino Linotype" w:cs="Palatino Linotype"/>
          <w:b/>
          <w:color w:val="000000"/>
          <w:sz w:val="24"/>
          <w:szCs w:val="24"/>
        </w:rPr>
        <w:t xml:space="preserve">Secretaría de </w:t>
      </w:r>
      <w:proofErr w:type="gramStart"/>
      <w:r w:rsidRPr="00AD43B8">
        <w:rPr>
          <w:rFonts w:ascii="Palatino Linotype" w:eastAsia="Palatino Linotype" w:hAnsi="Palatino Linotype" w:cs="Palatino Linotype"/>
          <w:b/>
          <w:color w:val="000000"/>
          <w:sz w:val="24"/>
          <w:szCs w:val="24"/>
        </w:rPr>
        <w:t>Educación</w:t>
      </w:r>
      <w:r w:rsidRPr="00AD43B8">
        <w:rPr>
          <w:rFonts w:ascii="Palatino Linotype" w:eastAsia="Palatino Linotype" w:hAnsi="Palatino Linotype" w:cs="Palatino Linotype"/>
          <w:color w:val="000000"/>
          <w:sz w:val="24"/>
          <w:szCs w:val="24"/>
        </w:rPr>
        <w:t xml:space="preserve"> </w:t>
      </w:r>
      <w:r w:rsidRPr="00AD43B8">
        <w:rPr>
          <w:rFonts w:ascii="Palatino Linotype" w:eastAsia="Palatino Linotype" w:hAnsi="Palatino Linotype" w:cs="Palatino Linotype"/>
          <w:b/>
          <w:color w:val="000000"/>
          <w:sz w:val="24"/>
          <w:szCs w:val="24"/>
        </w:rPr>
        <w:t xml:space="preserve"> </w:t>
      </w:r>
      <w:r w:rsidRPr="00AD43B8">
        <w:rPr>
          <w:rFonts w:ascii="Palatino Linotype" w:eastAsia="Palatino Linotype" w:hAnsi="Palatino Linotype" w:cs="Palatino Linotype"/>
          <w:color w:val="000000"/>
          <w:sz w:val="24"/>
          <w:szCs w:val="24"/>
        </w:rPr>
        <w:t>entregar</w:t>
      </w:r>
      <w:proofErr w:type="gramEnd"/>
      <w:r w:rsidRPr="00AD43B8">
        <w:rPr>
          <w:rFonts w:ascii="Palatino Linotype" w:eastAsia="Palatino Linotype" w:hAnsi="Palatino Linotype" w:cs="Palatino Linotype"/>
          <w:color w:val="000000"/>
          <w:sz w:val="24"/>
          <w:szCs w:val="24"/>
        </w:rPr>
        <w:t>, vía Sistema de Acceso a la Información Mexiquense (SAIMEX), en versión pública</w:t>
      </w:r>
      <w:r w:rsidRPr="00AD43B8">
        <w:rPr>
          <w:rFonts w:ascii="Palatino Linotype" w:eastAsia="Palatino Linotype" w:hAnsi="Palatino Linotype" w:cs="Palatino Linotype"/>
          <w:b/>
          <w:color w:val="000000"/>
          <w:sz w:val="24"/>
          <w:szCs w:val="24"/>
        </w:rPr>
        <w:t>,</w:t>
      </w:r>
      <w:r w:rsidRPr="00AD43B8">
        <w:rPr>
          <w:rFonts w:ascii="Palatino Linotype" w:eastAsia="Palatino Linotype" w:hAnsi="Palatino Linotype" w:cs="Palatino Linotype"/>
          <w:color w:val="000000"/>
          <w:sz w:val="24"/>
          <w:szCs w:val="24"/>
        </w:rPr>
        <w:t xml:space="preserve"> la siguiente información:</w:t>
      </w:r>
    </w:p>
    <w:p w14:paraId="6FCD51BD" w14:textId="77777777" w:rsidR="00694C6A" w:rsidRPr="00AD43B8" w:rsidRDefault="00694C6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CD51BE" w14:textId="77777777" w:rsidR="00694C6A" w:rsidRPr="00AD43B8" w:rsidRDefault="00AD43B8">
      <w:pPr>
        <w:numPr>
          <w:ilvl w:val="0"/>
          <w:numId w:val="7"/>
        </w:numPr>
        <w:pBdr>
          <w:top w:val="nil"/>
          <w:left w:val="nil"/>
          <w:bottom w:val="nil"/>
          <w:right w:val="nil"/>
          <w:between w:val="nil"/>
        </w:pBdr>
        <w:spacing w:after="160" w:line="360" w:lineRule="auto"/>
        <w:ind w:right="616"/>
        <w:jc w:val="both"/>
        <w:rPr>
          <w:rFonts w:ascii="Palatino Linotype" w:eastAsia="Palatino Linotype" w:hAnsi="Palatino Linotype" w:cs="Palatino Linotype"/>
          <w:b/>
          <w:color w:val="000000"/>
          <w:sz w:val="24"/>
          <w:szCs w:val="24"/>
        </w:rPr>
      </w:pPr>
      <w:bookmarkStart w:id="18" w:name="_heading=h.z337ya" w:colFirst="0" w:colLast="0"/>
      <w:bookmarkEnd w:id="18"/>
      <w:r w:rsidRPr="00AD43B8">
        <w:rPr>
          <w:rFonts w:ascii="Palatino Linotype" w:eastAsia="Palatino Linotype" w:hAnsi="Palatino Linotype" w:cs="Palatino Linotype"/>
          <w:b/>
          <w:color w:val="000000"/>
          <w:sz w:val="24"/>
          <w:szCs w:val="24"/>
        </w:rPr>
        <w:t>Expedientes de trabajos de reparación y mantenimiento realizados en la Escuela Preparatoria Oficial 209, en una correcta versión pública del uno de septiembre de dos mil veintiuno al quince (15) de septiembre de dos mil veintitrés.</w:t>
      </w:r>
    </w:p>
    <w:p w14:paraId="6FCD51BF" w14:textId="77777777" w:rsidR="00694C6A" w:rsidRPr="00AD43B8" w:rsidRDefault="00AD43B8">
      <w:pPr>
        <w:spacing w:line="360" w:lineRule="auto"/>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14:paraId="6FCD51C0" w14:textId="77777777" w:rsidR="00694C6A" w:rsidRPr="00AD43B8" w:rsidRDefault="00694C6A">
      <w:pPr>
        <w:spacing w:line="360" w:lineRule="auto"/>
        <w:jc w:val="both"/>
        <w:rPr>
          <w:rFonts w:ascii="Palatino Linotype" w:eastAsia="Palatino Linotype" w:hAnsi="Palatino Linotype" w:cs="Palatino Linotype"/>
          <w:sz w:val="24"/>
          <w:szCs w:val="24"/>
        </w:rPr>
      </w:pPr>
    </w:p>
    <w:p w14:paraId="6FCD51C1" w14:textId="77777777" w:rsidR="00694C6A" w:rsidRPr="00AD43B8" w:rsidRDefault="00AD43B8">
      <w:pPr>
        <w:tabs>
          <w:tab w:val="left" w:pos="284"/>
          <w:tab w:val="left" w:pos="8080"/>
        </w:tabs>
        <w:spacing w:line="360" w:lineRule="auto"/>
        <w:ind w:right="49"/>
        <w:jc w:val="both"/>
        <w:rPr>
          <w:rFonts w:ascii="Palatino Linotype" w:eastAsia="Palatino Linotype" w:hAnsi="Palatino Linotype" w:cs="Palatino Linotype"/>
          <w:color w:val="222222"/>
          <w:sz w:val="24"/>
          <w:szCs w:val="24"/>
          <w:highlight w:val="white"/>
        </w:rPr>
      </w:pPr>
      <w:r w:rsidRPr="00AD43B8">
        <w:rPr>
          <w:rFonts w:ascii="Palatino Linotype" w:eastAsia="Palatino Linotype" w:hAnsi="Palatino Linotype" w:cs="Palatino Linotype"/>
          <w:b/>
          <w:sz w:val="24"/>
          <w:szCs w:val="24"/>
        </w:rPr>
        <w:t xml:space="preserve">TERCERO. </w:t>
      </w:r>
      <w:r w:rsidRPr="00AD43B8">
        <w:rPr>
          <w:rFonts w:ascii="Palatino Linotype" w:eastAsia="Palatino Linotype" w:hAnsi="Palatino Linotype" w:cs="Palatino Linotype"/>
          <w:b/>
          <w:color w:val="222222"/>
          <w:sz w:val="24"/>
          <w:szCs w:val="24"/>
          <w:highlight w:val="white"/>
        </w:rPr>
        <w:t>NOTIFÍQUESE</w:t>
      </w:r>
      <w:r w:rsidRPr="00AD43B8">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w:t>
      </w:r>
      <w:r w:rsidRPr="00AD43B8">
        <w:rPr>
          <w:rFonts w:ascii="Palatino Linotype" w:eastAsia="Palatino Linotype" w:hAnsi="Palatino Linotype" w:cs="Palatino Linotype"/>
          <w:color w:val="222222"/>
          <w:sz w:val="24"/>
          <w:szCs w:val="24"/>
          <w:highlight w:val="white"/>
        </w:rPr>
        <w:lastRenderedPageBreak/>
        <w:t xml:space="preserve">párrafo, 189 segundo párrafo y 194 de la Ley de Transparencia y Acceso a la Información Pública del Estado de México y Municipios; </w:t>
      </w:r>
      <w:r w:rsidRPr="00FE3DB1">
        <w:rPr>
          <w:rFonts w:ascii="Palatino Linotype" w:eastAsia="Palatino Linotype" w:hAnsi="Palatino Linotype" w:cs="Palatino Linotype"/>
          <w:b/>
          <w:color w:val="222222"/>
          <w:sz w:val="24"/>
          <w:szCs w:val="24"/>
          <w:highlight w:val="white"/>
        </w:rPr>
        <w:t>dé cumplimiento a lo ordenado dentro del plazo de diez días hábiles,</w:t>
      </w:r>
      <w:r w:rsidRPr="00AD43B8">
        <w:rPr>
          <w:rFonts w:ascii="Palatino Linotype" w:eastAsia="Palatino Linotype" w:hAnsi="Palatino Linotype" w:cs="Palatino Linotype"/>
          <w:color w:val="222222"/>
          <w:sz w:val="24"/>
          <w:szCs w:val="24"/>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CD51C2" w14:textId="77777777" w:rsidR="00694C6A" w:rsidRPr="00AD43B8" w:rsidRDefault="00694C6A">
      <w:pPr>
        <w:tabs>
          <w:tab w:val="left" w:pos="284"/>
          <w:tab w:val="left" w:pos="8080"/>
        </w:tabs>
        <w:spacing w:line="360" w:lineRule="auto"/>
        <w:ind w:right="49"/>
        <w:jc w:val="both"/>
        <w:rPr>
          <w:rFonts w:ascii="Palatino Linotype" w:eastAsia="Palatino Linotype" w:hAnsi="Palatino Linotype" w:cs="Palatino Linotype"/>
          <w:color w:val="222222"/>
          <w:sz w:val="24"/>
          <w:szCs w:val="24"/>
          <w:highlight w:val="white"/>
        </w:rPr>
      </w:pPr>
    </w:p>
    <w:p w14:paraId="6FCD51C3" w14:textId="77777777" w:rsidR="00694C6A" w:rsidRPr="00AD43B8" w:rsidRDefault="00AD43B8">
      <w:pPr>
        <w:shd w:val="clear" w:color="auto" w:fill="FFFFFF"/>
        <w:tabs>
          <w:tab w:val="left" w:pos="284"/>
        </w:tabs>
        <w:spacing w:line="360" w:lineRule="auto"/>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b/>
          <w:sz w:val="24"/>
          <w:szCs w:val="24"/>
        </w:rPr>
        <w:t xml:space="preserve">CUARTO. </w:t>
      </w:r>
      <w:r w:rsidRPr="00AD43B8">
        <w:rPr>
          <w:rFonts w:ascii="Palatino Linotype" w:eastAsia="Palatino Linotype" w:hAnsi="Palatino Linotype" w:cs="Palatino Linotype"/>
          <w:b/>
          <w:color w:val="222222"/>
          <w:sz w:val="24"/>
          <w:szCs w:val="24"/>
        </w:rPr>
        <w:t xml:space="preserve">Notifíquese </w:t>
      </w:r>
      <w:r w:rsidRPr="00AD43B8">
        <w:rPr>
          <w:rFonts w:ascii="Palatino Linotype" w:eastAsia="Palatino Linotype" w:hAnsi="Palatino Linotype" w:cs="Palatino Linotype"/>
          <w:color w:val="222222"/>
          <w:sz w:val="24"/>
          <w:szCs w:val="24"/>
        </w:rPr>
        <w:t xml:space="preserve">al </w:t>
      </w:r>
      <w:r w:rsidRPr="00AD43B8">
        <w:rPr>
          <w:rFonts w:ascii="Palatino Linotype" w:eastAsia="Palatino Linotype" w:hAnsi="Palatino Linotype" w:cs="Palatino Linotype"/>
          <w:b/>
          <w:color w:val="222222"/>
          <w:sz w:val="24"/>
          <w:szCs w:val="24"/>
        </w:rPr>
        <w:t xml:space="preserve">RECURRENTE </w:t>
      </w:r>
      <w:r w:rsidRPr="00AD43B8">
        <w:rPr>
          <w:rFonts w:ascii="Palatino Linotype" w:eastAsia="Palatino Linotype" w:hAnsi="Palatino Linotype" w:cs="Palatino Linotype"/>
          <w:sz w:val="24"/>
          <w:szCs w:val="24"/>
        </w:rPr>
        <w:t>la presente resolución a través del Sistema de Acceso a la Información Mexiquense (SAIMEX).</w:t>
      </w:r>
    </w:p>
    <w:p w14:paraId="6FCD51C4" w14:textId="77777777" w:rsidR="00694C6A" w:rsidRPr="00AD43B8" w:rsidRDefault="00694C6A">
      <w:pPr>
        <w:shd w:val="clear" w:color="auto" w:fill="FFFFFF"/>
        <w:tabs>
          <w:tab w:val="left" w:pos="284"/>
        </w:tabs>
        <w:spacing w:line="360" w:lineRule="auto"/>
        <w:jc w:val="both"/>
        <w:rPr>
          <w:rFonts w:ascii="Palatino Linotype" w:eastAsia="Palatino Linotype" w:hAnsi="Palatino Linotype" w:cs="Palatino Linotype"/>
          <w:sz w:val="24"/>
          <w:szCs w:val="24"/>
        </w:rPr>
      </w:pPr>
    </w:p>
    <w:p w14:paraId="6FCD51C5" w14:textId="77777777" w:rsidR="00694C6A" w:rsidRPr="00AD43B8" w:rsidRDefault="00AD43B8">
      <w:pPr>
        <w:spacing w:line="360" w:lineRule="auto"/>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b/>
          <w:sz w:val="24"/>
          <w:szCs w:val="24"/>
        </w:rPr>
        <w:t xml:space="preserve">QUINTO. </w:t>
      </w:r>
      <w:r w:rsidRPr="00AD43B8">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FCD51C6" w14:textId="23A7F761" w:rsidR="00694C6A" w:rsidRDefault="00AD43B8">
      <w:pPr>
        <w:shd w:val="clear" w:color="auto" w:fill="FFFFFF"/>
        <w:spacing w:before="240" w:after="360" w:line="360" w:lineRule="auto"/>
        <w:jc w:val="both"/>
        <w:rPr>
          <w:rFonts w:ascii="Palatino Linotype" w:eastAsia="Palatino Linotype" w:hAnsi="Palatino Linotype" w:cs="Palatino Linotype"/>
          <w:sz w:val="24"/>
          <w:szCs w:val="24"/>
        </w:rPr>
      </w:pPr>
      <w:r w:rsidRPr="00AD43B8">
        <w:rPr>
          <w:rFonts w:ascii="Palatino Linotype" w:eastAsia="Palatino Linotype" w:hAnsi="Palatino Linotype" w:cs="Palatino Linotype"/>
          <w:b/>
          <w:sz w:val="24"/>
          <w:szCs w:val="24"/>
        </w:rPr>
        <w:t>SEXTO.</w:t>
      </w:r>
      <w:r w:rsidRPr="00AD43B8">
        <w:rPr>
          <w:rFonts w:ascii="Palatino Linotype" w:eastAsia="Palatino Linotype" w:hAnsi="Palatino Linotype" w:cs="Palatino Linotype"/>
          <w:color w:val="222222"/>
          <w:sz w:val="24"/>
          <w:szCs w:val="24"/>
        </w:rPr>
        <w:t xml:space="preserve"> </w:t>
      </w:r>
      <w:r w:rsidRPr="00AD43B8">
        <w:rPr>
          <w:rFonts w:ascii="Palatino Linotype" w:eastAsia="Palatino Linotype" w:hAnsi="Palatino Linotype" w:cs="Palatino Linotype"/>
          <w:sz w:val="24"/>
          <w:szCs w:val="24"/>
        </w:rPr>
        <w:t xml:space="preserve">Se hace del conocimiento de </w:t>
      </w:r>
      <w:r w:rsidRPr="00AD43B8">
        <w:rPr>
          <w:rFonts w:ascii="Palatino Linotype" w:eastAsia="Palatino Linotype" w:hAnsi="Palatino Linotype" w:cs="Palatino Linotype"/>
          <w:b/>
          <w:sz w:val="24"/>
          <w:szCs w:val="24"/>
        </w:rPr>
        <w:t>RECURRENTE</w:t>
      </w:r>
      <w:r w:rsidRPr="00AD43B8">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w:t>
      </w:r>
      <w:r w:rsidRPr="00AD43B8">
        <w:rPr>
          <w:rFonts w:ascii="Palatino Linotype" w:eastAsia="Palatino Linotype" w:hAnsi="Palatino Linotype" w:cs="Palatino Linotype"/>
          <w:color w:val="000000"/>
          <w:sz w:val="24"/>
          <w:szCs w:val="24"/>
        </w:rPr>
        <w:t xml:space="preserve">en caso de que considere que la resolución le cause </w:t>
      </w:r>
      <w:r w:rsidR="00FE3DB1">
        <w:rPr>
          <w:rFonts w:ascii="Palatino Linotype" w:eastAsia="Palatino Linotype" w:hAnsi="Palatino Linotype" w:cs="Palatino Linotype"/>
          <w:color w:val="000000"/>
          <w:sz w:val="24"/>
          <w:szCs w:val="24"/>
        </w:rPr>
        <w:t>algún perjuicio podrá impugnar</w:t>
      </w:r>
      <w:r w:rsidRPr="00AD43B8">
        <w:rPr>
          <w:rFonts w:ascii="Palatino Linotype" w:eastAsia="Palatino Linotype" w:hAnsi="Palatino Linotype" w:cs="Palatino Linotype"/>
          <w:color w:val="000000"/>
          <w:sz w:val="24"/>
          <w:szCs w:val="24"/>
        </w:rPr>
        <w:t xml:space="preserve"> vía </w:t>
      </w:r>
      <w:r w:rsidRPr="00AD43B8">
        <w:rPr>
          <w:rFonts w:ascii="Palatino Linotype" w:eastAsia="Palatino Linotype" w:hAnsi="Palatino Linotype" w:cs="Palatino Linotype"/>
          <w:sz w:val="24"/>
          <w:szCs w:val="24"/>
        </w:rPr>
        <w:t>juicio de amparo en los términos de las leyes aplicables.</w:t>
      </w:r>
    </w:p>
    <w:p w14:paraId="7DCA0BCB" w14:textId="0C430EBA" w:rsidR="00532A92" w:rsidRDefault="00532A92">
      <w:pPr>
        <w:shd w:val="clear" w:color="auto" w:fill="FFFFFF"/>
        <w:spacing w:before="240" w:after="360" w:line="360" w:lineRule="auto"/>
        <w:jc w:val="both"/>
        <w:rPr>
          <w:rFonts w:ascii="Palatino Linotype" w:eastAsia="Palatino Linotype" w:hAnsi="Palatino Linotype" w:cs="Palatino Linotype"/>
          <w:sz w:val="24"/>
          <w:szCs w:val="24"/>
        </w:rPr>
      </w:pPr>
    </w:p>
    <w:p w14:paraId="0398AC6C" w14:textId="77777777" w:rsidR="00532A92" w:rsidRPr="00AD43B8" w:rsidRDefault="00532A92">
      <w:pPr>
        <w:shd w:val="clear" w:color="auto" w:fill="FFFFFF"/>
        <w:spacing w:before="240" w:after="360" w:line="360" w:lineRule="auto"/>
        <w:jc w:val="both"/>
        <w:rPr>
          <w:rFonts w:ascii="Palatino Linotype" w:eastAsia="Palatino Linotype" w:hAnsi="Palatino Linotype" w:cs="Palatino Linotype"/>
          <w:color w:val="222222"/>
          <w:sz w:val="24"/>
          <w:szCs w:val="24"/>
        </w:rPr>
      </w:pPr>
    </w:p>
    <w:p w14:paraId="56C5EC84" w14:textId="77777777" w:rsidR="00E4316B" w:rsidRPr="00E37AF3" w:rsidRDefault="00E4316B" w:rsidP="00E4316B">
      <w:pPr>
        <w:spacing w:line="360" w:lineRule="auto"/>
        <w:ind w:firstLine="1"/>
        <w:jc w:val="both"/>
        <w:rPr>
          <w:rFonts w:ascii="Palatino Linotype" w:hAnsi="Palatino Linotype"/>
          <w:sz w:val="24"/>
        </w:rPr>
      </w:pPr>
      <w:r w:rsidRPr="00E37AF3">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sz w:val="24"/>
        </w:rPr>
        <w:t>NOVENA</w:t>
      </w:r>
      <w:r w:rsidRPr="00E37AF3">
        <w:rPr>
          <w:rFonts w:ascii="Palatino Linotype" w:hAnsi="Palatino Linotype"/>
          <w:sz w:val="24"/>
        </w:rPr>
        <w:t xml:space="preserve"> SESIÓN ORDINARIA CELEBRADA EL </w:t>
      </w:r>
      <w:r>
        <w:rPr>
          <w:rFonts w:ascii="Palatino Linotype" w:hAnsi="Palatino Linotype"/>
          <w:sz w:val="24"/>
        </w:rPr>
        <w:t>VEINTIUNO</w:t>
      </w:r>
      <w:r w:rsidRPr="00E37AF3">
        <w:rPr>
          <w:rFonts w:ascii="Palatino Linotype" w:hAnsi="Palatino Linotype"/>
          <w:sz w:val="24"/>
        </w:rPr>
        <w:t xml:space="preserve"> (</w:t>
      </w:r>
      <w:r>
        <w:rPr>
          <w:rFonts w:ascii="Palatino Linotype" w:hAnsi="Palatino Linotype"/>
          <w:sz w:val="24"/>
        </w:rPr>
        <w:t>21</w:t>
      </w:r>
      <w:r w:rsidRPr="00E37AF3">
        <w:rPr>
          <w:rFonts w:ascii="Palatino Linotype" w:hAnsi="Palatino Linotype"/>
          <w:sz w:val="24"/>
        </w:rPr>
        <w:t xml:space="preserve">) DE </w:t>
      </w:r>
      <w:r>
        <w:rPr>
          <w:rFonts w:ascii="Palatino Linotype" w:hAnsi="Palatino Linotype"/>
          <w:sz w:val="24"/>
        </w:rPr>
        <w:t>AGOSTO</w:t>
      </w:r>
      <w:r w:rsidRPr="00E37AF3">
        <w:rPr>
          <w:rFonts w:ascii="Palatino Linotype" w:hAnsi="Palatino Linotype"/>
          <w:sz w:val="24"/>
        </w:rPr>
        <w:t xml:space="preserve"> DE DOS MIL VEINTICUATRO, ANTE EL SECRETARIO TÉCNICO DEL PLENO ALEXIS TAPIA RAMÍREZ. </w:t>
      </w:r>
    </w:p>
    <w:p w14:paraId="6FCD51C9" w14:textId="77777777" w:rsidR="00694C6A" w:rsidRPr="00AD43B8" w:rsidRDefault="00694C6A">
      <w:pPr>
        <w:spacing w:before="240" w:after="360" w:line="360" w:lineRule="auto"/>
        <w:jc w:val="both"/>
        <w:rPr>
          <w:rFonts w:ascii="Palatino Linotype" w:eastAsia="Palatino Linotype" w:hAnsi="Palatino Linotype" w:cs="Palatino Linotype"/>
          <w:color w:val="222222"/>
          <w:sz w:val="24"/>
          <w:szCs w:val="24"/>
        </w:rPr>
      </w:pPr>
    </w:p>
    <w:p w14:paraId="6FCD51CA" w14:textId="77777777" w:rsidR="00694C6A" w:rsidRPr="00AD43B8" w:rsidRDefault="00694C6A">
      <w:pPr>
        <w:spacing w:before="240" w:after="360" w:line="360" w:lineRule="auto"/>
        <w:jc w:val="both"/>
        <w:rPr>
          <w:rFonts w:ascii="Palatino Linotype" w:eastAsia="Palatino Linotype" w:hAnsi="Palatino Linotype" w:cs="Palatino Linotype"/>
          <w:color w:val="222222"/>
          <w:sz w:val="24"/>
          <w:szCs w:val="24"/>
        </w:rPr>
      </w:pPr>
    </w:p>
    <w:p w14:paraId="6FCD51CB" w14:textId="77777777" w:rsidR="00694C6A" w:rsidRPr="00AD43B8" w:rsidRDefault="00694C6A">
      <w:pPr>
        <w:spacing w:before="240" w:after="360" w:line="360" w:lineRule="auto"/>
        <w:jc w:val="both"/>
        <w:rPr>
          <w:rFonts w:ascii="Palatino Linotype" w:eastAsia="Palatino Linotype" w:hAnsi="Palatino Linotype" w:cs="Palatino Linotype"/>
          <w:color w:val="222222"/>
          <w:sz w:val="24"/>
          <w:szCs w:val="24"/>
        </w:rPr>
      </w:pPr>
    </w:p>
    <w:p w14:paraId="6FCD51CC" w14:textId="77777777" w:rsidR="00694C6A" w:rsidRPr="00AD43B8" w:rsidRDefault="00694C6A">
      <w:pPr>
        <w:spacing w:before="240" w:after="360" w:line="360" w:lineRule="auto"/>
        <w:jc w:val="both"/>
        <w:rPr>
          <w:rFonts w:ascii="Palatino Linotype" w:eastAsia="Palatino Linotype" w:hAnsi="Palatino Linotype" w:cs="Palatino Linotype"/>
          <w:color w:val="222222"/>
          <w:sz w:val="24"/>
          <w:szCs w:val="24"/>
        </w:rPr>
      </w:pPr>
    </w:p>
    <w:p w14:paraId="6FCD51CD" w14:textId="77777777" w:rsidR="00694C6A" w:rsidRPr="00AD43B8" w:rsidRDefault="00694C6A">
      <w:pPr>
        <w:spacing w:before="240" w:after="360" w:line="360" w:lineRule="auto"/>
        <w:jc w:val="both"/>
        <w:rPr>
          <w:rFonts w:ascii="Palatino Linotype" w:eastAsia="Palatino Linotype" w:hAnsi="Palatino Linotype" w:cs="Palatino Linotype"/>
          <w:color w:val="222222"/>
          <w:sz w:val="24"/>
          <w:szCs w:val="24"/>
        </w:rPr>
      </w:pPr>
    </w:p>
    <w:p w14:paraId="6FCD51CE" w14:textId="77777777" w:rsidR="00694C6A" w:rsidRPr="00AD43B8" w:rsidRDefault="00694C6A">
      <w:pPr>
        <w:spacing w:before="240" w:after="360" w:line="360" w:lineRule="auto"/>
        <w:jc w:val="both"/>
        <w:rPr>
          <w:rFonts w:ascii="Palatino Linotype" w:eastAsia="Palatino Linotype" w:hAnsi="Palatino Linotype" w:cs="Palatino Linotype"/>
          <w:color w:val="222222"/>
          <w:sz w:val="24"/>
          <w:szCs w:val="24"/>
        </w:rPr>
      </w:pPr>
    </w:p>
    <w:p w14:paraId="6FCD51CF" w14:textId="77777777" w:rsidR="00694C6A" w:rsidRPr="00AD43B8" w:rsidRDefault="00694C6A">
      <w:pPr>
        <w:spacing w:before="240" w:after="360" w:line="360" w:lineRule="auto"/>
        <w:jc w:val="both"/>
        <w:rPr>
          <w:rFonts w:ascii="Palatino Linotype" w:eastAsia="Palatino Linotype" w:hAnsi="Palatino Linotype" w:cs="Palatino Linotype"/>
          <w:color w:val="222222"/>
          <w:sz w:val="24"/>
          <w:szCs w:val="24"/>
        </w:rPr>
      </w:pPr>
    </w:p>
    <w:p w14:paraId="6FCD51D0" w14:textId="77777777" w:rsidR="00694C6A" w:rsidRPr="00AD43B8" w:rsidRDefault="00694C6A">
      <w:pPr>
        <w:spacing w:before="240" w:after="360" w:line="360" w:lineRule="auto"/>
        <w:jc w:val="both"/>
        <w:rPr>
          <w:rFonts w:ascii="Palatino Linotype" w:eastAsia="Palatino Linotype" w:hAnsi="Palatino Linotype" w:cs="Palatino Linotype"/>
          <w:color w:val="222222"/>
          <w:sz w:val="24"/>
          <w:szCs w:val="24"/>
        </w:rPr>
      </w:pPr>
    </w:p>
    <w:sectPr w:rsidR="00694C6A" w:rsidRPr="00AD43B8" w:rsidSect="00AD43B8">
      <w:headerReference w:type="even" r:id="rId9"/>
      <w:headerReference w:type="default" r:id="rId10"/>
      <w:footerReference w:type="default" r:id="rId11"/>
      <w:headerReference w:type="first" r:id="rId12"/>
      <w:footerReference w:type="first" r:id="rId13"/>
      <w:pgSz w:w="12240" w:h="15840"/>
      <w:pgMar w:top="80" w:right="1041"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0384" w14:textId="77777777" w:rsidR="009C2680" w:rsidRDefault="009C2680">
      <w:r>
        <w:separator/>
      </w:r>
    </w:p>
  </w:endnote>
  <w:endnote w:type="continuationSeparator" w:id="0">
    <w:p w14:paraId="665392B7" w14:textId="77777777" w:rsidR="009C2680" w:rsidRDefault="009C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51EA" w14:textId="77777777" w:rsidR="00AD43B8" w:rsidRDefault="00AD43B8">
    <w:pPr>
      <w:pBdr>
        <w:top w:val="nil"/>
        <w:left w:val="nil"/>
        <w:bottom w:val="nil"/>
        <w:right w:val="nil"/>
        <w:between w:val="nil"/>
      </w:pBdr>
      <w:tabs>
        <w:tab w:val="center" w:pos="4419"/>
        <w:tab w:val="right" w:pos="8838"/>
      </w:tabs>
      <w:jc w:val="right"/>
      <w:rPr>
        <w:color w:val="000000"/>
      </w:rPr>
    </w:pPr>
  </w:p>
  <w:p w14:paraId="6FCD51EB" w14:textId="645172BF" w:rsidR="00AD43B8" w:rsidRDefault="00AD43B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32A92">
      <w:rPr>
        <w:b/>
        <w:noProof/>
        <w:color w:val="000000"/>
        <w:sz w:val="24"/>
        <w:szCs w:val="24"/>
      </w:rPr>
      <w:t>56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32A92">
      <w:rPr>
        <w:b/>
        <w:noProof/>
        <w:color w:val="000000"/>
        <w:sz w:val="24"/>
        <w:szCs w:val="24"/>
      </w:rPr>
      <w:t>57</w:t>
    </w:r>
    <w:r>
      <w:rPr>
        <w:b/>
        <w:color w:val="000000"/>
        <w:sz w:val="24"/>
        <w:szCs w:val="24"/>
      </w:rPr>
      <w:fldChar w:fldCharType="end"/>
    </w:r>
  </w:p>
  <w:p w14:paraId="6FCD51EC" w14:textId="77777777" w:rsidR="00AD43B8" w:rsidRDefault="00AD43B8">
    <w:pPr>
      <w:pBdr>
        <w:top w:val="nil"/>
        <w:left w:val="nil"/>
        <w:bottom w:val="nil"/>
        <w:right w:val="nil"/>
        <w:between w:val="nil"/>
      </w:pBdr>
      <w:tabs>
        <w:tab w:val="center" w:pos="4419"/>
        <w:tab w:val="right" w:pos="8838"/>
      </w:tabs>
      <w:rPr>
        <w:color w:val="000000"/>
      </w:rPr>
    </w:pPr>
  </w:p>
  <w:p w14:paraId="6FCD51ED" w14:textId="77777777" w:rsidR="00AD43B8" w:rsidRDefault="00AD43B8"/>
  <w:p w14:paraId="6FCD51EE" w14:textId="77777777" w:rsidR="00AD43B8" w:rsidRDefault="00AD43B8"/>
  <w:p w14:paraId="6FCD51EF" w14:textId="77777777" w:rsidR="00AD43B8" w:rsidRDefault="00AD4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5205" w14:textId="27260E8F" w:rsidR="00AD43B8" w:rsidRDefault="00AD43B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32A9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32A92">
      <w:rPr>
        <w:b/>
        <w:noProof/>
        <w:color w:val="000000"/>
        <w:sz w:val="24"/>
        <w:szCs w:val="24"/>
      </w:rPr>
      <w:t>57</w:t>
    </w:r>
    <w:r>
      <w:rPr>
        <w:b/>
        <w:color w:val="000000"/>
        <w:sz w:val="24"/>
        <w:szCs w:val="24"/>
      </w:rPr>
      <w:fldChar w:fldCharType="end"/>
    </w:r>
  </w:p>
  <w:p w14:paraId="6FCD5206" w14:textId="77777777" w:rsidR="00AD43B8" w:rsidRDefault="00AD43B8">
    <w:pPr>
      <w:pBdr>
        <w:top w:val="nil"/>
        <w:left w:val="nil"/>
        <w:bottom w:val="nil"/>
        <w:right w:val="nil"/>
        <w:between w:val="nil"/>
      </w:pBdr>
      <w:tabs>
        <w:tab w:val="center" w:pos="4419"/>
        <w:tab w:val="right" w:pos="8838"/>
      </w:tabs>
      <w:rPr>
        <w:color w:val="000000"/>
      </w:rPr>
    </w:pPr>
  </w:p>
  <w:p w14:paraId="6FCD5207" w14:textId="77777777" w:rsidR="00AD43B8" w:rsidRDefault="00AD43B8"/>
  <w:p w14:paraId="6FCD5208" w14:textId="77777777" w:rsidR="00AD43B8" w:rsidRDefault="00AD43B8"/>
  <w:p w14:paraId="6FCD5209" w14:textId="77777777" w:rsidR="00AD43B8" w:rsidRDefault="00AD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D037" w14:textId="77777777" w:rsidR="009C2680" w:rsidRDefault="009C2680">
      <w:r>
        <w:separator/>
      </w:r>
    </w:p>
  </w:footnote>
  <w:footnote w:type="continuationSeparator" w:id="0">
    <w:p w14:paraId="0C35FD2F" w14:textId="77777777" w:rsidR="009C2680" w:rsidRDefault="009C2680">
      <w:r>
        <w:continuationSeparator/>
      </w:r>
    </w:p>
  </w:footnote>
  <w:footnote w:id="1">
    <w:p w14:paraId="6FCD520D" w14:textId="77777777" w:rsidR="00AD43B8" w:rsidRDefault="00AD43B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6FCD520E" w14:textId="77777777" w:rsidR="00AD43B8" w:rsidRDefault="00AD43B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6FCD520F" w14:textId="77777777" w:rsidR="00AD43B8" w:rsidRDefault="00AD43B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6FCD5210" w14:textId="77777777" w:rsidR="00AD43B8" w:rsidRDefault="00AD43B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 w:id="5">
    <w:p w14:paraId="6FCD5211" w14:textId="77777777" w:rsidR="00AD43B8" w:rsidRDefault="00AD43B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6FCD5212" w14:textId="77777777" w:rsidR="00AD43B8" w:rsidRDefault="00AD43B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6FCD5213" w14:textId="77777777" w:rsidR="00AD43B8" w:rsidRDefault="00AD43B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51D7" w14:textId="77777777" w:rsidR="00AD43B8" w:rsidRDefault="009C2680">
    <w:pPr>
      <w:pBdr>
        <w:top w:val="nil"/>
        <w:left w:val="nil"/>
        <w:bottom w:val="nil"/>
        <w:right w:val="nil"/>
        <w:between w:val="nil"/>
      </w:pBdr>
      <w:tabs>
        <w:tab w:val="center" w:pos="4419"/>
        <w:tab w:val="right" w:pos="8838"/>
      </w:tabs>
      <w:rPr>
        <w:color w:val="000000"/>
      </w:rPr>
    </w:pPr>
    <w:r>
      <w:rPr>
        <w:color w:val="000000"/>
      </w:rPr>
      <w:pict w14:anchorId="6FCD5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2"/>
          <w10:wrap anchorx="margin" anchory="margin"/>
        </v:shape>
      </w:pict>
    </w:r>
  </w:p>
  <w:p w14:paraId="6FCD51D8" w14:textId="77777777" w:rsidR="00AD43B8" w:rsidRDefault="00AD43B8"/>
  <w:p w14:paraId="6FCD51D9" w14:textId="77777777" w:rsidR="00AD43B8" w:rsidRDefault="00AD43B8"/>
  <w:p w14:paraId="6FCD51DA" w14:textId="77777777" w:rsidR="00AD43B8" w:rsidRDefault="00AD43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9356" w:type="dxa"/>
      <w:tblInd w:w="0" w:type="dxa"/>
      <w:tblLayout w:type="fixed"/>
      <w:tblLook w:val="0400" w:firstRow="0" w:lastRow="0" w:firstColumn="0" w:lastColumn="0" w:noHBand="0" w:noVBand="1"/>
    </w:tblPr>
    <w:tblGrid>
      <w:gridCol w:w="1843"/>
      <w:gridCol w:w="7513"/>
    </w:tblGrid>
    <w:tr w:rsidR="00AD43B8" w14:paraId="6FCD51E7" w14:textId="77777777">
      <w:trPr>
        <w:trHeight w:val="1435"/>
      </w:trPr>
      <w:tc>
        <w:tcPr>
          <w:tcW w:w="1843" w:type="dxa"/>
          <w:shd w:val="clear" w:color="auto" w:fill="auto"/>
        </w:tcPr>
        <w:p w14:paraId="6FCD51DB" w14:textId="77777777" w:rsidR="00AD43B8" w:rsidRDefault="00AD43B8">
          <w:pPr>
            <w:tabs>
              <w:tab w:val="right" w:pos="4273"/>
            </w:tabs>
            <w:rPr>
              <w:rFonts w:ascii="Garamond" w:eastAsia="Garamond" w:hAnsi="Garamond" w:cs="Garamond"/>
              <w:sz w:val="16"/>
              <w:szCs w:val="16"/>
            </w:rPr>
          </w:pPr>
        </w:p>
      </w:tc>
      <w:tc>
        <w:tcPr>
          <w:tcW w:w="7513" w:type="dxa"/>
          <w:shd w:val="clear" w:color="auto" w:fill="auto"/>
        </w:tcPr>
        <w:p w14:paraId="6FCD51DC" w14:textId="77777777" w:rsidR="00AD43B8" w:rsidRDefault="00AD43B8"/>
        <w:tbl>
          <w:tblPr>
            <w:tblStyle w:val="a1"/>
            <w:tblW w:w="5528"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2977"/>
          </w:tblGrid>
          <w:tr w:rsidR="00AD43B8" w14:paraId="6FCD51DF" w14:textId="77777777">
            <w:trPr>
              <w:trHeight w:val="338"/>
            </w:trPr>
            <w:tc>
              <w:tcPr>
                <w:tcW w:w="2551" w:type="dxa"/>
              </w:tcPr>
              <w:p w14:paraId="6FCD51DD" w14:textId="77777777" w:rsidR="00AD43B8" w:rsidRDefault="00AD43B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tcPr>
              <w:p w14:paraId="6FCD51DE" w14:textId="77777777" w:rsidR="00AD43B8" w:rsidRDefault="00AD43B8">
                <w:pPr>
                  <w:tabs>
                    <w:tab w:val="right" w:pos="8838"/>
                  </w:tabs>
                  <w:ind w:right="-105" w:hanging="10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07053/INFOEM/IP/RR/2023</w:t>
                </w:r>
              </w:p>
            </w:tc>
          </w:tr>
          <w:tr w:rsidR="00AD43B8" w14:paraId="6FCD51E2" w14:textId="77777777">
            <w:trPr>
              <w:trHeight w:val="283"/>
            </w:trPr>
            <w:tc>
              <w:tcPr>
                <w:tcW w:w="2551" w:type="dxa"/>
              </w:tcPr>
              <w:p w14:paraId="6FCD51E0" w14:textId="77777777" w:rsidR="00AD43B8" w:rsidRDefault="00AD43B8">
                <w:pPr>
                  <w:tabs>
                    <w:tab w:val="right" w:pos="8838"/>
                  </w:tabs>
                  <w:ind w:right="-105"/>
                  <w:rPr>
                    <w:rFonts w:ascii="Palatino Linotype" w:eastAsia="Palatino Linotype" w:hAnsi="Palatino Linotype" w:cs="Palatino Linotype"/>
                    <w:b/>
                    <w:sz w:val="22"/>
                    <w:szCs w:val="22"/>
                  </w:rPr>
                </w:pPr>
                <w:bookmarkStart w:id="19" w:name="_heading=h.3j2qqm3" w:colFirst="0" w:colLast="0"/>
                <w:bookmarkEnd w:id="19"/>
                <w:r>
                  <w:rPr>
                    <w:rFonts w:ascii="Palatino Linotype" w:eastAsia="Palatino Linotype" w:hAnsi="Palatino Linotype" w:cs="Palatino Linotype"/>
                    <w:b/>
                    <w:sz w:val="22"/>
                    <w:szCs w:val="22"/>
                  </w:rPr>
                  <w:t>Sujeto Obligado:</w:t>
                </w:r>
              </w:p>
            </w:tc>
            <w:tc>
              <w:tcPr>
                <w:tcW w:w="2977" w:type="dxa"/>
              </w:tcPr>
              <w:p w14:paraId="6FCD51E1" w14:textId="77777777" w:rsidR="00AD43B8" w:rsidRDefault="00AD43B8">
                <w:pPr>
                  <w:tabs>
                    <w:tab w:val="left" w:pos="2834"/>
                    <w:tab w:val="right" w:pos="8838"/>
                  </w:tabs>
                  <w:ind w:left="-113" w:right="-10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Secretaría de Educación </w:t>
                </w:r>
                <w:r>
                  <w:rPr>
                    <w:rFonts w:ascii="Palatino Linotype" w:eastAsia="Palatino Linotype" w:hAnsi="Palatino Linotype" w:cs="Palatino Linotype"/>
                  </w:rPr>
                  <w:t xml:space="preserve"> </w:t>
                </w:r>
              </w:p>
            </w:tc>
          </w:tr>
          <w:tr w:rsidR="00AD43B8" w14:paraId="6FCD51E5" w14:textId="77777777">
            <w:trPr>
              <w:trHeight w:val="283"/>
            </w:trPr>
            <w:tc>
              <w:tcPr>
                <w:tcW w:w="2551" w:type="dxa"/>
              </w:tcPr>
              <w:p w14:paraId="6FCD51E3" w14:textId="77777777" w:rsidR="00AD43B8" w:rsidRDefault="00AD43B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tcPr>
              <w:p w14:paraId="6FCD51E4" w14:textId="77777777" w:rsidR="00AD43B8" w:rsidRDefault="00AD43B8">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6FCD51E6" w14:textId="77777777" w:rsidR="00AD43B8" w:rsidRDefault="00AD43B8">
          <w:pPr>
            <w:tabs>
              <w:tab w:val="right" w:pos="8838"/>
            </w:tabs>
            <w:ind w:left="-28"/>
            <w:jc w:val="both"/>
            <w:rPr>
              <w:rFonts w:ascii="Arial" w:eastAsia="Arial" w:hAnsi="Arial" w:cs="Arial"/>
              <w:b/>
              <w:sz w:val="22"/>
              <w:szCs w:val="22"/>
            </w:rPr>
          </w:pPr>
        </w:p>
      </w:tc>
    </w:tr>
  </w:tbl>
  <w:p w14:paraId="6FCD51E8" w14:textId="77777777" w:rsidR="00AD43B8" w:rsidRDefault="009C2680">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FCD5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75.1pt;margin-top:-135.85pt;width:663.5pt;height:12in;z-index:-251659776;mso-position-horizontal-relative:margin;mso-position-vertical-relative:margin">
          <v:imagedata r:id="rId1" o:title="image2"/>
          <w10:wrap anchorx="margin" anchory="margin"/>
        </v:shape>
      </w:pict>
    </w:r>
  </w:p>
  <w:p w14:paraId="6FCD51E9" w14:textId="77777777" w:rsidR="00AD43B8" w:rsidRDefault="00AD43B8" w:rsidP="00AD43B8">
    <w:pPr>
      <w:tabs>
        <w:tab w:val="left" w:pos="248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51F0" w14:textId="77777777" w:rsidR="00AD43B8" w:rsidRDefault="009C2680">
    <w:pPr>
      <w:widowControl w:val="0"/>
      <w:pBdr>
        <w:top w:val="nil"/>
        <w:left w:val="nil"/>
        <w:bottom w:val="nil"/>
        <w:right w:val="nil"/>
        <w:between w:val="nil"/>
      </w:pBdr>
      <w:spacing w:line="276" w:lineRule="auto"/>
    </w:pPr>
    <w:r>
      <w:rPr>
        <w:color w:val="000000"/>
        <w:sz w:val="14"/>
        <w:szCs w:val="14"/>
      </w:rPr>
      <w:pict w14:anchorId="6FCD5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5.8pt;margin-top:-141.1pt;width:663.5pt;height:12in;z-index:-251658752;mso-position-horizontal-relative:margin;mso-position-vertical-relative:margin">
          <v:imagedata r:id="rId1" o:title="image2"/>
          <w10:wrap anchorx="margin" anchory="margin"/>
        </v:shape>
      </w:pict>
    </w:r>
  </w:p>
  <w:tbl>
    <w:tblPr>
      <w:tblStyle w:val="a2"/>
      <w:tblW w:w="9498" w:type="dxa"/>
      <w:tblInd w:w="0" w:type="dxa"/>
      <w:tblLayout w:type="fixed"/>
      <w:tblLook w:val="0400" w:firstRow="0" w:lastRow="0" w:firstColumn="0" w:lastColumn="0" w:noHBand="0" w:noVBand="1"/>
    </w:tblPr>
    <w:tblGrid>
      <w:gridCol w:w="1560"/>
      <w:gridCol w:w="7938"/>
    </w:tblGrid>
    <w:tr w:rsidR="00AD43B8" w14:paraId="6FCD5203" w14:textId="77777777">
      <w:trPr>
        <w:trHeight w:val="1435"/>
      </w:trPr>
      <w:tc>
        <w:tcPr>
          <w:tcW w:w="1560" w:type="dxa"/>
          <w:shd w:val="clear" w:color="auto" w:fill="auto"/>
        </w:tcPr>
        <w:p w14:paraId="6FCD51F1" w14:textId="77777777" w:rsidR="00AD43B8" w:rsidRDefault="00AD43B8">
          <w:pPr>
            <w:tabs>
              <w:tab w:val="right" w:pos="4273"/>
            </w:tabs>
            <w:rPr>
              <w:rFonts w:ascii="Garamond" w:eastAsia="Garamond" w:hAnsi="Garamond" w:cs="Garamond"/>
              <w:sz w:val="22"/>
              <w:szCs w:val="22"/>
            </w:rPr>
          </w:pPr>
        </w:p>
      </w:tc>
      <w:tc>
        <w:tcPr>
          <w:tcW w:w="7938" w:type="dxa"/>
          <w:shd w:val="clear" w:color="auto" w:fill="auto"/>
        </w:tcPr>
        <w:tbl>
          <w:tblPr>
            <w:tblStyle w:val="a3"/>
            <w:tblW w:w="10338" w:type="dxa"/>
            <w:tblInd w:w="2153" w:type="dxa"/>
            <w:tblBorders>
              <w:top w:val="nil"/>
              <w:left w:val="nil"/>
              <w:bottom w:val="nil"/>
              <w:right w:val="nil"/>
              <w:insideH w:val="nil"/>
              <w:insideV w:val="nil"/>
            </w:tblBorders>
            <w:tblLayout w:type="fixed"/>
            <w:tblLook w:val="0400" w:firstRow="0" w:lastRow="0" w:firstColumn="0" w:lastColumn="0" w:noHBand="0" w:noVBand="1"/>
          </w:tblPr>
          <w:tblGrid>
            <w:gridCol w:w="2444"/>
            <w:gridCol w:w="4492"/>
            <w:gridCol w:w="3402"/>
          </w:tblGrid>
          <w:tr w:rsidR="00AD43B8" w:rsidRPr="00AD43B8" w14:paraId="6FCD51F5" w14:textId="77777777" w:rsidTr="00AD43B8">
            <w:trPr>
              <w:trHeight w:val="144"/>
            </w:trPr>
            <w:tc>
              <w:tcPr>
                <w:tcW w:w="2444" w:type="dxa"/>
              </w:tcPr>
              <w:p w14:paraId="6FCD51F2" w14:textId="77777777" w:rsidR="00AD43B8" w:rsidRPr="00AD43B8" w:rsidRDefault="00AD43B8">
                <w:pPr>
                  <w:tabs>
                    <w:tab w:val="right" w:pos="8838"/>
                  </w:tabs>
                  <w:ind w:left="-74" w:right="-105"/>
                  <w:rPr>
                    <w:rFonts w:ascii="Palatino Linotype" w:eastAsia="Palatino Linotype" w:hAnsi="Palatino Linotype" w:cs="Palatino Linotype"/>
                    <w:b/>
                    <w:sz w:val="22"/>
                    <w:szCs w:val="22"/>
                  </w:rPr>
                </w:pPr>
                <w:bookmarkStart w:id="20" w:name="_heading=h.1y810tw" w:colFirst="0" w:colLast="0"/>
                <w:bookmarkEnd w:id="20"/>
                <w:r w:rsidRPr="00AD43B8">
                  <w:rPr>
                    <w:rFonts w:ascii="Palatino Linotype" w:eastAsia="Palatino Linotype" w:hAnsi="Palatino Linotype" w:cs="Palatino Linotype"/>
                    <w:b/>
                    <w:sz w:val="22"/>
                    <w:szCs w:val="22"/>
                  </w:rPr>
                  <w:t>Recurso de Revisión:</w:t>
                </w:r>
              </w:p>
            </w:tc>
            <w:tc>
              <w:tcPr>
                <w:tcW w:w="4492" w:type="dxa"/>
              </w:tcPr>
              <w:p w14:paraId="6FCD51F3" w14:textId="77777777" w:rsidR="00AD43B8" w:rsidRPr="00AD43B8" w:rsidRDefault="00AD43B8" w:rsidP="00AD43B8">
                <w:pPr>
                  <w:tabs>
                    <w:tab w:val="right" w:pos="8838"/>
                  </w:tabs>
                  <w:ind w:left="-3" w:right="-105"/>
                  <w:rPr>
                    <w:rFonts w:ascii="Palatino Linotype" w:eastAsia="Palatino Linotype" w:hAnsi="Palatino Linotype" w:cs="Palatino Linotype"/>
                    <w:sz w:val="22"/>
                    <w:szCs w:val="22"/>
                  </w:rPr>
                </w:pPr>
                <w:r w:rsidRPr="00AD43B8">
                  <w:rPr>
                    <w:rFonts w:ascii="Palatino Linotype" w:eastAsia="Palatino Linotype" w:hAnsi="Palatino Linotype" w:cs="Palatino Linotype"/>
                    <w:sz w:val="22"/>
                    <w:szCs w:val="22"/>
                  </w:rPr>
                  <w:t xml:space="preserve">07053/INFOEM/IP/RR/2023 </w:t>
                </w:r>
              </w:p>
            </w:tc>
            <w:tc>
              <w:tcPr>
                <w:tcW w:w="3402" w:type="dxa"/>
              </w:tcPr>
              <w:p w14:paraId="6FCD51F4" w14:textId="77777777" w:rsidR="00AD43B8" w:rsidRPr="00AD43B8" w:rsidRDefault="00AD43B8">
                <w:pPr>
                  <w:tabs>
                    <w:tab w:val="right" w:pos="8838"/>
                  </w:tabs>
                  <w:ind w:left="-74" w:right="-105"/>
                  <w:jc w:val="both"/>
                  <w:rPr>
                    <w:rFonts w:ascii="Palatino Linotype" w:eastAsia="Palatino Linotype" w:hAnsi="Palatino Linotype" w:cs="Palatino Linotype"/>
                    <w:sz w:val="22"/>
                    <w:szCs w:val="22"/>
                  </w:rPr>
                </w:pPr>
              </w:p>
            </w:tc>
          </w:tr>
          <w:tr w:rsidR="00AD43B8" w:rsidRPr="00AD43B8" w14:paraId="6FCD51F9" w14:textId="77777777" w:rsidTr="00AD43B8">
            <w:trPr>
              <w:trHeight w:val="144"/>
            </w:trPr>
            <w:tc>
              <w:tcPr>
                <w:tcW w:w="2444" w:type="dxa"/>
              </w:tcPr>
              <w:p w14:paraId="6FCD51F6" w14:textId="77777777" w:rsidR="00AD43B8" w:rsidRPr="00AD43B8" w:rsidRDefault="00AD43B8">
                <w:pPr>
                  <w:tabs>
                    <w:tab w:val="right" w:pos="8838"/>
                  </w:tabs>
                  <w:ind w:left="-74" w:right="-105"/>
                  <w:rPr>
                    <w:rFonts w:ascii="Palatino Linotype" w:eastAsia="Palatino Linotype" w:hAnsi="Palatino Linotype" w:cs="Palatino Linotype"/>
                    <w:b/>
                    <w:sz w:val="22"/>
                    <w:szCs w:val="22"/>
                  </w:rPr>
                </w:pPr>
                <w:bookmarkStart w:id="21" w:name="_heading=h.4i7ojhp" w:colFirst="0" w:colLast="0"/>
                <w:bookmarkEnd w:id="21"/>
                <w:r w:rsidRPr="00AD43B8">
                  <w:rPr>
                    <w:rFonts w:ascii="Palatino Linotype" w:eastAsia="Palatino Linotype" w:hAnsi="Palatino Linotype" w:cs="Palatino Linotype"/>
                    <w:b/>
                    <w:sz w:val="22"/>
                    <w:szCs w:val="22"/>
                  </w:rPr>
                  <w:t>Recurrente:</w:t>
                </w:r>
              </w:p>
            </w:tc>
            <w:tc>
              <w:tcPr>
                <w:tcW w:w="4492" w:type="dxa"/>
              </w:tcPr>
              <w:p w14:paraId="6FCD51F7" w14:textId="4149ACD0" w:rsidR="00AD43B8" w:rsidRPr="00AD43B8" w:rsidRDefault="005D4F81" w:rsidP="00AD43B8">
                <w:pPr>
                  <w:tabs>
                    <w:tab w:val="left" w:pos="3122"/>
                    <w:tab w:val="right" w:pos="8838"/>
                  </w:tabs>
                  <w:ind w:right="74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c>
              <w:tcPr>
                <w:tcW w:w="3402" w:type="dxa"/>
              </w:tcPr>
              <w:p w14:paraId="6FCD51F8" w14:textId="77777777" w:rsidR="00AD43B8" w:rsidRPr="00AD43B8" w:rsidRDefault="00AD43B8">
                <w:pPr>
                  <w:tabs>
                    <w:tab w:val="left" w:pos="3122"/>
                    <w:tab w:val="right" w:pos="8838"/>
                  </w:tabs>
                  <w:ind w:right="-105"/>
                  <w:jc w:val="both"/>
                  <w:rPr>
                    <w:rFonts w:ascii="Palatino Linotype" w:eastAsia="Palatino Linotype" w:hAnsi="Palatino Linotype" w:cs="Palatino Linotype"/>
                    <w:sz w:val="22"/>
                    <w:szCs w:val="22"/>
                  </w:rPr>
                </w:pPr>
              </w:p>
            </w:tc>
          </w:tr>
          <w:tr w:rsidR="00AD43B8" w:rsidRPr="00AD43B8" w14:paraId="6FCD51FD" w14:textId="77777777" w:rsidTr="00AD43B8">
            <w:trPr>
              <w:trHeight w:val="283"/>
            </w:trPr>
            <w:tc>
              <w:tcPr>
                <w:tcW w:w="2444" w:type="dxa"/>
              </w:tcPr>
              <w:p w14:paraId="6FCD51FA" w14:textId="77777777" w:rsidR="00AD43B8" w:rsidRPr="00AD43B8" w:rsidRDefault="00AD43B8">
                <w:pPr>
                  <w:tabs>
                    <w:tab w:val="right" w:pos="8838"/>
                  </w:tabs>
                  <w:ind w:left="-74" w:right="-105"/>
                  <w:rPr>
                    <w:rFonts w:ascii="Palatino Linotype" w:eastAsia="Palatino Linotype" w:hAnsi="Palatino Linotype" w:cs="Palatino Linotype"/>
                    <w:b/>
                    <w:sz w:val="22"/>
                    <w:szCs w:val="22"/>
                  </w:rPr>
                </w:pPr>
                <w:r w:rsidRPr="00AD43B8">
                  <w:rPr>
                    <w:rFonts w:ascii="Palatino Linotype" w:eastAsia="Palatino Linotype" w:hAnsi="Palatino Linotype" w:cs="Palatino Linotype"/>
                    <w:b/>
                    <w:sz w:val="22"/>
                    <w:szCs w:val="22"/>
                  </w:rPr>
                  <w:t>Sujeto Obligado:</w:t>
                </w:r>
              </w:p>
            </w:tc>
            <w:tc>
              <w:tcPr>
                <w:tcW w:w="4492" w:type="dxa"/>
              </w:tcPr>
              <w:p w14:paraId="6FCD51FB" w14:textId="77777777" w:rsidR="00AD43B8" w:rsidRPr="00AD43B8" w:rsidRDefault="00AD43B8" w:rsidP="00AD43B8">
                <w:pPr>
                  <w:tabs>
                    <w:tab w:val="left" w:pos="2834"/>
                    <w:tab w:val="right" w:pos="8838"/>
                  </w:tabs>
                  <w:ind w:left="-3" w:right="-105"/>
                  <w:rPr>
                    <w:rFonts w:ascii="Palatino Linotype" w:eastAsia="Palatino Linotype" w:hAnsi="Palatino Linotype" w:cs="Palatino Linotype"/>
                    <w:sz w:val="22"/>
                    <w:szCs w:val="22"/>
                  </w:rPr>
                </w:pPr>
                <w:r w:rsidRPr="00AD43B8">
                  <w:rPr>
                    <w:rFonts w:ascii="Palatino Linotype" w:eastAsia="Palatino Linotype" w:hAnsi="Palatino Linotype" w:cs="Palatino Linotype"/>
                    <w:sz w:val="22"/>
                    <w:szCs w:val="22"/>
                  </w:rPr>
                  <w:t xml:space="preserve">Secretaría de Educación  </w:t>
                </w:r>
              </w:p>
            </w:tc>
            <w:tc>
              <w:tcPr>
                <w:tcW w:w="3402" w:type="dxa"/>
              </w:tcPr>
              <w:p w14:paraId="6FCD51FC" w14:textId="77777777" w:rsidR="00AD43B8" w:rsidRPr="00AD43B8" w:rsidRDefault="00AD43B8">
                <w:pPr>
                  <w:tabs>
                    <w:tab w:val="left" w:pos="2834"/>
                    <w:tab w:val="right" w:pos="8838"/>
                  </w:tabs>
                  <w:ind w:left="-74" w:right="-105"/>
                  <w:jc w:val="both"/>
                  <w:rPr>
                    <w:rFonts w:ascii="Palatino Linotype" w:eastAsia="Palatino Linotype" w:hAnsi="Palatino Linotype" w:cs="Palatino Linotype"/>
                    <w:sz w:val="22"/>
                    <w:szCs w:val="22"/>
                  </w:rPr>
                </w:pPr>
              </w:p>
            </w:tc>
          </w:tr>
          <w:tr w:rsidR="00AD43B8" w:rsidRPr="00AD43B8" w14:paraId="6FCD5201" w14:textId="77777777" w:rsidTr="00AD43B8">
            <w:trPr>
              <w:trHeight w:val="283"/>
            </w:trPr>
            <w:tc>
              <w:tcPr>
                <w:tcW w:w="2444" w:type="dxa"/>
              </w:tcPr>
              <w:p w14:paraId="6FCD51FE" w14:textId="77777777" w:rsidR="00AD43B8" w:rsidRPr="00AD43B8" w:rsidRDefault="00AD43B8">
                <w:pPr>
                  <w:tabs>
                    <w:tab w:val="right" w:pos="8838"/>
                  </w:tabs>
                  <w:ind w:left="-74" w:right="-105"/>
                  <w:rPr>
                    <w:rFonts w:ascii="Palatino Linotype" w:eastAsia="Palatino Linotype" w:hAnsi="Palatino Linotype" w:cs="Palatino Linotype"/>
                    <w:b/>
                    <w:sz w:val="22"/>
                    <w:szCs w:val="22"/>
                  </w:rPr>
                </w:pPr>
                <w:r w:rsidRPr="00AD43B8">
                  <w:rPr>
                    <w:rFonts w:ascii="Palatino Linotype" w:eastAsia="Palatino Linotype" w:hAnsi="Palatino Linotype" w:cs="Palatino Linotype"/>
                    <w:b/>
                    <w:sz w:val="22"/>
                    <w:szCs w:val="22"/>
                  </w:rPr>
                  <w:t>Comisionada Ponente:</w:t>
                </w:r>
              </w:p>
            </w:tc>
            <w:tc>
              <w:tcPr>
                <w:tcW w:w="4492" w:type="dxa"/>
              </w:tcPr>
              <w:p w14:paraId="6FCD51FF" w14:textId="77777777" w:rsidR="00AD43B8" w:rsidRPr="00AD43B8" w:rsidRDefault="00AD43B8" w:rsidP="00AD43B8">
                <w:pPr>
                  <w:tabs>
                    <w:tab w:val="right" w:pos="8838"/>
                  </w:tabs>
                  <w:ind w:left="-3" w:right="-105"/>
                  <w:rPr>
                    <w:rFonts w:ascii="Palatino Linotype" w:eastAsia="Palatino Linotype" w:hAnsi="Palatino Linotype" w:cs="Palatino Linotype"/>
                    <w:sz w:val="22"/>
                    <w:szCs w:val="22"/>
                  </w:rPr>
                </w:pPr>
                <w:r w:rsidRPr="00AD43B8">
                  <w:rPr>
                    <w:rFonts w:ascii="Palatino Linotype" w:eastAsia="Palatino Linotype" w:hAnsi="Palatino Linotype" w:cs="Palatino Linotype"/>
                    <w:sz w:val="22"/>
                    <w:szCs w:val="22"/>
                  </w:rPr>
                  <w:t>María del Rosario Mejía Ayala</w:t>
                </w:r>
              </w:p>
            </w:tc>
            <w:tc>
              <w:tcPr>
                <w:tcW w:w="3402" w:type="dxa"/>
              </w:tcPr>
              <w:p w14:paraId="6FCD5200" w14:textId="77777777" w:rsidR="00AD43B8" w:rsidRPr="00AD43B8" w:rsidRDefault="00AD43B8">
                <w:pPr>
                  <w:tabs>
                    <w:tab w:val="right" w:pos="8838"/>
                  </w:tabs>
                  <w:ind w:left="-74" w:right="-105"/>
                  <w:jc w:val="both"/>
                  <w:rPr>
                    <w:rFonts w:ascii="Palatino Linotype" w:eastAsia="Palatino Linotype" w:hAnsi="Palatino Linotype" w:cs="Palatino Linotype"/>
                    <w:sz w:val="22"/>
                    <w:szCs w:val="22"/>
                  </w:rPr>
                </w:pPr>
              </w:p>
            </w:tc>
          </w:tr>
        </w:tbl>
        <w:p w14:paraId="6FCD5202" w14:textId="77777777" w:rsidR="00AD43B8" w:rsidRDefault="00AD43B8">
          <w:pPr>
            <w:tabs>
              <w:tab w:val="right" w:pos="8838"/>
            </w:tabs>
            <w:ind w:left="-28"/>
            <w:jc w:val="both"/>
            <w:rPr>
              <w:rFonts w:ascii="Arial" w:eastAsia="Arial" w:hAnsi="Arial" w:cs="Arial"/>
              <w:b/>
              <w:sz w:val="22"/>
              <w:szCs w:val="22"/>
            </w:rPr>
          </w:pPr>
        </w:p>
      </w:tc>
    </w:tr>
  </w:tbl>
  <w:p w14:paraId="6FCD5204" w14:textId="77777777" w:rsidR="00AD43B8" w:rsidRDefault="00AD43B8" w:rsidP="00AD43B8">
    <w:pPr>
      <w:tabs>
        <w:tab w:val="left" w:pos="40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209C"/>
    <w:multiLevelType w:val="multilevel"/>
    <w:tmpl w:val="5BAE8D7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15072"/>
    <w:multiLevelType w:val="multilevel"/>
    <w:tmpl w:val="B9D83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03345"/>
    <w:multiLevelType w:val="multilevel"/>
    <w:tmpl w:val="554CA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7977A8"/>
    <w:multiLevelType w:val="multilevel"/>
    <w:tmpl w:val="8ED27F86"/>
    <w:lvl w:ilvl="0">
      <w:start w:val="1"/>
      <w:numFmt w:val="bullet"/>
      <w:pStyle w:val="Listaconvietas2"/>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94324EA"/>
    <w:multiLevelType w:val="multilevel"/>
    <w:tmpl w:val="D0A006B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2D803568"/>
    <w:multiLevelType w:val="multilevel"/>
    <w:tmpl w:val="19B6A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416087"/>
    <w:multiLevelType w:val="multilevel"/>
    <w:tmpl w:val="CA16313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BF101D"/>
    <w:multiLevelType w:val="hybridMultilevel"/>
    <w:tmpl w:val="6F1AC4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0E54DD8"/>
    <w:multiLevelType w:val="multilevel"/>
    <w:tmpl w:val="60040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6D20C6"/>
    <w:multiLevelType w:val="multilevel"/>
    <w:tmpl w:val="029450BC"/>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591E95"/>
    <w:multiLevelType w:val="multilevel"/>
    <w:tmpl w:val="ED6875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B20D28"/>
    <w:multiLevelType w:val="multilevel"/>
    <w:tmpl w:val="EAD8061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C07162"/>
    <w:multiLevelType w:val="multilevel"/>
    <w:tmpl w:val="2FE61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1BE0D6E"/>
    <w:multiLevelType w:val="multilevel"/>
    <w:tmpl w:val="A93256D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16cid:durableId="168302651">
    <w:abstractNumId w:val="3"/>
  </w:num>
  <w:num w:numId="2" w16cid:durableId="412244972">
    <w:abstractNumId w:val="11"/>
  </w:num>
  <w:num w:numId="3" w16cid:durableId="1191920370">
    <w:abstractNumId w:val="2"/>
  </w:num>
  <w:num w:numId="4" w16cid:durableId="839855136">
    <w:abstractNumId w:val="5"/>
  </w:num>
  <w:num w:numId="5" w16cid:durableId="665978080">
    <w:abstractNumId w:val="0"/>
  </w:num>
  <w:num w:numId="6" w16cid:durableId="159126989">
    <w:abstractNumId w:val="10"/>
  </w:num>
  <w:num w:numId="7" w16cid:durableId="1564414342">
    <w:abstractNumId w:val="6"/>
  </w:num>
  <w:num w:numId="8" w16cid:durableId="308094763">
    <w:abstractNumId w:val="4"/>
  </w:num>
  <w:num w:numId="9" w16cid:durableId="1769348354">
    <w:abstractNumId w:val="1"/>
  </w:num>
  <w:num w:numId="10" w16cid:durableId="1729761621">
    <w:abstractNumId w:val="9"/>
  </w:num>
  <w:num w:numId="11" w16cid:durableId="2144689485">
    <w:abstractNumId w:val="12"/>
  </w:num>
  <w:num w:numId="12" w16cid:durableId="186260656">
    <w:abstractNumId w:val="13"/>
  </w:num>
  <w:num w:numId="13" w16cid:durableId="1612518429">
    <w:abstractNumId w:val="8"/>
  </w:num>
  <w:num w:numId="14" w16cid:durableId="465661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6A"/>
    <w:rsid w:val="0002038B"/>
    <w:rsid w:val="0032685F"/>
    <w:rsid w:val="00532A92"/>
    <w:rsid w:val="005D4F81"/>
    <w:rsid w:val="00694C6A"/>
    <w:rsid w:val="00901880"/>
    <w:rsid w:val="0097550A"/>
    <w:rsid w:val="009C2680"/>
    <w:rsid w:val="00AD43B8"/>
    <w:rsid w:val="00E4316B"/>
    <w:rsid w:val="00FE3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4FC5"/>
  <w15:docId w15:val="{BE5E3968-DC1A-40B7-A83B-E56787D7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character" w:styleId="Referenciasutil">
    <w:name w:val="Subtle Reference"/>
    <w:basedOn w:val="Fuentedeprrafopredeter"/>
    <w:uiPriority w:val="31"/>
    <w:qFormat/>
    <w:rsid w:val="00FE3DB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06gY5qORUsi5LRD03EkER21U+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xQmIzeWE3RjAwUXR4SkZDSU42UnpqZ3Z4WjJCZG1E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57</Pages>
  <Words>13327</Words>
  <Characters>73300</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inf03m612@outlook.com</cp:lastModifiedBy>
  <cp:revision>5</cp:revision>
  <cp:lastPrinted>2024-08-23T04:46:00Z</cp:lastPrinted>
  <dcterms:created xsi:type="dcterms:W3CDTF">2024-08-14T15:50:00Z</dcterms:created>
  <dcterms:modified xsi:type="dcterms:W3CDTF">2024-09-03T17:42:00Z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