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6AEE" w14:textId="77777777" w:rsidR="006E0202" w:rsidRPr="00EA52AE" w:rsidRDefault="00605A2F">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A52A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BD2CD8" w:rsidRPr="00EA52AE">
        <w:rPr>
          <w:rFonts w:ascii="Palatino Linotype" w:eastAsia="Palatino Linotype" w:hAnsi="Palatino Linotype" w:cs="Palatino Linotype"/>
          <w:b/>
          <w:sz w:val="22"/>
          <w:szCs w:val="22"/>
        </w:rPr>
        <w:t>veinticinco</w:t>
      </w:r>
      <w:r w:rsidR="0062381E" w:rsidRPr="00EA52AE">
        <w:rPr>
          <w:rFonts w:ascii="Palatino Linotype" w:eastAsia="Palatino Linotype" w:hAnsi="Palatino Linotype" w:cs="Palatino Linotype"/>
          <w:b/>
          <w:sz w:val="22"/>
          <w:szCs w:val="22"/>
        </w:rPr>
        <w:t xml:space="preserve"> de septiembre</w:t>
      </w:r>
      <w:r w:rsidRPr="00EA52AE">
        <w:rPr>
          <w:rFonts w:ascii="Palatino Linotype" w:eastAsia="Palatino Linotype" w:hAnsi="Palatino Linotype" w:cs="Palatino Linotype"/>
          <w:b/>
          <w:sz w:val="22"/>
          <w:szCs w:val="22"/>
        </w:rPr>
        <w:t xml:space="preserve"> de dos mil veinticuatro</w:t>
      </w:r>
      <w:r w:rsidRPr="00EA52AE">
        <w:rPr>
          <w:rFonts w:ascii="Palatino Linotype" w:eastAsia="Palatino Linotype" w:hAnsi="Palatino Linotype" w:cs="Palatino Linotype"/>
          <w:sz w:val="22"/>
          <w:szCs w:val="22"/>
        </w:rPr>
        <w:t xml:space="preserve">. </w:t>
      </w:r>
    </w:p>
    <w:p w14:paraId="2C002732" w14:textId="4ACF050B" w:rsidR="006E0202" w:rsidRPr="00EA52AE" w:rsidRDefault="00605A2F">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A52AE">
        <w:rPr>
          <w:rFonts w:ascii="Palatino Linotype" w:eastAsia="Palatino Linotype" w:hAnsi="Palatino Linotype" w:cs="Palatino Linotype"/>
          <w:b/>
          <w:sz w:val="22"/>
          <w:szCs w:val="22"/>
        </w:rPr>
        <w:t>Visto</w:t>
      </w:r>
      <w:r w:rsidRPr="00EA52AE">
        <w:rPr>
          <w:rFonts w:ascii="Palatino Linotype" w:eastAsia="Palatino Linotype" w:hAnsi="Palatino Linotype" w:cs="Palatino Linotype"/>
          <w:sz w:val="22"/>
          <w:szCs w:val="22"/>
        </w:rPr>
        <w:t xml:space="preserve"> el expediente formado con motivo del recurso de revisión </w:t>
      </w:r>
      <w:r w:rsidRPr="00EA52AE">
        <w:rPr>
          <w:rFonts w:ascii="Palatino Linotype" w:eastAsia="Palatino Linotype" w:hAnsi="Palatino Linotype" w:cs="Palatino Linotype"/>
          <w:b/>
          <w:sz w:val="22"/>
          <w:szCs w:val="22"/>
        </w:rPr>
        <w:t>0</w:t>
      </w:r>
      <w:r w:rsidR="0062381E" w:rsidRPr="00EA52AE">
        <w:rPr>
          <w:rFonts w:ascii="Palatino Linotype" w:eastAsia="Palatino Linotype" w:hAnsi="Palatino Linotype" w:cs="Palatino Linotype"/>
          <w:b/>
          <w:sz w:val="22"/>
          <w:szCs w:val="22"/>
        </w:rPr>
        <w:t>4599</w:t>
      </w:r>
      <w:r w:rsidRPr="00EA52AE">
        <w:rPr>
          <w:rFonts w:ascii="Palatino Linotype" w:eastAsia="Palatino Linotype" w:hAnsi="Palatino Linotype" w:cs="Palatino Linotype"/>
          <w:b/>
          <w:sz w:val="22"/>
          <w:szCs w:val="22"/>
        </w:rPr>
        <w:t>/INFOEM/IP/RR/2024</w:t>
      </w:r>
      <w:r w:rsidRPr="00EA52AE">
        <w:rPr>
          <w:rFonts w:ascii="Palatino Linotype" w:eastAsia="Palatino Linotype" w:hAnsi="Palatino Linotype" w:cs="Palatino Linotype"/>
          <w:sz w:val="22"/>
          <w:szCs w:val="22"/>
        </w:rPr>
        <w:t xml:space="preserve">, interpuesto por </w:t>
      </w:r>
      <w:r w:rsidR="00E23866">
        <w:rPr>
          <w:rFonts w:ascii="Palatino Linotype" w:eastAsia="Palatino Linotype" w:hAnsi="Palatino Linotype" w:cs="Palatino Linotype"/>
          <w:b/>
          <w:sz w:val="22"/>
          <w:szCs w:val="22"/>
        </w:rPr>
        <w:t>XXXXXX XXXXX</w:t>
      </w:r>
      <w:r w:rsidRPr="00EA52AE">
        <w:rPr>
          <w:rFonts w:ascii="Palatino Linotype" w:eastAsia="Palatino Linotype" w:hAnsi="Palatino Linotype" w:cs="Palatino Linotype"/>
          <w:b/>
          <w:sz w:val="22"/>
          <w:szCs w:val="22"/>
        </w:rPr>
        <w:t>,</w:t>
      </w:r>
      <w:r w:rsidRPr="00EA52AE">
        <w:rPr>
          <w:rFonts w:ascii="Palatino Linotype" w:eastAsia="Palatino Linotype" w:hAnsi="Palatino Linotype" w:cs="Palatino Linotype"/>
          <w:sz w:val="22"/>
          <w:szCs w:val="22"/>
        </w:rPr>
        <w:t xml:space="preserve"> en lo sucesivo</w:t>
      </w:r>
      <w:r w:rsidRPr="00EA52AE">
        <w:rPr>
          <w:rFonts w:ascii="Palatino Linotype" w:eastAsia="Palatino Linotype" w:hAnsi="Palatino Linotype" w:cs="Palatino Linotype"/>
          <w:b/>
          <w:sz w:val="22"/>
          <w:szCs w:val="22"/>
        </w:rPr>
        <w:t xml:space="preserve"> la parte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Recurrente,</w:t>
      </w:r>
      <w:r w:rsidRPr="00EA52AE">
        <w:rPr>
          <w:rFonts w:ascii="Palatino Linotype" w:eastAsia="Palatino Linotype" w:hAnsi="Palatino Linotype" w:cs="Palatino Linotype"/>
          <w:sz w:val="22"/>
          <w:szCs w:val="22"/>
        </w:rPr>
        <w:t xml:space="preserve"> en contra de la respuesta a su solicitud por parte de la</w:t>
      </w:r>
      <w:r w:rsidRPr="00EA52AE">
        <w:rPr>
          <w:rFonts w:ascii="Palatino Linotype" w:eastAsia="Palatino Linotype" w:hAnsi="Palatino Linotype" w:cs="Palatino Linotype"/>
          <w:b/>
          <w:sz w:val="14"/>
          <w:szCs w:val="14"/>
        </w:rPr>
        <w:t xml:space="preserve"> </w:t>
      </w:r>
      <w:r w:rsidRPr="00EA52AE">
        <w:rPr>
          <w:rFonts w:ascii="Palatino Linotype" w:eastAsia="Palatino Linotype" w:hAnsi="Palatino Linotype" w:cs="Palatino Linotype"/>
          <w:b/>
          <w:sz w:val="22"/>
          <w:szCs w:val="22"/>
        </w:rPr>
        <w:t xml:space="preserve">Ayuntamiento de </w:t>
      </w:r>
      <w:r w:rsidR="0062381E" w:rsidRPr="00EA52AE">
        <w:rPr>
          <w:rFonts w:ascii="Palatino Linotype" w:eastAsia="Palatino Linotype" w:hAnsi="Palatino Linotype" w:cs="Palatino Linotype"/>
          <w:b/>
          <w:sz w:val="22"/>
          <w:szCs w:val="22"/>
        </w:rPr>
        <w:t>Tlalmanalco</w:t>
      </w:r>
      <w:r w:rsidRPr="00EA52AE">
        <w:rPr>
          <w:rFonts w:ascii="Palatino Linotype" w:eastAsia="Palatino Linotype" w:hAnsi="Palatino Linotype" w:cs="Palatino Linotype"/>
          <w:sz w:val="22"/>
          <w:szCs w:val="22"/>
        </w:rPr>
        <w:t>,</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en lo sucesivo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 xml:space="preserve">se procede a dictar la presente resolución con base en los siguientes: </w:t>
      </w:r>
    </w:p>
    <w:p w14:paraId="1CEC70DF" w14:textId="77777777" w:rsidR="006E0202" w:rsidRPr="00EA52AE" w:rsidRDefault="00605A2F">
      <w:pPr>
        <w:spacing w:before="240" w:after="240"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I. A N T E C E D E N T E S</w:t>
      </w:r>
    </w:p>
    <w:p w14:paraId="35B2EE55" w14:textId="77777777" w:rsidR="006E0202" w:rsidRPr="00EA52AE" w:rsidRDefault="00605A2F">
      <w:pPr>
        <w:spacing w:before="240" w:after="240"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1. Solicitud de acceso a la información.</w:t>
      </w:r>
      <w:r w:rsidRPr="00EA52AE">
        <w:rPr>
          <w:rFonts w:ascii="Palatino Linotype" w:eastAsia="Palatino Linotype" w:hAnsi="Palatino Linotype" w:cs="Palatino Linotype"/>
          <w:sz w:val="22"/>
          <w:szCs w:val="22"/>
        </w:rPr>
        <w:t xml:space="preserve"> El </w:t>
      </w:r>
      <w:r w:rsidR="0062381E" w:rsidRPr="00EA52AE">
        <w:rPr>
          <w:rFonts w:ascii="Palatino Linotype" w:eastAsia="Palatino Linotype" w:hAnsi="Palatino Linotype" w:cs="Palatino Linotype"/>
          <w:b/>
          <w:sz w:val="22"/>
          <w:szCs w:val="22"/>
        </w:rPr>
        <w:t>nueve de julio</w:t>
      </w:r>
      <w:r w:rsidRPr="00EA52AE">
        <w:rPr>
          <w:rFonts w:ascii="Palatino Linotype" w:eastAsia="Palatino Linotype" w:hAnsi="Palatino Linotype" w:cs="Palatino Linotype"/>
          <w:b/>
          <w:sz w:val="22"/>
          <w:szCs w:val="22"/>
        </w:rPr>
        <w:t xml:space="preserve"> de dos mil veinticuatro,</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la parte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 xml:space="preserve">Recurrente </w:t>
      </w:r>
      <w:r w:rsidRPr="00EA52AE">
        <w:rPr>
          <w:rFonts w:ascii="Palatino Linotype" w:eastAsia="Palatino Linotype" w:hAnsi="Palatino Linotype" w:cs="Palatino Linotype"/>
          <w:sz w:val="22"/>
          <w:szCs w:val="22"/>
        </w:rPr>
        <w:t xml:space="preserve">presentó, a través del Sistema de Acceso a la Información Mexiquense, en lo subsecuente el </w:t>
      </w:r>
      <w:r w:rsidRPr="00EA52AE">
        <w:rPr>
          <w:rFonts w:ascii="Palatino Linotype" w:eastAsia="Palatino Linotype" w:hAnsi="Palatino Linotype" w:cs="Palatino Linotype"/>
          <w:b/>
          <w:sz w:val="22"/>
          <w:szCs w:val="22"/>
        </w:rPr>
        <w:t>SAIMEX,</w:t>
      </w:r>
      <w:r w:rsidRPr="00EA52AE">
        <w:rPr>
          <w:rFonts w:ascii="Palatino Linotype" w:eastAsia="Palatino Linotype" w:hAnsi="Palatino Linotype" w:cs="Palatino Linotype"/>
          <w:sz w:val="22"/>
          <w:szCs w:val="22"/>
        </w:rPr>
        <w:t xml:space="preserve"> ante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la solicitud de acceso a la información pública, a la que se le asignó el número</w:t>
      </w:r>
      <w:r w:rsidR="0062381E" w:rsidRPr="00EA52AE">
        <w:t xml:space="preserve"> </w:t>
      </w:r>
      <w:r w:rsidR="0062381E" w:rsidRPr="00EA52AE">
        <w:rPr>
          <w:rFonts w:ascii="Palatino Linotype" w:eastAsia="Palatino Linotype" w:hAnsi="Palatino Linotype" w:cs="Palatino Linotype"/>
          <w:b/>
          <w:sz w:val="22"/>
          <w:szCs w:val="22"/>
        </w:rPr>
        <w:t>00108/TLALMANA/IP/2024</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mediante la cual requirió la información siguiente: </w:t>
      </w:r>
    </w:p>
    <w:p w14:paraId="2C6E0C1F" w14:textId="77777777" w:rsidR="006E0202" w:rsidRPr="00EA52AE" w:rsidRDefault="00605A2F">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A52AE">
        <w:rPr>
          <w:rFonts w:ascii="Palatino Linotype" w:eastAsia="Palatino Linotype" w:hAnsi="Palatino Linotype" w:cs="Palatino Linotype"/>
          <w:i/>
          <w:sz w:val="22"/>
          <w:szCs w:val="22"/>
        </w:rPr>
        <w:t>“</w:t>
      </w:r>
      <w:r w:rsidR="0062381E" w:rsidRPr="00EA52AE">
        <w:rPr>
          <w:rFonts w:ascii="Palatino Linotype" w:eastAsia="Palatino Linotype" w:hAnsi="Palatino Linotype" w:cs="Palatino Linotype"/>
          <w:i/>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México y Municipios. Solicito los costos totales (IVA incluido) en moneda nacional, así como su entrega en versión pública de los Convenios celebrados, facturas, contratos celebrados, Pólizas </w:t>
      </w:r>
      <w:r w:rsidR="0062381E" w:rsidRPr="00EA52AE">
        <w:rPr>
          <w:rFonts w:ascii="Palatino Linotype" w:eastAsia="Palatino Linotype" w:hAnsi="Palatino Linotype" w:cs="Palatino Linotype"/>
          <w:i/>
          <w:sz w:val="22"/>
          <w:szCs w:val="22"/>
        </w:rPr>
        <w:lastRenderedPageBreak/>
        <w:t>de cheques, del gasto, efectuado, pago y/o realizo de las obras a continuación se mencionan, así como el padrón de beneficiarios y/o población beneficiada. 1.- Por la Construcción y/o inauguración del “Parque Recreativo, San Rafael” https://www.facebook.com/photo/?fbid=467402122505790&amp;set=a.139798981932774&amp;__cft__[0]=AZVyYLHg5LTfCjQmXGmIF1r_E_s1_kBRaQmw4t8G2herrnhKIETviMa3ihLkaZY7n7Gr6AkO78KGkuuefWMZgLvTYWillKBUeQpZgP3EDP9GJoBSs616_tATM4bPyx0RS7nFrPvqcySzePXboZFhjkP2WkVjeZTU1ek6dixd-1WO73WHO0nTWxDghIP4qkhGeJsed9fKbGdr-8heKNixcgAh&amp;__tn__=EH-R</w:t>
      </w:r>
      <w:r w:rsidRPr="00EA52AE">
        <w:rPr>
          <w:rFonts w:ascii="Palatino Linotype" w:eastAsia="Palatino Linotype" w:hAnsi="Palatino Linotype" w:cs="Palatino Linotype"/>
          <w:i/>
          <w:sz w:val="22"/>
          <w:szCs w:val="22"/>
        </w:rPr>
        <w:t xml:space="preserve">” (Sic) </w:t>
      </w:r>
    </w:p>
    <w:p w14:paraId="14D3C18E" w14:textId="77777777" w:rsidR="006E0202" w:rsidRPr="00EA52AE" w:rsidRDefault="00605A2F">
      <w:pPr>
        <w:spacing w:before="240" w:after="240" w:line="360" w:lineRule="auto"/>
        <w:ind w:right="902"/>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Modalidad de Entrega:</w:t>
      </w:r>
      <w:r w:rsidRPr="00EA52AE">
        <w:rPr>
          <w:rFonts w:ascii="Palatino Linotype" w:eastAsia="Palatino Linotype" w:hAnsi="Palatino Linotype" w:cs="Palatino Linotype"/>
          <w:sz w:val="22"/>
          <w:szCs w:val="22"/>
        </w:rPr>
        <w:t xml:space="preserve"> a través </w:t>
      </w:r>
      <w:r w:rsidRPr="00EA52AE">
        <w:rPr>
          <w:rFonts w:ascii="Palatino Linotype" w:eastAsia="Palatino Linotype" w:hAnsi="Palatino Linotype" w:cs="Palatino Linotype"/>
          <w:b/>
          <w:sz w:val="22"/>
          <w:szCs w:val="22"/>
        </w:rPr>
        <w:t>de SAIMEX.</w:t>
      </w:r>
    </w:p>
    <w:p w14:paraId="1AB51238" w14:textId="77777777" w:rsidR="006E0202" w:rsidRPr="00EA52AE" w:rsidRDefault="00605A2F">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A52AE">
        <w:rPr>
          <w:rFonts w:ascii="Palatino Linotype" w:eastAsia="Palatino Linotype" w:hAnsi="Palatino Linotype" w:cs="Palatino Linotype"/>
          <w:b/>
          <w:sz w:val="22"/>
          <w:szCs w:val="22"/>
        </w:rPr>
        <w:t xml:space="preserve">2. Respuesta. </w:t>
      </w:r>
      <w:r w:rsidRPr="00EA52AE">
        <w:rPr>
          <w:rFonts w:ascii="Palatino Linotype" w:eastAsia="Palatino Linotype" w:hAnsi="Palatino Linotype" w:cs="Palatino Linotype"/>
          <w:sz w:val="22"/>
          <w:szCs w:val="22"/>
        </w:rPr>
        <w:t xml:space="preserve">El </w:t>
      </w:r>
      <w:r w:rsidR="003C7CE4" w:rsidRPr="00EA52AE">
        <w:rPr>
          <w:rFonts w:ascii="Palatino Linotype" w:eastAsia="Palatino Linotype" w:hAnsi="Palatino Linotype" w:cs="Palatino Linotype"/>
          <w:b/>
          <w:sz w:val="22"/>
          <w:szCs w:val="22"/>
        </w:rPr>
        <w:t>diecisiete de julio</w:t>
      </w:r>
      <w:r w:rsidRPr="00EA52AE">
        <w:rPr>
          <w:rFonts w:ascii="Palatino Linotype" w:eastAsia="Palatino Linotype" w:hAnsi="Palatino Linotype" w:cs="Palatino Linotype"/>
          <w:b/>
          <w:sz w:val="22"/>
          <w:szCs w:val="22"/>
        </w:rPr>
        <w:t xml:space="preserve"> de dos mil veinticuatro</w:t>
      </w:r>
      <w:r w:rsidRPr="00EA52AE">
        <w:rPr>
          <w:rFonts w:ascii="Palatino Linotype" w:eastAsia="Palatino Linotype" w:hAnsi="Palatino Linotype" w:cs="Palatino Linotype"/>
          <w:sz w:val="22"/>
          <w:szCs w:val="22"/>
        </w:rPr>
        <w:t xml:space="preserve">,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F88B993" w14:textId="77777777" w:rsidR="006E0202" w:rsidRPr="00EA52AE" w:rsidRDefault="00605A2F">
      <w:pPr>
        <w:spacing w:before="240" w:after="24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003C7CE4" w:rsidRPr="00EA52AE">
        <w:rPr>
          <w:rFonts w:ascii="Palatino Linotype" w:eastAsia="Palatino Linotype" w:hAnsi="Palatino Linotype" w:cs="Palatino Linotype"/>
          <w:i/>
          <w:sz w:val="22"/>
          <w:szCs w:val="22"/>
        </w:rPr>
        <w:t>Con fundamento en lo dispuesto en el artículo 12 segundo párrafo de la Ley de Transparencia y Acceso a la Información Pública del Estado de México y Municipios, en seguimiento y respuesta a la solicitud de información pública con número de Folio 00108/TLALMANA/IP/2024, que derivado de una búsqueda exhaustiva y minuciosa de la información solicitada, en los archivos físicos y digitales de esta Dependencia administrativa, se da respuesta conforme a lo siguiente: Con fundamento en lo dispuesto en el artículo 12 segundo párrafo de la Ley de Transparencia y Acceso a la Información Pública del Estado de México y Municipios, en seguimiento y respuesta a la solicitud de información pública con número de Folio 00108/TLALMANA/IP/2024, que derivado de una búsqueda exhaustiva y minuciosa de la información solicitada, en los archivos físicos y digitales de esta Dependencia administrativa, se da respuesta conforme a lo siguiente:</w:t>
      </w:r>
      <w:r w:rsidRPr="00EA52AE">
        <w:rPr>
          <w:rFonts w:ascii="Palatino Linotype" w:eastAsia="Palatino Linotype" w:hAnsi="Palatino Linotype" w:cs="Palatino Linotype"/>
          <w:i/>
          <w:sz w:val="22"/>
          <w:szCs w:val="22"/>
        </w:rPr>
        <w:t>” (Sic)</w:t>
      </w:r>
    </w:p>
    <w:p w14:paraId="2B43FDF7" w14:textId="77777777" w:rsidR="006E0202" w:rsidRPr="00EA52AE" w:rsidRDefault="00605A2F">
      <w:pPr>
        <w:spacing w:before="240" w:after="240"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Adjunto a la respuesta el </w:t>
      </w:r>
      <w:r w:rsidRPr="00EA52AE">
        <w:rPr>
          <w:rFonts w:ascii="Palatino Linotype" w:eastAsia="Palatino Linotype" w:hAnsi="Palatino Linotype" w:cs="Palatino Linotype"/>
          <w:b/>
          <w:sz w:val="22"/>
          <w:szCs w:val="22"/>
        </w:rPr>
        <w:t xml:space="preserve">Sujeto Obligado </w:t>
      </w:r>
      <w:r w:rsidR="003C7CE4" w:rsidRPr="00EA52AE">
        <w:rPr>
          <w:rFonts w:ascii="Palatino Linotype" w:eastAsia="Palatino Linotype" w:hAnsi="Palatino Linotype" w:cs="Palatino Linotype"/>
          <w:sz w:val="22"/>
          <w:szCs w:val="22"/>
        </w:rPr>
        <w:t>aportó los</w:t>
      </w:r>
      <w:r w:rsidRPr="00EA52AE">
        <w:rPr>
          <w:rFonts w:ascii="Palatino Linotype" w:eastAsia="Palatino Linotype" w:hAnsi="Palatino Linotype" w:cs="Palatino Linotype"/>
          <w:sz w:val="22"/>
          <w:szCs w:val="22"/>
        </w:rPr>
        <w:t xml:space="preserve"> archivo</w:t>
      </w:r>
      <w:r w:rsidR="003C7CE4" w:rsidRPr="00EA52AE">
        <w:rPr>
          <w:rFonts w:ascii="Palatino Linotype" w:eastAsia="Palatino Linotype" w:hAnsi="Palatino Linotype" w:cs="Palatino Linotype"/>
          <w:sz w:val="22"/>
          <w:szCs w:val="22"/>
        </w:rPr>
        <w:t>s</w:t>
      </w:r>
      <w:r w:rsidRPr="00EA52AE">
        <w:rPr>
          <w:rFonts w:ascii="Palatino Linotype" w:eastAsia="Palatino Linotype" w:hAnsi="Palatino Linotype" w:cs="Palatino Linotype"/>
          <w:sz w:val="22"/>
          <w:szCs w:val="22"/>
        </w:rPr>
        <w:t xml:space="preserve"> electrónico</w:t>
      </w:r>
      <w:r w:rsidR="003C7CE4" w:rsidRPr="00EA52AE">
        <w:rPr>
          <w:rFonts w:ascii="Palatino Linotype" w:eastAsia="Palatino Linotype" w:hAnsi="Palatino Linotype" w:cs="Palatino Linotype"/>
          <w:sz w:val="22"/>
          <w:szCs w:val="22"/>
        </w:rPr>
        <w:t>s</w:t>
      </w:r>
      <w:r w:rsidRPr="00EA52AE">
        <w:rPr>
          <w:rFonts w:ascii="Palatino Linotype" w:eastAsia="Palatino Linotype" w:hAnsi="Palatino Linotype" w:cs="Palatino Linotype"/>
          <w:sz w:val="22"/>
          <w:szCs w:val="22"/>
        </w:rPr>
        <w:t xml:space="preserve"> que contiene</w:t>
      </w:r>
      <w:r w:rsidR="003C7CE4" w:rsidRPr="00EA52AE">
        <w:rPr>
          <w:rFonts w:ascii="Palatino Linotype" w:eastAsia="Palatino Linotype" w:hAnsi="Palatino Linotype" w:cs="Palatino Linotype"/>
          <w:sz w:val="22"/>
          <w:szCs w:val="22"/>
        </w:rPr>
        <w:t>n</w:t>
      </w:r>
      <w:r w:rsidRPr="00EA52AE">
        <w:rPr>
          <w:rFonts w:ascii="Palatino Linotype" w:eastAsia="Palatino Linotype" w:hAnsi="Palatino Linotype" w:cs="Palatino Linotype"/>
          <w:sz w:val="22"/>
          <w:szCs w:val="22"/>
        </w:rPr>
        <w:t xml:space="preserve"> la información siguiente:</w:t>
      </w:r>
    </w:p>
    <w:p w14:paraId="6A72C418" w14:textId="77777777" w:rsidR="003C7CE4" w:rsidRPr="00EA52AE" w:rsidRDefault="003C7CE4" w:rsidP="001505CE">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108 obras .pdf: </w:t>
      </w:r>
      <w:r w:rsidR="005016EF" w:rsidRPr="00EA52AE">
        <w:rPr>
          <w:rFonts w:ascii="Palatino Linotype" w:eastAsia="Palatino Linotype" w:hAnsi="Palatino Linotype" w:cs="Palatino Linotype"/>
          <w:sz w:val="22"/>
          <w:szCs w:val="22"/>
        </w:rPr>
        <w:t xml:space="preserve">Oficio del once de julio de dos mil veinticuatro, a través del cual el Director de Desarrollo Urbano y de Obras Públicas hace del conocimiento que, con relación a la solicitud de información: sobre los contratos celebrados para la construcción del Parque recreativo, San Rafael, el mismo se podía consultar en la página </w:t>
      </w:r>
      <w:r w:rsidR="005016EF" w:rsidRPr="00EA52AE">
        <w:rPr>
          <w:rFonts w:ascii="Palatino Linotype" w:eastAsia="Palatino Linotype" w:hAnsi="Palatino Linotype" w:cs="Palatino Linotype"/>
          <w:sz w:val="22"/>
          <w:szCs w:val="22"/>
        </w:rPr>
        <w:lastRenderedPageBreak/>
        <w:t xml:space="preserve">oficial del municipio, ingresando en Tlalmanalco Gob, apartado AYUNTAMIENTO/OBRAS PÚBLICAS/FAISMUN/FAISMUN02/CONTRATO.; anexando el siguiente enlace: </w:t>
      </w:r>
    </w:p>
    <w:p w14:paraId="4FD9C4FA" w14:textId="77777777" w:rsidR="005016EF" w:rsidRPr="00EA52AE" w:rsidRDefault="005016EF" w:rsidP="005016EF">
      <w:pPr>
        <w:pBdr>
          <w:top w:val="nil"/>
          <w:left w:val="nil"/>
          <w:bottom w:val="nil"/>
          <w:right w:val="nil"/>
          <w:between w:val="nil"/>
        </w:pBdr>
        <w:spacing w:line="360" w:lineRule="auto"/>
        <w:ind w:left="360"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noProof/>
          <w:sz w:val="22"/>
          <w:szCs w:val="22"/>
        </w:rPr>
        <w:drawing>
          <wp:inline distT="0" distB="0" distL="0" distR="0" wp14:anchorId="5CA46C1B" wp14:editId="2AD437C1">
            <wp:extent cx="4991797" cy="2667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797" cy="266737"/>
                    </a:xfrm>
                    <a:prstGeom prst="rect">
                      <a:avLst/>
                    </a:prstGeom>
                  </pic:spPr>
                </pic:pic>
              </a:graphicData>
            </a:graphic>
          </wp:inline>
        </w:drawing>
      </w:r>
    </w:p>
    <w:p w14:paraId="7066991D" w14:textId="77777777" w:rsidR="005016EF" w:rsidRPr="00EA52AE" w:rsidRDefault="005016EF" w:rsidP="005016EF">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Con relación a los demás puntos, se indicó lo siguiente:</w:t>
      </w:r>
    </w:p>
    <w:p w14:paraId="2B0CD5C3" w14:textId="77777777" w:rsidR="005016EF" w:rsidRPr="00EA52AE" w:rsidRDefault="005016EF" w:rsidP="005016EF">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drawing>
          <wp:inline distT="0" distB="0" distL="0" distR="0" wp14:anchorId="2A6BA8D4" wp14:editId="7F388BF4">
            <wp:extent cx="4515480" cy="6858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5480" cy="685896"/>
                    </a:xfrm>
                    <a:prstGeom prst="rect">
                      <a:avLst/>
                    </a:prstGeom>
                  </pic:spPr>
                </pic:pic>
              </a:graphicData>
            </a:graphic>
          </wp:inline>
        </w:drawing>
      </w:r>
    </w:p>
    <w:p w14:paraId="267166CB" w14:textId="77777777" w:rsidR="005016EF" w:rsidRPr="00EA52AE" w:rsidRDefault="005016EF" w:rsidP="005016EF">
      <w:pPr>
        <w:pBdr>
          <w:top w:val="nil"/>
          <w:left w:val="nil"/>
          <w:bottom w:val="nil"/>
          <w:right w:val="nil"/>
          <w:between w:val="nil"/>
        </w:pBdr>
        <w:spacing w:line="360" w:lineRule="auto"/>
        <w:ind w:left="360" w:right="49"/>
        <w:jc w:val="both"/>
        <w:rPr>
          <w:rFonts w:ascii="Palatino Linotype" w:eastAsia="Palatino Linotype" w:hAnsi="Palatino Linotype" w:cs="Palatino Linotype"/>
          <w:b/>
          <w:sz w:val="22"/>
          <w:szCs w:val="22"/>
        </w:rPr>
      </w:pPr>
    </w:p>
    <w:p w14:paraId="67814220" w14:textId="77777777" w:rsidR="003C7CE4" w:rsidRPr="00EA52AE" w:rsidRDefault="003C7CE4" w:rsidP="001505CE">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108 tesoreria.pdf</w:t>
      </w:r>
      <w:r w:rsidR="005016EF" w:rsidRPr="00EA52AE">
        <w:rPr>
          <w:rFonts w:ascii="Palatino Linotype" w:eastAsia="Palatino Linotype" w:hAnsi="Palatino Linotype" w:cs="Palatino Linotype"/>
          <w:b/>
          <w:i/>
          <w:sz w:val="22"/>
          <w:szCs w:val="22"/>
        </w:rPr>
        <w:t xml:space="preserve">: </w:t>
      </w:r>
      <w:r w:rsidR="005016EF" w:rsidRPr="00EA52AE">
        <w:rPr>
          <w:rFonts w:ascii="Palatino Linotype" w:eastAsia="Palatino Linotype" w:hAnsi="Palatino Linotype" w:cs="Palatino Linotype"/>
          <w:sz w:val="22"/>
          <w:szCs w:val="22"/>
        </w:rPr>
        <w:t xml:space="preserve">Oficio del quince de julio de dos mil veinticuatro, a través del cual el Tesorero Municipal </w:t>
      </w:r>
      <w:r w:rsidR="00605A2F" w:rsidRPr="00EA52AE">
        <w:rPr>
          <w:rFonts w:ascii="Palatino Linotype" w:eastAsia="Palatino Linotype" w:hAnsi="Palatino Linotype" w:cs="Palatino Linotype"/>
          <w:sz w:val="22"/>
          <w:szCs w:val="22"/>
        </w:rPr>
        <w:t xml:space="preserve">hizo del conocimiento que con relación a la información requerida sobre los costos y demás gastos por la construcción y/o inauguración del parque recreativo, San Rafael, </w:t>
      </w:r>
      <w:r w:rsidR="005F1BE5" w:rsidRPr="00EA52AE">
        <w:rPr>
          <w:rFonts w:ascii="Palatino Linotype" w:eastAsia="Palatino Linotype" w:hAnsi="Palatino Linotype" w:cs="Palatino Linotype"/>
          <w:sz w:val="22"/>
          <w:szCs w:val="22"/>
        </w:rPr>
        <w:t>que la misma se encontraba en dominio de la Dirección de Desarrollo Urbano y Obras Públicas, ya que al momento no le ha sido remitido al área para el proceso de cierre trimestral; asimismo, informó que para ese tipo de egresos no se generan pólizas de cheques como son solicitadas.</w:t>
      </w:r>
    </w:p>
    <w:p w14:paraId="64D2B14C" w14:textId="77777777" w:rsidR="006E0202" w:rsidRPr="00EA52AE" w:rsidRDefault="00605A2F" w:rsidP="003C7CE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 xml:space="preserve">3. Interposición del recurso de revisión. </w:t>
      </w:r>
      <w:r w:rsidRPr="00EA52AE">
        <w:rPr>
          <w:rFonts w:ascii="Palatino Linotype" w:eastAsia="Palatino Linotype" w:hAnsi="Palatino Linotype" w:cs="Palatino Linotype"/>
          <w:sz w:val="22"/>
          <w:szCs w:val="22"/>
        </w:rPr>
        <w:t xml:space="preserve">Inconforme con los términos de la respuesta emitida por parte del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el</w:t>
      </w:r>
      <w:r w:rsidRPr="00EA52AE">
        <w:rPr>
          <w:rFonts w:ascii="Palatino Linotype" w:eastAsia="Palatino Linotype" w:hAnsi="Palatino Linotype" w:cs="Palatino Linotype"/>
          <w:b/>
          <w:sz w:val="22"/>
          <w:szCs w:val="22"/>
        </w:rPr>
        <w:t xml:space="preserve"> </w:t>
      </w:r>
      <w:r w:rsidR="001505CE" w:rsidRPr="00EA52AE">
        <w:rPr>
          <w:rFonts w:ascii="Palatino Linotype" w:eastAsia="Palatino Linotype" w:hAnsi="Palatino Linotype" w:cs="Palatino Linotype"/>
          <w:b/>
          <w:sz w:val="22"/>
          <w:szCs w:val="22"/>
        </w:rPr>
        <w:t>diecinueve</w:t>
      </w:r>
      <w:r w:rsidRPr="00EA52AE">
        <w:rPr>
          <w:rFonts w:ascii="Palatino Linotype" w:eastAsia="Palatino Linotype" w:hAnsi="Palatino Linotype" w:cs="Palatino Linotype"/>
          <w:b/>
          <w:sz w:val="22"/>
          <w:szCs w:val="22"/>
        </w:rPr>
        <w:t xml:space="preserve"> de julio de dos mil veinticuatro,</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la parte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Recurrente</w:t>
      </w:r>
      <w:r w:rsidRPr="00EA52AE">
        <w:rPr>
          <w:rFonts w:ascii="Palatino Linotype" w:eastAsia="Palatino Linotype" w:hAnsi="Palatino Linotype" w:cs="Palatino Linotype"/>
          <w:sz w:val="22"/>
          <w:szCs w:val="22"/>
        </w:rPr>
        <w:t xml:space="preserve"> interpuso el recurso de revisión a través de </w:t>
      </w:r>
      <w:r w:rsidRPr="00EA52AE">
        <w:rPr>
          <w:rFonts w:ascii="Palatino Linotype" w:eastAsia="Palatino Linotype" w:hAnsi="Palatino Linotype" w:cs="Palatino Linotype"/>
          <w:b/>
          <w:sz w:val="22"/>
          <w:szCs w:val="22"/>
        </w:rPr>
        <w:t xml:space="preserve">SAIMEX, </w:t>
      </w:r>
      <w:r w:rsidRPr="00EA52AE">
        <w:rPr>
          <w:rFonts w:ascii="Palatino Linotype" w:eastAsia="Palatino Linotype" w:hAnsi="Palatino Linotype" w:cs="Palatino Linotype"/>
          <w:sz w:val="22"/>
          <w:szCs w:val="22"/>
        </w:rPr>
        <w:t>en donde se manifestó de la siguiente manera:</w:t>
      </w:r>
    </w:p>
    <w:p w14:paraId="01E88B20" w14:textId="77777777" w:rsidR="006E0202" w:rsidRPr="00EA52AE" w:rsidRDefault="00605A2F">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 xml:space="preserve">a) Acto impugnado: </w:t>
      </w:r>
      <w:r w:rsidRPr="00EA52AE">
        <w:rPr>
          <w:rFonts w:ascii="Palatino Linotype" w:eastAsia="Palatino Linotype" w:hAnsi="Palatino Linotype" w:cs="Palatino Linotype"/>
          <w:i/>
          <w:sz w:val="22"/>
          <w:szCs w:val="22"/>
        </w:rPr>
        <w:t>“</w:t>
      </w:r>
      <w:r w:rsidR="001505CE" w:rsidRPr="00EA52AE">
        <w:rPr>
          <w:rFonts w:ascii="Palatino Linotype" w:eastAsia="Palatino Linotype" w:hAnsi="Palatino Linotype" w:cs="Palatino Linotype"/>
          <w:i/>
          <w:sz w:val="22"/>
          <w:szCs w:val="22"/>
        </w:rPr>
        <w:t xml:space="preserve">Con fundamento en el artículos 176, 178 y 179 Fracciones VII de la Ley de Transparencia y Acceso a la Información Pública del Estado de México y Municipios, </w:t>
      </w:r>
      <w:r w:rsidR="001505CE" w:rsidRPr="00EA52AE">
        <w:rPr>
          <w:rFonts w:ascii="Palatino Linotype" w:eastAsia="Palatino Linotype" w:hAnsi="Palatino Linotype" w:cs="Palatino Linotype"/>
          <w:b/>
          <w:i/>
          <w:sz w:val="22"/>
          <w:szCs w:val="22"/>
          <w:u w:val="single"/>
        </w:rPr>
        <w:t>la negativa por parte del Sujeto Obligado para la entrega de la información la falta de respuesta a mi solicitud e información</w:t>
      </w:r>
      <w:r w:rsidR="001505CE" w:rsidRPr="00EA52AE">
        <w:rPr>
          <w:rFonts w:ascii="Palatino Linotype" w:eastAsia="Palatino Linotype" w:hAnsi="Palatino Linotype" w:cs="Palatino Linotype"/>
          <w:i/>
          <w:sz w:val="22"/>
          <w:szCs w:val="22"/>
        </w:rPr>
        <w:t xml:space="preserve">. </w:t>
      </w:r>
      <w:r w:rsidR="001505CE" w:rsidRPr="00EA52AE">
        <w:rPr>
          <w:rFonts w:ascii="Palatino Linotype" w:eastAsia="Palatino Linotype" w:hAnsi="Palatino Linotype" w:cs="Palatino Linotype"/>
          <w:b/>
          <w:i/>
          <w:sz w:val="22"/>
          <w:szCs w:val="22"/>
          <w:u w:val="single"/>
        </w:rPr>
        <w:t>Además el Sujeto Obligado Anexo un link el cual no me permite el acceso a su página oficial para visualizar el contrato del cual hace mención</w:t>
      </w:r>
      <w:r w:rsidR="001505CE"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i/>
          <w:sz w:val="22"/>
          <w:szCs w:val="22"/>
        </w:rPr>
        <w:t>” (Sic)</w:t>
      </w:r>
    </w:p>
    <w:p w14:paraId="512E0E49" w14:textId="77777777" w:rsidR="006E0202" w:rsidRPr="00EA52AE" w:rsidRDefault="00605A2F">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A52AE">
        <w:rPr>
          <w:rFonts w:ascii="Palatino Linotype" w:eastAsia="Palatino Linotype" w:hAnsi="Palatino Linotype" w:cs="Palatino Linotype"/>
          <w:b/>
          <w:sz w:val="22"/>
          <w:szCs w:val="22"/>
        </w:rPr>
        <w:t>b) Razones o motivos de inconformidad</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i/>
          <w:sz w:val="22"/>
          <w:szCs w:val="22"/>
        </w:rPr>
        <w:t>“</w:t>
      </w:r>
      <w:r w:rsidR="001505CE" w:rsidRPr="00EA52AE">
        <w:rPr>
          <w:rFonts w:ascii="Palatino Linotype" w:eastAsia="Palatino Linotype" w:hAnsi="Palatino Linotype" w:cs="Palatino Linotype"/>
          <w:i/>
          <w:sz w:val="22"/>
          <w:szCs w:val="22"/>
        </w:rPr>
        <w:t xml:space="preserve">Con fundamento en el artículos 176, 178 y 179 Fracciones VII de la Ley de Transparencia y Acceso a la Información Pública del Estado de México y Municipios, </w:t>
      </w:r>
      <w:r w:rsidR="001505CE" w:rsidRPr="00EA52AE">
        <w:rPr>
          <w:rFonts w:ascii="Palatino Linotype" w:eastAsia="Palatino Linotype" w:hAnsi="Palatino Linotype" w:cs="Palatino Linotype"/>
          <w:b/>
          <w:i/>
          <w:sz w:val="22"/>
          <w:szCs w:val="22"/>
          <w:u w:val="single"/>
        </w:rPr>
        <w:t xml:space="preserve">la negativa por parte del Sujeto </w:t>
      </w:r>
      <w:r w:rsidR="001505CE" w:rsidRPr="00EA52AE">
        <w:rPr>
          <w:rFonts w:ascii="Palatino Linotype" w:eastAsia="Palatino Linotype" w:hAnsi="Palatino Linotype" w:cs="Palatino Linotype"/>
          <w:b/>
          <w:i/>
          <w:sz w:val="22"/>
          <w:szCs w:val="22"/>
          <w:u w:val="single"/>
        </w:rPr>
        <w:lastRenderedPageBreak/>
        <w:t>Obligado para la entrega de la información la falta de respuesta a mi solicitud e información. Además el Sujeto Obligado Anexo un link el cual no me permite el acceso a su página oficial para visualizar el contrato del cual hace mención</w:t>
      </w:r>
      <w:r w:rsidR="001505CE"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i/>
          <w:sz w:val="22"/>
          <w:szCs w:val="22"/>
        </w:rPr>
        <w:t>” (Sic)</w:t>
      </w:r>
    </w:p>
    <w:p w14:paraId="6EE6E12F" w14:textId="77777777" w:rsidR="006E0202" w:rsidRPr="00EA52AE" w:rsidRDefault="006E0202">
      <w:pPr>
        <w:spacing w:line="276" w:lineRule="auto"/>
        <w:ind w:left="567" w:right="900"/>
        <w:jc w:val="both"/>
        <w:rPr>
          <w:rFonts w:ascii="Palatino Linotype" w:eastAsia="Palatino Linotype" w:hAnsi="Palatino Linotype" w:cs="Palatino Linotype"/>
          <w:i/>
          <w:sz w:val="22"/>
          <w:szCs w:val="22"/>
        </w:rPr>
      </w:pPr>
    </w:p>
    <w:p w14:paraId="2A59B0AD" w14:textId="77777777" w:rsidR="006E0202" w:rsidRPr="00EA52AE" w:rsidRDefault="00605A2F">
      <w:pPr>
        <w:spacing w:line="360" w:lineRule="auto"/>
        <w:ind w:right="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4. Turno. </w:t>
      </w:r>
      <w:r w:rsidRPr="00EA52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A52AE">
        <w:rPr>
          <w:rFonts w:ascii="Palatino Linotype" w:eastAsia="Palatino Linotype" w:hAnsi="Palatino Linotype" w:cs="Palatino Linotype"/>
          <w:b/>
          <w:sz w:val="22"/>
          <w:szCs w:val="22"/>
        </w:rPr>
        <w:t xml:space="preserve">Guadalupe Ramírez Peña, </w:t>
      </w:r>
      <w:r w:rsidRPr="00EA52AE">
        <w:rPr>
          <w:rFonts w:ascii="Palatino Linotype" w:eastAsia="Palatino Linotype" w:hAnsi="Palatino Linotype" w:cs="Palatino Linotype"/>
          <w:sz w:val="22"/>
          <w:szCs w:val="22"/>
        </w:rPr>
        <w:t>a efecto de que analizara sobre su admisión o su desechamiento.</w:t>
      </w:r>
    </w:p>
    <w:p w14:paraId="4DDBA634" w14:textId="77777777" w:rsidR="006E0202" w:rsidRPr="00EA52AE" w:rsidRDefault="006E0202">
      <w:pPr>
        <w:spacing w:line="360" w:lineRule="auto"/>
        <w:ind w:right="51"/>
        <w:jc w:val="both"/>
        <w:rPr>
          <w:rFonts w:ascii="Palatino Linotype" w:eastAsia="Palatino Linotype" w:hAnsi="Palatino Linotype" w:cs="Palatino Linotype"/>
          <w:sz w:val="22"/>
          <w:szCs w:val="22"/>
        </w:rPr>
      </w:pPr>
    </w:p>
    <w:p w14:paraId="7E83EC0F"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5. Admisión del Recurso de revisión.</w:t>
      </w:r>
      <w:r w:rsidRPr="00EA52AE">
        <w:rPr>
          <w:rFonts w:ascii="Palatino Linotype" w:eastAsia="Palatino Linotype" w:hAnsi="Palatino Linotype" w:cs="Palatino Linotype"/>
          <w:sz w:val="22"/>
          <w:szCs w:val="22"/>
        </w:rPr>
        <w:t xml:space="preserve"> El </w:t>
      </w:r>
      <w:r w:rsidR="001505CE" w:rsidRPr="00EA52AE">
        <w:rPr>
          <w:rFonts w:ascii="Palatino Linotype" w:eastAsia="Palatino Linotype" w:hAnsi="Palatino Linotype" w:cs="Palatino Linotype"/>
          <w:b/>
          <w:sz w:val="22"/>
          <w:szCs w:val="22"/>
        </w:rPr>
        <w:t>siete</w:t>
      </w:r>
      <w:r w:rsidRPr="00EA52AE">
        <w:rPr>
          <w:rFonts w:ascii="Palatino Linotype" w:eastAsia="Palatino Linotype" w:hAnsi="Palatino Linotype" w:cs="Palatino Linotype"/>
          <w:b/>
          <w:sz w:val="22"/>
          <w:szCs w:val="22"/>
        </w:rPr>
        <w:t xml:space="preserve"> de </w:t>
      </w:r>
      <w:r w:rsidR="005D206B" w:rsidRPr="00EA52AE">
        <w:rPr>
          <w:rFonts w:ascii="Palatino Linotype" w:eastAsia="Palatino Linotype" w:hAnsi="Palatino Linotype" w:cs="Palatino Linotype"/>
          <w:b/>
          <w:sz w:val="22"/>
          <w:szCs w:val="22"/>
        </w:rPr>
        <w:t>agosto</w:t>
      </w:r>
      <w:r w:rsidRPr="00EA52AE">
        <w:rPr>
          <w:rFonts w:ascii="Palatino Linotype" w:eastAsia="Palatino Linotype" w:hAnsi="Palatino Linotype" w:cs="Palatino Linotype"/>
          <w:b/>
          <w:sz w:val="22"/>
          <w:szCs w:val="22"/>
        </w:rPr>
        <w:t xml:space="preserve"> de dos mil veinticuatro, </w:t>
      </w:r>
      <w:r w:rsidRPr="00EA52A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presentara su informe justificado.</w:t>
      </w:r>
    </w:p>
    <w:p w14:paraId="2603ED1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FAC6080" w14:textId="77777777" w:rsidR="001505CE" w:rsidRPr="00EA52AE"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A52AE">
        <w:rPr>
          <w:rFonts w:ascii="Palatino Linotype" w:eastAsia="Palatino Linotype" w:hAnsi="Palatino Linotype" w:cs="Palatino Linotype"/>
          <w:b/>
          <w:sz w:val="22"/>
          <w:szCs w:val="22"/>
        </w:rPr>
        <w:t>6. Manifestaciones</w:t>
      </w:r>
      <w:r w:rsidRPr="00EA52A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 xml:space="preserve">el </w:t>
      </w:r>
      <w:r w:rsidR="001505CE" w:rsidRPr="00EA52AE">
        <w:rPr>
          <w:rFonts w:ascii="Palatino Linotype" w:eastAsia="Palatino Linotype" w:hAnsi="Palatino Linotype" w:cs="Palatino Linotype"/>
          <w:b/>
          <w:sz w:val="22"/>
          <w:szCs w:val="22"/>
        </w:rPr>
        <w:t xml:space="preserve">nueve de agosto </w:t>
      </w:r>
      <w:r w:rsidRPr="00EA52AE">
        <w:rPr>
          <w:rFonts w:ascii="Palatino Linotype" w:eastAsia="Palatino Linotype" w:hAnsi="Palatino Linotype" w:cs="Palatino Linotype"/>
          <w:b/>
          <w:sz w:val="22"/>
          <w:szCs w:val="22"/>
        </w:rPr>
        <w:t>de dos mil veinticuatro</w:t>
      </w:r>
      <w:r w:rsidRPr="00EA52AE">
        <w:rPr>
          <w:rFonts w:ascii="Palatino Linotype" w:eastAsia="Palatino Linotype" w:hAnsi="Palatino Linotype" w:cs="Palatino Linotype"/>
          <w:sz w:val="22"/>
          <w:szCs w:val="22"/>
        </w:rPr>
        <w:t xml:space="preserve"> rindió su informe justificado a través </w:t>
      </w:r>
      <w:r w:rsidR="001505CE" w:rsidRPr="00EA52AE">
        <w:rPr>
          <w:rFonts w:ascii="Palatino Linotype" w:eastAsia="Palatino Linotype" w:hAnsi="Palatino Linotype" w:cs="Palatino Linotype"/>
          <w:sz w:val="22"/>
          <w:szCs w:val="22"/>
        </w:rPr>
        <w:t>de los archivos electrónicos que contienen la información siguiente:</w:t>
      </w:r>
    </w:p>
    <w:p w14:paraId="12FF0F14" w14:textId="77777777" w:rsidR="001505CE" w:rsidRPr="00EA52AE" w:rsidRDefault="001505C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14"/>
          <w:szCs w:val="22"/>
        </w:rPr>
      </w:pPr>
    </w:p>
    <w:p w14:paraId="5DF2406A" w14:textId="77777777" w:rsidR="001505CE" w:rsidRPr="00EA52AE" w:rsidRDefault="001505CE" w:rsidP="001505CE">
      <w:pPr>
        <w:pStyle w:val="Prrafodelista"/>
        <w:numPr>
          <w:ilvl w:val="0"/>
          <w:numId w:val="7"/>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00108 TLALMANA IP 2024.pdf: </w:t>
      </w:r>
      <w:r w:rsidRPr="00EA52AE">
        <w:rPr>
          <w:rFonts w:ascii="Palatino Linotype" w:eastAsia="Palatino Linotype" w:hAnsi="Palatino Linotype" w:cs="Palatino Linotype"/>
          <w:sz w:val="22"/>
          <w:szCs w:val="22"/>
        </w:rPr>
        <w:t>Contiene los siguientes documentos:</w:t>
      </w:r>
    </w:p>
    <w:p w14:paraId="319E0DA8" w14:textId="77777777" w:rsidR="001505CE" w:rsidRPr="00EA52AE" w:rsidRDefault="001505CE" w:rsidP="00C40FA8">
      <w:pPr>
        <w:pStyle w:val="Prrafodelista"/>
        <w:numPr>
          <w:ilvl w:val="0"/>
          <w:numId w:val="8"/>
        </w:numPr>
        <w:pBdr>
          <w:top w:val="nil"/>
          <w:left w:val="nil"/>
          <w:bottom w:val="nil"/>
          <w:right w:val="nil"/>
          <w:between w:val="nil"/>
        </w:pBdr>
        <w:tabs>
          <w:tab w:val="left" w:pos="284"/>
        </w:tabs>
        <w:spacing w:line="276" w:lineRule="auto"/>
        <w:ind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Oficio del ocho de agosto de dos mil veinticuatro</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a través del cual el Titular de la Unidad de Transparencia requirió al </w:t>
      </w:r>
      <w:proofErr w:type="gramStart"/>
      <w:r w:rsidRPr="00EA52AE">
        <w:rPr>
          <w:rFonts w:ascii="Palatino Linotype" w:eastAsia="Palatino Linotype" w:hAnsi="Palatino Linotype" w:cs="Palatino Linotype"/>
          <w:sz w:val="22"/>
          <w:szCs w:val="22"/>
        </w:rPr>
        <w:t>Director</w:t>
      </w:r>
      <w:proofErr w:type="gramEnd"/>
      <w:r w:rsidRPr="00EA52AE">
        <w:rPr>
          <w:rFonts w:ascii="Palatino Linotype" w:eastAsia="Palatino Linotype" w:hAnsi="Palatino Linotype" w:cs="Palatino Linotype"/>
          <w:sz w:val="22"/>
          <w:szCs w:val="22"/>
        </w:rPr>
        <w:t xml:space="preserve"> de Desarrollo Urbano y Obras </w:t>
      </w:r>
      <w:r w:rsidRPr="00EA52AE">
        <w:rPr>
          <w:rFonts w:ascii="Palatino Linotype" w:eastAsia="Palatino Linotype" w:hAnsi="Palatino Linotype" w:cs="Palatino Linotype"/>
          <w:sz w:val="22"/>
          <w:szCs w:val="22"/>
        </w:rPr>
        <w:lastRenderedPageBreak/>
        <w:t xml:space="preserve">Públicas </w:t>
      </w:r>
      <w:r w:rsidR="00C40FA8" w:rsidRPr="00EA52AE">
        <w:rPr>
          <w:rFonts w:ascii="Palatino Linotype" w:eastAsia="Palatino Linotype" w:hAnsi="Palatino Linotype" w:cs="Palatino Linotype"/>
          <w:sz w:val="22"/>
          <w:szCs w:val="22"/>
        </w:rPr>
        <w:t>que en atención al medio de impugnación que nos ocupa remitiera su respuesta e información complementaria correspondiente.</w:t>
      </w:r>
    </w:p>
    <w:p w14:paraId="177EB622" w14:textId="77777777" w:rsidR="00482D31" w:rsidRPr="00EA52AE" w:rsidRDefault="00482D31" w:rsidP="00482D31">
      <w:pPr>
        <w:pStyle w:val="Prrafodelista"/>
        <w:pBdr>
          <w:top w:val="nil"/>
          <w:left w:val="nil"/>
          <w:bottom w:val="nil"/>
          <w:right w:val="nil"/>
          <w:between w:val="nil"/>
        </w:pBdr>
        <w:tabs>
          <w:tab w:val="left" w:pos="284"/>
        </w:tabs>
        <w:spacing w:line="276" w:lineRule="auto"/>
        <w:ind w:right="49"/>
        <w:jc w:val="both"/>
        <w:rPr>
          <w:rFonts w:ascii="Palatino Linotype" w:eastAsia="Palatino Linotype" w:hAnsi="Palatino Linotype" w:cs="Palatino Linotype"/>
          <w:b/>
          <w:sz w:val="22"/>
          <w:szCs w:val="22"/>
        </w:rPr>
      </w:pPr>
    </w:p>
    <w:p w14:paraId="731DF07E" w14:textId="77777777" w:rsidR="00482D31" w:rsidRPr="00EA52AE" w:rsidRDefault="00482D31" w:rsidP="00C40FA8">
      <w:pPr>
        <w:pStyle w:val="Prrafodelista"/>
        <w:numPr>
          <w:ilvl w:val="0"/>
          <w:numId w:val="8"/>
        </w:numPr>
        <w:pBdr>
          <w:top w:val="nil"/>
          <w:left w:val="nil"/>
          <w:bottom w:val="nil"/>
          <w:right w:val="nil"/>
          <w:between w:val="nil"/>
        </w:pBdr>
        <w:tabs>
          <w:tab w:val="left" w:pos="284"/>
        </w:tabs>
        <w:spacing w:line="276" w:lineRule="auto"/>
        <w:ind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 xml:space="preserve">Oficio del ocho de agosto de dos mil veinticuatro, a través del cual el </w:t>
      </w:r>
      <w:proofErr w:type="gramStart"/>
      <w:r w:rsidRPr="00EA52AE">
        <w:rPr>
          <w:rFonts w:ascii="Palatino Linotype" w:eastAsia="Palatino Linotype" w:hAnsi="Palatino Linotype" w:cs="Palatino Linotype"/>
          <w:sz w:val="22"/>
          <w:szCs w:val="22"/>
        </w:rPr>
        <w:t>Director</w:t>
      </w:r>
      <w:proofErr w:type="gramEnd"/>
      <w:r w:rsidRPr="00EA52AE">
        <w:rPr>
          <w:rFonts w:ascii="Palatino Linotype" w:eastAsia="Palatino Linotype" w:hAnsi="Palatino Linotype" w:cs="Palatino Linotype"/>
          <w:sz w:val="22"/>
          <w:szCs w:val="22"/>
        </w:rPr>
        <w:t xml:space="preserve"> de Desarrollo Urbano y de Obras Públicas informó que con relación al link entregado para consultar el contrato si esta direccionado al mismo, y en tal virtud remite de nueva cuenta el enlace, así como refiere que hace entrega del contrato celebrado por la construcción del Parque recreativo, San Rafael en formato </w:t>
      </w:r>
      <w:proofErr w:type="spellStart"/>
      <w:r w:rsidRPr="00EA52AE">
        <w:rPr>
          <w:rFonts w:ascii="Palatino Linotype" w:eastAsia="Palatino Linotype" w:hAnsi="Palatino Linotype" w:cs="Palatino Linotype"/>
          <w:sz w:val="22"/>
          <w:szCs w:val="22"/>
        </w:rPr>
        <w:t>pdf</w:t>
      </w:r>
      <w:proofErr w:type="spellEnd"/>
      <w:r w:rsidRPr="00EA52AE">
        <w:rPr>
          <w:rFonts w:ascii="Palatino Linotype" w:eastAsia="Palatino Linotype" w:hAnsi="Palatino Linotype" w:cs="Palatino Linotype"/>
          <w:sz w:val="22"/>
          <w:szCs w:val="22"/>
        </w:rPr>
        <w:t>; y, por cuanto hace a los demás puntos requeridos se advierte que ratifica la respuesta inicial.</w:t>
      </w:r>
    </w:p>
    <w:p w14:paraId="5EA0102D" w14:textId="77777777" w:rsidR="001505CE" w:rsidRPr="00EA52AE" w:rsidRDefault="001505C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D9978AC" w14:textId="77777777" w:rsidR="00482D31" w:rsidRPr="00EA52AE" w:rsidRDefault="00482D31" w:rsidP="00482D31">
      <w:pPr>
        <w:pStyle w:val="Prrafodelista"/>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00108 TLALMANA </w:t>
      </w:r>
      <w:proofErr w:type="spellStart"/>
      <w:r w:rsidRPr="00EA52AE">
        <w:rPr>
          <w:rFonts w:ascii="Palatino Linotype" w:eastAsia="Palatino Linotype" w:hAnsi="Palatino Linotype" w:cs="Palatino Linotype"/>
          <w:b/>
          <w:i/>
          <w:sz w:val="22"/>
          <w:szCs w:val="22"/>
        </w:rPr>
        <w:t>rr</w:t>
      </w:r>
      <w:proofErr w:type="spellEnd"/>
      <w:r w:rsidRPr="00EA52AE">
        <w:rPr>
          <w:rFonts w:ascii="Palatino Linotype" w:eastAsia="Palatino Linotype" w:hAnsi="Palatino Linotype" w:cs="Palatino Linotype"/>
          <w:b/>
          <w:i/>
          <w:sz w:val="22"/>
          <w:szCs w:val="22"/>
        </w:rPr>
        <w:t xml:space="preserve"> IP 2024.pdf: </w:t>
      </w:r>
      <w:r w:rsidRPr="00EA52AE">
        <w:rPr>
          <w:rFonts w:ascii="Palatino Linotype" w:eastAsia="Palatino Linotype" w:hAnsi="Palatino Linotype" w:cs="Palatino Linotype"/>
          <w:sz w:val="22"/>
          <w:szCs w:val="22"/>
        </w:rPr>
        <w:t xml:space="preserve">Contrato No. PM/TLAL/DOP/LP/FAISMUN/002/2023 </w:t>
      </w:r>
      <w:r w:rsidR="002E1551" w:rsidRPr="00EA52AE">
        <w:rPr>
          <w:rFonts w:ascii="Palatino Linotype" w:eastAsia="Palatino Linotype" w:hAnsi="Palatino Linotype" w:cs="Palatino Linotype"/>
          <w:sz w:val="22"/>
          <w:szCs w:val="22"/>
        </w:rPr>
        <w:t>d</w:t>
      </w:r>
      <w:r w:rsidRPr="00EA52AE">
        <w:rPr>
          <w:rFonts w:ascii="Palatino Linotype" w:eastAsia="Palatino Linotype" w:hAnsi="Palatino Linotype" w:cs="Palatino Linotype"/>
          <w:sz w:val="22"/>
          <w:szCs w:val="22"/>
        </w:rPr>
        <w:t xml:space="preserve">el veintisiete de septiembre de dos mil veintitrés, </w:t>
      </w:r>
      <w:r w:rsidR="002E1551" w:rsidRPr="00EA52AE">
        <w:rPr>
          <w:rFonts w:ascii="Palatino Linotype" w:eastAsia="Palatino Linotype" w:hAnsi="Palatino Linotype" w:cs="Palatino Linotype"/>
          <w:sz w:val="22"/>
          <w:szCs w:val="22"/>
        </w:rPr>
        <w:t>celebrado entre el Ayuntamiento de Tlalmanalco representado por el Presidente Municipal, Tesorero Municipal, Secretario del Ayuntamiento y el Director de Obras Públicas y una empresa contratista</w:t>
      </w:r>
      <w:r w:rsidR="006B1B91" w:rsidRPr="00EA52AE">
        <w:rPr>
          <w:rFonts w:ascii="Palatino Linotype" w:eastAsia="Palatino Linotype" w:hAnsi="Palatino Linotype" w:cs="Palatino Linotype"/>
          <w:sz w:val="22"/>
          <w:szCs w:val="22"/>
        </w:rPr>
        <w:t xml:space="preserve"> por conducto de su Administrador Único</w:t>
      </w:r>
      <w:r w:rsidR="002E1551" w:rsidRPr="00EA52AE">
        <w:rPr>
          <w:rFonts w:ascii="Palatino Linotype" w:eastAsia="Palatino Linotype" w:hAnsi="Palatino Linotype" w:cs="Palatino Linotype"/>
          <w:sz w:val="22"/>
          <w:szCs w:val="22"/>
        </w:rPr>
        <w:t>, para llevar a cabo la obra “Rehabilitación del Parque Público en la Localidad de San Rafael, Municipio de Tlalmanalco, Estado de México” por el monto con IVA en cantidad de $4,465,950.91.</w:t>
      </w:r>
    </w:p>
    <w:p w14:paraId="43B72EA8" w14:textId="77777777" w:rsidR="00482D31" w:rsidRPr="00EA52AE" w:rsidRDefault="00482D3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585CA81" w14:textId="77777777" w:rsidR="006E0202" w:rsidRPr="00EA52AE" w:rsidRDefault="00083BB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Documentos los anteriores, que fueron puestos a la vista de la parte </w:t>
      </w:r>
      <w:r w:rsidRPr="00EA52AE">
        <w:rPr>
          <w:rFonts w:ascii="Palatino Linotype" w:eastAsia="Palatino Linotype" w:hAnsi="Palatino Linotype" w:cs="Palatino Linotype"/>
          <w:b/>
          <w:sz w:val="22"/>
          <w:szCs w:val="22"/>
        </w:rPr>
        <w:t xml:space="preserve">Recurrente </w:t>
      </w:r>
      <w:r w:rsidRPr="00EA52AE">
        <w:rPr>
          <w:rFonts w:ascii="Palatino Linotype" w:eastAsia="Palatino Linotype" w:hAnsi="Palatino Linotype" w:cs="Palatino Linotype"/>
          <w:sz w:val="22"/>
          <w:szCs w:val="22"/>
        </w:rPr>
        <w:t>a fin de que hiciera valer sus manifestaciones o rindiera alegatos que conforme a derecho resultaran procedentes</w:t>
      </w:r>
      <w:r w:rsidR="00AC0A4A" w:rsidRPr="00EA52AE">
        <w:rPr>
          <w:rFonts w:ascii="Palatino Linotype" w:eastAsia="Palatino Linotype" w:hAnsi="Palatino Linotype" w:cs="Palatino Linotype"/>
          <w:sz w:val="22"/>
          <w:szCs w:val="22"/>
        </w:rPr>
        <w:t>; no obstante, fue omisa en ejercer dicha prerrogativa.</w:t>
      </w:r>
    </w:p>
    <w:p w14:paraId="58B6B125" w14:textId="77777777" w:rsidR="006E0202" w:rsidRPr="00EA52AE"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3B6C310" w14:textId="77777777" w:rsidR="007F0229" w:rsidRPr="00EA52AE" w:rsidRDefault="00605A2F" w:rsidP="007F022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7. </w:t>
      </w:r>
      <w:r w:rsidR="007F0229" w:rsidRPr="00EA52AE">
        <w:rPr>
          <w:rFonts w:ascii="Palatino Linotype" w:eastAsia="Palatino Linotype" w:hAnsi="Palatino Linotype" w:cs="Palatino Linotype"/>
          <w:b/>
          <w:sz w:val="22"/>
          <w:szCs w:val="22"/>
        </w:rPr>
        <w:t xml:space="preserve">Ampliación del plazo. </w:t>
      </w:r>
      <w:r w:rsidR="007F0229" w:rsidRPr="00EA52AE">
        <w:rPr>
          <w:rFonts w:ascii="Palatino Linotype" w:eastAsia="Palatino Linotype" w:hAnsi="Palatino Linotype" w:cs="Palatino Linotype"/>
          <w:sz w:val="22"/>
          <w:szCs w:val="22"/>
        </w:rPr>
        <w:t>El</w:t>
      </w:r>
      <w:r w:rsidR="007F0229" w:rsidRPr="00EA52AE">
        <w:rPr>
          <w:rFonts w:ascii="Palatino Linotype" w:eastAsia="Palatino Linotype" w:hAnsi="Palatino Linotype" w:cs="Palatino Linotype"/>
          <w:b/>
          <w:sz w:val="22"/>
          <w:szCs w:val="22"/>
        </w:rPr>
        <w:t xml:space="preserve"> </w:t>
      </w:r>
      <w:r w:rsidR="00C05223" w:rsidRPr="00EA52AE">
        <w:rPr>
          <w:rFonts w:ascii="Palatino Linotype" w:eastAsia="Palatino Linotype" w:hAnsi="Palatino Linotype" w:cs="Palatino Linotype"/>
          <w:b/>
          <w:sz w:val="22"/>
          <w:szCs w:val="22"/>
        </w:rPr>
        <w:t>veinticuatro de septiembre de dos mil veinticuatro</w:t>
      </w:r>
      <w:r w:rsidR="007F0229" w:rsidRPr="00EA52A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56628DC" w14:textId="77777777" w:rsidR="007F0229" w:rsidRPr="00EA52AE" w:rsidRDefault="007F022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sz w:val="22"/>
          <w:szCs w:val="22"/>
        </w:rPr>
      </w:pPr>
    </w:p>
    <w:p w14:paraId="7B3A56E9" w14:textId="77777777" w:rsidR="007F0229" w:rsidRPr="00EA52AE" w:rsidRDefault="007F022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sz w:val="22"/>
          <w:szCs w:val="22"/>
        </w:rPr>
      </w:pPr>
    </w:p>
    <w:p w14:paraId="0825246E" w14:textId="77777777" w:rsidR="006E0202" w:rsidRPr="00EA52AE" w:rsidRDefault="007F022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lastRenderedPageBreak/>
        <w:t xml:space="preserve">8. </w:t>
      </w:r>
      <w:r w:rsidR="00605A2F" w:rsidRPr="00EA52AE">
        <w:rPr>
          <w:rFonts w:ascii="Palatino Linotype" w:eastAsia="Palatino Linotype" w:hAnsi="Palatino Linotype" w:cs="Palatino Linotype"/>
          <w:b/>
          <w:sz w:val="22"/>
          <w:szCs w:val="22"/>
        </w:rPr>
        <w:t xml:space="preserve">Cierre de instrucción. </w:t>
      </w:r>
      <w:r w:rsidR="00605A2F" w:rsidRPr="00EA52A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AC0A4A" w:rsidRPr="00EA52AE">
        <w:rPr>
          <w:rFonts w:ascii="Palatino Linotype" w:eastAsia="Palatino Linotype" w:hAnsi="Palatino Linotype" w:cs="Palatino Linotype"/>
          <w:b/>
          <w:sz w:val="22"/>
          <w:szCs w:val="22"/>
        </w:rPr>
        <w:t>veinticuatro de septiembre</w:t>
      </w:r>
      <w:r w:rsidR="00605A2F" w:rsidRPr="00EA52AE">
        <w:rPr>
          <w:rFonts w:ascii="Palatino Linotype" w:eastAsia="Palatino Linotype" w:hAnsi="Palatino Linotype" w:cs="Palatino Linotype"/>
          <w:b/>
          <w:sz w:val="22"/>
          <w:szCs w:val="22"/>
        </w:rPr>
        <w:t xml:space="preserve"> de dos mil veinticuatro,</w:t>
      </w:r>
      <w:r w:rsidR="00605A2F" w:rsidRPr="00EA52A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3F34623" w14:textId="77777777" w:rsidR="006E0202" w:rsidRPr="00EA52AE" w:rsidRDefault="006E02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6D66CB3" w14:textId="77777777" w:rsidR="006E0202" w:rsidRPr="00EA52AE" w:rsidRDefault="00605A2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B1513E1" w14:textId="77777777" w:rsidR="006E0202" w:rsidRPr="00EA52AE" w:rsidRDefault="00605A2F">
      <w:pPr>
        <w:widowControl w:val="0"/>
        <w:spacing w:before="240" w:after="240"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II. C O N S I D E R A N D O S</w:t>
      </w:r>
    </w:p>
    <w:p w14:paraId="12A8542A"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Primero. Competencia.</w:t>
      </w:r>
      <w:r w:rsidRPr="00EA52A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B1964A"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5DDF7637" w14:textId="77777777" w:rsidR="006E0202" w:rsidRPr="00EA52AE" w:rsidRDefault="00605A2F">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A52AE">
        <w:rPr>
          <w:rFonts w:ascii="Palatino Linotype" w:eastAsia="Palatino Linotype" w:hAnsi="Palatino Linotype" w:cs="Palatino Linotype"/>
          <w:b/>
          <w:sz w:val="22"/>
          <w:szCs w:val="22"/>
        </w:rPr>
        <w:t>Segundo. Oportunidad y Procedibilidad del Recurso de Revisión</w:t>
      </w:r>
      <w:r w:rsidRPr="00EA52A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0C6F3F2"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4B896E32"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 xml:space="preserve">remitió la respuesta a la solicitud de información el </w:t>
      </w:r>
      <w:r w:rsidR="009B1525" w:rsidRPr="00EA52AE">
        <w:rPr>
          <w:rFonts w:ascii="Palatino Linotype" w:eastAsia="Palatino Linotype" w:hAnsi="Palatino Linotype" w:cs="Palatino Linotype"/>
          <w:b/>
          <w:sz w:val="22"/>
          <w:szCs w:val="22"/>
        </w:rPr>
        <w:t>diecisiete de julio de dos mil veinticuatro</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mientras que el recurso de revisión interpuesto por </w:t>
      </w:r>
      <w:r w:rsidRPr="00EA52AE">
        <w:rPr>
          <w:rFonts w:ascii="Palatino Linotype" w:eastAsia="Palatino Linotype" w:hAnsi="Palatino Linotype" w:cs="Palatino Linotype"/>
          <w:b/>
          <w:sz w:val="22"/>
          <w:szCs w:val="22"/>
        </w:rPr>
        <w:t>la parte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Recurrente</w:t>
      </w:r>
      <w:r w:rsidRPr="00EA52AE">
        <w:rPr>
          <w:rFonts w:ascii="Palatino Linotype" w:eastAsia="Palatino Linotype" w:hAnsi="Palatino Linotype" w:cs="Palatino Linotype"/>
          <w:sz w:val="22"/>
          <w:szCs w:val="22"/>
        </w:rPr>
        <w:t xml:space="preserve">, se tuvo por presentado el </w:t>
      </w:r>
      <w:r w:rsidR="009B1525" w:rsidRPr="00EA52AE">
        <w:rPr>
          <w:rFonts w:ascii="Palatino Linotype" w:eastAsia="Palatino Linotype" w:hAnsi="Palatino Linotype" w:cs="Palatino Linotype"/>
          <w:b/>
          <w:sz w:val="22"/>
          <w:szCs w:val="22"/>
        </w:rPr>
        <w:t>diecinueve de julio de dos mil veinticuatro</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esto es, al </w:t>
      </w:r>
      <w:r w:rsidR="009B1525" w:rsidRPr="00EA52AE">
        <w:rPr>
          <w:rFonts w:ascii="Palatino Linotype" w:eastAsia="Palatino Linotype" w:hAnsi="Palatino Linotype" w:cs="Palatino Linotype"/>
          <w:sz w:val="22"/>
          <w:szCs w:val="22"/>
        </w:rPr>
        <w:t>segundo</w:t>
      </w:r>
      <w:r w:rsidRPr="00EA52AE">
        <w:rPr>
          <w:rFonts w:ascii="Palatino Linotype" w:eastAsia="Palatino Linotype" w:hAnsi="Palatino Linotype" w:cs="Palatino Linotype"/>
          <w:sz w:val="22"/>
          <w:szCs w:val="22"/>
        </w:rPr>
        <w:t xml:space="preserve"> día hábil siguiente a aquel</w:t>
      </w:r>
      <w:r w:rsidRPr="00EA52AE">
        <w:rPr>
          <w:rFonts w:ascii="Palatino Linotype" w:eastAsia="Palatino Linotype" w:hAnsi="Palatino Linotype" w:cs="Palatino Linotype"/>
          <w:b/>
          <w:sz w:val="22"/>
          <w:szCs w:val="22"/>
        </w:rPr>
        <w:t xml:space="preserve"> en que se tuvo conocimiento de la respuesta impugnada</w:t>
      </w:r>
      <w:r w:rsidRPr="00EA52AE">
        <w:rPr>
          <w:rFonts w:ascii="Palatino Linotype" w:eastAsia="Palatino Linotype" w:hAnsi="Palatino Linotype" w:cs="Palatino Linotype"/>
          <w:sz w:val="22"/>
          <w:szCs w:val="22"/>
        </w:rPr>
        <w:t xml:space="preserve">. </w:t>
      </w:r>
    </w:p>
    <w:p w14:paraId="7255417D"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4BBE43A2"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D3574F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6D617A0" w14:textId="77777777" w:rsidR="006E0202" w:rsidRPr="00EA52AE" w:rsidRDefault="00605A2F">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A52A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E554FC8" w14:textId="77777777" w:rsidR="006E0202" w:rsidRPr="00EA52AE" w:rsidRDefault="006E0202">
      <w:pPr>
        <w:tabs>
          <w:tab w:val="left" w:pos="7938"/>
        </w:tabs>
        <w:spacing w:line="360" w:lineRule="auto"/>
        <w:jc w:val="both"/>
        <w:rPr>
          <w:rFonts w:ascii="Palatino Linotype" w:eastAsia="Palatino Linotype" w:hAnsi="Palatino Linotype" w:cs="Palatino Linotype"/>
          <w:sz w:val="22"/>
          <w:szCs w:val="22"/>
        </w:rPr>
      </w:pPr>
    </w:p>
    <w:p w14:paraId="69E292C1"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Por otro lado, es de suma importancia mencionar que, si bien la parte</w:t>
      </w:r>
      <w:r w:rsidRPr="00EA52AE">
        <w:rPr>
          <w:rFonts w:ascii="Palatino Linotype" w:eastAsia="Palatino Linotype" w:hAnsi="Palatino Linotype" w:cs="Palatino Linotype"/>
          <w:b/>
          <w:sz w:val="22"/>
          <w:szCs w:val="22"/>
        </w:rPr>
        <w:t xml:space="preserve"> Recurrente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no proporcionó nombre</w:t>
      </w:r>
      <w:r w:rsidR="009B1525" w:rsidRPr="00EA52AE">
        <w:rPr>
          <w:rFonts w:ascii="Palatino Linotype" w:eastAsia="Palatino Linotype" w:hAnsi="Palatino Linotype" w:cs="Palatino Linotype"/>
          <w:b/>
          <w:sz w:val="22"/>
          <w:szCs w:val="22"/>
        </w:rPr>
        <w:t xml:space="preserve"> completo</w:t>
      </w:r>
      <w:r w:rsidRPr="00EA52AE">
        <w:rPr>
          <w:rFonts w:ascii="Palatino Linotype" w:eastAsia="Palatino Linotype" w:hAnsi="Palatino Linotype" w:cs="Palatino Linotype"/>
          <w:sz w:val="22"/>
          <w:szCs w:val="22"/>
        </w:rPr>
        <w:t xml:space="preserve"> como se advierte en el detalle de seguimiento del SAIMEX; sin embargo, el no proporcionar un nombre </w:t>
      </w:r>
      <w:r w:rsidR="002B5092" w:rsidRPr="00EA52AE">
        <w:rPr>
          <w:rFonts w:ascii="Palatino Linotype" w:eastAsia="Palatino Linotype" w:hAnsi="Palatino Linotype" w:cs="Palatino Linotype"/>
          <w:sz w:val="22"/>
          <w:szCs w:val="22"/>
        </w:rPr>
        <w:t xml:space="preserve">completo </w:t>
      </w:r>
      <w:r w:rsidRPr="00EA52AE">
        <w:rPr>
          <w:rFonts w:ascii="Palatino Linotype" w:eastAsia="Palatino Linotype" w:hAnsi="Palatino Linotype" w:cs="Palatino Linotype"/>
          <w:sz w:val="22"/>
          <w:szCs w:val="22"/>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24F3EB"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08AE573D" w14:textId="77777777" w:rsidR="006E0202" w:rsidRPr="00EA52AE" w:rsidRDefault="00605A2F">
      <w:pPr>
        <w:spacing w:line="276" w:lineRule="auto"/>
        <w:ind w:left="851" w:right="902"/>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lastRenderedPageBreak/>
        <w:t>"</w:t>
      </w:r>
      <w:r w:rsidRPr="00EA52AE">
        <w:rPr>
          <w:rFonts w:ascii="Palatino Linotype" w:eastAsia="Palatino Linotype" w:hAnsi="Palatino Linotype" w:cs="Palatino Linotype"/>
          <w:b/>
          <w:i/>
          <w:sz w:val="22"/>
          <w:szCs w:val="22"/>
        </w:rPr>
        <w:t xml:space="preserve">Las solicitudes </w:t>
      </w:r>
      <w:r w:rsidRPr="00EA52AE">
        <w:rPr>
          <w:rFonts w:ascii="Palatino Linotype" w:eastAsia="Palatino Linotype" w:hAnsi="Palatino Linotype" w:cs="Palatino Linotype"/>
          <w:i/>
          <w:sz w:val="22"/>
          <w:szCs w:val="22"/>
        </w:rPr>
        <w:t xml:space="preserve">anónimas, con </w:t>
      </w:r>
      <w:r w:rsidRPr="00EA52AE">
        <w:rPr>
          <w:rFonts w:ascii="Palatino Linotype" w:eastAsia="Palatino Linotype" w:hAnsi="Palatino Linotype" w:cs="Palatino Linotype"/>
          <w:b/>
          <w:i/>
          <w:sz w:val="22"/>
          <w:szCs w:val="22"/>
        </w:rPr>
        <w:t>nombre incompleto</w:t>
      </w:r>
      <w:r w:rsidRPr="00EA52AE">
        <w:rPr>
          <w:rFonts w:ascii="Palatino Linotype" w:eastAsia="Palatino Linotype" w:hAnsi="Palatino Linotype" w:cs="Palatino Linotype"/>
          <w:i/>
          <w:sz w:val="22"/>
          <w:szCs w:val="22"/>
        </w:rPr>
        <w:t xml:space="preserve"> o seudónimo </w:t>
      </w:r>
      <w:r w:rsidRPr="00EA52AE">
        <w:rPr>
          <w:rFonts w:ascii="Palatino Linotype" w:eastAsia="Palatino Linotype" w:hAnsi="Palatino Linotype" w:cs="Palatino Linotype"/>
          <w:b/>
          <w:i/>
          <w:sz w:val="22"/>
          <w:szCs w:val="22"/>
        </w:rPr>
        <w:t>serán procedentes para su trámite por parte del sujeto obligado ante quien se presente</w:t>
      </w:r>
      <w:r w:rsidRPr="00EA52AE">
        <w:rPr>
          <w:rFonts w:ascii="Palatino Linotype" w:eastAsia="Palatino Linotype" w:hAnsi="Palatino Linotype" w:cs="Palatino Linotype"/>
          <w:i/>
          <w:sz w:val="22"/>
          <w:szCs w:val="22"/>
        </w:rPr>
        <w:t>. No podrá requerirse información adicional con motivo del nombre proporcionado por el solicitante."</w:t>
      </w:r>
    </w:p>
    <w:p w14:paraId="235582F9" w14:textId="77777777" w:rsidR="006E0202" w:rsidRPr="00EA52AE" w:rsidRDefault="006E0202">
      <w:pPr>
        <w:tabs>
          <w:tab w:val="left" w:pos="7938"/>
        </w:tabs>
        <w:spacing w:line="360" w:lineRule="auto"/>
        <w:jc w:val="both"/>
        <w:rPr>
          <w:rFonts w:ascii="Palatino Linotype" w:eastAsia="Palatino Linotype" w:hAnsi="Palatino Linotype" w:cs="Palatino Linotype"/>
          <w:sz w:val="22"/>
          <w:szCs w:val="22"/>
        </w:rPr>
      </w:pPr>
    </w:p>
    <w:p w14:paraId="228E4CB2"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A52AE">
        <w:rPr>
          <w:rFonts w:ascii="Palatino Linotype" w:eastAsia="Palatino Linotype" w:hAnsi="Palatino Linotype" w:cs="Palatino Linotype"/>
          <w:b/>
          <w:sz w:val="22"/>
          <w:szCs w:val="22"/>
        </w:rPr>
        <w:t>la parte</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Recurrente</w:t>
      </w:r>
      <w:r w:rsidRPr="00EA52AE">
        <w:rPr>
          <w:rFonts w:ascii="Palatino Linotype" w:eastAsia="Palatino Linotype" w:hAnsi="Palatino Linotype" w:cs="Palatino Linotype"/>
          <w:sz w:val="22"/>
          <w:szCs w:val="22"/>
        </w:rPr>
        <w:t xml:space="preserve"> en sus motivos de inconformidad, de acuerdo </w:t>
      </w:r>
      <w:r w:rsidR="009B1525" w:rsidRPr="00EA52AE">
        <w:rPr>
          <w:rFonts w:ascii="Palatino Linotype" w:eastAsia="Palatino Linotype" w:hAnsi="Palatino Linotype" w:cs="Palatino Linotype"/>
          <w:sz w:val="22"/>
          <w:szCs w:val="22"/>
        </w:rPr>
        <w:t>al artículo 179, fracciones</w:t>
      </w:r>
      <w:r w:rsidRPr="00EA52AE">
        <w:rPr>
          <w:rFonts w:ascii="Palatino Linotype" w:eastAsia="Palatino Linotype" w:hAnsi="Palatino Linotype" w:cs="Palatino Linotype"/>
          <w:sz w:val="22"/>
          <w:szCs w:val="22"/>
        </w:rPr>
        <w:t xml:space="preserve"> </w:t>
      </w:r>
      <w:r w:rsidR="009B1525" w:rsidRPr="00EA52AE">
        <w:rPr>
          <w:rFonts w:ascii="Palatino Linotype" w:eastAsia="Palatino Linotype" w:hAnsi="Palatino Linotype" w:cs="Palatino Linotype"/>
          <w:sz w:val="22"/>
          <w:szCs w:val="22"/>
        </w:rPr>
        <w:t>VI</w:t>
      </w:r>
      <w:r w:rsidRPr="00EA52AE">
        <w:rPr>
          <w:rFonts w:ascii="Palatino Linotype" w:eastAsia="Palatino Linotype" w:hAnsi="Palatino Linotype" w:cs="Palatino Linotype"/>
          <w:sz w:val="22"/>
          <w:szCs w:val="22"/>
        </w:rPr>
        <w:t>I</w:t>
      </w:r>
      <w:r w:rsidR="009B1525" w:rsidRPr="00EA52AE">
        <w:rPr>
          <w:rFonts w:ascii="Palatino Linotype" w:eastAsia="Palatino Linotype" w:hAnsi="Palatino Linotype" w:cs="Palatino Linotype"/>
          <w:sz w:val="22"/>
          <w:szCs w:val="22"/>
        </w:rPr>
        <w:t xml:space="preserve"> y I</w:t>
      </w:r>
      <w:r w:rsidR="00B910CA" w:rsidRPr="00EA52AE">
        <w:rPr>
          <w:rFonts w:ascii="Palatino Linotype" w:eastAsia="Palatino Linotype" w:hAnsi="Palatino Linotype" w:cs="Palatino Linotype"/>
          <w:sz w:val="22"/>
          <w:szCs w:val="22"/>
        </w:rPr>
        <w:t>X</w:t>
      </w:r>
      <w:r w:rsidRPr="00EA52AE">
        <w:rPr>
          <w:rFonts w:ascii="Palatino Linotype" w:eastAsia="Palatino Linotype" w:hAnsi="Palatino Linotype" w:cs="Palatino Linotype"/>
          <w:sz w:val="22"/>
          <w:szCs w:val="22"/>
        </w:rPr>
        <w:t xml:space="preserve"> del ordenamiento legal citado, que a la letra dice: </w:t>
      </w:r>
    </w:p>
    <w:p w14:paraId="48211205"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7BD1CFD" w14:textId="77777777" w:rsidR="006E0202" w:rsidRPr="00EA52AE" w:rsidRDefault="00605A2F">
      <w:pPr>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Artículo 179.</w:t>
      </w:r>
      <w:r w:rsidRPr="00EA52A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D0DE136" w14:textId="77777777" w:rsidR="00886697" w:rsidRPr="00EA52AE" w:rsidRDefault="00886697">
      <w:pPr>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4885C383" w14:textId="77777777" w:rsidR="00B910CA" w:rsidRPr="00EA52AE" w:rsidRDefault="00886697">
      <w:pPr>
        <w:ind w:left="567"/>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VII. La falta de respuesta a una solicitud de acceso a la información;</w:t>
      </w:r>
      <w:r w:rsidRPr="00EA52AE">
        <w:rPr>
          <w:rFonts w:ascii="Palatino Linotype" w:eastAsia="Palatino Linotype" w:hAnsi="Palatino Linotype" w:cs="Palatino Linotype"/>
          <w:b/>
          <w:i/>
          <w:sz w:val="22"/>
          <w:szCs w:val="22"/>
        </w:rPr>
        <w:cr/>
      </w:r>
      <w:r w:rsidR="00B910CA" w:rsidRPr="00EA52AE">
        <w:rPr>
          <w:rFonts w:ascii="Palatino Linotype" w:eastAsia="Palatino Linotype" w:hAnsi="Palatino Linotype" w:cs="Palatino Linotype"/>
          <w:i/>
          <w:sz w:val="22"/>
          <w:szCs w:val="22"/>
        </w:rPr>
        <w:t>[…]</w:t>
      </w:r>
    </w:p>
    <w:p w14:paraId="4EAA4BD6" w14:textId="77777777" w:rsidR="006E0202" w:rsidRPr="00EA52AE" w:rsidRDefault="00B910CA" w:rsidP="00B910CA">
      <w:pPr>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IX. La entrega o puesta a disposición de información en un formato incomprensible y/o no accesible para el solicitante;</w:t>
      </w:r>
    </w:p>
    <w:p w14:paraId="762C2303" w14:textId="77777777" w:rsidR="006E0202" w:rsidRPr="00EA52AE" w:rsidRDefault="006E0202">
      <w:pPr>
        <w:ind w:left="567"/>
        <w:rPr>
          <w:rFonts w:ascii="Palatino Linotype" w:eastAsia="Palatino Linotype" w:hAnsi="Palatino Linotype" w:cs="Palatino Linotype"/>
          <w:b/>
          <w:i/>
          <w:sz w:val="22"/>
          <w:szCs w:val="22"/>
        </w:rPr>
      </w:pPr>
    </w:p>
    <w:p w14:paraId="164814DE" w14:textId="77777777" w:rsidR="006E0202" w:rsidRPr="00EA52AE" w:rsidRDefault="00605A2F" w:rsidP="00886697">
      <w:pPr>
        <w:ind w:left="567" w:right="616"/>
        <w:jc w:val="right"/>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 </w:t>
      </w:r>
      <w:r w:rsidRPr="00EA52AE">
        <w:rPr>
          <w:rFonts w:ascii="Palatino Linotype" w:eastAsia="Palatino Linotype" w:hAnsi="Palatino Linotype" w:cs="Palatino Linotype"/>
          <w:i/>
          <w:sz w:val="22"/>
          <w:szCs w:val="22"/>
        </w:rPr>
        <w:t>(Énfasis añadido)</w:t>
      </w:r>
    </w:p>
    <w:p w14:paraId="665535FA" w14:textId="77777777" w:rsidR="006E0202" w:rsidRPr="00EA52AE" w:rsidRDefault="006E0202">
      <w:pPr>
        <w:spacing w:line="360" w:lineRule="auto"/>
        <w:jc w:val="both"/>
        <w:rPr>
          <w:rFonts w:ascii="Palatino Linotype" w:eastAsia="Palatino Linotype" w:hAnsi="Palatino Linotype" w:cs="Palatino Linotype"/>
          <w:b/>
          <w:sz w:val="22"/>
          <w:szCs w:val="22"/>
        </w:rPr>
      </w:pPr>
    </w:p>
    <w:p w14:paraId="6E04B3E6" w14:textId="77777777" w:rsidR="006E0202" w:rsidRPr="00EA52AE" w:rsidRDefault="00605A2F">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 xml:space="preserve">Tercero. Materia de la revisión. </w:t>
      </w:r>
      <w:r w:rsidRPr="00EA52A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A52AE">
        <w:rPr>
          <w:rFonts w:ascii="Palatino Linotype" w:eastAsia="Palatino Linotype" w:hAnsi="Palatino Linotype" w:cs="Palatino Linotype"/>
          <w:b/>
          <w:sz w:val="22"/>
          <w:szCs w:val="22"/>
        </w:rPr>
        <w:t>verificar si la respuesta</w:t>
      </w:r>
      <w:r w:rsidR="00B910CA" w:rsidRPr="00EA52AE">
        <w:rPr>
          <w:rFonts w:ascii="Palatino Linotype" w:eastAsia="Palatino Linotype" w:hAnsi="Palatino Linotype" w:cs="Palatino Linotype"/>
          <w:b/>
          <w:sz w:val="22"/>
          <w:szCs w:val="22"/>
        </w:rPr>
        <w:t xml:space="preserve"> e informe justificado</w:t>
      </w:r>
      <w:r w:rsidRPr="00EA52AE">
        <w:rPr>
          <w:rFonts w:ascii="Palatino Linotype" w:eastAsia="Palatino Linotype" w:hAnsi="Palatino Linotype" w:cs="Palatino Linotype"/>
          <w:b/>
          <w:sz w:val="22"/>
          <w:szCs w:val="22"/>
        </w:rPr>
        <w:t xml:space="preserve"> </w:t>
      </w:r>
      <w:r w:rsidR="00B910CA" w:rsidRPr="00EA52AE">
        <w:rPr>
          <w:rFonts w:ascii="Palatino Linotype" w:eastAsia="Palatino Linotype" w:hAnsi="Palatino Linotype" w:cs="Palatino Linotype"/>
          <w:b/>
          <w:sz w:val="22"/>
          <w:szCs w:val="22"/>
        </w:rPr>
        <w:t>otorgados por el Sujeto Obligado son adecuados</w:t>
      </w:r>
      <w:r w:rsidRPr="00EA52AE">
        <w:rPr>
          <w:rFonts w:ascii="Palatino Linotype" w:eastAsia="Palatino Linotype" w:hAnsi="Palatino Linotype" w:cs="Palatino Linotype"/>
          <w:b/>
          <w:sz w:val="22"/>
          <w:szCs w:val="22"/>
        </w:rPr>
        <w:t xml:space="preserve"> y suficiente</w:t>
      </w:r>
      <w:r w:rsidR="00B910CA" w:rsidRPr="00EA52AE">
        <w:rPr>
          <w:rFonts w:ascii="Palatino Linotype" w:eastAsia="Palatino Linotype" w:hAnsi="Palatino Linotype" w:cs="Palatino Linotype"/>
          <w:b/>
          <w:sz w:val="22"/>
          <w:szCs w:val="22"/>
        </w:rPr>
        <w:t>s</w:t>
      </w:r>
      <w:r w:rsidRPr="00EA52AE">
        <w:rPr>
          <w:rFonts w:ascii="Palatino Linotype" w:eastAsia="Palatino Linotype" w:hAnsi="Palatino Linotype" w:cs="Palatino Linotype"/>
          <w:b/>
          <w:sz w:val="22"/>
          <w:szCs w:val="22"/>
        </w:rPr>
        <w:t xml:space="preserve"> para satisfacer el derecho de acceso a la información pública de la parte Recurrente,</w:t>
      </w:r>
      <w:r w:rsidRPr="00EA52AE">
        <w:rPr>
          <w:rFonts w:ascii="Palatino Linotype" w:eastAsia="Palatino Linotype" w:hAnsi="Palatino Linotype" w:cs="Palatino Linotype"/>
          <w:sz w:val="22"/>
          <w:szCs w:val="22"/>
        </w:rPr>
        <w:t xml:space="preserve"> o en su defecto, en caso de ser procedente, ordenar la entrega de </w:t>
      </w:r>
      <w:r w:rsidR="00B910CA" w:rsidRPr="00EA52AE">
        <w:rPr>
          <w:rFonts w:ascii="Palatino Linotype" w:eastAsia="Palatino Linotype" w:hAnsi="Palatino Linotype" w:cs="Palatino Linotype"/>
          <w:sz w:val="22"/>
          <w:szCs w:val="22"/>
        </w:rPr>
        <w:t xml:space="preserve">la </w:t>
      </w:r>
      <w:r w:rsidRPr="00EA52AE">
        <w:rPr>
          <w:rFonts w:ascii="Palatino Linotype" w:eastAsia="Palatino Linotype" w:hAnsi="Palatino Linotype" w:cs="Palatino Linotype"/>
          <w:sz w:val="22"/>
          <w:szCs w:val="22"/>
        </w:rPr>
        <w:t>información oportuna.</w:t>
      </w:r>
    </w:p>
    <w:p w14:paraId="457676F7"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CBEB7AC" w14:textId="77777777" w:rsidR="006E0202" w:rsidRPr="00EA52AE"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Cuarto. Estudio del asunto. </w:t>
      </w:r>
      <w:r w:rsidRPr="00EA52AE">
        <w:rPr>
          <w:rFonts w:ascii="Palatino Linotype" w:eastAsia="Palatino Linotype" w:hAnsi="Palatino Linotype" w:cs="Palatino Linotype"/>
          <w:sz w:val="22"/>
          <w:szCs w:val="22"/>
        </w:rPr>
        <w:t xml:space="preserve">Antes de entrar al análisis de los pronunciamientos del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w:t>
      </w:r>
      <w:r w:rsidRPr="00EA52AE">
        <w:rPr>
          <w:rFonts w:ascii="Palatino Linotype" w:eastAsia="Palatino Linotype" w:hAnsi="Palatino Linotype" w:cs="Palatino Linotype"/>
          <w:sz w:val="22"/>
          <w:szCs w:val="22"/>
        </w:rPr>
        <w:lastRenderedPageBreak/>
        <w:t>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B99286F" w14:textId="77777777" w:rsidR="006E0202" w:rsidRPr="00EA52AE"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B11A31" w14:textId="77777777" w:rsidR="006E0202" w:rsidRPr="00EA52A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A52A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E46AAFC" w14:textId="77777777" w:rsidR="006E0202" w:rsidRPr="00EA52A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81A4FA7" w14:textId="77777777" w:rsidR="006E0202" w:rsidRPr="00EA52A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A52A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46E85CB" w14:textId="77777777" w:rsidR="006E0202" w:rsidRPr="00EA52AE" w:rsidRDefault="00605A2F">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w:t>
      </w:r>
    </w:p>
    <w:p w14:paraId="7F0FAB90" w14:textId="77777777" w:rsidR="006E0202" w:rsidRPr="00EA52AE"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rPr>
        <w:t>“Artículo 6o.</w:t>
      </w:r>
    </w:p>
    <w:p w14:paraId="1735A5F5" w14:textId="77777777" w:rsidR="006E0202" w:rsidRPr="00EA52AE" w:rsidRDefault="00605A2F">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w:t>
      </w:r>
    </w:p>
    <w:p w14:paraId="002C580A"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rPr>
        <w:t xml:space="preserve">A. Para el ejercicio del derecho de acceso a la información, la Federación y </w:t>
      </w:r>
      <w:r w:rsidRPr="00EA52AE">
        <w:rPr>
          <w:rFonts w:ascii="Palatino Linotype" w:eastAsia="Palatino Linotype" w:hAnsi="Palatino Linotype" w:cs="Palatino Linotype"/>
          <w:b/>
          <w:i/>
          <w:sz w:val="22"/>
          <w:szCs w:val="22"/>
          <w:u w:val="single"/>
        </w:rPr>
        <w:t>las entidades federativas</w:t>
      </w:r>
      <w:r w:rsidRPr="00EA52AE">
        <w:rPr>
          <w:rFonts w:ascii="Palatino Linotype" w:eastAsia="Palatino Linotype" w:hAnsi="Palatino Linotype" w:cs="Palatino Linotype"/>
          <w:b/>
          <w:i/>
          <w:sz w:val="22"/>
          <w:szCs w:val="22"/>
        </w:rPr>
        <w:t>,</w:t>
      </w:r>
      <w:r w:rsidRPr="00EA52AE">
        <w:rPr>
          <w:rFonts w:ascii="Palatino Linotype" w:eastAsia="Palatino Linotype" w:hAnsi="Palatino Linotype" w:cs="Palatino Linotype"/>
          <w:i/>
          <w:sz w:val="22"/>
          <w:szCs w:val="22"/>
        </w:rPr>
        <w:t xml:space="preserve"> en el ámbito de sus respectivas competencias, se regirán por los siguientes principios y bases:</w:t>
      </w:r>
    </w:p>
    <w:p w14:paraId="403A154E"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 xml:space="preserve">I. </w:t>
      </w:r>
      <w:r w:rsidRPr="00EA52A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A52AE">
        <w:rPr>
          <w:rFonts w:ascii="Palatino Linotype" w:eastAsia="Palatino Linotype" w:hAnsi="Palatino Linotype" w:cs="Palatino Linotype"/>
          <w:i/>
          <w:sz w:val="22"/>
          <w:szCs w:val="22"/>
        </w:rPr>
        <w:t xml:space="preserve"> Ejecutivo, Legislativo </w:t>
      </w:r>
      <w:r w:rsidRPr="00EA52AE">
        <w:rPr>
          <w:rFonts w:ascii="Palatino Linotype" w:eastAsia="Palatino Linotype" w:hAnsi="Palatino Linotype" w:cs="Palatino Linotype"/>
          <w:b/>
          <w:i/>
          <w:sz w:val="22"/>
          <w:szCs w:val="22"/>
          <w:u w:val="single"/>
        </w:rPr>
        <w:t>y Judicial</w:t>
      </w:r>
      <w:r w:rsidRPr="00EA52A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A52AE">
        <w:rPr>
          <w:rFonts w:ascii="Palatino Linotype" w:eastAsia="Palatino Linotype" w:hAnsi="Palatino Linotype" w:cs="Palatino Linotype"/>
          <w:b/>
          <w:i/>
          <w:sz w:val="22"/>
          <w:szCs w:val="22"/>
        </w:rPr>
        <w:t xml:space="preserve">es pública y </w:t>
      </w:r>
      <w:r w:rsidRPr="00EA52AE">
        <w:rPr>
          <w:rFonts w:ascii="Palatino Linotype" w:eastAsia="Palatino Linotype" w:hAnsi="Palatino Linotype" w:cs="Palatino Linotype"/>
          <w:b/>
          <w:i/>
          <w:sz w:val="22"/>
          <w:szCs w:val="22"/>
        </w:rPr>
        <w:lastRenderedPageBreak/>
        <w:t>sólo podrá ser reservada temporalmente por razones de interés público y seguridad nacional,</w:t>
      </w:r>
      <w:r w:rsidRPr="00EA52A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50287B"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12DC211"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 xml:space="preserve">III. </w:t>
      </w:r>
      <w:r w:rsidRPr="00EA52A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A52AE">
        <w:rPr>
          <w:rFonts w:ascii="Palatino Linotype" w:eastAsia="Palatino Linotype" w:hAnsi="Palatino Linotype" w:cs="Palatino Linotype"/>
          <w:i/>
          <w:sz w:val="22"/>
          <w:szCs w:val="22"/>
        </w:rPr>
        <w:t xml:space="preserve"> a sus datos personales o a la rectificación de éstos.</w:t>
      </w:r>
    </w:p>
    <w:p w14:paraId="237AAF50"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 xml:space="preserve">IV. </w:t>
      </w:r>
      <w:r w:rsidRPr="00EA52A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4A45F30"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i/>
          <w:sz w:val="22"/>
          <w:szCs w:val="22"/>
        </w:rPr>
        <w:t xml:space="preserve">V. </w:t>
      </w:r>
      <w:r w:rsidRPr="00EA52A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0E48716"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 xml:space="preserve">VI. </w:t>
      </w:r>
      <w:r w:rsidRPr="00EA52A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A1F17E0" w14:textId="77777777" w:rsidR="006E0202" w:rsidRPr="00EA52AE" w:rsidRDefault="00605A2F">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w:t>
      </w:r>
      <w:r w:rsidRPr="00EA52AE">
        <w:rPr>
          <w:rFonts w:ascii="Palatino Linotype" w:eastAsia="Palatino Linotype" w:hAnsi="Palatino Linotype" w:cs="Palatino Linotype"/>
          <w:b/>
          <w:i/>
          <w:sz w:val="22"/>
          <w:szCs w:val="22"/>
        </w:rPr>
        <w:t xml:space="preserve">VII. </w:t>
      </w:r>
      <w:r w:rsidRPr="00EA52A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5E3F81F" w14:textId="77777777" w:rsidR="006E0202" w:rsidRPr="00EA52AE" w:rsidRDefault="006E02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65B26798" w14:textId="77777777" w:rsidR="006E0202" w:rsidRPr="00EA52AE" w:rsidRDefault="00605A2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EA52AE">
        <w:rPr>
          <w:rFonts w:ascii="Palatino Linotype" w:eastAsia="Palatino Linotype" w:hAnsi="Palatino Linotype" w:cs="Palatino Linotype"/>
          <w:sz w:val="22"/>
          <w:szCs w:val="22"/>
        </w:rPr>
        <w:lastRenderedPageBreak/>
        <w:t>lo establece dicha determinación, que a continuación se transcribe para un mejor entendimiento:</w:t>
      </w:r>
    </w:p>
    <w:p w14:paraId="083D241D" w14:textId="77777777" w:rsidR="006E0202" w:rsidRPr="00EA52AE" w:rsidRDefault="006E02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C9F239C"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Artículo 4</w:t>
      </w:r>
      <w:r w:rsidRPr="00EA52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025DE8D" w14:textId="77777777" w:rsidR="006E0202" w:rsidRPr="00EA52AE" w:rsidRDefault="006E0202">
      <w:pPr>
        <w:spacing w:line="276" w:lineRule="auto"/>
        <w:ind w:left="567" w:right="616"/>
        <w:jc w:val="both"/>
        <w:rPr>
          <w:rFonts w:ascii="Palatino Linotype" w:eastAsia="Palatino Linotype" w:hAnsi="Palatino Linotype" w:cs="Palatino Linotype"/>
          <w:i/>
          <w:sz w:val="22"/>
          <w:szCs w:val="22"/>
        </w:rPr>
      </w:pPr>
    </w:p>
    <w:p w14:paraId="77D7C0FA"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A52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B133D78" w14:textId="77777777" w:rsidR="006E0202" w:rsidRPr="00EA52AE" w:rsidRDefault="006E0202">
      <w:pPr>
        <w:spacing w:line="276" w:lineRule="auto"/>
        <w:ind w:left="567" w:right="616"/>
        <w:jc w:val="both"/>
        <w:rPr>
          <w:rFonts w:ascii="Palatino Linotype" w:eastAsia="Palatino Linotype" w:hAnsi="Palatino Linotype" w:cs="Palatino Linotype"/>
          <w:i/>
          <w:sz w:val="22"/>
          <w:szCs w:val="22"/>
        </w:rPr>
      </w:pPr>
    </w:p>
    <w:p w14:paraId="1C29E7CF"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A52AE">
        <w:rPr>
          <w:rFonts w:ascii="Palatino Linotype" w:eastAsia="Palatino Linotype" w:hAnsi="Palatino Linotype" w:cs="Palatino Linotype"/>
          <w:i/>
          <w:sz w:val="22"/>
          <w:szCs w:val="22"/>
        </w:rPr>
        <w:t>.”</w:t>
      </w:r>
    </w:p>
    <w:p w14:paraId="0EAEA10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5C655A0B"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73C4E89"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1F9D9EE2"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lastRenderedPageBreak/>
        <w:t>“Artículo 12.-</w:t>
      </w:r>
      <w:r w:rsidRPr="00EA52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CE51805" w14:textId="77777777" w:rsidR="006E0202" w:rsidRPr="00EA52AE" w:rsidRDefault="006E0202">
      <w:pPr>
        <w:spacing w:line="276" w:lineRule="auto"/>
        <w:ind w:left="567" w:right="616"/>
        <w:jc w:val="both"/>
        <w:rPr>
          <w:rFonts w:ascii="Palatino Linotype" w:eastAsia="Palatino Linotype" w:hAnsi="Palatino Linotype" w:cs="Palatino Linotype"/>
          <w:i/>
          <w:sz w:val="22"/>
          <w:szCs w:val="22"/>
        </w:rPr>
      </w:pPr>
    </w:p>
    <w:p w14:paraId="7BD76270" w14:textId="77777777" w:rsidR="006E0202" w:rsidRPr="00EA52AE" w:rsidRDefault="00605A2F">
      <w:pPr>
        <w:spacing w:line="276" w:lineRule="auto"/>
        <w:ind w:left="567" w:right="616"/>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A52AE">
        <w:rPr>
          <w:rFonts w:ascii="Palatino Linotype" w:eastAsia="Palatino Linotype" w:hAnsi="Palatino Linotype" w:cs="Palatino Linotype"/>
          <w:i/>
          <w:sz w:val="22"/>
          <w:szCs w:val="22"/>
        </w:rPr>
        <w:t xml:space="preserve">. </w:t>
      </w:r>
      <w:r w:rsidRPr="00EA52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0E84ED0" w14:textId="77777777" w:rsidR="006E0202" w:rsidRPr="00EA52AE" w:rsidRDefault="006E0202">
      <w:pPr>
        <w:spacing w:line="360" w:lineRule="auto"/>
        <w:ind w:left="567" w:right="616"/>
        <w:jc w:val="both"/>
        <w:rPr>
          <w:rFonts w:ascii="Palatino Linotype" w:eastAsia="Palatino Linotype" w:hAnsi="Palatino Linotype" w:cs="Palatino Linotype"/>
          <w:i/>
          <w:sz w:val="22"/>
          <w:szCs w:val="22"/>
        </w:rPr>
      </w:pPr>
    </w:p>
    <w:p w14:paraId="3B24393C" w14:textId="77777777" w:rsidR="006E0202" w:rsidRPr="00EA52AE" w:rsidRDefault="00605A2F">
      <w:pPr>
        <w:spacing w:line="360" w:lineRule="auto"/>
        <w:ind w:right="-93"/>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7B48B0F" w14:textId="77777777" w:rsidR="006E0202" w:rsidRPr="00EA52AE" w:rsidRDefault="006E0202">
      <w:pPr>
        <w:spacing w:line="360" w:lineRule="auto"/>
        <w:ind w:right="-93"/>
        <w:jc w:val="both"/>
        <w:rPr>
          <w:rFonts w:ascii="Palatino Linotype" w:eastAsia="Palatino Linotype" w:hAnsi="Palatino Linotype" w:cs="Palatino Linotype"/>
          <w:sz w:val="22"/>
          <w:szCs w:val="22"/>
        </w:rPr>
      </w:pPr>
    </w:p>
    <w:p w14:paraId="6447BD9A" w14:textId="77777777" w:rsidR="006E0202" w:rsidRPr="00EA52AE" w:rsidRDefault="00605A2F">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A52AE">
        <w:rPr>
          <w:rFonts w:ascii="Palatino Linotype" w:eastAsia="Palatino Linotype" w:hAnsi="Palatino Linotype" w:cs="Palatino Linotype"/>
          <w:b/>
          <w:sz w:val="22"/>
          <w:szCs w:val="22"/>
        </w:rPr>
        <w:t xml:space="preserve"> </w:t>
      </w:r>
    </w:p>
    <w:p w14:paraId="2F41A03A" w14:textId="77777777" w:rsidR="006E0202" w:rsidRPr="00EA52AE" w:rsidRDefault="006E0202">
      <w:pPr>
        <w:spacing w:line="360" w:lineRule="auto"/>
        <w:jc w:val="both"/>
        <w:rPr>
          <w:rFonts w:ascii="Palatino Linotype" w:eastAsia="Palatino Linotype" w:hAnsi="Palatino Linotype" w:cs="Palatino Linotype"/>
          <w:b/>
          <w:sz w:val="22"/>
          <w:szCs w:val="22"/>
        </w:rPr>
      </w:pPr>
    </w:p>
    <w:p w14:paraId="03AC9E66"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No existe obligación de elaborar documentos ad hoc para atender las solicitudes de acceso a la información.</w:t>
      </w:r>
      <w:r w:rsidRPr="00EA52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w:t>
      </w:r>
      <w:r w:rsidRPr="00EA52AE">
        <w:rPr>
          <w:rFonts w:ascii="Palatino Linotype" w:eastAsia="Palatino Linotype" w:hAnsi="Palatino Linotype" w:cs="Palatino Linotype"/>
          <w:i/>
          <w:sz w:val="22"/>
          <w:szCs w:val="22"/>
        </w:rPr>
        <w:lastRenderedPageBreak/>
        <w:t xml:space="preserve">información del particular, proporcionando la información con la que cuentan en el formato en que la misma obre en sus archivos; sin necesidad de elaborar documentos ad hoc para atender las solicitudes de información”. </w:t>
      </w:r>
    </w:p>
    <w:p w14:paraId="104573EB" w14:textId="77777777" w:rsidR="006E0202" w:rsidRPr="00EA52AE" w:rsidRDefault="006E0202">
      <w:pPr>
        <w:spacing w:line="360" w:lineRule="auto"/>
        <w:ind w:right="-93"/>
        <w:jc w:val="both"/>
        <w:rPr>
          <w:rFonts w:ascii="Palatino Linotype" w:eastAsia="Palatino Linotype" w:hAnsi="Palatino Linotype" w:cs="Palatino Linotype"/>
          <w:sz w:val="22"/>
          <w:szCs w:val="22"/>
        </w:rPr>
      </w:pPr>
    </w:p>
    <w:p w14:paraId="537CAF13"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1554849"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FC3174C" w14:textId="77777777" w:rsidR="006E0202" w:rsidRPr="00EA52AE" w:rsidRDefault="00605A2F">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A61A556" w14:textId="77777777" w:rsidR="006E0202" w:rsidRPr="00EA52AE" w:rsidRDefault="006E0202">
      <w:pPr>
        <w:spacing w:line="360" w:lineRule="auto"/>
        <w:ind w:right="49"/>
        <w:jc w:val="both"/>
        <w:rPr>
          <w:rFonts w:ascii="Palatino Linotype" w:eastAsia="Palatino Linotype" w:hAnsi="Palatino Linotype" w:cs="Palatino Linotype"/>
          <w:sz w:val="22"/>
          <w:szCs w:val="22"/>
        </w:rPr>
      </w:pPr>
    </w:p>
    <w:p w14:paraId="7F10AF47"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E212B3B" w14:textId="77777777" w:rsidR="006E0202" w:rsidRPr="00EA52AE" w:rsidRDefault="006E0202">
      <w:pPr>
        <w:spacing w:line="360" w:lineRule="auto"/>
        <w:ind w:left="851" w:right="899"/>
        <w:jc w:val="both"/>
        <w:rPr>
          <w:rFonts w:ascii="Palatino Linotype" w:eastAsia="Palatino Linotype" w:hAnsi="Palatino Linotype" w:cs="Palatino Linotype"/>
          <w:i/>
          <w:sz w:val="22"/>
          <w:szCs w:val="22"/>
        </w:rPr>
      </w:pPr>
    </w:p>
    <w:p w14:paraId="19845A9E"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 xml:space="preserve">Artículo 3. </w:t>
      </w:r>
      <w:r w:rsidRPr="00EA52AE">
        <w:rPr>
          <w:rFonts w:ascii="Palatino Linotype" w:eastAsia="Palatino Linotype" w:hAnsi="Palatino Linotype" w:cs="Palatino Linotype"/>
          <w:i/>
          <w:sz w:val="22"/>
          <w:szCs w:val="22"/>
        </w:rPr>
        <w:t>Para los efectos de la presente Ley se entenderá por:</w:t>
      </w:r>
    </w:p>
    <w:p w14:paraId="05950D42"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w:t>
      </w:r>
    </w:p>
    <w:p w14:paraId="422A56BF"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XI. Documento:</w:t>
      </w:r>
      <w:r w:rsidRPr="00EA52AE">
        <w:rPr>
          <w:rFonts w:ascii="Palatino Linotype" w:eastAsia="Palatino Linotype" w:hAnsi="Palatino Linotype" w:cs="Palatino Linotype"/>
          <w:i/>
          <w:sz w:val="22"/>
          <w:szCs w:val="22"/>
        </w:rPr>
        <w:t xml:space="preserve"> Los expedientes, reportes, estudios, actas</w:t>
      </w:r>
      <w:r w:rsidRPr="00EA52AE">
        <w:rPr>
          <w:rFonts w:ascii="Palatino Linotype" w:eastAsia="Palatino Linotype" w:hAnsi="Palatino Linotype" w:cs="Palatino Linotype"/>
          <w:b/>
          <w:i/>
          <w:sz w:val="22"/>
          <w:szCs w:val="22"/>
        </w:rPr>
        <w:t>,</w:t>
      </w:r>
      <w:r w:rsidRPr="00EA52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D4EB8F2" w14:textId="77777777" w:rsidR="006E0202" w:rsidRPr="00EA52AE" w:rsidRDefault="006E0202">
      <w:pPr>
        <w:spacing w:line="360" w:lineRule="auto"/>
        <w:ind w:left="851" w:right="899"/>
        <w:jc w:val="both"/>
        <w:rPr>
          <w:rFonts w:ascii="Palatino Linotype" w:eastAsia="Palatino Linotype" w:hAnsi="Palatino Linotype" w:cs="Palatino Linotype"/>
          <w:sz w:val="22"/>
          <w:szCs w:val="22"/>
        </w:rPr>
      </w:pPr>
    </w:p>
    <w:p w14:paraId="001A1AC6"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81BEFA"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00883446" w14:textId="77777777" w:rsidR="006E0202" w:rsidRPr="00EA52AE" w:rsidRDefault="00605A2F">
      <w:pPr>
        <w:spacing w:line="276" w:lineRule="auto"/>
        <w:ind w:left="567" w:right="616"/>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sz w:val="22"/>
          <w:szCs w:val="22"/>
        </w:rPr>
        <w:t>“</w:t>
      </w:r>
      <w:r w:rsidRPr="00EA52A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A52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4A0CCE"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7D9DDF3" w14:textId="77777777" w:rsidR="006E0202" w:rsidRPr="00EA52AE" w:rsidRDefault="00605A2F">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C246A7C" w14:textId="77777777" w:rsidR="006E0202" w:rsidRPr="00EA52AE" w:rsidRDefault="00605A2F">
      <w:pPr>
        <w:spacing w:line="276" w:lineRule="auto"/>
        <w:ind w:left="567" w:right="616"/>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C15FB57" w14:textId="77777777" w:rsidR="006E0202" w:rsidRPr="00EA52AE" w:rsidRDefault="00605A2F">
      <w:pPr>
        <w:spacing w:line="276" w:lineRule="auto"/>
        <w:ind w:left="567" w:right="616"/>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02580410" w14:textId="77777777" w:rsidR="006E0202" w:rsidRPr="00EA52AE" w:rsidRDefault="006E0202">
      <w:pPr>
        <w:spacing w:line="276" w:lineRule="auto"/>
        <w:ind w:left="567" w:right="616"/>
        <w:jc w:val="both"/>
        <w:rPr>
          <w:rFonts w:ascii="Palatino Linotype" w:eastAsia="Palatino Linotype" w:hAnsi="Palatino Linotype" w:cs="Palatino Linotype"/>
          <w:b/>
          <w:i/>
          <w:sz w:val="22"/>
          <w:szCs w:val="22"/>
        </w:rPr>
      </w:pPr>
    </w:p>
    <w:p w14:paraId="05A089EC"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De ahí que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A52AE">
        <w:rPr>
          <w:rFonts w:ascii="Palatino Linotype" w:eastAsia="Palatino Linotype" w:hAnsi="Palatino Linotype" w:cs="Palatino Linotype"/>
          <w:sz w:val="22"/>
          <w:szCs w:val="22"/>
          <w:vertAlign w:val="superscript"/>
        </w:rPr>
        <w:footnoteReference w:id="1"/>
      </w:r>
      <w:r w:rsidRPr="00EA52A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A52AE">
        <w:rPr>
          <w:rFonts w:ascii="Palatino Linotype" w:eastAsia="Palatino Linotype" w:hAnsi="Palatino Linotype" w:cs="Palatino Linotype"/>
          <w:sz w:val="22"/>
          <w:szCs w:val="22"/>
          <w:vertAlign w:val="superscript"/>
        </w:rPr>
        <w:footnoteReference w:id="2"/>
      </w:r>
      <w:r w:rsidRPr="00EA52A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7AD7C760" w14:textId="77777777" w:rsidR="006E0202" w:rsidRPr="00EA52AE" w:rsidRDefault="006E0202"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30897E5" w14:textId="77777777" w:rsidR="00B910CA" w:rsidRPr="00EA52AE" w:rsidRDefault="00B910CA" w:rsidP="005908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EA52AE">
        <w:rPr>
          <w:rFonts w:ascii="Palatino Linotype" w:eastAsia="Palatino Linotype" w:hAnsi="Palatino Linotype" w:cs="Palatino Linotype"/>
          <w:sz w:val="22"/>
          <w:szCs w:val="22"/>
        </w:rPr>
        <w:t xml:space="preserve">Para ello, conviene iniciar el presente estudio señalando que la persona solicitante requirió del </w:t>
      </w:r>
      <w:r w:rsidRPr="00EA52AE">
        <w:rPr>
          <w:rFonts w:ascii="Palatino Linotype" w:eastAsia="Palatino Linotype" w:hAnsi="Palatino Linotype" w:cs="Palatino Linotype"/>
          <w:b/>
          <w:sz w:val="22"/>
          <w:szCs w:val="22"/>
        </w:rPr>
        <w:t xml:space="preserve">Sujeto Obligado, </w:t>
      </w:r>
      <w:r w:rsidR="00386193" w:rsidRPr="00EA52AE">
        <w:rPr>
          <w:rFonts w:ascii="Palatino Linotype" w:eastAsia="Palatino Linotype" w:hAnsi="Palatino Linotype" w:cs="Palatino Linotype"/>
          <w:sz w:val="22"/>
          <w:szCs w:val="22"/>
        </w:rPr>
        <w:t>respecto de l</w:t>
      </w:r>
      <w:r w:rsidRPr="00EA52AE">
        <w:rPr>
          <w:rFonts w:ascii="Palatino Linotype" w:eastAsia="Palatino Linotype" w:hAnsi="Palatino Linotype" w:cs="Palatino Linotype"/>
          <w:sz w:val="22"/>
          <w:szCs w:val="22"/>
        </w:rPr>
        <w:t>a obra “</w:t>
      </w:r>
      <w:r w:rsidR="0059089A" w:rsidRPr="00EA52AE">
        <w:rPr>
          <w:rFonts w:ascii="Palatino Linotype" w:eastAsia="Palatino Linotype" w:hAnsi="Palatino Linotype" w:cs="Palatino Linotype"/>
          <w:i/>
          <w:sz w:val="22"/>
          <w:szCs w:val="22"/>
        </w:rPr>
        <w:t>Construcción y/o inauguración del “Parque Recreativo, San Rafael</w:t>
      </w:r>
      <w:r w:rsidRPr="00EA52AE">
        <w:rPr>
          <w:rFonts w:ascii="Palatino Linotype" w:eastAsia="Palatino Linotype" w:hAnsi="Palatino Linotype" w:cs="Palatino Linotype"/>
          <w:sz w:val="22"/>
          <w:szCs w:val="22"/>
        </w:rPr>
        <w:t>”, lo siguiente:</w:t>
      </w:r>
    </w:p>
    <w:p w14:paraId="3BB7FF4A" w14:textId="77777777" w:rsidR="00B910CA" w:rsidRPr="00EA52AE" w:rsidRDefault="00B910CA" w:rsidP="00B910CA">
      <w:pPr>
        <w:widowControl w:val="0"/>
        <w:spacing w:line="360" w:lineRule="auto"/>
        <w:jc w:val="both"/>
        <w:rPr>
          <w:rFonts w:ascii="Palatino Linotype" w:eastAsia="Palatino Linotype" w:hAnsi="Palatino Linotype" w:cs="Palatino Linotype"/>
          <w:sz w:val="22"/>
          <w:szCs w:val="22"/>
        </w:rPr>
      </w:pPr>
    </w:p>
    <w:p w14:paraId="1CC97E38" w14:textId="77777777" w:rsidR="00B910CA" w:rsidRPr="00EA52AE" w:rsidRDefault="0059089A" w:rsidP="00B910CA">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Contratos y convenios celebrados.</w:t>
      </w:r>
    </w:p>
    <w:p w14:paraId="78FBF6FE" w14:textId="77777777" w:rsidR="0059089A" w:rsidRPr="00EA52AE" w:rsidRDefault="0059089A" w:rsidP="00B910CA">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Costos totales con IVA incluido en moneda nacional.</w:t>
      </w:r>
    </w:p>
    <w:p w14:paraId="753F6781" w14:textId="77777777" w:rsidR="0059089A" w:rsidRPr="00EA52AE" w:rsidRDefault="0059089A" w:rsidP="00B910CA">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Facturas</w:t>
      </w:r>
      <w:r w:rsidR="006424C5" w:rsidRPr="00EA52AE">
        <w:rPr>
          <w:rFonts w:ascii="Palatino Linotype" w:eastAsia="Palatino Linotype" w:hAnsi="Palatino Linotype" w:cs="Palatino Linotype"/>
          <w:b/>
          <w:sz w:val="22"/>
          <w:szCs w:val="22"/>
        </w:rPr>
        <w:t xml:space="preserve"> por los gastos o pagos efectuados</w:t>
      </w:r>
      <w:r w:rsidRPr="00EA52AE">
        <w:rPr>
          <w:rFonts w:ascii="Palatino Linotype" w:eastAsia="Palatino Linotype" w:hAnsi="Palatino Linotype" w:cs="Palatino Linotype"/>
          <w:b/>
          <w:sz w:val="22"/>
          <w:szCs w:val="22"/>
        </w:rPr>
        <w:t>.</w:t>
      </w:r>
    </w:p>
    <w:p w14:paraId="1C72BC06" w14:textId="77777777" w:rsidR="0059089A" w:rsidRPr="00EA52AE" w:rsidRDefault="0059089A" w:rsidP="00B910CA">
      <w:pPr>
        <w:widowControl w:val="0"/>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lastRenderedPageBreak/>
        <w:t>Pólizas de cheque.</w:t>
      </w:r>
    </w:p>
    <w:p w14:paraId="78A3E4E7" w14:textId="77777777" w:rsidR="00F50E23" w:rsidRPr="00EA52AE" w:rsidRDefault="00F50E23" w:rsidP="00F50E23">
      <w:pPr>
        <w:pStyle w:val="Listaconvietas2"/>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Padrón de beneficiarios y/o población beneficiada</w:t>
      </w:r>
    </w:p>
    <w:p w14:paraId="429170FF" w14:textId="77777777" w:rsidR="00B910CA" w:rsidRPr="00EA52AE" w:rsidRDefault="00B910CA" w:rsidP="00B910CA">
      <w:pPr>
        <w:widowControl w:val="0"/>
        <w:spacing w:line="360" w:lineRule="auto"/>
        <w:jc w:val="both"/>
        <w:rPr>
          <w:rFonts w:ascii="Palatino Linotype" w:eastAsia="Palatino Linotype" w:hAnsi="Palatino Linotype" w:cs="Palatino Linotype"/>
          <w:sz w:val="20"/>
          <w:szCs w:val="22"/>
        </w:rPr>
      </w:pPr>
    </w:p>
    <w:p w14:paraId="60A8C2DF" w14:textId="77777777" w:rsidR="00312726" w:rsidRPr="00EA52AE" w:rsidRDefault="00312726" w:rsidP="00312726">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r w:rsidRPr="00EA52AE">
        <w:rPr>
          <w:rFonts w:ascii="Palatino Linotype" w:eastAsia="Palatino Linotype" w:hAnsi="Palatino Linotype" w:cs="Palatino Linotype"/>
          <w:sz w:val="22"/>
        </w:rPr>
        <w:t xml:space="preserve">Para referencia de lo solicitado, el particular remitió la siguiente liga:  </w:t>
      </w:r>
      <w:r w:rsidR="00BD2CD8" w:rsidRPr="00EA52AE">
        <w:rPr>
          <w:rFonts w:ascii="Palatino Linotype" w:eastAsia="Palatino Linotype" w:hAnsi="Palatino Linotype" w:cs="Palatino Linotype"/>
          <w:i/>
          <w:sz w:val="22"/>
          <w:szCs w:val="22"/>
        </w:rPr>
        <w:t>https://www.facebook.com/photo/?fbid=467402122505790&amp;set=a.139798981932774&amp;__cft__[0]=AZVyYLHg5LTfCjQmXGmIF1r_E_s1_kBRaQmw4t8G2herrnhKIETviMa3ihLkaZY7n7Gr6AkO78KGkuuefWMZgLvTYWillKBUeQpZgP3EDP9GJoBSs616_tATM4bPyx0RS7nFrPvqcySzePXboZFhjkP2WkVjeZTU1ek6dixd-1WO73WHO0nTWxDghIP4qkhGeJsed9fKbGdr-8heKNixcgAh&amp;__tn__=EH-R</w:t>
      </w:r>
      <w:r w:rsidRPr="00EA52AE">
        <w:rPr>
          <w:rFonts w:ascii="Palatino Linotype" w:eastAsia="Palatino Linotype" w:hAnsi="Palatino Linotype" w:cs="Palatino Linotype"/>
          <w:sz w:val="22"/>
        </w:rPr>
        <w:t>, en la que se advierte la publicidad en la red social denominada “</w:t>
      </w:r>
      <w:r w:rsidRPr="00EA52AE">
        <w:rPr>
          <w:rFonts w:ascii="Palatino Linotype" w:eastAsia="Palatino Linotype" w:hAnsi="Palatino Linotype" w:cs="Palatino Linotype"/>
          <w:i/>
          <w:sz w:val="22"/>
        </w:rPr>
        <w:t>Facebook</w:t>
      </w:r>
      <w:r w:rsidRPr="00EA52AE">
        <w:rPr>
          <w:rFonts w:ascii="Palatino Linotype" w:eastAsia="Palatino Linotype" w:hAnsi="Palatino Linotype" w:cs="Palatino Linotype"/>
          <w:sz w:val="22"/>
        </w:rPr>
        <w:t xml:space="preserve">” del </w:t>
      </w:r>
      <w:r w:rsidR="00BD2CD8" w:rsidRPr="00EA52AE">
        <w:rPr>
          <w:rFonts w:ascii="Palatino Linotype" w:eastAsia="Palatino Linotype" w:hAnsi="Palatino Linotype" w:cs="Palatino Linotype"/>
          <w:sz w:val="22"/>
        </w:rPr>
        <w:t>Ayuntamiento de Tlalmanalco 2022-2024</w:t>
      </w:r>
      <w:r w:rsidRPr="00EA52AE">
        <w:rPr>
          <w:rFonts w:ascii="Palatino Linotype" w:eastAsia="Palatino Linotype" w:hAnsi="Palatino Linotype" w:cs="Palatino Linotype"/>
          <w:sz w:val="22"/>
        </w:rPr>
        <w:t xml:space="preserve">, en la que el </w:t>
      </w:r>
      <w:r w:rsidR="00BD2CD8" w:rsidRPr="00EA52AE">
        <w:rPr>
          <w:rFonts w:ascii="Palatino Linotype" w:eastAsia="Palatino Linotype" w:hAnsi="Palatino Linotype" w:cs="Palatino Linotype"/>
          <w:sz w:val="22"/>
        </w:rPr>
        <w:t>06 de junio de 2024</w:t>
      </w:r>
      <w:r w:rsidRPr="00EA52AE">
        <w:rPr>
          <w:rFonts w:ascii="Palatino Linotype" w:eastAsia="Palatino Linotype" w:hAnsi="Palatino Linotype" w:cs="Palatino Linotype"/>
          <w:sz w:val="22"/>
        </w:rPr>
        <w:t>, se llevó a cabo la</w:t>
      </w:r>
      <w:r w:rsidR="00BD2CD8" w:rsidRPr="00EA52AE">
        <w:rPr>
          <w:rFonts w:ascii="Palatino Linotype" w:eastAsia="Palatino Linotype" w:hAnsi="Palatino Linotype" w:cs="Palatino Linotype"/>
          <w:sz w:val="22"/>
        </w:rPr>
        <w:t xml:space="preserve"> inauguración del “Parque Recreativo, San Rafael”</w:t>
      </w:r>
      <w:r w:rsidRPr="00EA52AE">
        <w:rPr>
          <w:rFonts w:ascii="Palatino Linotype" w:eastAsia="Palatino Linotype" w:hAnsi="Palatino Linotype" w:cs="Palatino Linotype"/>
          <w:sz w:val="22"/>
        </w:rPr>
        <w:t xml:space="preserve">. </w:t>
      </w:r>
    </w:p>
    <w:p w14:paraId="4548D5DB" w14:textId="77777777" w:rsidR="00312726" w:rsidRPr="00EA52AE" w:rsidRDefault="00312726" w:rsidP="00312726">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p>
    <w:p w14:paraId="1640FB2B" w14:textId="77777777" w:rsidR="00312726" w:rsidRPr="00EA52AE" w:rsidRDefault="00312726" w:rsidP="00312726">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rPr>
      </w:pPr>
      <w:r w:rsidRPr="00EA52AE">
        <w:rPr>
          <w:rFonts w:ascii="Palatino Linotype" w:eastAsia="Palatino Linotype" w:hAnsi="Palatino Linotype" w:cs="Palatino Linotype"/>
          <w:sz w:val="22"/>
        </w:rPr>
        <w:t>Derivado de lo anterior, se estima que, aun y cuando el particular no fue preciso con relación a su solicitud de información y el periodo de tiempo respecto del cual la requería, atendiendo la liga electrónica que aportó, se desprende que existen hechos notorios que pertenecen a circunstancias comúnmente conocidas en un determinado lugar; y que además, se trata de un acontecimiento del conocimiento público en el medio social donde ocurrió. Sirve de sustento a lo anterior, la tesis jurisprudencial número P./J. 74/2006, publicada en el Semanario Judicial de la Federación y su Gaceta bajo el número de registro 174,899, la cual es del tenor siguiente:</w:t>
      </w:r>
    </w:p>
    <w:p w14:paraId="55F05478" w14:textId="77777777" w:rsidR="00312726" w:rsidRPr="00EA52AE" w:rsidRDefault="00312726" w:rsidP="00312726">
      <w:pPr>
        <w:ind w:left="720" w:right="850"/>
        <w:jc w:val="both"/>
        <w:rPr>
          <w:rFonts w:ascii="Palatino Linotype" w:eastAsia="Palatino Linotype" w:hAnsi="Palatino Linotype" w:cs="Palatino Linotype"/>
          <w:b/>
          <w:i/>
          <w:sz w:val="22"/>
        </w:rPr>
      </w:pPr>
      <w:r w:rsidRPr="00EA52AE">
        <w:rPr>
          <w:rFonts w:ascii="Palatino Linotype" w:eastAsia="Palatino Linotype" w:hAnsi="Palatino Linotype" w:cs="Palatino Linotype"/>
          <w:b/>
          <w:i/>
          <w:sz w:val="22"/>
        </w:rPr>
        <w:t xml:space="preserve">“HECHOS NOTORIOS. CONCEPTOS GENERAL Y JURÍDICO. Conforme al artículo </w:t>
      </w:r>
      <w:hyperlink r:id="rId11">
        <w:r w:rsidRPr="00EA52AE">
          <w:rPr>
            <w:rFonts w:ascii="Palatino Linotype" w:eastAsia="Palatino Linotype" w:hAnsi="Palatino Linotype" w:cs="Palatino Linotype"/>
            <w:b/>
            <w:i/>
            <w:sz w:val="22"/>
          </w:rPr>
          <w:t>88 del Código Federal de Procedimientos Civiles</w:t>
        </w:r>
      </w:hyperlink>
      <w:r w:rsidRPr="00EA52AE">
        <w:rPr>
          <w:rFonts w:ascii="Palatino Linotype" w:eastAsia="Palatino Linotype" w:hAnsi="Palatino Linotype" w:cs="Palatino Linotype"/>
          <w:b/>
          <w:i/>
          <w:sz w:val="22"/>
        </w:rPr>
        <w:t xml:space="preserve"> los tribunales pueden invocar hechos </w:t>
      </w:r>
      <w:proofErr w:type="gramStart"/>
      <w:r w:rsidRPr="00EA52AE">
        <w:rPr>
          <w:rFonts w:ascii="Palatino Linotype" w:eastAsia="Palatino Linotype" w:hAnsi="Palatino Linotype" w:cs="Palatino Linotype"/>
          <w:b/>
          <w:i/>
          <w:sz w:val="22"/>
        </w:rPr>
        <w:t>notorios</w:t>
      </w:r>
      <w:proofErr w:type="gramEnd"/>
      <w:r w:rsidRPr="00EA52AE">
        <w:rPr>
          <w:rFonts w:ascii="Palatino Linotype" w:eastAsia="Palatino Linotype" w:hAnsi="Palatino Linotype" w:cs="Palatino Linotype"/>
          <w:b/>
          <w:i/>
          <w:sz w:val="22"/>
        </w:rPr>
        <w:t xml:space="preserve"> aunque no hayan sido alegados ni probados por las partes.</w:t>
      </w:r>
      <w:r w:rsidRPr="00EA52AE">
        <w:rPr>
          <w:rFonts w:ascii="Palatino Linotype" w:eastAsia="Palatino Linotype" w:hAnsi="Palatino Linotype" w:cs="Palatino Linotype"/>
          <w:i/>
          <w:sz w:val="22"/>
        </w:rPr>
        <w:t xml:space="preserve"> Por hechos notorios deben entenderse, en general, aquellos que por el conocimiento humano se consideran ciertos e indiscutibles, ya sea que pertenezcan a la historia, a la ciencia, a la naturaleza</w:t>
      </w:r>
      <w:r w:rsidRPr="00EA52AE">
        <w:rPr>
          <w:rFonts w:ascii="Palatino Linotype" w:eastAsia="Palatino Linotype" w:hAnsi="Palatino Linotype" w:cs="Palatino Linotype"/>
          <w:b/>
          <w:i/>
          <w:sz w:val="22"/>
        </w:rPr>
        <w:t>, a las vicisitudes de la vida pública actual o a circunstancias comúnmente conocidas en un determinado lugar</w:t>
      </w:r>
      <w:r w:rsidRPr="00EA52AE">
        <w:rPr>
          <w:rFonts w:ascii="Palatino Linotype" w:eastAsia="Palatino Linotype" w:hAnsi="Palatino Linotype" w:cs="Palatino Linotype"/>
          <w:i/>
          <w:sz w:val="22"/>
        </w:rPr>
        <w:t xml:space="preserve">, </w:t>
      </w:r>
      <w:r w:rsidRPr="00EA52AE">
        <w:rPr>
          <w:rFonts w:ascii="Palatino Linotype" w:eastAsia="Palatino Linotype" w:hAnsi="Palatino Linotype" w:cs="Palatino Linotype"/>
          <w:b/>
          <w:i/>
          <w:sz w:val="22"/>
        </w:rPr>
        <w:t>de modo que toda persona de ese medio esté en condiciones de saberlo</w:t>
      </w:r>
      <w:r w:rsidRPr="00EA52AE">
        <w:rPr>
          <w:rFonts w:ascii="Palatino Linotype" w:eastAsia="Palatino Linotype" w:hAnsi="Palatino Linotype" w:cs="Palatino Linotype"/>
          <w:i/>
          <w:sz w:val="22"/>
        </w:rPr>
        <w:t xml:space="preserve">; y desde el punto de vista jurídico, hecho notorio es </w:t>
      </w:r>
      <w:r w:rsidRPr="00EA52AE">
        <w:rPr>
          <w:rFonts w:ascii="Palatino Linotype" w:eastAsia="Palatino Linotype" w:hAnsi="Palatino Linotype" w:cs="Palatino Linotype"/>
          <w:i/>
          <w:sz w:val="22"/>
        </w:rPr>
        <w:lastRenderedPageBreak/>
        <w:t>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7FE5741B" w14:textId="77777777" w:rsidR="00312726" w:rsidRPr="00EA52AE" w:rsidRDefault="00312726" w:rsidP="00312726">
      <w:pPr>
        <w:ind w:left="720" w:right="850"/>
        <w:jc w:val="both"/>
        <w:rPr>
          <w:rFonts w:ascii="Palatino Linotype" w:eastAsia="Palatino Linotype" w:hAnsi="Palatino Linotype" w:cs="Palatino Linotype"/>
          <w:i/>
          <w:sz w:val="22"/>
        </w:rPr>
      </w:pPr>
      <w:r w:rsidRPr="00EA52AE">
        <w:rPr>
          <w:rFonts w:ascii="Palatino Linotype" w:eastAsia="Palatino Linotype" w:hAnsi="Palatino Linotype" w:cs="Palatino Linotype"/>
          <w:i/>
          <w:sz w:val="22"/>
        </w:rPr>
        <w:t>Controversia constitucional 24/2005. Cámara de Diputados del Congreso de la Unión. 9 de marzo de 2006. Once votos. Ponente: José Ramón Cossío Díaz. Secretarios: Raúl Manuel Mejía Garza y Laura Patricia Rojas Zamudio.</w:t>
      </w:r>
    </w:p>
    <w:p w14:paraId="20A41AF5" w14:textId="77777777" w:rsidR="00312726" w:rsidRPr="00EA52AE" w:rsidRDefault="00312726" w:rsidP="00312726">
      <w:pPr>
        <w:ind w:left="720" w:right="850"/>
        <w:jc w:val="both"/>
        <w:rPr>
          <w:rFonts w:ascii="Palatino Linotype" w:eastAsia="Palatino Linotype" w:hAnsi="Palatino Linotype" w:cs="Palatino Linotype"/>
          <w:i/>
          <w:sz w:val="22"/>
        </w:rPr>
      </w:pPr>
      <w:r w:rsidRPr="00EA52AE">
        <w:rPr>
          <w:rFonts w:ascii="Palatino Linotype" w:eastAsia="Palatino Linotype" w:hAnsi="Palatino Linotype" w:cs="Palatino Linotype"/>
          <w:i/>
          <w:sz w:val="22"/>
        </w:rPr>
        <w:t>El Tribunal Pleno, el dieciséis de mayo en curso, aprobó, con el número 74/2006, la tesis jurisprudencial que antecede. México, Distrito Federal, a dieciséis de mayo de dos mil seis.</w:t>
      </w:r>
    </w:p>
    <w:p w14:paraId="52AAF91A" w14:textId="77777777" w:rsidR="00312726" w:rsidRPr="00EA52AE" w:rsidRDefault="00312726" w:rsidP="00312726">
      <w:pPr>
        <w:ind w:left="720" w:right="758"/>
        <w:jc w:val="both"/>
        <w:rPr>
          <w:rFonts w:ascii="Palatino Linotype" w:eastAsia="Palatino Linotype" w:hAnsi="Palatino Linotype" w:cs="Palatino Linotype"/>
          <w:sz w:val="22"/>
        </w:rPr>
      </w:pPr>
      <w:r w:rsidRPr="00EA52AE">
        <w:rPr>
          <w:rFonts w:ascii="Palatino Linotype" w:eastAsia="Palatino Linotype" w:hAnsi="Palatino Linotype" w:cs="Palatino Linotype"/>
          <w:i/>
          <w:sz w:val="22"/>
        </w:rPr>
        <w:t>Nota: Esta tesis fue objeto de la denuncia relativa a la contradicción de tesis 91/2014, desechada por notoriamente improcedente, mediante acuerdo de 24 de marzo de 2014” (Sic)</w:t>
      </w:r>
    </w:p>
    <w:p w14:paraId="04233AF5" w14:textId="77777777" w:rsidR="00312726" w:rsidRPr="00EA52AE" w:rsidRDefault="00312726" w:rsidP="00312726">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p>
    <w:p w14:paraId="56997AAE" w14:textId="77777777" w:rsidR="00312726" w:rsidRPr="00EA52AE" w:rsidRDefault="00312726" w:rsidP="00BD2CD8">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r w:rsidRPr="00EA52AE">
        <w:rPr>
          <w:rFonts w:ascii="Palatino Linotype" w:eastAsia="Palatino Linotype" w:hAnsi="Palatino Linotype" w:cs="Palatino Linotype"/>
          <w:sz w:val="22"/>
        </w:rPr>
        <w:t xml:space="preserve">En esa tesitura, es dable tener que </w:t>
      </w:r>
      <w:r w:rsidR="00BD2CD8" w:rsidRPr="00EA52AE">
        <w:rPr>
          <w:rFonts w:ascii="Palatino Linotype" w:eastAsia="Palatino Linotype" w:hAnsi="Palatino Linotype" w:cs="Palatino Linotype"/>
          <w:sz w:val="22"/>
        </w:rPr>
        <w:t xml:space="preserve">la información a la que pretende acceder el particular es con </w:t>
      </w:r>
      <w:r w:rsidRPr="00EA52AE">
        <w:rPr>
          <w:rFonts w:ascii="Palatino Linotype" w:eastAsia="Palatino Linotype" w:hAnsi="Palatino Linotype" w:cs="Palatino Linotype"/>
          <w:sz w:val="22"/>
        </w:rPr>
        <w:t>relación a</w:t>
      </w:r>
      <w:r w:rsidR="00BD2CD8" w:rsidRPr="00EA52AE">
        <w:rPr>
          <w:rFonts w:ascii="Palatino Linotype" w:eastAsia="Palatino Linotype" w:hAnsi="Palatino Linotype" w:cs="Palatino Linotype"/>
          <w:sz w:val="22"/>
        </w:rPr>
        <w:t xml:space="preserve"> la </w:t>
      </w:r>
      <w:r w:rsidR="002B5092" w:rsidRPr="00EA52AE">
        <w:rPr>
          <w:rFonts w:ascii="Palatino Linotype" w:eastAsia="Palatino Linotype" w:hAnsi="Palatino Linotype" w:cs="Palatino Linotype"/>
          <w:sz w:val="22"/>
        </w:rPr>
        <w:t xml:space="preserve">construcción e </w:t>
      </w:r>
      <w:r w:rsidR="00BD2CD8" w:rsidRPr="00EA52AE">
        <w:rPr>
          <w:rFonts w:ascii="Palatino Linotype" w:eastAsia="Palatino Linotype" w:hAnsi="Palatino Linotype" w:cs="Palatino Linotype"/>
          <w:sz w:val="22"/>
        </w:rPr>
        <w:t>inauguración del “Parque Recreativo, San Rafael” llevada a cabo el 06 de junio de 2024.</w:t>
      </w:r>
    </w:p>
    <w:p w14:paraId="59044F75" w14:textId="77777777" w:rsidR="00312726" w:rsidRPr="00EA52AE" w:rsidRDefault="00312726" w:rsidP="00B910CA">
      <w:pPr>
        <w:spacing w:line="360" w:lineRule="auto"/>
        <w:ind w:right="49"/>
        <w:jc w:val="both"/>
        <w:rPr>
          <w:rFonts w:ascii="Palatino Linotype" w:eastAsia="Palatino Linotype" w:hAnsi="Palatino Linotype" w:cs="Palatino Linotype"/>
          <w:sz w:val="22"/>
          <w:szCs w:val="22"/>
        </w:rPr>
      </w:pPr>
    </w:p>
    <w:p w14:paraId="15692B13" w14:textId="77777777" w:rsidR="00B910CA" w:rsidRPr="00EA52AE" w:rsidRDefault="00BD2CD8"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Acotado lo anterior, es de indicar que, e</w:t>
      </w:r>
      <w:r w:rsidR="006424C5" w:rsidRPr="00EA52AE">
        <w:rPr>
          <w:rFonts w:ascii="Palatino Linotype" w:eastAsia="Palatino Linotype" w:hAnsi="Palatino Linotype" w:cs="Palatino Linotype"/>
          <w:sz w:val="22"/>
          <w:szCs w:val="22"/>
        </w:rPr>
        <w:t xml:space="preserve">n respuesta, el </w:t>
      </w:r>
      <w:r w:rsidR="006424C5" w:rsidRPr="00EA52AE">
        <w:rPr>
          <w:rFonts w:ascii="Palatino Linotype" w:eastAsia="Palatino Linotype" w:hAnsi="Palatino Linotype" w:cs="Palatino Linotype"/>
          <w:b/>
          <w:sz w:val="22"/>
          <w:szCs w:val="22"/>
        </w:rPr>
        <w:t xml:space="preserve">Sujeto Obligado </w:t>
      </w:r>
      <w:r w:rsidR="00C24FBD" w:rsidRPr="00EA52AE">
        <w:rPr>
          <w:rFonts w:ascii="Palatino Linotype" w:eastAsia="Palatino Linotype" w:hAnsi="Palatino Linotype" w:cs="Palatino Linotype"/>
          <w:sz w:val="22"/>
          <w:szCs w:val="22"/>
        </w:rPr>
        <w:t>se pronunció por conducto de la Dirección de Desarrollo Urbano y de Obras Públicas y la Tesorería Municipal, quienes proporcionaron la siguiente información:</w:t>
      </w:r>
    </w:p>
    <w:p w14:paraId="7EA63D22" w14:textId="77777777" w:rsidR="00C24FBD" w:rsidRPr="00EA52AE" w:rsidRDefault="00C24FBD" w:rsidP="00B910CA">
      <w:pPr>
        <w:spacing w:line="360" w:lineRule="auto"/>
        <w:ind w:right="49"/>
        <w:jc w:val="both"/>
        <w:rPr>
          <w:rFonts w:ascii="Palatino Linotype" w:eastAsia="Palatino Linotype" w:hAnsi="Palatino Linotype" w:cs="Palatino Linotype"/>
          <w:sz w:val="22"/>
          <w:szCs w:val="22"/>
        </w:rPr>
      </w:pPr>
    </w:p>
    <w:p w14:paraId="4A843B42" w14:textId="77777777" w:rsidR="00C24FBD" w:rsidRPr="00EA52AE" w:rsidRDefault="00C24FBD" w:rsidP="00C24FBD">
      <w:pPr>
        <w:pStyle w:val="Prrafodelista"/>
        <w:numPr>
          <w:ilvl w:val="0"/>
          <w:numId w:val="10"/>
        </w:numPr>
        <w:spacing w:line="276"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El </w:t>
      </w:r>
      <w:proofErr w:type="gramStart"/>
      <w:r w:rsidRPr="00EA52AE">
        <w:rPr>
          <w:rFonts w:ascii="Palatino Linotype" w:eastAsia="Palatino Linotype" w:hAnsi="Palatino Linotype" w:cs="Palatino Linotype"/>
          <w:sz w:val="22"/>
          <w:szCs w:val="22"/>
        </w:rPr>
        <w:t>Director</w:t>
      </w:r>
      <w:proofErr w:type="gramEnd"/>
      <w:r w:rsidRPr="00EA52AE">
        <w:rPr>
          <w:rFonts w:ascii="Palatino Linotype" w:eastAsia="Palatino Linotype" w:hAnsi="Palatino Linotype" w:cs="Palatino Linotype"/>
          <w:sz w:val="22"/>
          <w:szCs w:val="22"/>
        </w:rPr>
        <w:t xml:space="preserve"> de Desarrollo Urbano y de Obras Públicas sobre los contratos celebrados para la construcción del Parque recreativo, San Rafael, indicó que el contrato se podía consultar en la página oficial del municipio, ingresando en: Tlalmanalco </w:t>
      </w:r>
      <w:proofErr w:type="spellStart"/>
      <w:r w:rsidRPr="00EA52AE">
        <w:rPr>
          <w:rFonts w:ascii="Palatino Linotype" w:eastAsia="Palatino Linotype" w:hAnsi="Palatino Linotype" w:cs="Palatino Linotype"/>
          <w:sz w:val="22"/>
          <w:szCs w:val="22"/>
        </w:rPr>
        <w:t>Gob</w:t>
      </w:r>
      <w:proofErr w:type="spellEnd"/>
      <w:r w:rsidRPr="00EA52AE">
        <w:rPr>
          <w:rFonts w:ascii="Palatino Linotype" w:eastAsia="Palatino Linotype" w:hAnsi="Palatino Linotype" w:cs="Palatino Linotype"/>
          <w:sz w:val="22"/>
          <w:szCs w:val="22"/>
        </w:rPr>
        <w:t xml:space="preserve">, apartado AYUNTAMIENTO/OBRAS PÚBLICAS/FAISMUN/FAISMUN02/CONTRATO.; anexando </w:t>
      </w:r>
      <w:r w:rsidR="007A5C72" w:rsidRPr="00EA52AE">
        <w:rPr>
          <w:rFonts w:ascii="Palatino Linotype" w:eastAsia="Palatino Linotype" w:hAnsi="Palatino Linotype" w:cs="Palatino Linotype"/>
          <w:sz w:val="22"/>
          <w:szCs w:val="22"/>
        </w:rPr>
        <w:t>un link en formato cerrado:</w:t>
      </w:r>
    </w:p>
    <w:p w14:paraId="4DE24132" w14:textId="77777777" w:rsidR="007A5C72" w:rsidRPr="00EA52AE" w:rsidRDefault="007A5C72" w:rsidP="007A5C72">
      <w:pPr>
        <w:pStyle w:val="Prrafodelista"/>
        <w:spacing w:line="276" w:lineRule="auto"/>
        <w:ind w:left="360"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lang w:val="es-MX"/>
        </w:rPr>
        <w:drawing>
          <wp:inline distT="0" distB="0" distL="0" distR="0" wp14:anchorId="375DFFA9" wp14:editId="2C25BF27">
            <wp:extent cx="4993005" cy="2679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005" cy="267970"/>
                    </a:xfrm>
                    <a:prstGeom prst="rect">
                      <a:avLst/>
                    </a:prstGeom>
                    <a:noFill/>
                  </pic:spPr>
                </pic:pic>
              </a:graphicData>
            </a:graphic>
          </wp:inline>
        </w:drawing>
      </w:r>
    </w:p>
    <w:p w14:paraId="7BEBFC6B" w14:textId="77777777" w:rsidR="007A5C72" w:rsidRPr="00EA52AE" w:rsidRDefault="007A5C72" w:rsidP="007A5C7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Con relación a los demás puntos, se indicó lo siguiente:</w:t>
      </w:r>
    </w:p>
    <w:p w14:paraId="273F8C3C" w14:textId="77777777" w:rsidR="007A5C72" w:rsidRPr="00EA52AE" w:rsidRDefault="007A5C72" w:rsidP="007A5C72">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lastRenderedPageBreak/>
        <w:drawing>
          <wp:inline distT="0" distB="0" distL="0" distR="0" wp14:anchorId="3F22FCF5" wp14:editId="3C4F08EA">
            <wp:extent cx="4515480" cy="68589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5480" cy="685896"/>
                    </a:xfrm>
                    <a:prstGeom prst="rect">
                      <a:avLst/>
                    </a:prstGeom>
                  </pic:spPr>
                </pic:pic>
              </a:graphicData>
            </a:graphic>
          </wp:inline>
        </w:drawing>
      </w:r>
    </w:p>
    <w:p w14:paraId="4BF39AE9" w14:textId="77777777" w:rsidR="00C24FBD" w:rsidRPr="00EA52AE" w:rsidRDefault="00C24FBD" w:rsidP="00C24FBD">
      <w:pPr>
        <w:pStyle w:val="Prrafodelista"/>
        <w:spacing w:line="276" w:lineRule="auto"/>
        <w:ind w:left="360" w:right="49"/>
        <w:jc w:val="both"/>
        <w:rPr>
          <w:rFonts w:ascii="Palatino Linotype" w:eastAsia="Palatino Linotype" w:hAnsi="Palatino Linotype" w:cs="Palatino Linotype"/>
          <w:sz w:val="22"/>
          <w:szCs w:val="22"/>
        </w:rPr>
      </w:pPr>
    </w:p>
    <w:p w14:paraId="5B8AB090" w14:textId="77777777" w:rsidR="00C24FBD" w:rsidRPr="00EA52AE" w:rsidRDefault="00C24FBD" w:rsidP="00C24FBD">
      <w:pPr>
        <w:pStyle w:val="Prrafodelista"/>
        <w:numPr>
          <w:ilvl w:val="0"/>
          <w:numId w:val="10"/>
        </w:numPr>
        <w:spacing w:line="276"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El Tesorero Municipal hizo del conocimiento que con relación a la información requerida sobre los costos y demás gastos por la construcción y/o inauguración del parque recreativo, San Rafael, que la misma se encontraba en dominio de la Dirección de Desarrollo Urbano y Obras Públicas, ya que al momento no le ha sido remitido al área para el proceso de cierre trimestral; asimismo, informó que para ese tipo de egresos no se generan pólizas de cheques como son solicitadas.</w:t>
      </w:r>
    </w:p>
    <w:p w14:paraId="72A46EEF"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2940B2DF" w14:textId="77777777" w:rsidR="00B910CA" w:rsidRPr="00EA52AE" w:rsidRDefault="00B910CA" w:rsidP="00B910CA">
      <w:pPr>
        <w:spacing w:line="360" w:lineRule="auto"/>
        <w:ind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 xml:space="preserve">Inconforme con la respuesta la parte </w:t>
      </w:r>
      <w:r w:rsidRPr="00EA52AE">
        <w:rPr>
          <w:rFonts w:ascii="Palatino Linotype" w:eastAsia="Palatino Linotype" w:hAnsi="Palatino Linotype" w:cs="Palatino Linotype"/>
          <w:b/>
          <w:sz w:val="22"/>
          <w:szCs w:val="22"/>
        </w:rPr>
        <w:t xml:space="preserve">Recurrente, </w:t>
      </w:r>
      <w:r w:rsidRPr="00EA52AE">
        <w:rPr>
          <w:rFonts w:ascii="Palatino Linotype" w:eastAsia="Palatino Linotype" w:hAnsi="Palatino Linotype" w:cs="Palatino Linotype"/>
          <w:sz w:val="22"/>
          <w:szCs w:val="22"/>
        </w:rPr>
        <w:t xml:space="preserve">promovió el presente recurso de revisión en el que a manera de motivos de inconformidad se adolece medularmente de la </w:t>
      </w:r>
      <w:r w:rsidR="008C7543" w:rsidRPr="00EA52AE">
        <w:rPr>
          <w:rFonts w:ascii="Palatino Linotype" w:eastAsia="Palatino Linotype" w:hAnsi="Palatino Linotype" w:cs="Palatino Linotype"/>
          <w:sz w:val="22"/>
          <w:szCs w:val="22"/>
        </w:rPr>
        <w:t xml:space="preserve">falta de respuesta a su solicitud de información, así como la entrega de información en un formato inaccesible, esto último ya que refiere que el link entregado por el ente público no remite a al contrato que remite el </w:t>
      </w:r>
      <w:r w:rsidR="008C7543" w:rsidRPr="00EA52AE">
        <w:rPr>
          <w:rFonts w:ascii="Palatino Linotype" w:eastAsia="Palatino Linotype" w:hAnsi="Palatino Linotype" w:cs="Palatino Linotype"/>
          <w:b/>
          <w:sz w:val="22"/>
          <w:szCs w:val="22"/>
        </w:rPr>
        <w:t>Sujeto Obligado</w:t>
      </w:r>
      <w:r w:rsidR="00DE57C4" w:rsidRPr="00EA52AE">
        <w:rPr>
          <w:rFonts w:ascii="Palatino Linotype" w:eastAsia="Palatino Linotype" w:hAnsi="Palatino Linotype" w:cs="Palatino Linotype"/>
          <w:b/>
          <w:sz w:val="22"/>
          <w:szCs w:val="22"/>
        </w:rPr>
        <w:t>.</w:t>
      </w:r>
    </w:p>
    <w:p w14:paraId="321AEC01"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4DDCB7C8"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Admitido el presente recurso de revisión, en términos del artículo 185 fracción II</w:t>
      </w:r>
      <w:r w:rsidRPr="00EA52AE">
        <w:rPr>
          <w:rFonts w:ascii="Palatino Linotype" w:eastAsia="Palatino Linotype" w:hAnsi="Palatino Linotype" w:cs="Palatino Linotype"/>
          <w:sz w:val="22"/>
          <w:szCs w:val="22"/>
          <w:vertAlign w:val="superscript"/>
        </w:rPr>
        <w:footnoteReference w:id="3"/>
      </w:r>
      <w:r w:rsidRPr="00EA52A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7835032"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73A84E26" w14:textId="77777777" w:rsidR="00DE57C4" w:rsidRPr="00EA52AE"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Cabe resaltar que durante la etapa de manifestaciones </w:t>
      </w:r>
      <w:r w:rsidRPr="00EA52AE">
        <w:rPr>
          <w:rFonts w:ascii="Palatino Linotype" w:eastAsia="Palatino Linotype" w:hAnsi="Palatino Linotype" w:cs="Palatino Linotype"/>
          <w:b/>
          <w:sz w:val="22"/>
          <w:szCs w:val="22"/>
        </w:rPr>
        <w:t>el Sujeto Obligado</w:t>
      </w:r>
      <w:r w:rsidRPr="00EA52AE">
        <w:rPr>
          <w:rFonts w:ascii="Palatino Linotype" w:eastAsia="Palatino Linotype" w:hAnsi="Palatino Linotype" w:cs="Palatino Linotype"/>
          <w:sz w:val="22"/>
          <w:szCs w:val="22"/>
        </w:rPr>
        <w:t xml:space="preserve"> rindió su informe justificado, </w:t>
      </w:r>
      <w:r w:rsidR="00DE57C4" w:rsidRPr="00EA52AE">
        <w:rPr>
          <w:rFonts w:ascii="Palatino Linotype" w:eastAsia="Palatino Linotype" w:hAnsi="Palatino Linotype" w:cs="Palatino Linotype"/>
          <w:sz w:val="22"/>
          <w:szCs w:val="22"/>
        </w:rPr>
        <w:t xml:space="preserve">en el que ratifica su respuesta inicial, y con relación al link donde remitió el contrato por la obra </w:t>
      </w:r>
      <w:r w:rsidR="002B5092" w:rsidRPr="00EA52AE">
        <w:rPr>
          <w:rFonts w:ascii="Palatino Linotype" w:eastAsia="Palatino Linotype" w:hAnsi="Palatino Linotype" w:cs="Palatino Linotype"/>
          <w:sz w:val="22"/>
          <w:szCs w:val="22"/>
        </w:rPr>
        <w:t>requerida, señaló que el mismo sí d</w:t>
      </w:r>
      <w:r w:rsidR="00DE57C4" w:rsidRPr="00EA52AE">
        <w:rPr>
          <w:rFonts w:ascii="Palatino Linotype" w:eastAsia="Palatino Linotype" w:hAnsi="Palatino Linotype" w:cs="Palatino Linotype"/>
          <w:sz w:val="22"/>
          <w:szCs w:val="22"/>
        </w:rPr>
        <w:t xml:space="preserve">irecciona a dicho instrumento; </w:t>
      </w:r>
      <w:r w:rsidR="00DE57C4" w:rsidRPr="00EA52AE">
        <w:rPr>
          <w:rFonts w:ascii="Palatino Linotype" w:eastAsia="Palatino Linotype" w:hAnsi="Palatino Linotype" w:cs="Palatino Linotype"/>
          <w:sz w:val="22"/>
          <w:szCs w:val="22"/>
        </w:rPr>
        <w:lastRenderedPageBreak/>
        <w:t>procediendo a adjuntar de nueva cuenta el enlace y haciendo entrega de dicho contrato en formato pdf.</w:t>
      </w:r>
    </w:p>
    <w:p w14:paraId="1ACB0CA8" w14:textId="77777777" w:rsidR="00DE57C4" w:rsidRPr="00EA52AE" w:rsidRDefault="00DE57C4" w:rsidP="00B910C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B13E74" w14:textId="77777777" w:rsidR="00B910CA" w:rsidRPr="00EA52AE" w:rsidRDefault="00B910CA" w:rsidP="00B910C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 xml:space="preserve">Por su lado, la parte </w:t>
      </w:r>
      <w:r w:rsidRPr="00EA52AE">
        <w:rPr>
          <w:rFonts w:ascii="Palatino Linotype" w:eastAsia="Palatino Linotype" w:hAnsi="Palatino Linotype" w:cs="Palatino Linotype"/>
          <w:b/>
          <w:sz w:val="22"/>
          <w:szCs w:val="22"/>
        </w:rPr>
        <w:t xml:space="preserve">Recurrente </w:t>
      </w:r>
      <w:r w:rsidR="00DE57C4" w:rsidRPr="00EA52AE">
        <w:rPr>
          <w:rFonts w:ascii="Palatino Linotype" w:eastAsia="Palatino Linotype" w:hAnsi="Palatino Linotype" w:cs="Palatino Linotype"/>
          <w:sz w:val="22"/>
          <w:szCs w:val="22"/>
        </w:rPr>
        <w:t xml:space="preserve">fue omisa en realizar manifestaciones o rendir alegatos con relación al informe justificado rendido por el </w:t>
      </w:r>
      <w:r w:rsidR="00DE57C4" w:rsidRPr="00EA52AE">
        <w:rPr>
          <w:rFonts w:ascii="Palatino Linotype" w:eastAsia="Palatino Linotype" w:hAnsi="Palatino Linotype" w:cs="Palatino Linotype"/>
          <w:b/>
          <w:sz w:val="22"/>
          <w:szCs w:val="22"/>
        </w:rPr>
        <w:t>Sujeto Obligado.</w:t>
      </w:r>
    </w:p>
    <w:p w14:paraId="7CB5D588"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66CDCA19"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Una vez establecidas las posturas de las partes, toda vez que el requerimiento de información versa sobre información relativa a una obra pública, resulta conveniente citar el contenido de los artículos 12.1, fracción III, 12.2., 12.4. </w:t>
      </w:r>
      <w:r w:rsidR="002B5092" w:rsidRPr="00EA52AE">
        <w:rPr>
          <w:rFonts w:ascii="Palatino Linotype" w:eastAsia="Palatino Linotype" w:hAnsi="Palatino Linotype" w:cs="Palatino Linotype"/>
          <w:sz w:val="22"/>
          <w:szCs w:val="22"/>
        </w:rPr>
        <w:t>Fracción</w:t>
      </w:r>
      <w:r w:rsidRPr="00EA52AE">
        <w:rPr>
          <w:rFonts w:ascii="Palatino Linotype" w:eastAsia="Palatino Linotype" w:hAnsi="Palatino Linotype" w:cs="Palatino Linotype"/>
          <w:sz w:val="22"/>
          <w:szCs w:val="22"/>
        </w:rPr>
        <w:t xml:space="preserve"> I, 12.20, 12.21 y 12.42, fracción I del Libro Décimo Segundo del Código Administrativo del Estado de México, a saber:</w:t>
      </w:r>
    </w:p>
    <w:p w14:paraId="7FCF1F7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47F7C24C"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06E5A6D1"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333D6529" w14:textId="77777777" w:rsidR="00B910CA" w:rsidRPr="00EA52AE" w:rsidRDefault="00B910CA" w:rsidP="00B910CA">
      <w:pPr>
        <w:ind w:left="567" w:right="56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III. Los ayuntamientos de los municipios del Estado;</w:t>
      </w:r>
    </w:p>
    <w:p w14:paraId="555EA970"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2B971BD5"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5F1394AA"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0D3B393E"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340FC030"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12.4.- </w:t>
      </w:r>
      <w:r w:rsidRPr="00EA52AE">
        <w:rPr>
          <w:rFonts w:ascii="Palatino Linotype" w:eastAsia="Palatino Linotype" w:hAnsi="Palatino Linotype" w:cs="Palatino Linotype"/>
          <w:b/>
          <w:i/>
          <w:sz w:val="22"/>
          <w:szCs w:val="22"/>
        </w:rPr>
        <w:t xml:space="preserve">Se considera obra pública todo trabajo que tenga por objeto principal construir, instalar, ampliar, adecuar, remodelar, restaurar, conservar, mantener, modificar o demoler bienes inmuebles propiedad </w:t>
      </w:r>
      <w:r w:rsidRPr="00EA52AE">
        <w:rPr>
          <w:rFonts w:ascii="Palatino Linotype" w:eastAsia="Palatino Linotype" w:hAnsi="Palatino Linotype" w:cs="Palatino Linotype"/>
          <w:i/>
          <w:sz w:val="22"/>
          <w:szCs w:val="22"/>
        </w:rPr>
        <w:t xml:space="preserve">del Estado, de sus dependencias y entidades </w:t>
      </w:r>
      <w:r w:rsidRPr="00EA52AE">
        <w:rPr>
          <w:rFonts w:ascii="Palatino Linotype" w:eastAsia="Palatino Linotype" w:hAnsi="Palatino Linotype" w:cs="Palatino Linotype"/>
          <w:b/>
          <w:i/>
          <w:sz w:val="22"/>
          <w:szCs w:val="22"/>
          <w:u w:val="single"/>
        </w:rPr>
        <w:t>y de los municipios</w:t>
      </w:r>
      <w:r w:rsidRPr="00EA52AE">
        <w:rPr>
          <w:rFonts w:ascii="Palatino Linotype" w:eastAsia="Palatino Linotype" w:hAnsi="Palatino Linotype" w:cs="Palatino Linotype"/>
          <w:i/>
          <w:sz w:val="22"/>
          <w:szCs w:val="22"/>
        </w:rPr>
        <w:t xml:space="preserve"> y sus organismos con cargo a recursos públicos estatales o municipales. </w:t>
      </w:r>
    </w:p>
    <w:p w14:paraId="5B4CC1E9"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2AB7E4A2"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Quedan comprendidos dentro de la obra pública:</w:t>
      </w:r>
    </w:p>
    <w:p w14:paraId="6BCADE49"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w:t>
      </w:r>
    </w:p>
    <w:p w14:paraId="60BE82A4"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07A6AB9E" w14:textId="77777777" w:rsidR="00B910CA" w:rsidRPr="00EA52AE" w:rsidRDefault="00B910CA" w:rsidP="00B910CA">
      <w:pPr>
        <w:ind w:left="567" w:right="56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I. El mantenimiento, restauración, desmantelamiento o remoción de bienes muebles incorporados o adheridos a un inmueble;</w:t>
      </w:r>
    </w:p>
    <w:p w14:paraId="20127E4E"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 […]”</w:t>
      </w:r>
    </w:p>
    <w:p w14:paraId="008428C4"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691CA40B"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12.20.- </w:t>
      </w:r>
      <w:r w:rsidRPr="00EA52AE">
        <w:rPr>
          <w:rFonts w:ascii="Palatino Linotype" w:eastAsia="Palatino Linotype" w:hAnsi="Palatino Linotype" w:cs="Palatino Linotype"/>
          <w:b/>
          <w:i/>
          <w:sz w:val="22"/>
          <w:szCs w:val="22"/>
        </w:rPr>
        <w:t>Los contratos a que se refiere este Libro, se adjudicarán a través de licitaciones públicas, mediante convocatoria pública.”</w:t>
      </w:r>
      <w:r w:rsidRPr="00EA52AE">
        <w:rPr>
          <w:rFonts w:ascii="Palatino Linotype" w:eastAsia="Palatino Linotype" w:hAnsi="Palatino Linotype" w:cs="Palatino Linotype"/>
          <w:i/>
          <w:sz w:val="22"/>
          <w:szCs w:val="22"/>
        </w:rPr>
        <w:t xml:space="preserve"> </w:t>
      </w:r>
    </w:p>
    <w:p w14:paraId="0ACE26B9"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21B0354A"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12.21.- Las dependencias, entidades y ayuntamientos podrán adjudicar contratos para la ejecución de obra pública o servicios relacionados con la misma mediante las excepciones al procedimiento de licitación siguientes: </w:t>
      </w:r>
    </w:p>
    <w:p w14:paraId="7FF9268E"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 Invitación restringida; </w:t>
      </w:r>
    </w:p>
    <w:p w14:paraId="14490B27"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II. Adjudicación directa.”</w:t>
      </w:r>
    </w:p>
    <w:p w14:paraId="513D8A7E"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40F6EDDF"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12.42.- Los contratos de obra pública o de servicios relacionados con la misma, podrán ser de tres tipos: </w:t>
      </w:r>
    </w:p>
    <w:p w14:paraId="5C1065A4"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7C18386A" w14:textId="77777777" w:rsidR="00B910CA" w:rsidRPr="00EA52AE" w:rsidRDefault="00B910CA" w:rsidP="00B910CA">
      <w:pPr>
        <w:ind w:left="567" w:right="560"/>
        <w:jc w:val="both"/>
        <w:rPr>
          <w:rFonts w:ascii="Palatino Linotype" w:eastAsia="Palatino Linotype" w:hAnsi="Palatino Linotype" w:cs="Palatino Linotype"/>
          <w:b/>
          <w:i/>
          <w:sz w:val="22"/>
          <w:szCs w:val="22"/>
          <w:u w:val="single"/>
        </w:rPr>
      </w:pPr>
      <w:r w:rsidRPr="00EA52AE">
        <w:rPr>
          <w:rFonts w:ascii="Palatino Linotype" w:eastAsia="Palatino Linotype" w:hAnsi="Palatino Linotype" w:cs="Palatino Linotype"/>
          <w:b/>
          <w:i/>
          <w:sz w:val="22"/>
          <w:szCs w:val="22"/>
          <w:u w:val="single"/>
        </w:rPr>
        <w:t>I. Sobre la base de precios unitarios, en cuyo caso el pago que deba cubrirse al contratista se hará por unidad de concepto de trabajo terminado;</w:t>
      </w:r>
    </w:p>
    <w:p w14:paraId="483933AB"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557FF605" w14:textId="77777777" w:rsidR="00B910CA" w:rsidRPr="00EA52AE" w:rsidRDefault="00B910CA" w:rsidP="00B910CA">
      <w:pPr>
        <w:ind w:left="567" w:right="560"/>
        <w:jc w:val="right"/>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(Énfasis añadido)</w:t>
      </w:r>
    </w:p>
    <w:p w14:paraId="290E01E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196C87FD"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De los preceptos anteriores, se advierte que el Código de Procedimientos Administrativos del Estado de México, dispone que es considerada como </w:t>
      </w:r>
      <w:r w:rsidRPr="00EA52AE">
        <w:rPr>
          <w:rFonts w:ascii="Palatino Linotype" w:eastAsia="Palatino Linotype" w:hAnsi="Palatino Linotype" w:cs="Palatino Linotype"/>
          <w:b/>
          <w:sz w:val="22"/>
          <w:szCs w:val="22"/>
          <w:u w:val="single"/>
        </w:rPr>
        <w:t>obra pública</w:t>
      </w:r>
      <w:r w:rsidRPr="00EA52AE">
        <w:rPr>
          <w:rFonts w:ascii="Palatino Linotype" w:eastAsia="Palatino Linotype" w:hAnsi="Palatino Linotype" w:cs="Palatino Linotype"/>
          <w:sz w:val="22"/>
          <w:szCs w:val="22"/>
        </w:rPr>
        <w:t xml:space="preserve">, todo trabajo que tenga por objeto principal </w:t>
      </w:r>
      <w:r w:rsidRPr="00EA52AE">
        <w:rPr>
          <w:rFonts w:ascii="Palatino Linotype" w:eastAsia="Palatino Linotype" w:hAnsi="Palatino Linotype" w:cs="Palatino Linotype"/>
          <w:b/>
          <w:sz w:val="22"/>
          <w:szCs w:val="22"/>
          <w:u w:val="single"/>
        </w:rPr>
        <w:t>construir,</w:t>
      </w:r>
      <w:r w:rsidRPr="00EA52AE">
        <w:rPr>
          <w:rFonts w:ascii="Palatino Linotype" w:eastAsia="Palatino Linotype" w:hAnsi="Palatino Linotype" w:cs="Palatino Linotype"/>
          <w:sz w:val="22"/>
          <w:szCs w:val="22"/>
        </w:rPr>
        <w:t xml:space="preserve"> instalar, ampliar, </w:t>
      </w:r>
      <w:r w:rsidRPr="00EA52AE">
        <w:rPr>
          <w:rFonts w:ascii="Palatino Linotype" w:eastAsia="Palatino Linotype" w:hAnsi="Palatino Linotype" w:cs="Palatino Linotype"/>
          <w:b/>
          <w:sz w:val="22"/>
          <w:szCs w:val="22"/>
          <w:u w:val="single"/>
        </w:rPr>
        <w:t>adecuar, remodelar,</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u w:val="single"/>
        </w:rPr>
        <w:t>restaurar,</w:t>
      </w:r>
      <w:r w:rsidRPr="00EA52AE">
        <w:rPr>
          <w:rFonts w:ascii="Palatino Linotype" w:eastAsia="Palatino Linotype" w:hAnsi="Palatino Linotype" w:cs="Palatino Linotype"/>
          <w:sz w:val="22"/>
          <w:szCs w:val="22"/>
        </w:rPr>
        <w:t xml:space="preserve"> conservar, mantener, </w:t>
      </w:r>
      <w:r w:rsidRPr="00EA52AE">
        <w:rPr>
          <w:rFonts w:ascii="Palatino Linotype" w:eastAsia="Palatino Linotype" w:hAnsi="Palatino Linotype" w:cs="Palatino Linotype"/>
          <w:b/>
          <w:sz w:val="22"/>
          <w:szCs w:val="22"/>
          <w:u w:val="single"/>
        </w:rPr>
        <w:t>modificar</w:t>
      </w:r>
      <w:r w:rsidRPr="00EA52AE">
        <w:rPr>
          <w:rFonts w:ascii="Palatino Linotype" w:eastAsia="Palatino Linotype" w:hAnsi="Palatino Linotype" w:cs="Palatino Linotype"/>
          <w:sz w:val="22"/>
          <w:szCs w:val="22"/>
        </w:rPr>
        <w:t xml:space="preserve"> o demoler </w:t>
      </w:r>
      <w:r w:rsidRPr="00EA52AE">
        <w:rPr>
          <w:rFonts w:ascii="Palatino Linotype" w:eastAsia="Palatino Linotype" w:hAnsi="Palatino Linotype" w:cs="Palatino Linotype"/>
          <w:b/>
          <w:sz w:val="22"/>
          <w:szCs w:val="22"/>
        </w:rPr>
        <w:t>bienes inmuebles propiedad</w:t>
      </w:r>
      <w:r w:rsidRPr="00EA52AE">
        <w:rPr>
          <w:rFonts w:ascii="Palatino Linotype" w:eastAsia="Palatino Linotype" w:hAnsi="Palatino Linotype" w:cs="Palatino Linotype"/>
          <w:sz w:val="22"/>
          <w:szCs w:val="22"/>
        </w:rPr>
        <w:t xml:space="preserve">, entre otros, </w:t>
      </w:r>
      <w:r w:rsidRPr="00EA52AE">
        <w:rPr>
          <w:rFonts w:ascii="Palatino Linotype" w:eastAsia="Palatino Linotype" w:hAnsi="Palatino Linotype" w:cs="Palatino Linotype"/>
          <w:b/>
          <w:sz w:val="22"/>
          <w:szCs w:val="22"/>
        </w:rPr>
        <w:t>de los municipios</w:t>
      </w:r>
      <w:r w:rsidRPr="00EA52AE">
        <w:rPr>
          <w:rFonts w:ascii="Palatino Linotype" w:eastAsia="Palatino Linotype" w:hAnsi="Palatino Linotype" w:cs="Palatino Linotype"/>
          <w:sz w:val="22"/>
          <w:szCs w:val="22"/>
        </w:rPr>
        <w:t>; considerando dentro de estos trabajos, aquellos relacionados con el mantenimiento, restauración, desmantelamiento o remoción de bienes muebles incorporados o adheridos a un inmueble.</w:t>
      </w:r>
    </w:p>
    <w:p w14:paraId="73A9B2C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503D3DA9" w14:textId="77777777" w:rsidR="00B910CA" w:rsidRPr="00EA52AE" w:rsidRDefault="00B910CA" w:rsidP="003B3B2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Consecuentemente, las contrataciones de obra pública pueden llevarse a cabo</w:t>
      </w:r>
      <w:r w:rsidR="003B3B2A" w:rsidRPr="00EA52AE">
        <w:rPr>
          <w:rFonts w:ascii="Palatino Linotype" w:eastAsia="Palatino Linotype" w:hAnsi="Palatino Linotype" w:cs="Palatino Linotype"/>
          <w:sz w:val="22"/>
          <w:szCs w:val="22"/>
        </w:rPr>
        <w:t>, mediante</w:t>
      </w:r>
      <w:r w:rsidRPr="00EA52AE">
        <w:rPr>
          <w:rFonts w:ascii="Palatino Linotype" w:eastAsia="Palatino Linotype" w:hAnsi="Palatino Linotype" w:cs="Palatino Linotype"/>
          <w:sz w:val="22"/>
          <w:szCs w:val="22"/>
        </w:rPr>
        <w:t xml:space="preserve"> procedimientos de adquisición</w:t>
      </w:r>
      <w:r w:rsidR="003B3B2A" w:rsidRPr="00EA52AE">
        <w:rPr>
          <w:rFonts w:ascii="Palatino Linotype" w:eastAsia="Palatino Linotype" w:hAnsi="Palatino Linotype" w:cs="Palatino Linotype"/>
          <w:sz w:val="22"/>
          <w:szCs w:val="22"/>
        </w:rPr>
        <w:t>, entre los cuales</w:t>
      </w:r>
      <w:r w:rsidRPr="00EA52AE">
        <w:rPr>
          <w:rFonts w:ascii="Palatino Linotype" w:eastAsia="Palatino Linotype" w:hAnsi="Palatino Linotype" w:cs="Palatino Linotype"/>
          <w:sz w:val="22"/>
          <w:szCs w:val="22"/>
        </w:rPr>
        <w:t xml:space="preserve"> se encuentran </w:t>
      </w:r>
      <w:r w:rsidRPr="00EA52AE">
        <w:rPr>
          <w:rFonts w:ascii="Palatino Linotype" w:eastAsia="Palatino Linotype" w:hAnsi="Palatino Linotype" w:cs="Palatino Linotype"/>
          <w:b/>
          <w:sz w:val="22"/>
          <w:szCs w:val="22"/>
          <w:u w:val="single"/>
        </w:rPr>
        <w:t xml:space="preserve">las licitaciones públicas, invitación restringida y adjudicación directa, </w:t>
      </w:r>
      <w:r w:rsidRPr="00EA52AE">
        <w:rPr>
          <w:rFonts w:ascii="Palatino Linotype" w:eastAsia="Palatino Linotype" w:hAnsi="Palatino Linotype" w:cs="Palatino Linotype"/>
          <w:sz w:val="22"/>
          <w:szCs w:val="22"/>
          <w:u w:val="single"/>
        </w:rPr>
        <w:t>por la contratación de obra pública.</w:t>
      </w:r>
    </w:p>
    <w:p w14:paraId="5873587B"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5C164996"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Respecto al procedimiento de </w:t>
      </w:r>
      <w:r w:rsidRPr="00EA52AE">
        <w:rPr>
          <w:rFonts w:ascii="Palatino Linotype" w:eastAsia="Palatino Linotype" w:hAnsi="Palatino Linotype" w:cs="Palatino Linotype"/>
          <w:b/>
          <w:sz w:val="22"/>
          <w:szCs w:val="22"/>
        </w:rPr>
        <w:t>licitación pública</w:t>
      </w:r>
      <w:r w:rsidRPr="00EA52AE">
        <w:rPr>
          <w:rFonts w:ascii="Palatino Linotype" w:eastAsia="Palatino Linotype" w:hAnsi="Palatino Linotype" w:cs="Palatino Linotype"/>
          <w:sz w:val="22"/>
          <w:szCs w:val="22"/>
        </w:rPr>
        <w:t xml:space="preserve">, es de indicar que constituye un procedimiento de contratación en que a través de una declaración unilateral de voluntad contenida en una convocatoria pública, el ente público, se obliga a celebrar un contrato para la adquisición del desarrollo de una obra pública, con aquél interesado que cumpliendo determinados requisitos prefijados en la convocatoria por el ente público de que se trate, ofrezca las mejores condiciones de contratación. </w:t>
      </w:r>
    </w:p>
    <w:p w14:paraId="5E11F6B4"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723230DA"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cuando hace a la </w:t>
      </w:r>
      <w:r w:rsidRPr="00EA52AE">
        <w:rPr>
          <w:rFonts w:ascii="Palatino Linotype" w:eastAsia="Palatino Linotype" w:hAnsi="Palatino Linotype" w:cs="Palatino Linotype"/>
          <w:b/>
          <w:sz w:val="22"/>
          <w:szCs w:val="22"/>
        </w:rPr>
        <w:t>adjudicación directa</w:t>
      </w:r>
      <w:r w:rsidRPr="00EA52AE">
        <w:rPr>
          <w:rFonts w:ascii="Palatino Linotype" w:eastAsia="Palatino Linotype" w:hAnsi="Palatino Linotype" w:cs="Palatino Linotype"/>
          <w:sz w:val="22"/>
          <w:szCs w:val="22"/>
        </w:rPr>
        <w:t xml:space="preserve">, es un procedimiento que se realiza sin puesta en concurrencia y, por ende, sin que exista competencia, adjudicándose el contrato a un proveedor que ha sido preseleccionado para tales efectos por la dependencia o entidad. </w:t>
      </w:r>
    </w:p>
    <w:p w14:paraId="0A8916C1"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483AB1D2"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último, respecto a la </w:t>
      </w:r>
      <w:r w:rsidRPr="00EA52AE">
        <w:rPr>
          <w:rFonts w:ascii="Palatino Linotype" w:eastAsia="Palatino Linotype" w:hAnsi="Palatino Linotype" w:cs="Palatino Linotype"/>
          <w:b/>
          <w:sz w:val="22"/>
          <w:szCs w:val="22"/>
        </w:rPr>
        <w:t xml:space="preserve">invitación restringida </w:t>
      </w:r>
      <w:r w:rsidRPr="00EA52AE">
        <w:rPr>
          <w:rFonts w:ascii="Palatino Linotype" w:eastAsia="Palatino Linotype" w:hAnsi="Palatino Linotype" w:cs="Palatino Linotype"/>
          <w:sz w:val="22"/>
          <w:szCs w:val="22"/>
        </w:rPr>
        <w:t>precisa que es un procedimiento de excepción a la licitación pública que permite al ente público, en forma discrecional, realizar un procedimiento para adquirir, arrendar o contratar, invitando a por lo menos tres oferentes a presentar propuestas.</w:t>
      </w:r>
    </w:p>
    <w:p w14:paraId="0EC4989D" w14:textId="77777777" w:rsidR="00B910CA" w:rsidRPr="00EA52AE" w:rsidRDefault="00B910CA" w:rsidP="00B910CA">
      <w:pPr>
        <w:spacing w:line="276" w:lineRule="auto"/>
        <w:ind w:left="567" w:right="616"/>
        <w:jc w:val="both"/>
        <w:rPr>
          <w:rFonts w:ascii="Palatino Linotype" w:eastAsia="Palatino Linotype" w:hAnsi="Palatino Linotype" w:cs="Palatino Linotype"/>
          <w:i/>
          <w:sz w:val="22"/>
          <w:szCs w:val="22"/>
        </w:rPr>
      </w:pPr>
    </w:p>
    <w:p w14:paraId="271F71EA"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tal virtud, resulta necesario señalar que para el presente caso, debido a que se advirtió que la obra pública de la que se requiere la información se relaciona con el procedimiento de </w:t>
      </w:r>
      <w:r w:rsidRPr="00EA52AE">
        <w:rPr>
          <w:rFonts w:ascii="Palatino Linotype" w:eastAsia="Palatino Linotype" w:hAnsi="Palatino Linotype" w:cs="Palatino Linotype"/>
          <w:b/>
          <w:sz w:val="22"/>
          <w:szCs w:val="22"/>
          <w:u w:val="single"/>
        </w:rPr>
        <w:t xml:space="preserve">licitación pública, </w:t>
      </w:r>
      <w:r w:rsidRPr="00EA52AE">
        <w:rPr>
          <w:rFonts w:ascii="Palatino Linotype" w:eastAsia="Palatino Linotype" w:hAnsi="Palatino Linotype" w:cs="Palatino Linotype"/>
          <w:sz w:val="22"/>
          <w:szCs w:val="22"/>
        </w:rPr>
        <w:t>es de indicar que los artículos 12.22, 12.23, fracción I y 12.38 del Libro Décimo Segundo del Código Administrativo del Estado de México; 29 y 30 del Reglamento del Libro Décimo Segundo del Código Administrativo del Estado de México, disponen lo siguiente:</w:t>
      </w:r>
    </w:p>
    <w:p w14:paraId="7C61DE4B"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5199DD9A"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“Artículo 12.22.- En el procedimiento de licitación pública deberán establecerse los mismos requisitos y condiciones para todos los participantes, debiendo las dependencias, entidades y ayuntamientos, proporcionarles igual acceso a la información relacionada con dicho procedimiento, a fin de evitar favorecer a algún participante.”</w:t>
      </w:r>
    </w:p>
    <w:p w14:paraId="16D74E9D"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5CEFA590"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12.23.- Las licitaciones públicas podrán ser: </w:t>
      </w:r>
    </w:p>
    <w:p w14:paraId="70AF7EEB" w14:textId="77777777" w:rsidR="00B910CA" w:rsidRPr="00EA52AE" w:rsidRDefault="00B910CA" w:rsidP="00B910CA">
      <w:pPr>
        <w:ind w:left="567" w:right="560"/>
        <w:jc w:val="both"/>
        <w:rPr>
          <w:rFonts w:ascii="Palatino Linotype" w:eastAsia="Palatino Linotype" w:hAnsi="Palatino Linotype" w:cs="Palatino Linotype"/>
          <w:b/>
          <w:i/>
          <w:sz w:val="22"/>
          <w:szCs w:val="22"/>
          <w:u w:val="single"/>
        </w:rPr>
      </w:pPr>
      <w:r w:rsidRPr="00EA52AE">
        <w:rPr>
          <w:rFonts w:ascii="Palatino Linotype" w:eastAsia="Palatino Linotype" w:hAnsi="Palatino Linotype" w:cs="Palatino Linotype"/>
          <w:b/>
          <w:i/>
          <w:sz w:val="22"/>
          <w:szCs w:val="22"/>
          <w:u w:val="single"/>
        </w:rPr>
        <w:t xml:space="preserve">I. Nacionales, cuando únicamente puedan participar personas de nacionalidad mexicana, o </w:t>
      </w:r>
    </w:p>
    <w:p w14:paraId="17A4F602"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II. Internacionales, cuando puedan participar tanto personas de nacionalidad mexicana como extranjera.”</w:t>
      </w:r>
    </w:p>
    <w:p w14:paraId="2E7E6F23"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437A6556"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12.38.- La adjudicación de la obra o servicios relacionados con la misma obligará a la dependencia, entidad o ayuntamiento y a la persona en que hubiere recaído, </w:t>
      </w:r>
      <w:r w:rsidRPr="00EA52AE">
        <w:rPr>
          <w:rFonts w:ascii="Palatino Linotype" w:eastAsia="Palatino Linotype" w:hAnsi="Palatino Linotype" w:cs="Palatino Linotype"/>
          <w:b/>
          <w:i/>
          <w:sz w:val="22"/>
          <w:szCs w:val="22"/>
          <w:u w:val="single"/>
        </w:rPr>
        <w:t>a suscribir el contrato respectivo dentro de los diez días hábiles siguientes al de la notificación del fallo.</w:t>
      </w:r>
      <w:r w:rsidRPr="00EA52AE">
        <w:rPr>
          <w:rFonts w:ascii="Palatino Linotype" w:eastAsia="Palatino Linotype" w:hAnsi="Palatino Linotype" w:cs="Palatino Linotype"/>
          <w:i/>
          <w:sz w:val="22"/>
          <w:szCs w:val="22"/>
        </w:rPr>
        <w:t xml:space="preserve"> </w:t>
      </w:r>
    </w:p>
    <w:p w14:paraId="498E62FE"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76788070"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07E4448C"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5B266C13"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6C0CFE19" w14:textId="77777777" w:rsidR="00B910CA" w:rsidRPr="00EA52AE" w:rsidRDefault="00B910CA" w:rsidP="00B910CA">
      <w:pPr>
        <w:ind w:left="567" w:right="560"/>
        <w:jc w:val="center"/>
        <w:rPr>
          <w:rFonts w:ascii="Palatino Linotype" w:eastAsia="Palatino Linotype" w:hAnsi="Palatino Linotype" w:cs="Palatino Linotype"/>
          <w:b/>
          <w:i/>
          <w:sz w:val="22"/>
          <w:szCs w:val="22"/>
          <w:u w:val="single"/>
        </w:rPr>
      </w:pPr>
      <w:r w:rsidRPr="00EA52AE">
        <w:rPr>
          <w:rFonts w:ascii="Palatino Linotype" w:eastAsia="Palatino Linotype" w:hAnsi="Palatino Linotype" w:cs="Palatino Linotype"/>
          <w:b/>
          <w:i/>
          <w:sz w:val="22"/>
          <w:szCs w:val="22"/>
          <w:u w:val="single"/>
        </w:rPr>
        <w:t>Reglamento del Libro Décimo Segundo del Código Administrativo del Estado de México</w:t>
      </w:r>
    </w:p>
    <w:p w14:paraId="497D062F" w14:textId="77777777" w:rsidR="00B910CA" w:rsidRPr="00EA52AE" w:rsidRDefault="00B910CA" w:rsidP="00B910CA">
      <w:pPr>
        <w:ind w:left="567" w:right="560"/>
        <w:jc w:val="center"/>
        <w:rPr>
          <w:rFonts w:ascii="Palatino Linotype" w:eastAsia="Palatino Linotype" w:hAnsi="Palatino Linotype" w:cs="Palatino Linotype"/>
          <w:b/>
          <w:i/>
          <w:sz w:val="22"/>
          <w:szCs w:val="22"/>
          <w:u w:val="single"/>
        </w:rPr>
      </w:pPr>
    </w:p>
    <w:p w14:paraId="5C6311B7"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29.- Las personas interesadas en las licitaciones públicas que norma este Reglamento tendrán sin distinción, igual acceso a la información correspondiente, cumplirán los mismos requisitos y participarán bajo las mismas condiciones.” </w:t>
      </w:r>
    </w:p>
    <w:p w14:paraId="5FAB6EBF" w14:textId="77777777" w:rsidR="00B910CA" w:rsidRPr="00EA52AE" w:rsidRDefault="00B910CA" w:rsidP="00B910CA">
      <w:pPr>
        <w:ind w:left="567" w:right="560"/>
        <w:jc w:val="both"/>
        <w:rPr>
          <w:rFonts w:ascii="Palatino Linotype" w:eastAsia="Palatino Linotype" w:hAnsi="Palatino Linotype" w:cs="Palatino Linotype"/>
          <w:i/>
          <w:sz w:val="22"/>
          <w:szCs w:val="22"/>
        </w:rPr>
      </w:pPr>
    </w:p>
    <w:p w14:paraId="4EC48A59"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“Artículo 30.- El procedimiento de licitación pública inicia con la publicación de la convocatoria y concluye con el fallo y adjudicación. Cubrirá las etapas siguientes: </w:t>
      </w:r>
    </w:p>
    <w:p w14:paraId="64FC66ED"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 La formulación de las bases de licitación; </w:t>
      </w:r>
    </w:p>
    <w:p w14:paraId="42056FD5"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II. La publicación de la convocatoria; </w:t>
      </w:r>
    </w:p>
    <w:p w14:paraId="65A02122"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III. La venta de las bases de licitación; </w:t>
      </w:r>
    </w:p>
    <w:p w14:paraId="4B23FEA0"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IV. La visita al sitio donde se realizarán los trabajos; </w:t>
      </w:r>
    </w:p>
    <w:p w14:paraId="3EEC21D5"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V. Las juntas de aclaraciones; </w:t>
      </w:r>
    </w:p>
    <w:p w14:paraId="03DABCD4"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VI. La presentación y apertura de propuestas; </w:t>
      </w:r>
    </w:p>
    <w:p w14:paraId="798AB953"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VII. La evaluación de propuestas; y </w:t>
      </w:r>
    </w:p>
    <w:p w14:paraId="59F49AB7" w14:textId="77777777" w:rsidR="00B910CA" w:rsidRPr="00EA52AE" w:rsidRDefault="00B910CA" w:rsidP="00B910CA">
      <w:pPr>
        <w:ind w:left="567" w:right="56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VIII. El fallo y adjudicación.”</w:t>
      </w:r>
    </w:p>
    <w:p w14:paraId="17E0382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0FD7B3B9"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De lo anterior, se desprende que en el procedimiento de licitación pública, en este caso el Ayuntamiento, debe establecer los mismos requisitos y condiciones para todos los participantes, proporcionando igual acceso a la información relacionada con dicho procedimiento, a fin de evitar favorecer a algún participante.</w:t>
      </w:r>
    </w:p>
    <w:p w14:paraId="61167B79"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368BC4C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Asimismo, se dispone que las licitaciones públicas pueden ser nacionales como internacionales; definiendo las</w:t>
      </w:r>
      <w:r w:rsidRPr="00EA52AE">
        <w:rPr>
          <w:rFonts w:ascii="Palatino Linotype" w:eastAsia="Palatino Linotype" w:hAnsi="Palatino Linotype" w:cs="Palatino Linotype"/>
          <w:b/>
          <w:sz w:val="22"/>
          <w:szCs w:val="22"/>
          <w:u w:val="single"/>
        </w:rPr>
        <w:t xml:space="preserve"> primeras</w:t>
      </w:r>
      <w:r w:rsidRPr="00EA52AE">
        <w:rPr>
          <w:rFonts w:ascii="Palatino Linotype" w:eastAsia="Palatino Linotype" w:hAnsi="Palatino Linotype" w:cs="Palatino Linotype"/>
          <w:sz w:val="22"/>
          <w:szCs w:val="22"/>
        </w:rPr>
        <w:t xml:space="preserve">, como aquellas en que sólo pueden participar personas de nacionalidad mexicana; y, </w:t>
      </w:r>
      <w:r w:rsidRPr="00EA52AE">
        <w:rPr>
          <w:rFonts w:ascii="Palatino Linotype" w:eastAsia="Palatino Linotype" w:hAnsi="Palatino Linotype" w:cs="Palatino Linotype"/>
          <w:b/>
          <w:sz w:val="22"/>
          <w:szCs w:val="22"/>
          <w:u w:val="single"/>
        </w:rPr>
        <w:t>las segundas</w:t>
      </w:r>
      <w:r w:rsidRPr="00EA52AE">
        <w:rPr>
          <w:rFonts w:ascii="Palatino Linotype" w:eastAsia="Palatino Linotype" w:hAnsi="Palatino Linotype" w:cs="Palatino Linotype"/>
          <w:sz w:val="22"/>
          <w:szCs w:val="22"/>
        </w:rPr>
        <w:t>, aquellas en las que pueden participar personas de nacionalidad mexicana como extranjera.</w:t>
      </w:r>
    </w:p>
    <w:p w14:paraId="2B0998E8"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2A3BCB1C"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Consecuentemente, el procedimiento de licitación pública comprende las siguientes fases: la formulación de las bases de licitación; la publicación de la convocatoria; la venta de las bases de licitación; la visita al sitio donde se realizarán los trabajos; las juntas de aclaraciones; la presentación y apertura de propuestas; la evaluación de propuestas; y, el fallo y adjudicación.</w:t>
      </w:r>
    </w:p>
    <w:p w14:paraId="52EBA7F2"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3596C04A" w14:textId="77777777" w:rsidR="00B910CA" w:rsidRPr="00EA52AE" w:rsidRDefault="00B910CA" w:rsidP="00B910CA">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 xml:space="preserve">Finalmente, para la adjudicación de la obra, el ente público, en este caso el Ayuntamiento de </w:t>
      </w:r>
      <w:r w:rsidR="003B3B2A" w:rsidRPr="00EA52AE">
        <w:rPr>
          <w:rFonts w:ascii="Palatino Linotype" w:eastAsia="Palatino Linotype" w:hAnsi="Palatino Linotype" w:cs="Palatino Linotype"/>
          <w:sz w:val="22"/>
          <w:szCs w:val="22"/>
        </w:rPr>
        <w:t>Tlalmanalco</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se encuentra constreñido a suscribir el contrato respectivo dentro de los diez días hábiles siguientes al de la notificación del fallo.</w:t>
      </w:r>
    </w:p>
    <w:p w14:paraId="735B946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1B58EBC4"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otro lado, no resulta óbice mencionar que </w:t>
      </w:r>
      <w:r w:rsidRPr="00EA52AE">
        <w:rPr>
          <w:rFonts w:ascii="Palatino Linotype" w:eastAsia="Palatino Linotype" w:hAnsi="Palatino Linotype" w:cs="Palatino Linotype"/>
          <w:b/>
          <w:sz w:val="22"/>
          <w:szCs w:val="22"/>
          <w:u w:val="single"/>
        </w:rPr>
        <w:t>tratándose de una obra pública</w:t>
      </w:r>
      <w:r w:rsidRPr="00EA52AE">
        <w:rPr>
          <w:rFonts w:ascii="Palatino Linotype" w:eastAsia="Palatino Linotype" w:hAnsi="Palatino Linotype" w:cs="Palatino Linotype"/>
          <w:sz w:val="22"/>
          <w:szCs w:val="22"/>
        </w:rPr>
        <w:t xml:space="preserve">, las dependencias, entidades, </w:t>
      </w:r>
      <w:r w:rsidRPr="00EA52AE">
        <w:rPr>
          <w:rFonts w:ascii="Palatino Linotype" w:eastAsia="Palatino Linotype" w:hAnsi="Palatino Linotype" w:cs="Palatino Linotype"/>
          <w:b/>
          <w:sz w:val="22"/>
          <w:szCs w:val="22"/>
          <w:u w:val="single"/>
        </w:rPr>
        <w:t>ayuntamientos</w:t>
      </w:r>
      <w:r w:rsidRPr="00EA52AE">
        <w:rPr>
          <w:rFonts w:ascii="Palatino Linotype" w:eastAsia="Palatino Linotype" w:hAnsi="Palatino Linotype" w:cs="Palatino Linotype"/>
          <w:sz w:val="22"/>
          <w:szCs w:val="22"/>
        </w:rPr>
        <w:t xml:space="preserve">, entre otros, </w:t>
      </w:r>
      <w:r w:rsidRPr="00EA52AE">
        <w:rPr>
          <w:rFonts w:ascii="Palatino Linotype" w:eastAsia="Palatino Linotype" w:hAnsi="Palatino Linotype" w:cs="Palatino Linotype"/>
          <w:b/>
          <w:sz w:val="22"/>
          <w:szCs w:val="22"/>
          <w:u w:val="single"/>
        </w:rPr>
        <w:t>se encuentran constreñidos a acatar el Acuerdo</w:t>
      </w:r>
      <w:r w:rsidRPr="00EA52AE">
        <w:rPr>
          <w:rFonts w:ascii="Palatino Linotype" w:eastAsia="Palatino Linotype" w:hAnsi="Palatino Linotype" w:cs="Palatino Linotype"/>
          <w:sz w:val="22"/>
          <w:szCs w:val="22"/>
        </w:rPr>
        <w:t xml:space="preserve"> del entonces Secretario de Infraestructura </w:t>
      </w:r>
      <w:r w:rsidRPr="00EA52AE">
        <w:rPr>
          <w:rFonts w:ascii="Palatino Linotype" w:eastAsia="Palatino Linotype" w:hAnsi="Palatino Linotype" w:cs="Palatino Linotype"/>
          <w:b/>
          <w:sz w:val="22"/>
          <w:szCs w:val="22"/>
          <w:u w:val="single"/>
        </w:rPr>
        <w:t>por el que se establece el Índice de Expediente Único de Obra Pública</w:t>
      </w:r>
      <w:r w:rsidRPr="00EA52AE">
        <w:rPr>
          <w:rFonts w:ascii="Palatino Linotype" w:eastAsia="Palatino Linotype" w:hAnsi="Palatino Linotype" w:cs="Palatino Linotype"/>
          <w:sz w:val="22"/>
          <w:szCs w:val="22"/>
        </w:rPr>
        <w:t xml:space="preserve"> e Instructivos de Llenado en las modalidades de adjudicación directa, invitación restringida y licitación pública, publicado el dos de diciembre de dos mil dieciséis en el Periódico Oficial "Gaceta del Gobierno" (consultable en </w:t>
      </w:r>
      <w:r w:rsidRPr="00EA52AE">
        <w:rPr>
          <w:rFonts w:ascii="Palatino Linotype" w:eastAsia="Palatino Linotype" w:hAnsi="Palatino Linotype" w:cs="Palatino Linotype"/>
          <w:sz w:val="22"/>
          <w:szCs w:val="22"/>
        </w:rPr>
        <w:lastRenderedPageBreak/>
        <w:t xml:space="preserve">el siguiente enlace: </w:t>
      </w:r>
      <w:hyperlink r:id="rId13">
        <w:r w:rsidRPr="00EA52AE">
          <w:rPr>
            <w:rFonts w:ascii="Palatino Linotype" w:eastAsia="Palatino Linotype" w:hAnsi="Palatino Linotype" w:cs="Palatino Linotype"/>
            <w:sz w:val="22"/>
            <w:szCs w:val="22"/>
            <w:u w:val="single"/>
          </w:rPr>
          <w:t>https://legislacion.edomex.gob.mx/sites/legislacion.edomex.gob.mx/files/files/pdf/gct/2016/dic021.pdf</w:t>
        </w:r>
      </w:hyperlink>
      <w:r w:rsidRPr="00EA52AE">
        <w:rPr>
          <w:rFonts w:ascii="Palatino Linotype" w:eastAsia="Palatino Linotype" w:hAnsi="Palatino Linotype" w:cs="Palatino Linotype"/>
          <w:sz w:val="22"/>
          <w:szCs w:val="22"/>
        </w:rPr>
        <w:t xml:space="preserve"> ).</w:t>
      </w:r>
    </w:p>
    <w:p w14:paraId="3D59887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2ED4CA92" w14:textId="77777777" w:rsidR="00B910CA" w:rsidRPr="00EA52AE" w:rsidRDefault="00B910CA" w:rsidP="00B910CA">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 xml:space="preserve">Acuerdo el indicado, que establece los documentos que deben integrar el expediente único de obra pública, y que atendiendo las documentales a las que pretende acceder el particular, se advierte que este debe contar, entre otros, con </w:t>
      </w:r>
      <w:r w:rsidRPr="00EA52AE">
        <w:rPr>
          <w:rFonts w:ascii="Palatino Linotype" w:eastAsia="Palatino Linotype" w:hAnsi="Palatino Linotype" w:cs="Palatino Linotype"/>
          <w:b/>
          <w:sz w:val="22"/>
          <w:szCs w:val="22"/>
        </w:rPr>
        <w:t xml:space="preserve">el </w:t>
      </w:r>
      <w:r w:rsidR="003B3B2A" w:rsidRPr="00EA52AE">
        <w:rPr>
          <w:rFonts w:ascii="Palatino Linotype" w:eastAsia="Palatino Linotype" w:hAnsi="Palatino Linotype" w:cs="Palatino Linotype"/>
          <w:b/>
          <w:sz w:val="22"/>
          <w:szCs w:val="22"/>
        </w:rPr>
        <w:t>contrato de obra pública</w:t>
      </w:r>
      <w:r w:rsidR="006765F1" w:rsidRPr="00EA52AE">
        <w:rPr>
          <w:rFonts w:ascii="Palatino Linotype" w:eastAsia="Palatino Linotype" w:hAnsi="Palatino Linotype" w:cs="Palatino Linotype"/>
          <w:b/>
          <w:sz w:val="22"/>
          <w:szCs w:val="22"/>
        </w:rPr>
        <w:t xml:space="preserve"> y, en su caso, los convenios modificatorios (de reprogramación y/o de ampliación al importe del contrato)</w:t>
      </w:r>
      <w:r w:rsidR="003B3B2A" w:rsidRPr="00EA52AE">
        <w:rPr>
          <w:rFonts w:ascii="Palatino Linotype" w:eastAsia="Palatino Linotype" w:hAnsi="Palatino Linotype" w:cs="Palatino Linotype"/>
          <w:b/>
          <w:sz w:val="22"/>
          <w:szCs w:val="22"/>
        </w:rPr>
        <w:t>, así como las facturas por los pagos efectuados:</w:t>
      </w:r>
    </w:p>
    <w:p w14:paraId="346C0341" w14:textId="77777777" w:rsidR="003B3B2A" w:rsidRPr="00EA52AE" w:rsidRDefault="003B3B2A" w:rsidP="00B910CA">
      <w:pPr>
        <w:spacing w:line="360" w:lineRule="auto"/>
        <w:jc w:val="both"/>
        <w:rPr>
          <w:rFonts w:ascii="Palatino Linotype" w:eastAsia="Palatino Linotype" w:hAnsi="Palatino Linotype" w:cs="Palatino Linotype"/>
          <w:b/>
          <w:sz w:val="22"/>
          <w:szCs w:val="22"/>
        </w:rPr>
      </w:pPr>
    </w:p>
    <w:p w14:paraId="2EC5A1A4" w14:textId="77777777" w:rsidR="003B3B2A" w:rsidRPr="00EA52AE" w:rsidRDefault="003B3B2A" w:rsidP="00B910CA">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noProof/>
          <w:sz w:val="22"/>
          <w:szCs w:val="22"/>
        </w:rPr>
        <w:drawing>
          <wp:inline distT="0" distB="0" distL="0" distR="0" wp14:anchorId="3F15BE8B" wp14:editId="403BA38D">
            <wp:extent cx="5611008" cy="1047896"/>
            <wp:effectExtent l="19050" t="19050" r="2794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1008" cy="1047896"/>
                    </a:xfrm>
                    <a:prstGeom prst="rect">
                      <a:avLst/>
                    </a:prstGeom>
                    <a:ln w="3175">
                      <a:solidFill>
                        <a:schemeClr val="tx1"/>
                      </a:solidFill>
                    </a:ln>
                  </pic:spPr>
                </pic:pic>
              </a:graphicData>
            </a:graphic>
          </wp:inline>
        </w:drawing>
      </w:r>
    </w:p>
    <w:p w14:paraId="6ED6DFED" w14:textId="77777777" w:rsidR="003B3B2A" w:rsidRPr="00EA52AE" w:rsidRDefault="003B3B2A" w:rsidP="003B3B2A">
      <w:pPr>
        <w:spacing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w:t>
      </w:r>
    </w:p>
    <w:p w14:paraId="44596EA6" w14:textId="77777777" w:rsidR="003B3B2A" w:rsidRPr="00EA52AE" w:rsidRDefault="003B3B2A" w:rsidP="003B3B2A">
      <w:pPr>
        <w:spacing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noProof/>
          <w:sz w:val="22"/>
          <w:szCs w:val="22"/>
        </w:rPr>
        <w:drawing>
          <wp:inline distT="0" distB="0" distL="0" distR="0" wp14:anchorId="4AFE35E2" wp14:editId="1565FAE4">
            <wp:extent cx="5572125" cy="1362075"/>
            <wp:effectExtent l="19050" t="19050" r="28575" b="28575"/>
            <wp:docPr id="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572125" cy="1362075"/>
                    </a:xfrm>
                    <a:prstGeom prst="rect">
                      <a:avLst/>
                    </a:prstGeom>
                    <a:ln w="3175">
                      <a:solidFill>
                        <a:srgbClr val="000000"/>
                      </a:solidFill>
                      <a:prstDash val="solid"/>
                    </a:ln>
                  </pic:spPr>
                </pic:pic>
              </a:graphicData>
            </a:graphic>
          </wp:inline>
        </w:drawing>
      </w:r>
    </w:p>
    <w:p w14:paraId="35F6B132" w14:textId="77777777" w:rsidR="003B3B2A" w:rsidRPr="00EA52AE" w:rsidRDefault="003B3B2A" w:rsidP="003B3B2A">
      <w:pPr>
        <w:spacing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w:t>
      </w:r>
    </w:p>
    <w:p w14:paraId="53F88B4D" w14:textId="77777777" w:rsidR="003B3B2A" w:rsidRPr="00EA52AE" w:rsidRDefault="003B3B2A" w:rsidP="003B3B2A">
      <w:pPr>
        <w:spacing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noProof/>
          <w:sz w:val="22"/>
          <w:szCs w:val="22"/>
        </w:rPr>
        <w:drawing>
          <wp:inline distT="0" distB="0" distL="0" distR="0" wp14:anchorId="0456C3DD" wp14:editId="0FA4B042">
            <wp:extent cx="5610225" cy="609600"/>
            <wp:effectExtent l="19050" t="19050" r="285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609600"/>
                    </a:xfrm>
                    <a:prstGeom prst="rect">
                      <a:avLst/>
                    </a:prstGeom>
                    <a:noFill/>
                    <a:ln w="3175">
                      <a:solidFill>
                        <a:schemeClr val="tx1"/>
                      </a:solidFill>
                    </a:ln>
                  </pic:spPr>
                </pic:pic>
              </a:graphicData>
            </a:graphic>
          </wp:inline>
        </w:drawing>
      </w:r>
    </w:p>
    <w:p w14:paraId="0104F566" w14:textId="77777777" w:rsidR="00B910CA" w:rsidRPr="00EA52AE" w:rsidRDefault="00B910CA">
      <w:pPr>
        <w:spacing w:line="360" w:lineRule="auto"/>
        <w:jc w:val="both"/>
        <w:rPr>
          <w:rFonts w:ascii="Palatino Linotype" w:eastAsia="Palatino Linotype" w:hAnsi="Palatino Linotype" w:cs="Palatino Linotype"/>
          <w:sz w:val="22"/>
          <w:szCs w:val="22"/>
        </w:rPr>
      </w:pPr>
    </w:p>
    <w:p w14:paraId="3646F72A" w14:textId="77777777" w:rsidR="003B3B2A" w:rsidRPr="00EA52AE" w:rsidRDefault="003B3B2A" w:rsidP="003B3B2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 xml:space="preserve">De manera que dichos documentos, son los que de manera enunciativa más no limitativa darían atención a los requerimientos de información del particular marcados en los </w:t>
      </w:r>
      <w:r w:rsidRPr="00EA52AE">
        <w:rPr>
          <w:rFonts w:ascii="Palatino Linotype" w:eastAsia="Palatino Linotype" w:hAnsi="Palatino Linotype" w:cs="Palatino Linotype"/>
          <w:b/>
          <w:sz w:val="22"/>
          <w:szCs w:val="22"/>
        </w:rPr>
        <w:t>numerales 1, 2 y 3</w:t>
      </w:r>
      <w:r w:rsidRPr="00EA52AE">
        <w:rPr>
          <w:rFonts w:ascii="Palatino Linotype" w:eastAsia="Palatino Linotype" w:hAnsi="Palatino Linotype" w:cs="Palatino Linotype"/>
          <w:sz w:val="22"/>
          <w:szCs w:val="22"/>
        </w:rPr>
        <w:t xml:space="preserve"> consistentes en: el contrato, los costos totales con IVA incluido y las facturas, por las siguientes consideraciones:</w:t>
      </w:r>
    </w:p>
    <w:p w14:paraId="5B84C712" w14:textId="77777777" w:rsidR="003B3B2A" w:rsidRPr="00EA52AE" w:rsidRDefault="003B3B2A">
      <w:pPr>
        <w:spacing w:line="360" w:lineRule="auto"/>
        <w:jc w:val="both"/>
        <w:rPr>
          <w:rFonts w:ascii="Palatino Linotype" w:eastAsia="Palatino Linotype" w:hAnsi="Palatino Linotype" w:cs="Palatino Linotype"/>
          <w:sz w:val="22"/>
          <w:szCs w:val="22"/>
        </w:rPr>
      </w:pPr>
    </w:p>
    <w:p w14:paraId="0FD5E76A" w14:textId="77777777" w:rsidR="007A5C72" w:rsidRPr="00EA52AE" w:rsidRDefault="003B3B2A" w:rsidP="00CB16B9">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El </w:t>
      </w:r>
      <w:r w:rsidR="006765F1" w:rsidRPr="00EA52AE">
        <w:rPr>
          <w:rFonts w:ascii="Palatino Linotype" w:eastAsia="Palatino Linotype" w:hAnsi="Palatino Linotype" w:cs="Palatino Linotype"/>
          <w:b/>
          <w:sz w:val="22"/>
          <w:szCs w:val="22"/>
        </w:rPr>
        <w:t>contrato de obra pública y, en su caso, los convenios modificatorios (de reprogramación y/o de ampliación al importe del contrato)</w:t>
      </w:r>
      <w:r w:rsidR="007A5C72" w:rsidRPr="00EA52AE">
        <w:rPr>
          <w:rFonts w:ascii="Palatino Linotype" w:eastAsia="Palatino Linotype" w:hAnsi="Palatino Linotype" w:cs="Palatino Linotype"/>
          <w:b/>
          <w:sz w:val="22"/>
          <w:szCs w:val="22"/>
        </w:rPr>
        <w:t xml:space="preserve">; </w:t>
      </w:r>
      <w:r w:rsidR="007A5C72" w:rsidRPr="00EA52AE">
        <w:rPr>
          <w:rFonts w:ascii="Palatino Linotype" w:eastAsia="Palatino Linotype" w:hAnsi="Palatino Linotype" w:cs="Palatino Linotype"/>
          <w:sz w:val="22"/>
          <w:szCs w:val="22"/>
        </w:rPr>
        <w:t>en primer lugar,</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por atender a la literalidad el requerimiento relativo </w:t>
      </w:r>
      <w:r w:rsidR="007A5C72" w:rsidRPr="00EA52AE">
        <w:rPr>
          <w:rFonts w:ascii="Palatino Linotype" w:eastAsia="Palatino Linotype" w:hAnsi="Palatino Linotype" w:cs="Palatino Linotype"/>
          <w:sz w:val="22"/>
          <w:szCs w:val="22"/>
        </w:rPr>
        <w:t>a</w:t>
      </w:r>
      <w:r w:rsidRPr="00EA52AE">
        <w:rPr>
          <w:rFonts w:ascii="Palatino Linotype" w:eastAsia="Palatino Linotype" w:hAnsi="Palatino Linotype" w:cs="Palatino Linotype"/>
          <w:sz w:val="22"/>
          <w:szCs w:val="22"/>
        </w:rPr>
        <w:t xml:space="preserve"> dicho</w:t>
      </w:r>
      <w:r w:rsidR="006765F1" w:rsidRPr="00EA52AE">
        <w:rPr>
          <w:rFonts w:ascii="Palatino Linotype" w:eastAsia="Palatino Linotype" w:hAnsi="Palatino Linotype" w:cs="Palatino Linotype"/>
          <w:sz w:val="22"/>
          <w:szCs w:val="22"/>
        </w:rPr>
        <w:t>s</w:t>
      </w:r>
      <w:r w:rsidRPr="00EA52AE">
        <w:rPr>
          <w:rFonts w:ascii="Palatino Linotype" w:eastAsia="Palatino Linotype" w:hAnsi="Palatino Linotype" w:cs="Palatino Linotype"/>
          <w:sz w:val="22"/>
          <w:szCs w:val="22"/>
        </w:rPr>
        <w:t xml:space="preserve"> instrumento</w:t>
      </w:r>
      <w:r w:rsidR="006765F1" w:rsidRPr="00EA52AE">
        <w:rPr>
          <w:rFonts w:ascii="Palatino Linotype" w:eastAsia="Palatino Linotype" w:hAnsi="Palatino Linotype" w:cs="Palatino Linotype"/>
          <w:sz w:val="22"/>
          <w:szCs w:val="22"/>
        </w:rPr>
        <w:t>s</w:t>
      </w:r>
      <w:r w:rsidRPr="00EA52AE">
        <w:rPr>
          <w:rFonts w:ascii="Palatino Linotype" w:eastAsia="Palatino Linotype" w:hAnsi="Palatino Linotype" w:cs="Palatino Linotype"/>
          <w:sz w:val="22"/>
          <w:szCs w:val="22"/>
        </w:rPr>
        <w:t xml:space="preserve"> jurídi</w:t>
      </w:r>
      <w:r w:rsidR="006765F1" w:rsidRPr="00EA52AE">
        <w:rPr>
          <w:rFonts w:ascii="Palatino Linotype" w:eastAsia="Palatino Linotype" w:hAnsi="Palatino Linotype" w:cs="Palatino Linotype"/>
          <w:sz w:val="22"/>
          <w:szCs w:val="22"/>
        </w:rPr>
        <w:t>cos –contratos y convenio</w:t>
      </w:r>
      <w:r w:rsidR="007A5C72" w:rsidRPr="00EA52AE">
        <w:rPr>
          <w:rFonts w:ascii="Palatino Linotype" w:eastAsia="Palatino Linotype" w:hAnsi="Palatino Linotype" w:cs="Palatino Linotype"/>
          <w:sz w:val="22"/>
          <w:szCs w:val="22"/>
        </w:rPr>
        <w:t>s- requeridos por el particular; y, en segundo lugar, porque a través de dichos instrumentos jurídicos se pueden conocer los costos totales con IVA incluido.</w:t>
      </w:r>
    </w:p>
    <w:p w14:paraId="1C1B9A3D" w14:textId="77777777" w:rsidR="003B3B2A" w:rsidRPr="00EA52AE" w:rsidRDefault="00613347" w:rsidP="00CB16B9">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Asimismo,</w:t>
      </w:r>
      <w:r w:rsidR="00CB16B9" w:rsidRPr="00EA52AE">
        <w:rPr>
          <w:rFonts w:ascii="Palatino Linotype" w:eastAsia="Palatino Linotype" w:hAnsi="Palatino Linotype" w:cs="Palatino Linotype"/>
          <w:sz w:val="22"/>
          <w:szCs w:val="22"/>
        </w:rPr>
        <w:t xml:space="preserve"> las </w:t>
      </w:r>
      <w:r w:rsidR="00CB16B9" w:rsidRPr="00EA52AE">
        <w:rPr>
          <w:rFonts w:ascii="Palatino Linotype" w:eastAsia="Palatino Linotype" w:hAnsi="Palatino Linotype" w:cs="Palatino Linotype"/>
          <w:b/>
          <w:sz w:val="22"/>
          <w:szCs w:val="22"/>
          <w:u w:val="single"/>
        </w:rPr>
        <w:t xml:space="preserve">facturas </w:t>
      </w:r>
      <w:r w:rsidRPr="00EA52AE">
        <w:rPr>
          <w:rFonts w:ascii="Palatino Linotype" w:eastAsia="Palatino Linotype" w:hAnsi="Palatino Linotype" w:cs="Palatino Linotype"/>
          <w:sz w:val="22"/>
          <w:szCs w:val="22"/>
        </w:rPr>
        <w:t xml:space="preserve">atienden a la literalidad lo requerido, </w:t>
      </w:r>
      <w:r w:rsidR="00500C89" w:rsidRPr="00EA52AE">
        <w:rPr>
          <w:rFonts w:ascii="Palatino Linotype" w:eastAsia="Palatino Linotype" w:hAnsi="Palatino Linotype" w:cs="Palatino Linotype"/>
          <w:sz w:val="22"/>
          <w:szCs w:val="22"/>
        </w:rPr>
        <w:t>pues</w:t>
      </w:r>
      <w:r w:rsidR="00CB16B9" w:rsidRPr="00EA52AE">
        <w:rPr>
          <w:rFonts w:ascii="Palatino Linotype" w:eastAsia="Palatino Linotype" w:hAnsi="Palatino Linotype" w:cs="Palatino Linotype"/>
          <w:sz w:val="22"/>
          <w:szCs w:val="22"/>
        </w:rPr>
        <w:t xml:space="preserve"> constituyen el documento que comprueba la realización de una transacción comercial, entre un comprador y un proveedor, mediante el cual, el primero queda obligado a realizar un pago, mientras que el segundo, a entregar o </w:t>
      </w:r>
      <w:r w:rsidR="00500C89" w:rsidRPr="00EA52AE">
        <w:rPr>
          <w:rFonts w:ascii="Palatino Linotype" w:eastAsia="Palatino Linotype" w:hAnsi="Palatino Linotype" w:cs="Palatino Linotype"/>
          <w:sz w:val="22"/>
          <w:szCs w:val="22"/>
        </w:rPr>
        <w:t>brindar un producto o servicio; en otras palabras, las facturas son el documento idóneo que demuestra los gastos efectuados con motivo de la contratación pública.</w:t>
      </w:r>
    </w:p>
    <w:p w14:paraId="69F8C9A2" w14:textId="77777777" w:rsidR="003B3B2A" w:rsidRPr="00EA52AE" w:rsidRDefault="003B3B2A">
      <w:pPr>
        <w:spacing w:line="360" w:lineRule="auto"/>
        <w:jc w:val="both"/>
        <w:rPr>
          <w:rFonts w:ascii="Palatino Linotype" w:eastAsia="Palatino Linotype" w:hAnsi="Palatino Linotype" w:cs="Palatino Linotype"/>
          <w:sz w:val="22"/>
          <w:szCs w:val="22"/>
        </w:rPr>
      </w:pPr>
    </w:p>
    <w:p w14:paraId="085C43E4" w14:textId="77777777" w:rsidR="003B3B2A" w:rsidRPr="00EA52AE" w:rsidRDefault="006765F1"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Ahora, con relación al </w:t>
      </w:r>
      <w:r w:rsidRPr="00EA52AE">
        <w:rPr>
          <w:rFonts w:ascii="Palatino Linotype" w:eastAsia="Palatino Linotype" w:hAnsi="Palatino Linotype" w:cs="Palatino Linotype"/>
          <w:b/>
          <w:sz w:val="22"/>
          <w:szCs w:val="22"/>
        </w:rPr>
        <w:t>requerimiento 4, relativo a “Pólizas de cheque”</w:t>
      </w:r>
      <w:r w:rsidRPr="00EA52AE">
        <w:rPr>
          <w:rFonts w:ascii="Palatino Linotype" w:eastAsia="Palatino Linotype" w:hAnsi="Palatino Linotype" w:cs="Palatino Linotype"/>
          <w:sz w:val="22"/>
          <w:szCs w:val="22"/>
        </w:rPr>
        <w:t xml:space="preserve"> con motivo de la obra sobre la cual versa la solicitud de información, es de señalar lo siguiente:</w:t>
      </w:r>
    </w:p>
    <w:p w14:paraId="56A534DA" w14:textId="77777777" w:rsidR="006765F1" w:rsidRPr="00EA52AE" w:rsidRDefault="006765F1" w:rsidP="00D31507">
      <w:pPr>
        <w:spacing w:line="360" w:lineRule="auto"/>
        <w:jc w:val="both"/>
        <w:rPr>
          <w:rFonts w:ascii="Palatino Linotype" w:eastAsia="Palatino Linotype" w:hAnsi="Palatino Linotype" w:cs="Palatino Linotype"/>
          <w:sz w:val="22"/>
          <w:szCs w:val="22"/>
        </w:rPr>
      </w:pPr>
    </w:p>
    <w:p w14:paraId="1AE983C9" w14:textId="77777777" w:rsidR="00D31507" w:rsidRPr="00EA52AE" w:rsidRDefault="00D31507" w:rsidP="00D31507">
      <w:pPr>
        <w:spacing w:line="360" w:lineRule="auto"/>
        <w:jc w:val="both"/>
        <w:rPr>
          <w:sz w:val="22"/>
          <w:szCs w:val="22"/>
        </w:rPr>
      </w:pPr>
      <w:r w:rsidRPr="00EA52AE">
        <w:rPr>
          <w:rFonts w:ascii="Palatino Linotype" w:eastAsia="Palatino Linotype" w:hAnsi="Palatino Linotype" w:cs="Palatino Linotype"/>
          <w:sz w:val="22"/>
          <w:szCs w:val="22"/>
        </w:rPr>
        <w:t>Los artículos 342, 343, 344 y 345 del Código Financiero del Estado de México y Municipios, disponen el sistema y las políticas que deben seguirse para llevar el registro contable y presupuestal de las operaciones financieras, en los siguientes términos:</w:t>
      </w:r>
    </w:p>
    <w:p w14:paraId="0B7181C7"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Artículo 342</w:t>
      </w:r>
      <w:r w:rsidRPr="00EA52AE">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1C8C54E9" w14:textId="77777777" w:rsidR="00D31507" w:rsidRPr="00EA52AE" w:rsidRDefault="00D31507" w:rsidP="00D31507">
      <w:pPr>
        <w:spacing w:before="120" w:after="120"/>
        <w:ind w:left="862" w:right="862"/>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lastRenderedPageBreak/>
        <w:t>En el caso de los municipios,</w:t>
      </w:r>
      <w:r w:rsidRPr="00EA52AE">
        <w:rPr>
          <w:rFonts w:ascii="Palatino Linotype" w:eastAsia="Palatino Linotype" w:hAnsi="Palatino Linotype" w:cs="Palatino Linotype"/>
          <w:i/>
          <w:sz w:val="22"/>
          <w:szCs w:val="22"/>
        </w:rPr>
        <w:t xml:space="preserve"> el registro a que se refiere el párrafo anterior, se realizará conforme al sistema y a las disposiciones en materia de </w:t>
      </w:r>
      <w:r w:rsidRPr="00EA52AE">
        <w:rPr>
          <w:rFonts w:ascii="Palatino Linotype" w:eastAsia="Palatino Linotype" w:hAnsi="Palatino Linotype" w:cs="Palatino Linotype"/>
          <w:b/>
          <w:i/>
          <w:sz w:val="22"/>
          <w:szCs w:val="22"/>
        </w:rPr>
        <w:t>planeación, programación, presupuestación, evaluación y contabilidad gubernamental</w:t>
      </w:r>
      <w:r w:rsidRPr="00EA52AE">
        <w:rPr>
          <w:rFonts w:ascii="Palatino Linotype" w:eastAsia="Palatino Linotype" w:hAnsi="Palatino Linotype" w:cs="Palatino Linotype"/>
          <w:i/>
          <w:sz w:val="22"/>
          <w:szCs w:val="22"/>
        </w:rPr>
        <w:t>, que se aprueben en el marco del Sistema de Coordinación Hacendaria del Estado de México</w:t>
      </w:r>
      <w:r w:rsidRPr="00EA52AE">
        <w:rPr>
          <w:rFonts w:ascii="Palatino Linotype" w:eastAsia="Palatino Linotype" w:hAnsi="Palatino Linotype" w:cs="Palatino Linotype"/>
          <w:b/>
          <w:i/>
          <w:sz w:val="22"/>
          <w:szCs w:val="22"/>
        </w:rPr>
        <w:t xml:space="preserve"> </w:t>
      </w:r>
    </w:p>
    <w:p w14:paraId="4EA2292A"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Artículo 343.-</w:t>
      </w:r>
      <w:r w:rsidRPr="00EA52AE">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E1204C7" w14:textId="77777777" w:rsidR="00D31507" w:rsidRPr="00EA52AE" w:rsidRDefault="00D31507" w:rsidP="00D31507">
      <w:pPr>
        <w:spacing w:before="120" w:after="120"/>
        <w:ind w:left="862" w:right="862"/>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544E1BEF"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Artículo 344</w:t>
      </w:r>
      <w:r w:rsidRPr="00EA52AE">
        <w:rPr>
          <w:rFonts w:ascii="Palatino Linotype" w:eastAsia="Palatino Linotype" w:hAnsi="Palatino Linotype" w:cs="Palatino Linotype"/>
          <w:i/>
          <w:sz w:val="22"/>
          <w:szCs w:val="22"/>
        </w:rPr>
        <w:t xml:space="preserve">.- </w:t>
      </w:r>
      <w:r w:rsidRPr="00EA52AE">
        <w:rPr>
          <w:rFonts w:ascii="Palatino Linotype" w:eastAsia="Palatino Linotype" w:hAnsi="Palatino Linotype" w:cs="Palatino Linotype"/>
          <w:b/>
          <w:i/>
          <w:sz w:val="22"/>
          <w:szCs w:val="22"/>
          <w:u w:val="single"/>
        </w:rPr>
        <w:t>Los Entes Públicos</w:t>
      </w:r>
      <w:r w:rsidRPr="00EA52AE">
        <w:rPr>
          <w:rFonts w:ascii="Palatino Linotype" w:eastAsia="Palatino Linotype" w:hAnsi="Palatino Linotype" w:cs="Palatino Linotype"/>
          <w:i/>
          <w:sz w:val="22"/>
          <w:szCs w:val="22"/>
        </w:rPr>
        <w:t xml:space="preserve">, a través de cualquiera de sus unidades administrativas, de acuerdo con su naturaleza jurídica y según corresponda, </w:t>
      </w:r>
      <w:r w:rsidRPr="00EA52AE">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p>
    <w:p w14:paraId="53929144"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w:t>
      </w:r>
      <w:r w:rsidRPr="00EA52AE">
        <w:rPr>
          <w:rFonts w:ascii="Palatino Linotype" w:eastAsia="Palatino Linotype" w:hAnsi="Palatino Linotype" w:cs="Palatino Linotype"/>
          <w:i/>
          <w:sz w:val="22"/>
          <w:szCs w:val="22"/>
        </w:rPr>
        <w:t xml:space="preserve">, según corresponda, así como de los órganos internos de control, </w:t>
      </w:r>
      <w:r w:rsidRPr="00EA52AE">
        <w:rPr>
          <w:rFonts w:ascii="Palatino Linotype" w:eastAsia="Palatino Linotype" w:hAnsi="Palatino Linotype" w:cs="Palatino Linotype"/>
          <w:b/>
          <w:i/>
          <w:sz w:val="22"/>
          <w:szCs w:val="22"/>
          <w:u w:val="single"/>
        </w:rPr>
        <w:t>por un término de cinco años,</w:t>
      </w:r>
      <w:r w:rsidRPr="00EA52AE">
        <w:rPr>
          <w:rFonts w:ascii="Palatino Linotype" w:eastAsia="Palatino Linotype" w:hAnsi="Palatino Linotype" w:cs="Palatino Linotype"/>
          <w:i/>
          <w:sz w:val="22"/>
          <w:szCs w:val="22"/>
        </w:rPr>
        <w:t xml:space="preserve"> contados a partir del ejercicio presupuestal siguiente al que corresponda, </w:t>
      </w:r>
      <w:r w:rsidRPr="00EA52AE">
        <w:rPr>
          <w:rFonts w:ascii="Palatino Linotype" w:eastAsia="Palatino Linotype" w:hAnsi="Palatino Linotype" w:cs="Palatino Linotype"/>
          <w:b/>
          <w:i/>
          <w:sz w:val="22"/>
          <w:szCs w:val="22"/>
        </w:rPr>
        <w:t xml:space="preserve">en el caso de los Municipios, dicha obligación </w:t>
      </w:r>
      <w:r w:rsidRPr="00EA52AE">
        <w:rPr>
          <w:rFonts w:ascii="Palatino Linotype" w:eastAsia="Palatino Linotype" w:hAnsi="Palatino Linotype" w:cs="Palatino Linotype"/>
          <w:b/>
          <w:i/>
          <w:sz w:val="22"/>
          <w:szCs w:val="22"/>
          <w:u w:val="single"/>
        </w:rPr>
        <w:t>corresponderá a la Tesorería</w:t>
      </w:r>
      <w:r w:rsidRPr="00EA52AE">
        <w:rPr>
          <w:rFonts w:ascii="Palatino Linotype" w:eastAsia="Palatino Linotype" w:hAnsi="Palatino Linotype" w:cs="Palatino Linotype"/>
          <w:i/>
          <w:sz w:val="22"/>
          <w:szCs w:val="22"/>
          <w:u w:val="single"/>
        </w:rPr>
        <w:t xml:space="preserve">. </w:t>
      </w:r>
    </w:p>
    <w:p w14:paraId="38DBB7B1"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Tratándose de documentos de carácter histórico, se estará a lo dispuesto por la legislación de la materia.</w:t>
      </w:r>
    </w:p>
    <w:p w14:paraId="6022E0E8" w14:textId="77777777" w:rsidR="00D31507" w:rsidRPr="00EA52AE" w:rsidRDefault="00D31507" w:rsidP="00D31507">
      <w:pPr>
        <w:spacing w:before="120" w:after="120"/>
        <w:ind w:left="862" w:right="862"/>
        <w:jc w:val="both"/>
        <w:rPr>
          <w:rFonts w:ascii="Palatino Linotype" w:eastAsia="Palatino Linotype" w:hAnsi="Palatino Linotype" w:cs="Palatino Linotype"/>
          <w:b/>
          <w:i/>
          <w:sz w:val="22"/>
          <w:szCs w:val="22"/>
          <w:u w:val="single"/>
        </w:rPr>
      </w:pPr>
      <w:r w:rsidRPr="00EA52AE">
        <w:rPr>
          <w:rFonts w:ascii="Palatino Linotype" w:eastAsia="Palatino Linotype" w:hAnsi="Palatino Linotype" w:cs="Palatino Linotype"/>
          <w:b/>
          <w:i/>
          <w:sz w:val="22"/>
          <w:szCs w:val="22"/>
        </w:rPr>
        <w:t xml:space="preserve">Artículo 345.-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EA52AE">
        <w:rPr>
          <w:rFonts w:ascii="Palatino Linotype" w:eastAsia="Palatino Linotype" w:hAnsi="Palatino Linotype" w:cs="Palatino Linotype"/>
          <w:b/>
          <w:i/>
          <w:sz w:val="22"/>
          <w:szCs w:val="22"/>
          <w:u w:val="single"/>
        </w:rPr>
        <w:t xml:space="preserve">Tratándose de los comprobantes fiscales digitales, estos deberán estar agregados en forma electrónica a cada póliza de registro contable. </w:t>
      </w:r>
    </w:p>
    <w:p w14:paraId="351B1BCB"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EA52AE">
        <w:rPr>
          <w:rFonts w:ascii="Palatino Linotype" w:eastAsia="Palatino Linotype" w:hAnsi="Palatino Linotype" w:cs="Palatino Linotype"/>
          <w:b/>
          <w:i/>
          <w:sz w:val="22"/>
          <w:szCs w:val="22"/>
        </w:rPr>
        <w:t>deberán estar agregados en forma electrónica a cada póliza de registro contable</w:t>
      </w:r>
      <w:r w:rsidRPr="00EA52AE">
        <w:rPr>
          <w:rFonts w:ascii="Palatino Linotype" w:eastAsia="Palatino Linotype" w:hAnsi="Palatino Linotype" w:cs="Palatino Linotype"/>
          <w:i/>
          <w:sz w:val="22"/>
          <w:szCs w:val="22"/>
        </w:rPr>
        <w:t xml:space="preserve">. </w:t>
      </w:r>
    </w:p>
    <w:p w14:paraId="6C0609B8" w14:textId="77777777" w:rsidR="00D31507" w:rsidRPr="00EA52AE" w:rsidRDefault="00D31507" w:rsidP="00D31507">
      <w:pPr>
        <w:spacing w:before="120" w:after="120"/>
        <w:ind w:left="862" w:right="86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p>
    <w:p w14:paraId="3EAFC2EB"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77D57A93"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3CC4500"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5E7FE48B"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B6F96A3"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32F2EBDE" w14:textId="77777777" w:rsidR="00D31507" w:rsidRPr="00EA52AE" w:rsidRDefault="00D31507" w:rsidP="00D31507">
      <w:pPr>
        <w:ind w:left="851" w:right="851"/>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“REGISTRO CONTABLE </w:t>
      </w:r>
    </w:p>
    <w:p w14:paraId="2C4F78D8" w14:textId="77777777" w:rsidR="00D31507" w:rsidRPr="00EA52AE" w:rsidRDefault="00D31507" w:rsidP="00D31507">
      <w:pPr>
        <w:ind w:left="851" w:right="851"/>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Asiento que se realiza en los libros de contabilidad de las actividades relacionadas con el ingreso y egresos de un ente económico.” (Sic)</w:t>
      </w:r>
    </w:p>
    <w:p w14:paraId="7FDBBE19" w14:textId="77777777" w:rsidR="00D31507" w:rsidRPr="00EA52AE" w:rsidRDefault="00D31507" w:rsidP="00D31507">
      <w:pPr>
        <w:ind w:left="851" w:right="851"/>
        <w:jc w:val="both"/>
        <w:rPr>
          <w:rFonts w:ascii="Palatino Linotype" w:eastAsia="Palatino Linotype" w:hAnsi="Palatino Linotype" w:cs="Palatino Linotype"/>
          <w:b/>
          <w:i/>
          <w:sz w:val="22"/>
          <w:szCs w:val="22"/>
        </w:rPr>
      </w:pPr>
    </w:p>
    <w:p w14:paraId="2C18B7CC" w14:textId="77777777" w:rsidR="00D31507" w:rsidRPr="00EA52AE" w:rsidRDefault="00D31507" w:rsidP="00D31507">
      <w:pPr>
        <w:ind w:left="851" w:right="851"/>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“REGISTRO PRESUPUESTARIO</w:t>
      </w:r>
    </w:p>
    <w:p w14:paraId="4B4FEA8B" w14:textId="77777777" w:rsidR="00D31507" w:rsidRPr="00EA52AE" w:rsidRDefault="00D31507" w:rsidP="00D31507">
      <w:pPr>
        <w:ind w:left="851" w:right="851"/>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53E5C3BE" w14:textId="77777777" w:rsidR="00D31507" w:rsidRPr="00EA52AE" w:rsidRDefault="00D31507" w:rsidP="00D31507">
      <w:pPr>
        <w:spacing w:before="240" w:after="240"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3093236B"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Correlativo a lo anterior, es preciso referir una definición de </w:t>
      </w:r>
      <w:r w:rsidRPr="00EA52AE">
        <w:rPr>
          <w:rFonts w:ascii="Palatino Linotype" w:eastAsia="Palatino Linotype" w:hAnsi="Palatino Linotype" w:cs="Palatino Linotype"/>
          <w:i/>
          <w:sz w:val="22"/>
          <w:szCs w:val="22"/>
        </w:rPr>
        <w:t>póliza contable</w:t>
      </w:r>
      <w:r w:rsidRPr="00EA52AE">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17C2A015"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208401CC" w14:textId="77777777" w:rsidR="00D31507" w:rsidRPr="00EA52AE" w:rsidRDefault="00D31507" w:rsidP="00D31507">
      <w:pPr>
        <w:ind w:left="851" w:right="851"/>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PÓLIZA CONTABLE</w:t>
      </w:r>
    </w:p>
    <w:p w14:paraId="0345C37C" w14:textId="77777777" w:rsidR="00D31507" w:rsidRPr="00EA52AE" w:rsidRDefault="00D31507" w:rsidP="00D31507">
      <w:pPr>
        <w:ind w:left="851" w:right="851"/>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26690D64" w14:textId="77777777" w:rsidR="00D31507" w:rsidRPr="00EA52AE" w:rsidRDefault="00D31507" w:rsidP="00D31507">
      <w:pPr>
        <w:ind w:left="851" w:right="851"/>
        <w:jc w:val="both"/>
        <w:rPr>
          <w:rFonts w:ascii="Palatino Linotype" w:eastAsia="Palatino Linotype" w:hAnsi="Palatino Linotype" w:cs="Palatino Linotype"/>
          <w:i/>
          <w:sz w:val="22"/>
          <w:szCs w:val="22"/>
        </w:rPr>
      </w:pPr>
    </w:p>
    <w:p w14:paraId="273388A7"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Así, se advierte que la </w:t>
      </w:r>
      <w:r w:rsidRPr="00EA52AE">
        <w:rPr>
          <w:rFonts w:ascii="Palatino Linotype" w:eastAsia="Palatino Linotype" w:hAnsi="Palatino Linotype" w:cs="Palatino Linotype"/>
          <w:i/>
          <w:sz w:val="22"/>
          <w:szCs w:val="22"/>
        </w:rPr>
        <w:t>póliza contable</w:t>
      </w:r>
      <w:r w:rsidRPr="00EA52AE">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w:t>
      </w:r>
      <w:r w:rsidRPr="00EA52AE">
        <w:rPr>
          <w:rFonts w:ascii="Palatino Linotype" w:eastAsia="Palatino Linotype" w:hAnsi="Palatino Linotype" w:cs="Palatino Linotype"/>
          <w:sz w:val="22"/>
          <w:szCs w:val="22"/>
          <w:u w:val="single"/>
        </w:rPr>
        <w:t>ingresos y egresos</w:t>
      </w:r>
      <w:r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b/>
          <w:sz w:val="22"/>
          <w:szCs w:val="22"/>
        </w:rPr>
        <w:t>y se anexan los documentos o comprobantes que justifiquen las anotaciones y cantidades en ellas registradas</w:t>
      </w:r>
      <w:r w:rsidRPr="00EA52AE">
        <w:rPr>
          <w:rFonts w:ascii="Palatino Linotype" w:eastAsia="Palatino Linotype" w:hAnsi="Palatino Linotype" w:cs="Palatino Linotype"/>
          <w:sz w:val="22"/>
          <w:szCs w:val="22"/>
        </w:rPr>
        <w:t>, lo que permite la identificación plena de dichas operaciones.</w:t>
      </w:r>
    </w:p>
    <w:p w14:paraId="7F0E388B"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5F9C3071" w14:textId="77777777" w:rsidR="0004662E" w:rsidRPr="00EA52AE" w:rsidRDefault="00D31507"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En este sentido, existen diversos tipos de pólizas contables de acuerdo a las operaciones realizadas, dentro de las cuales, encontramos</w:t>
      </w:r>
      <w:r w:rsidR="0004662E" w:rsidRPr="00EA52AE">
        <w:rPr>
          <w:rFonts w:ascii="Palatino Linotype" w:eastAsia="Palatino Linotype" w:hAnsi="Palatino Linotype" w:cs="Palatino Linotype"/>
          <w:sz w:val="22"/>
          <w:szCs w:val="22"/>
        </w:rPr>
        <w:t xml:space="preserve"> las </w:t>
      </w:r>
      <w:r w:rsidR="0004662E" w:rsidRPr="00EA52AE">
        <w:rPr>
          <w:rFonts w:ascii="Palatino Linotype" w:eastAsia="Palatino Linotype" w:hAnsi="Palatino Linotype" w:cs="Palatino Linotype"/>
          <w:b/>
          <w:i/>
          <w:sz w:val="22"/>
          <w:szCs w:val="22"/>
        </w:rPr>
        <w:t>pólizas de egresos e ingresos</w:t>
      </w:r>
      <w:r w:rsidR="0004662E" w:rsidRPr="00EA52AE">
        <w:rPr>
          <w:rFonts w:ascii="Palatino Linotype" w:eastAsia="Palatino Linotype" w:hAnsi="Palatino Linotype" w:cs="Palatino Linotype"/>
          <w:sz w:val="22"/>
          <w:szCs w:val="22"/>
        </w:rPr>
        <w:t xml:space="preserve">, </w:t>
      </w:r>
      <w:r w:rsidR="0004662E" w:rsidRPr="00EA52AE">
        <w:rPr>
          <w:rFonts w:ascii="Palatino Linotype" w:eastAsia="Palatino Linotype" w:hAnsi="Palatino Linotype" w:cs="Palatino Linotype"/>
          <w:b/>
          <w:sz w:val="22"/>
          <w:szCs w:val="22"/>
        </w:rPr>
        <w:t>las primeras son aquellas en las cuales se anotan diariamente las operaciones que representan gastos, es decir, salidas de dinero para el Sujeto Obligado, las que además, deben encontrarse acompañadas de las documentales que sirven de soporte de dicho movimiento</w:t>
      </w:r>
      <w:r w:rsidR="0004662E" w:rsidRPr="00EA52AE">
        <w:rPr>
          <w:rFonts w:ascii="Palatino Linotype" w:eastAsia="Palatino Linotype" w:hAnsi="Palatino Linotype" w:cs="Palatino Linotype"/>
          <w:sz w:val="22"/>
          <w:szCs w:val="22"/>
        </w:rPr>
        <w:t xml:space="preserve">, y las </w:t>
      </w:r>
      <w:r w:rsidR="0004662E" w:rsidRPr="00EA52AE">
        <w:rPr>
          <w:rFonts w:ascii="Palatino Linotype" w:eastAsia="Palatino Linotype" w:hAnsi="Palatino Linotype" w:cs="Palatino Linotype"/>
          <w:sz w:val="22"/>
          <w:szCs w:val="22"/>
        </w:rPr>
        <w:lastRenderedPageBreak/>
        <w:t>segundas, registran todas la entradas de dinero independientemente de la modalidad, ya sea en efectivo, transferencia, cheque o pagaré.</w:t>
      </w:r>
    </w:p>
    <w:p w14:paraId="05FB5A50" w14:textId="77777777" w:rsidR="0004662E" w:rsidRPr="00EA52AE" w:rsidRDefault="0004662E" w:rsidP="00D31507">
      <w:pPr>
        <w:spacing w:line="360" w:lineRule="auto"/>
        <w:jc w:val="both"/>
        <w:rPr>
          <w:rFonts w:ascii="Palatino Linotype" w:eastAsia="Palatino Linotype" w:hAnsi="Palatino Linotype" w:cs="Palatino Linotype"/>
          <w:sz w:val="22"/>
          <w:szCs w:val="22"/>
        </w:rPr>
      </w:pPr>
    </w:p>
    <w:p w14:paraId="16C45AD3" w14:textId="77777777" w:rsidR="006765F1" w:rsidRPr="00EA52AE" w:rsidRDefault="0004662E" w:rsidP="00D31507">
      <w:pPr>
        <w:spacing w:line="360" w:lineRule="auto"/>
        <w:jc w:val="both"/>
        <w:rPr>
          <w:rFonts w:ascii="Palatino Linotype" w:eastAsia="Palatino Linotype" w:hAnsi="Palatino Linotype" w:cs="Palatino Linotype"/>
          <w:b/>
          <w:sz w:val="22"/>
          <w:szCs w:val="22"/>
          <w:u w:val="single"/>
        </w:rPr>
      </w:pPr>
      <w:r w:rsidRPr="00EA52AE">
        <w:rPr>
          <w:rFonts w:ascii="Palatino Linotype" w:eastAsia="Palatino Linotype" w:hAnsi="Palatino Linotype" w:cs="Palatino Linotype"/>
          <w:sz w:val="22"/>
          <w:szCs w:val="22"/>
        </w:rPr>
        <w:t>Asimismo, se encuentran</w:t>
      </w:r>
      <w:r w:rsidR="00D31507" w:rsidRPr="00EA52AE">
        <w:rPr>
          <w:rFonts w:ascii="Palatino Linotype" w:eastAsia="Palatino Linotype" w:hAnsi="Palatino Linotype" w:cs="Palatino Linotype"/>
          <w:sz w:val="22"/>
          <w:szCs w:val="22"/>
        </w:rPr>
        <w:t xml:space="preserve"> las </w:t>
      </w:r>
      <w:r w:rsidR="00D31507" w:rsidRPr="00EA52AE">
        <w:rPr>
          <w:rFonts w:ascii="Palatino Linotype" w:eastAsia="Palatino Linotype" w:hAnsi="Palatino Linotype" w:cs="Palatino Linotype"/>
          <w:b/>
          <w:sz w:val="22"/>
          <w:szCs w:val="22"/>
          <w:u w:val="single"/>
        </w:rPr>
        <w:t>pólizas de cheques</w:t>
      </w:r>
      <w:r w:rsidR="00D31507" w:rsidRPr="00EA52AE">
        <w:rPr>
          <w:rFonts w:ascii="Palatino Linotype" w:eastAsia="Palatino Linotype" w:hAnsi="Palatino Linotype" w:cs="Palatino Linotype"/>
          <w:sz w:val="22"/>
          <w:szCs w:val="22"/>
        </w:rPr>
        <w:t xml:space="preserve">, las cuales se utilizan en caso de erogaciones realizadas a </w:t>
      </w:r>
      <w:r w:rsidR="00D31507" w:rsidRPr="00EA52AE">
        <w:rPr>
          <w:rFonts w:ascii="Palatino Linotype" w:eastAsia="Palatino Linotype" w:hAnsi="Palatino Linotype" w:cs="Palatino Linotype"/>
          <w:b/>
          <w:sz w:val="22"/>
          <w:szCs w:val="22"/>
          <w:u w:val="single"/>
        </w:rPr>
        <w:t>través de un cheque.</w:t>
      </w:r>
    </w:p>
    <w:p w14:paraId="05DD0721" w14:textId="77777777" w:rsidR="0004662E" w:rsidRPr="00EA52AE" w:rsidRDefault="0004662E" w:rsidP="0004662E">
      <w:pPr>
        <w:spacing w:line="360" w:lineRule="auto"/>
        <w:jc w:val="both"/>
        <w:rPr>
          <w:rFonts w:ascii="Palatino Linotype" w:eastAsia="Palatino Linotype" w:hAnsi="Palatino Linotype" w:cs="Palatino Linotype"/>
          <w:b/>
          <w:sz w:val="22"/>
          <w:szCs w:val="22"/>
          <w:u w:val="single"/>
        </w:rPr>
      </w:pPr>
    </w:p>
    <w:p w14:paraId="0B67327E" w14:textId="77777777" w:rsidR="0004662E" w:rsidRPr="00EA52AE" w:rsidRDefault="0004662E" w:rsidP="0004662E">
      <w:pPr>
        <w:pStyle w:val="NormalWeb"/>
        <w:spacing w:before="0" w:beforeAutospacing="0" w:after="0" w:afterAutospacing="0" w:line="360" w:lineRule="auto"/>
        <w:ind w:right="51"/>
        <w:jc w:val="both"/>
      </w:pPr>
      <w:r w:rsidRPr="00EA52AE">
        <w:rPr>
          <w:rFonts w:ascii="Palatino Linotype" w:hAnsi="Palatino Linotype"/>
          <w:sz w:val="22"/>
          <w:szCs w:val="22"/>
        </w:rPr>
        <w:t xml:space="preserve">Atento a lo anterior, como ya ha sido mencionado en la normatividad antes citada, </w:t>
      </w:r>
      <w:r w:rsidRPr="00EA52AE">
        <w:rPr>
          <w:rFonts w:ascii="Palatino Linotype" w:hAnsi="Palatino Linotype"/>
          <w:b/>
          <w:bCs/>
          <w:sz w:val="22"/>
          <w:szCs w:val="22"/>
        </w:rPr>
        <w:t>todo registro contable y presupuestal deberá estar soportado con los documentos comprobatorios originales,</w:t>
      </w:r>
      <w:r w:rsidRPr="00EA52AE">
        <w:rPr>
          <w:rFonts w:ascii="Palatino Linotype" w:hAnsi="Palatino Linotype"/>
          <w:sz w:val="22"/>
          <w:szCs w:val="22"/>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1108B36A" w14:textId="77777777" w:rsidR="0004662E" w:rsidRPr="00EA52AE" w:rsidRDefault="0004662E" w:rsidP="0004662E">
      <w:pPr>
        <w:spacing w:line="360" w:lineRule="auto"/>
      </w:pPr>
    </w:p>
    <w:p w14:paraId="15D7A05C" w14:textId="77777777" w:rsidR="0004662E" w:rsidRPr="00EA52AE" w:rsidRDefault="0004662E" w:rsidP="0004662E">
      <w:pPr>
        <w:pStyle w:val="NormalWeb"/>
        <w:spacing w:before="0" w:beforeAutospacing="0" w:after="0" w:afterAutospacing="0" w:line="360" w:lineRule="auto"/>
        <w:jc w:val="both"/>
      </w:pPr>
      <w:r w:rsidRPr="00EA52AE">
        <w:rPr>
          <w:rFonts w:ascii="Palatino Linotype" w:hAnsi="Palatino Linotype"/>
          <w:sz w:val="22"/>
          <w:szCs w:val="22"/>
        </w:rPr>
        <w:t xml:space="preserve">Así, se puede advertir que, los documentos que pueden satisfacer el requerimiento de la persona solicitante serían precisamente </w:t>
      </w:r>
      <w:r w:rsidRPr="00EA52AE">
        <w:rPr>
          <w:rFonts w:ascii="Palatino Linotype" w:hAnsi="Palatino Linotype"/>
          <w:b/>
          <w:bCs/>
          <w:sz w:val="22"/>
          <w:szCs w:val="22"/>
        </w:rPr>
        <w:t>los documentos comprobatorios de la erogación relacionada con la salida de recreación a que se refiere la solicitud de información.</w:t>
      </w:r>
    </w:p>
    <w:p w14:paraId="0C2F9B67" w14:textId="77777777" w:rsidR="0004662E" w:rsidRPr="00EA52AE" w:rsidRDefault="0004662E" w:rsidP="0004662E">
      <w:pPr>
        <w:spacing w:line="360" w:lineRule="auto"/>
      </w:pPr>
    </w:p>
    <w:p w14:paraId="196977D1" w14:textId="77777777" w:rsidR="0004662E" w:rsidRPr="00EA52AE" w:rsidRDefault="0004662E" w:rsidP="0004662E">
      <w:pPr>
        <w:pStyle w:val="NormalWeb"/>
        <w:spacing w:before="0" w:beforeAutospacing="0" w:after="0" w:afterAutospacing="0" w:line="360" w:lineRule="auto"/>
        <w:jc w:val="both"/>
      </w:pPr>
      <w:r w:rsidRPr="00EA52AE">
        <w:rPr>
          <w:rFonts w:ascii="Palatino Linotype" w:hAnsi="Palatino Linotype"/>
          <w:sz w:val="22"/>
          <w:szCs w:val="22"/>
        </w:rPr>
        <w:t xml:space="preserve">En este sentido, cabe referir que conforme el artículo 4 fracción II de la Ley de Fiscalización Superior del Estado de México, los municipios que conforman el Estado de México, entre ellos el </w:t>
      </w:r>
      <w:r w:rsidRPr="00EA52AE">
        <w:rPr>
          <w:rFonts w:ascii="Palatino Linotype" w:hAnsi="Palatino Linotype"/>
          <w:b/>
          <w:bCs/>
          <w:sz w:val="22"/>
          <w:szCs w:val="22"/>
        </w:rPr>
        <w:t>Sujeto Obligado</w:t>
      </w:r>
      <w:r w:rsidRPr="00EA52AE">
        <w:rPr>
          <w:rFonts w:ascii="Palatino Linotype" w:hAnsi="Palatino Linotype"/>
          <w:sz w:val="22"/>
          <w:szCs w:val="22"/>
        </w:rPr>
        <w:t>, son considerados como entes fiscalizables, a saber:</w:t>
      </w:r>
    </w:p>
    <w:p w14:paraId="7E2645A5" w14:textId="77777777" w:rsidR="0004662E" w:rsidRPr="00EA52AE" w:rsidRDefault="0004662E" w:rsidP="0004662E">
      <w:pPr>
        <w:spacing w:line="360" w:lineRule="auto"/>
      </w:pPr>
    </w:p>
    <w:p w14:paraId="1D4AB80A" w14:textId="77777777" w:rsidR="0004662E" w:rsidRPr="00EA52AE" w:rsidRDefault="0004662E" w:rsidP="0004662E">
      <w:pPr>
        <w:pStyle w:val="NormalWeb"/>
        <w:spacing w:before="0" w:beforeAutospacing="0" w:after="0" w:afterAutospacing="0" w:line="360" w:lineRule="auto"/>
        <w:ind w:left="851" w:right="902"/>
        <w:jc w:val="both"/>
      </w:pPr>
      <w:r w:rsidRPr="00EA52AE">
        <w:rPr>
          <w:rFonts w:ascii="Palatino Linotype" w:hAnsi="Palatino Linotype"/>
          <w:i/>
          <w:iCs/>
          <w:sz w:val="22"/>
          <w:szCs w:val="22"/>
        </w:rPr>
        <w:t>“</w:t>
      </w:r>
      <w:r w:rsidRPr="00EA52AE">
        <w:rPr>
          <w:rFonts w:ascii="Palatino Linotype" w:hAnsi="Palatino Linotype"/>
          <w:b/>
          <w:bCs/>
          <w:i/>
          <w:iCs/>
          <w:sz w:val="22"/>
          <w:szCs w:val="22"/>
        </w:rPr>
        <w:t>Artículo 4</w:t>
      </w:r>
      <w:r w:rsidRPr="00EA52AE">
        <w:rPr>
          <w:rFonts w:ascii="Palatino Linotype" w:hAnsi="Palatino Linotype"/>
          <w:i/>
          <w:iCs/>
          <w:sz w:val="22"/>
          <w:szCs w:val="22"/>
        </w:rPr>
        <w:t>. Son sujetos de fiscalización:</w:t>
      </w:r>
    </w:p>
    <w:p w14:paraId="56831D17" w14:textId="77777777" w:rsidR="0004662E" w:rsidRPr="00EA52AE" w:rsidRDefault="0004662E" w:rsidP="0004662E">
      <w:pPr>
        <w:pStyle w:val="NormalWeb"/>
        <w:spacing w:before="0" w:beforeAutospacing="0" w:after="0" w:afterAutospacing="0" w:line="360" w:lineRule="auto"/>
        <w:ind w:left="851" w:right="902"/>
        <w:jc w:val="both"/>
      </w:pPr>
      <w:r w:rsidRPr="00EA52AE">
        <w:rPr>
          <w:rFonts w:ascii="Palatino Linotype" w:hAnsi="Palatino Linotype"/>
          <w:i/>
          <w:iCs/>
          <w:sz w:val="22"/>
          <w:szCs w:val="22"/>
        </w:rPr>
        <w:t>…</w:t>
      </w:r>
    </w:p>
    <w:p w14:paraId="7EFFE3CD" w14:textId="77777777" w:rsidR="0004662E" w:rsidRPr="00EA52AE" w:rsidRDefault="0004662E" w:rsidP="0004662E">
      <w:pPr>
        <w:pStyle w:val="NormalWeb"/>
        <w:spacing w:before="0" w:beforeAutospacing="0" w:after="0" w:afterAutospacing="0" w:line="360" w:lineRule="auto"/>
        <w:ind w:left="851" w:right="902"/>
        <w:jc w:val="both"/>
      </w:pPr>
      <w:r w:rsidRPr="00EA52AE">
        <w:rPr>
          <w:rFonts w:ascii="Palatino Linotype" w:hAnsi="Palatino Linotype"/>
          <w:b/>
          <w:bCs/>
          <w:i/>
          <w:iCs/>
          <w:sz w:val="22"/>
          <w:szCs w:val="22"/>
          <w:u w:val="single"/>
        </w:rPr>
        <w:t>Los municipios del Estado de México</w:t>
      </w:r>
      <w:r w:rsidRPr="00EA52AE">
        <w:rPr>
          <w:rFonts w:ascii="Palatino Linotype" w:hAnsi="Palatino Linotype"/>
          <w:i/>
          <w:iCs/>
          <w:sz w:val="22"/>
          <w:szCs w:val="22"/>
        </w:rPr>
        <w:t>…”</w:t>
      </w:r>
    </w:p>
    <w:p w14:paraId="39D3379E" w14:textId="77777777" w:rsidR="0004662E" w:rsidRPr="00EA52AE" w:rsidRDefault="0004662E" w:rsidP="0004662E">
      <w:pPr>
        <w:spacing w:line="360" w:lineRule="auto"/>
      </w:pPr>
    </w:p>
    <w:p w14:paraId="770983E2" w14:textId="77777777" w:rsidR="0004662E" w:rsidRPr="00EA52AE" w:rsidRDefault="0004662E" w:rsidP="0004662E">
      <w:pPr>
        <w:pStyle w:val="NormalWeb"/>
        <w:spacing w:before="0" w:beforeAutospacing="0" w:after="0" w:afterAutospacing="0" w:line="360" w:lineRule="auto"/>
        <w:ind w:right="49"/>
        <w:jc w:val="both"/>
      </w:pPr>
      <w:r w:rsidRPr="00EA52AE">
        <w:rPr>
          <w:rFonts w:ascii="Palatino Linotype" w:hAnsi="Palatino Linotype"/>
          <w:sz w:val="22"/>
          <w:szCs w:val="22"/>
        </w:rPr>
        <w:lastRenderedPageBreak/>
        <w:t>Asimismo, el ordenamiento legal referido señala en su artículo 8, fracción XI, lo siguiente: </w:t>
      </w:r>
    </w:p>
    <w:p w14:paraId="43156CFD" w14:textId="77777777" w:rsidR="0004662E" w:rsidRPr="00EA52AE" w:rsidRDefault="0004662E" w:rsidP="0004662E">
      <w:pPr>
        <w:pStyle w:val="NormalWeb"/>
        <w:spacing w:before="0" w:beforeAutospacing="0" w:after="0" w:afterAutospacing="0" w:line="360" w:lineRule="auto"/>
        <w:ind w:left="851" w:right="900"/>
        <w:jc w:val="both"/>
      </w:pPr>
      <w:r w:rsidRPr="00EA52AE">
        <w:rPr>
          <w:rFonts w:ascii="Palatino Linotype" w:hAnsi="Palatino Linotype"/>
          <w:b/>
          <w:bCs/>
          <w:i/>
          <w:iCs/>
          <w:sz w:val="22"/>
          <w:szCs w:val="22"/>
        </w:rPr>
        <w:t>“Artículo 8</w:t>
      </w:r>
      <w:r w:rsidRPr="00EA52AE">
        <w:rPr>
          <w:rFonts w:ascii="Palatino Linotype" w:hAnsi="Palatino Linotype"/>
          <w:i/>
          <w:iCs/>
          <w:sz w:val="22"/>
          <w:szCs w:val="22"/>
        </w:rPr>
        <w:t>. El Órgano Superior tendrá las siguientes atribuciones:</w:t>
      </w:r>
    </w:p>
    <w:p w14:paraId="2802F15D" w14:textId="77777777" w:rsidR="0004662E" w:rsidRPr="00EA52AE" w:rsidRDefault="0004662E" w:rsidP="0004662E">
      <w:pPr>
        <w:pStyle w:val="NormalWeb"/>
        <w:spacing w:before="0" w:beforeAutospacing="0" w:after="0" w:afterAutospacing="0" w:line="360" w:lineRule="auto"/>
        <w:ind w:left="1134" w:right="900"/>
        <w:jc w:val="both"/>
      </w:pPr>
      <w:r w:rsidRPr="00EA52AE">
        <w:rPr>
          <w:rFonts w:ascii="Palatino Linotype" w:hAnsi="Palatino Linotype"/>
          <w:i/>
          <w:iCs/>
          <w:sz w:val="22"/>
          <w:szCs w:val="22"/>
        </w:rPr>
        <w:t>…</w:t>
      </w:r>
    </w:p>
    <w:p w14:paraId="13F25341" w14:textId="77777777" w:rsidR="0004662E" w:rsidRPr="00EA52AE" w:rsidRDefault="0004662E" w:rsidP="0004662E">
      <w:pPr>
        <w:pStyle w:val="NormalWeb"/>
        <w:spacing w:before="0" w:beforeAutospacing="0" w:after="0" w:afterAutospacing="0" w:line="360" w:lineRule="auto"/>
        <w:ind w:left="1134" w:right="900"/>
        <w:jc w:val="both"/>
      </w:pPr>
      <w:r w:rsidRPr="00EA52AE">
        <w:rPr>
          <w:rFonts w:ascii="Palatino Linotype" w:hAnsi="Palatino Linotype"/>
          <w:b/>
          <w:bCs/>
          <w:i/>
          <w:iCs/>
          <w:sz w:val="22"/>
          <w:szCs w:val="22"/>
        </w:rPr>
        <w:t>XI.</w:t>
      </w:r>
      <w:r w:rsidRPr="00EA52AE">
        <w:rPr>
          <w:rFonts w:ascii="Palatino Linotype" w:hAnsi="Palatino Linotype"/>
          <w:i/>
          <w:iCs/>
          <w:sz w:val="22"/>
          <w:szCs w:val="22"/>
        </w:rPr>
        <w:t xml:space="preserve"> </w:t>
      </w:r>
      <w:r w:rsidRPr="00EA52AE">
        <w:rPr>
          <w:rFonts w:ascii="Palatino Linotype" w:hAnsi="Palatino Linotype"/>
          <w:b/>
          <w:bCs/>
          <w:i/>
          <w:iCs/>
          <w:sz w:val="22"/>
          <w:szCs w:val="22"/>
        </w:rPr>
        <w:t>Establecer los lineamientos, criterios, procedimientos, métodos y sistemas para las acciones de control y evaluación, necesarios para la fiscalización de las cuentas públicas y los informes trimestrales</w:t>
      </w:r>
      <w:r w:rsidRPr="00EA52AE">
        <w:rPr>
          <w:rFonts w:ascii="Palatino Linotype" w:hAnsi="Palatino Linotype"/>
          <w:i/>
          <w:iCs/>
          <w:sz w:val="22"/>
          <w:szCs w:val="22"/>
        </w:rPr>
        <w:t>…”</w:t>
      </w:r>
    </w:p>
    <w:p w14:paraId="5270AF9E" w14:textId="77777777" w:rsidR="0004662E" w:rsidRPr="00EA52AE" w:rsidRDefault="0004662E" w:rsidP="0004662E">
      <w:pPr>
        <w:spacing w:line="360" w:lineRule="auto"/>
      </w:pPr>
    </w:p>
    <w:p w14:paraId="480E136B" w14:textId="77777777" w:rsidR="0004662E" w:rsidRPr="00EA52AE" w:rsidRDefault="0004662E" w:rsidP="0004662E">
      <w:pPr>
        <w:pStyle w:val="NormalWeb"/>
        <w:spacing w:before="0" w:beforeAutospacing="0" w:after="0" w:afterAutospacing="0" w:line="360" w:lineRule="auto"/>
        <w:ind w:right="49"/>
        <w:jc w:val="both"/>
      </w:pPr>
      <w:r w:rsidRPr="00EA52AE">
        <w:rPr>
          <w:rFonts w:ascii="Palatino Linotype" w:hAnsi="Palatino Linotype"/>
          <w:sz w:val="22"/>
          <w:szCs w:val="22"/>
        </w:rPr>
        <w:t>En esta tesitura, los Lineamientos para la integración y entrega del Informe Trimestral Municipal para el ejercicio fiscal 2024, emitidos por el Órgano Superior de Fiscalización del Estado de México, OSFEM, establecen los criterios, formatos y documentación necesaria para presentar los informes trimestrales por parte de los entes fiscalizables, debiendo integrar la información en cuatro Módulos que contienen la información que se detalla a continuación:</w:t>
      </w:r>
    </w:p>
    <w:p w14:paraId="5F0BD399" w14:textId="77777777" w:rsidR="0004662E" w:rsidRPr="00EA52AE" w:rsidRDefault="0004662E" w:rsidP="0004662E">
      <w:pPr>
        <w:spacing w:line="360" w:lineRule="auto"/>
        <w:jc w:val="center"/>
      </w:pPr>
      <w:r w:rsidRPr="00EA52AE">
        <w:rPr>
          <w:noProof/>
        </w:rPr>
        <w:drawing>
          <wp:inline distT="0" distB="0" distL="0" distR="0" wp14:anchorId="3C0A8594" wp14:editId="7AB3620B">
            <wp:extent cx="3591426" cy="8573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1426" cy="857370"/>
                    </a:xfrm>
                    <a:prstGeom prst="rect">
                      <a:avLst/>
                    </a:prstGeom>
                  </pic:spPr>
                </pic:pic>
              </a:graphicData>
            </a:graphic>
          </wp:inline>
        </w:drawing>
      </w:r>
    </w:p>
    <w:p w14:paraId="63C18BB7" w14:textId="77777777" w:rsidR="0004662E" w:rsidRPr="00EA52AE" w:rsidRDefault="0004662E" w:rsidP="0004662E">
      <w:pPr>
        <w:pStyle w:val="NormalWeb"/>
        <w:spacing w:before="240" w:beforeAutospacing="0" w:after="240" w:afterAutospacing="0" w:line="360" w:lineRule="auto"/>
        <w:jc w:val="both"/>
      </w:pPr>
      <w:r w:rsidRPr="00EA52AE">
        <w:rPr>
          <w:rFonts w:ascii="Palatino Linotype" w:hAnsi="Palatino Linotype"/>
          <w:sz w:val="22"/>
          <w:szCs w:val="22"/>
        </w:rPr>
        <w:t>A su vez los Módulos se dividen en submódulos, de los que destaca, en relación con el análisis que nos ocupa, el submódulo relativo a “Pólizas”, del Módulo 1:</w:t>
      </w:r>
    </w:p>
    <w:p w14:paraId="1319E458" w14:textId="77777777" w:rsidR="0004662E" w:rsidRPr="00EA52AE" w:rsidRDefault="0004662E" w:rsidP="0004662E">
      <w:pPr>
        <w:pStyle w:val="NormalWeb"/>
        <w:spacing w:before="0" w:beforeAutospacing="0" w:after="0" w:afterAutospacing="0" w:line="360" w:lineRule="auto"/>
        <w:ind w:right="49"/>
        <w:jc w:val="center"/>
      </w:pPr>
      <w:r w:rsidRPr="00EA52AE">
        <w:rPr>
          <w:noProof/>
          <w:lang w:val="es-MX"/>
        </w:rPr>
        <w:drawing>
          <wp:inline distT="0" distB="0" distL="0" distR="0" wp14:anchorId="4EC533AF" wp14:editId="7E5CABCB">
            <wp:extent cx="5001323" cy="876422"/>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1323" cy="876422"/>
                    </a:xfrm>
                    <a:prstGeom prst="rect">
                      <a:avLst/>
                    </a:prstGeom>
                  </pic:spPr>
                </pic:pic>
              </a:graphicData>
            </a:graphic>
          </wp:inline>
        </w:drawing>
      </w:r>
    </w:p>
    <w:p w14:paraId="6359B6EB" w14:textId="77777777" w:rsidR="0004662E" w:rsidRPr="00EA52AE" w:rsidRDefault="0004662E" w:rsidP="0004662E">
      <w:pPr>
        <w:pStyle w:val="NormalWeb"/>
        <w:spacing w:before="0" w:beforeAutospacing="0" w:after="0" w:afterAutospacing="0" w:line="360" w:lineRule="auto"/>
        <w:ind w:right="49"/>
        <w:jc w:val="center"/>
      </w:pPr>
    </w:p>
    <w:p w14:paraId="03CB42FF" w14:textId="77777777" w:rsidR="007A5C72" w:rsidRPr="00EA52AE" w:rsidRDefault="0004662E" w:rsidP="007A5C72">
      <w:pPr>
        <w:pStyle w:val="NormalWeb"/>
        <w:spacing w:before="0" w:beforeAutospacing="0" w:after="0" w:afterAutospacing="0" w:line="360" w:lineRule="auto"/>
        <w:jc w:val="both"/>
      </w:pPr>
      <w:r w:rsidRPr="00EA52AE">
        <w:rPr>
          <w:rFonts w:ascii="Palatino Linotype" w:hAnsi="Palatino Linotype"/>
          <w:sz w:val="22"/>
          <w:szCs w:val="22"/>
        </w:rPr>
        <w:t xml:space="preserve">Como se advierte en la imagen anterior, el submódulo “Pólizas”, se integra, entre otras, por las pólizas de egresos y cheques con los respectivos documentos comprobatorios, cuya </w:t>
      </w:r>
      <w:r w:rsidRPr="00EA52AE">
        <w:rPr>
          <w:rFonts w:ascii="Palatino Linotype" w:hAnsi="Palatino Linotype"/>
          <w:sz w:val="22"/>
          <w:szCs w:val="22"/>
        </w:rPr>
        <w:lastRenderedPageBreak/>
        <w:t>periodicidad de elaboración es de manera mensual; información que se debe grabar en tres discos compactos, cada uno con un mes del trimestre.</w:t>
      </w:r>
    </w:p>
    <w:p w14:paraId="27D5DA26" w14:textId="77777777" w:rsidR="007A5C72" w:rsidRPr="00EA52AE" w:rsidRDefault="007A5C72" w:rsidP="007A5C72">
      <w:pPr>
        <w:pStyle w:val="NormalWeb"/>
        <w:spacing w:before="0" w:beforeAutospacing="0" w:after="0" w:afterAutospacing="0" w:line="360" w:lineRule="auto"/>
        <w:jc w:val="both"/>
      </w:pPr>
    </w:p>
    <w:p w14:paraId="521EAF68" w14:textId="77777777" w:rsidR="0004662E" w:rsidRPr="00EA52AE" w:rsidRDefault="0004662E" w:rsidP="007A5C72">
      <w:pPr>
        <w:pStyle w:val="NormalWeb"/>
        <w:spacing w:before="0" w:beforeAutospacing="0" w:after="0" w:afterAutospacing="0" w:line="360" w:lineRule="auto"/>
        <w:jc w:val="both"/>
      </w:pPr>
      <w:r w:rsidRPr="00EA52AE">
        <w:rPr>
          <w:rFonts w:ascii="Palatino Linotype" w:hAnsi="Palatino Linotype"/>
          <w:sz w:val="22"/>
          <w:szCs w:val="22"/>
        </w:rPr>
        <w:t xml:space="preserve">Por lo que, se considera que la información a la que se pretende acceder consistente en las facturas por los gastos efectuados, podría encontrarse </w:t>
      </w:r>
      <w:r w:rsidRPr="00EA52AE">
        <w:rPr>
          <w:rFonts w:ascii="Palatino Linotype" w:hAnsi="Palatino Linotype"/>
          <w:b/>
          <w:bCs/>
          <w:sz w:val="22"/>
          <w:szCs w:val="22"/>
          <w:u w:val="single"/>
        </w:rPr>
        <w:t>en los documentos comprobatorios que amparan las pólizas de egresos, por corresponder a comprobantes de gastos.</w:t>
      </w:r>
    </w:p>
    <w:p w14:paraId="7E3C0D2F" w14:textId="77777777" w:rsidR="0004662E" w:rsidRPr="00EA52AE" w:rsidRDefault="0004662E" w:rsidP="00D31507">
      <w:pPr>
        <w:spacing w:line="360" w:lineRule="auto"/>
        <w:jc w:val="both"/>
        <w:rPr>
          <w:rFonts w:ascii="Palatino Linotype" w:eastAsia="Palatino Linotype" w:hAnsi="Palatino Linotype" w:cs="Palatino Linotype"/>
          <w:b/>
          <w:sz w:val="22"/>
          <w:szCs w:val="22"/>
          <w:u w:val="single"/>
        </w:rPr>
      </w:pPr>
    </w:p>
    <w:p w14:paraId="60D2AD32"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Además, cabe señal</w:t>
      </w:r>
      <w:r w:rsidR="00F50E23" w:rsidRPr="00EA52AE">
        <w:rPr>
          <w:rFonts w:ascii="Palatino Linotype" w:eastAsia="Palatino Linotype" w:hAnsi="Palatino Linotype" w:cs="Palatino Linotype"/>
          <w:sz w:val="22"/>
          <w:szCs w:val="22"/>
        </w:rPr>
        <w:t xml:space="preserve">ar que la información que se requiere, señalada en los </w:t>
      </w:r>
      <w:r w:rsidR="00F50E23" w:rsidRPr="00EA52AE">
        <w:rPr>
          <w:rFonts w:ascii="Palatino Linotype" w:eastAsia="Palatino Linotype" w:hAnsi="Palatino Linotype" w:cs="Palatino Linotype"/>
          <w:b/>
          <w:sz w:val="22"/>
          <w:szCs w:val="22"/>
        </w:rPr>
        <w:t>numerales 1 al 4,</w:t>
      </w:r>
      <w:r w:rsidR="00F50E23" w:rsidRPr="00EA52AE">
        <w:rPr>
          <w:rFonts w:ascii="Palatino Linotype" w:eastAsia="Palatino Linotype" w:hAnsi="Palatino Linotype" w:cs="Palatino Linotype"/>
          <w:sz w:val="22"/>
          <w:szCs w:val="22"/>
        </w:rPr>
        <w:t xml:space="preserve"> </w:t>
      </w:r>
      <w:r w:rsidRPr="00EA52AE">
        <w:rPr>
          <w:rFonts w:ascii="Palatino Linotype" w:eastAsia="Palatino Linotype" w:hAnsi="Palatino Linotype" w:cs="Palatino Linotype"/>
          <w:sz w:val="22"/>
          <w:szCs w:val="22"/>
        </w:rPr>
        <w:t xml:space="preserve">forma parte de las Obligaciones de Transparencia Comunes del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por relacionarse con la información que forma parte de los procedimientos de adquisición, lo que nos permite traer a colación lo dispuesto por la fracción XXIX del artículo 92, de la Ley de Transparencia y Acceso a la Información Pública del Estado de México y Municipios en el cual se aprecia lo siguiente:</w:t>
      </w:r>
    </w:p>
    <w:p w14:paraId="0D4B5160"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1D7D8D2B" w14:textId="77777777" w:rsidR="00D31507" w:rsidRPr="00EA52AE" w:rsidRDefault="00D31507" w:rsidP="00D31507">
      <w:pPr>
        <w:tabs>
          <w:tab w:val="left" w:pos="851"/>
        </w:tabs>
        <w:ind w:left="709"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Artículo 92</w:t>
      </w:r>
      <w:r w:rsidRPr="00EA52AE">
        <w:rPr>
          <w:rFonts w:ascii="Palatino Linotype" w:eastAsia="Palatino Linotype" w:hAnsi="Palatino Linotype" w:cs="Palatino Linotype"/>
          <w:i/>
          <w:sz w:val="22"/>
          <w:szCs w:val="22"/>
        </w:rPr>
        <w:t xml:space="preserve">. </w:t>
      </w:r>
      <w:r w:rsidRPr="00EA52AE">
        <w:rPr>
          <w:rFonts w:ascii="Palatino Linotype" w:eastAsia="Palatino Linotype" w:hAnsi="Palatino Linotype" w:cs="Palatino Linotype"/>
          <w:b/>
          <w:i/>
          <w:sz w:val="22"/>
          <w:szCs w:val="22"/>
          <w:u w:val="single"/>
        </w:rPr>
        <w:t>Los sujetos obligados deberán poner a disposición del público de manera permanente y actualizada de forma sencilla, precisa y entendible, en los respectivos medios electrónicos</w:t>
      </w:r>
      <w:r w:rsidRPr="00EA52AE">
        <w:rPr>
          <w:rFonts w:ascii="Palatino Linotype" w:eastAsia="Palatino Linotype" w:hAnsi="Palatino Linotype" w:cs="Palatino Linotype"/>
          <w:i/>
          <w:sz w:val="22"/>
          <w:szCs w:val="22"/>
        </w:rPr>
        <w:t xml:space="preserve">, de acuerdo con sus facultades, atribuciones, funciones u objeto social, según corresponda, la información, </w:t>
      </w:r>
      <w:r w:rsidRPr="00EA52AE">
        <w:rPr>
          <w:rFonts w:ascii="Palatino Linotype" w:eastAsia="Palatino Linotype" w:hAnsi="Palatino Linotype" w:cs="Palatino Linotype"/>
          <w:b/>
          <w:i/>
          <w:sz w:val="22"/>
          <w:szCs w:val="22"/>
          <w:u w:val="single"/>
        </w:rPr>
        <w:t>por lo menos, de los temas, documentos y políticas que a continuación se señalan</w:t>
      </w:r>
      <w:r w:rsidRPr="00EA52AE">
        <w:rPr>
          <w:rFonts w:ascii="Palatino Linotype" w:eastAsia="Palatino Linotype" w:hAnsi="Palatino Linotype" w:cs="Palatino Linotype"/>
          <w:i/>
          <w:sz w:val="22"/>
          <w:szCs w:val="22"/>
        </w:rPr>
        <w:t>:</w:t>
      </w:r>
    </w:p>
    <w:p w14:paraId="749D746C" w14:textId="77777777" w:rsidR="00D31507" w:rsidRPr="00EA52AE" w:rsidRDefault="00D31507" w:rsidP="00D31507">
      <w:pPr>
        <w:tabs>
          <w:tab w:val="left" w:pos="851"/>
        </w:tabs>
        <w:ind w:left="709"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57885037" w14:textId="77777777" w:rsidR="00D31507" w:rsidRPr="00EA52AE" w:rsidRDefault="00D31507" w:rsidP="00D31507">
      <w:pPr>
        <w:tabs>
          <w:tab w:val="left" w:pos="851"/>
        </w:tabs>
        <w:ind w:left="709"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XXIX.</w:t>
      </w:r>
      <w:r w:rsidRPr="00EA52AE">
        <w:rPr>
          <w:rFonts w:ascii="Palatino Linotype" w:eastAsia="Palatino Linotype" w:hAnsi="Palatino Linotype" w:cs="Palatino Linotype"/>
          <w:b/>
          <w:i/>
          <w:sz w:val="22"/>
          <w:szCs w:val="22"/>
        </w:rPr>
        <w:tab/>
      </w:r>
      <w:r w:rsidRPr="00EA52AE">
        <w:rPr>
          <w:rFonts w:ascii="Palatino Linotype" w:eastAsia="Palatino Linotype" w:hAnsi="Palatino Linotype" w:cs="Palatino Linotype"/>
          <w:b/>
          <w:i/>
          <w:sz w:val="22"/>
          <w:szCs w:val="22"/>
          <w:u w:val="single"/>
        </w:rPr>
        <w:t>La información sobre los procesos y resultados sobre procedimientos de adjudicación directa, invitación restringida y licitación de cualquier naturaleza, incluyendo la versión pública del expediente respectivo y de los contratos celebrados</w:t>
      </w:r>
      <w:r w:rsidRPr="00EA52AE">
        <w:rPr>
          <w:rFonts w:ascii="Palatino Linotype" w:eastAsia="Palatino Linotype" w:hAnsi="Palatino Linotype" w:cs="Palatino Linotype"/>
          <w:i/>
          <w:sz w:val="22"/>
          <w:szCs w:val="22"/>
        </w:rPr>
        <w:t xml:space="preserve">, que deberán contener, por los menos, lo siguiente: </w:t>
      </w:r>
    </w:p>
    <w:p w14:paraId="237A26EC" w14:textId="77777777" w:rsidR="00D31507" w:rsidRPr="00EA52AE" w:rsidRDefault="00D31507" w:rsidP="00D31507">
      <w:pPr>
        <w:tabs>
          <w:tab w:val="left" w:pos="851"/>
        </w:tabs>
        <w:ind w:left="709" w:right="709"/>
        <w:jc w:val="both"/>
        <w:rPr>
          <w:rFonts w:ascii="Palatino Linotype" w:eastAsia="Palatino Linotype" w:hAnsi="Palatino Linotype" w:cs="Palatino Linotype"/>
          <w:i/>
          <w:sz w:val="22"/>
          <w:szCs w:val="22"/>
        </w:rPr>
      </w:pPr>
    </w:p>
    <w:p w14:paraId="2033F684" w14:textId="77777777" w:rsidR="00D31507" w:rsidRPr="00EA52AE" w:rsidRDefault="00D31507" w:rsidP="00D31507">
      <w:pPr>
        <w:tabs>
          <w:tab w:val="left" w:pos="851"/>
        </w:tabs>
        <w:ind w:left="709"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w:t>
      </w:r>
      <w:r w:rsidRPr="00EA52AE">
        <w:rPr>
          <w:rFonts w:ascii="Palatino Linotype" w:eastAsia="Palatino Linotype" w:hAnsi="Palatino Linotype" w:cs="Palatino Linotype"/>
          <w:i/>
          <w:sz w:val="22"/>
          <w:szCs w:val="22"/>
        </w:rPr>
        <w:tab/>
        <w:t xml:space="preserve">De licitaciones públicas o procedimientos de invitación restringida: </w:t>
      </w:r>
    </w:p>
    <w:p w14:paraId="0484E413"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w:t>
      </w:r>
      <w:r w:rsidRPr="00EA52AE">
        <w:rPr>
          <w:rFonts w:ascii="Palatino Linotype" w:eastAsia="Palatino Linotype" w:hAnsi="Palatino Linotype" w:cs="Palatino Linotype"/>
          <w:i/>
          <w:sz w:val="22"/>
          <w:szCs w:val="22"/>
        </w:rPr>
        <w:tab/>
        <w:t xml:space="preserve">La convocatoria o invitación emitida, así como los fundamentos legales aplicados para llevarla a cabo; </w:t>
      </w:r>
    </w:p>
    <w:p w14:paraId="792E5044"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2)</w:t>
      </w:r>
      <w:r w:rsidRPr="00EA52AE">
        <w:rPr>
          <w:rFonts w:ascii="Palatino Linotype" w:eastAsia="Palatino Linotype" w:hAnsi="Palatino Linotype" w:cs="Palatino Linotype"/>
          <w:i/>
          <w:sz w:val="22"/>
          <w:szCs w:val="22"/>
        </w:rPr>
        <w:tab/>
        <w:t xml:space="preserve">Los nombres de los participantes o invitados; </w:t>
      </w:r>
    </w:p>
    <w:p w14:paraId="00CA36B8"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3)</w:t>
      </w:r>
      <w:r w:rsidRPr="00EA52AE">
        <w:rPr>
          <w:rFonts w:ascii="Palatino Linotype" w:eastAsia="Palatino Linotype" w:hAnsi="Palatino Linotype" w:cs="Palatino Linotype"/>
          <w:i/>
          <w:sz w:val="22"/>
          <w:szCs w:val="22"/>
        </w:rPr>
        <w:tab/>
        <w:t xml:space="preserve">El nombre del ganador y las razones que lo justifican; </w:t>
      </w:r>
    </w:p>
    <w:p w14:paraId="68A1E79D"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4)</w:t>
      </w:r>
      <w:r w:rsidRPr="00EA52AE">
        <w:rPr>
          <w:rFonts w:ascii="Palatino Linotype" w:eastAsia="Palatino Linotype" w:hAnsi="Palatino Linotype" w:cs="Palatino Linotype"/>
          <w:i/>
          <w:sz w:val="22"/>
          <w:szCs w:val="22"/>
        </w:rPr>
        <w:tab/>
        <w:t xml:space="preserve">El área solicitante y la responsable de su ejecución; </w:t>
      </w:r>
    </w:p>
    <w:p w14:paraId="263F69C6"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5)</w:t>
      </w:r>
      <w:r w:rsidRPr="00EA52AE">
        <w:rPr>
          <w:rFonts w:ascii="Palatino Linotype" w:eastAsia="Palatino Linotype" w:hAnsi="Palatino Linotype" w:cs="Palatino Linotype"/>
          <w:i/>
          <w:sz w:val="22"/>
          <w:szCs w:val="22"/>
        </w:rPr>
        <w:tab/>
        <w:t xml:space="preserve">Las convocatorias e invitaciones emitidas; </w:t>
      </w:r>
    </w:p>
    <w:p w14:paraId="69C999E8"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6)</w:t>
      </w:r>
      <w:r w:rsidRPr="00EA52AE">
        <w:rPr>
          <w:rFonts w:ascii="Palatino Linotype" w:eastAsia="Palatino Linotype" w:hAnsi="Palatino Linotype" w:cs="Palatino Linotype"/>
          <w:i/>
          <w:sz w:val="22"/>
          <w:szCs w:val="22"/>
        </w:rPr>
        <w:tab/>
        <w:t xml:space="preserve">Los dictámenes y fallo de adjudicación; </w:t>
      </w:r>
    </w:p>
    <w:p w14:paraId="76225655"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7)</w:t>
      </w:r>
      <w:r w:rsidRPr="00EA52AE">
        <w:rPr>
          <w:rFonts w:ascii="Palatino Linotype" w:eastAsia="Palatino Linotype" w:hAnsi="Palatino Linotype" w:cs="Palatino Linotype"/>
          <w:i/>
          <w:sz w:val="22"/>
          <w:szCs w:val="22"/>
        </w:rPr>
        <w:tab/>
      </w:r>
      <w:r w:rsidRPr="00EA52AE">
        <w:rPr>
          <w:rFonts w:ascii="Palatino Linotype" w:eastAsia="Palatino Linotype" w:hAnsi="Palatino Linotype" w:cs="Palatino Linotype"/>
          <w:b/>
          <w:i/>
          <w:sz w:val="22"/>
          <w:szCs w:val="22"/>
          <w:u w:val="single"/>
        </w:rPr>
        <w:t>El contrato y, en su caso, sus anexos</w:t>
      </w:r>
      <w:r w:rsidRPr="00EA52AE">
        <w:rPr>
          <w:rFonts w:ascii="Palatino Linotype" w:eastAsia="Palatino Linotype" w:hAnsi="Palatino Linotype" w:cs="Palatino Linotype"/>
          <w:i/>
          <w:sz w:val="22"/>
          <w:szCs w:val="22"/>
        </w:rPr>
        <w:t xml:space="preserve">; </w:t>
      </w:r>
    </w:p>
    <w:p w14:paraId="1E570127"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8)</w:t>
      </w:r>
      <w:r w:rsidRPr="00EA52AE">
        <w:rPr>
          <w:rFonts w:ascii="Palatino Linotype" w:eastAsia="Palatino Linotype" w:hAnsi="Palatino Linotype" w:cs="Palatino Linotype"/>
          <w:i/>
          <w:sz w:val="22"/>
          <w:szCs w:val="22"/>
        </w:rPr>
        <w:tab/>
        <w:t xml:space="preserve">Los mecanismos de vigilancia y supervisión, incluyendo en su caso, los estudios de impacto urbano y ambiental, según corresponda; </w:t>
      </w:r>
    </w:p>
    <w:p w14:paraId="0AD3FBD4"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9)</w:t>
      </w:r>
      <w:r w:rsidRPr="00EA52AE">
        <w:rPr>
          <w:rFonts w:ascii="Palatino Linotype" w:eastAsia="Palatino Linotype" w:hAnsi="Palatino Linotype" w:cs="Palatino Linotype"/>
          <w:i/>
          <w:sz w:val="22"/>
          <w:szCs w:val="22"/>
        </w:rPr>
        <w:tab/>
        <w:t xml:space="preserve">La partida presupuestal, de conformidad con el clasificador por objeto del gasto, en el caso de ser aplicable; </w:t>
      </w:r>
    </w:p>
    <w:p w14:paraId="0170B283"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10)</w:t>
      </w:r>
      <w:r w:rsidRPr="00EA52AE">
        <w:rPr>
          <w:rFonts w:ascii="Palatino Linotype" w:eastAsia="Palatino Linotype" w:hAnsi="Palatino Linotype" w:cs="Palatino Linotype"/>
          <w:i/>
          <w:sz w:val="22"/>
          <w:szCs w:val="22"/>
        </w:rPr>
        <w:tab/>
        <w:t xml:space="preserve">Origen de los recursos especificando si son federales, estatales o municipales, así como el tipo de fondo de participación o aportación respectiva; </w:t>
      </w:r>
    </w:p>
    <w:p w14:paraId="5B7CEB6F"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11)</w:t>
      </w:r>
      <w:r w:rsidRPr="00EA52AE">
        <w:rPr>
          <w:rFonts w:ascii="Palatino Linotype" w:eastAsia="Palatino Linotype" w:hAnsi="Palatino Linotype" w:cs="Palatino Linotype"/>
          <w:i/>
          <w:sz w:val="22"/>
          <w:szCs w:val="22"/>
        </w:rPr>
        <w:tab/>
      </w:r>
      <w:r w:rsidRPr="00EA52AE">
        <w:rPr>
          <w:rFonts w:ascii="Palatino Linotype" w:eastAsia="Palatino Linotype" w:hAnsi="Palatino Linotype" w:cs="Palatino Linotype"/>
          <w:b/>
          <w:i/>
          <w:sz w:val="22"/>
          <w:szCs w:val="22"/>
          <w:u w:val="single"/>
        </w:rPr>
        <w:t>Los convenios modificatorios que, en su caso, sean firmados, precisando el objeto y la fecha de celebración;</w:t>
      </w:r>
      <w:r w:rsidRPr="00EA52AE">
        <w:rPr>
          <w:rFonts w:ascii="Palatino Linotype" w:eastAsia="Palatino Linotype" w:hAnsi="Palatino Linotype" w:cs="Palatino Linotype"/>
          <w:i/>
          <w:sz w:val="22"/>
          <w:szCs w:val="22"/>
        </w:rPr>
        <w:t xml:space="preserve"> </w:t>
      </w:r>
    </w:p>
    <w:p w14:paraId="6260E2BB"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12)</w:t>
      </w:r>
      <w:r w:rsidRPr="00EA52AE">
        <w:rPr>
          <w:rFonts w:ascii="Palatino Linotype" w:eastAsia="Palatino Linotype" w:hAnsi="Palatino Linotype" w:cs="Palatino Linotype"/>
          <w:i/>
          <w:sz w:val="22"/>
          <w:szCs w:val="22"/>
        </w:rPr>
        <w:tab/>
        <w:t xml:space="preserve">Los informes de avance físico y financiero sobre las obras o servicios contratados; </w:t>
      </w:r>
    </w:p>
    <w:p w14:paraId="39E70A55"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13)</w:t>
      </w:r>
      <w:r w:rsidRPr="00EA52AE">
        <w:rPr>
          <w:rFonts w:ascii="Palatino Linotype" w:eastAsia="Palatino Linotype" w:hAnsi="Palatino Linotype" w:cs="Palatino Linotype"/>
          <w:i/>
          <w:sz w:val="22"/>
          <w:szCs w:val="22"/>
        </w:rPr>
        <w:tab/>
        <w:t xml:space="preserve">El convenio de terminación; y </w:t>
      </w:r>
    </w:p>
    <w:p w14:paraId="6F843605" w14:textId="77777777" w:rsidR="00D31507" w:rsidRPr="00EA52AE" w:rsidRDefault="00D31507" w:rsidP="00D31507">
      <w:pPr>
        <w:tabs>
          <w:tab w:val="left" w:pos="851"/>
        </w:tabs>
        <w:ind w:left="1416" w:right="70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14)</w:t>
      </w:r>
      <w:r w:rsidRPr="00EA52AE">
        <w:rPr>
          <w:rFonts w:ascii="Palatino Linotype" w:eastAsia="Palatino Linotype" w:hAnsi="Palatino Linotype" w:cs="Palatino Linotype"/>
          <w:i/>
          <w:sz w:val="22"/>
          <w:szCs w:val="22"/>
        </w:rPr>
        <w:tab/>
        <w:t>El finiquito. “</w:t>
      </w:r>
    </w:p>
    <w:p w14:paraId="3E19412C"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69E60947"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Acotado lo anterior, dentro de la normatividad que regula al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se advierte que este cuenta con diversas unidades administrativas que pueden dar atención a la solicitud de información del particular, como lo es de manera enunciativa más no limitativa la Tesorería Municipal y la Dirección de Desarrollo Urbano y Obras Públicas.</w:t>
      </w:r>
    </w:p>
    <w:p w14:paraId="38FECFE5"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227A5BA3"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Para comprender lo anterior sirve insertar las atribuciones con las que cuentan dichas unidades administrativas.</w:t>
      </w:r>
    </w:p>
    <w:p w14:paraId="4B1A2EB7"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467F0CA7"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primer lugar, la </w:t>
      </w:r>
      <w:r w:rsidRPr="00EA52AE">
        <w:rPr>
          <w:rFonts w:ascii="Palatino Linotype" w:eastAsia="Palatino Linotype" w:hAnsi="Palatino Linotype" w:cs="Palatino Linotype"/>
          <w:b/>
          <w:sz w:val="22"/>
          <w:szCs w:val="22"/>
        </w:rPr>
        <w:t>Tesorería Municipal</w:t>
      </w:r>
      <w:r w:rsidRPr="00EA52AE">
        <w:rPr>
          <w:rFonts w:ascii="Palatino Linotype" w:eastAsia="Palatino Linotype" w:hAnsi="Palatino Linotype" w:cs="Palatino Linotype"/>
          <w:sz w:val="22"/>
          <w:szCs w:val="22"/>
        </w:rPr>
        <w:t xml:space="preserve"> conforme lo dispuesto en el artículo 55 del Bando Municipal del 2024 del Ayuntamiento de Tlalmanalco, es el órgano de la Administración Pública Municipal facultado para administrar la hacienda pública municipal, así como, la indicada para efectuar las erogaciones </w:t>
      </w:r>
      <w:r w:rsidR="00F94537" w:rsidRPr="00EA52AE">
        <w:rPr>
          <w:rFonts w:ascii="Palatino Linotype" w:eastAsia="Palatino Linotype" w:hAnsi="Palatino Linotype" w:cs="Palatino Linotype"/>
          <w:sz w:val="22"/>
          <w:szCs w:val="22"/>
        </w:rPr>
        <w:t>con cargo al presupuesto aprobado por el Ayuntamiento</w:t>
      </w:r>
      <w:r w:rsidRPr="00EA52AE">
        <w:rPr>
          <w:rFonts w:ascii="Palatino Linotype" w:eastAsia="Palatino Linotype" w:hAnsi="Palatino Linotype" w:cs="Palatino Linotype"/>
          <w:sz w:val="22"/>
          <w:szCs w:val="22"/>
        </w:rPr>
        <w:t>, como se sigue:</w:t>
      </w:r>
    </w:p>
    <w:p w14:paraId="13154B45" w14:textId="77777777" w:rsidR="00F94537" w:rsidRPr="00EA52AE" w:rsidRDefault="00F94537" w:rsidP="00D31507">
      <w:pPr>
        <w:spacing w:line="360" w:lineRule="auto"/>
        <w:ind w:right="141"/>
        <w:jc w:val="both"/>
        <w:rPr>
          <w:rFonts w:ascii="Palatino Linotype" w:eastAsia="Palatino Linotype" w:hAnsi="Palatino Linotype" w:cs="Palatino Linotype"/>
          <w:sz w:val="22"/>
          <w:szCs w:val="22"/>
        </w:rPr>
      </w:pPr>
    </w:p>
    <w:p w14:paraId="32F55F6C" w14:textId="77777777" w:rsidR="00F94537" w:rsidRPr="00EA52AE" w:rsidRDefault="00F94537" w:rsidP="00F94537">
      <w:pPr>
        <w:spacing w:line="276" w:lineRule="auto"/>
        <w:ind w:left="567" w:right="616"/>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sz w:val="22"/>
          <w:szCs w:val="22"/>
        </w:rPr>
        <w:lastRenderedPageBreak/>
        <w:t>“</w:t>
      </w:r>
      <w:r w:rsidRPr="00EA52AE">
        <w:rPr>
          <w:rFonts w:ascii="Palatino Linotype" w:eastAsia="Palatino Linotype" w:hAnsi="Palatino Linotype" w:cs="Palatino Linotype"/>
          <w:i/>
          <w:sz w:val="22"/>
          <w:szCs w:val="22"/>
        </w:rPr>
        <w:t xml:space="preserve">ARTICULO 55.- </w:t>
      </w:r>
      <w:r w:rsidRPr="00EA52AE">
        <w:rPr>
          <w:rFonts w:ascii="Palatino Linotype" w:eastAsia="Palatino Linotype" w:hAnsi="Palatino Linotype" w:cs="Palatino Linotype"/>
          <w:b/>
          <w:i/>
          <w:sz w:val="22"/>
          <w:szCs w:val="22"/>
        </w:rPr>
        <w:t>La Tesorería Municipal, es el órgano de la Administración autorizado para la recaudación de los impuestos</w:t>
      </w:r>
      <w:r w:rsidRPr="00EA52AE">
        <w:rPr>
          <w:rFonts w:ascii="Palatino Linotype" w:eastAsia="Palatino Linotype" w:hAnsi="Palatino Linotype" w:cs="Palatino Linotype"/>
          <w:i/>
          <w:sz w:val="22"/>
          <w:szCs w:val="22"/>
        </w:rPr>
        <w:t xml:space="preserve">, contribuciones de mejoras, derechos, productos, aprovechamientos, ingresos por venta de bienes y prestación de servicios y otros ingresos municipales y demás contribuciones de los particulares de acuerdo a lo que establece ley de ingresos de los Municipios del Estado de México de, </w:t>
      </w:r>
      <w:r w:rsidRPr="00EA52AE">
        <w:rPr>
          <w:rFonts w:ascii="Palatino Linotype" w:eastAsia="Palatino Linotype" w:hAnsi="Palatino Linotype" w:cs="Palatino Linotype"/>
          <w:b/>
          <w:i/>
          <w:sz w:val="22"/>
          <w:szCs w:val="22"/>
          <w:u w:val="single"/>
        </w:rPr>
        <w:t xml:space="preserve">así mismo es responsable de efectuar erogaciones con cargo al presupuesto aprobado por el Ayuntamiento. </w:t>
      </w:r>
      <w:r w:rsidRPr="00EA52AE">
        <w:rPr>
          <w:rFonts w:ascii="Palatino Linotype" w:eastAsia="Palatino Linotype" w:hAnsi="Palatino Linotype" w:cs="Palatino Linotype"/>
          <w:i/>
          <w:sz w:val="22"/>
          <w:szCs w:val="22"/>
        </w:rPr>
        <w:t>Además de tener a su cargo y ser el área responsable de administrar de manera racional, oportuna, eficaz y eficiente los recursos económicos, humanos, materiales para el cumplimiento de los objetivos y metas establecidas en el Plan de Desarrollo Municipal, con estricto apego a la normatividad aplicable en un marco de transparencia y de rendición de cuentas.”</w:t>
      </w:r>
    </w:p>
    <w:p w14:paraId="0A5A8569" w14:textId="77777777" w:rsidR="00F94537" w:rsidRPr="00EA52AE" w:rsidRDefault="00F94537" w:rsidP="00F94537">
      <w:pPr>
        <w:spacing w:line="276" w:lineRule="auto"/>
        <w:ind w:left="567" w:right="616"/>
        <w:jc w:val="both"/>
        <w:rPr>
          <w:rFonts w:ascii="Palatino Linotype" w:eastAsia="Palatino Linotype" w:hAnsi="Palatino Linotype" w:cs="Palatino Linotype"/>
          <w:sz w:val="22"/>
          <w:szCs w:val="22"/>
        </w:rPr>
      </w:pPr>
    </w:p>
    <w:p w14:paraId="4DBCB215"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su parte, la </w:t>
      </w:r>
      <w:r w:rsidR="00F94537" w:rsidRPr="00EA52AE">
        <w:rPr>
          <w:rFonts w:ascii="Palatino Linotype" w:eastAsia="Palatino Linotype" w:hAnsi="Palatino Linotype" w:cs="Palatino Linotype"/>
          <w:sz w:val="22"/>
          <w:szCs w:val="22"/>
        </w:rPr>
        <w:t>Dirección de Desarrollo Urbano y Obras Públicas</w:t>
      </w:r>
      <w:r w:rsidRPr="00EA52AE">
        <w:rPr>
          <w:rFonts w:ascii="Palatino Linotype" w:eastAsia="Palatino Linotype" w:hAnsi="Palatino Linotype" w:cs="Palatino Linotype"/>
          <w:sz w:val="22"/>
          <w:szCs w:val="22"/>
        </w:rPr>
        <w:t xml:space="preserve">, conforme el artículo </w:t>
      </w:r>
      <w:r w:rsidR="00F94537" w:rsidRPr="00EA52AE">
        <w:rPr>
          <w:rFonts w:ascii="Palatino Linotype" w:eastAsia="Palatino Linotype" w:hAnsi="Palatino Linotype" w:cs="Palatino Linotype"/>
          <w:sz w:val="22"/>
          <w:szCs w:val="22"/>
        </w:rPr>
        <w:t>61, inciso a, fracciones I a la VI del referido Bando Municipal</w:t>
      </w:r>
      <w:r w:rsidRPr="00EA52AE">
        <w:rPr>
          <w:rFonts w:ascii="Palatino Linotype" w:eastAsia="Palatino Linotype" w:hAnsi="Palatino Linotype" w:cs="Palatino Linotype"/>
          <w:sz w:val="22"/>
          <w:szCs w:val="22"/>
        </w:rPr>
        <w:t xml:space="preserve">, </w:t>
      </w:r>
      <w:r w:rsidR="00F94537" w:rsidRPr="00EA52AE">
        <w:rPr>
          <w:rFonts w:ascii="Palatino Linotype" w:eastAsia="Palatino Linotype" w:hAnsi="Palatino Linotype" w:cs="Palatino Linotype"/>
          <w:sz w:val="22"/>
          <w:szCs w:val="22"/>
        </w:rPr>
        <w:t>en materia de obra pública es la encargada de</w:t>
      </w:r>
      <w:r w:rsidR="00F94537" w:rsidRPr="00EA52AE">
        <w:t xml:space="preserve"> </w:t>
      </w:r>
      <w:r w:rsidR="00F94537" w:rsidRPr="00EA52AE">
        <w:rPr>
          <w:rFonts w:ascii="Palatino Linotype" w:eastAsia="Palatino Linotype" w:hAnsi="Palatino Linotype" w:cs="Palatino Linotype"/>
          <w:sz w:val="22"/>
          <w:szCs w:val="22"/>
        </w:rPr>
        <w:t>realizar la programación y ejecución de las obras públicas</w:t>
      </w:r>
      <w:r w:rsidRPr="00EA52AE">
        <w:rPr>
          <w:rFonts w:ascii="Palatino Linotype" w:eastAsia="Palatino Linotype" w:hAnsi="Palatino Linotype" w:cs="Palatino Linotype"/>
          <w:sz w:val="22"/>
          <w:szCs w:val="22"/>
        </w:rPr>
        <w:t xml:space="preserve">, </w:t>
      </w:r>
      <w:r w:rsidR="00F94537" w:rsidRPr="00EA52AE">
        <w:rPr>
          <w:rFonts w:ascii="Palatino Linotype" w:eastAsia="Palatino Linotype" w:hAnsi="Palatino Linotype" w:cs="Palatino Linotype"/>
          <w:sz w:val="22"/>
          <w:szCs w:val="22"/>
        </w:rPr>
        <w:t xml:space="preserve">planear y coordinar los proyectos de obras públicas, </w:t>
      </w:r>
      <w:r w:rsidRPr="00EA52AE">
        <w:rPr>
          <w:rFonts w:ascii="Palatino Linotype" w:eastAsia="Palatino Linotype" w:hAnsi="Palatino Linotype" w:cs="Palatino Linotype"/>
          <w:sz w:val="22"/>
          <w:szCs w:val="22"/>
        </w:rPr>
        <w:t>como se sigue:</w:t>
      </w:r>
    </w:p>
    <w:p w14:paraId="5B08BE85"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7981EDEC" w14:textId="77777777" w:rsidR="00D31507" w:rsidRPr="00EA52AE" w:rsidRDefault="00F94537" w:rsidP="00D3150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“Artículo 61</w:t>
      </w:r>
      <w:r w:rsidR="00D31507" w:rsidRPr="00EA52AE">
        <w:rPr>
          <w:rFonts w:ascii="Palatino Linotype" w:eastAsia="Palatino Linotype" w:hAnsi="Palatino Linotype" w:cs="Palatino Linotype"/>
          <w:i/>
          <w:sz w:val="22"/>
          <w:szCs w:val="22"/>
        </w:rPr>
        <w:t xml:space="preserve">. </w:t>
      </w:r>
      <w:r w:rsidRPr="00EA52AE">
        <w:rPr>
          <w:rFonts w:ascii="Palatino Linotype" w:eastAsia="Palatino Linotype" w:hAnsi="Palatino Linotype" w:cs="Palatino Linotype"/>
          <w:i/>
          <w:sz w:val="22"/>
          <w:szCs w:val="22"/>
        </w:rPr>
        <w:t xml:space="preserve">El ayuntamiento, a través de la </w:t>
      </w:r>
      <w:r w:rsidRPr="00EA52AE">
        <w:rPr>
          <w:rFonts w:ascii="Palatino Linotype" w:eastAsia="Palatino Linotype" w:hAnsi="Palatino Linotype" w:cs="Palatino Linotype"/>
          <w:b/>
          <w:i/>
          <w:sz w:val="22"/>
          <w:szCs w:val="22"/>
        </w:rPr>
        <w:t>Dirección de Desarrollo Urbano y Obras Públicas</w:t>
      </w:r>
      <w:r w:rsidRPr="00EA52AE">
        <w:rPr>
          <w:rFonts w:ascii="Palatino Linotype" w:eastAsia="Palatino Linotype" w:hAnsi="Palatino Linotype" w:cs="Palatino Linotype"/>
          <w:i/>
          <w:sz w:val="22"/>
          <w:szCs w:val="22"/>
        </w:rPr>
        <w:t xml:space="preserve"> […], tienen las siguientes facultades, obligaciones y responsabilidades:</w:t>
      </w:r>
    </w:p>
    <w:p w14:paraId="08916F5F" w14:textId="77777777" w:rsidR="00D31507" w:rsidRPr="00EA52AE" w:rsidRDefault="00D31507" w:rsidP="00D3150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4E6A53EC" w14:textId="77777777" w:rsidR="00F94537" w:rsidRPr="00EA52AE" w:rsidRDefault="00F94537" w:rsidP="00F94537">
      <w:pPr>
        <w:spacing w:line="276" w:lineRule="auto"/>
        <w:ind w:left="567" w:right="567"/>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a) En materia de Obra Pública:</w:t>
      </w:r>
    </w:p>
    <w:p w14:paraId="6022585A"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 Realizar la programación y ejecución de las obras públicas y servicios relacionados, que por orden expresa del ayuntamiento requieran prioridad;</w:t>
      </w:r>
    </w:p>
    <w:p w14:paraId="20A469CF"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Il. Planear y coordinar los proyectos de obras públicas y servicios relacionados con las mismas que autorice el ayuntamiento, una vez que se cumplan los requisitos de licitación y otros que determine la ley de la materia:</w:t>
      </w:r>
    </w:p>
    <w:p w14:paraId="5E7C005D"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III. Proyectar las obras públicas y servicios relacionados, que realice el municipio, incluyendo la conservación y mantenimiento de edificios, monumentos, calles, parques y jardines:</w:t>
      </w:r>
    </w:p>
    <w:p w14:paraId="5626EBA4"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IV. Construir y ejecutar todas aquellas obras públicas y servicios relacionados, que aumenten y mantengan la infraestructura municipal y que estén consideradas en el programa respectivo:</w:t>
      </w:r>
    </w:p>
    <w:p w14:paraId="2E2AD616"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lastRenderedPageBreak/>
        <w:t>V. Determinar y cuantificar los materiales y trabajos necesarios para programas de construcción y mantenimiento de obras públicas y servicios relacionados;</w:t>
      </w:r>
    </w:p>
    <w:p w14:paraId="3C63C5DC" w14:textId="77777777" w:rsidR="00F94537" w:rsidRPr="00EA52AE" w:rsidRDefault="00F94537" w:rsidP="00F9453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VI. Vigilar que se cumplan y lleven a cabo los programas de construcción y mantenimiento de obras públicas y servicios relacionados:</w:t>
      </w:r>
    </w:p>
    <w:p w14:paraId="5AAA67C8" w14:textId="77777777" w:rsidR="00D31507" w:rsidRPr="00EA52AE" w:rsidRDefault="00F94537" w:rsidP="00D31507">
      <w:pPr>
        <w:spacing w:line="276" w:lineRule="auto"/>
        <w:ind w:left="567" w:righ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 </w:t>
      </w:r>
      <w:r w:rsidR="00D31507" w:rsidRPr="00EA52AE">
        <w:rPr>
          <w:rFonts w:ascii="Palatino Linotype" w:eastAsia="Palatino Linotype" w:hAnsi="Palatino Linotype" w:cs="Palatino Linotype"/>
          <w:i/>
          <w:sz w:val="22"/>
          <w:szCs w:val="22"/>
        </w:rPr>
        <w:t>[…]”</w:t>
      </w:r>
    </w:p>
    <w:p w14:paraId="565C3BD9" w14:textId="77777777" w:rsidR="00F94537" w:rsidRPr="00EA52AE" w:rsidRDefault="00F94537" w:rsidP="00F94537">
      <w:pPr>
        <w:spacing w:line="276" w:lineRule="auto"/>
        <w:ind w:left="567" w:right="567"/>
        <w:jc w:val="right"/>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(Énfasis añadido)</w:t>
      </w:r>
    </w:p>
    <w:p w14:paraId="2B70C5A8"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205B7EFF"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De lo anterior, se desprende que la Titular de la Unidad de Transparencia dio cumplimiento con el requisito de turnar la  solicitud de información a las unidades administrativas que conforme sus atribuciones pueden contar con la información requerida.</w:t>
      </w:r>
    </w:p>
    <w:p w14:paraId="7123C29E" w14:textId="77777777" w:rsidR="00D31507" w:rsidRPr="00EA52AE" w:rsidRDefault="00D31507" w:rsidP="00D31507">
      <w:pPr>
        <w:spacing w:line="360" w:lineRule="auto"/>
        <w:ind w:right="141"/>
        <w:jc w:val="both"/>
        <w:rPr>
          <w:rFonts w:ascii="Palatino Linotype" w:eastAsia="Palatino Linotype" w:hAnsi="Palatino Linotype" w:cs="Palatino Linotype"/>
          <w:sz w:val="22"/>
          <w:szCs w:val="22"/>
        </w:rPr>
      </w:pPr>
    </w:p>
    <w:p w14:paraId="03EE1A44" w14:textId="77777777" w:rsidR="00D31507" w:rsidRPr="00EA52AE" w:rsidRDefault="00D31507" w:rsidP="00D31507">
      <w:pPr>
        <w:widowControl w:val="0"/>
        <w:tabs>
          <w:tab w:val="left" w:pos="1701"/>
          <w:tab w:val="left" w:pos="1843"/>
        </w:tabs>
        <w:spacing w:line="360" w:lineRule="auto"/>
        <w:ind w:right="49"/>
        <w:jc w:val="both"/>
        <w:rPr>
          <w:sz w:val="22"/>
          <w:szCs w:val="22"/>
        </w:rPr>
      </w:pPr>
      <w:r w:rsidRPr="00EA52AE">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607267B6" w14:textId="77777777" w:rsidR="00D31507" w:rsidRPr="00EA52AE" w:rsidRDefault="00D31507" w:rsidP="00D31507">
      <w:pPr>
        <w:spacing w:line="360" w:lineRule="auto"/>
        <w:rPr>
          <w:sz w:val="22"/>
          <w:szCs w:val="22"/>
        </w:rPr>
      </w:pPr>
    </w:p>
    <w:p w14:paraId="2001961F"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7E8F767" w14:textId="77777777" w:rsidR="00D31507" w:rsidRPr="00EA52AE" w:rsidRDefault="00D31507" w:rsidP="00D31507">
      <w:pPr>
        <w:spacing w:line="276" w:lineRule="auto"/>
        <w:ind w:left="360"/>
        <w:jc w:val="both"/>
        <w:rPr>
          <w:rFonts w:ascii="Palatino Linotype" w:eastAsia="Palatino Linotype" w:hAnsi="Palatino Linotype" w:cs="Palatino Linotype"/>
          <w:sz w:val="22"/>
          <w:szCs w:val="22"/>
        </w:rPr>
      </w:pPr>
    </w:p>
    <w:p w14:paraId="3F6829F2"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A1E089A" w14:textId="77777777" w:rsidR="00D31507" w:rsidRPr="00EA52AE" w:rsidRDefault="00D31507" w:rsidP="00D31507">
      <w:pPr>
        <w:spacing w:line="276" w:lineRule="auto"/>
        <w:ind w:left="720"/>
        <w:rPr>
          <w:rFonts w:ascii="Palatino Linotype" w:eastAsia="Palatino Linotype" w:hAnsi="Palatino Linotype" w:cs="Palatino Linotype"/>
          <w:sz w:val="22"/>
          <w:szCs w:val="22"/>
        </w:rPr>
      </w:pPr>
    </w:p>
    <w:p w14:paraId="0D3CADB3"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A52AE">
        <w:rPr>
          <w:rFonts w:ascii="Palatino Linotype" w:eastAsia="Palatino Linotype" w:hAnsi="Palatino Linotype" w:cs="Palatino Linotype"/>
          <w:b/>
          <w:sz w:val="22"/>
          <w:szCs w:val="22"/>
        </w:rPr>
        <w:t>quince días, contados a partir del día siguiente a la presentación de ésta.</w:t>
      </w:r>
      <w:r w:rsidRPr="00EA52AE">
        <w:rPr>
          <w:rFonts w:ascii="Palatino Linotype" w:eastAsia="Palatino Linotype" w:hAnsi="Palatino Linotype" w:cs="Palatino Linotype"/>
          <w:sz w:val="22"/>
          <w:szCs w:val="22"/>
        </w:rPr>
        <w:t xml:space="preserve"> Excepcionalmente, el plazo referido podrá </w:t>
      </w:r>
      <w:r w:rsidRPr="00EA52AE">
        <w:rPr>
          <w:rFonts w:ascii="Palatino Linotype" w:eastAsia="Palatino Linotype" w:hAnsi="Palatino Linotype" w:cs="Palatino Linotype"/>
          <w:sz w:val="22"/>
          <w:szCs w:val="22"/>
        </w:rPr>
        <w:lastRenderedPageBreak/>
        <w:t>ampliarse por siete días hábiles más, cuando existan razones fundadas y motivadas, a través del Comité de Transparencia;</w:t>
      </w:r>
    </w:p>
    <w:p w14:paraId="6BE076E1" w14:textId="77777777" w:rsidR="00D31507" w:rsidRPr="00EA52AE" w:rsidRDefault="00D31507" w:rsidP="00D31507">
      <w:pPr>
        <w:spacing w:line="276" w:lineRule="auto"/>
        <w:ind w:left="720"/>
        <w:rPr>
          <w:rFonts w:ascii="Palatino Linotype" w:eastAsia="Palatino Linotype" w:hAnsi="Palatino Linotype" w:cs="Palatino Linotype"/>
          <w:sz w:val="22"/>
          <w:szCs w:val="22"/>
        </w:rPr>
      </w:pPr>
    </w:p>
    <w:p w14:paraId="1D3D8130"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b/>
          <w:sz w:val="22"/>
          <w:szCs w:val="22"/>
          <w:u w:val="single"/>
        </w:rPr>
      </w:pPr>
      <w:r w:rsidRPr="00EA52AE">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B91D40B" w14:textId="77777777" w:rsidR="00D31507" w:rsidRPr="00EA52AE" w:rsidRDefault="00D31507" w:rsidP="00D31507">
      <w:pPr>
        <w:spacing w:line="276" w:lineRule="auto"/>
        <w:ind w:left="720"/>
        <w:rPr>
          <w:rFonts w:ascii="Palatino Linotype" w:eastAsia="Palatino Linotype" w:hAnsi="Palatino Linotype" w:cs="Palatino Linotype"/>
          <w:b/>
          <w:sz w:val="22"/>
          <w:szCs w:val="22"/>
          <w:u w:val="single"/>
        </w:rPr>
      </w:pPr>
    </w:p>
    <w:p w14:paraId="0480A063"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95A924" w14:textId="77777777" w:rsidR="00D31507" w:rsidRPr="00EA52AE" w:rsidRDefault="00D31507" w:rsidP="00D31507">
      <w:pPr>
        <w:spacing w:line="276" w:lineRule="auto"/>
        <w:ind w:left="360"/>
        <w:jc w:val="both"/>
        <w:rPr>
          <w:rFonts w:ascii="Palatino Linotype" w:eastAsia="Palatino Linotype" w:hAnsi="Palatino Linotype" w:cs="Palatino Linotype"/>
          <w:b/>
          <w:sz w:val="22"/>
          <w:szCs w:val="22"/>
        </w:rPr>
      </w:pPr>
    </w:p>
    <w:p w14:paraId="6986A63D" w14:textId="77777777" w:rsidR="00D31507" w:rsidRPr="00EA52AE" w:rsidRDefault="00D31507" w:rsidP="00D31507">
      <w:pPr>
        <w:numPr>
          <w:ilvl w:val="0"/>
          <w:numId w:val="11"/>
        </w:numPr>
        <w:spacing w:line="276"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DA45C08" w14:textId="77777777" w:rsidR="00D31507" w:rsidRPr="00EA52AE" w:rsidRDefault="00D31507" w:rsidP="00D31507">
      <w:pPr>
        <w:spacing w:line="360" w:lineRule="auto"/>
        <w:rPr>
          <w:sz w:val="22"/>
          <w:szCs w:val="22"/>
        </w:rPr>
      </w:pPr>
    </w:p>
    <w:p w14:paraId="556B91FF" w14:textId="77777777" w:rsidR="00D31507" w:rsidRPr="00EA52AE" w:rsidRDefault="00D31507" w:rsidP="00D31507">
      <w:pPr>
        <w:spacing w:line="360" w:lineRule="auto"/>
        <w:ind w:right="49"/>
        <w:jc w:val="both"/>
        <w:rPr>
          <w:rFonts w:ascii="Palatino Linotype" w:eastAsia="Palatino Linotype" w:hAnsi="Palatino Linotype" w:cs="Palatino Linotype"/>
          <w:b/>
          <w:sz w:val="22"/>
          <w:szCs w:val="22"/>
          <w:u w:val="single"/>
        </w:rPr>
      </w:pPr>
      <w:r w:rsidRPr="00EA52AE">
        <w:rPr>
          <w:rFonts w:ascii="Palatino Linotype" w:eastAsia="Palatino Linotype" w:hAnsi="Palatino Linotype" w:cs="Palatino Linotype"/>
          <w:sz w:val="22"/>
          <w:szCs w:val="22"/>
        </w:rPr>
        <w:t xml:space="preserve">En ese sentido, se tiene que, </w:t>
      </w:r>
      <w:r w:rsidRPr="00EA52AE">
        <w:rPr>
          <w:rFonts w:ascii="Palatino Linotype" w:eastAsia="Palatino Linotype" w:hAnsi="Palatino Linotype" w:cs="Palatino Linotype"/>
          <w:b/>
          <w:sz w:val="22"/>
          <w:szCs w:val="22"/>
          <w:u w:val="single"/>
        </w:rPr>
        <w:t>el procedimiento de búsqueda de la información se tiene por atendido.</w:t>
      </w:r>
    </w:p>
    <w:p w14:paraId="1ACCBD7A" w14:textId="77777777" w:rsidR="00D31507" w:rsidRPr="00EA52AE" w:rsidRDefault="00D31507" w:rsidP="00D31507">
      <w:pPr>
        <w:spacing w:line="360" w:lineRule="auto"/>
        <w:jc w:val="both"/>
        <w:rPr>
          <w:rFonts w:ascii="Palatino Linotype" w:eastAsia="Palatino Linotype" w:hAnsi="Palatino Linotype" w:cs="Palatino Linotype"/>
          <w:sz w:val="22"/>
          <w:szCs w:val="22"/>
        </w:rPr>
      </w:pPr>
    </w:p>
    <w:p w14:paraId="3B8DC2FE" w14:textId="77777777" w:rsidR="00BD2CD8" w:rsidRPr="00EA52AE" w:rsidRDefault="00312726"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w:t>
      </w:r>
      <w:r w:rsidR="00BD2CD8" w:rsidRPr="00EA52AE">
        <w:rPr>
          <w:rFonts w:ascii="Palatino Linotype" w:eastAsia="Palatino Linotype" w:hAnsi="Palatino Linotype" w:cs="Palatino Linotype"/>
          <w:sz w:val="22"/>
          <w:szCs w:val="22"/>
        </w:rPr>
        <w:t xml:space="preserve">cotado lo anterior, procede el análisis a la respuesta proporcionada por el </w:t>
      </w:r>
      <w:r w:rsidR="00BD2CD8" w:rsidRPr="00EA52AE">
        <w:rPr>
          <w:rFonts w:ascii="Palatino Linotype" w:eastAsia="Palatino Linotype" w:hAnsi="Palatino Linotype" w:cs="Palatino Linotype"/>
          <w:b/>
          <w:sz w:val="22"/>
          <w:szCs w:val="22"/>
        </w:rPr>
        <w:t xml:space="preserve">Sujeto Obligado </w:t>
      </w:r>
      <w:r w:rsidR="00BD2CD8" w:rsidRPr="00EA52AE">
        <w:rPr>
          <w:rFonts w:ascii="Palatino Linotype" w:eastAsia="Palatino Linotype" w:hAnsi="Palatino Linotype" w:cs="Palatino Linotype"/>
          <w:sz w:val="22"/>
          <w:szCs w:val="22"/>
        </w:rPr>
        <w:t>a fin de verificar si se garantizó el derecho de acceso a la información del particular.</w:t>
      </w:r>
    </w:p>
    <w:p w14:paraId="487E63AA" w14:textId="77777777" w:rsidR="00BD2CD8" w:rsidRPr="00EA52AE" w:rsidRDefault="00BD2CD8" w:rsidP="00D31507">
      <w:pPr>
        <w:spacing w:line="360" w:lineRule="auto"/>
        <w:jc w:val="both"/>
        <w:rPr>
          <w:rFonts w:ascii="Palatino Linotype" w:eastAsia="Palatino Linotype" w:hAnsi="Palatino Linotype" w:cs="Palatino Linotype"/>
          <w:sz w:val="22"/>
          <w:szCs w:val="22"/>
        </w:rPr>
      </w:pPr>
    </w:p>
    <w:p w14:paraId="33C23EFC" w14:textId="77777777" w:rsidR="00F23114" w:rsidRPr="00EA52AE" w:rsidRDefault="00932AC0"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Sobre el requerimiento analizado bajo el </w:t>
      </w:r>
      <w:r w:rsidRPr="00EA52AE">
        <w:rPr>
          <w:rFonts w:ascii="Palatino Linotype" w:eastAsia="Palatino Linotype" w:hAnsi="Palatino Linotype" w:cs="Palatino Linotype"/>
          <w:b/>
          <w:sz w:val="22"/>
          <w:szCs w:val="22"/>
        </w:rPr>
        <w:t>numeral 1</w:t>
      </w:r>
      <w:r w:rsidRPr="00EA52AE">
        <w:rPr>
          <w:rFonts w:ascii="Palatino Linotype" w:eastAsia="Palatino Linotype" w:hAnsi="Palatino Linotype" w:cs="Palatino Linotype"/>
          <w:sz w:val="22"/>
          <w:szCs w:val="22"/>
        </w:rPr>
        <w:t xml:space="preserve"> relativo al “contrato y convenios celebrados”, se advierte que el Director de Desarrollo Urbano y Obras Públicas tanto en respuesta como en informe </w:t>
      </w:r>
      <w:r w:rsidR="00F23114" w:rsidRPr="00EA52AE">
        <w:rPr>
          <w:rFonts w:ascii="Palatino Linotype" w:eastAsia="Palatino Linotype" w:hAnsi="Palatino Linotype" w:cs="Palatino Linotype"/>
          <w:sz w:val="22"/>
          <w:szCs w:val="22"/>
        </w:rPr>
        <w:t xml:space="preserve">indicó que el contrato de la obra referida por el particular se </w:t>
      </w:r>
      <w:r w:rsidR="00F23114" w:rsidRPr="00EA52AE">
        <w:rPr>
          <w:rFonts w:ascii="Palatino Linotype" w:eastAsia="Palatino Linotype" w:hAnsi="Palatino Linotype" w:cs="Palatino Linotype"/>
          <w:sz w:val="22"/>
          <w:szCs w:val="22"/>
        </w:rPr>
        <w:lastRenderedPageBreak/>
        <w:t>podía consultar en la página oficial del municipio, ingresando en Tlalmanalco Gob, apartado AYUNTAMIENTO/OBRAS PÚBLICAS/FAISMUN/FAISMUN02/CONTRATO.; anexando el siguiente enlace para su consulta:</w:t>
      </w:r>
    </w:p>
    <w:p w14:paraId="3DF7154D" w14:textId="77777777" w:rsidR="00F23114" w:rsidRPr="00EA52AE" w:rsidRDefault="00F23114" w:rsidP="00F23114">
      <w:pPr>
        <w:spacing w:line="360" w:lineRule="auto"/>
        <w:jc w:val="both"/>
        <w:rPr>
          <w:rFonts w:ascii="Palatino Linotype" w:eastAsia="Palatino Linotype" w:hAnsi="Palatino Linotype" w:cs="Palatino Linotype"/>
          <w:sz w:val="22"/>
          <w:szCs w:val="22"/>
        </w:rPr>
      </w:pPr>
    </w:p>
    <w:p w14:paraId="4AF8F6F3" w14:textId="77777777" w:rsidR="00F23114" w:rsidRPr="00EA52AE" w:rsidRDefault="00F23114"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noProof/>
          <w:sz w:val="22"/>
          <w:szCs w:val="22"/>
        </w:rPr>
        <w:drawing>
          <wp:inline distT="0" distB="0" distL="0" distR="0" wp14:anchorId="4437882D" wp14:editId="217002BD">
            <wp:extent cx="4991797" cy="26673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797" cy="266737"/>
                    </a:xfrm>
                    <a:prstGeom prst="rect">
                      <a:avLst/>
                    </a:prstGeom>
                  </pic:spPr>
                </pic:pic>
              </a:graphicData>
            </a:graphic>
          </wp:inline>
        </w:drawing>
      </w:r>
    </w:p>
    <w:p w14:paraId="4C26A929" w14:textId="77777777" w:rsidR="00F23114" w:rsidRPr="00EA52AE" w:rsidRDefault="00F23114"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Al respecto, si bien el enlace proporcionado por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se remitió en formato cerrado</w:t>
      </w:r>
      <w:r w:rsidR="00DB44C8" w:rsidRPr="00EA52AE">
        <w:rPr>
          <w:rFonts w:ascii="Palatino Linotype" w:eastAsia="Palatino Linotype" w:hAnsi="Palatino Linotype" w:cs="Palatino Linotype"/>
          <w:sz w:val="22"/>
          <w:szCs w:val="22"/>
        </w:rPr>
        <w:t>, también lo es que atendiendo los motivos de inconformidad del particular en el sentido de que dicho link no le permitió el acceso a la página oficial para visualizar el contrato referido por el ente público; se procede a corroborar si se puede tener acceso al mismo.</w:t>
      </w:r>
    </w:p>
    <w:p w14:paraId="02345E6B" w14:textId="77777777" w:rsidR="00DB44C8" w:rsidRPr="00EA52AE" w:rsidRDefault="00DB44C8" w:rsidP="00F23114">
      <w:pPr>
        <w:spacing w:line="360" w:lineRule="auto"/>
        <w:jc w:val="both"/>
        <w:rPr>
          <w:rFonts w:ascii="Palatino Linotype" w:eastAsia="Palatino Linotype" w:hAnsi="Palatino Linotype" w:cs="Palatino Linotype"/>
          <w:sz w:val="22"/>
          <w:szCs w:val="22"/>
        </w:rPr>
      </w:pPr>
    </w:p>
    <w:p w14:paraId="2E16DE27" w14:textId="77777777" w:rsidR="00DB44C8" w:rsidRPr="00EA52AE" w:rsidRDefault="00DB44C8"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tal virtud, de la consulta al enlace de mérito, se desprendió que el mismo direcciona al </w:t>
      </w:r>
      <w:r w:rsidR="004D6213" w:rsidRPr="00EA52AE">
        <w:rPr>
          <w:rFonts w:ascii="Palatino Linotype" w:eastAsia="Palatino Linotype" w:hAnsi="Palatino Linotype" w:cs="Palatino Linotype"/>
          <w:sz w:val="22"/>
          <w:szCs w:val="22"/>
        </w:rPr>
        <w:t>Contrato No. PM/TLAL/DOP/LP/FAISMUN/002/2023 del veintisiete de septiembre de dos mil veintitrés, celebrado entre el Ayuntamiento de Tlalmanalco representado por el Presidente Municipal, Tesorero Municipal, Secretario del Ayuntamiento y el Director de Obras Públicas y una empresa contratista por conducto de su Administrador Único, para llevar a cabo la obra “Rehabilitación del Parque Público en la Localidad de San Rafael, Municipio de Tlalmanalco, Estado de México” por el monto con IVA en cantidad de $4,465,950.91, como se muestra de la siguiente digitalización.</w:t>
      </w:r>
    </w:p>
    <w:p w14:paraId="3E554940" w14:textId="77777777" w:rsidR="00DB44C8" w:rsidRPr="00EA52AE" w:rsidRDefault="00DB44C8" w:rsidP="00F23114">
      <w:pPr>
        <w:spacing w:line="360" w:lineRule="auto"/>
        <w:jc w:val="both"/>
        <w:rPr>
          <w:rFonts w:ascii="Palatino Linotype" w:eastAsia="Palatino Linotype" w:hAnsi="Palatino Linotype" w:cs="Palatino Linotype"/>
          <w:sz w:val="22"/>
          <w:szCs w:val="22"/>
        </w:rPr>
      </w:pPr>
    </w:p>
    <w:p w14:paraId="68E7E6E0" w14:textId="77777777" w:rsidR="00DB44C8" w:rsidRPr="00EA52AE" w:rsidRDefault="00DB44C8"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lastRenderedPageBreak/>
        <w:drawing>
          <wp:inline distT="0" distB="0" distL="0" distR="0" wp14:anchorId="6125BEB6" wp14:editId="001232D9">
            <wp:extent cx="5612130" cy="3867150"/>
            <wp:effectExtent l="19050" t="19050" r="2667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6064"/>
                    <a:stretch/>
                  </pic:blipFill>
                  <pic:spPr bwMode="auto">
                    <a:xfrm>
                      <a:off x="0" y="0"/>
                      <a:ext cx="5612130" cy="386715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3911C48" w14:textId="77777777" w:rsidR="00F23114" w:rsidRPr="00EA52AE" w:rsidRDefault="00F23114" w:rsidP="00F23114">
      <w:pPr>
        <w:spacing w:line="360" w:lineRule="auto"/>
        <w:jc w:val="both"/>
        <w:rPr>
          <w:rFonts w:ascii="Palatino Linotype" w:eastAsia="Palatino Linotype" w:hAnsi="Palatino Linotype" w:cs="Palatino Linotype"/>
          <w:sz w:val="22"/>
          <w:szCs w:val="22"/>
        </w:rPr>
      </w:pPr>
    </w:p>
    <w:p w14:paraId="10F6C822" w14:textId="77777777" w:rsidR="004D6213" w:rsidRPr="00EA52AE" w:rsidRDefault="004D6213" w:rsidP="004D6213">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De lo anterior, se advierte que la obra respecto de la cual el particular pidió la información es sobre la “Rehabilitación del Parque Público en la Localidad de San Rafael, Municipio de Tlalmanalco, Estado de México”; de la cual hubo una contratación por parte del Ayuntamiento de Tlalmanalco y por la que se pudo llevar a cabo la inauguración del Parque referido por el particular el 06 de junio de 2024.</w:t>
      </w:r>
    </w:p>
    <w:p w14:paraId="666868E3" w14:textId="77777777" w:rsidR="004D6213" w:rsidRPr="00EA52AE" w:rsidRDefault="004D6213" w:rsidP="004D6213">
      <w:pPr>
        <w:spacing w:line="360" w:lineRule="auto"/>
        <w:ind w:right="49"/>
        <w:jc w:val="both"/>
        <w:rPr>
          <w:rFonts w:ascii="Palatino Linotype" w:eastAsia="Palatino Linotype" w:hAnsi="Palatino Linotype" w:cs="Palatino Linotype"/>
          <w:sz w:val="22"/>
          <w:szCs w:val="22"/>
        </w:rPr>
      </w:pPr>
    </w:p>
    <w:p w14:paraId="4E8CB092" w14:textId="77777777" w:rsidR="004D6213" w:rsidRPr="00EA52AE" w:rsidRDefault="004D6213" w:rsidP="004D6213">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lo tanto, para efectos del cumplimiento de la presente resolución, se tendrá como denominación correcta de la obra pública, la indicada en el párrafo que antecede. </w:t>
      </w:r>
    </w:p>
    <w:p w14:paraId="065E9E4B" w14:textId="77777777" w:rsidR="00F23114" w:rsidRPr="00EA52AE" w:rsidRDefault="00F23114" w:rsidP="00F23114">
      <w:pPr>
        <w:spacing w:line="360" w:lineRule="auto"/>
        <w:jc w:val="both"/>
        <w:rPr>
          <w:rFonts w:ascii="Palatino Linotype" w:eastAsia="Palatino Linotype" w:hAnsi="Palatino Linotype" w:cs="Palatino Linotype"/>
          <w:sz w:val="22"/>
          <w:szCs w:val="22"/>
        </w:rPr>
      </w:pPr>
    </w:p>
    <w:p w14:paraId="76EB6122" w14:textId="77777777" w:rsidR="00F23114" w:rsidRPr="00EA52AE" w:rsidRDefault="00F66DAA"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De esta manera, se desprende que el requerimiento relativo al contrato de la obra pública de la que se pretende obtener la información, se tiene por atendido, en virtud de que se proporcionó el link que direcciona al mismo.</w:t>
      </w:r>
    </w:p>
    <w:p w14:paraId="3EFA56E7" w14:textId="77777777" w:rsidR="00F66DAA" w:rsidRPr="00EA52AE" w:rsidRDefault="00F66DAA" w:rsidP="00F23114">
      <w:pPr>
        <w:spacing w:line="360" w:lineRule="auto"/>
        <w:jc w:val="both"/>
        <w:rPr>
          <w:rFonts w:ascii="Palatino Linotype" w:eastAsia="Palatino Linotype" w:hAnsi="Palatino Linotype" w:cs="Palatino Linotype"/>
          <w:sz w:val="22"/>
          <w:szCs w:val="22"/>
        </w:rPr>
      </w:pPr>
    </w:p>
    <w:p w14:paraId="24E4B802"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Ahora, con relación a los convenios celebrados, es de recordar que en respuesta e informe justificado el Director de Desarrollo Urbano y Obras Públicas señaló que no se generó esta información; lo cual nos conlleva en afirmar que estamos en presencia de un hecho negativo; pues si bien se tiene la atribución de celebrar convenios modificatorios con relación a la contratación de obra pública, es una atribución potestativa.</w:t>
      </w:r>
    </w:p>
    <w:p w14:paraId="7573E144"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p>
    <w:p w14:paraId="7995E4E9"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De esta manera, no se trata de un caso por el cual la negación del hecho implique la afirmación del mismo, simplemente se está ante una notoria y evidente inexistencia fáctica de la información solicitada, además que quien se pronunció en el presente asunto fue el servidor público habilitado competente.</w:t>
      </w:r>
    </w:p>
    <w:p w14:paraId="067BBE8D"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p>
    <w:p w14:paraId="5449DD18"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0B3D290" w14:textId="77777777" w:rsidR="00F66DAA" w:rsidRPr="00EA52AE" w:rsidRDefault="00F66DAA" w:rsidP="00F66DAA">
      <w:pPr>
        <w:spacing w:line="360" w:lineRule="auto"/>
        <w:jc w:val="both"/>
        <w:rPr>
          <w:rFonts w:ascii="Palatino Linotype" w:eastAsia="Palatino Linotype" w:hAnsi="Palatino Linotype" w:cs="Palatino Linotype"/>
          <w:sz w:val="22"/>
          <w:szCs w:val="22"/>
        </w:rPr>
      </w:pPr>
    </w:p>
    <w:p w14:paraId="7DA1A6EA" w14:textId="77777777" w:rsidR="00F66DAA" w:rsidRPr="00EA52AE" w:rsidRDefault="00F66DAA" w:rsidP="00F66DAA">
      <w:pPr>
        <w:spacing w:line="276" w:lineRule="auto"/>
        <w:ind w:left="862" w:right="561"/>
        <w:jc w:val="both"/>
        <w:rPr>
          <w:sz w:val="22"/>
          <w:szCs w:val="22"/>
        </w:rPr>
      </w:pPr>
      <w:r w:rsidRPr="00EA52AE">
        <w:rPr>
          <w:rFonts w:ascii="Palatino Linotype" w:eastAsia="Palatino Linotype" w:hAnsi="Palatino Linotype" w:cs="Palatino Linotype"/>
          <w:b/>
          <w:i/>
          <w:sz w:val="22"/>
          <w:szCs w:val="22"/>
        </w:rPr>
        <w:t>HECHOS NEGATIVOS, NO SON SUSCEPTIBLES DE DEMOSTRACIÓN.</w:t>
      </w:r>
    </w:p>
    <w:p w14:paraId="3D8D5F96" w14:textId="77777777" w:rsidR="00F66DAA" w:rsidRPr="00EA52AE" w:rsidRDefault="00F66DAA" w:rsidP="00F66DAA">
      <w:pPr>
        <w:spacing w:line="276" w:lineRule="auto"/>
        <w:ind w:left="862" w:right="561"/>
        <w:jc w:val="both"/>
        <w:rPr>
          <w:sz w:val="22"/>
          <w:szCs w:val="22"/>
        </w:rPr>
      </w:pPr>
      <w:r w:rsidRPr="00EA52AE">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7398CBA4" w14:textId="77777777" w:rsidR="00F66DAA" w:rsidRPr="00EA52AE" w:rsidRDefault="00F66DAA" w:rsidP="00F66DAA">
      <w:pPr>
        <w:spacing w:line="276" w:lineRule="auto"/>
        <w:ind w:left="862" w:right="561"/>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47C93DBA" w14:textId="77777777" w:rsidR="00F66DAA" w:rsidRPr="00EA52AE" w:rsidRDefault="00F66DAA" w:rsidP="00F23114">
      <w:pPr>
        <w:spacing w:line="360" w:lineRule="auto"/>
        <w:jc w:val="both"/>
        <w:rPr>
          <w:rFonts w:ascii="Palatino Linotype" w:eastAsia="Palatino Linotype" w:hAnsi="Palatino Linotype" w:cs="Palatino Linotype"/>
          <w:sz w:val="22"/>
          <w:szCs w:val="22"/>
        </w:rPr>
      </w:pPr>
    </w:p>
    <w:p w14:paraId="0E51D8AC" w14:textId="77777777" w:rsidR="00F23114" w:rsidRPr="00EA52AE" w:rsidRDefault="0004662E" w:rsidP="00F2311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Por tanto, el requerimiento relativo a los contratos y convenios celebrados por la obra pública antes indicada se tienen por atendido</w:t>
      </w:r>
      <w:r w:rsidR="00F82975" w:rsidRPr="00EA52AE">
        <w:rPr>
          <w:rFonts w:ascii="Palatino Linotype" w:eastAsia="Palatino Linotype" w:hAnsi="Palatino Linotype" w:cs="Palatino Linotype"/>
          <w:sz w:val="22"/>
          <w:szCs w:val="22"/>
        </w:rPr>
        <w:t>s</w:t>
      </w:r>
      <w:r w:rsidRPr="00EA52AE">
        <w:rPr>
          <w:rFonts w:ascii="Palatino Linotype" w:eastAsia="Palatino Linotype" w:hAnsi="Palatino Linotype" w:cs="Palatino Linotype"/>
          <w:sz w:val="22"/>
          <w:szCs w:val="22"/>
        </w:rPr>
        <w:t>.</w:t>
      </w:r>
    </w:p>
    <w:p w14:paraId="74F1F8A0" w14:textId="77777777" w:rsidR="00932AC0" w:rsidRPr="00EA52AE" w:rsidRDefault="00932AC0" w:rsidP="00D31507">
      <w:pPr>
        <w:spacing w:line="360" w:lineRule="auto"/>
        <w:jc w:val="both"/>
        <w:rPr>
          <w:rFonts w:ascii="Palatino Linotype" w:eastAsia="Palatino Linotype" w:hAnsi="Palatino Linotype" w:cs="Palatino Linotype"/>
          <w:sz w:val="22"/>
          <w:szCs w:val="22"/>
        </w:rPr>
      </w:pPr>
    </w:p>
    <w:p w14:paraId="01DC1088" w14:textId="77777777" w:rsidR="00A1079C" w:rsidRPr="00EA52AE" w:rsidRDefault="00A1079C"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Ahora, con relación al requerimiento analizado bajo el </w:t>
      </w:r>
      <w:r w:rsidRPr="00EA52AE">
        <w:rPr>
          <w:rFonts w:ascii="Palatino Linotype" w:eastAsia="Palatino Linotype" w:hAnsi="Palatino Linotype" w:cs="Palatino Linotype"/>
          <w:b/>
          <w:sz w:val="22"/>
          <w:szCs w:val="22"/>
        </w:rPr>
        <w:t xml:space="preserve">numeral 2 </w:t>
      </w:r>
      <w:r w:rsidRPr="00EA52AE">
        <w:rPr>
          <w:rFonts w:ascii="Palatino Linotype" w:eastAsia="Palatino Linotype" w:hAnsi="Palatino Linotype" w:cs="Palatino Linotype"/>
          <w:sz w:val="22"/>
          <w:szCs w:val="22"/>
        </w:rPr>
        <w:t>relativo a los costos totales con IVA incluido de la obra pública anteriormente indicada, se considera que el mismo se tiene por atendido con la entrega del contrato No. PM/TLAL/DOP/LP/FAISMUN/002/2023 del veintisiete de septiembre de dos mil veintitrés</w:t>
      </w:r>
      <w:r w:rsidR="001D655A" w:rsidRPr="00EA52AE">
        <w:rPr>
          <w:rFonts w:ascii="Palatino Linotype" w:eastAsia="Palatino Linotype" w:hAnsi="Palatino Linotype" w:cs="Palatino Linotype"/>
          <w:sz w:val="22"/>
          <w:szCs w:val="22"/>
        </w:rPr>
        <w:t xml:space="preserve">; en virtud de que en este instrumento se localiza el costo total con IVA incluido de la contratación para llevar a cabo la obra, </w:t>
      </w:r>
      <w:r w:rsidR="00F82975" w:rsidRPr="00EA52AE">
        <w:rPr>
          <w:rFonts w:ascii="Palatino Linotype" w:eastAsia="Palatino Linotype" w:hAnsi="Palatino Linotype" w:cs="Palatino Linotype"/>
          <w:sz w:val="22"/>
          <w:szCs w:val="22"/>
        </w:rPr>
        <w:t xml:space="preserve">cuyo monto viene en moneda nacional, </w:t>
      </w:r>
      <w:r w:rsidR="001D655A" w:rsidRPr="00EA52AE">
        <w:rPr>
          <w:rFonts w:ascii="Palatino Linotype" w:eastAsia="Palatino Linotype" w:hAnsi="Palatino Linotype" w:cs="Palatino Linotype"/>
          <w:sz w:val="22"/>
          <w:szCs w:val="22"/>
        </w:rPr>
        <w:t>como se desprende de la cláusula segunda, a saber:</w:t>
      </w:r>
    </w:p>
    <w:p w14:paraId="7272F55D" w14:textId="77777777" w:rsidR="001D655A" w:rsidRPr="00EA52AE" w:rsidRDefault="001D655A" w:rsidP="00D31507">
      <w:pPr>
        <w:spacing w:line="360" w:lineRule="auto"/>
        <w:jc w:val="both"/>
        <w:rPr>
          <w:rFonts w:ascii="Palatino Linotype" w:eastAsia="Palatino Linotype" w:hAnsi="Palatino Linotype" w:cs="Palatino Linotype"/>
          <w:sz w:val="22"/>
          <w:szCs w:val="22"/>
        </w:rPr>
      </w:pPr>
    </w:p>
    <w:p w14:paraId="3F3BE753" w14:textId="77777777" w:rsidR="001D655A" w:rsidRPr="00EA52AE" w:rsidRDefault="001D655A"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drawing>
          <wp:inline distT="0" distB="0" distL="0" distR="0" wp14:anchorId="5535636E" wp14:editId="7C34606E">
            <wp:extent cx="5612130" cy="1066800"/>
            <wp:effectExtent l="19050" t="19050" r="26670" b="190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066800"/>
                    </a:xfrm>
                    <a:prstGeom prst="rect">
                      <a:avLst/>
                    </a:prstGeom>
                    <a:ln w="3175">
                      <a:solidFill>
                        <a:schemeClr val="tx1"/>
                      </a:solidFill>
                    </a:ln>
                  </pic:spPr>
                </pic:pic>
              </a:graphicData>
            </a:graphic>
          </wp:inline>
        </w:drawing>
      </w:r>
    </w:p>
    <w:p w14:paraId="78263331" w14:textId="77777777" w:rsidR="00A1079C" w:rsidRPr="00EA52AE" w:rsidRDefault="00A1079C" w:rsidP="00D31507">
      <w:pPr>
        <w:spacing w:line="360" w:lineRule="auto"/>
        <w:jc w:val="both"/>
        <w:rPr>
          <w:rFonts w:ascii="Palatino Linotype" w:eastAsia="Palatino Linotype" w:hAnsi="Palatino Linotype" w:cs="Palatino Linotype"/>
          <w:sz w:val="22"/>
          <w:szCs w:val="22"/>
        </w:rPr>
      </w:pPr>
    </w:p>
    <w:p w14:paraId="6C86C90C" w14:textId="77777777" w:rsidR="0004662E" w:rsidRPr="00EA52AE" w:rsidRDefault="0004662E"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Ahora, con relación a</w:t>
      </w:r>
      <w:r w:rsidR="00BA6C3C" w:rsidRPr="00EA52AE">
        <w:rPr>
          <w:rFonts w:ascii="Palatino Linotype" w:eastAsia="Palatino Linotype" w:hAnsi="Palatino Linotype" w:cs="Palatino Linotype"/>
          <w:sz w:val="22"/>
          <w:szCs w:val="22"/>
        </w:rPr>
        <w:t>l</w:t>
      </w:r>
      <w:r w:rsidRPr="00EA52AE">
        <w:rPr>
          <w:rFonts w:ascii="Palatino Linotype" w:eastAsia="Palatino Linotype" w:hAnsi="Palatino Linotype" w:cs="Palatino Linotype"/>
          <w:sz w:val="22"/>
          <w:szCs w:val="22"/>
        </w:rPr>
        <w:t xml:space="preserve"> requerimiento</w:t>
      </w:r>
      <w:r w:rsidR="000478F9" w:rsidRPr="00EA52AE">
        <w:rPr>
          <w:rFonts w:ascii="Palatino Linotype" w:eastAsia="Palatino Linotype" w:hAnsi="Palatino Linotype" w:cs="Palatino Linotype"/>
          <w:sz w:val="22"/>
          <w:szCs w:val="22"/>
        </w:rPr>
        <w:t xml:space="preserve"> analizado bajo </w:t>
      </w:r>
      <w:r w:rsidR="00BA6C3C" w:rsidRPr="00EA52AE">
        <w:rPr>
          <w:rFonts w:ascii="Palatino Linotype" w:eastAsia="Palatino Linotype" w:hAnsi="Palatino Linotype" w:cs="Palatino Linotype"/>
          <w:sz w:val="22"/>
          <w:szCs w:val="22"/>
        </w:rPr>
        <w:t>el</w:t>
      </w:r>
      <w:r w:rsidR="000478F9" w:rsidRPr="00EA52AE">
        <w:rPr>
          <w:rFonts w:ascii="Palatino Linotype" w:eastAsia="Palatino Linotype" w:hAnsi="Palatino Linotype" w:cs="Palatino Linotype"/>
          <w:sz w:val="22"/>
          <w:szCs w:val="22"/>
        </w:rPr>
        <w:t xml:space="preserve"> </w:t>
      </w:r>
      <w:r w:rsidR="000478F9" w:rsidRPr="00EA52AE">
        <w:rPr>
          <w:rFonts w:ascii="Palatino Linotype" w:eastAsia="Palatino Linotype" w:hAnsi="Palatino Linotype" w:cs="Palatino Linotype"/>
          <w:b/>
          <w:sz w:val="22"/>
          <w:szCs w:val="22"/>
        </w:rPr>
        <w:t>numeral 3</w:t>
      </w:r>
      <w:r w:rsidRPr="00EA52AE">
        <w:rPr>
          <w:rFonts w:ascii="Palatino Linotype" w:eastAsia="Palatino Linotype" w:hAnsi="Palatino Linotype" w:cs="Palatino Linotype"/>
          <w:sz w:val="22"/>
          <w:szCs w:val="22"/>
        </w:rPr>
        <w:t xml:space="preserve"> relativo a</w:t>
      </w:r>
      <w:r w:rsidR="000478F9" w:rsidRPr="00EA52AE">
        <w:rPr>
          <w:rFonts w:ascii="Palatino Linotype" w:eastAsia="Palatino Linotype" w:hAnsi="Palatino Linotype" w:cs="Palatino Linotype"/>
          <w:sz w:val="22"/>
          <w:szCs w:val="22"/>
        </w:rPr>
        <w:t xml:space="preserve"> las facturas por los gastos o pagos efectuados con motivo de la obra pública que nos ocupa, es de indicar que si bien quien se pronunció fue el Tesorero Municipal como el servidor público habilitado competente, también lo es que este no proporcionó la información requerida, limitándose a manifestar que </w:t>
      </w:r>
      <w:r w:rsidR="000478F9" w:rsidRPr="00EA52AE">
        <w:rPr>
          <w:rFonts w:ascii="Palatino Linotype" w:eastAsia="Palatino Linotype" w:hAnsi="Palatino Linotype" w:cs="Palatino Linotype"/>
          <w:sz w:val="22"/>
          <w:szCs w:val="22"/>
          <w:u w:val="single"/>
        </w:rPr>
        <w:t xml:space="preserve">sobre los costos y demás gastos por la construcción y/o inauguración del parque recreativo, San Rafael, </w:t>
      </w:r>
      <w:r w:rsidR="00BA6C3C" w:rsidRPr="00EA52AE">
        <w:rPr>
          <w:rFonts w:ascii="Palatino Linotype" w:eastAsia="Palatino Linotype" w:hAnsi="Palatino Linotype" w:cs="Palatino Linotype"/>
          <w:sz w:val="22"/>
          <w:szCs w:val="22"/>
          <w:u w:val="single"/>
        </w:rPr>
        <w:t>la información</w:t>
      </w:r>
      <w:r w:rsidR="000478F9" w:rsidRPr="00EA52AE">
        <w:rPr>
          <w:rFonts w:ascii="Palatino Linotype" w:eastAsia="Palatino Linotype" w:hAnsi="Palatino Linotype" w:cs="Palatino Linotype"/>
          <w:sz w:val="22"/>
          <w:szCs w:val="22"/>
          <w:u w:val="single"/>
        </w:rPr>
        <w:t xml:space="preserve"> se encontraba en dominio de la Dirección de Desarrollo Urbano y Obras Públicas, ya que al momento no le ha</w:t>
      </w:r>
      <w:r w:rsidR="00BA6C3C" w:rsidRPr="00EA52AE">
        <w:rPr>
          <w:rFonts w:ascii="Palatino Linotype" w:eastAsia="Palatino Linotype" w:hAnsi="Palatino Linotype" w:cs="Palatino Linotype"/>
          <w:sz w:val="22"/>
          <w:szCs w:val="22"/>
          <w:u w:val="single"/>
        </w:rPr>
        <w:t>bía</w:t>
      </w:r>
      <w:r w:rsidR="000478F9" w:rsidRPr="00EA52AE">
        <w:rPr>
          <w:rFonts w:ascii="Palatino Linotype" w:eastAsia="Palatino Linotype" w:hAnsi="Palatino Linotype" w:cs="Palatino Linotype"/>
          <w:sz w:val="22"/>
          <w:szCs w:val="22"/>
          <w:u w:val="single"/>
        </w:rPr>
        <w:t xml:space="preserve"> sido remitido al área para el proceso de cierre trimestral.</w:t>
      </w:r>
    </w:p>
    <w:p w14:paraId="09DBC0EE" w14:textId="77777777" w:rsidR="0004662E" w:rsidRPr="00EA52AE" w:rsidRDefault="0004662E" w:rsidP="00D31507">
      <w:pPr>
        <w:spacing w:line="360" w:lineRule="auto"/>
        <w:jc w:val="both"/>
        <w:rPr>
          <w:rFonts w:ascii="Palatino Linotype" w:eastAsia="Palatino Linotype" w:hAnsi="Palatino Linotype" w:cs="Palatino Linotype"/>
          <w:sz w:val="22"/>
          <w:szCs w:val="22"/>
        </w:rPr>
      </w:pPr>
    </w:p>
    <w:p w14:paraId="4E852FC5" w14:textId="77777777" w:rsidR="0004662E" w:rsidRPr="00EA52AE" w:rsidRDefault="000478F9"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Al respecto, dicha respuesta carece de los principios de congruencia y exhaustividad, pues aun y cuando se pronunció el área competente, su Titular indicó que la información la tenía otra área y que no le había sido remitida para el cierre trimestral, cuando la Tesorería Municipal es quien se encarga de administrar la hacienda municipal, efectuar las erogaciones con cargo al presupuesto público asignado y llevar los registros contables.</w:t>
      </w:r>
    </w:p>
    <w:p w14:paraId="66867314" w14:textId="77777777" w:rsidR="000478F9" w:rsidRPr="00EA52AE" w:rsidRDefault="000478F9" w:rsidP="00D31507">
      <w:pPr>
        <w:spacing w:line="360" w:lineRule="auto"/>
        <w:jc w:val="both"/>
        <w:rPr>
          <w:rFonts w:ascii="Palatino Linotype" w:eastAsia="Palatino Linotype" w:hAnsi="Palatino Linotype" w:cs="Palatino Linotype"/>
          <w:sz w:val="22"/>
          <w:szCs w:val="22"/>
        </w:rPr>
      </w:pPr>
    </w:p>
    <w:p w14:paraId="4EF9B04A" w14:textId="77777777" w:rsidR="000478F9" w:rsidRPr="00EA52AE" w:rsidRDefault="000478F9"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Aunado a que, el Director de Desarrollo Urbano y Obras Públicas en respuesta señaló que dicha dirección no genera esa información, como se muestra:</w:t>
      </w:r>
    </w:p>
    <w:p w14:paraId="5BECE18B" w14:textId="77777777" w:rsidR="000478F9" w:rsidRPr="00EA52AE" w:rsidRDefault="000478F9" w:rsidP="00D31507">
      <w:pPr>
        <w:spacing w:line="360" w:lineRule="auto"/>
        <w:jc w:val="both"/>
        <w:rPr>
          <w:rFonts w:ascii="Palatino Linotype" w:eastAsia="Palatino Linotype" w:hAnsi="Palatino Linotype" w:cs="Palatino Linotype"/>
          <w:sz w:val="22"/>
          <w:szCs w:val="22"/>
        </w:rPr>
      </w:pPr>
    </w:p>
    <w:p w14:paraId="29958975" w14:textId="77777777" w:rsidR="000478F9" w:rsidRPr="00EA52AE" w:rsidRDefault="000478F9" w:rsidP="000478F9">
      <w:pPr>
        <w:spacing w:line="360" w:lineRule="auto"/>
        <w:jc w:val="center"/>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drawing>
          <wp:inline distT="0" distB="0" distL="0" distR="0" wp14:anchorId="006451E7" wp14:editId="23A6BAA6">
            <wp:extent cx="4496427" cy="171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96427" cy="171474"/>
                    </a:xfrm>
                    <a:prstGeom prst="rect">
                      <a:avLst/>
                    </a:prstGeom>
                  </pic:spPr>
                </pic:pic>
              </a:graphicData>
            </a:graphic>
          </wp:inline>
        </w:drawing>
      </w:r>
    </w:p>
    <w:p w14:paraId="68C71FEC" w14:textId="77777777" w:rsidR="000478F9" w:rsidRPr="00EA52AE" w:rsidRDefault="000478F9" w:rsidP="00D31507">
      <w:pPr>
        <w:spacing w:line="360" w:lineRule="auto"/>
        <w:jc w:val="both"/>
        <w:rPr>
          <w:rFonts w:ascii="Palatino Linotype" w:eastAsia="Palatino Linotype" w:hAnsi="Palatino Linotype" w:cs="Palatino Linotype"/>
          <w:sz w:val="22"/>
          <w:szCs w:val="22"/>
        </w:rPr>
      </w:pPr>
    </w:p>
    <w:p w14:paraId="3A209972" w14:textId="77777777" w:rsidR="000478F9" w:rsidRPr="00EA52AE" w:rsidRDefault="000478F9" w:rsidP="000478F9">
      <w:pPr>
        <w:pStyle w:val="NormalWeb"/>
        <w:spacing w:before="0" w:beforeAutospacing="0" w:after="0" w:afterAutospacing="0" w:line="360" w:lineRule="auto"/>
        <w:jc w:val="both"/>
        <w:rPr>
          <w:sz w:val="22"/>
          <w:szCs w:val="22"/>
        </w:rPr>
      </w:pPr>
      <w:r w:rsidRPr="00EA52AE">
        <w:rPr>
          <w:rFonts w:ascii="Palatino Linotype" w:hAnsi="Palatino Linotype"/>
          <w:sz w:val="22"/>
          <w:szCs w:val="22"/>
        </w:rPr>
        <w:t>En tal sentido, resulta aplicable el Criterio 02/17 emitido por el Peno del Instituto Nacional de Transparencia y Acceso a la Información y Protección de Datos Personales, de título y texto siguientes:</w:t>
      </w:r>
    </w:p>
    <w:p w14:paraId="0FAB75CC" w14:textId="77777777" w:rsidR="000478F9" w:rsidRPr="00EA52AE" w:rsidRDefault="000478F9" w:rsidP="000478F9">
      <w:pPr>
        <w:rPr>
          <w:sz w:val="22"/>
          <w:szCs w:val="22"/>
        </w:rPr>
      </w:pPr>
    </w:p>
    <w:p w14:paraId="3FD2BC3F" w14:textId="77777777" w:rsidR="000478F9" w:rsidRPr="00EA52AE" w:rsidRDefault="000478F9" w:rsidP="000478F9">
      <w:pPr>
        <w:pStyle w:val="NormalWeb"/>
        <w:spacing w:before="0" w:beforeAutospacing="0" w:after="0" w:afterAutospacing="0"/>
        <w:ind w:left="851" w:right="851"/>
        <w:jc w:val="both"/>
        <w:rPr>
          <w:sz w:val="22"/>
          <w:szCs w:val="22"/>
        </w:rPr>
      </w:pPr>
      <w:r w:rsidRPr="00EA52AE">
        <w:rPr>
          <w:rFonts w:ascii="Palatino Linotype" w:hAnsi="Palatino Linotype"/>
          <w:b/>
          <w:bCs/>
          <w:i/>
          <w:iCs/>
          <w:sz w:val="22"/>
          <w:szCs w:val="22"/>
        </w:rPr>
        <w:t xml:space="preserve">“Congruencia y exhaustividad. Sus alcances para garantizar el derecho de acceso a la información. </w:t>
      </w:r>
      <w:r w:rsidRPr="00EA52AE">
        <w:rPr>
          <w:rFonts w:ascii="Palatino Linotype" w:hAnsi="Palatino Linotype"/>
          <w:i/>
          <w:iCs/>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EA52AE">
        <w:rPr>
          <w:rFonts w:ascii="Palatino Linotype" w:hAnsi="Palatino Linotype"/>
          <w:b/>
          <w:bCs/>
          <w:i/>
          <w:iCs/>
          <w:sz w:val="22"/>
          <w:szCs w:val="22"/>
        </w:rPr>
        <w:t>la congruencia implica que exista concordancia entre el requerimiento formulado por el particular y la respuesta proporcionada por el sujeto obligado</w:t>
      </w:r>
      <w:r w:rsidRPr="00EA52AE">
        <w:rPr>
          <w:rFonts w:ascii="Palatino Linotype" w:hAnsi="Palatino Linotype"/>
          <w:i/>
          <w:iCs/>
          <w:sz w:val="22"/>
          <w:szCs w:val="22"/>
        </w:rPr>
        <w:t xml:space="preserve">; mientras que </w:t>
      </w:r>
      <w:r w:rsidRPr="00EA52AE">
        <w:rPr>
          <w:rFonts w:ascii="Palatino Linotype" w:hAnsi="Palatino Linotype"/>
          <w:b/>
          <w:bCs/>
          <w:i/>
          <w:iCs/>
          <w:sz w:val="22"/>
          <w:szCs w:val="22"/>
        </w:rPr>
        <w:t>la exhaustividad significa que dicha respuesta se refiera expresamente a cada uno de los puntos solicitados</w:t>
      </w:r>
      <w:r w:rsidRPr="00EA52AE">
        <w:rPr>
          <w:rFonts w:ascii="Palatino Linotype" w:hAnsi="Palatino Linotype"/>
          <w:i/>
          <w:iCs/>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28C8C04" w14:textId="77777777" w:rsidR="000478F9" w:rsidRPr="00EA52AE" w:rsidRDefault="000478F9" w:rsidP="000478F9"/>
    <w:p w14:paraId="34E421BD" w14:textId="77777777" w:rsidR="000478F9" w:rsidRPr="00EA52AE" w:rsidRDefault="000478F9" w:rsidP="000478F9">
      <w:pPr>
        <w:pStyle w:val="NormalWeb"/>
        <w:spacing w:before="0" w:beforeAutospacing="0" w:after="0" w:afterAutospacing="0" w:line="360" w:lineRule="auto"/>
        <w:jc w:val="both"/>
      </w:pPr>
      <w:r w:rsidRPr="00EA52AE">
        <w:rPr>
          <w:rFonts w:ascii="Palatino Linotype" w:hAnsi="Palatino Linotype"/>
          <w:sz w:val="22"/>
          <w:szCs w:val="22"/>
        </w:rPr>
        <w:t>Por lo tanto, a fin de restituir al particular en el ejercicio de su derecho de acceso a la información pública,</w:t>
      </w:r>
      <w:r w:rsidR="00BD2B59" w:rsidRPr="00EA52AE">
        <w:rPr>
          <w:rFonts w:ascii="Palatino Linotype" w:hAnsi="Palatino Linotype"/>
          <w:sz w:val="22"/>
          <w:szCs w:val="22"/>
        </w:rPr>
        <w:t xml:space="preserve"> a fin de atender </w:t>
      </w:r>
      <w:r w:rsidR="00BA6C3C" w:rsidRPr="00EA52AE">
        <w:rPr>
          <w:rFonts w:ascii="Palatino Linotype" w:hAnsi="Palatino Linotype"/>
          <w:sz w:val="22"/>
          <w:szCs w:val="22"/>
        </w:rPr>
        <w:t xml:space="preserve">el </w:t>
      </w:r>
      <w:r w:rsidR="00BA6C3C" w:rsidRPr="00EA52AE">
        <w:rPr>
          <w:rFonts w:ascii="Palatino Linotype" w:eastAsia="Palatino Linotype" w:hAnsi="Palatino Linotype" w:cs="Palatino Linotype"/>
          <w:sz w:val="22"/>
          <w:szCs w:val="22"/>
        </w:rPr>
        <w:t xml:space="preserve">requerimiento analizado bajo el </w:t>
      </w:r>
      <w:r w:rsidR="00BA6C3C" w:rsidRPr="00EA52AE">
        <w:rPr>
          <w:rFonts w:ascii="Palatino Linotype" w:eastAsia="Palatino Linotype" w:hAnsi="Palatino Linotype" w:cs="Palatino Linotype"/>
          <w:b/>
          <w:sz w:val="22"/>
          <w:szCs w:val="22"/>
        </w:rPr>
        <w:t>numeral 3</w:t>
      </w:r>
      <w:r w:rsidR="00BD2B59" w:rsidRPr="00EA52AE">
        <w:rPr>
          <w:rFonts w:ascii="Palatino Linotype" w:hAnsi="Palatino Linotype"/>
          <w:b/>
          <w:sz w:val="22"/>
          <w:szCs w:val="22"/>
        </w:rPr>
        <w:t>,</w:t>
      </w:r>
      <w:r w:rsidRPr="00EA52AE">
        <w:rPr>
          <w:rFonts w:ascii="Palatino Linotype" w:hAnsi="Palatino Linotype"/>
          <w:b/>
          <w:sz w:val="22"/>
          <w:szCs w:val="22"/>
        </w:rPr>
        <w:t xml:space="preserve"> resulta </w:t>
      </w:r>
      <w:r w:rsidRPr="00EA52AE">
        <w:rPr>
          <w:rFonts w:ascii="Palatino Linotype" w:hAnsi="Palatino Linotype"/>
          <w:b/>
          <w:sz w:val="22"/>
          <w:szCs w:val="22"/>
        </w:rPr>
        <w:lastRenderedPageBreak/>
        <w:t>dable ordenar que en cumplimiento a la presente resolución, se haga entrega</w:t>
      </w:r>
      <w:r w:rsidR="00826624" w:rsidRPr="00EA52AE">
        <w:rPr>
          <w:rFonts w:ascii="Palatino Linotype" w:hAnsi="Palatino Linotype"/>
          <w:b/>
          <w:sz w:val="22"/>
          <w:szCs w:val="22"/>
        </w:rPr>
        <w:t>, previa búsqueda exhaustiva y razonable,</w:t>
      </w:r>
      <w:r w:rsidRPr="00EA52AE">
        <w:rPr>
          <w:rFonts w:ascii="Palatino Linotype" w:hAnsi="Palatino Linotype"/>
          <w:b/>
          <w:sz w:val="22"/>
          <w:szCs w:val="22"/>
        </w:rPr>
        <w:t xml:space="preserve"> de las facturas o comprobantes</w:t>
      </w:r>
      <w:r w:rsidR="00BA6C3C" w:rsidRPr="00EA52AE">
        <w:rPr>
          <w:rFonts w:ascii="Palatino Linotype" w:hAnsi="Palatino Linotype"/>
          <w:b/>
          <w:sz w:val="22"/>
          <w:szCs w:val="22"/>
        </w:rPr>
        <w:t>, con los que cuente a la fecha de la solicitud, esto es al nueve de julio de dos mil veinticuatro,</w:t>
      </w:r>
      <w:r w:rsidRPr="00EA52AE">
        <w:rPr>
          <w:rFonts w:ascii="Palatino Linotype" w:hAnsi="Palatino Linotype"/>
          <w:b/>
          <w:sz w:val="22"/>
          <w:szCs w:val="22"/>
        </w:rPr>
        <w:t xml:space="preserve"> por los gastos efectuados con motivo de la obra pública “Rehabilitación del Parque Público en la Localidad de San Rafael, Municipio de Tlalmanalco, Estado de México”</w:t>
      </w:r>
      <w:r w:rsidR="00BD2B59" w:rsidRPr="00EA52AE">
        <w:rPr>
          <w:rFonts w:ascii="Palatino Linotype" w:hAnsi="Palatino Linotype"/>
          <w:b/>
          <w:sz w:val="22"/>
          <w:szCs w:val="22"/>
        </w:rPr>
        <w:t xml:space="preserve"> inaugurado el 6 de junio de 2024, por ser información que forma parte del expediente único de obra pública.</w:t>
      </w:r>
    </w:p>
    <w:p w14:paraId="2EEF108D" w14:textId="77777777" w:rsidR="000478F9" w:rsidRPr="00EA52AE" w:rsidRDefault="000478F9" w:rsidP="00D31507">
      <w:pPr>
        <w:spacing w:line="360" w:lineRule="auto"/>
        <w:jc w:val="both"/>
        <w:rPr>
          <w:rFonts w:ascii="Palatino Linotype" w:eastAsia="Palatino Linotype" w:hAnsi="Palatino Linotype" w:cs="Palatino Linotype"/>
          <w:sz w:val="22"/>
          <w:szCs w:val="22"/>
        </w:rPr>
      </w:pPr>
    </w:p>
    <w:p w14:paraId="245AB03D" w14:textId="77777777" w:rsidR="00A11A84" w:rsidRPr="00EA52AE" w:rsidRDefault="00A11A84"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cuanto hace al formato PDF en que requiere la información la persona solicitante, se menciona que tratándose de facturas o comprobantes fiscales digitales por internet como los que se ordenan entregar, de conformidad con </w:t>
      </w:r>
      <w:r w:rsidR="00325F2E" w:rsidRPr="00EA52AE">
        <w:rPr>
          <w:rFonts w:ascii="Palatino Linotype" w:eastAsia="Palatino Linotype" w:hAnsi="Palatino Linotype" w:cs="Palatino Linotype"/>
          <w:sz w:val="22"/>
          <w:szCs w:val="22"/>
        </w:rPr>
        <w:t xml:space="preserve">la Regla 2.7.1.7 de la </w:t>
      </w:r>
      <w:r w:rsidRPr="00EA52AE">
        <w:rPr>
          <w:rFonts w:ascii="Palatino Linotype" w:eastAsia="Palatino Linotype" w:hAnsi="Palatino Linotype" w:cs="Palatino Linotype"/>
          <w:sz w:val="22"/>
          <w:szCs w:val="22"/>
        </w:rPr>
        <w:t>Resolución Miscelánea Fiscal</w:t>
      </w:r>
      <w:r w:rsidR="00657DFC" w:rsidRPr="00EA52AE">
        <w:rPr>
          <w:rFonts w:ascii="Palatino Linotype" w:eastAsia="Palatino Linotype" w:hAnsi="Palatino Linotype" w:cs="Palatino Linotype"/>
          <w:sz w:val="22"/>
          <w:szCs w:val="22"/>
        </w:rPr>
        <w:t xml:space="preserve"> para 2024</w:t>
      </w:r>
      <w:r w:rsidRPr="00EA52AE">
        <w:rPr>
          <w:rFonts w:ascii="Palatino Linotype" w:eastAsia="Palatino Linotype" w:hAnsi="Palatino Linotype" w:cs="Palatino Linotype"/>
          <w:sz w:val="22"/>
          <w:szCs w:val="22"/>
        </w:rPr>
        <w:t xml:space="preserve">, </w:t>
      </w:r>
      <w:r w:rsidR="00325F2E" w:rsidRPr="00EA52AE">
        <w:rPr>
          <w:rFonts w:ascii="Palatino Linotype" w:eastAsia="Palatino Linotype" w:hAnsi="Palatino Linotype" w:cs="Palatino Linotype"/>
          <w:sz w:val="22"/>
          <w:szCs w:val="22"/>
        </w:rPr>
        <w:t xml:space="preserve">se advierte que </w:t>
      </w:r>
      <w:r w:rsidRPr="00EA52AE">
        <w:rPr>
          <w:rFonts w:ascii="Palatino Linotype" w:eastAsia="Palatino Linotype" w:hAnsi="Palatino Linotype" w:cs="Palatino Linotype"/>
          <w:sz w:val="22"/>
          <w:szCs w:val="22"/>
        </w:rPr>
        <w:t>dichos comprobantes se componen por un archivo en formato PDF como la representación física o gráfica del CFDI</w:t>
      </w:r>
      <w:r w:rsidR="00930D37" w:rsidRPr="00EA52AE">
        <w:rPr>
          <w:rFonts w:ascii="Palatino Linotype" w:eastAsia="Palatino Linotype" w:hAnsi="Palatino Linotype" w:cs="Palatino Linotype"/>
          <w:sz w:val="22"/>
          <w:szCs w:val="22"/>
        </w:rPr>
        <w:t>.</w:t>
      </w:r>
    </w:p>
    <w:p w14:paraId="4627E4C8" w14:textId="77777777" w:rsidR="00325F2E" w:rsidRPr="00EA52AE" w:rsidRDefault="00325F2E" w:rsidP="00D31507">
      <w:pPr>
        <w:spacing w:line="360" w:lineRule="auto"/>
        <w:jc w:val="both"/>
        <w:rPr>
          <w:rFonts w:ascii="Palatino Linotype" w:eastAsia="Palatino Linotype" w:hAnsi="Palatino Linotype" w:cs="Palatino Linotype"/>
          <w:sz w:val="22"/>
          <w:szCs w:val="22"/>
        </w:rPr>
      </w:pPr>
    </w:p>
    <w:p w14:paraId="0380B795" w14:textId="77777777" w:rsidR="00325F2E" w:rsidRPr="00EA52AE" w:rsidRDefault="00325F2E"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De esta manera, </w:t>
      </w:r>
      <w:r w:rsidR="00930D37" w:rsidRPr="00EA52AE">
        <w:rPr>
          <w:rFonts w:ascii="Palatino Linotype" w:eastAsia="Palatino Linotype" w:hAnsi="Palatino Linotype" w:cs="Palatino Linotype"/>
          <w:sz w:val="22"/>
          <w:szCs w:val="22"/>
        </w:rPr>
        <w:t xml:space="preserve">el </w:t>
      </w:r>
      <w:r w:rsidR="00930D37" w:rsidRPr="00EA52AE">
        <w:rPr>
          <w:rFonts w:ascii="Palatino Linotype" w:eastAsia="Palatino Linotype" w:hAnsi="Palatino Linotype" w:cs="Palatino Linotype"/>
          <w:b/>
          <w:sz w:val="22"/>
          <w:szCs w:val="22"/>
        </w:rPr>
        <w:t xml:space="preserve">Sujeto Obligado </w:t>
      </w:r>
      <w:r w:rsidR="00930D37" w:rsidRPr="00EA52AE">
        <w:rPr>
          <w:rFonts w:ascii="Palatino Linotype" w:eastAsia="Palatino Linotype" w:hAnsi="Palatino Linotype" w:cs="Palatino Linotype"/>
          <w:sz w:val="22"/>
          <w:szCs w:val="22"/>
        </w:rPr>
        <w:t xml:space="preserve">al momento de dar cumplimiento a la presente resolución, deberá proporcionar las facturas o comprobantes indicados, </w:t>
      </w:r>
      <w:r w:rsidR="00930D37" w:rsidRPr="00EA52AE">
        <w:rPr>
          <w:rFonts w:ascii="Palatino Linotype" w:eastAsia="Palatino Linotype" w:hAnsi="Palatino Linotype" w:cs="Palatino Linotype"/>
          <w:b/>
          <w:sz w:val="22"/>
          <w:szCs w:val="22"/>
        </w:rPr>
        <w:t>preferentemente en formato PDF o en el que se hubiera generado.</w:t>
      </w:r>
    </w:p>
    <w:p w14:paraId="7C0F8A52" w14:textId="77777777" w:rsidR="00A11A84" w:rsidRPr="00EA52AE" w:rsidRDefault="00A11A84" w:rsidP="00D31507">
      <w:pPr>
        <w:spacing w:line="360" w:lineRule="auto"/>
        <w:jc w:val="both"/>
        <w:rPr>
          <w:rFonts w:ascii="Palatino Linotype" w:eastAsia="Palatino Linotype" w:hAnsi="Palatino Linotype" w:cs="Palatino Linotype"/>
          <w:sz w:val="22"/>
          <w:szCs w:val="22"/>
        </w:rPr>
      </w:pPr>
    </w:p>
    <w:p w14:paraId="7B3A58A8" w14:textId="77777777" w:rsidR="00312726" w:rsidRPr="00EA52AE" w:rsidRDefault="00BD2B59"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Consecuentemente, con relación al requerimiento analizado bajo el </w:t>
      </w:r>
      <w:r w:rsidRPr="00EA52AE">
        <w:rPr>
          <w:rFonts w:ascii="Palatino Linotype" w:eastAsia="Palatino Linotype" w:hAnsi="Palatino Linotype" w:cs="Palatino Linotype"/>
          <w:b/>
          <w:sz w:val="22"/>
          <w:szCs w:val="22"/>
        </w:rPr>
        <w:t>numeral 4 “pólizas de cheque”</w:t>
      </w:r>
      <w:r w:rsidR="00312726" w:rsidRPr="00EA52AE">
        <w:rPr>
          <w:rFonts w:ascii="Palatino Linotype" w:eastAsia="Palatino Linotype" w:hAnsi="Palatino Linotype" w:cs="Palatino Linotype"/>
          <w:b/>
          <w:sz w:val="22"/>
          <w:szCs w:val="22"/>
        </w:rPr>
        <w:t>,</w:t>
      </w:r>
      <w:r w:rsidR="00312726" w:rsidRPr="00EA52AE">
        <w:rPr>
          <w:rFonts w:ascii="Palatino Linotype" w:eastAsia="Palatino Linotype" w:hAnsi="Palatino Linotype" w:cs="Palatino Linotype"/>
          <w:sz w:val="22"/>
          <w:szCs w:val="22"/>
        </w:rPr>
        <w:t xml:space="preserve"> del análisis a la respuesta proporcionada por </w:t>
      </w:r>
      <w:r w:rsidRPr="00EA52AE">
        <w:rPr>
          <w:rFonts w:ascii="Palatino Linotype" w:eastAsia="Palatino Linotype" w:hAnsi="Palatino Linotype" w:cs="Palatino Linotype"/>
          <w:sz w:val="22"/>
          <w:szCs w:val="22"/>
        </w:rPr>
        <w:t xml:space="preserve">el Tesorero Municipal, se desprende que este indicó que para el tipo de egreso </w:t>
      </w:r>
      <w:r w:rsidR="00B4407B" w:rsidRPr="00EA52AE">
        <w:rPr>
          <w:rFonts w:ascii="Palatino Linotype" w:eastAsia="Palatino Linotype" w:hAnsi="Palatino Linotype" w:cs="Palatino Linotype"/>
          <w:sz w:val="22"/>
          <w:szCs w:val="22"/>
        </w:rPr>
        <w:t xml:space="preserve">de que se trata </w:t>
      </w:r>
      <w:r w:rsidRPr="00EA52AE">
        <w:rPr>
          <w:rFonts w:ascii="Palatino Linotype" w:eastAsia="Palatino Linotype" w:hAnsi="Palatino Linotype" w:cs="Palatino Linotype"/>
          <w:sz w:val="22"/>
          <w:szCs w:val="22"/>
        </w:rPr>
        <w:t>no se generan pólizas de cheques.</w:t>
      </w:r>
    </w:p>
    <w:p w14:paraId="08682264" w14:textId="77777777" w:rsidR="00312726" w:rsidRPr="00EA52AE" w:rsidRDefault="00312726" w:rsidP="00D31507">
      <w:pPr>
        <w:spacing w:line="360" w:lineRule="auto"/>
        <w:jc w:val="both"/>
        <w:rPr>
          <w:rFonts w:ascii="Palatino Linotype" w:eastAsia="Palatino Linotype" w:hAnsi="Palatino Linotype" w:cs="Palatino Linotype"/>
          <w:sz w:val="22"/>
          <w:szCs w:val="22"/>
        </w:rPr>
      </w:pPr>
    </w:p>
    <w:p w14:paraId="1DFC0576" w14:textId="77777777" w:rsidR="00312726" w:rsidRPr="00EA52AE" w:rsidRDefault="00BD2B59"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De esta manera, es de recordar que las pólizas de cheques sólo se utilizan en caso de erogaciones realizadas a través de un cheque; y, en el caso, del análisis al contrato entregado en respuesta y en informe justificado, </w:t>
      </w:r>
      <w:r w:rsidR="00B4407B" w:rsidRPr="00EA52AE">
        <w:rPr>
          <w:rFonts w:ascii="Palatino Linotype" w:eastAsia="Palatino Linotype" w:hAnsi="Palatino Linotype" w:cs="Palatino Linotype"/>
          <w:sz w:val="22"/>
          <w:szCs w:val="22"/>
        </w:rPr>
        <w:t xml:space="preserve">no se advierte que se hubiera establecido como </w:t>
      </w:r>
      <w:r w:rsidRPr="00EA52AE">
        <w:rPr>
          <w:rFonts w:ascii="Palatino Linotype" w:eastAsia="Palatino Linotype" w:hAnsi="Palatino Linotype" w:cs="Palatino Linotype"/>
          <w:sz w:val="22"/>
          <w:szCs w:val="22"/>
        </w:rPr>
        <w:t xml:space="preserve">forma de pago </w:t>
      </w:r>
      <w:r w:rsidR="00B4407B" w:rsidRPr="00EA52AE">
        <w:rPr>
          <w:rFonts w:ascii="Palatino Linotype" w:eastAsia="Palatino Linotype" w:hAnsi="Palatino Linotype" w:cs="Palatino Linotype"/>
          <w:sz w:val="22"/>
          <w:szCs w:val="22"/>
        </w:rPr>
        <w:t>del monto contratado por cheque.</w:t>
      </w:r>
    </w:p>
    <w:p w14:paraId="686A3D02" w14:textId="77777777" w:rsidR="00B4407B" w:rsidRPr="00EA52AE" w:rsidRDefault="00B4407B" w:rsidP="00D31507">
      <w:pPr>
        <w:spacing w:line="360" w:lineRule="auto"/>
        <w:jc w:val="both"/>
        <w:rPr>
          <w:rFonts w:ascii="Palatino Linotype" w:eastAsia="Palatino Linotype" w:hAnsi="Palatino Linotype" w:cs="Palatino Linotype"/>
          <w:sz w:val="22"/>
          <w:szCs w:val="22"/>
        </w:rPr>
      </w:pPr>
    </w:p>
    <w:p w14:paraId="4EB357F5" w14:textId="77777777" w:rsidR="00B4407B" w:rsidRPr="00EA52AE" w:rsidRDefault="00B4407B" w:rsidP="00D31507">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Por tanto, es dable tener por colmado el punto</w:t>
      </w:r>
      <w:r w:rsidR="003C1C34" w:rsidRPr="00EA52AE">
        <w:rPr>
          <w:rFonts w:ascii="Palatino Linotype" w:eastAsia="Palatino Linotype" w:hAnsi="Palatino Linotype" w:cs="Palatino Linotype"/>
          <w:sz w:val="22"/>
          <w:szCs w:val="22"/>
        </w:rPr>
        <w:t xml:space="preserve"> en análisis,</w:t>
      </w:r>
      <w:r w:rsidR="007318B6" w:rsidRPr="00EA52AE">
        <w:rPr>
          <w:rFonts w:ascii="Palatino Linotype" w:eastAsia="Palatino Linotype" w:hAnsi="Palatino Linotype" w:cs="Palatino Linotype"/>
          <w:sz w:val="22"/>
          <w:szCs w:val="22"/>
        </w:rPr>
        <w:t xml:space="preserve"> por encontrarnos ante un hecho negativo, </w:t>
      </w:r>
      <w:r w:rsidRPr="00EA52AE">
        <w:rPr>
          <w:rFonts w:ascii="Palatino Linotype" w:eastAsia="Palatino Linotype" w:hAnsi="Palatino Linotype" w:cs="Palatino Linotype"/>
          <w:sz w:val="22"/>
          <w:szCs w:val="22"/>
        </w:rPr>
        <w:t>en virtud de que si bien se pueden efectuar erogaciones por cheque</w:t>
      </w:r>
      <w:r w:rsidR="003C1C34" w:rsidRPr="00EA52AE">
        <w:rPr>
          <w:rFonts w:ascii="Palatino Linotype" w:eastAsia="Palatino Linotype" w:hAnsi="Palatino Linotype" w:cs="Palatino Linotype"/>
          <w:sz w:val="22"/>
          <w:szCs w:val="22"/>
        </w:rPr>
        <w:t xml:space="preserve"> por concepto de gastos con motivo de una contratación de obra pública, también lo es que,</w:t>
      </w:r>
      <w:r w:rsidRPr="00EA52AE">
        <w:rPr>
          <w:rFonts w:ascii="Palatino Linotype" w:eastAsia="Palatino Linotype" w:hAnsi="Palatino Linotype" w:cs="Palatino Linotype"/>
          <w:sz w:val="22"/>
          <w:szCs w:val="22"/>
        </w:rPr>
        <w:t xml:space="preserve"> no es la única forma de pago, existen otras como: transferencia electrónica de fondos</w:t>
      </w:r>
      <w:r w:rsidR="007318B6" w:rsidRPr="00EA52AE">
        <w:rPr>
          <w:rFonts w:ascii="Palatino Linotype" w:eastAsia="Palatino Linotype" w:hAnsi="Palatino Linotype" w:cs="Palatino Linotype"/>
          <w:sz w:val="22"/>
          <w:szCs w:val="22"/>
        </w:rPr>
        <w:t xml:space="preserve"> y</w:t>
      </w:r>
      <w:r w:rsidRPr="00EA52AE">
        <w:rPr>
          <w:rFonts w:ascii="Palatino Linotype" w:eastAsia="Palatino Linotype" w:hAnsi="Palatino Linotype" w:cs="Palatino Linotype"/>
          <w:sz w:val="22"/>
          <w:szCs w:val="22"/>
        </w:rPr>
        <w:t xml:space="preserve"> efectivo</w:t>
      </w:r>
      <w:r w:rsidR="007318B6" w:rsidRPr="00EA52AE">
        <w:rPr>
          <w:rFonts w:ascii="Palatino Linotype" w:eastAsia="Palatino Linotype" w:hAnsi="Palatino Linotype" w:cs="Palatino Linotype"/>
          <w:sz w:val="22"/>
          <w:szCs w:val="22"/>
        </w:rPr>
        <w:t>.</w:t>
      </w:r>
    </w:p>
    <w:p w14:paraId="514230DD" w14:textId="77777777" w:rsidR="003B3B2A" w:rsidRPr="00EA52AE" w:rsidRDefault="003B3B2A">
      <w:pPr>
        <w:spacing w:line="360" w:lineRule="auto"/>
        <w:jc w:val="both"/>
        <w:rPr>
          <w:rFonts w:ascii="Palatino Linotype" w:eastAsia="Palatino Linotype" w:hAnsi="Palatino Linotype" w:cs="Palatino Linotype"/>
          <w:sz w:val="22"/>
          <w:szCs w:val="22"/>
        </w:rPr>
      </w:pPr>
    </w:p>
    <w:p w14:paraId="73596679" w14:textId="77777777" w:rsidR="003C1C34" w:rsidRPr="00EA52AE" w:rsidRDefault="003C1C3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Finalmente, con relación al requerimiento marcado en el </w:t>
      </w:r>
      <w:r w:rsidRPr="00EA52AE">
        <w:rPr>
          <w:rFonts w:ascii="Palatino Linotype" w:eastAsia="Palatino Linotype" w:hAnsi="Palatino Linotype" w:cs="Palatino Linotype"/>
          <w:b/>
          <w:sz w:val="22"/>
          <w:szCs w:val="22"/>
        </w:rPr>
        <w:t>numeral 5</w:t>
      </w:r>
      <w:r w:rsidRPr="00EA52AE">
        <w:rPr>
          <w:rFonts w:ascii="Palatino Linotype" w:eastAsia="Palatino Linotype" w:hAnsi="Palatino Linotype" w:cs="Palatino Linotype"/>
          <w:sz w:val="22"/>
          <w:szCs w:val="22"/>
        </w:rPr>
        <w:t xml:space="preserve"> relativo al padrón de beneficiarios y/o población beneficiada; por cuanto hace a las documentales que integran el expediente único de obra pública, no se desprende que entre las mismas se encuentre la obligación de generar un padrón de beneficiarios de la obra pública.</w:t>
      </w:r>
    </w:p>
    <w:p w14:paraId="47BD2824" w14:textId="77777777" w:rsidR="003C1C34" w:rsidRPr="00EA52AE" w:rsidRDefault="003C1C34">
      <w:pPr>
        <w:spacing w:line="360" w:lineRule="auto"/>
        <w:jc w:val="both"/>
        <w:rPr>
          <w:rFonts w:ascii="Palatino Linotype" w:eastAsia="Palatino Linotype" w:hAnsi="Palatino Linotype" w:cs="Palatino Linotype"/>
          <w:sz w:val="22"/>
          <w:szCs w:val="22"/>
        </w:rPr>
      </w:pPr>
    </w:p>
    <w:p w14:paraId="3EB9D468" w14:textId="77777777" w:rsidR="003C1C34" w:rsidRPr="00EA52AE" w:rsidRDefault="003C1C34">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Sin embargo, en el caso el Director de Desarrollo Urbano y Obras Públicas indicó que por cuanto hace a la población beneficiada era de 3,000 habitantes, como se muestra:</w:t>
      </w:r>
    </w:p>
    <w:p w14:paraId="7A165FC3" w14:textId="77777777" w:rsidR="003C1C34" w:rsidRPr="00EA52AE" w:rsidRDefault="003C1C34">
      <w:pPr>
        <w:spacing w:line="360" w:lineRule="auto"/>
        <w:jc w:val="both"/>
        <w:rPr>
          <w:rFonts w:ascii="Palatino Linotype" w:eastAsia="Palatino Linotype" w:hAnsi="Palatino Linotype" w:cs="Palatino Linotype"/>
          <w:sz w:val="22"/>
          <w:szCs w:val="22"/>
        </w:rPr>
      </w:pPr>
    </w:p>
    <w:p w14:paraId="4764AEB4" w14:textId="77777777" w:rsidR="003C1C34" w:rsidRPr="00EA52AE" w:rsidRDefault="003C1C34" w:rsidP="003C1C34">
      <w:pPr>
        <w:spacing w:line="360" w:lineRule="auto"/>
        <w:jc w:val="center"/>
        <w:rPr>
          <w:rFonts w:ascii="Palatino Linotype" w:eastAsia="Palatino Linotype" w:hAnsi="Palatino Linotype" w:cs="Palatino Linotype"/>
          <w:sz w:val="22"/>
          <w:szCs w:val="22"/>
        </w:rPr>
      </w:pPr>
      <w:r w:rsidRPr="00EA52AE">
        <w:rPr>
          <w:rFonts w:ascii="Palatino Linotype" w:eastAsia="Palatino Linotype" w:hAnsi="Palatino Linotype" w:cs="Palatino Linotype"/>
          <w:noProof/>
          <w:sz w:val="22"/>
          <w:szCs w:val="22"/>
        </w:rPr>
        <w:drawing>
          <wp:inline distT="0" distB="0" distL="0" distR="0" wp14:anchorId="4E5340D5" wp14:editId="6AEAFB06">
            <wp:extent cx="4591691" cy="19052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91691" cy="190527"/>
                    </a:xfrm>
                    <a:prstGeom prst="rect">
                      <a:avLst/>
                    </a:prstGeom>
                  </pic:spPr>
                </pic:pic>
              </a:graphicData>
            </a:graphic>
          </wp:inline>
        </w:drawing>
      </w:r>
    </w:p>
    <w:p w14:paraId="7C8F1AC2" w14:textId="77777777" w:rsidR="003C1C34" w:rsidRPr="00EA52AE" w:rsidRDefault="003C1C34" w:rsidP="003C1C34">
      <w:pPr>
        <w:spacing w:line="360" w:lineRule="auto"/>
        <w:jc w:val="both"/>
        <w:rPr>
          <w:rFonts w:ascii="Palatino Linotype" w:eastAsia="Palatino Linotype" w:hAnsi="Palatino Linotype" w:cs="Palatino Linotype"/>
          <w:sz w:val="22"/>
          <w:szCs w:val="22"/>
        </w:rPr>
      </w:pPr>
    </w:p>
    <w:p w14:paraId="19028FD9" w14:textId="77777777" w:rsidR="003C1C34" w:rsidRPr="00EA52AE" w:rsidRDefault="003C1C34" w:rsidP="003C1C34">
      <w:pPr>
        <w:pStyle w:val="NormalWeb"/>
        <w:spacing w:before="0" w:beforeAutospacing="0" w:after="0" w:afterAutospacing="0" w:line="360" w:lineRule="auto"/>
        <w:jc w:val="both"/>
        <w:rPr>
          <w:rFonts w:ascii="Palatino Linotype" w:hAnsi="Palatino Linotype"/>
          <w:sz w:val="22"/>
          <w:szCs w:val="22"/>
        </w:rPr>
      </w:pPr>
      <w:r w:rsidRPr="00EA52AE">
        <w:rPr>
          <w:rFonts w:ascii="Palatino Linotype" w:hAnsi="Palatino Linotype"/>
          <w:sz w:val="22"/>
          <w:szCs w:val="22"/>
        </w:rPr>
        <w:t xml:space="preserve">De esta manera, si bien el derecho de acceso a la información pública se satisface en aquellos casos en que se entregue el soporte documental en que conste la información pública, sin la necesidad de elaborar documentos </w:t>
      </w:r>
      <w:r w:rsidRPr="00EA52AE">
        <w:rPr>
          <w:rFonts w:ascii="Palatino Linotype" w:hAnsi="Palatino Linotype"/>
          <w:i/>
          <w:iCs/>
          <w:sz w:val="22"/>
          <w:szCs w:val="22"/>
        </w:rPr>
        <w:t>ad hoc</w:t>
      </w:r>
      <w:r w:rsidRPr="00EA52AE">
        <w:rPr>
          <w:rFonts w:ascii="Palatino Linotype" w:hAnsi="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w:t>
      </w:r>
    </w:p>
    <w:p w14:paraId="1255259E" w14:textId="77777777" w:rsidR="003C1C34" w:rsidRPr="00EA52AE" w:rsidRDefault="003C1C34" w:rsidP="003C1C34">
      <w:pPr>
        <w:pStyle w:val="NormalWeb"/>
        <w:spacing w:before="0" w:beforeAutospacing="0" w:after="0" w:afterAutospacing="0" w:line="360" w:lineRule="auto"/>
        <w:jc w:val="both"/>
        <w:rPr>
          <w:sz w:val="22"/>
          <w:szCs w:val="22"/>
        </w:rPr>
      </w:pPr>
    </w:p>
    <w:p w14:paraId="6790D133" w14:textId="77777777" w:rsidR="003C1C34" w:rsidRPr="00EA52AE" w:rsidRDefault="003C1C34" w:rsidP="003C1C34">
      <w:pPr>
        <w:pStyle w:val="NormalWeb"/>
        <w:spacing w:before="0" w:beforeAutospacing="0" w:after="0" w:afterAutospacing="0" w:line="360" w:lineRule="auto"/>
        <w:jc w:val="both"/>
        <w:rPr>
          <w:sz w:val="22"/>
          <w:szCs w:val="22"/>
        </w:rPr>
      </w:pPr>
      <w:r w:rsidRPr="00EA52AE">
        <w:rPr>
          <w:rFonts w:ascii="Palatino Linotype" w:hAnsi="Palatino Linotype"/>
          <w:sz w:val="22"/>
          <w:szCs w:val="22"/>
        </w:rPr>
        <w:t xml:space="preserve">Sin embargo, en el caso se aprecia que el </w:t>
      </w:r>
      <w:r w:rsidRPr="00EA52AE">
        <w:rPr>
          <w:rFonts w:ascii="Palatino Linotype" w:hAnsi="Palatino Linotype"/>
          <w:b/>
          <w:bCs/>
          <w:sz w:val="22"/>
          <w:szCs w:val="22"/>
        </w:rPr>
        <w:t>Sujeto Obligado</w:t>
      </w:r>
      <w:r w:rsidRPr="00EA52AE">
        <w:rPr>
          <w:rFonts w:ascii="Palatino Linotype" w:hAnsi="Palatino Linotype"/>
          <w:sz w:val="22"/>
          <w:szCs w:val="22"/>
        </w:rPr>
        <w:t xml:space="preserve"> elaboró un documento ad hoc para dar cabal cumplimiento al derecho de acceso a la información del particular aún y </w:t>
      </w:r>
      <w:r w:rsidRPr="00EA52AE">
        <w:rPr>
          <w:rFonts w:ascii="Palatino Linotype" w:hAnsi="Palatino Linotype"/>
          <w:b/>
          <w:bCs/>
          <w:sz w:val="22"/>
          <w:szCs w:val="22"/>
        </w:rPr>
        <w:t>cuando no es una obligación de las autoridades</w:t>
      </w:r>
      <w:r w:rsidRPr="00EA52AE">
        <w:rPr>
          <w:rFonts w:ascii="Palatino Linotype" w:hAnsi="Palatino Linotype"/>
          <w:sz w:val="22"/>
          <w:szCs w:val="22"/>
        </w:rPr>
        <w:t xml:space="preserve"> tal y como lo señala el Criterio 09-10, </w:t>
      </w:r>
      <w:r w:rsidRPr="00EA52AE">
        <w:rPr>
          <w:rFonts w:ascii="Palatino Linotype" w:hAnsi="Palatino Linotype"/>
          <w:sz w:val="22"/>
          <w:szCs w:val="22"/>
        </w:rPr>
        <w:lastRenderedPageBreak/>
        <w:t>emitido por el Pleno del entonces Instituto Federal de Acceso a la Información y Protección de Datos, ahora Instituto Nacional de Transparencia, Acceso a la Información y Protección de Datos Personales, que dice:</w:t>
      </w:r>
      <w:r w:rsidRPr="00EA52AE">
        <w:rPr>
          <w:rFonts w:ascii="Palatino Linotype" w:hAnsi="Palatino Linotype"/>
          <w:b/>
          <w:bCs/>
          <w:sz w:val="22"/>
          <w:szCs w:val="22"/>
        </w:rPr>
        <w:t> </w:t>
      </w:r>
    </w:p>
    <w:p w14:paraId="39B67136" w14:textId="77777777" w:rsidR="003C1C34" w:rsidRPr="00EA52AE" w:rsidRDefault="003C1C34" w:rsidP="003C1C34">
      <w:pPr>
        <w:spacing w:line="360" w:lineRule="auto"/>
        <w:rPr>
          <w:sz w:val="22"/>
          <w:szCs w:val="22"/>
        </w:rPr>
      </w:pPr>
    </w:p>
    <w:p w14:paraId="2721FCBC"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5DE98326"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Expedientes:</w:t>
      </w:r>
    </w:p>
    <w:p w14:paraId="62593440"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0438/08 Pemex Exploración y Producción – Alonso Lujambio Irazábal</w:t>
      </w:r>
    </w:p>
    <w:p w14:paraId="1336673A"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1751/09 Laboratorios de Biológicos y Reactivos de México S.A. de C.V. –</w:t>
      </w:r>
    </w:p>
    <w:p w14:paraId="2922C5BB"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 xml:space="preserve">María </w:t>
      </w:r>
      <w:proofErr w:type="spellStart"/>
      <w:r w:rsidRPr="00EA52AE">
        <w:rPr>
          <w:rFonts w:ascii="Palatino Linotype" w:hAnsi="Palatino Linotype"/>
          <w:i/>
          <w:iCs/>
          <w:sz w:val="22"/>
          <w:szCs w:val="22"/>
        </w:rPr>
        <w:t>Marván</w:t>
      </w:r>
      <w:proofErr w:type="spellEnd"/>
      <w:r w:rsidRPr="00EA52AE">
        <w:rPr>
          <w:rFonts w:ascii="Palatino Linotype" w:hAnsi="Palatino Linotype"/>
          <w:i/>
          <w:iCs/>
          <w:sz w:val="22"/>
          <w:szCs w:val="22"/>
        </w:rPr>
        <w:t xml:space="preserve"> Laborde</w:t>
      </w:r>
    </w:p>
    <w:p w14:paraId="36087079"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 xml:space="preserve">2868/09 Consejo Nacional de Ciencia y Tecnología – Jacqueline </w:t>
      </w:r>
      <w:proofErr w:type="spellStart"/>
      <w:r w:rsidRPr="00EA52AE">
        <w:rPr>
          <w:rFonts w:ascii="Palatino Linotype" w:hAnsi="Palatino Linotype"/>
          <w:i/>
          <w:iCs/>
          <w:sz w:val="22"/>
          <w:szCs w:val="22"/>
        </w:rPr>
        <w:t>Peschard</w:t>
      </w:r>
      <w:proofErr w:type="spellEnd"/>
    </w:p>
    <w:p w14:paraId="7CCFAE1E"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Mariscal</w:t>
      </w:r>
    </w:p>
    <w:p w14:paraId="46579EC6"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5160/09 Secretaría de Hacienda y Crédito Público – Ángel Trinidad Zaldívar</w:t>
      </w:r>
    </w:p>
    <w:p w14:paraId="2A72DEBC" w14:textId="77777777" w:rsidR="003C1C34" w:rsidRPr="00EA52AE" w:rsidRDefault="003C1C34" w:rsidP="003C1C34">
      <w:pPr>
        <w:pStyle w:val="NormalWeb"/>
        <w:spacing w:before="0" w:beforeAutospacing="0" w:after="0" w:afterAutospacing="0" w:line="276" w:lineRule="auto"/>
        <w:ind w:left="567" w:right="616"/>
        <w:jc w:val="both"/>
        <w:rPr>
          <w:sz w:val="22"/>
          <w:szCs w:val="22"/>
        </w:rPr>
      </w:pPr>
      <w:r w:rsidRPr="00EA52AE">
        <w:rPr>
          <w:rFonts w:ascii="Palatino Linotype" w:hAnsi="Palatino Linotype"/>
          <w:i/>
          <w:iCs/>
          <w:sz w:val="22"/>
          <w:szCs w:val="22"/>
        </w:rPr>
        <w:t xml:space="preserve">0304/10 Instituto Nacional de Cancerología – Jacqueline </w:t>
      </w:r>
      <w:proofErr w:type="spellStart"/>
      <w:r w:rsidRPr="00EA52AE">
        <w:rPr>
          <w:rFonts w:ascii="Palatino Linotype" w:hAnsi="Palatino Linotype"/>
          <w:i/>
          <w:iCs/>
          <w:sz w:val="22"/>
          <w:szCs w:val="22"/>
        </w:rPr>
        <w:t>Peschard</w:t>
      </w:r>
      <w:proofErr w:type="spellEnd"/>
      <w:r w:rsidRPr="00EA52AE">
        <w:rPr>
          <w:rFonts w:ascii="Palatino Linotype" w:hAnsi="Palatino Linotype"/>
          <w:i/>
          <w:iCs/>
          <w:sz w:val="22"/>
          <w:szCs w:val="22"/>
        </w:rPr>
        <w:t xml:space="preserve"> Mariscal”</w:t>
      </w:r>
    </w:p>
    <w:p w14:paraId="13D78CBE" w14:textId="77777777" w:rsidR="003C1C34" w:rsidRPr="00EA52AE" w:rsidRDefault="003C1C34" w:rsidP="003C1C34">
      <w:pPr>
        <w:pStyle w:val="NormalWeb"/>
        <w:spacing w:before="240" w:beforeAutospacing="0" w:after="240" w:afterAutospacing="0" w:line="360" w:lineRule="auto"/>
        <w:jc w:val="both"/>
        <w:rPr>
          <w:sz w:val="22"/>
          <w:szCs w:val="22"/>
        </w:rPr>
      </w:pPr>
      <w:r w:rsidRPr="00EA52AE">
        <w:rPr>
          <w:rFonts w:ascii="Palatino Linotype" w:hAnsi="Palatino Linotype"/>
          <w:sz w:val="22"/>
          <w:szCs w:val="22"/>
        </w:rPr>
        <w:t xml:space="preserve">Entonces, dado a que el criterio en mención establece que las autoridades </w:t>
      </w:r>
      <w:r w:rsidRPr="00EA52AE">
        <w:rPr>
          <w:rFonts w:ascii="Palatino Linotype" w:hAnsi="Palatino Linotype"/>
          <w:b/>
          <w:bCs/>
          <w:sz w:val="22"/>
          <w:szCs w:val="22"/>
        </w:rPr>
        <w:t xml:space="preserve">no están obligadas a generar documentos “ad hoc” </w:t>
      </w:r>
      <w:r w:rsidRPr="00EA52AE">
        <w:rPr>
          <w:rFonts w:ascii="Palatino Linotype" w:hAnsi="Palatino Linotype"/>
          <w:sz w:val="22"/>
          <w:szCs w:val="22"/>
        </w:rPr>
        <w:t xml:space="preserve">en contrario sensu, dicho criterio se puede interpretar resultando que las autoridades no están impedidas a generar documentos “ad hoc”, esto, siempre que con dicho documento elaborado se dé cabal cumplimiento a los requerimientos planteados; cuestión que se cumplió a cabalidad pues el </w:t>
      </w:r>
      <w:r w:rsidRPr="00EA52AE">
        <w:rPr>
          <w:rFonts w:ascii="Palatino Linotype" w:hAnsi="Palatino Linotype"/>
          <w:b/>
          <w:bCs/>
          <w:sz w:val="22"/>
          <w:szCs w:val="22"/>
        </w:rPr>
        <w:t>Sujeto Obligado</w:t>
      </w:r>
      <w:r w:rsidRPr="00EA52AE">
        <w:rPr>
          <w:rFonts w:ascii="Palatino Linotype" w:hAnsi="Palatino Linotype"/>
          <w:sz w:val="22"/>
          <w:szCs w:val="22"/>
        </w:rPr>
        <w:t xml:space="preserve"> hizo del conocimiento que </w:t>
      </w:r>
      <w:r w:rsidRPr="00EA52AE">
        <w:rPr>
          <w:rFonts w:ascii="Palatino Linotype" w:hAnsi="Palatino Linotype"/>
          <w:b/>
          <w:bCs/>
          <w:sz w:val="22"/>
          <w:szCs w:val="22"/>
        </w:rPr>
        <w:t>la población beneficiada correspondía a 3,000 habitantes, colmando el requerimiento de nuestra atención.</w:t>
      </w:r>
    </w:p>
    <w:p w14:paraId="4F3F2293" w14:textId="77777777" w:rsidR="003C1C34" w:rsidRPr="00EA52AE" w:rsidRDefault="003C1C34" w:rsidP="003C1C34">
      <w:pPr>
        <w:pStyle w:val="NormalWeb"/>
        <w:spacing w:before="0" w:beforeAutospacing="0" w:after="0" w:afterAutospacing="0" w:line="360" w:lineRule="auto"/>
        <w:jc w:val="both"/>
        <w:rPr>
          <w:rFonts w:ascii="Palatino Linotype" w:hAnsi="Palatino Linotype"/>
          <w:sz w:val="22"/>
          <w:szCs w:val="22"/>
        </w:rPr>
      </w:pPr>
      <w:r w:rsidRPr="00EA52AE">
        <w:rPr>
          <w:rFonts w:ascii="Palatino Linotype" w:hAnsi="Palatino Linotype"/>
          <w:sz w:val="22"/>
          <w:szCs w:val="22"/>
        </w:rPr>
        <w:lastRenderedPageBreak/>
        <w:t xml:space="preserve">Bajo ese contexto, a criterio de este Órgano Garante resultan </w:t>
      </w:r>
      <w:r w:rsidRPr="00EA52AE">
        <w:rPr>
          <w:rFonts w:ascii="Palatino Linotype" w:hAnsi="Palatino Linotype"/>
          <w:b/>
          <w:bCs/>
          <w:sz w:val="22"/>
          <w:szCs w:val="22"/>
        </w:rPr>
        <w:t>parcialmente fundadas</w:t>
      </w:r>
      <w:r w:rsidRPr="00EA52AE">
        <w:rPr>
          <w:rFonts w:ascii="Palatino Linotype" w:hAnsi="Palatino Linotype"/>
          <w:sz w:val="22"/>
          <w:szCs w:val="22"/>
        </w:rPr>
        <w:t xml:space="preserve"> las</w:t>
      </w:r>
      <w:r w:rsidRPr="00EA52AE">
        <w:rPr>
          <w:rFonts w:ascii="Palatino Linotype" w:hAnsi="Palatino Linotype"/>
          <w:b/>
          <w:bCs/>
          <w:sz w:val="22"/>
          <w:szCs w:val="22"/>
        </w:rPr>
        <w:t xml:space="preserve"> </w:t>
      </w:r>
      <w:r w:rsidRPr="00EA52AE">
        <w:rPr>
          <w:rFonts w:ascii="Palatino Linotype" w:hAnsi="Palatino Linotype"/>
          <w:sz w:val="22"/>
          <w:szCs w:val="22"/>
        </w:rPr>
        <w:t xml:space="preserve">razones o motivos de inconformidad hechos valer por la parte </w:t>
      </w:r>
      <w:r w:rsidRPr="00EA52AE">
        <w:rPr>
          <w:rFonts w:ascii="Palatino Linotype" w:hAnsi="Palatino Linotype"/>
          <w:b/>
          <w:bCs/>
          <w:sz w:val="22"/>
          <w:szCs w:val="22"/>
        </w:rPr>
        <w:t>Recurrente</w:t>
      </w:r>
      <w:r w:rsidRPr="00EA52AE">
        <w:rPr>
          <w:rFonts w:ascii="Palatino Linotype" w:hAnsi="Palatino Linotype"/>
          <w:sz w:val="22"/>
          <w:szCs w:val="22"/>
        </w:rPr>
        <w:t xml:space="preserve"> en el Recurso de Revisión </w:t>
      </w:r>
      <w:r w:rsidRPr="00EA52AE">
        <w:rPr>
          <w:rFonts w:ascii="Palatino Linotype" w:hAnsi="Palatino Linotype"/>
          <w:b/>
          <w:bCs/>
          <w:sz w:val="22"/>
          <w:szCs w:val="22"/>
        </w:rPr>
        <w:t xml:space="preserve">04599/INFOEM/IP/RR/2024; </w:t>
      </w:r>
      <w:r w:rsidRPr="00EA52AE">
        <w:rPr>
          <w:rFonts w:ascii="Palatino Linotype" w:hAnsi="Palatino Linotype"/>
          <w:sz w:val="22"/>
          <w:szCs w:val="22"/>
        </w:rPr>
        <w:t xml:space="preserve">siendo procedente </w:t>
      </w:r>
      <w:r w:rsidRPr="00EA52AE">
        <w:rPr>
          <w:rFonts w:ascii="Palatino Linotype" w:hAnsi="Palatino Linotype"/>
          <w:b/>
          <w:bCs/>
          <w:sz w:val="22"/>
          <w:szCs w:val="22"/>
        </w:rPr>
        <w:t xml:space="preserve">Modificar </w:t>
      </w:r>
      <w:r w:rsidRPr="00EA52AE">
        <w:rPr>
          <w:rFonts w:ascii="Palatino Linotype" w:hAnsi="Palatino Linotype"/>
          <w:sz w:val="22"/>
          <w:szCs w:val="22"/>
        </w:rPr>
        <w:t xml:space="preserve">la respuesta del </w:t>
      </w:r>
      <w:r w:rsidRPr="00EA52AE">
        <w:rPr>
          <w:rFonts w:ascii="Palatino Linotype" w:hAnsi="Palatino Linotype"/>
          <w:b/>
          <w:bCs/>
          <w:sz w:val="22"/>
          <w:szCs w:val="22"/>
        </w:rPr>
        <w:t>Sujeto Obligado</w:t>
      </w:r>
      <w:r w:rsidRPr="00EA52AE">
        <w:rPr>
          <w:rFonts w:ascii="Palatino Linotype" w:hAnsi="Palatino Linotype"/>
          <w:sz w:val="22"/>
          <w:szCs w:val="22"/>
        </w:rPr>
        <w:t xml:space="preserve"> y ordenar la entrega de la información antes precisada.</w:t>
      </w:r>
    </w:p>
    <w:p w14:paraId="441E3B2B" w14:textId="77777777" w:rsidR="00A11A84" w:rsidRPr="00EA52AE" w:rsidRDefault="00A11A84" w:rsidP="003C1C34">
      <w:pPr>
        <w:pStyle w:val="NormalWeb"/>
        <w:spacing w:before="0" w:beforeAutospacing="0" w:after="0" w:afterAutospacing="0" w:line="360" w:lineRule="auto"/>
        <w:jc w:val="both"/>
        <w:rPr>
          <w:rFonts w:ascii="Palatino Linotype" w:hAnsi="Palatino Linotype"/>
          <w:sz w:val="22"/>
          <w:szCs w:val="22"/>
        </w:rPr>
      </w:pPr>
    </w:p>
    <w:p w14:paraId="56D0AB53"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Quinto. Versión Pública. </w:t>
      </w:r>
      <w:r w:rsidRPr="00EA52AE">
        <w:rPr>
          <w:rFonts w:ascii="Palatino Linotype" w:eastAsia="Palatino Linotype" w:hAnsi="Palatino Linotype" w:cs="Palatino Linotype"/>
          <w:sz w:val="22"/>
          <w:szCs w:val="22"/>
        </w:rPr>
        <w:t xml:space="preserve">Finalmente para la entrega del soporte documental que deberá proporcionar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E496CAA"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01DA839D"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lo que, el </w:t>
      </w:r>
      <w:r w:rsidRPr="00EA52AE">
        <w:rPr>
          <w:rFonts w:ascii="Palatino Linotype" w:eastAsia="Palatino Linotype" w:hAnsi="Palatino Linotype" w:cs="Palatino Linotype"/>
          <w:b/>
          <w:sz w:val="22"/>
          <w:szCs w:val="22"/>
        </w:rPr>
        <w:t xml:space="preserve">Sujeto Obligado </w:t>
      </w:r>
      <w:r w:rsidRPr="00EA52AE">
        <w:rPr>
          <w:rFonts w:ascii="Palatino Linotype" w:eastAsia="Palatino Linotype" w:hAnsi="Palatino Linotype" w:cs="Palatino Linotype"/>
          <w:sz w:val="22"/>
          <w:szCs w:val="22"/>
        </w:rPr>
        <w:t>deberá atender las precisiones indicadas en el considerando que antecede en lo relativo a los datos personales que son de carácter público y los que son confidenciales, así como los que en este apartado se analizarán.</w:t>
      </w:r>
    </w:p>
    <w:p w14:paraId="36F7C6F2"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p>
    <w:p w14:paraId="5A98127F" w14:textId="77777777" w:rsidR="00B910CA" w:rsidRPr="00EA52AE" w:rsidRDefault="00B910CA" w:rsidP="00B910CA">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70A8827"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Artículo 3</w:t>
      </w:r>
      <w:r w:rsidRPr="00EA52AE">
        <w:rPr>
          <w:rFonts w:ascii="Palatino Linotype" w:eastAsia="Palatino Linotype" w:hAnsi="Palatino Linotype" w:cs="Palatino Linotype"/>
          <w:i/>
          <w:sz w:val="22"/>
          <w:szCs w:val="22"/>
        </w:rPr>
        <w:t>. Para los efectos de la presente Ley se entenderá por:</w:t>
      </w:r>
    </w:p>
    <w:p w14:paraId="0A15F6DF"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07AC6D0E"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IX. Datos personales:</w:t>
      </w:r>
      <w:r w:rsidRPr="00EA52A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CE073B8"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lastRenderedPageBreak/>
        <w:t>XX. Información clasificada</w:t>
      </w:r>
      <w:r w:rsidRPr="00EA52AE">
        <w:rPr>
          <w:rFonts w:ascii="Palatino Linotype" w:eastAsia="Palatino Linotype" w:hAnsi="Palatino Linotype" w:cs="Palatino Linotype"/>
          <w:i/>
          <w:sz w:val="22"/>
          <w:szCs w:val="22"/>
        </w:rPr>
        <w:t>: Aquella considerada por la presente Ley como reservada o confidencial;</w:t>
      </w:r>
    </w:p>
    <w:p w14:paraId="49C45E8B"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XXI. Información confidencial:</w:t>
      </w:r>
      <w:r w:rsidRPr="00EA52A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D6BC85A"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XLV. Versión pública:</w:t>
      </w:r>
      <w:r w:rsidRPr="00EA52A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AF1CD9A"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296993E5"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 xml:space="preserve">Artículo 91. </w:t>
      </w:r>
      <w:r w:rsidRPr="00EA52A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25B70E9"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 xml:space="preserve">Artículo 132. </w:t>
      </w:r>
      <w:r w:rsidRPr="00EA52AE">
        <w:rPr>
          <w:rFonts w:ascii="Palatino Linotype" w:eastAsia="Palatino Linotype" w:hAnsi="Palatino Linotype" w:cs="Palatino Linotype"/>
          <w:i/>
          <w:sz w:val="22"/>
          <w:szCs w:val="22"/>
        </w:rPr>
        <w:t>La clasificación de la información se llevará a cabo en el momento en que:</w:t>
      </w:r>
    </w:p>
    <w:p w14:paraId="190787BE"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w:t>
      </w:r>
      <w:r w:rsidRPr="00EA52AE">
        <w:rPr>
          <w:rFonts w:ascii="Palatino Linotype" w:eastAsia="Palatino Linotype" w:hAnsi="Palatino Linotype" w:cs="Palatino Linotype"/>
          <w:i/>
          <w:sz w:val="22"/>
          <w:szCs w:val="22"/>
        </w:rPr>
        <w:t>. Se reciba una solicitud de acceso a la información;</w:t>
      </w:r>
    </w:p>
    <w:p w14:paraId="50EF497B"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w:t>
      </w:r>
      <w:r w:rsidRPr="00EA52AE">
        <w:rPr>
          <w:rFonts w:ascii="Palatino Linotype" w:eastAsia="Palatino Linotype" w:hAnsi="Palatino Linotype" w:cs="Palatino Linotype"/>
          <w:i/>
          <w:sz w:val="22"/>
          <w:szCs w:val="22"/>
        </w:rPr>
        <w:t>. Se determine mediante resolución de autoridad competente; o</w:t>
      </w:r>
    </w:p>
    <w:p w14:paraId="06E2DC23"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III</w:t>
      </w:r>
      <w:r w:rsidRPr="00EA52AE">
        <w:rPr>
          <w:rFonts w:ascii="Palatino Linotype" w:eastAsia="Palatino Linotype" w:hAnsi="Palatino Linotype" w:cs="Palatino Linotype"/>
          <w:i/>
          <w:sz w:val="22"/>
          <w:szCs w:val="22"/>
        </w:rPr>
        <w:t>. Se generen versiones públicas para dar cumplimiento a las obligaciones de transparencia previstas en esta Ley.</w:t>
      </w:r>
    </w:p>
    <w:p w14:paraId="4823E622"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244081C4"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Artículo 143</w:t>
      </w:r>
      <w:r w:rsidRPr="00EA52A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9BF06C1"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w:t>
      </w:r>
      <w:r w:rsidRPr="00EA52A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073100E"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w:t>
      </w:r>
      <w:r w:rsidRPr="00EA52A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93B98D1"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III</w:t>
      </w:r>
      <w:r w:rsidRPr="00EA52A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E625873"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DE81B67" w14:textId="77777777" w:rsidR="00B910CA" w:rsidRPr="00EA52AE" w:rsidRDefault="00B910CA" w:rsidP="00B910CA">
      <w:pPr>
        <w:spacing w:before="120" w:after="120"/>
        <w:ind w:left="567"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C702059"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5495DFAE"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4B2FEE4"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31E91ACA"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siendo estas las siguientes:</w:t>
      </w:r>
    </w:p>
    <w:p w14:paraId="56B5866E"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0CF31C01" w14:textId="77777777" w:rsidR="00B910CA" w:rsidRPr="00EA52AE" w:rsidRDefault="00B910CA" w:rsidP="00B910CA">
      <w:pPr>
        <w:spacing w:line="276" w:lineRule="auto"/>
        <w:ind w:lef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“CAPÍTULO VIII </w:t>
      </w:r>
    </w:p>
    <w:p w14:paraId="6586175F" w14:textId="77777777" w:rsidR="00B910CA" w:rsidRPr="00EA52AE" w:rsidRDefault="00B910CA" w:rsidP="00B910CA">
      <w:pPr>
        <w:spacing w:line="276" w:lineRule="auto"/>
        <w:ind w:left="567"/>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DE LOS ELEMENTOS PARA LA CLASIFICACIÓN </w:t>
      </w:r>
    </w:p>
    <w:p w14:paraId="643B7C83"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 xml:space="preserve">Quincuagésimo. </w:t>
      </w:r>
      <w:r w:rsidRPr="00EA52A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924A819"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 xml:space="preserve">Quincuagésimo primero. </w:t>
      </w:r>
      <w:r w:rsidRPr="00EA52AE">
        <w:rPr>
          <w:rFonts w:ascii="Palatino Linotype" w:eastAsia="Palatino Linotype" w:hAnsi="Palatino Linotype" w:cs="Palatino Linotype"/>
          <w:i/>
          <w:sz w:val="22"/>
          <w:szCs w:val="22"/>
        </w:rPr>
        <w:t xml:space="preserve">Toda acta del Comité de Transparencia deberá contener: </w:t>
      </w:r>
    </w:p>
    <w:p w14:paraId="6E51A03F"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 El número de sesión y fecha; </w:t>
      </w:r>
    </w:p>
    <w:p w14:paraId="4C7D7092"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II. El nombre del área que solicitó la clasificación de información; </w:t>
      </w:r>
    </w:p>
    <w:p w14:paraId="0354693C"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III. La fundamentación legal y motivación correspondiente; </w:t>
      </w:r>
    </w:p>
    <w:p w14:paraId="5855CE41"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IV. La resolución o resoluciones aprobadas; y </w:t>
      </w:r>
    </w:p>
    <w:p w14:paraId="6ED67AF0"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V. La rúbrica o firma digital de cada integrante del Comité de Transparencia. </w:t>
      </w:r>
    </w:p>
    <w:p w14:paraId="35374C8A"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p>
    <w:p w14:paraId="25800DA5"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u w:val="single"/>
        </w:rPr>
      </w:pPr>
      <w:r w:rsidRPr="00EA52AE">
        <w:rPr>
          <w:rFonts w:ascii="Palatino Linotype" w:eastAsia="Palatino Linotype" w:hAnsi="Palatino Linotype" w:cs="Palatino Linotype"/>
          <w:i/>
          <w:sz w:val="22"/>
          <w:szCs w:val="22"/>
        </w:rPr>
        <w:lastRenderedPageBreak/>
        <w:t xml:space="preserve">En los casos de resoluciones del Comité de Transparencia en las que se </w:t>
      </w:r>
      <w:r w:rsidRPr="00EA52A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3C983FAB"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Quincuagésimo segundo. </w:t>
      </w:r>
      <w:r w:rsidRPr="00EA52A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A52AE">
        <w:rPr>
          <w:rFonts w:ascii="Palatino Linotype" w:eastAsia="Palatino Linotype" w:hAnsi="Palatino Linotype" w:cs="Palatino Linotype"/>
          <w:b/>
          <w:i/>
          <w:sz w:val="22"/>
          <w:szCs w:val="22"/>
        </w:rPr>
        <w:t>confidencial,</w:t>
      </w:r>
      <w:r w:rsidRPr="00EA52A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7CF5CF6"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92E1B0A"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68D02805"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149C3C68"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III. Señalar las personas o instancias autorizadas a acceder a la información clasificada. </w:t>
      </w:r>
    </w:p>
    <w:p w14:paraId="48C62D89"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A52AE">
        <w:rPr>
          <w:rFonts w:ascii="Palatino Linotype" w:eastAsia="Palatino Linotype" w:hAnsi="Palatino Linotype" w:cs="Palatino Linotype"/>
          <w:b/>
          <w:i/>
          <w:sz w:val="22"/>
          <w:szCs w:val="22"/>
          <w:u w:val="single"/>
        </w:rPr>
        <w:t>información confidencial.</w:t>
      </w:r>
      <w:r w:rsidRPr="00EA52AE">
        <w:rPr>
          <w:rFonts w:ascii="Palatino Linotype" w:eastAsia="Palatino Linotype" w:hAnsi="Palatino Linotype" w:cs="Palatino Linotype"/>
          <w:i/>
          <w:sz w:val="22"/>
          <w:szCs w:val="22"/>
        </w:rPr>
        <w:t xml:space="preserve"> </w:t>
      </w:r>
    </w:p>
    <w:p w14:paraId="75CDACBE"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w:t>
      </w:r>
    </w:p>
    <w:p w14:paraId="6E68FC44" w14:textId="77777777" w:rsidR="00B910CA" w:rsidRPr="00EA52AE" w:rsidRDefault="00B910CA" w:rsidP="00B910CA">
      <w:pPr>
        <w:spacing w:line="276" w:lineRule="auto"/>
        <w:ind w:left="567" w:right="900"/>
        <w:jc w:val="both"/>
        <w:rPr>
          <w:rFonts w:ascii="Palatino Linotype" w:eastAsia="Palatino Linotype" w:hAnsi="Palatino Linotype" w:cs="Palatino Linotype"/>
          <w:b/>
          <w:i/>
          <w:sz w:val="22"/>
          <w:szCs w:val="22"/>
        </w:rPr>
      </w:pPr>
      <w:r w:rsidRPr="00EA52AE">
        <w:rPr>
          <w:rFonts w:ascii="Palatino Linotype" w:eastAsia="Palatino Linotype" w:hAnsi="Palatino Linotype" w:cs="Palatino Linotype"/>
          <w:b/>
          <w:i/>
          <w:sz w:val="22"/>
          <w:szCs w:val="22"/>
        </w:rPr>
        <w:t xml:space="preserve">Quincuagésimo cuarto. </w:t>
      </w:r>
      <w:r w:rsidRPr="00EA52AE">
        <w:rPr>
          <w:rFonts w:ascii="Palatino Linotype" w:eastAsia="Palatino Linotype" w:hAnsi="Palatino Linotype" w:cs="Palatino Linotype"/>
          <w:i/>
          <w:sz w:val="22"/>
          <w:szCs w:val="22"/>
        </w:rPr>
        <w:t xml:space="preserve">Cuando el Comité de Transparencia confirme la clasificación de documentos reservados y/o </w:t>
      </w:r>
      <w:r w:rsidRPr="00EA52AE">
        <w:rPr>
          <w:rFonts w:ascii="Palatino Linotype" w:eastAsia="Palatino Linotype" w:hAnsi="Palatino Linotype" w:cs="Palatino Linotype"/>
          <w:b/>
          <w:i/>
          <w:sz w:val="22"/>
          <w:szCs w:val="22"/>
        </w:rPr>
        <w:t>confidenciales</w:t>
      </w:r>
      <w:r w:rsidRPr="00EA52A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A52AE">
        <w:rPr>
          <w:rFonts w:ascii="Palatino Linotype" w:eastAsia="Palatino Linotype" w:hAnsi="Palatino Linotype" w:cs="Palatino Linotype"/>
          <w:b/>
          <w:i/>
          <w:sz w:val="22"/>
          <w:szCs w:val="22"/>
        </w:rPr>
        <w:t xml:space="preserve"> </w:t>
      </w:r>
    </w:p>
    <w:p w14:paraId="4CA2B7A9" w14:textId="77777777" w:rsidR="00B910CA" w:rsidRPr="00EA52AE" w:rsidRDefault="00B910CA" w:rsidP="00B910CA">
      <w:pPr>
        <w:spacing w:line="276" w:lineRule="auto"/>
        <w:ind w:left="567"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 xml:space="preserve">Quincuagésimo quinto. </w:t>
      </w:r>
      <w:r w:rsidRPr="00EA52AE">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w:t>
      </w:r>
      <w:r w:rsidRPr="00EA52AE">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(Énfasis añadido) </w:t>
      </w:r>
    </w:p>
    <w:p w14:paraId="196CAB1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78EC128D"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1390A7D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2F834C8E" w14:textId="77777777" w:rsidR="00B910CA" w:rsidRPr="00EA52AE" w:rsidRDefault="00B910CA" w:rsidP="00B910CA">
      <w:pPr>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w:t>
      </w:r>
      <w:r w:rsidRPr="00EA52AE">
        <w:rPr>
          <w:rFonts w:ascii="Palatino Linotype" w:eastAsia="Palatino Linotype" w:hAnsi="Palatino Linotype" w:cs="Palatino Linotype"/>
          <w:b/>
          <w:i/>
          <w:sz w:val="22"/>
          <w:szCs w:val="22"/>
        </w:rPr>
        <w:t>Quincuagésimo sexto.</w:t>
      </w:r>
      <w:r w:rsidRPr="00EA52AE">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B1CA393" w14:textId="77777777" w:rsidR="00B910CA" w:rsidRPr="00EA52AE" w:rsidRDefault="00B910CA" w:rsidP="00B910CA">
      <w:pPr>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Quincuagésimo séptimo.</w:t>
      </w:r>
      <w:r w:rsidRPr="00EA52A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4BC1CE2" w14:textId="77777777" w:rsidR="00B910CA" w:rsidRPr="00EA52AE" w:rsidRDefault="00B910CA" w:rsidP="00B910CA">
      <w:pPr>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w:t>
      </w:r>
      <w:r w:rsidRPr="00EA52A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FAD0C2D" w14:textId="77777777" w:rsidR="00B910CA" w:rsidRPr="00EA52AE" w:rsidRDefault="00B910CA" w:rsidP="00B910CA">
      <w:pPr>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w:t>
      </w:r>
      <w:r w:rsidRPr="00EA52AE">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5CB900C6" w14:textId="77777777" w:rsidR="00B910CA" w:rsidRPr="00EA52AE" w:rsidRDefault="00B910CA" w:rsidP="00B910CA">
      <w:pPr>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III.</w:t>
      </w:r>
      <w:r w:rsidRPr="00EA52A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405F9175" w14:textId="77777777" w:rsidR="00B910CA" w:rsidRPr="00EA52AE" w:rsidRDefault="00B910CA" w:rsidP="00B910CA">
      <w:pPr>
        <w:spacing w:line="276" w:lineRule="auto"/>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2D5C1411" w14:textId="77777777" w:rsidR="00B910CA" w:rsidRPr="00EA52AE" w:rsidRDefault="00B910CA" w:rsidP="00B910CA">
      <w:pPr>
        <w:spacing w:line="276" w:lineRule="auto"/>
        <w:ind w:left="851" w:right="902"/>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Quincuagésimo octavo</w:t>
      </w:r>
      <w:r w:rsidRPr="00EA52AE">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407A8C7E" w14:textId="77777777" w:rsidR="00B910CA" w:rsidRPr="00EA52AE" w:rsidRDefault="00B910CA" w:rsidP="00B910CA">
      <w:pPr>
        <w:spacing w:line="360" w:lineRule="auto"/>
        <w:ind w:left="851" w:right="902"/>
        <w:jc w:val="both"/>
        <w:rPr>
          <w:rFonts w:ascii="Palatino Linotype" w:eastAsia="Palatino Linotype" w:hAnsi="Palatino Linotype" w:cs="Palatino Linotype"/>
          <w:i/>
          <w:sz w:val="22"/>
          <w:szCs w:val="22"/>
        </w:rPr>
      </w:pPr>
    </w:p>
    <w:p w14:paraId="386CA01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w:t>
      </w:r>
      <w:r w:rsidRPr="00EA52AE">
        <w:rPr>
          <w:rFonts w:ascii="Palatino Linotype" w:eastAsia="Palatino Linotype" w:hAnsi="Palatino Linotype" w:cs="Palatino Linotype"/>
          <w:sz w:val="22"/>
          <w:szCs w:val="22"/>
        </w:rPr>
        <w:lastRenderedPageBreak/>
        <w:t>enunciativa más no limitativa, el número de cuenta bancaria, RFC que sean exclusivamente de particulares, entre otros.</w:t>
      </w:r>
    </w:p>
    <w:p w14:paraId="3A460518"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2B3E3DCA" w14:textId="77777777" w:rsidR="00B910CA" w:rsidRPr="00EA52AE" w:rsidRDefault="00826624"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R</w:t>
      </w:r>
      <w:r w:rsidR="00B910CA" w:rsidRPr="00EA52AE">
        <w:rPr>
          <w:rFonts w:ascii="Palatino Linotype" w:eastAsia="Palatino Linotype" w:hAnsi="Palatino Linotype" w:cs="Palatino Linotype"/>
          <w:sz w:val="22"/>
          <w:szCs w:val="22"/>
        </w:rPr>
        <w:t xml:space="preserve">esulta importante destacar que el </w:t>
      </w:r>
      <w:r w:rsidR="00B910CA" w:rsidRPr="00EA52AE">
        <w:rPr>
          <w:rFonts w:ascii="Palatino Linotype" w:eastAsia="Palatino Linotype" w:hAnsi="Palatino Linotype" w:cs="Palatino Linotype"/>
          <w:i/>
          <w:sz w:val="22"/>
          <w:szCs w:val="22"/>
        </w:rPr>
        <w:t>número de cuenta bancaria</w:t>
      </w:r>
      <w:r w:rsidR="00B910CA" w:rsidRPr="00EA52AE">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DD54095"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491B5192"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381525C8"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1E573809"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30D6499"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03D90552"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37ADD60F"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22F9CAED"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lastRenderedPageBreak/>
        <w:t>Es por esta razón que se debe omitir el o los números de cuentas bancarias de particulares en las versiones públicas que del contrato y la o las facturas se hagan, para ser entregadas.</w:t>
      </w:r>
    </w:p>
    <w:p w14:paraId="63EAB8E4"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3EC3F804" w14:textId="77777777" w:rsidR="00B910CA" w:rsidRPr="00EA52AE" w:rsidRDefault="00B910CA" w:rsidP="00B910CA">
      <w:pPr>
        <w:spacing w:line="360" w:lineRule="auto"/>
        <w:ind w:right="50"/>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7F0E8E96"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6C81083A"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2D257CF4" w14:textId="77777777" w:rsidR="00B910CA" w:rsidRPr="00EA52AE" w:rsidRDefault="00B910CA" w:rsidP="00B910CA">
      <w:pPr>
        <w:spacing w:line="360" w:lineRule="auto"/>
        <w:ind w:right="50"/>
        <w:jc w:val="both"/>
        <w:rPr>
          <w:rFonts w:ascii="Palatino Linotype" w:eastAsia="Palatino Linotype" w:hAnsi="Palatino Linotype" w:cs="Palatino Linotype"/>
          <w:sz w:val="22"/>
          <w:szCs w:val="22"/>
        </w:rPr>
      </w:pPr>
    </w:p>
    <w:p w14:paraId="12375511" w14:textId="77777777" w:rsidR="00B910CA" w:rsidRPr="00EA52AE" w:rsidRDefault="00B910CA" w:rsidP="00B910CA">
      <w:pPr>
        <w:spacing w:line="276" w:lineRule="auto"/>
        <w:ind w:left="851"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“Cuentas bancarias y/o CLABE interbancaria de personas físicas y morales privadas.</w:t>
      </w:r>
      <w:r w:rsidRPr="00EA52AE">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FC71808" w14:textId="77777777" w:rsidR="00B910CA" w:rsidRPr="00EA52AE" w:rsidRDefault="00B910CA" w:rsidP="00B910CA">
      <w:pPr>
        <w:spacing w:line="276" w:lineRule="auto"/>
        <w:ind w:left="851" w:right="900"/>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EA52AE">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3F1E736" w14:textId="77777777" w:rsidR="00B910CA" w:rsidRPr="00EA52AE" w:rsidRDefault="00B910CA" w:rsidP="00B910CA">
      <w:pPr>
        <w:spacing w:line="360" w:lineRule="auto"/>
        <w:ind w:right="900"/>
        <w:jc w:val="both"/>
        <w:rPr>
          <w:rFonts w:ascii="Palatino Linotype" w:eastAsia="Palatino Linotype" w:hAnsi="Palatino Linotype" w:cs="Palatino Linotype"/>
          <w:i/>
          <w:sz w:val="22"/>
          <w:szCs w:val="22"/>
        </w:rPr>
      </w:pPr>
    </w:p>
    <w:p w14:paraId="323FE9A5"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En el caso del </w:t>
      </w:r>
      <w:r w:rsidRPr="00EA52AE">
        <w:rPr>
          <w:rFonts w:ascii="Palatino Linotype" w:eastAsia="Palatino Linotype" w:hAnsi="Palatino Linotype" w:cs="Palatino Linotype"/>
          <w:b/>
          <w:sz w:val="22"/>
          <w:szCs w:val="22"/>
        </w:rPr>
        <w:t>folio fiscal</w:t>
      </w:r>
      <w:r w:rsidRPr="00EA52AE">
        <w:rPr>
          <w:rFonts w:ascii="Palatino Linotype" w:eastAsia="Palatino Linotype" w:hAnsi="Palatino Linotype" w:cs="Palatino Linotype"/>
          <w:sz w:val="22"/>
          <w:szCs w:val="22"/>
        </w:rPr>
        <w:t xml:space="preserve">, la </w:t>
      </w:r>
      <w:r w:rsidRPr="00EA52AE">
        <w:rPr>
          <w:rFonts w:ascii="Palatino Linotype" w:eastAsia="Palatino Linotype" w:hAnsi="Palatino Linotype" w:cs="Palatino Linotype"/>
          <w:b/>
          <w:sz w:val="22"/>
          <w:szCs w:val="22"/>
        </w:rPr>
        <w:t xml:space="preserve">cadena original, </w:t>
      </w:r>
      <w:r w:rsidRPr="00EA52AE">
        <w:rPr>
          <w:rFonts w:ascii="Palatino Linotype" w:eastAsia="Palatino Linotype" w:hAnsi="Palatino Linotype" w:cs="Palatino Linotype"/>
          <w:sz w:val="22"/>
          <w:szCs w:val="22"/>
        </w:rPr>
        <w:t>los</w:t>
      </w:r>
      <w:r w:rsidRPr="00EA52AE">
        <w:rPr>
          <w:rFonts w:ascii="Palatino Linotype" w:eastAsia="Palatino Linotype" w:hAnsi="Palatino Linotype" w:cs="Palatino Linotype"/>
          <w:b/>
          <w:sz w:val="22"/>
          <w:szCs w:val="22"/>
        </w:rPr>
        <w:t xml:space="preserve"> códigos bidimensionales o códigos QR,</w:t>
      </w:r>
      <w:r w:rsidRPr="00EA52AE">
        <w:rPr>
          <w:rFonts w:ascii="Palatino Linotype" w:eastAsia="Palatino Linotype" w:hAnsi="Palatino Linotype" w:cs="Palatino Linotype"/>
          <w:sz w:val="22"/>
          <w:szCs w:val="22"/>
        </w:rPr>
        <w:t xml:space="preserve"> y, en general, cualquier información de carácter fiscal,  pudiera contener un Comprobante Fiscal Digital por Internet, CFDI o bien, una factura  se debe hacer un análisis caso por caso, </w:t>
      </w:r>
      <w:r w:rsidRPr="00EA52AE">
        <w:rPr>
          <w:rFonts w:ascii="Palatino Linotype" w:eastAsia="Palatino Linotype" w:hAnsi="Palatino Linotype" w:cs="Palatino Linotype"/>
          <w:sz w:val="22"/>
          <w:szCs w:val="22"/>
        </w:rPr>
        <w:lastRenderedPageBreak/>
        <w:t>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58F32F6A"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046ED27F"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2A8E1593"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p>
    <w:p w14:paraId="27DE6E2A" w14:textId="77777777" w:rsidR="00B910CA" w:rsidRPr="00EA52AE" w:rsidRDefault="00B910CA" w:rsidP="00B910CA">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B34F8DB" w14:textId="77777777" w:rsidR="00B910CA" w:rsidRPr="00EA52AE" w:rsidRDefault="00B910CA">
      <w:pPr>
        <w:spacing w:line="360" w:lineRule="auto"/>
        <w:jc w:val="both"/>
        <w:rPr>
          <w:rFonts w:ascii="Palatino Linotype" w:eastAsia="Palatino Linotype" w:hAnsi="Palatino Linotype" w:cs="Palatino Linotype"/>
          <w:sz w:val="22"/>
          <w:szCs w:val="22"/>
        </w:rPr>
      </w:pPr>
    </w:p>
    <w:p w14:paraId="5A3BBADB"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w:t>
      </w:r>
      <w:r w:rsidRPr="00EA52AE">
        <w:rPr>
          <w:rFonts w:ascii="Palatino Linotype" w:eastAsia="Palatino Linotype" w:hAnsi="Palatino Linotype" w:cs="Palatino Linotype"/>
          <w:sz w:val="22"/>
          <w:szCs w:val="22"/>
        </w:rPr>
        <w:lastRenderedPageBreak/>
        <w:t>Soberano de México; 2, fracción II; 29, 36 fracciones I y II; 176, 178, 181, 185, fracción I, 186, fracción III, así como 188 de la Ley de Transparencia y Acceso a la Información Pública del Estado de México y Municipios, este Pleno:</w:t>
      </w:r>
    </w:p>
    <w:p w14:paraId="407C4078"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9C21E6C" w14:textId="77777777" w:rsidR="006E0202" w:rsidRPr="00EA52AE" w:rsidRDefault="00605A2F">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R E S U E L V E:</w:t>
      </w:r>
    </w:p>
    <w:p w14:paraId="2716057B" w14:textId="77777777" w:rsidR="006E0202" w:rsidRPr="00EA52AE" w:rsidRDefault="006E0202">
      <w:pPr>
        <w:spacing w:line="360" w:lineRule="auto"/>
        <w:jc w:val="both"/>
        <w:rPr>
          <w:rFonts w:ascii="Palatino Linotype" w:eastAsia="Palatino Linotype" w:hAnsi="Palatino Linotype" w:cs="Palatino Linotype"/>
          <w:b/>
          <w:sz w:val="22"/>
          <w:szCs w:val="22"/>
        </w:rPr>
      </w:pPr>
    </w:p>
    <w:p w14:paraId="12DCF6E9" w14:textId="77777777" w:rsidR="006E0202" w:rsidRPr="00EA52AE" w:rsidRDefault="00605A2F">
      <w:p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 xml:space="preserve">Primero. </w:t>
      </w:r>
      <w:r w:rsidRPr="00EA52AE">
        <w:rPr>
          <w:rFonts w:ascii="Palatino Linotype" w:eastAsia="Palatino Linotype" w:hAnsi="Palatino Linotype" w:cs="Palatino Linotype"/>
          <w:sz w:val="22"/>
          <w:szCs w:val="22"/>
        </w:rPr>
        <w:t>Resultan</w:t>
      </w:r>
      <w:r w:rsidR="00826624" w:rsidRPr="00EA52AE">
        <w:rPr>
          <w:rFonts w:ascii="Palatino Linotype" w:eastAsia="Palatino Linotype" w:hAnsi="Palatino Linotype" w:cs="Palatino Linotype"/>
          <w:sz w:val="22"/>
          <w:szCs w:val="22"/>
        </w:rPr>
        <w:t xml:space="preserve"> </w:t>
      </w:r>
      <w:r w:rsidR="00826624" w:rsidRPr="00EA52AE">
        <w:rPr>
          <w:rFonts w:ascii="Palatino Linotype" w:eastAsia="Palatino Linotype" w:hAnsi="Palatino Linotype" w:cs="Palatino Linotype"/>
          <w:b/>
          <w:sz w:val="22"/>
          <w:szCs w:val="22"/>
        </w:rPr>
        <w:t>parcialmente</w:t>
      </w:r>
      <w:r w:rsidRPr="00EA52AE">
        <w:rPr>
          <w:rFonts w:ascii="Palatino Linotype" w:eastAsia="Palatino Linotype" w:hAnsi="Palatino Linotype" w:cs="Palatino Linotype"/>
          <w:b/>
          <w:sz w:val="22"/>
          <w:szCs w:val="22"/>
        </w:rPr>
        <w:t xml:space="preserve"> fundados</w:t>
      </w:r>
      <w:r w:rsidRPr="00EA52AE">
        <w:rPr>
          <w:rFonts w:ascii="Palatino Linotype" w:eastAsia="Palatino Linotype" w:hAnsi="Palatino Linotype" w:cs="Palatino Linotype"/>
          <w:sz w:val="22"/>
          <w:szCs w:val="22"/>
        </w:rPr>
        <w:t xml:space="preserve"> los motivos de inconformidad hechos valer por la parte </w:t>
      </w:r>
      <w:r w:rsidRPr="00EA52AE">
        <w:rPr>
          <w:rFonts w:ascii="Palatino Linotype" w:eastAsia="Palatino Linotype" w:hAnsi="Palatino Linotype" w:cs="Palatino Linotype"/>
          <w:b/>
          <w:sz w:val="22"/>
          <w:szCs w:val="22"/>
        </w:rPr>
        <w:t xml:space="preserve">Recurrente </w:t>
      </w:r>
      <w:r w:rsidRPr="00EA52AE">
        <w:rPr>
          <w:rFonts w:ascii="Palatino Linotype" w:eastAsia="Palatino Linotype" w:hAnsi="Palatino Linotype" w:cs="Palatino Linotype"/>
          <w:sz w:val="22"/>
          <w:szCs w:val="22"/>
        </w:rPr>
        <w:t xml:space="preserve">en el recurso de revisión </w:t>
      </w:r>
      <w:r w:rsidRPr="00EA52AE">
        <w:rPr>
          <w:rFonts w:ascii="Palatino Linotype" w:eastAsia="Palatino Linotype" w:hAnsi="Palatino Linotype" w:cs="Palatino Linotype"/>
          <w:b/>
          <w:sz w:val="22"/>
          <w:szCs w:val="22"/>
        </w:rPr>
        <w:t>04</w:t>
      </w:r>
      <w:r w:rsidR="00826624" w:rsidRPr="00EA52AE">
        <w:rPr>
          <w:rFonts w:ascii="Palatino Linotype" w:eastAsia="Palatino Linotype" w:hAnsi="Palatino Linotype" w:cs="Palatino Linotype"/>
          <w:b/>
          <w:sz w:val="22"/>
          <w:szCs w:val="22"/>
        </w:rPr>
        <w:t>599</w:t>
      </w:r>
      <w:r w:rsidRPr="00EA52AE">
        <w:rPr>
          <w:rFonts w:ascii="Palatino Linotype" w:eastAsia="Palatino Linotype" w:hAnsi="Palatino Linotype" w:cs="Palatino Linotype"/>
          <w:b/>
          <w:sz w:val="22"/>
          <w:szCs w:val="22"/>
        </w:rPr>
        <w:t xml:space="preserve">/INFOEM/IP/RR/2024, </w:t>
      </w:r>
      <w:r w:rsidRPr="00EA52AE">
        <w:rPr>
          <w:rFonts w:ascii="Palatino Linotype" w:eastAsia="Palatino Linotype" w:hAnsi="Palatino Linotype" w:cs="Palatino Linotype"/>
          <w:sz w:val="22"/>
          <w:szCs w:val="22"/>
        </w:rPr>
        <w:t xml:space="preserve">por lo que, en términos del Considerando </w:t>
      </w:r>
      <w:r w:rsidRPr="00EA52AE">
        <w:rPr>
          <w:rFonts w:ascii="Palatino Linotype" w:eastAsia="Palatino Linotype" w:hAnsi="Palatino Linotype" w:cs="Palatino Linotype"/>
          <w:b/>
          <w:sz w:val="22"/>
          <w:szCs w:val="22"/>
        </w:rPr>
        <w:t>Cuarto</w:t>
      </w:r>
      <w:r w:rsidRPr="00EA52AE">
        <w:rPr>
          <w:rFonts w:ascii="Palatino Linotype" w:eastAsia="Palatino Linotype" w:hAnsi="Palatino Linotype" w:cs="Palatino Linotype"/>
          <w:sz w:val="22"/>
          <w:szCs w:val="22"/>
        </w:rPr>
        <w:t xml:space="preserve"> de la presente resolución, se</w:t>
      </w:r>
      <w:r w:rsidRPr="00EA52AE">
        <w:rPr>
          <w:rFonts w:ascii="Palatino Linotype" w:eastAsia="Palatino Linotype" w:hAnsi="Palatino Linotype" w:cs="Palatino Linotype"/>
          <w:b/>
          <w:sz w:val="22"/>
          <w:szCs w:val="22"/>
        </w:rPr>
        <w:t xml:space="preserve"> </w:t>
      </w:r>
      <w:r w:rsidR="00826624" w:rsidRPr="00EA52AE">
        <w:rPr>
          <w:rFonts w:ascii="Palatino Linotype" w:eastAsia="Palatino Linotype" w:hAnsi="Palatino Linotype" w:cs="Palatino Linotype"/>
          <w:b/>
          <w:sz w:val="22"/>
          <w:szCs w:val="22"/>
        </w:rPr>
        <w:t>Modifi</w:t>
      </w:r>
      <w:r w:rsidRPr="00EA52AE">
        <w:rPr>
          <w:rFonts w:ascii="Palatino Linotype" w:eastAsia="Palatino Linotype" w:hAnsi="Palatino Linotype" w:cs="Palatino Linotype"/>
          <w:b/>
          <w:sz w:val="22"/>
          <w:szCs w:val="22"/>
        </w:rPr>
        <w:t xml:space="preserve">ca </w:t>
      </w:r>
      <w:r w:rsidRPr="00EA52AE">
        <w:rPr>
          <w:rFonts w:ascii="Palatino Linotype" w:eastAsia="Palatino Linotype" w:hAnsi="Palatino Linotype" w:cs="Palatino Linotype"/>
          <w:sz w:val="22"/>
          <w:szCs w:val="22"/>
        </w:rPr>
        <w:t>la respuesta</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del </w:t>
      </w:r>
      <w:r w:rsidRPr="00EA52AE">
        <w:rPr>
          <w:rFonts w:ascii="Palatino Linotype" w:eastAsia="Palatino Linotype" w:hAnsi="Palatino Linotype" w:cs="Palatino Linotype"/>
          <w:b/>
          <w:sz w:val="22"/>
          <w:szCs w:val="22"/>
        </w:rPr>
        <w:t>Sujeto Obligado.</w:t>
      </w:r>
    </w:p>
    <w:p w14:paraId="41F8F71A" w14:textId="77777777" w:rsidR="006E0202" w:rsidRPr="00EA52AE" w:rsidRDefault="006E0202">
      <w:pPr>
        <w:spacing w:line="360" w:lineRule="auto"/>
        <w:jc w:val="both"/>
        <w:rPr>
          <w:rFonts w:ascii="Palatino Linotype" w:eastAsia="Palatino Linotype" w:hAnsi="Palatino Linotype" w:cs="Palatino Linotype"/>
          <w:b/>
          <w:sz w:val="22"/>
          <w:szCs w:val="22"/>
        </w:rPr>
      </w:pPr>
    </w:p>
    <w:p w14:paraId="072C6B9A" w14:textId="77777777" w:rsidR="006E0202" w:rsidRPr="00EA52AE" w:rsidRDefault="00605A2F">
      <w:pPr>
        <w:spacing w:line="360" w:lineRule="auto"/>
        <w:jc w:val="both"/>
        <w:rPr>
          <w:rFonts w:ascii="Palatino Linotype" w:eastAsia="Palatino Linotype" w:hAnsi="Palatino Linotype" w:cs="Palatino Linotype"/>
          <w:b/>
          <w:sz w:val="22"/>
          <w:szCs w:val="22"/>
        </w:rPr>
      </w:pPr>
      <w:bookmarkStart w:id="9" w:name="_heading=h.2et92p0" w:colFirst="0" w:colLast="0"/>
      <w:bookmarkEnd w:id="9"/>
      <w:r w:rsidRPr="00EA52AE">
        <w:rPr>
          <w:rFonts w:ascii="Palatino Linotype" w:eastAsia="Palatino Linotype" w:hAnsi="Palatino Linotype" w:cs="Palatino Linotype"/>
          <w:b/>
          <w:sz w:val="22"/>
          <w:szCs w:val="22"/>
        </w:rPr>
        <w:t xml:space="preserve">Segundo. </w:t>
      </w:r>
      <w:r w:rsidRPr="00EA52AE">
        <w:rPr>
          <w:rFonts w:ascii="Palatino Linotype" w:eastAsia="Palatino Linotype" w:hAnsi="Palatino Linotype" w:cs="Palatino Linotype"/>
          <w:sz w:val="22"/>
          <w:szCs w:val="22"/>
        </w:rPr>
        <w:t xml:space="preserve">Se </w:t>
      </w:r>
      <w:r w:rsidRPr="00EA52AE">
        <w:rPr>
          <w:rFonts w:ascii="Palatino Linotype" w:eastAsia="Palatino Linotype" w:hAnsi="Palatino Linotype" w:cs="Palatino Linotype"/>
          <w:b/>
          <w:sz w:val="22"/>
          <w:szCs w:val="22"/>
        </w:rPr>
        <w:t>Ordena</w:t>
      </w:r>
      <w:r w:rsidRPr="00EA52AE">
        <w:rPr>
          <w:rFonts w:ascii="Palatino Linotype" w:eastAsia="Palatino Linotype" w:hAnsi="Palatino Linotype" w:cs="Palatino Linotype"/>
          <w:sz w:val="22"/>
          <w:szCs w:val="22"/>
        </w:rPr>
        <w:t xml:space="preserve"> al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en términos de los Considerandos </w:t>
      </w:r>
      <w:r w:rsidRPr="00EA52AE">
        <w:rPr>
          <w:rFonts w:ascii="Palatino Linotype" w:eastAsia="Palatino Linotype" w:hAnsi="Palatino Linotype" w:cs="Palatino Linotype"/>
          <w:b/>
          <w:sz w:val="22"/>
          <w:szCs w:val="22"/>
        </w:rPr>
        <w:t xml:space="preserve">Cuarto y Quinto </w:t>
      </w:r>
      <w:r w:rsidRPr="00EA52AE">
        <w:rPr>
          <w:rFonts w:ascii="Palatino Linotype" w:eastAsia="Palatino Linotype" w:hAnsi="Palatino Linotype" w:cs="Palatino Linotype"/>
          <w:sz w:val="22"/>
          <w:szCs w:val="22"/>
        </w:rPr>
        <w:t xml:space="preserve">de esta resolución, </w:t>
      </w:r>
      <w:r w:rsidRPr="00EA52AE">
        <w:rPr>
          <w:rFonts w:ascii="Palatino Linotype" w:eastAsia="Palatino Linotype" w:hAnsi="Palatino Linotype" w:cs="Palatino Linotype"/>
          <w:b/>
          <w:sz w:val="22"/>
          <w:szCs w:val="22"/>
        </w:rPr>
        <w:t xml:space="preserve">haga entrega vía Sistema de Acceso a la Información Mexiquense (SAIMEX), </w:t>
      </w:r>
      <w:r w:rsidRPr="00EA52AE">
        <w:rPr>
          <w:rFonts w:ascii="Palatino Linotype" w:eastAsia="Palatino Linotype" w:hAnsi="Palatino Linotype" w:cs="Palatino Linotype"/>
          <w:sz w:val="22"/>
          <w:szCs w:val="22"/>
        </w:rPr>
        <w:t>previa búsqueda exhaustiva y razonable, de ser procedente en versión pública,</w:t>
      </w:r>
      <w:r w:rsidR="003B7409" w:rsidRPr="00EA52AE">
        <w:t xml:space="preserve"> </w:t>
      </w:r>
      <w:r w:rsidR="003B7409" w:rsidRPr="00EA52AE">
        <w:rPr>
          <w:rFonts w:ascii="Palatino Linotype" w:eastAsia="Palatino Linotype" w:hAnsi="Palatino Linotype" w:cs="Palatino Linotype"/>
          <w:b/>
          <w:sz w:val="22"/>
          <w:szCs w:val="22"/>
        </w:rPr>
        <w:t>preferentemente en formato PDF o en el que se hubiera generado</w:t>
      </w:r>
      <w:r w:rsidR="003B7409" w:rsidRPr="00EA52AE">
        <w:rPr>
          <w:rFonts w:ascii="Palatino Linotype" w:eastAsia="Palatino Linotype" w:hAnsi="Palatino Linotype" w:cs="Palatino Linotype"/>
          <w:sz w:val="22"/>
          <w:szCs w:val="22"/>
        </w:rPr>
        <w:t>,</w:t>
      </w:r>
      <w:r w:rsidR="003B7409" w:rsidRPr="00EA52AE">
        <w:rPr>
          <w:rFonts w:ascii="Palatino Linotype" w:eastAsia="Palatino Linotype" w:hAnsi="Palatino Linotype" w:cs="Palatino Linotype"/>
          <w:b/>
          <w:sz w:val="22"/>
          <w:szCs w:val="22"/>
        </w:rPr>
        <w:t xml:space="preserve"> </w:t>
      </w:r>
      <w:r w:rsidR="003B7409" w:rsidRPr="00EA52AE">
        <w:rPr>
          <w:rFonts w:ascii="Palatino Linotype" w:eastAsia="Palatino Linotype" w:hAnsi="Palatino Linotype" w:cs="Palatino Linotype"/>
          <w:sz w:val="22"/>
          <w:szCs w:val="22"/>
        </w:rPr>
        <w:t>lo</w:t>
      </w:r>
      <w:r w:rsidRPr="00EA52AE">
        <w:rPr>
          <w:rFonts w:ascii="Palatino Linotype" w:eastAsia="Palatino Linotype" w:hAnsi="Palatino Linotype" w:cs="Palatino Linotype"/>
          <w:sz w:val="22"/>
          <w:szCs w:val="22"/>
        </w:rPr>
        <w:t xml:space="preserve"> siguiente: </w:t>
      </w:r>
    </w:p>
    <w:p w14:paraId="4E28AD8A" w14:textId="77777777" w:rsidR="00826624" w:rsidRPr="00EA52AE" w:rsidRDefault="00826624">
      <w:pPr>
        <w:spacing w:line="360" w:lineRule="auto"/>
        <w:jc w:val="both"/>
        <w:rPr>
          <w:rFonts w:ascii="Palatino Linotype" w:eastAsia="Palatino Linotype" w:hAnsi="Palatino Linotype" w:cs="Palatino Linotype"/>
          <w:b/>
          <w:sz w:val="22"/>
          <w:szCs w:val="22"/>
        </w:rPr>
      </w:pPr>
    </w:p>
    <w:p w14:paraId="099662A0" w14:textId="77777777" w:rsidR="006E0202" w:rsidRPr="00EA52AE" w:rsidRDefault="00826624" w:rsidP="00826624">
      <w:pPr>
        <w:pStyle w:val="Prrafodelista"/>
        <w:numPr>
          <w:ilvl w:val="0"/>
          <w:numId w:val="12"/>
        </w:numPr>
        <w:spacing w:line="360" w:lineRule="auto"/>
        <w:jc w:val="both"/>
        <w:rPr>
          <w:rFonts w:ascii="Palatino Linotype" w:eastAsia="Palatino Linotype" w:hAnsi="Palatino Linotype" w:cs="Palatino Linotype"/>
          <w:b/>
          <w:sz w:val="22"/>
          <w:szCs w:val="22"/>
        </w:rPr>
      </w:pPr>
      <w:r w:rsidRPr="00EA52AE">
        <w:rPr>
          <w:rFonts w:ascii="Palatino Linotype" w:eastAsia="Palatino Linotype" w:hAnsi="Palatino Linotype" w:cs="Palatino Linotype"/>
          <w:b/>
          <w:sz w:val="22"/>
          <w:szCs w:val="22"/>
        </w:rPr>
        <w:t>Las fact</w:t>
      </w:r>
      <w:r w:rsidR="0029321E" w:rsidRPr="00EA52AE">
        <w:rPr>
          <w:rFonts w:ascii="Palatino Linotype" w:eastAsia="Palatino Linotype" w:hAnsi="Palatino Linotype" w:cs="Palatino Linotype"/>
          <w:b/>
          <w:sz w:val="22"/>
          <w:szCs w:val="22"/>
        </w:rPr>
        <w:t xml:space="preserve">uras o comprobantes, </w:t>
      </w:r>
      <w:r w:rsidR="00BA6C3C" w:rsidRPr="00EA52AE">
        <w:rPr>
          <w:rFonts w:ascii="Palatino Linotype" w:eastAsia="Palatino Linotype" w:hAnsi="Palatino Linotype" w:cs="Palatino Linotype"/>
          <w:b/>
          <w:sz w:val="22"/>
          <w:szCs w:val="22"/>
        </w:rPr>
        <w:t>con los que cuente al nueve de julio de dos mil veinticuatro,</w:t>
      </w:r>
      <w:r w:rsidR="0029321E"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b/>
          <w:sz w:val="22"/>
          <w:szCs w:val="22"/>
        </w:rPr>
        <w:t>por los gastos efectuados con motivo de la obra pública “Rehabilitación del Parque Público en la Localidad de San Rafael, Municipio de Tlalmanalco, Estado de México” inaugurad</w:t>
      </w:r>
      <w:r w:rsidR="00BA125B" w:rsidRPr="00EA52AE">
        <w:rPr>
          <w:rFonts w:ascii="Palatino Linotype" w:eastAsia="Palatino Linotype" w:hAnsi="Palatino Linotype" w:cs="Palatino Linotype"/>
          <w:b/>
          <w:sz w:val="22"/>
          <w:szCs w:val="22"/>
        </w:rPr>
        <w:t>o</w:t>
      </w:r>
      <w:r w:rsidRPr="00EA52AE">
        <w:rPr>
          <w:rFonts w:ascii="Palatino Linotype" w:eastAsia="Palatino Linotype" w:hAnsi="Palatino Linotype" w:cs="Palatino Linotype"/>
          <w:b/>
          <w:sz w:val="22"/>
          <w:szCs w:val="22"/>
        </w:rPr>
        <w:t xml:space="preserve"> el 6 de junio de 2024.</w:t>
      </w:r>
    </w:p>
    <w:p w14:paraId="69523F48" w14:textId="77777777" w:rsidR="0029321E" w:rsidRPr="00EA52AE" w:rsidRDefault="0029321E">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13529EFA" w14:textId="77777777" w:rsidR="006E0202" w:rsidRPr="00EA52AE" w:rsidRDefault="00605A2F">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EA52AE">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EA52AE">
        <w:rPr>
          <w:rFonts w:ascii="Palatino Linotype" w:eastAsia="Palatino Linotype" w:hAnsi="Palatino Linotype" w:cs="Palatino Linotype"/>
          <w:b/>
          <w:i/>
          <w:sz w:val="22"/>
          <w:szCs w:val="22"/>
        </w:rPr>
        <w:t>la parte Recurrente</w:t>
      </w:r>
      <w:r w:rsidRPr="00EA52AE">
        <w:rPr>
          <w:rFonts w:ascii="Palatino Linotype" w:eastAsia="Palatino Linotype" w:hAnsi="Palatino Linotype" w:cs="Palatino Linotype"/>
          <w:i/>
          <w:sz w:val="22"/>
          <w:szCs w:val="22"/>
        </w:rPr>
        <w:t>, mismo que igualmente hará de su conocimiento.</w:t>
      </w:r>
    </w:p>
    <w:p w14:paraId="63A98CEC" w14:textId="77777777" w:rsidR="006E0202" w:rsidRPr="00EA52AE" w:rsidRDefault="006E0202">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A902B19"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Tercero. Notifíquese, </w:t>
      </w:r>
      <w:r w:rsidRPr="00EA52AE">
        <w:rPr>
          <w:rFonts w:ascii="Palatino Linotype" w:eastAsia="Palatino Linotype" w:hAnsi="Palatino Linotype" w:cs="Palatino Linotype"/>
          <w:sz w:val="22"/>
          <w:szCs w:val="22"/>
        </w:rPr>
        <w:t xml:space="preserve">vía </w:t>
      </w:r>
      <w:r w:rsidRPr="00EA52AE">
        <w:rPr>
          <w:rFonts w:ascii="Palatino Linotype" w:eastAsia="Palatino Linotype" w:hAnsi="Palatino Linotype" w:cs="Palatino Linotype"/>
          <w:b/>
          <w:sz w:val="22"/>
          <w:szCs w:val="22"/>
        </w:rPr>
        <w:t>SAIMEX</w:t>
      </w:r>
      <w:r w:rsidRPr="00EA52AE">
        <w:rPr>
          <w:rFonts w:ascii="Palatino Linotype" w:eastAsia="Palatino Linotype" w:hAnsi="Palatino Linotype" w:cs="Palatino Linotype"/>
          <w:sz w:val="22"/>
          <w:szCs w:val="22"/>
        </w:rPr>
        <w:t xml:space="preserve">, al Titular de la Unidad de Transparencia del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D25778"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B7253F6" w14:textId="77777777" w:rsidR="006E0202" w:rsidRPr="00EA52AE" w:rsidRDefault="00605A2F">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Cuarto.</w:t>
      </w:r>
      <w:r w:rsidRPr="00EA52A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EA52AE">
        <w:rPr>
          <w:rFonts w:ascii="Palatino Linotype" w:eastAsia="Palatino Linotype" w:hAnsi="Palatino Linotype" w:cs="Palatino Linotype"/>
          <w:b/>
          <w:sz w:val="22"/>
          <w:szCs w:val="22"/>
        </w:rPr>
        <w:t>Sujeto Obligado</w:t>
      </w:r>
      <w:r w:rsidRPr="00EA52A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C0BD523" w14:textId="77777777" w:rsidR="006E0202" w:rsidRPr="00EA52AE" w:rsidRDefault="006E0202">
      <w:pPr>
        <w:spacing w:line="360" w:lineRule="auto"/>
        <w:ind w:right="49"/>
        <w:jc w:val="both"/>
        <w:rPr>
          <w:rFonts w:ascii="Palatino Linotype" w:eastAsia="Palatino Linotype" w:hAnsi="Palatino Linotype" w:cs="Palatino Linotype"/>
          <w:sz w:val="22"/>
          <w:szCs w:val="22"/>
        </w:rPr>
      </w:pPr>
    </w:p>
    <w:p w14:paraId="4CFC9893" w14:textId="77777777" w:rsidR="006E0202" w:rsidRPr="00EA52AE" w:rsidRDefault="00605A2F">
      <w:pPr>
        <w:spacing w:line="360" w:lineRule="auto"/>
        <w:ind w:right="49"/>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b/>
          <w:sz w:val="22"/>
          <w:szCs w:val="22"/>
        </w:rPr>
        <w:t xml:space="preserve">Quinto. Notifíquese </w:t>
      </w:r>
      <w:r w:rsidRPr="00EA52AE">
        <w:rPr>
          <w:rFonts w:ascii="Palatino Linotype" w:eastAsia="Palatino Linotype" w:hAnsi="Palatino Linotype" w:cs="Palatino Linotype"/>
          <w:sz w:val="22"/>
          <w:szCs w:val="22"/>
        </w:rPr>
        <w:t>vía SAIMEX</w:t>
      </w:r>
      <w:r w:rsidRPr="00EA52AE">
        <w:rPr>
          <w:rFonts w:ascii="Palatino Linotype" w:eastAsia="Palatino Linotype" w:hAnsi="Palatino Linotype" w:cs="Palatino Linotype"/>
          <w:b/>
          <w:sz w:val="22"/>
          <w:szCs w:val="22"/>
        </w:rPr>
        <w:t xml:space="preserve">, </w:t>
      </w:r>
      <w:r w:rsidRPr="00EA52AE">
        <w:rPr>
          <w:rFonts w:ascii="Palatino Linotype" w:eastAsia="Palatino Linotype" w:hAnsi="Palatino Linotype" w:cs="Palatino Linotype"/>
          <w:sz w:val="22"/>
          <w:szCs w:val="22"/>
        </w:rPr>
        <w:t xml:space="preserve">la presente resolución a la parte </w:t>
      </w:r>
      <w:r w:rsidRPr="00EA52AE">
        <w:rPr>
          <w:rFonts w:ascii="Palatino Linotype" w:eastAsia="Palatino Linotype" w:hAnsi="Palatino Linotype" w:cs="Palatino Linotype"/>
          <w:b/>
          <w:sz w:val="22"/>
          <w:szCs w:val="22"/>
        </w:rPr>
        <w:t>Recurrente</w:t>
      </w:r>
      <w:r w:rsidRPr="00EA52AE">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17618B8"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A9F1219" w14:textId="77777777" w:rsidR="006E0202" w:rsidRPr="00EA52AE" w:rsidRDefault="00605A2F">
      <w:pPr>
        <w:spacing w:line="360" w:lineRule="auto"/>
        <w:jc w:val="both"/>
        <w:rPr>
          <w:rFonts w:ascii="Palatino Linotype" w:eastAsia="Palatino Linotype" w:hAnsi="Palatino Linotype" w:cs="Palatino Linotype"/>
          <w:sz w:val="22"/>
          <w:szCs w:val="22"/>
        </w:rPr>
      </w:pPr>
      <w:r w:rsidRPr="00EA52A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EA52AE">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474963" w:rsidRPr="00EA52AE">
        <w:rPr>
          <w:rFonts w:ascii="Palatino Linotype" w:eastAsia="Palatino Linotype" w:hAnsi="Palatino Linotype" w:cs="Palatino Linotype"/>
          <w:sz w:val="22"/>
          <w:szCs w:val="22"/>
        </w:rPr>
        <w:t>TRIGÉSIMA CUARTA</w:t>
      </w:r>
      <w:r w:rsidRPr="00EA52AE">
        <w:rPr>
          <w:rFonts w:ascii="Palatino Linotype" w:eastAsia="Palatino Linotype" w:hAnsi="Palatino Linotype" w:cs="Palatino Linotype"/>
          <w:sz w:val="22"/>
          <w:szCs w:val="22"/>
        </w:rPr>
        <w:t xml:space="preserve"> SESIÓN ORDINARIA, CELEBRADA EL </w:t>
      </w:r>
      <w:r w:rsidR="00474963" w:rsidRPr="00EA52AE">
        <w:rPr>
          <w:rFonts w:ascii="Palatino Linotype" w:eastAsia="Palatino Linotype" w:hAnsi="Palatino Linotype" w:cs="Palatino Linotype"/>
          <w:sz w:val="22"/>
          <w:szCs w:val="22"/>
        </w:rPr>
        <w:t>VEINTICINCO DE SEPTIEMBRE</w:t>
      </w:r>
      <w:r w:rsidRPr="00EA52AE">
        <w:rPr>
          <w:rFonts w:ascii="Palatino Linotype" w:eastAsia="Palatino Linotype" w:hAnsi="Palatino Linotype" w:cs="Palatino Linotype"/>
          <w:sz w:val="22"/>
          <w:szCs w:val="22"/>
        </w:rPr>
        <w:t xml:space="preserve"> DE DOS MIL VEINTICUATRO, ANTE EL SECRETARIO TÉCNICO DEL PLENO ALEXIS TAPIA RAMÍREZ. </w:t>
      </w:r>
    </w:p>
    <w:p w14:paraId="43863F52" w14:textId="77777777" w:rsidR="006E0202" w:rsidRPr="00EA52AE" w:rsidRDefault="006E0202">
      <w:pPr>
        <w:rPr>
          <w:rFonts w:ascii="Palatino Linotype" w:eastAsia="Palatino Linotype" w:hAnsi="Palatino Linotype" w:cs="Palatino Linotype"/>
          <w:sz w:val="22"/>
          <w:szCs w:val="22"/>
        </w:rPr>
      </w:pPr>
      <w:bookmarkStart w:id="10" w:name="_heading=h.17dp8vu" w:colFirst="0" w:colLast="0"/>
      <w:bookmarkEnd w:id="10"/>
    </w:p>
    <w:p w14:paraId="1037F865" w14:textId="77777777" w:rsidR="006E0202" w:rsidRPr="00EA52AE" w:rsidRDefault="006E0202">
      <w:pPr>
        <w:rPr>
          <w:rFonts w:ascii="Palatino Linotype" w:eastAsia="Palatino Linotype" w:hAnsi="Palatino Linotype" w:cs="Palatino Linotype"/>
          <w:sz w:val="22"/>
          <w:szCs w:val="22"/>
        </w:rPr>
      </w:pPr>
    </w:p>
    <w:p w14:paraId="4E40F8BB" w14:textId="77777777" w:rsidR="006E0202" w:rsidRPr="00EA52AE" w:rsidRDefault="006E0202">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2D93070F"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C829E37"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9FCA708" w14:textId="77777777" w:rsidR="006E0202" w:rsidRPr="00EA52AE" w:rsidRDefault="006E0202">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2CA0ABE8"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AEFC07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4AB87A1D"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2318A4C"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1933E54"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8CB099C"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503C917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EA67739"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1338A77E"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F7E41D2"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9B00635"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60EAEEE7"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FDBF0FB"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23B89797"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7B9C3D7D"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3EFE91C"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15CEA506"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39DA674"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420790B9" w14:textId="77777777" w:rsidR="006E0202" w:rsidRPr="00EA52AE" w:rsidRDefault="006E0202">
      <w:pPr>
        <w:spacing w:line="360" w:lineRule="auto"/>
        <w:jc w:val="both"/>
        <w:rPr>
          <w:rFonts w:ascii="Palatino Linotype" w:eastAsia="Palatino Linotype" w:hAnsi="Palatino Linotype" w:cs="Palatino Linotype"/>
          <w:sz w:val="22"/>
          <w:szCs w:val="22"/>
        </w:rPr>
      </w:pPr>
    </w:p>
    <w:p w14:paraId="3747E838" w14:textId="77777777" w:rsidR="006E0202" w:rsidRPr="00EA52AE" w:rsidRDefault="006E0202">
      <w:pPr>
        <w:spacing w:line="360" w:lineRule="auto"/>
        <w:jc w:val="both"/>
        <w:rPr>
          <w:rFonts w:ascii="Palatino Linotype" w:eastAsia="Palatino Linotype" w:hAnsi="Palatino Linotype" w:cs="Palatino Linotype"/>
          <w:sz w:val="22"/>
          <w:szCs w:val="22"/>
        </w:rPr>
      </w:pPr>
    </w:p>
    <w:sectPr w:rsidR="006E0202" w:rsidRPr="00EA52AE">
      <w:headerReference w:type="default" r:id="rId23"/>
      <w:footerReference w:type="default" r:id="rId24"/>
      <w:headerReference w:type="first" r:id="rId25"/>
      <w:footerReference w:type="first" r:id="rId2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AFCF" w14:textId="77777777" w:rsidR="00F246F5" w:rsidRDefault="00F246F5">
      <w:r>
        <w:separator/>
      </w:r>
    </w:p>
  </w:endnote>
  <w:endnote w:type="continuationSeparator" w:id="0">
    <w:p w14:paraId="0074A69E" w14:textId="77777777" w:rsidR="00F246F5" w:rsidRDefault="00F2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6990" w14:textId="77777777" w:rsidR="00A11A84" w:rsidRDefault="00A11A8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A52AE">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A52AE">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678A7C85" w14:textId="77777777" w:rsidR="00A11A84" w:rsidRDefault="00A11A8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3BBE" w14:textId="77777777" w:rsidR="00A11A84" w:rsidRDefault="00A11A8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A52A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A52AE">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1537D9D8" w14:textId="77777777" w:rsidR="00A11A84" w:rsidRDefault="00A11A8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BBF9" w14:textId="77777777" w:rsidR="00F246F5" w:rsidRDefault="00F246F5">
      <w:r>
        <w:separator/>
      </w:r>
    </w:p>
  </w:footnote>
  <w:footnote w:type="continuationSeparator" w:id="0">
    <w:p w14:paraId="290659FD" w14:textId="77777777" w:rsidR="00F246F5" w:rsidRDefault="00F246F5">
      <w:r>
        <w:continuationSeparator/>
      </w:r>
    </w:p>
  </w:footnote>
  <w:footnote w:id="1">
    <w:p w14:paraId="736E6EED" w14:textId="77777777" w:rsidR="00A11A84" w:rsidRDefault="00A11A8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EA267B7" w14:textId="77777777" w:rsidR="00A11A84" w:rsidRDefault="00A11A8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771CDCA" w14:textId="77777777" w:rsidR="00A11A84" w:rsidRDefault="00A11A84" w:rsidP="00B910C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3F0B765" w14:textId="77777777" w:rsidR="00A11A84" w:rsidRDefault="00A11A84" w:rsidP="00B910C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4DF9" w14:textId="77777777" w:rsidR="00A11A84" w:rsidRDefault="00A11A84">
    <w:pPr>
      <w:rPr>
        <w:rFonts w:ascii="Cambria" w:eastAsia="Cambria" w:hAnsi="Cambria" w:cs="Cambria"/>
        <w:color w:val="000000"/>
      </w:rPr>
    </w:pPr>
    <w:r>
      <w:rPr>
        <w:noProof/>
      </w:rPr>
      <w:drawing>
        <wp:anchor distT="0" distB="0" distL="0" distR="0" simplePos="0" relativeHeight="251658240" behindDoc="1" locked="0" layoutInCell="1" hidden="0" allowOverlap="1" wp14:anchorId="1443EDCE" wp14:editId="0D06B535">
          <wp:simplePos x="0" y="0"/>
          <wp:positionH relativeFrom="column">
            <wp:posOffset>-1080111</wp:posOffset>
          </wp:positionH>
          <wp:positionV relativeFrom="paragraph">
            <wp:posOffset>-488286</wp:posOffset>
          </wp:positionV>
          <wp:extent cx="7809865" cy="1016571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A11A84" w14:paraId="5AED4160" w14:textId="77777777">
      <w:tc>
        <w:tcPr>
          <w:tcW w:w="2489" w:type="dxa"/>
          <w:shd w:val="clear" w:color="auto" w:fill="auto"/>
        </w:tcPr>
        <w:p w14:paraId="4FBD095F"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21D5908" w14:textId="77777777" w:rsidR="00A11A84" w:rsidRDefault="00A11A84" w:rsidP="0062381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04599/INFOEM/IP/RR/2024</w:t>
          </w:r>
        </w:p>
      </w:tc>
    </w:tr>
    <w:tr w:rsidR="00A11A84" w14:paraId="04D304BD" w14:textId="77777777">
      <w:trPr>
        <w:trHeight w:val="228"/>
      </w:trPr>
      <w:tc>
        <w:tcPr>
          <w:tcW w:w="2489" w:type="dxa"/>
          <w:shd w:val="clear" w:color="auto" w:fill="auto"/>
          <w:vAlign w:val="center"/>
        </w:tcPr>
        <w:p w14:paraId="5AF1E5ED"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D0E9E13" w14:textId="77777777" w:rsidR="00A11A84" w:rsidRDefault="00A11A84">
          <w:pPr>
            <w:ind w:left="-45" w:right="1586"/>
            <w:jc w:val="both"/>
            <w:rPr>
              <w:rFonts w:ascii="Palatino Linotype" w:eastAsia="Palatino Linotype" w:hAnsi="Palatino Linotype" w:cs="Palatino Linotype"/>
              <w:b/>
              <w:sz w:val="22"/>
              <w:szCs w:val="22"/>
            </w:rPr>
          </w:pPr>
          <w:r w:rsidRPr="0062381E">
            <w:rPr>
              <w:rFonts w:ascii="Palatino Linotype" w:eastAsia="Palatino Linotype" w:hAnsi="Palatino Linotype" w:cs="Palatino Linotype"/>
              <w:b/>
              <w:sz w:val="22"/>
              <w:szCs w:val="22"/>
            </w:rPr>
            <w:t>Ayuntamiento de Tlalmanalco</w:t>
          </w:r>
        </w:p>
      </w:tc>
    </w:tr>
    <w:tr w:rsidR="00A11A84" w14:paraId="35A3812C" w14:textId="77777777">
      <w:tc>
        <w:tcPr>
          <w:tcW w:w="2489" w:type="dxa"/>
          <w:shd w:val="clear" w:color="auto" w:fill="auto"/>
          <w:vAlign w:val="center"/>
        </w:tcPr>
        <w:p w14:paraId="2E69853A" w14:textId="77777777" w:rsidR="00A11A84" w:rsidRDefault="00A11A8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128CF40" w14:textId="77777777" w:rsidR="00A11A84" w:rsidRDefault="00A11A8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9F544B" w14:textId="77777777" w:rsidR="00A11A84" w:rsidRDefault="00A11A8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683" w14:textId="77777777" w:rsidR="00A11A84" w:rsidRDefault="00A11A8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5625CAA" wp14:editId="3989B841">
          <wp:simplePos x="0" y="0"/>
          <wp:positionH relativeFrom="column">
            <wp:posOffset>-1079489</wp:posOffset>
          </wp:positionH>
          <wp:positionV relativeFrom="paragraph">
            <wp:posOffset>-328919</wp:posOffset>
          </wp:positionV>
          <wp:extent cx="7809865" cy="10165715"/>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A11A84" w14:paraId="7F95E65D" w14:textId="77777777">
      <w:tc>
        <w:tcPr>
          <w:tcW w:w="2551" w:type="dxa"/>
          <w:shd w:val="clear" w:color="auto" w:fill="auto"/>
          <w:vAlign w:val="center"/>
        </w:tcPr>
        <w:p w14:paraId="57F6F620"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84D111A" w14:textId="77777777" w:rsidR="00A11A84" w:rsidRDefault="00A11A84" w:rsidP="0062381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04599/INFOEM/IP/RR/2024</w:t>
          </w:r>
        </w:p>
      </w:tc>
    </w:tr>
    <w:tr w:rsidR="00A11A84" w14:paraId="1C5500E1" w14:textId="77777777">
      <w:trPr>
        <w:trHeight w:val="130"/>
      </w:trPr>
      <w:tc>
        <w:tcPr>
          <w:tcW w:w="2551" w:type="dxa"/>
          <w:shd w:val="clear" w:color="auto" w:fill="auto"/>
          <w:vAlign w:val="center"/>
        </w:tcPr>
        <w:p w14:paraId="34B36869"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1B949E7" w14:textId="65920DC9" w:rsidR="00A11A84" w:rsidRDefault="00E23866">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w:t>
          </w:r>
        </w:p>
      </w:tc>
    </w:tr>
    <w:tr w:rsidR="00A11A84" w14:paraId="6A98F68A" w14:textId="77777777">
      <w:trPr>
        <w:trHeight w:val="228"/>
      </w:trPr>
      <w:tc>
        <w:tcPr>
          <w:tcW w:w="2551" w:type="dxa"/>
          <w:shd w:val="clear" w:color="auto" w:fill="auto"/>
          <w:vAlign w:val="center"/>
        </w:tcPr>
        <w:p w14:paraId="040F890A"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308FB2E" w14:textId="77777777" w:rsidR="00A11A84" w:rsidRDefault="00A11A84">
          <w:pPr>
            <w:ind w:left="-45" w:right="1586"/>
            <w:jc w:val="both"/>
            <w:rPr>
              <w:rFonts w:ascii="Palatino Linotype" w:eastAsia="Palatino Linotype" w:hAnsi="Palatino Linotype" w:cs="Palatino Linotype"/>
              <w:b/>
              <w:sz w:val="22"/>
              <w:szCs w:val="22"/>
            </w:rPr>
          </w:pPr>
          <w:r w:rsidRPr="0062381E">
            <w:rPr>
              <w:rFonts w:ascii="Palatino Linotype" w:eastAsia="Palatino Linotype" w:hAnsi="Palatino Linotype" w:cs="Palatino Linotype"/>
              <w:b/>
              <w:sz w:val="22"/>
              <w:szCs w:val="22"/>
            </w:rPr>
            <w:t>Ayuntamiento de Tlalmanalco</w:t>
          </w:r>
        </w:p>
      </w:tc>
    </w:tr>
    <w:tr w:rsidR="00A11A84" w14:paraId="57BC9FAF" w14:textId="77777777">
      <w:tc>
        <w:tcPr>
          <w:tcW w:w="2551" w:type="dxa"/>
          <w:shd w:val="clear" w:color="auto" w:fill="auto"/>
          <w:vAlign w:val="center"/>
        </w:tcPr>
        <w:p w14:paraId="0936FC61" w14:textId="77777777" w:rsidR="00A11A84" w:rsidRDefault="00A11A8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D7CCC76" w14:textId="77777777" w:rsidR="00A11A84" w:rsidRDefault="00A11A8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A46EE16" w14:textId="77777777" w:rsidR="00A11A84" w:rsidRDefault="00A11A84">
    <w:pPr>
      <w:pBdr>
        <w:top w:val="nil"/>
        <w:left w:val="nil"/>
        <w:bottom w:val="nil"/>
        <w:right w:val="nil"/>
        <w:between w:val="nil"/>
      </w:pBdr>
      <w:tabs>
        <w:tab w:val="center" w:pos="4252"/>
        <w:tab w:val="right" w:pos="8504"/>
      </w:tabs>
      <w:rPr>
        <w:rFonts w:ascii="Cambria" w:eastAsia="Cambria" w:hAnsi="Cambria" w:cs="Cambria"/>
        <w:color w:val="000000"/>
      </w:rPr>
    </w:pPr>
  </w:p>
  <w:p w14:paraId="0E28C951" w14:textId="77777777" w:rsidR="00A11A84" w:rsidRDefault="00A11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967BA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C25807"/>
    <w:multiLevelType w:val="multilevel"/>
    <w:tmpl w:val="A290ED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12A3151"/>
    <w:multiLevelType w:val="hybridMultilevel"/>
    <w:tmpl w:val="86B2EC56"/>
    <w:lvl w:ilvl="0" w:tplc="4A64588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6B5429"/>
    <w:multiLevelType w:val="multilevel"/>
    <w:tmpl w:val="EDFCA62A"/>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76664"/>
    <w:multiLevelType w:val="hybridMultilevel"/>
    <w:tmpl w:val="48FA0A76"/>
    <w:lvl w:ilvl="0" w:tplc="066C97DC">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20C64BC"/>
    <w:multiLevelType w:val="multilevel"/>
    <w:tmpl w:val="929E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CD82919"/>
    <w:multiLevelType w:val="multilevel"/>
    <w:tmpl w:val="AD1EE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497E59"/>
    <w:multiLevelType w:val="hybridMultilevel"/>
    <w:tmpl w:val="CFA0E64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4290DAE"/>
    <w:multiLevelType w:val="hybridMultilevel"/>
    <w:tmpl w:val="016AB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234B8"/>
    <w:multiLevelType w:val="multilevel"/>
    <w:tmpl w:val="45E4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E41237"/>
    <w:multiLevelType w:val="multilevel"/>
    <w:tmpl w:val="EA24F61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1E47C5"/>
    <w:multiLevelType w:val="multilevel"/>
    <w:tmpl w:val="27C2842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
  </w:num>
  <w:num w:numId="3">
    <w:abstractNumId w:val="11"/>
  </w:num>
  <w:num w:numId="4">
    <w:abstractNumId w:val="6"/>
  </w:num>
  <w:num w:numId="5">
    <w:abstractNumId w:val="10"/>
  </w:num>
  <w:num w:numId="6">
    <w:abstractNumId w:val="12"/>
  </w:num>
  <w:num w:numId="7">
    <w:abstractNumId w:val="2"/>
  </w:num>
  <w:num w:numId="8">
    <w:abstractNumId w:val="4"/>
  </w:num>
  <w:num w:numId="9">
    <w:abstractNumId w:val="3"/>
  </w:num>
  <w:num w:numId="10">
    <w:abstractNumId w:val="8"/>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02"/>
    <w:rsid w:val="00034D1E"/>
    <w:rsid w:val="0004662E"/>
    <w:rsid w:val="000478F9"/>
    <w:rsid w:val="00083BB0"/>
    <w:rsid w:val="000A2A86"/>
    <w:rsid w:val="000D2811"/>
    <w:rsid w:val="000F48E7"/>
    <w:rsid w:val="001505CE"/>
    <w:rsid w:val="001D655A"/>
    <w:rsid w:val="0029321E"/>
    <w:rsid w:val="002B5092"/>
    <w:rsid w:val="002E1551"/>
    <w:rsid w:val="00312726"/>
    <w:rsid w:val="00325F2E"/>
    <w:rsid w:val="00386193"/>
    <w:rsid w:val="003B3B2A"/>
    <w:rsid w:val="003B7409"/>
    <w:rsid w:val="003C1C34"/>
    <w:rsid w:val="003C7CE4"/>
    <w:rsid w:val="00474963"/>
    <w:rsid w:val="00482D31"/>
    <w:rsid w:val="004D6213"/>
    <w:rsid w:val="00500C89"/>
    <w:rsid w:val="005016EF"/>
    <w:rsid w:val="00532F94"/>
    <w:rsid w:val="0059089A"/>
    <w:rsid w:val="005D206B"/>
    <w:rsid w:val="005F1BE5"/>
    <w:rsid w:val="00605A2F"/>
    <w:rsid w:val="00613347"/>
    <w:rsid w:val="0062381E"/>
    <w:rsid w:val="006424C5"/>
    <w:rsid w:val="00657DFC"/>
    <w:rsid w:val="006765F1"/>
    <w:rsid w:val="006950C0"/>
    <w:rsid w:val="006B1B91"/>
    <w:rsid w:val="006E0202"/>
    <w:rsid w:val="006F0A52"/>
    <w:rsid w:val="006F53DA"/>
    <w:rsid w:val="006F74C6"/>
    <w:rsid w:val="007318B6"/>
    <w:rsid w:val="007A5C72"/>
    <w:rsid w:val="007B0543"/>
    <w:rsid w:val="007F0229"/>
    <w:rsid w:val="00826624"/>
    <w:rsid w:val="00886697"/>
    <w:rsid w:val="008963B4"/>
    <w:rsid w:val="008C7543"/>
    <w:rsid w:val="008D6E4A"/>
    <w:rsid w:val="00911F01"/>
    <w:rsid w:val="0092441A"/>
    <w:rsid w:val="00930D37"/>
    <w:rsid w:val="00932AC0"/>
    <w:rsid w:val="009A5B20"/>
    <w:rsid w:val="009B1525"/>
    <w:rsid w:val="00A1079C"/>
    <w:rsid w:val="00A11A84"/>
    <w:rsid w:val="00AC0A4A"/>
    <w:rsid w:val="00B37BA9"/>
    <w:rsid w:val="00B4407B"/>
    <w:rsid w:val="00B611BC"/>
    <w:rsid w:val="00B910CA"/>
    <w:rsid w:val="00BA125B"/>
    <w:rsid w:val="00BA6C3C"/>
    <w:rsid w:val="00BD2B59"/>
    <w:rsid w:val="00BD2CD8"/>
    <w:rsid w:val="00C05223"/>
    <w:rsid w:val="00C24FBD"/>
    <w:rsid w:val="00C40FA8"/>
    <w:rsid w:val="00C422BF"/>
    <w:rsid w:val="00CA3EA5"/>
    <w:rsid w:val="00CB16B9"/>
    <w:rsid w:val="00D31507"/>
    <w:rsid w:val="00DB44C8"/>
    <w:rsid w:val="00DE57C4"/>
    <w:rsid w:val="00E23866"/>
    <w:rsid w:val="00E31189"/>
    <w:rsid w:val="00E67D6D"/>
    <w:rsid w:val="00E9311B"/>
    <w:rsid w:val="00EA52AE"/>
    <w:rsid w:val="00EC753C"/>
    <w:rsid w:val="00EF49B2"/>
    <w:rsid w:val="00F23114"/>
    <w:rsid w:val="00F246F5"/>
    <w:rsid w:val="00F50E23"/>
    <w:rsid w:val="00F66DAA"/>
    <w:rsid w:val="00F82975"/>
    <w:rsid w:val="00F94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111"/>
  <w15:docId w15:val="{6B4390C8-20C4-4F85-86D9-3B7C184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187">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1334721245">
      <w:bodyDiv w:val="1"/>
      <w:marLeft w:val="0"/>
      <w:marRight w:val="0"/>
      <w:marTop w:val="0"/>
      <w:marBottom w:val="0"/>
      <w:divBdr>
        <w:top w:val="none" w:sz="0" w:space="0" w:color="auto"/>
        <w:left w:val="none" w:sz="0" w:space="0" w:color="auto"/>
        <w:bottom w:val="none" w:sz="0" w:space="0" w:color="auto"/>
        <w:right w:val="none" w:sz="0" w:space="0" w:color="auto"/>
      </w:divBdr>
    </w:div>
    <w:div w:id="140983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cion.edomex.gob.mx/sites/legislacion.edomex.gob.mx/files/files/pdf/gct/2016/dic021.pdf" TargetMode="External"/><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y9lisZDbnu4VpbU/VS76X4vSg==">CgMxLjAyCWguMWZvYjl0ZTIJaC40ZDM0b2c4MghoLmdqZGd4czIJaC4zZHk2dmttMgloLjMwajB6bGwyCWguMnM4ZXlvMTIIaC50eWpjd3QyCWguM3pueXNoNzIJaC4xeTgxMHR3MgloLjJldDkycDAyCWguMTdkcDh2dTIJaC4zcmRjcmpuMgloLjF0M2g1c2Y4AHIhMU9qdV9DOXdtaXdvV0Z4TVV0RFZLUWs2Z3B2N3ZJanNB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5F7F4C-1D38-48EC-8606-C891752A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14406</Words>
  <Characters>79237</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2024-09-27T18:54:00Z</cp:lastPrinted>
  <dcterms:created xsi:type="dcterms:W3CDTF">2024-10-07T16:29:00Z</dcterms:created>
  <dcterms:modified xsi:type="dcterms:W3CDTF">2024-10-07T16:29:00Z</dcterms:modified>
</cp:coreProperties>
</file>