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1211" w14:textId="141AC0B0" w:rsidR="00362EFA" w:rsidRPr="00FC5408" w:rsidRDefault="00362EFA" w:rsidP="00362EFA">
      <w:pPr>
        <w:spacing w:before="240" w:after="240" w:line="360" w:lineRule="auto"/>
        <w:jc w:val="both"/>
        <w:rPr>
          <w:rFonts w:ascii="Palatino Linotype" w:hAnsi="Palatino Linotype"/>
        </w:rPr>
      </w:pPr>
      <w:r w:rsidRPr="00FC540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FC5408" w:rsidRPr="00FC5408">
        <w:rPr>
          <w:rFonts w:ascii="Palatino Linotype" w:hAnsi="Palatino Linotype"/>
        </w:rPr>
        <w:t xml:space="preserve">fecha </w:t>
      </w:r>
      <w:r w:rsidR="008116F5">
        <w:rPr>
          <w:rFonts w:ascii="Palatino Linotype" w:hAnsi="Palatino Linotype"/>
          <w:b/>
        </w:rPr>
        <w:t>veintiocho</w:t>
      </w:r>
      <w:r w:rsidR="00FC5408" w:rsidRPr="00FC5408">
        <w:rPr>
          <w:rFonts w:ascii="Palatino Linotype" w:hAnsi="Palatino Linotype"/>
          <w:b/>
        </w:rPr>
        <w:t xml:space="preserve"> </w:t>
      </w:r>
      <w:r w:rsidRPr="00FC5408">
        <w:rPr>
          <w:rFonts w:ascii="Palatino Linotype" w:hAnsi="Palatino Linotype"/>
          <w:b/>
        </w:rPr>
        <w:t>(2</w:t>
      </w:r>
      <w:r w:rsidR="008116F5">
        <w:rPr>
          <w:rFonts w:ascii="Palatino Linotype" w:hAnsi="Palatino Linotype"/>
          <w:b/>
        </w:rPr>
        <w:t>8</w:t>
      </w:r>
      <w:r w:rsidRPr="00FC5408">
        <w:rPr>
          <w:rFonts w:ascii="Palatino Linotype" w:hAnsi="Palatino Linotype"/>
          <w:b/>
        </w:rPr>
        <w:t>) de febrero de dos mil veinticuatro</w:t>
      </w:r>
      <w:r w:rsidR="00FC5408" w:rsidRPr="00FC5408">
        <w:rPr>
          <w:rFonts w:ascii="Palatino Linotype" w:hAnsi="Palatino Linotype"/>
          <w:b/>
        </w:rPr>
        <w:t>.</w:t>
      </w:r>
    </w:p>
    <w:p w14:paraId="7DACE2F9" w14:textId="77777777" w:rsidR="00362EFA" w:rsidRDefault="00362EFA" w:rsidP="00362EFA">
      <w:pPr>
        <w:pStyle w:val="Encabezado"/>
        <w:spacing w:line="360" w:lineRule="auto"/>
        <w:jc w:val="both"/>
        <w:rPr>
          <w:rFonts w:ascii="Palatino Linotype" w:hAnsi="Palatino Linotype"/>
          <w:sz w:val="24"/>
          <w:szCs w:val="24"/>
        </w:rPr>
      </w:pPr>
      <w:r w:rsidRPr="00FC5408">
        <w:rPr>
          <w:rFonts w:ascii="Palatino Linotype" w:hAnsi="Palatino Linotype"/>
          <w:b/>
          <w:sz w:val="24"/>
          <w:szCs w:val="24"/>
        </w:rPr>
        <w:t>VISTO el</w:t>
      </w:r>
      <w:r w:rsidRPr="00FC5408">
        <w:rPr>
          <w:rFonts w:ascii="Palatino Linotype" w:hAnsi="Palatino Linotype"/>
          <w:sz w:val="24"/>
          <w:szCs w:val="24"/>
        </w:rPr>
        <w:t xml:space="preserve"> expediente electrónico formado con motivo del recurso de </w:t>
      </w:r>
      <w:proofErr w:type="gramStart"/>
      <w:r w:rsidRPr="00FC5408">
        <w:rPr>
          <w:rFonts w:ascii="Palatino Linotype" w:hAnsi="Palatino Linotype"/>
          <w:sz w:val="24"/>
          <w:szCs w:val="24"/>
        </w:rPr>
        <w:t xml:space="preserve">revisión </w:t>
      </w:r>
      <w:r w:rsidRPr="00FC5408">
        <w:rPr>
          <w:rFonts w:ascii="Palatino Linotype" w:hAnsi="Palatino Linotype" w:cs="Arial"/>
          <w:b/>
          <w:bCs/>
          <w:sz w:val="24"/>
          <w:szCs w:val="24"/>
        </w:rPr>
        <w:t xml:space="preserve"> 00468</w:t>
      </w:r>
      <w:proofErr w:type="gramEnd"/>
      <w:r w:rsidRPr="00FC5408">
        <w:rPr>
          <w:rFonts w:ascii="Palatino Linotype" w:hAnsi="Palatino Linotype" w:cs="Arial"/>
          <w:b/>
          <w:bCs/>
          <w:sz w:val="24"/>
          <w:szCs w:val="24"/>
        </w:rPr>
        <w:t xml:space="preserve">/INFOEM/IP/RR/2024, </w:t>
      </w:r>
      <w:r w:rsidRPr="00FC5408">
        <w:rPr>
          <w:rFonts w:ascii="Palatino Linotype" w:hAnsi="Palatino Linotype"/>
          <w:sz w:val="24"/>
          <w:szCs w:val="24"/>
        </w:rPr>
        <w:t xml:space="preserve">promovido por </w:t>
      </w:r>
      <w:r w:rsidRPr="00FC5408">
        <w:rPr>
          <w:rFonts w:ascii="Palatino Linotype" w:eastAsia="Calibri" w:hAnsi="Palatino Linotype" w:cs="Tahoma"/>
          <w:b/>
          <w:sz w:val="24"/>
          <w:szCs w:val="24"/>
        </w:rPr>
        <w:t xml:space="preserve">una persona que no proporciono datos de identificación </w:t>
      </w:r>
      <w:r w:rsidRPr="00FC5408">
        <w:rPr>
          <w:rFonts w:ascii="Palatino Linotype" w:eastAsia="Calibri" w:hAnsi="Palatino Linotype" w:cs="Tahoma"/>
          <w:sz w:val="24"/>
          <w:szCs w:val="24"/>
        </w:rPr>
        <w:t xml:space="preserve">a quien en adelante nos referiremos </w:t>
      </w:r>
      <w:r w:rsidRPr="00FC5408">
        <w:rPr>
          <w:rFonts w:ascii="Palatino Linotype" w:hAnsi="Palatino Linotype"/>
          <w:sz w:val="24"/>
          <w:szCs w:val="24"/>
        </w:rPr>
        <w:t xml:space="preserve"> como el </w:t>
      </w:r>
      <w:r w:rsidRPr="00FC5408">
        <w:rPr>
          <w:rFonts w:ascii="Palatino Linotype" w:hAnsi="Palatino Linotype"/>
          <w:b/>
          <w:sz w:val="24"/>
          <w:szCs w:val="24"/>
        </w:rPr>
        <w:t>RECURRENTE</w:t>
      </w:r>
      <w:r w:rsidRPr="00FC5408">
        <w:rPr>
          <w:rFonts w:ascii="Palatino Linotype" w:hAnsi="Palatino Linotype" w:cs="Arial"/>
          <w:sz w:val="24"/>
          <w:szCs w:val="24"/>
        </w:rPr>
        <w:t xml:space="preserve">, en contra de la falta de respuesta del </w:t>
      </w:r>
      <w:r w:rsidRPr="00FC5408">
        <w:rPr>
          <w:rFonts w:ascii="Palatino Linotype" w:eastAsia="Calibri" w:hAnsi="Palatino Linotype" w:cs="Arial"/>
          <w:b/>
          <w:bCs/>
          <w:sz w:val="24"/>
          <w:szCs w:val="24"/>
        </w:rPr>
        <w:t>Ayuntamiento de Jaltenco</w:t>
      </w:r>
      <w:r w:rsidRPr="00FC5408">
        <w:rPr>
          <w:rFonts w:ascii="Palatino Linotype" w:hAnsi="Palatino Linotype" w:cs="Arial"/>
          <w:sz w:val="24"/>
          <w:szCs w:val="24"/>
        </w:rPr>
        <w:t>,</w:t>
      </w:r>
      <w:r w:rsidRPr="00FC5408">
        <w:rPr>
          <w:rFonts w:ascii="Palatino Linotype" w:hAnsi="Palatino Linotype"/>
          <w:b/>
          <w:sz w:val="24"/>
          <w:szCs w:val="24"/>
        </w:rPr>
        <w:t xml:space="preserve"> </w:t>
      </w:r>
      <w:r w:rsidRPr="00FC5408">
        <w:rPr>
          <w:rFonts w:ascii="Palatino Linotype" w:hAnsi="Palatino Linotype"/>
          <w:sz w:val="24"/>
          <w:szCs w:val="24"/>
        </w:rPr>
        <w:t>en lo sucesivo el</w:t>
      </w:r>
      <w:r w:rsidRPr="00FC5408">
        <w:rPr>
          <w:rFonts w:ascii="Palatino Linotype" w:hAnsi="Palatino Linotype"/>
          <w:b/>
          <w:sz w:val="24"/>
          <w:szCs w:val="24"/>
        </w:rPr>
        <w:t xml:space="preserve"> SUJETO OBLIGADO, </w:t>
      </w:r>
      <w:r w:rsidRPr="00FC5408">
        <w:rPr>
          <w:rFonts w:ascii="Palatino Linotype" w:hAnsi="Palatino Linotype"/>
          <w:sz w:val="24"/>
          <w:szCs w:val="24"/>
        </w:rPr>
        <w:t xml:space="preserve">se procede a dictar la presente resolución, con base en los siguientes: </w:t>
      </w:r>
    </w:p>
    <w:p w14:paraId="7F32566C" w14:textId="77777777" w:rsidR="00FC5408" w:rsidRPr="00FC5408" w:rsidRDefault="00FC5408" w:rsidP="00362EFA">
      <w:pPr>
        <w:pStyle w:val="Encabezado"/>
        <w:spacing w:line="360" w:lineRule="auto"/>
        <w:jc w:val="both"/>
        <w:rPr>
          <w:rFonts w:ascii="Palatino Linotype" w:hAnsi="Palatino Linotype"/>
          <w:sz w:val="24"/>
          <w:szCs w:val="24"/>
        </w:rPr>
      </w:pPr>
    </w:p>
    <w:p w14:paraId="6C8C71A0" w14:textId="77777777" w:rsidR="00362EFA" w:rsidRPr="00FC5408" w:rsidRDefault="00362EFA" w:rsidP="00362EFA">
      <w:pPr>
        <w:pStyle w:val="Ttulo1"/>
        <w:jc w:val="center"/>
        <w:rPr>
          <w:rFonts w:ascii="Palatino Linotype" w:hAnsi="Palatino Linotype"/>
          <w:b/>
          <w:color w:val="auto"/>
          <w:sz w:val="24"/>
          <w:szCs w:val="24"/>
        </w:rPr>
      </w:pPr>
      <w:bookmarkStart w:id="0" w:name="_Toc87549671"/>
      <w:r w:rsidRPr="00FC5408">
        <w:rPr>
          <w:rFonts w:ascii="Palatino Linotype" w:hAnsi="Palatino Linotype"/>
          <w:b/>
          <w:color w:val="auto"/>
          <w:sz w:val="24"/>
          <w:szCs w:val="24"/>
        </w:rPr>
        <w:t>ANTECEDENTES</w:t>
      </w:r>
      <w:bookmarkEnd w:id="0"/>
    </w:p>
    <w:p w14:paraId="62EFFB0A" w14:textId="77777777" w:rsidR="00362EFA" w:rsidRPr="00FC5408" w:rsidRDefault="00362EFA" w:rsidP="00362EFA">
      <w:pPr>
        <w:rPr>
          <w:rFonts w:ascii="Palatino Linotype" w:hAnsi="Palatino Linotype"/>
          <w:lang w:eastAsia="en-US"/>
        </w:rPr>
      </w:pPr>
    </w:p>
    <w:p w14:paraId="2B7E8879" w14:textId="63781E97" w:rsidR="00362EFA" w:rsidRPr="00FC5408" w:rsidRDefault="00362EFA" w:rsidP="00362EFA">
      <w:pPr>
        <w:pStyle w:val="Prrafodelista"/>
        <w:numPr>
          <w:ilvl w:val="0"/>
          <w:numId w:val="29"/>
        </w:numPr>
        <w:suppressAutoHyphens w:val="0"/>
        <w:spacing w:line="360" w:lineRule="auto"/>
        <w:ind w:left="0" w:firstLine="0"/>
        <w:contextualSpacing/>
        <w:jc w:val="both"/>
        <w:rPr>
          <w:rFonts w:ascii="Palatino Linotype" w:hAnsi="Palatino Linotype" w:cs="Arial"/>
          <w:sz w:val="24"/>
          <w:szCs w:val="24"/>
        </w:rPr>
      </w:pPr>
      <w:r w:rsidRPr="00FC5408">
        <w:rPr>
          <w:rFonts w:ascii="Palatino Linotype" w:eastAsia="Calibri" w:hAnsi="Palatino Linotype" w:cs="Arial"/>
          <w:sz w:val="24"/>
          <w:szCs w:val="24"/>
        </w:rPr>
        <w:t xml:space="preserve">El </w:t>
      </w:r>
      <w:r w:rsidRPr="00FC5408">
        <w:rPr>
          <w:rFonts w:ascii="Palatino Linotype" w:eastAsia="Calibri" w:hAnsi="Palatino Linotype" w:cs="Arial"/>
          <w:b/>
          <w:sz w:val="24"/>
          <w:szCs w:val="24"/>
        </w:rPr>
        <w:t>once (11) de enero de dos mil veinticuatro</w:t>
      </w:r>
      <w:r w:rsidRPr="00FC5408">
        <w:rPr>
          <w:rFonts w:ascii="Palatino Linotype" w:eastAsia="Calibri" w:hAnsi="Palatino Linotype" w:cs="Arial"/>
          <w:sz w:val="24"/>
          <w:szCs w:val="24"/>
        </w:rPr>
        <w:t>,</w:t>
      </w:r>
      <w:r w:rsidRPr="00FC5408">
        <w:rPr>
          <w:rFonts w:ascii="Palatino Linotype" w:eastAsia="Calibri" w:hAnsi="Palatino Linotype"/>
          <w:sz w:val="24"/>
          <w:szCs w:val="24"/>
        </w:rPr>
        <w:t xml:space="preserve"> </w:t>
      </w:r>
      <w:r w:rsidRPr="00FC5408">
        <w:rPr>
          <w:rFonts w:ascii="Palatino Linotype" w:eastAsia="Calibri" w:hAnsi="Palatino Linotype"/>
          <w:b/>
          <w:sz w:val="24"/>
          <w:szCs w:val="24"/>
        </w:rPr>
        <w:t xml:space="preserve">EL RECURRENTE </w:t>
      </w:r>
      <w:r w:rsidRPr="00FC5408">
        <w:rPr>
          <w:rFonts w:ascii="Palatino Linotype" w:eastAsia="Calibri" w:hAnsi="Palatino Linotype"/>
          <w:bCs/>
          <w:sz w:val="24"/>
          <w:szCs w:val="24"/>
        </w:rPr>
        <w:t>presentó</w:t>
      </w:r>
      <w:r w:rsidRPr="00FC5408">
        <w:rPr>
          <w:rFonts w:ascii="Palatino Linotype" w:hAnsi="Palatino Linotype"/>
          <w:b/>
          <w:sz w:val="24"/>
          <w:szCs w:val="24"/>
        </w:rPr>
        <w:t>,</w:t>
      </w:r>
      <w:r w:rsidRPr="00FC5408">
        <w:rPr>
          <w:rFonts w:ascii="Palatino Linotype" w:eastAsia="Calibri" w:hAnsi="Palatino Linotype" w:cs="Arial"/>
          <w:sz w:val="24"/>
          <w:szCs w:val="24"/>
        </w:rPr>
        <w:t xml:space="preserve"> ante el </w:t>
      </w:r>
      <w:r w:rsidRPr="00FC5408">
        <w:rPr>
          <w:rFonts w:ascii="Palatino Linotype" w:eastAsia="Calibri" w:hAnsi="Palatino Linotype" w:cs="Arial"/>
          <w:b/>
          <w:sz w:val="24"/>
          <w:szCs w:val="24"/>
        </w:rPr>
        <w:t>SUJETO OBLIGADO</w:t>
      </w:r>
      <w:r w:rsidRPr="00FC5408">
        <w:rPr>
          <w:rFonts w:ascii="Palatino Linotype" w:eastAsia="Calibri" w:hAnsi="Palatino Linotype" w:cs="Arial"/>
          <w:sz w:val="24"/>
          <w:szCs w:val="24"/>
        </w:rPr>
        <w:t xml:space="preserve"> vía Sistema de Acceso a la Información Mexiquense (</w:t>
      </w:r>
      <w:r w:rsidRPr="00FC5408">
        <w:rPr>
          <w:rFonts w:ascii="Palatino Linotype" w:eastAsia="Calibri" w:hAnsi="Palatino Linotype" w:cs="Arial"/>
          <w:b/>
          <w:sz w:val="24"/>
          <w:szCs w:val="24"/>
        </w:rPr>
        <w:t>SAIMEX),</w:t>
      </w:r>
      <w:r w:rsidRPr="00FC5408">
        <w:rPr>
          <w:rFonts w:ascii="Palatino Linotype" w:eastAsia="Calibri" w:hAnsi="Palatino Linotype" w:cs="Arial"/>
          <w:sz w:val="24"/>
          <w:szCs w:val="24"/>
        </w:rPr>
        <w:t xml:space="preserve"> la solicitud de información pública registrada con el número </w:t>
      </w:r>
      <w:r w:rsidRPr="00FC5408">
        <w:rPr>
          <w:rFonts w:ascii="Palatino Linotype" w:eastAsia="Calibri" w:hAnsi="Palatino Linotype" w:cs="Arial"/>
          <w:b/>
          <w:sz w:val="24"/>
          <w:szCs w:val="24"/>
        </w:rPr>
        <w:t> </w:t>
      </w:r>
      <w:r w:rsidRPr="00FC5408">
        <w:rPr>
          <w:rFonts w:ascii="Palatino Linotype" w:eastAsia="Calibri" w:hAnsi="Palatino Linotype" w:cs="Arial"/>
          <w:b/>
          <w:bCs/>
          <w:sz w:val="24"/>
          <w:szCs w:val="24"/>
        </w:rPr>
        <w:t>  00003/JALTENCO/IP/2024</w:t>
      </w:r>
      <w:r w:rsidR="00FC5408">
        <w:rPr>
          <w:rFonts w:ascii="Palatino Linotype" w:eastAsia="Calibri" w:hAnsi="Palatino Linotype" w:cs="Arial"/>
          <w:b/>
          <w:bCs/>
          <w:sz w:val="24"/>
          <w:szCs w:val="24"/>
        </w:rPr>
        <w:t>,</w:t>
      </w:r>
      <w:r w:rsidRPr="00FC5408">
        <w:rPr>
          <w:rFonts w:ascii="Palatino Linotype" w:eastAsia="Calibri" w:hAnsi="Palatino Linotype" w:cs="Arial"/>
          <w:b/>
          <w:bCs/>
          <w:sz w:val="24"/>
          <w:szCs w:val="24"/>
        </w:rPr>
        <w:t xml:space="preserve"> </w:t>
      </w:r>
      <w:r w:rsidR="00FC5408">
        <w:rPr>
          <w:rFonts w:ascii="Palatino Linotype" w:eastAsia="Calibri" w:hAnsi="Palatino Linotype" w:cs="Arial"/>
          <w:sz w:val="24"/>
          <w:szCs w:val="24"/>
        </w:rPr>
        <w:t>en la que</w:t>
      </w:r>
      <w:r w:rsidRPr="00FC5408">
        <w:rPr>
          <w:rFonts w:ascii="Palatino Linotype" w:eastAsia="Calibri" w:hAnsi="Palatino Linotype" w:cs="Arial"/>
          <w:sz w:val="24"/>
          <w:szCs w:val="24"/>
        </w:rPr>
        <w:t xml:space="preserve"> solicitó lo siguiente:</w:t>
      </w:r>
    </w:p>
    <w:p w14:paraId="30465BA1" w14:textId="77777777" w:rsidR="00362EFA" w:rsidRPr="00FC5408" w:rsidRDefault="00362EFA" w:rsidP="00362EFA">
      <w:pPr>
        <w:ind w:right="-28"/>
        <w:jc w:val="center"/>
        <w:rPr>
          <w:rFonts w:ascii="Palatino Linotype" w:eastAsia="Calibri" w:hAnsi="Palatino Linotype" w:cs="Arial"/>
          <w:i/>
          <w:lang w:val="es-ES"/>
        </w:rPr>
      </w:pPr>
    </w:p>
    <w:p w14:paraId="163608E1" w14:textId="77777777" w:rsidR="00362EFA" w:rsidRPr="00FC5408" w:rsidRDefault="00362EFA" w:rsidP="00362EFA">
      <w:pPr>
        <w:ind w:left="426" w:right="255"/>
        <w:jc w:val="both"/>
        <w:rPr>
          <w:rFonts w:ascii="Palatino Linotype" w:eastAsia="Calibri" w:hAnsi="Palatino Linotype" w:cs="Arial"/>
          <w:i/>
          <w:lang w:val="es-ES"/>
        </w:rPr>
      </w:pPr>
      <w:r w:rsidRPr="00FC5408">
        <w:rPr>
          <w:rFonts w:ascii="Palatino Linotype" w:eastAsia="Calibri" w:hAnsi="Palatino Linotype" w:cs="Arial"/>
          <w:i/>
          <w:lang w:val="es-ES"/>
        </w:rPr>
        <w:t>“</w:t>
      </w:r>
      <w:r w:rsidRPr="00FC5408">
        <w:rPr>
          <w:rFonts w:ascii="Palatino Linotype" w:eastAsia="Calibri" w:hAnsi="Palatino Linotype" w:cs="Arial"/>
          <w:i/>
          <w:lang w:val="es-ES"/>
        </w:rPr>
        <w:tab/>
        <w:t xml:space="preserve">Solicito del Personal del Ayuntamiento lo siguiente: 1.- Recibos de </w:t>
      </w:r>
      <w:proofErr w:type="spellStart"/>
      <w:r w:rsidRPr="00FC5408">
        <w:rPr>
          <w:rFonts w:ascii="Palatino Linotype" w:eastAsia="Calibri" w:hAnsi="Palatino Linotype" w:cs="Arial"/>
          <w:i/>
          <w:lang w:val="es-ES"/>
        </w:rPr>
        <w:t>nomina</w:t>
      </w:r>
      <w:proofErr w:type="spellEnd"/>
      <w:r w:rsidRPr="00FC5408">
        <w:rPr>
          <w:rFonts w:ascii="Palatino Linotype" w:eastAsia="Calibri" w:hAnsi="Palatino Linotype" w:cs="Arial"/>
          <w:i/>
          <w:lang w:val="es-ES"/>
        </w:rPr>
        <w:t xml:space="preserve"> del Ayuntamiento de las 2 quincenas de diciembre 2023 2.- El pago de aguinaldo y prestaciones del 2023 3.- </w:t>
      </w:r>
      <w:proofErr w:type="spellStart"/>
      <w:r w:rsidRPr="00FC5408">
        <w:rPr>
          <w:rFonts w:ascii="Palatino Linotype" w:eastAsia="Calibri" w:hAnsi="Palatino Linotype" w:cs="Arial"/>
          <w:i/>
          <w:lang w:val="es-ES"/>
        </w:rPr>
        <w:t>Relacion</w:t>
      </w:r>
      <w:proofErr w:type="spellEnd"/>
      <w:r w:rsidRPr="00FC5408">
        <w:rPr>
          <w:rFonts w:ascii="Palatino Linotype" w:eastAsia="Calibri" w:hAnsi="Palatino Linotype" w:cs="Arial"/>
          <w:i/>
          <w:lang w:val="es-ES"/>
        </w:rPr>
        <w:t xml:space="preserve"> y montos de personal que se le pague mediante cheque u raya, u otro medio diferente al pago </w:t>
      </w:r>
      <w:proofErr w:type="spellStart"/>
      <w:r w:rsidRPr="00FC5408">
        <w:rPr>
          <w:rFonts w:ascii="Palatino Linotype" w:eastAsia="Calibri" w:hAnsi="Palatino Linotype" w:cs="Arial"/>
          <w:i/>
          <w:lang w:val="es-ES"/>
        </w:rPr>
        <w:t>via</w:t>
      </w:r>
      <w:proofErr w:type="spellEnd"/>
      <w:r w:rsidRPr="00FC5408">
        <w:rPr>
          <w:rFonts w:ascii="Palatino Linotype" w:eastAsia="Calibri" w:hAnsi="Palatino Linotype" w:cs="Arial"/>
          <w:i/>
          <w:lang w:val="es-ES"/>
        </w:rPr>
        <w:t xml:space="preserve"> nomina 4.- </w:t>
      </w:r>
      <w:proofErr w:type="spellStart"/>
      <w:r w:rsidRPr="00FC5408">
        <w:rPr>
          <w:rFonts w:ascii="Palatino Linotype" w:eastAsia="Calibri" w:hAnsi="Palatino Linotype" w:cs="Arial"/>
          <w:i/>
          <w:lang w:val="es-ES"/>
        </w:rPr>
        <w:t>Poliza</w:t>
      </w:r>
      <w:proofErr w:type="spellEnd"/>
      <w:r w:rsidRPr="00FC5408">
        <w:rPr>
          <w:rFonts w:ascii="Palatino Linotype" w:eastAsia="Calibri" w:hAnsi="Palatino Linotype" w:cs="Arial"/>
          <w:i/>
          <w:lang w:val="es-ES"/>
        </w:rPr>
        <w:t xml:space="preserve"> de pago de </w:t>
      </w:r>
      <w:proofErr w:type="spellStart"/>
      <w:r w:rsidRPr="00FC5408">
        <w:rPr>
          <w:rFonts w:ascii="Palatino Linotype" w:eastAsia="Calibri" w:hAnsi="Palatino Linotype" w:cs="Arial"/>
          <w:i/>
          <w:lang w:val="es-ES"/>
        </w:rPr>
        <w:t>nomina</w:t>
      </w:r>
      <w:proofErr w:type="spellEnd"/>
      <w:r w:rsidRPr="00FC5408">
        <w:rPr>
          <w:rFonts w:ascii="Palatino Linotype" w:eastAsia="Calibri" w:hAnsi="Palatino Linotype" w:cs="Arial"/>
          <w:i/>
          <w:lang w:val="es-ES"/>
        </w:rPr>
        <w:t xml:space="preserve"> de diciembre y aguinaldo que incluya la dispersión de los pagos </w:t>
      </w:r>
      <w:proofErr w:type="spellStart"/>
      <w:r w:rsidRPr="00FC5408">
        <w:rPr>
          <w:rFonts w:ascii="Palatino Linotype" w:eastAsia="Calibri" w:hAnsi="Palatino Linotype" w:cs="Arial"/>
          <w:i/>
          <w:lang w:val="es-ES"/>
        </w:rPr>
        <w:t>via</w:t>
      </w:r>
      <w:proofErr w:type="spellEnd"/>
      <w:r w:rsidRPr="00FC5408">
        <w:rPr>
          <w:rFonts w:ascii="Palatino Linotype" w:eastAsia="Calibri" w:hAnsi="Palatino Linotype" w:cs="Arial"/>
          <w:i/>
          <w:lang w:val="es-ES"/>
        </w:rPr>
        <w:t xml:space="preserve"> nomina”</w:t>
      </w:r>
    </w:p>
    <w:p w14:paraId="31FF6DF7" w14:textId="77777777" w:rsidR="00362EFA" w:rsidRPr="00FC5408" w:rsidRDefault="00362EFA" w:rsidP="00362EFA">
      <w:pPr>
        <w:ind w:right="567"/>
        <w:jc w:val="both"/>
        <w:rPr>
          <w:rFonts w:ascii="Palatino Linotype" w:eastAsia="Calibri" w:hAnsi="Palatino Linotype" w:cs="Arial"/>
          <w:i/>
          <w:lang w:val="es-ES"/>
        </w:rPr>
      </w:pPr>
    </w:p>
    <w:p w14:paraId="2F2A687C" w14:textId="77777777" w:rsidR="00362EFA" w:rsidRPr="00FC5408" w:rsidRDefault="00362EFA" w:rsidP="00362EFA">
      <w:pPr>
        <w:pStyle w:val="Prrafodelista"/>
        <w:numPr>
          <w:ilvl w:val="0"/>
          <w:numId w:val="29"/>
        </w:numPr>
        <w:suppressAutoHyphens w:val="0"/>
        <w:spacing w:before="240" w:after="240" w:line="360" w:lineRule="auto"/>
        <w:ind w:left="0" w:firstLine="0"/>
        <w:contextualSpacing/>
        <w:jc w:val="both"/>
        <w:rPr>
          <w:rFonts w:ascii="Palatino Linotype" w:hAnsi="Palatino Linotype"/>
          <w:i/>
          <w:color w:val="000000"/>
          <w:sz w:val="24"/>
          <w:szCs w:val="24"/>
        </w:rPr>
      </w:pPr>
      <w:r w:rsidRPr="00FC5408">
        <w:rPr>
          <w:rFonts w:ascii="Palatino Linotype" w:hAnsi="Palatino Linotype" w:cs="Arial"/>
          <w:sz w:val="24"/>
          <w:szCs w:val="24"/>
        </w:rPr>
        <w:t xml:space="preserve">Señaló como modalidad de entrega de la información a través del </w:t>
      </w:r>
      <w:r w:rsidRPr="00FC5408">
        <w:rPr>
          <w:rFonts w:ascii="Palatino Linotype" w:hAnsi="Palatino Linotype" w:cs="Arial"/>
          <w:b/>
          <w:sz w:val="24"/>
          <w:szCs w:val="24"/>
        </w:rPr>
        <w:t>SAIMEX,</w:t>
      </w:r>
      <w:r w:rsidRPr="00FC5408">
        <w:rPr>
          <w:rFonts w:ascii="Palatino Linotype" w:hAnsi="Palatino Linotype" w:cs="Arial"/>
          <w:sz w:val="24"/>
          <w:szCs w:val="24"/>
        </w:rPr>
        <w:t xml:space="preserve"> no obstante, e</w:t>
      </w:r>
      <w:r w:rsidRPr="00FC5408">
        <w:rPr>
          <w:rFonts w:ascii="Palatino Linotype" w:eastAsia="Calibri" w:hAnsi="Palatino Linotype"/>
          <w:sz w:val="24"/>
          <w:szCs w:val="24"/>
        </w:rPr>
        <w:t>l</w:t>
      </w:r>
      <w:r w:rsidRPr="00FC5408">
        <w:rPr>
          <w:rFonts w:ascii="Palatino Linotype" w:eastAsia="Calibri" w:hAnsi="Palatino Linotype"/>
          <w:b/>
          <w:sz w:val="24"/>
          <w:szCs w:val="24"/>
        </w:rPr>
        <w:t xml:space="preserve"> SUJETO OBLIGADO</w:t>
      </w:r>
      <w:r w:rsidRPr="00FC5408">
        <w:rPr>
          <w:rFonts w:ascii="Palatino Linotype" w:eastAsia="Calibri" w:hAnsi="Palatino Linotype"/>
          <w:sz w:val="24"/>
          <w:szCs w:val="24"/>
        </w:rPr>
        <w:t xml:space="preserve"> no emitió respuesta a la solicitud.</w:t>
      </w:r>
    </w:p>
    <w:p w14:paraId="08F72907" w14:textId="77777777" w:rsidR="00362EFA" w:rsidRPr="00FC5408" w:rsidRDefault="00362EFA" w:rsidP="00362EFA">
      <w:pPr>
        <w:pStyle w:val="Prrafodelista"/>
        <w:spacing w:before="240" w:after="240" w:line="360" w:lineRule="auto"/>
        <w:ind w:left="0"/>
        <w:jc w:val="both"/>
        <w:rPr>
          <w:rFonts w:ascii="Palatino Linotype" w:hAnsi="Palatino Linotype"/>
          <w:i/>
          <w:color w:val="000000"/>
          <w:sz w:val="24"/>
          <w:szCs w:val="24"/>
        </w:rPr>
      </w:pPr>
    </w:p>
    <w:p w14:paraId="0CEDAC11" w14:textId="77777777" w:rsidR="00362EFA" w:rsidRPr="00FC5408" w:rsidRDefault="00362EFA" w:rsidP="00362EFA">
      <w:pPr>
        <w:pStyle w:val="Prrafodelista"/>
        <w:numPr>
          <w:ilvl w:val="0"/>
          <w:numId w:val="29"/>
        </w:numPr>
        <w:suppressAutoHyphens w:val="0"/>
        <w:spacing w:before="240" w:after="240" w:line="360" w:lineRule="auto"/>
        <w:ind w:left="0" w:firstLine="0"/>
        <w:contextualSpacing/>
        <w:jc w:val="both"/>
        <w:rPr>
          <w:rFonts w:ascii="Palatino Linotype" w:hAnsi="Palatino Linotype" w:cs="Arial"/>
          <w:i/>
          <w:sz w:val="24"/>
          <w:szCs w:val="24"/>
        </w:rPr>
      </w:pPr>
      <w:proofErr w:type="gramStart"/>
      <w:r w:rsidRPr="00FC5408">
        <w:rPr>
          <w:rFonts w:ascii="Palatino Linotype" w:eastAsia="Calibri" w:hAnsi="Palatino Linotype" w:cs="Arial"/>
          <w:sz w:val="24"/>
          <w:szCs w:val="24"/>
          <w:lang w:val="es-AR"/>
        </w:rPr>
        <w:lastRenderedPageBreak/>
        <w:t xml:space="preserve">El </w:t>
      </w:r>
      <w:r w:rsidRPr="00FC5408">
        <w:rPr>
          <w:rFonts w:ascii="Palatino Linotype" w:eastAsia="Calibri" w:hAnsi="Palatino Linotype" w:cs="Arial"/>
          <w:b/>
          <w:sz w:val="24"/>
          <w:szCs w:val="24"/>
          <w:lang w:val="es-AR"/>
        </w:rPr>
        <w:t xml:space="preserve"> dos</w:t>
      </w:r>
      <w:proofErr w:type="gramEnd"/>
      <w:r w:rsidRPr="00FC5408">
        <w:rPr>
          <w:rFonts w:ascii="Palatino Linotype" w:eastAsia="Calibri" w:hAnsi="Palatino Linotype" w:cs="Arial"/>
          <w:b/>
          <w:sz w:val="24"/>
          <w:szCs w:val="24"/>
          <w:lang w:val="es-AR"/>
        </w:rPr>
        <w:t xml:space="preserve"> (02) de febrero de dos mil veinticuatro</w:t>
      </w:r>
      <w:r w:rsidRPr="00FC5408">
        <w:rPr>
          <w:rFonts w:ascii="Palatino Linotype" w:hAnsi="Palatino Linotype" w:cs="Arial"/>
          <w:sz w:val="24"/>
          <w:szCs w:val="24"/>
        </w:rPr>
        <w:t xml:space="preserve">, </w:t>
      </w:r>
      <w:r w:rsidRPr="00FC5408">
        <w:rPr>
          <w:rFonts w:ascii="Palatino Linotype" w:hAnsi="Palatino Linotype"/>
          <w:b/>
          <w:sz w:val="24"/>
          <w:szCs w:val="24"/>
        </w:rPr>
        <w:t>EL RECURRENTE</w:t>
      </w:r>
      <w:r w:rsidRPr="00FC5408">
        <w:rPr>
          <w:rFonts w:ascii="Palatino Linotype" w:hAnsi="Palatino Linotype" w:cs="Arial"/>
          <w:sz w:val="24"/>
          <w:szCs w:val="24"/>
        </w:rPr>
        <w:t xml:space="preserve"> interpuso el recurso de revisión, en contra de la falta de respuesta y, señaló como:</w:t>
      </w:r>
      <w:bookmarkStart w:id="1" w:name="_Toc462307683"/>
      <w:bookmarkStart w:id="2" w:name="_Toc472427085"/>
      <w:bookmarkStart w:id="3" w:name="_Toc472500652"/>
    </w:p>
    <w:p w14:paraId="14EEB656" w14:textId="77777777" w:rsidR="00362EFA" w:rsidRPr="00FC5408" w:rsidRDefault="00362EFA" w:rsidP="00362EFA">
      <w:pPr>
        <w:pStyle w:val="Prrafodelista"/>
        <w:rPr>
          <w:rFonts w:ascii="Palatino Linotype" w:hAnsi="Palatino Linotype" w:cs="Arial"/>
          <w:i/>
          <w:szCs w:val="24"/>
        </w:rPr>
      </w:pPr>
    </w:p>
    <w:p w14:paraId="24D5B086" w14:textId="77777777" w:rsidR="00362EFA" w:rsidRPr="00FC5408" w:rsidRDefault="00362EFA" w:rsidP="00362EFA">
      <w:pPr>
        <w:pStyle w:val="Prrafodelista"/>
        <w:spacing w:line="360" w:lineRule="auto"/>
        <w:ind w:left="426" w:right="397"/>
        <w:jc w:val="both"/>
        <w:rPr>
          <w:rFonts w:ascii="Palatino Linotype" w:hAnsi="Palatino Linotype"/>
          <w:b/>
          <w:szCs w:val="24"/>
        </w:rPr>
      </w:pPr>
      <w:r w:rsidRPr="00FC5408">
        <w:rPr>
          <w:rFonts w:ascii="Palatino Linotype" w:hAnsi="Palatino Linotype"/>
          <w:b/>
          <w:szCs w:val="24"/>
        </w:rPr>
        <w:t xml:space="preserve">Acto impugnado: </w:t>
      </w:r>
    </w:p>
    <w:p w14:paraId="34E1CFC2" w14:textId="77777777" w:rsidR="00362EFA" w:rsidRPr="00FC5408" w:rsidRDefault="00362EFA" w:rsidP="00362EFA">
      <w:pPr>
        <w:pStyle w:val="Prrafodelista"/>
        <w:spacing w:line="360" w:lineRule="auto"/>
        <w:ind w:left="426" w:right="397"/>
        <w:jc w:val="both"/>
        <w:rPr>
          <w:rFonts w:ascii="Palatino Linotype" w:hAnsi="Palatino Linotype"/>
          <w:bCs/>
          <w:i/>
          <w:iCs/>
          <w:szCs w:val="24"/>
        </w:rPr>
      </w:pPr>
      <w:r w:rsidRPr="00FC5408">
        <w:rPr>
          <w:rFonts w:ascii="Palatino Linotype" w:hAnsi="Palatino Linotype"/>
          <w:bCs/>
          <w:i/>
          <w:iCs/>
          <w:szCs w:val="24"/>
        </w:rPr>
        <w:t xml:space="preserve">“Solicito del Personal del Ayuntamiento lo siguiente: 1.- Recibos de </w:t>
      </w:r>
      <w:proofErr w:type="spellStart"/>
      <w:r w:rsidRPr="00FC5408">
        <w:rPr>
          <w:rFonts w:ascii="Palatino Linotype" w:hAnsi="Palatino Linotype"/>
          <w:bCs/>
          <w:i/>
          <w:iCs/>
          <w:szCs w:val="24"/>
        </w:rPr>
        <w:t>nomina</w:t>
      </w:r>
      <w:proofErr w:type="spellEnd"/>
      <w:r w:rsidRPr="00FC5408">
        <w:rPr>
          <w:rFonts w:ascii="Palatino Linotype" w:hAnsi="Palatino Linotype"/>
          <w:bCs/>
          <w:i/>
          <w:iCs/>
          <w:szCs w:val="24"/>
        </w:rPr>
        <w:t xml:space="preserve"> del Ayuntamiento de las 2 quincenas de diciembre 2023 2.- El pago de aguinaldo y prestaciones del 2023 3.- </w:t>
      </w:r>
      <w:proofErr w:type="spellStart"/>
      <w:r w:rsidRPr="00FC5408">
        <w:rPr>
          <w:rFonts w:ascii="Palatino Linotype" w:hAnsi="Palatino Linotype"/>
          <w:bCs/>
          <w:i/>
          <w:iCs/>
          <w:szCs w:val="24"/>
        </w:rPr>
        <w:t>Relacion</w:t>
      </w:r>
      <w:proofErr w:type="spellEnd"/>
      <w:r w:rsidRPr="00FC5408">
        <w:rPr>
          <w:rFonts w:ascii="Palatino Linotype" w:hAnsi="Palatino Linotype"/>
          <w:bCs/>
          <w:i/>
          <w:iCs/>
          <w:szCs w:val="24"/>
        </w:rPr>
        <w:t xml:space="preserve"> y montos de personal que se le pague mediante cheque u raya, u otro medio diferente al pago </w:t>
      </w:r>
      <w:proofErr w:type="spellStart"/>
      <w:r w:rsidRPr="00FC5408">
        <w:rPr>
          <w:rFonts w:ascii="Palatino Linotype" w:hAnsi="Palatino Linotype"/>
          <w:bCs/>
          <w:i/>
          <w:iCs/>
          <w:szCs w:val="24"/>
        </w:rPr>
        <w:t>via</w:t>
      </w:r>
      <w:proofErr w:type="spellEnd"/>
      <w:r w:rsidRPr="00FC5408">
        <w:rPr>
          <w:rFonts w:ascii="Palatino Linotype" w:hAnsi="Palatino Linotype"/>
          <w:bCs/>
          <w:i/>
          <w:iCs/>
          <w:szCs w:val="24"/>
        </w:rPr>
        <w:t xml:space="preserve"> nomina 4.- </w:t>
      </w:r>
      <w:proofErr w:type="spellStart"/>
      <w:r w:rsidRPr="00FC5408">
        <w:rPr>
          <w:rFonts w:ascii="Palatino Linotype" w:hAnsi="Palatino Linotype"/>
          <w:bCs/>
          <w:i/>
          <w:iCs/>
          <w:szCs w:val="24"/>
        </w:rPr>
        <w:t>Poliza</w:t>
      </w:r>
      <w:proofErr w:type="spellEnd"/>
      <w:r w:rsidRPr="00FC5408">
        <w:rPr>
          <w:rFonts w:ascii="Palatino Linotype" w:hAnsi="Palatino Linotype"/>
          <w:bCs/>
          <w:i/>
          <w:iCs/>
          <w:szCs w:val="24"/>
        </w:rPr>
        <w:t xml:space="preserve"> de pago de </w:t>
      </w:r>
      <w:proofErr w:type="spellStart"/>
      <w:r w:rsidRPr="00FC5408">
        <w:rPr>
          <w:rFonts w:ascii="Palatino Linotype" w:hAnsi="Palatino Linotype"/>
          <w:bCs/>
          <w:i/>
          <w:iCs/>
          <w:szCs w:val="24"/>
        </w:rPr>
        <w:t>nomina</w:t>
      </w:r>
      <w:proofErr w:type="spellEnd"/>
      <w:r w:rsidRPr="00FC5408">
        <w:rPr>
          <w:rFonts w:ascii="Palatino Linotype" w:hAnsi="Palatino Linotype"/>
          <w:bCs/>
          <w:i/>
          <w:iCs/>
          <w:szCs w:val="24"/>
        </w:rPr>
        <w:t xml:space="preserve"> de diciembre y aguinaldo que incluya la dispersión de los pagos </w:t>
      </w:r>
      <w:proofErr w:type="spellStart"/>
      <w:r w:rsidRPr="00FC5408">
        <w:rPr>
          <w:rFonts w:ascii="Palatino Linotype" w:hAnsi="Palatino Linotype"/>
          <w:bCs/>
          <w:i/>
          <w:iCs/>
          <w:szCs w:val="24"/>
        </w:rPr>
        <w:t>via</w:t>
      </w:r>
      <w:proofErr w:type="spellEnd"/>
      <w:r w:rsidRPr="00FC5408">
        <w:rPr>
          <w:rFonts w:ascii="Palatino Linotype" w:hAnsi="Palatino Linotype"/>
          <w:bCs/>
          <w:i/>
          <w:iCs/>
          <w:szCs w:val="24"/>
        </w:rPr>
        <w:t xml:space="preserve"> </w:t>
      </w:r>
      <w:proofErr w:type="spellStart"/>
      <w:r w:rsidRPr="00FC5408">
        <w:rPr>
          <w:rFonts w:ascii="Palatino Linotype" w:hAnsi="Palatino Linotype"/>
          <w:bCs/>
          <w:i/>
          <w:iCs/>
          <w:szCs w:val="24"/>
        </w:rPr>
        <w:t>nomina</w:t>
      </w:r>
      <w:proofErr w:type="spellEnd"/>
      <w:r w:rsidRPr="00FC5408">
        <w:rPr>
          <w:rFonts w:ascii="Palatino Linotype" w:hAnsi="Palatino Linotype"/>
          <w:bCs/>
          <w:i/>
          <w:iCs/>
          <w:szCs w:val="24"/>
        </w:rPr>
        <w:t xml:space="preserve">.” </w:t>
      </w:r>
    </w:p>
    <w:p w14:paraId="55EC1F77" w14:textId="77777777" w:rsidR="00362EFA" w:rsidRPr="00FC5408" w:rsidRDefault="00362EFA" w:rsidP="00362EFA">
      <w:pPr>
        <w:pStyle w:val="Prrafodelista"/>
        <w:spacing w:line="360" w:lineRule="auto"/>
        <w:ind w:left="426" w:right="397"/>
        <w:jc w:val="both"/>
        <w:rPr>
          <w:rFonts w:ascii="Palatino Linotype" w:eastAsia="Calibri" w:hAnsi="Palatino Linotype" w:cs="Arial"/>
          <w:szCs w:val="24"/>
        </w:rPr>
      </w:pPr>
    </w:p>
    <w:p w14:paraId="5E7FF7D6" w14:textId="77777777" w:rsidR="00362EFA" w:rsidRPr="00FC5408" w:rsidRDefault="00362EFA" w:rsidP="00362EFA">
      <w:pPr>
        <w:pStyle w:val="Prrafodelista"/>
        <w:spacing w:line="360" w:lineRule="auto"/>
        <w:ind w:left="426" w:right="397"/>
        <w:jc w:val="both"/>
        <w:rPr>
          <w:rFonts w:ascii="Palatino Linotype" w:eastAsia="Calibri" w:hAnsi="Palatino Linotype" w:cs="Arial"/>
          <w:szCs w:val="24"/>
        </w:rPr>
      </w:pPr>
      <w:r w:rsidRPr="00FC5408">
        <w:rPr>
          <w:rFonts w:ascii="Palatino Linotype" w:eastAsia="Calibri" w:hAnsi="Palatino Linotype" w:cs="Arial"/>
          <w:b/>
          <w:szCs w:val="24"/>
        </w:rPr>
        <w:t>RAZONES O MOTIVOS DE LA INCONFORMIDAD:</w:t>
      </w:r>
    </w:p>
    <w:p w14:paraId="6E53C440" w14:textId="77777777" w:rsidR="00362EFA" w:rsidRPr="00FC5408" w:rsidRDefault="00362EFA" w:rsidP="00362EFA">
      <w:pPr>
        <w:pStyle w:val="Prrafodelista"/>
        <w:spacing w:line="360" w:lineRule="auto"/>
        <w:ind w:left="426" w:right="397"/>
        <w:jc w:val="both"/>
        <w:rPr>
          <w:rFonts w:ascii="Palatino Linotype" w:eastAsia="Calibri" w:hAnsi="Palatino Linotype" w:cs="Arial"/>
          <w:szCs w:val="24"/>
        </w:rPr>
      </w:pPr>
      <w:r w:rsidRPr="00FC5408">
        <w:rPr>
          <w:rFonts w:ascii="Palatino Linotype" w:eastAsia="Calibri" w:hAnsi="Palatino Linotype" w:cs="Arial"/>
          <w:i/>
          <w:szCs w:val="24"/>
        </w:rPr>
        <w:t>"No se recibe respuesta por parte del Sujeto Obligado”.</w:t>
      </w:r>
    </w:p>
    <w:p w14:paraId="1E9CC097" w14:textId="77777777" w:rsidR="00362EFA" w:rsidRPr="00FC5408" w:rsidRDefault="00362EFA" w:rsidP="00362EFA">
      <w:pPr>
        <w:pStyle w:val="Prrafodelista"/>
        <w:spacing w:line="360" w:lineRule="auto"/>
        <w:jc w:val="both"/>
        <w:rPr>
          <w:rFonts w:ascii="Palatino Linotype" w:eastAsia="Calibri" w:hAnsi="Palatino Linotype" w:cs="Arial"/>
          <w:sz w:val="24"/>
          <w:szCs w:val="24"/>
        </w:rPr>
      </w:pPr>
    </w:p>
    <w:bookmarkEnd w:id="1"/>
    <w:bookmarkEnd w:id="2"/>
    <w:bookmarkEnd w:id="3"/>
    <w:p w14:paraId="7E9525B6" w14:textId="6A002042" w:rsidR="00362EFA" w:rsidRPr="00FC5408" w:rsidRDefault="00362EFA" w:rsidP="00362EFA">
      <w:pPr>
        <w:pStyle w:val="Prrafodelista"/>
        <w:numPr>
          <w:ilvl w:val="0"/>
          <w:numId w:val="29"/>
        </w:numPr>
        <w:suppressAutoHyphens w:val="0"/>
        <w:spacing w:before="240" w:after="240" w:line="360" w:lineRule="auto"/>
        <w:ind w:left="0" w:firstLine="0"/>
        <w:contextualSpacing/>
        <w:jc w:val="both"/>
        <w:rPr>
          <w:rFonts w:ascii="Palatino Linotype" w:eastAsia="Calibri" w:hAnsi="Palatino Linotype" w:cs="Arial"/>
          <w:sz w:val="24"/>
          <w:szCs w:val="24"/>
          <w:lang w:val="es-AR"/>
        </w:rPr>
      </w:pPr>
      <w:r w:rsidRPr="00FC5408">
        <w:rPr>
          <w:rFonts w:ascii="Palatino Linotype" w:hAnsi="Palatino Linotype" w:cs="Arial"/>
          <w:sz w:val="24"/>
          <w:szCs w:val="24"/>
        </w:rPr>
        <w:t xml:space="preserve">Se registró el recurso de revisión bajo el número de expediente </w:t>
      </w:r>
      <w:r w:rsidRPr="00FC5408">
        <w:rPr>
          <w:rFonts w:ascii="Palatino Linotype" w:hAnsi="Palatino Linotype" w:cs="Arial"/>
          <w:bCs/>
          <w:sz w:val="24"/>
          <w:szCs w:val="24"/>
        </w:rPr>
        <w:t xml:space="preserve">al rubro indicado, asimismo con fundamento en lo dispuesto por el </w:t>
      </w:r>
      <w:r w:rsidRPr="00FC5408">
        <w:rPr>
          <w:rFonts w:ascii="Palatino Linotype" w:eastAsia="Calibri" w:hAnsi="Palatino Linotype" w:cs="Arial"/>
          <w:sz w:val="24"/>
          <w:szCs w:val="24"/>
        </w:rPr>
        <w:t xml:space="preserve">artículo 185 fracción I de la </w:t>
      </w:r>
      <w:r w:rsidRPr="00FC5408">
        <w:rPr>
          <w:rFonts w:ascii="Palatino Linotype" w:eastAsia="Calibri" w:hAnsi="Palatino Linotype" w:cs="Arial"/>
          <w:b/>
          <w:sz w:val="24"/>
          <w:szCs w:val="24"/>
        </w:rPr>
        <w:t xml:space="preserve">Ley de Transparencia y Acceso a la Información Pública del Estado de México y Municipios </w:t>
      </w:r>
      <w:r w:rsidRPr="00FC5408">
        <w:rPr>
          <w:rFonts w:ascii="Palatino Linotype" w:hAnsi="Palatino Linotype" w:cs="Arial"/>
          <w:sz w:val="24"/>
          <w:szCs w:val="24"/>
        </w:rPr>
        <w:t xml:space="preserve">se turnó a la </w:t>
      </w:r>
      <w:r w:rsidRPr="00FC5408">
        <w:rPr>
          <w:rFonts w:ascii="Palatino Linotype" w:hAnsi="Palatino Linotype" w:cs="Arial"/>
          <w:b/>
          <w:sz w:val="24"/>
          <w:szCs w:val="24"/>
        </w:rPr>
        <w:t xml:space="preserve">Comisionada María del Rosario Mejía Ayala, </w:t>
      </w:r>
      <w:r w:rsidR="00FC5408">
        <w:rPr>
          <w:rFonts w:ascii="Palatino Linotype" w:hAnsi="Palatino Linotype" w:cs="Arial"/>
          <w:sz w:val="24"/>
          <w:szCs w:val="24"/>
        </w:rPr>
        <w:t>para</w:t>
      </w:r>
      <w:r w:rsidRPr="00FC5408">
        <w:rPr>
          <w:rFonts w:ascii="Palatino Linotype" w:hAnsi="Palatino Linotype" w:cs="Arial"/>
          <w:sz w:val="24"/>
          <w:szCs w:val="24"/>
        </w:rPr>
        <w:t xml:space="preserve"> su análisis.</w:t>
      </w:r>
    </w:p>
    <w:p w14:paraId="3AD4B48C" w14:textId="77777777" w:rsidR="00362EFA" w:rsidRPr="00FC5408" w:rsidRDefault="00362EFA" w:rsidP="00362EFA">
      <w:pPr>
        <w:pStyle w:val="Prrafodelista"/>
        <w:spacing w:before="240" w:after="240" w:line="360" w:lineRule="auto"/>
        <w:ind w:left="0"/>
        <w:jc w:val="both"/>
        <w:rPr>
          <w:rFonts w:ascii="Palatino Linotype" w:eastAsia="Calibri" w:hAnsi="Palatino Linotype" w:cs="Arial"/>
          <w:sz w:val="24"/>
          <w:szCs w:val="24"/>
          <w:lang w:val="es-AR"/>
        </w:rPr>
      </w:pPr>
    </w:p>
    <w:p w14:paraId="0D1F3B66" w14:textId="77777777" w:rsidR="00362EFA" w:rsidRPr="00FC5408" w:rsidRDefault="00362EFA" w:rsidP="00362EFA">
      <w:pPr>
        <w:pStyle w:val="Prrafodelista"/>
        <w:numPr>
          <w:ilvl w:val="0"/>
          <w:numId w:val="29"/>
        </w:numPr>
        <w:suppressAutoHyphens w:val="0"/>
        <w:spacing w:before="240" w:after="240" w:line="360" w:lineRule="auto"/>
        <w:ind w:left="0" w:firstLine="0"/>
        <w:contextualSpacing/>
        <w:jc w:val="both"/>
        <w:rPr>
          <w:rFonts w:ascii="Palatino Linotype" w:eastAsiaTheme="minorEastAsia" w:hAnsi="Palatino Linotype" w:cstheme="minorBidi"/>
          <w:i/>
          <w:color w:val="000000"/>
          <w:sz w:val="24"/>
          <w:szCs w:val="24"/>
          <w:lang w:val="es-ES_tradnl"/>
        </w:rPr>
      </w:pPr>
      <w:r w:rsidRPr="00FC5408">
        <w:rPr>
          <w:rFonts w:ascii="Palatino Linotype" w:eastAsia="Calibri" w:hAnsi="Palatino Linotype" w:cs="Arial"/>
          <w:sz w:val="24"/>
          <w:szCs w:val="24"/>
        </w:rPr>
        <w:t xml:space="preserve">La Comisionada Ponente con fundamento en lo dispuesto por el artículo 185 fracción II de la ley de la materia, a través del acuerdo de admisión de </w:t>
      </w:r>
      <w:r w:rsidRPr="00FC5408">
        <w:rPr>
          <w:rFonts w:ascii="Palatino Linotype" w:eastAsia="Calibri" w:hAnsi="Palatino Linotype" w:cs="Arial"/>
          <w:b/>
          <w:sz w:val="24"/>
          <w:szCs w:val="24"/>
        </w:rPr>
        <w:t xml:space="preserve">siete (07) de febrero de dos mil veinticuatro, </w:t>
      </w:r>
      <w:r w:rsidRPr="00FC5408">
        <w:rPr>
          <w:rFonts w:ascii="Palatino Linotype" w:eastAsia="Calibri" w:hAnsi="Palatino Linotype" w:cs="Arial"/>
          <w:sz w:val="24"/>
          <w:szCs w:val="24"/>
        </w:rPr>
        <w:t xml:space="preserve">puso a disposición de las partes el expediente electrónico vía </w:t>
      </w:r>
      <w:r w:rsidRPr="00FC5408">
        <w:rPr>
          <w:rFonts w:ascii="Palatino Linotype" w:eastAsia="Calibri" w:hAnsi="Palatino Linotype" w:cs="Arial"/>
          <w:b/>
          <w:sz w:val="24"/>
          <w:szCs w:val="24"/>
        </w:rPr>
        <w:t xml:space="preserve">SAIMEX </w:t>
      </w:r>
      <w:r w:rsidRPr="00FC5408">
        <w:rPr>
          <w:rFonts w:ascii="Palatino Linotype" w:eastAsia="Calibri" w:hAnsi="Palatino Linotype" w:cs="Arial"/>
          <w:sz w:val="24"/>
          <w:szCs w:val="24"/>
        </w:rPr>
        <w:t xml:space="preserve">a efecto de que en un plazo máximo de siete días manifestaran lo que a derecho convinieran, ofrecieran pruebas y alegatos según corresponda al caso concreto, de esta forma para que el </w:t>
      </w:r>
      <w:r w:rsidRPr="00FC5408">
        <w:rPr>
          <w:rFonts w:ascii="Palatino Linotype" w:eastAsia="Calibri" w:hAnsi="Palatino Linotype" w:cs="Arial"/>
          <w:b/>
          <w:sz w:val="24"/>
          <w:szCs w:val="24"/>
        </w:rPr>
        <w:t>SUJETO OBLIGADO</w:t>
      </w:r>
      <w:r w:rsidRPr="00FC5408">
        <w:rPr>
          <w:rFonts w:ascii="Palatino Linotype" w:eastAsia="Calibri" w:hAnsi="Palatino Linotype" w:cs="Arial"/>
          <w:sz w:val="24"/>
          <w:szCs w:val="24"/>
        </w:rPr>
        <w:t xml:space="preserve"> presentara el informe justificado procedente.</w:t>
      </w:r>
    </w:p>
    <w:p w14:paraId="0236780C" w14:textId="77777777" w:rsidR="00362EFA" w:rsidRPr="00FC5408" w:rsidRDefault="00362EFA" w:rsidP="00362EFA">
      <w:pPr>
        <w:numPr>
          <w:ilvl w:val="0"/>
          <w:numId w:val="9"/>
        </w:numPr>
        <w:tabs>
          <w:tab w:val="left" w:pos="284"/>
        </w:tabs>
        <w:suppressAutoHyphens w:val="0"/>
        <w:spacing w:before="240" w:after="240" w:line="360" w:lineRule="auto"/>
        <w:ind w:left="0" w:firstLine="0"/>
        <w:contextualSpacing/>
        <w:jc w:val="both"/>
        <w:rPr>
          <w:rFonts w:ascii="Palatino Linotype" w:hAnsi="Palatino Linotype"/>
          <w:i/>
          <w:color w:val="000000"/>
        </w:rPr>
      </w:pPr>
      <w:r w:rsidRPr="00FC5408">
        <w:rPr>
          <w:rFonts w:ascii="Palatino Linotype" w:eastAsiaTheme="minorEastAsia" w:hAnsi="Palatino Linotype"/>
          <w:color w:val="000000"/>
          <w:lang w:val="es-ES_tradnl"/>
        </w:rPr>
        <w:lastRenderedPageBreak/>
        <w:t xml:space="preserve">El </w:t>
      </w:r>
      <w:r w:rsidRPr="00FC5408">
        <w:rPr>
          <w:rFonts w:ascii="Palatino Linotype" w:eastAsiaTheme="minorEastAsia" w:hAnsi="Palatino Linotype"/>
          <w:b/>
          <w:color w:val="000000"/>
          <w:lang w:val="es-ES_tradnl"/>
        </w:rPr>
        <w:t xml:space="preserve">SUJETO OBLIGADO </w:t>
      </w:r>
      <w:r w:rsidRPr="00FC5408">
        <w:rPr>
          <w:rFonts w:ascii="Palatino Linotype" w:eastAsiaTheme="minorEastAsia" w:hAnsi="Palatino Linotype"/>
          <w:color w:val="000000"/>
          <w:lang w:val="es-ES_tradnl"/>
        </w:rPr>
        <w:t xml:space="preserve">no rindió informe justificado para manifestar lo que a su derecho conviniera; por su parte el </w:t>
      </w:r>
      <w:r w:rsidRPr="00FC5408">
        <w:rPr>
          <w:rFonts w:ascii="Palatino Linotype" w:eastAsiaTheme="minorEastAsia" w:hAnsi="Palatino Linotype"/>
          <w:b/>
          <w:color w:val="000000"/>
          <w:lang w:val="es-ES_tradnl"/>
        </w:rPr>
        <w:t xml:space="preserve">RECURRENTE </w:t>
      </w:r>
      <w:r w:rsidRPr="00FC5408">
        <w:rPr>
          <w:rFonts w:ascii="Palatino Linotype" w:eastAsiaTheme="minorEastAsia" w:hAnsi="Palatino Linotype"/>
          <w:color w:val="000000"/>
          <w:lang w:val="es-ES_tradnl"/>
        </w:rPr>
        <w:t xml:space="preserve">no presentó alegatos ni ofreció medios de prueba, según constancias del Sistema de Acceso a la Información Mexiquense </w:t>
      </w:r>
      <w:r w:rsidRPr="00FC5408">
        <w:rPr>
          <w:rFonts w:ascii="Palatino Linotype" w:eastAsiaTheme="minorEastAsia" w:hAnsi="Palatino Linotype"/>
          <w:b/>
          <w:color w:val="000000"/>
          <w:lang w:val="es-ES_tradnl"/>
        </w:rPr>
        <w:t>SAIMEX.</w:t>
      </w:r>
    </w:p>
    <w:p w14:paraId="7EA81C7A" w14:textId="77777777" w:rsidR="00362EFA" w:rsidRPr="00FC5408" w:rsidRDefault="00362EFA" w:rsidP="00362EFA">
      <w:pPr>
        <w:pStyle w:val="Prrafodelista"/>
        <w:numPr>
          <w:ilvl w:val="0"/>
          <w:numId w:val="9"/>
        </w:numPr>
        <w:tabs>
          <w:tab w:val="left" w:pos="284"/>
        </w:tabs>
        <w:suppressAutoHyphens w:val="0"/>
        <w:spacing w:line="360" w:lineRule="auto"/>
        <w:ind w:left="0" w:firstLine="0"/>
        <w:contextualSpacing/>
        <w:jc w:val="both"/>
        <w:rPr>
          <w:rFonts w:ascii="Palatino Linotype" w:hAnsi="Palatino Linotype" w:cs="Arial"/>
          <w:sz w:val="24"/>
          <w:szCs w:val="24"/>
        </w:rPr>
      </w:pPr>
      <w:r w:rsidRPr="00FC5408">
        <w:rPr>
          <w:rFonts w:ascii="Palatino Linotype" w:hAnsi="Palatino Linotype" w:cs="Arial"/>
          <w:color w:val="222222"/>
          <w:sz w:val="24"/>
          <w:szCs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12597667" w14:textId="77777777" w:rsidR="00362EFA" w:rsidRPr="00FC5408" w:rsidRDefault="00362EFA" w:rsidP="00362EFA">
      <w:pPr>
        <w:pStyle w:val="Prrafodelista"/>
        <w:tabs>
          <w:tab w:val="left" w:pos="284"/>
        </w:tabs>
        <w:spacing w:line="360" w:lineRule="auto"/>
        <w:ind w:left="0"/>
        <w:jc w:val="both"/>
        <w:rPr>
          <w:rFonts w:ascii="Palatino Linotype" w:hAnsi="Palatino Linotype" w:cs="Arial"/>
          <w:szCs w:val="24"/>
        </w:rPr>
      </w:pPr>
    </w:p>
    <w:p w14:paraId="0D1FFE33" w14:textId="77777777" w:rsidR="00362EFA" w:rsidRPr="00FC5408" w:rsidRDefault="00362EFA" w:rsidP="00362EFA">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FC5408">
        <w:rPr>
          <w:rFonts w:ascii="Palatino Linotype" w:hAnsi="Palatino Linotype" w:cs="Arial"/>
          <w:b/>
          <w:bCs/>
          <w:i/>
          <w:iCs/>
          <w:color w:val="222222"/>
          <w:sz w:val="22"/>
          <w:lang w:val="es-ES_tradnl"/>
        </w:rPr>
        <w:t>QUEJA, RECURSO DE. LA OMISION DE RENDIR EL INFORME RESPECTIVO NO IMPIDE QUE SE RESUELV</w:t>
      </w:r>
      <w:r w:rsidRPr="00FC5408">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w:t>
      </w:r>
      <w:proofErr w:type="gramStart"/>
      <w:r w:rsidRPr="00FC5408">
        <w:rPr>
          <w:rFonts w:ascii="Palatino Linotype" w:hAnsi="Palatino Linotype" w:cs="Arial"/>
          <w:i/>
          <w:iCs/>
          <w:color w:val="222222"/>
          <w:sz w:val="22"/>
          <w:lang w:val="es-ES_tradnl"/>
        </w:rPr>
        <w:t>Abril</w:t>
      </w:r>
      <w:proofErr w:type="gramEnd"/>
      <w:r w:rsidRPr="00FC5408">
        <w:rPr>
          <w:rFonts w:ascii="Palatino Linotype" w:hAnsi="Palatino Linotype" w:cs="Arial"/>
          <w:i/>
          <w:iCs/>
          <w:color w:val="222222"/>
          <w:sz w:val="22"/>
          <w:lang w:val="es-ES_tradnl"/>
        </w:rPr>
        <w:t xml:space="preserve"> de 1996. Página: 207.</w:t>
      </w:r>
    </w:p>
    <w:p w14:paraId="1F67A785" w14:textId="77777777" w:rsidR="00362EFA" w:rsidRPr="00FC5408" w:rsidRDefault="00362EFA" w:rsidP="00362EFA">
      <w:pPr>
        <w:pStyle w:val="m1609377113336227858gmail-msonormal"/>
        <w:shd w:val="clear" w:color="auto" w:fill="FFFFFF"/>
        <w:tabs>
          <w:tab w:val="left" w:pos="284"/>
        </w:tabs>
        <w:spacing w:before="0" w:beforeAutospacing="0" w:after="0" w:afterAutospacing="0" w:line="360" w:lineRule="auto"/>
        <w:ind w:right="567"/>
        <w:jc w:val="both"/>
        <w:rPr>
          <w:rFonts w:ascii="Palatino Linotype" w:hAnsi="Palatino Linotype" w:cs="Arial"/>
          <w:color w:val="222222"/>
        </w:rPr>
      </w:pPr>
    </w:p>
    <w:p w14:paraId="66926D9C" w14:textId="77777777" w:rsidR="00362EFA" w:rsidRPr="00FC5408" w:rsidRDefault="00362EFA" w:rsidP="00362EFA">
      <w:pPr>
        <w:pStyle w:val="Prrafodelista"/>
        <w:numPr>
          <w:ilvl w:val="0"/>
          <w:numId w:val="9"/>
        </w:numPr>
        <w:tabs>
          <w:tab w:val="left" w:pos="284"/>
        </w:tabs>
        <w:suppressAutoHyphens w:val="0"/>
        <w:spacing w:line="360" w:lineRule="auto"/>
        <w:ind w:left="0" w:firstLine="0"/>
        <w:contextualSpacing/>
        <w:jc w:val="both"/>
        <w:rPr>
          <w:rFonts w:ascii="Palatino Linotype" w:hAnsi="Palatino Linotype" w:cs="Arial"/>
          <w:b/>
          <w:bCs/>
          <w:sz w:val="24"/>
          <w:szCs w:val="24"/>
          <w:lang w:eastAsia="es-MX"/>
        </w:rPr>
      </w:pPr>
      <w:r w:rsidRPr="00FC5408">
        <w:rPr>
          <w:rFonts w:ascii="Palatino Linotype" w:hAnsi="Palatino Linotype" w:cs="Arial"/>
          <w:color w:val="222222"/>
          <w:sz w:val="24"/>
          <w:szCs w:val="24"/>
        </w:rPr>
        <w:lastRenderedPageBreak/>
        <w:t>Por lo cual se reitera, que la falta de informe justificado no impide que este Órgano Garante conozca y resuelva el recurso de revisión, solo propicia que el </w:t>
      </w:r>
      <w:r w:rsidRPr="00FC5408">
        <w:rPr>
          <w:rFonts w:ascii="Palatino Linotype" w:hAnsi="Palatino Linotype" w:cs="Arial"/>
          <w:b/>
          <w:bCs/>
          <w:color w:val="222222"/>
          <w:sz w:val="24"/>
          <w:szCs w:val="24"/>
        </w:rPr>
        <w:t>SUJETO OBLIGADO</w:t>
      </w:r>
      <w:r w:rsidRPr="00FC5408">
        <w:rPr>
          <w:rFonts w:ascii="Palatino Linotype" w:hAnsi="Palatino Linotype" w:cs="Arial"/>
          <w:color w:val="222222"/>
          <w:sz w:val="24"/>
          <w:szCs w:val="24"/>
        </w:rPr>
        <w:t> pierda la oportunidad de justificar su falta de respuesta y manifestar lo que a su derecho convenga.</w:t>
      </w:r>
    </w:p>
    <w:p w14:paraId="1A83E0C7" w14:textId="77777777" w:rsidR="00362EFA" w:rsidRPr="00FC5408" w:rsidRDefault="00362EFA" w:rsidP="00362EFA">
      <w:pPr>
        <w:pStyle w:val="Prrafodelista"/>
        <w:spacing w:before="240" w:after="240" w:line="360" w:lineRule="auto"/>
        <w:ind w:left="0"/>
        <w:jc w:val="both"/>
        <w:rPr>
          <w:rFonts w:ascii="Palatino Linotype" w:hAnsi="Palatino Linotype"/>
          <w:i/>
          <w:color w:val="000000"/>
          <w:sz w:val="24"/>
          <w:szCs w:val="24"/>
        </w:rPr>
      </w:pPr>
    </w:p>
    <w:p w14:paraId="5052E35F" w14:textId="0BB8AF24" w:rsidR="00362EFA" w:rsidRPr="00FC5408" w:rsidRDefault="00362EFA" w:rsidP="00362EFA">
      <w:pPr>
        <w:pStyle w:val="Prrafodelista"/>
        <w:numPr>
          <w:ilvl w:val="0"/>
          <w:numId w:val="29"/>
        </w:numPr>
        <w:suppressAutoHyphens w:val="0"/>
        <w:spacing w:line="360" w:lineRule="auto"/>
        <w:ind w:left="0" w:firstLine="0"/>
        <w:contextualSpacing/>
        <w:jc w:val="both"/>
        <w:rPr>
          <w:rFonts w:ascii="Palatino Linotype" w:hAnsi="Palatino Linotype" w:cs="Tahoma"/>
          <w:sz w:val="24"/>
          <w:szCs w:val="24"/>
        </w:rPr>
      </w:pPr>
      <w:r w:rsidRPr="00FC5408">
        <w:rPr>
          <w:rFonts w:ascii="Palatino Linotype" w:eastAsia="Calibri" w:hAnsi="Palatino Linotype" w:cs="Arial"/>
          <w:sz w:val="24"/>
          <w:szCs w:val="24"/>
        </w:rPr>
        <w:t xml:space="preserve">El </w:t>
      </w:r>
      <w:r w:rsidRPr="00FC5408">
        <w:rPr>
          <w:rFonts w:ascii="Palatino Linotype" w:eastAsia="Calibri" w:hAnsi="Palatino Linotype" w:cs="Arial"/>
          <w:b/>
          <w:sz w:val="24"/>
          <w:szCs w:val="24"/>
        </w:rPr>
        <w:t>diecinueve (19) de febrero de dos mil veinticuatro</w:t>
      </w:r>
      <w:r w:rsidRPr="00FC5408">
        <w:rPr>
          <w:rFonts w:ascii="Palatino Linotype" w:eastAsia="Calibri" w:hAnsi="Palatino Linotype" w:cs="Arial"/>
          <w:sz w:val="24"/>
          <w:szCs w:val="24"/>
        </w:rPr>
        <w:t>, la</w:t>
      </w:r>
      <w:r w:rsidRPr="00FC5408">
        <w:rPr>
          <w:rFonts w:ascii="Palatino Linotype" w:hAnsi="Palatino Linotype"/>
          <w:sz w:val="24"/>
          <w:szCs w:val="24"/>
        </w:rPr>
        <w:t xml:space="preserve"> Comisionada Ponente decretó el cierre de instrucción, p</w:t>
      </w:r>
      <w:r w:rsidRPr="00FC5408">
        <w:rPr>
          <w:rFonts w:ascii="Palatino Linotype" w:hAnsi="Palatino Linotype" w:cs="Tahoma"/>
          <w:sz w:val="24"/>
          <w:szCs w:val="24"/>
        </w:rPr>
        <w:t xml:space="preserve">or lo que turnó la presente resolución para su aprobación </w:t>
      </w:r>
      <w:proofErr w:type="gramStart"/>
      <w:r w:rsidRPr="00FC5408">
        <w:rPr>
          <w:rFonts w:ascii="Palatino Linotype" w:hAnsi="Palatino Linotype" w:cs="Tahoma"/>
          <w:sz w:val="24"/>
          <w:szCs w:val="24"/>
        </w:rPr>
        <w:t>y;------------------------------------------------------------------------------------------</w:t>
      </w:r>
      <w:r w:rsidR="00FC5408">
        <w:rPr>
          <w:rFonts w:ascii="Palatino Linotype" w:hAnsi="Palatino Linotype" w:cs="Tahoma"/>
          <w:sz w:val="24"/>
          <w:szCs w:val="24"/>
        </w:rPr>
        <w:t>-------</w:t>
      </w:r>
      <w:proofErr w:type="gramEnd"/>
    </w:p>
    <w:p w14:paraId="7C45D3D2" w14:textId="77777777" w:rsidR="00591E1A" w:rsidRPr="00FC5408" w:rsidRDefault="00591E1A" w:rsidP="00591E1A">
      <w:pPr>
        <w:pStyle w:val="Prrafodelista"/>
        <w:spacing w:line="360" w:lineRule="auto"/>
        <w:rPr>
          <w:rFonts w:ascii="Palatino Linotype" w:eastAsia="Calibri" w:hAnsi="Palatino Linotype" w:cs="Arial"/>
          <w:sz w:val="24"/>
          <w:szCs w:val="24"/>
        </w:rPr>
      </w:pPr>
    </w:p>
    <w:p w14:paraId="1651EB70" w14:textId="77777777" w:rsidR="00191180" w:rsidRPr="00FC5408" w:rsidRDefault="00191180" w:rsidP="006F7BEF">
      <w:pPr>
        <w:keepNext/>
        <w:keepLines/>
        <w:suppressAutoHyphens w:val="0"/>
        <w:spacing w:before="240" w:line="360" w:lineRule="auto"/>
        <w:jc w:val="center"/>
        <w:outlineLvl w:val="0"/>
        <w:rPr>
          <w:rFonts w:ascii="Palatino Linotype" w:hAnsi="Palatino Linotype"/>
          <w:b/>
          <w:lang w:eastAsia="en-US"/>
        </w:rPr>
      </w:pPr>
      <w:bookmarkStart w:id="4" w:name="_Toc104470941"/>
      <w:bookmarkStart w:id="5" w:name="_Toc110976860"/>
      <w:r w:rsidRPr="00FC5408">
        <w:rPr>
          <w:rFonts w:ascii="Palatino Linotype" w:hAnsi="Palatino Linotype"/>
          <w:b/>
          <w:lang w:eastAsia="en-US"/>
        </w:rPr>
        <w:t>CONSIDERANDO</w:t>
      </w:r>
      <w:bookmarkEnd w:id="4"/>
      <w:bookmarkEnd w:id="5"/>
    </w:p>
    <w:p w14:paraId="5FC1DEAF" w14:textId="77777777" w:rsidR="00191180" w:rsidRPr="00FC5408" w:rsidRDefault="00191180" w:rsidP="006F7BEF">
      <w:pPr>
        <w:suppressAutoHyphens w:val="0"/>
        <w:spacing w:line="360" w:lineRule="auto"/>
        <w:rPr>
          <w:rFonts w:ascii="Palatino Linotype" w:hAnsi="Palatino Linotype"/>
          <w:lang w:eastAsia="en-US"/>
        </w:rPr>
      </w:pPr>
    </w:p>
    <w:p w14:paraId="2B88C5DA" w14:textId="77777777" w:rsidR="00191180" w:rsidRPr="00FC5408" w:rsidRDefault="00191180" w:rsidP="006F7BEF">
      <w:pPr>
        <w:keepNext/>
        <w:keepLines/>
        <w:suppressAutoHyphens w:val="0"/>
        <w:spacing w:before="40" w:line="360" w:lineRule="auto"/>
        <w:outlineLvl w:val="1"/>
        <w:rPr>
          <w:rFonts w:ascii="Palatino Linotype" w:hAnsi="Palatino Linotype"/>
          <w:b/>
          <w:lang w:eastAsia="en-US"/>
        </w:rPr>
      </w:pPr>
      <w:bookmarkStart w:id="6" w:name="_Toc104470942"/>
      <w:bookmarkStart w:id="7" w:name="_Toc110976861"/>
      <w:r w:rsidRPr="00FC5408">
        <w:rPr>
          <w:rFonts w:ascii="Palatino Linotype" w:hAnsi="Palatino Linotype"/>
          <w:b/>
          <w:lang w:eastAsia="en-US"/>
        </w:rPr>
        <w:t>PRIMERO. De la competencia.</w:t>
      </w:r>
      <w:bookmarkEnd w:id="6"/>
      <w:bookmarkEnd w:id="7"/>
    </w:p>
    <w:p w14:paraId="01E5EBE3" w14:textId="593E5E70" w:rsidR="008F62D7" w:rsidRPr="00FC5408" w:rsidRDefault="008F62D7" w:rsidP="006F7BEF">
      <w:pPr>
        <w:pStyle w:val="Prrafodelista"/>
        <w:numPr>
          <w:ilvl w:val="0"/>
          <w:numId w:val="9"/>
        </w:numPr>
        <w:tabs>
          <w:tab w:val="left" w:pos="0"/>
        </w:tabs>
        <w:suppressAutoHyphens w:val="0"/>
        <w:spacing w:after="160" w:line="360" w:lineRule="auto"/>
        <w:ind w:left="0" w:firstLine="0"/>
        <w:contextualSpacing/>
        <w:jc w:val="both"/>
        <w:rPr>
          <w:rFonts w:ascii="Palatino Linotype" w:eastAsia="MS Mincho" w:hAnsi="Palatino Linotype"/>
          <w:sz w:val="24"/>
          <w:szCs w:val="24"/>
          <w:lang w:val="es-ES_tradnl"/>
        </w:rPr>
      </w:pPr>
      <w:r w:rsidRPr="00FC5408">
        <w:rPr>
          <w:rFonts w:ascii="Palatino Linotype" w:eastAsia="Calibri" w:hAnsi="Palatino Linotype"/>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C5408">
        <w:rPr>
          <w:rFonts w:ascii="Palatino Linotype" w:eastAsia="Calibri" w:hAnsi="Palatino Linotype"/>
          <w:b/>
          <w:sz w:val="24"/>
          <w:szCs w:val="24"/>
        </w:rPr>
        <w:t>Constitución Política de los Estados Unidos Mexicanos</w:t>
      </w:r>
      <w:r w:rsidRPr="00FC5408">
        <w:rPr>
          <w:rFonts w:ascii="Palatino Linotype" w:eastAsia="Calibri" w:hAnsi="Palatino Linotype"/>
          <w:sz w:val="24"/>
          <w:szCs w:val="24"/>
        </w:rPr>
        <w:t xml:space="preserve">; </w:t>
      </w:r>
      <w:r w:rsidRPr="00FC5408">
        <w:rPr>
          <w:rFonts w:ascii="Palatino Linotype" w:eastAsia="Calibri" w:hAnsi="Palatino Linotype" w:cs="Arial"/>
          <w:bCs/>
          <w:color w:val="222222"/>
          <w:sz w:val="24"/>
          <w:szCs w:val="24"/>
          <w:shd w:val="clear" w:color="auto" w:fill="FFFFFF"/>
        </w:rPr>
        <w:t>5, párrafo</w:t>
      </w:r>
      <w:r w:rsidRPr="00FC5408">
        <w:rPr>
          <w:rFonts w:ascii="Palatino Linotype" w:eastAsia="Calibri" w:hAnsi="Palatino Linotype"/>
          <w:sz w:val="24"/>
          <w:szCs w:val="24"/>
        </w:rPr>
        <w:t xml:space="preserve"> trigésimo, trigésimo primero y trigésimo segundo, fracciones I, II, III, IV y V</w:t>
      </w:r>
      <w:r w:rsidRPr="00FC5408">
        <w:rPr>
          <w:rFonts w:ascii="Palatino Linotype" w:eastAsia="MS Mincho" w:hAnsi="Palatino Linotype"/>
          <w:sz w:val="24"/>
          <w:szCs w:val="24"/>
          <w:lang w:val="es-ES_tradnl"/>
        </w:rPr>
        <w:t xml:space="preserve"> </w:t>
      </w:r>
      <w:r w:rsidRPr="00FC5408">
        <w:rPr>
          <w:rFonts w:ascii="Palatino Linotype" w:eastAsia="Calibri" w:hAnsi="Palatino Linotype"/>
          <w:sz w:val="24"/>
          <w:szCs w:val="24"/>
        </w:rPr>
        <w:t xml:space="preserve">de la </w:t>
      </w:r>
      <w:r w:rsidRPr="00FC5408">
        <w:rPr>
          <w:rFonts w:ascii="Palatino Linotype" w:eastAsia="Calibri" w:hAnsi="Palatino Linotype"/>
          <w:b/>
          <w:sz w:val="24"/>
          <w:szCs w:val="24"/>
        </w:rPr>
        <w:t>Constitución Política del Estado Libre y Soberano de México</w:t>
      </w:r>
      <w:r w:rsidRPr="00FC5408">
        <w:rPr>
          <w:rFonts w:ascii="Palatino Linotype" w:eastAsia="Calibri" w:hAnsi="Palatino Linotype"/>
          <w:sz w:val="24"/>
          <w:szCs w:val="24"/>
        </w:rPr>
        <w:t xml:space="preserve">; artículos 1, 2 fracción II, 13, 29, 36 fracciones I y II, 176, 178, 179, 181 párrafo tercero y 185 </w:t>
      </w:r>
      <w:r w:rsidRPr="00FC5408">
        <w:rPr>
          <w:rFonts w:ascii="Palatino Linotype" w:eastAsia="Calibri" w:hAnsi="Palatino Linotype" w:cs="Arial"/>
          <w:sz w:val="24"/>
          <w:szCs w:val="24"/>
        </w:rPr>
        <w:t xml:space="preserve">de la </w:t>
      </w:r>
      <w:r w:rsidRPr="00FC5408">
        <w:rPr>
          <w:rFonts w:ascii="Palatino Linotype" w:eastAsia="Calibri" w:hAnsi="Palatino Linotype" w:cs="Arial"/>
          <w:b/>
          <w:sz w:val="24"/>
          <w:szCs w:val="24"/>
        </w:rPr>
        <w:t>Ley de Transparencia y Acceso a la Información Pública del Estado de México y Municipios</w:t>
      </w:r>
      <w:r w:rsidRPr="00FC5408">
        <w:rPr>
          <w:rFonts w:ascii="Palatino Linotype" w:eastAsia="Calibri" w:hAnsi="Palatino Linotype" w:cs="Arial"/>
          <w:sz w:val="24"/>
          <w:szCs w:val="24"/>
        </w:rPr>
        <w:t xml:space="preserve">; </w:t>
      </w:r>
      <w:r w:rsidR="008E56B2" w:rsidRPr="00FC5408">
        <w:rPr>
          <w:rFonts w:ascii="Palatino Linotype" w:eastAsia="Calibri" w:hAnsi="Palatino Linotype" w:cs="Arial"/>
          <w:b/>
          <w:sz w:val="24"/>
          <w:szCs w:val="24"/>
        </w:rPr>
        <w:t>7, 9 fracciones I y XXIII</w:t>
      </w:r>
      <w:r w:rsidRPr="00FC5408">
        <w:rPr>
          <w:rFonts w:ascii="Palatino Linotype" w:eastAsia="Calibri" w:hAnsi="Palatino Linotype" w:cs="Arial"/>
          <w:b/>
          <w:sz w:val="24"/>
          <w:szCs w:val="24"/>
        </w:rPr>
        <w:t>, y 11</w:t>
      </w:r>
      <w:r w:rsidRPr="00FC5408">
        <w:rPr>
          <w:rFonts w:ascii="Palatino Linotype" w:eastAsia="Calibri" w:hAnsi="Palatino Linotype" w:cs="Arial"/>
          <w:sz w:val="24"/>
          <w:szCs w:val="24"/>
        </w:rPr>
        <w:t xml:space="preserve"> del </w:t>
      </w:r>
      <w:r w:rsidRPr="00FC5408">
        <w:rPr>
          <w:rFonts w:ascii="Palatino Linotype" w:eastAsia="Calibri" w:hAnsi="Palatino Linotype" w:cs="Arial"/>
          <w:b/>
          <w:sz w:val="24"/>
          <w:szCs w:val="24"/>
        </w:rPr>
        <w:t>Reglamento Interior del Instituto de Transparencia, Acceso a la Información Pública y Protección de Datos Personales del Estado de México y Municipios.</w:t>
      </w:r>
    </w:p>
    <w:p w14:paraId="4C18FB7D" w14:textId="77777777" w:rsidR="00191180" w:rsidRPr="00FC5408" w:rsidRDefault="00191180" w:rsidP="006F7BEF">
      <w:pPr>
        <w:keepNext/>
        <w:keepLines/>
        <w:suppressAutoHyphens w:val="0"/>
        <w:spacing w:before="40" w:line="360" w:lineRule="auto"/>
        <w:outlineLvl w:val="1"/>
        <w:rPr>
          <w:rFonts w:ascii="Palatino Linotype" w:hAnsi="Palatino Linotype"/>
          <w:b/>
          <w:lang w:eastAsia="en-US"/>
        </w:rPr>
      </w:pPr>
      <w:bookmarkStart w:id="8" w:name="_Toc104470943"/>
      <w:bookmarkStart w:id="9" w:name="_Toc110976862"/>
      <w:r w:rsidRPr="00FC5408">
        <w:rPr>
          <w:rFonts w:ascii="Palatino Linotype" w:hAnsi="Palatino Linotype"/>
          <w:b/>
          <w:lang w:eastAsia="en-US"/>
        </w:rPr>
        <w:lastRenderedPageBreak/>
        <w:t>SEGUNDO. De la oportunidad y procedencia.</w:t>
      </w:r>
      <w:bookmarkEnd w:id="8"/>
      <w:bookmarkEnd w:id="9"/>
    </w:p>
    <w:p w14:paraId="7DA62BDF" w14:textId="3FAF646E" w:rsidR="008F3853" w:rsidRPr="00FC5408" w:rsidRDefault="008F3853" w:rsidP="006F7BEF">
      <w:pPr>
        <w:pStyle w:val="Ttulo1"/>
        <w:numPr>
          <w:ilvl w:val="1"/>
          <w:numId w:val="9"/>
        </w:numPr>
        <w:spacing w:line="360" w:lineRule="auto"/>
        <w:ind w:left="0" w:firstLine="0"/>
        <w:rPr>
          <w:rFonts w:ascii="Palatino Linotype" w:hAnsi="Palatino Linotype"/>
          <w:sz w:val="24"/>
          <w:szCs w:val="24"/>
          <w:lang w:eastAsia="en-US"/>
        </w:rPr>
      </w:pPr>
      <w:bookmarkStart w:id="10" w:name="_Toc104470944"/>
      <w:bookmarkStart w:id="11" w:name="_Toc110976863"/>
      <w:r w:rsidRPr="00FC5408">
        <w:rPr>
          <w:rFonts w:ascii="Palatino Linotype" w:hAnsi="Palatino Linotype"/>
          <w:b/>
          <w:color w:val="000000" w:themeColor="text1"/>
          <w:sz w:val="24"/>
          <w:szCs w:val="24"/>
        </w:rPr>
        <w:t>De la interposición del recurso</w:t>
      </w:r>
      <w:r w:rsidRPr="00FC5408">
        <w:rPr>
          <w:rFonts w:ascii="Palatino Linotype" w:hAnsi="Palatino Linotype"/>
          <w:sz w:val="24"/>
          <w:szCs w:val="24"/>
        </w:rPr>
        <w:t>.</w:t>
      </w:r>
      <w:bookmarkEnd w:id="10"/>
      <w:bookmarkEnd w:id="11"/>
      <w:r w:rsidRPr="00FC5408">
        <w:rPr>
          <w:rFonts w:ascii="Palatino Linotype" w:hAnsi="Palatino Linotype"/>
          <w:sz w:val="24"/>
          <w:szCs w:val="24"/>
        </w:rPr>
        <w:t xml:space="preserve"> </w:t>
      </w:r>
    </w:p>
    <w:p w14:paraId="1E5CBD1C" w14:textId="32BD406E" w:rsidR="00191180" w:rsidRPr="00FC5408" w:rsidRDefault="00191180" w:rsidP="006F7BEF">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sz w:val="24"/>
          <w:szCs w:val="24"/>
          <w:lang w:val="es-ES_tradnl"/>
        </w:rPr>
      </w:pPr>
      <w:r w:rsidRPr="00FC5408">
        <w:rPr>
          <w:rFonts w:ascii="Palatino Linotype" w:eastAsia="Calibri" w:hAnsi="Palatino Linotype" w:cs="Arial"/>
          <w:sz w:val="24"/>
          <w:szCs w:val="24"/>
        </w:rPr>
        <w:t xml:space="preserve">Es de precisar, que la Ley de Transparencia y Acceso a la Información Pública del Estado de México y Municipios, en el artículo 178 describe la procedencia del recurso de revisión, asimismo señala que el plazo del </w:t>
      </w:r>
      <w:r w:rsidRPr="00FC5408">
        <w:rPr>
          <w:rFonts w:ascii="Palatino Linotype" w:eastAsia="Calibri" w:hAnsi="Palatino Linotype" w:cs="Arial"/>
          <w:b/>
          <w:sz w:val="24"/>
          <w:szCs w:val="24"/>
        </w:rPr>
        <w:t>SUJETO OBLIGADO</w:t>
      </w:r>
      <w:r w:rsidRPr="00FC5408">
        <w:rPr>
          <w:rFonts w:ascii="Palatino Linotype" w:eastAsia="Calibri" w:hAnsi="Palatino Linotype" w:cs="Arial"/>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66CFA43A"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46DC22BB"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eastAsia="Calibri" w:hAnsi="Palatino Linotype" w:cs="Arial"/>
          <w:lang w:val="es-ES"/>
        </w:rPr>
        <w:t xml:space="preserve">Por ende, se constituye la figura jurídica de la </w:t>
      </w:r>
      <w:r w:rsidRPr="00FC5408">
        <w:rPr>
          <w:rFonts w:ascii="Palatino Linotype" w:eastAsia="Calibri" w:hAnsi="Palatino Linotype" w:cs="Arial"/>
          <w:i/>
          <w:lang w:val="es-ES"/>
        </w:rPr>
        <w:t>negativa ficta</w:t>
      </w:r>
      <w:r w:rsidRPr="00FC5408">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FC5408">
        <w:rPr>
          <w:rFonts w:ascii="Palatino Linotype" w:eastAsia="Calibri" w:hAnsi="Palatino Linotype" w:cs="Arial"/>
          <w:b/>
          <w:lang w:val="es-ES"/>
        </w:rPr>
        <w:t>178</w:t>
      </w:r>
      <w:r w:rsidRPr="00FC5408">
        <w:rPr>
          <w:rFonts w:ascii="Palatino Linotype" w:eastAsia="Calibri" w:hAnsi="Palatino Linotype" w:cs="Arial"/>
          <w:lang w:val="es-ES"/>
        </w:rPr>
        <w:t xml:space="preserve"> segundo párrafo de </w:t>
      </w:r>
      <w:r w:rsidRPr="00FC5408">
        <w:rPr>
          <w:rFonts w:ascii="Palatino Linotype" w:eastAsia="Calibri" w:hAnsi="Palatino Linotype" w:cs="Arial"/>
          <w:b/>
          <w:lang w:val="es-ES"/>
        </w:rPr>
        <w:t>Ley de Transparencia y Acceso a la Información Pública del Estado de México y Municipios</w:t>
      </w:r>
      <w:r w:rsidRPr="00FC5408">
        <w:rPr>
          <w:rFonts w:ascii="Palatino Linotype" w:eastAsia="Calibri" w:hAnsi="Palatino Linotype"/>
          <w:color w:val="000000"/>
          <w:shd w:val="clear" w:color="auto" w:fill="FFFFFF"/>
          <w:lang w:eastAsia="en-US"/>
        </w:rPr>
        <w:t xml:space="preserve">, que dispone; ante la falta de respuesta del </w:t>
      </w:r>
      <w:r w:rsidRPr="00FC5408">
        <w:rPr>
          <w:rFonts w:ascii="Palatino Linotype" w:eastAsia="Calibri" w:hAnsi="Palatino Linotype"/>
          <w:b/>
          <w:color w:val="000000"/>
          <w:shd w:val="clear" w:color="auto" w:fill="FFFFFF"/>
          <w:lang w:eastAsia="en-US"/>
        </w:rPr>
        <w:t>SUJETO OBLIGADO,</w:t>
      </w:r>
      <w:r w:rsidRPr="00FC5408">
        <w:rPr>
          <w:rFonts w:ascii="Palatino Linotype" w:eastAsia="Calibri" w:hAnsi="Palatino Linotype"/>
          <w:color w:val="000000"/>
          <w:shd w:val="clear" w:color="auto" w:fill="FFFFFF"/>
          <w:lang w:eastAsia="en-US"/>
        </w:rPr>
        <w:t xml:space="preserve"> dentro de los plazos establecidos en esta Ley, a una solicitud de acceso a la información pública, el recurso </w:t>
      </w:r>
      <w:r w:rsidRPr="00FC5408">
        <w:rPr>
          <w:rFonts w:ascii="Palatino Linotype" w:eastAsia="Calibri" w:hAnsi="Palatino Linotype"/>
          <w:b/>
          <w:color w:val="000000"/>
          <w:shd w:val="clear" w:color="auto" w:fill="FFFFFF"/>
          <w:lang w:eastAsia="en-US"/>
        </w:rPr>
        <w:t xml:space="preserve">podrá ser interpuesto en cualquier momento. </w:t>
      </w:r>
    </w:p>
    <w:p w14:paraId="062D3BB9" w14:textId="77777777" w:rsidR="00191180" w:rsidRPr="00FC5408" w:rsidRDefault="00191180" w:rsidP="006F7BEF">
      <w:pPr>
        <w:tabs>
          <w:tab w:val="left" w:pos="426"/>
        </w:tabs>
        <w:suppressAutoHyphens w:val="0"/>
        <w:spacing w:line="360" w:lineRule="auto"/>
        <w:contextualSpacing/>
        <w:rPr>
          <w:rFonts w:ascii="Palatino Linotype" w:hAnsi="Palatino Linotype" w:cs="Arial"/>
          <w:color w:val="000000"/>
          <w:lang w:val="es-ES_tradnl"/>
        </w:rPr>
      </w:pPr>
    </w:p>
    <w:p w14:paraId="1058EF3E"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eastAsia="Calibri" w:hAnsi="Palatino Linotype" w:cs="Arial"/>
          <w:lang w:val="es-ES"/>
        </w:rPr>
        <w:t xml:space="preserve">Por lo que, tratándose de la </w:t>
      </w:r>
      <w:r w:rsidRPr="00FC5408">
        <w:rPr>
          <w:rFonts w:ascii="Palatino Linotype" w:eastAsia="Calibri" w:hAnsi="Palatino Linotype" w:cs="Arial"/>
          <w:i/>
          <w:lang w:val="es-ES"/>
        </w:rPr>
        <w:t>negativa ficta</w:t>
      </w:r>
      <w:r w:rsidRPr="00FC5408">
        <w:rPr>
          <w:rFonts w:ascii="Palatino Linotype" w:eastAsia="Calibri" w:hAnsi="Palatino Linotype" w:cs="Arial"/>
          <w:lang w:val="es-ES"/>
        </w:rPr>
        <w:t xml:space="preserve"> no existe respuesta que se haga del conocimiento al particular, a partir de la cual pueda computarse el plazo legal establecido, por tal motivo es pertinente señalar que no existe plazo para la interposición de los recursos de revisión, sirviendo de apoyo a lo anterior lo que dispone el Criterio </w:t>
      </w:r>
      <w:r w:rsidRPr="00FC5408">
        <w:rPr>
          <w:rFonts w:ascii="Palatino Linotype" w:eastAsia="Calibri" w:hAnsi="Palatino Linotype" w:cs="Arial"/>
          <w:lang w:val="es-ES"/>
        </w:rPr>
        <w:lastRenderedPageBreak/>
        <w:t xml:space="preserve">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(23) de abril de dos mil quince, relativo a la interposición del recurso de revisión en cualquier tiempo cuando exista </w:t>
      </w:r>
      <w:r w:rsidRPr="00FC5408">
        <w:rPr>
          <w:rFonts w:ascii="Palatino Linotype" w:eastAsia="Calibri" w:hAnsi="Palatino Linotype" w:cs="Arial"/>
          <w:i/>
          <w:lang w:val="es-ES"/>
        </w:rPr>
        <w:t>negativa ficta</w:t>
      </w:r>
      <w:r w:rsidRPr="00FC5408">
        <w:rPr>
          <w:rFonts w:ascii="Palatino Linotype" w:eastAsia="Calibri" w:hAnsi="Palatino Linotype" w:cs="Arial"/>
          <w:lang w:val="es-ES"/>
        </w:rPr>
        <w:t>, que señala:</w:t>
      </w:r>
    </w:p>
    <w:p w14:paraId="3EDED87E" w14:textId="77777777" w:rsidR="00191180" w:rsidRPr="00FC5408" w:rsidRDefault="00191180" w:rsidP="006F7BEF">
      <w:pPr>
        <w:suppressAutoHyphens w:val="0"/>
        <w:spacing w:line="360" w:lineRule="auto"/>
        <w:contextualSpacing/>
        <w:jc w:val="both"/>
        <w:rPr>
          <w:rFonts w:ascii="Palatino Linotype" w:hAnsi="Palatino Linotype" w:cs="Arial"/>
          <w:color w:val="000000"/>
          <w:sz w:val="22"/>
          <w:lang w:val="es-ES_tradnl"/>
        </w:rPr>
      </w:pPr>
    </w:p>
    <w:p w14:paraId="062431BE" w14:textId="77777777" w:rsidR="00191180" w:rsidRPr="00FC5408" w:rsidRDefault="00191180" w:rsidP="006F7BEF">
      <w:pPr>
        <w:tabs>
          <w:tab w:val="left" w:pos="7655"/>
        </w:tabs>
        <w:suppressAutoHyphens w:val="0"/>
        <w:spacing w:after="240" w:line="360" w:lineRule="auto"/>
        <w:ind w:left="567" w:right="567"/>
        <w:jc w:val="center"/>
        <w:rPr>
          <w:rFonts w:ascii="Palatino Linotype" w:eastAsia="Calibri" w:hAnsi="Palatino Linotype" w:cs="Arial"/>
          <w:b/>
          <w:sz w:val="22"/>
          <w:lang w:val="es-ES"/>
        </w:rPr>
      </w:pPr>
      <w:r w:rsidRPr="00FC5408">
        <w:rPr>
          <w:rFonts w:ascii="Palatino Linotype" w:eastAsia="Calibri" w:hAnsi="Palatino Linotype" w:cs="Arial"/>
          <w:b/>
          <w:sz w:val="22"/>
          <w:lang w:val="es-ES"/>
        </w:rPr>
        <w:t>Criterio 0001-15</w:t>
      </w:r>
    </w:p>
    <w:p w14:paraId="359502F1" w14:textId="77777777" w:rsidR="00191180" w:rsidRPr="00FC5408" w:rsidRDefault="00191180" w:rsidP="006F7BEF">
      <w:pPr>
        <w:tabs>
          <w:tab w:val="left" w:pos="7655"/>
        </w:tabs>
        <w:suppressAutoHyphens w:val="0"/>
        <w:spacing w:before="240" w:after="240" w:line="360" w:lineRule="auto"/>
        <w:ind w:left="567" w:right="567"/>
        <w:jc w:val="both"/>
        <w:rPr>
          <w:rFonts w:ascii="Palatino Linotype" w:eastAsia="Calibri" w:hAnsi="Palatino Linotype" w:cs="Arial"/>
          <w:i/>
          <w:sz w:val="22"/>
          <w:lang w:val="es-ES"/>
        </w:rPr>
      </w:pPr>
      <w:r w:rsidRPr="00FC5408">
        <w:rPr>
          <w:rFonts w:ascii="Palatino Linotype" w:eastAsia="Calibri" w:hAnsi="Palatino Linotype" w:cs="Arial"/>
          <w:b/>
          <w:i/>
          <w:sz w:val="22"/>
          <w:lang w:val="es-ES"/>
        </w:rPr>
        <w:t>NEGATIVA FICTA. PLAZO PARA INTERPONER EL RECURSO DE REVISIÓN TRATÁNDOSE DE.</w:t>
      </w:r>
      <w:r w:rsidRPr="00FC5408">
        <w:rPr>
          <w:rFonts w:ascii="Palatino Linotype" w:eastAsia="Calibri" w:hAnsi="Palatino Linotype" w:cs="Arial"/>
          <w:i/>
          <w:sz w:val="22"/>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09EA4E1" w14:textId="77777777" w:rsidR="00191180" w:rsidRPr="00FC5408" w:rsidRDefault="00191180" w:rsidP="006F7BEF">
      <w:pPr>
        <w:tabs>
          <w:tab w:val="left" w:pos="7655"/>
        </w:tabs>
        <w:suppressAutoHyphens w:val="0"/>
        <w:spacing w:line="360" w:lineRule="auto"/>
        <w:ind w:left="567" w:right="567"/>
        <w:jc w:val="both"/>
        <w:rPr>
          <w:rFonts w:ascii="Palatino Linotype" w:eastAsia="Calibri" w:hAnsi="Palatino Linotype" w:cs="Arial"/>
          <w:i/>
          <w:lang w:val="es-ES"/>
        </w:rPr>
      </w:pPr>
    </w:p>
    <w:p w14:paraId="30C505D3" w14:textId="4C5AFF8D" w:rsidR="00056AA7" w:rsidRPr="00FC5408" w:rsidRDefault="00191180" w:rsidP="0044056C">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 w:eastAsia="es-MX"/>
        </w:rPr>
      </w:pPr>
      <w:r w:rsidRPr="00FC5408">
        <w:rPr>
          <w:rFonts w:ascii="Palatino Linotype" w:hAnsi="Palatino Linotype" w:cs="Arial"/>
          <w:color w:val="000000"/>
          <w:lang w:val="es-ES" w:eastAsia="es-MX"/>
        </w:rPr>
        <w:t xml:space="preserve">Lo anterior, se explica porque la </w:t>
      </w:r>
      <w:r w:rsidRPr="00FC5408">
        <w:rPr>
          <w:rFonts w:ascii="Palatino Linotype" w:hAnsi="Palatino Linotype" w:cs="Arial"/>
          <w:b/>
          <w:color w:val="000000"/>
          <w:lang w:val="es-ES" w:eastAsia="es-MX"/>
        </w:rPr>
        <w:t>ausencia</w:t>
      </w:r>
      <w:r w:rsidRPr="00FC5408">
        <w:rPr>
          <w:rFonts w:ascii="Palatino Linotype" w:hAnsi="Palatino Linotype" w:cs="Arial"/>
          <w:color w:val="000000"/>
          <w:lang w:val="es-ES" w:eastAsia="es-MX"/>
        </w:rPr>
        <w:t xml:space="preserve"> de una respuesta en las solicitudes constituye un acto que vulnera el derecho de manera continua y actualizable cada día, en tanto no se emita la respuesta a la que esté impuesto el </w:t>
      </w:r>
      <w:r w:rsidRPr="00FC5408">
        <w:rPr>
          <w:rFonts w:ascii="Palatino Linotype" w:hAnsi="Palatino Linotype" w:cs="Arial"/>
          <w:b/>
          <w:color w:val="000000"/>
          <w:lang w:val="es-ES" w:eastAsia="es-MX"/>
        </w:rPr>
        <w:t>SUJETO OBLIGADO</w:t>
      </w:r>
      <w:r w:rsidRPr="00FC5408">
        <w:rPr>
          <w:rFonts w:ascii="Palatino Linotype" w:hAnsi="Palatino Linotype" w:cs="Arial"/>
          <w:color w:val="000000"/>
          <w:lang w:val="es-ES" w:eastAsia="es-MX"/>
        </w:rPr>
        <w:t>.</w:t>
      </w:r>
    </w:p>
    <w:p w14:paraId="73E8D3F0" w14:textId="77777777" w:rsidR="00046276" w:rsidRPr="00FC5408" w:rsidRDefault="00046276" w:rsidP="00046276">
      <w:pPr>
        <w:keepNext/>
        <w:keepLines/>
        <w:spacing w:before="240" w:line="360" w:lineRule="auto"/>
        <w:jc w:val="both"/>
        <w:outlineLvl w:val="0"/>
        <w:rPr>
          <w:rFonts w:ascii="Palatino Linotype" w:eastAsia="Calibri" w:hAnsi="Palatino Linotype" w:cs="Arial"/>
          <w:color w:val="2E74B5" w:themeColor="accent1" w:themeShade="BF"/>
        </w:rPr>
      </w:pPr>
      <w:r w:rsidRPr="00FC5408">
        <w:rPr>
          <w:rFonts w:ascii="Palatino Linotype" w:eastAsiaTheme="majorEastAsia" w:hAnsi="Palatino Linotype" w:cstheme="majorBidi"/>
          <w:b/>
        </w:rPr>
        <w:lastRenderedPageBreak/>
        <w:t xml:space="preserve">II. Del nombre como requisito innecesario para la tramitación del recurso. </w:t>
      </w:r>
    </w:p>
    <w:p w14:paraId="13BF6D18" w14:textId="1B387F57" w:rsidR="00046276" w:rsidRPr="00FC5408" w:rsidRDefault="00046276" w:rsidP="00046276">
      <w:pPr>
        <w:pStyle w:val="Prrafodelista"/>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sz w:val="24"/>
          <w:szCs w:val="24"/>
          <w:lang w:val="es-ES_tradnl"/>
        </w:rPr>
      </w:pPr>
      <w:r w:rsidRPr="00FC5408">
        <w:rPr>
          <w:rFonts w:ascii="Palatino Linotype" w:hAnsi="Palatino Linotype" w:cs="Arial"/>
          <w:bCs/>
          <w:sz w:val="24"/>
          <w:szCs w:val="24"/>
          <w:lang w:val="es-ES_tradnl"/>
        </w:rPr>
        <w:t xml:space="preserve">Por </w:t>
      </w:r>
      <w:r w:rsidRPr="00FC5408">
        <w:rPr>
          <w:rFonts w:ascii="Palatino Linotype" w:hAnsi="Palatino Linotype" w:cs="Arial"/>
          <w:bCs/>
          <w:sz w:val="24"/>
          <w:szCs w:val="24"/>
        </w:rPr>
        <w:t xml:space="preserve">otro lado, de la revisión a los expedientes electrónicos contenidos en el sistema </w:t>
      </w:r>
      <w:r w:rsidRPr="00FC5408">
        <w:rPr>
          <w:rFonts w:ascii="Palatino Linotype" w:hAnsi="Palatino Linotype" w:cs="Arial"/>
          <w:b/>
          <w:bCs/>
          <w:sz w:val="24"/>
          <w:szCs w:val="24"/>
        </w:rPr>
        <w:t>SAIMEX,</w:t>
      </w:r>
      <w:r w:rsidRPr="00FC5408">
        <w:rPr>
          <w:rFonts w:ascii="Palatino Linotype" w:hAnsi="Palatino Linotype" w:cs="Arial"/>
          <w:bCs/>
          <w:sz w:val="24"/>
          <w:szCs w:val="24"/>
        </w:rPr>
        <w:t xml:space="preserve"> se desprende que la parte solicitante, en ejercicio de su derecho de acceso a la información pública en los expedientes acumulados que se revisan, tanto en la solicitud de información como en el recurso de revisión, </w:t>
      </w:r>
      <w:r w:rsidRPr="00FC5408">
        <w:rPr>
          <w:rFonts w:ascii="Palatino Linotype" w:hAnsi="Palatino Linotype" w:cs="Arial"/>
          <w:b/>
          <w:bCs/>
          <w:sz w:val="24"/>
          <w:szCs w:val="24"/>
        </w:rPr>
        <w:t>no señaló su nombre completo, ni se tiene certeza sobre su identidad</w:t>
      </w:r>
      <w:r w:rsidRPr="00FC5408">
        <w:rPr>
          <w:rFonts w:ascii="Palatino Linotype" w:hAnsi="Palatino Linotype" w:cs="Arial"/>
          <w:bCs/>
          <w:sz w:val="24"/>
          <w:szCs w:val="24"/>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31C8F35B" w14:textId="77777777" w:rsidR="00046276" w:rsidRPr="00FC5408" w:rsidRDefault="00046276" w:rsidP="00046276">
      <w:pPr>
        <w:tabs>
          <w:tab w:val="left" w:pos="426"/>
        </w:tabs>
        <w:spacing w:line="360" w:lineRule="auto"/>
        <w:ind w:right="49"/>
        <w:contextualSpacing/>
        <w:jc w:val="both"/>
        <w:rPr>
          <w:rFonts w:ascii="Palatino Linotype" w:hAnsi="Palatino Linotype" w:cs="Arial"/>
          <w:b/>
        </w:rPr>
      </w:pPr>
    </w:p>
    <w:p w14:paraId="052CC866" w14:textId="77777777" w:rsidR="00046276" w:rsidRPr="00FC5408"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FC5408">
        <w:rPr>
          <w:rFonts w:ascii="Palatino Linotype" w:hAnsi="Palatino Linotype" w:cs="Arial"/>
          <w:bCs/>
        </w:rPr>
        <w:t xml:space="preserve">Esto es así, ya que de conformidad con los artículos 6, apartado A, fracciones III y IV de la </w:t>
      </w:r>
      <w:r w:rsidRPr="00FC5408">
        <w:rPr>
          <w:rFonts w:ascii="Palatino Linotype" w:hAnsi="Palatino Linotype" w:cs="Arial"/>
          <w:b/>
          <w:bCs/>
        </w:rPr>
        <w:t>Constitución Política de los Estados Unidos Mexicanos</w:t>
      </w:r>
      <w:r w:rsidRPr="00FC5408">
        <w:rPr>
          <w:rFonts w:ascii="Palatino Linotype" w:hAnsi="Palatino Linotype" w:cs="Arial"/>
          <w:bCs/>
        </w:rPr>
        <w:t xml:space="preserve">; 5, párrafos trigésimo, trigésimo primero y trigésimo segundo, fracciones III, IV y V, de la </w:t>
      </w:r>
      <w:r w:rsidRPr="00FC5408">
        <w:rPr>
          <w:rFonts w:ascii="Palatino Linotype" w:hAnsi="Palatino Linotype" w:cs="Arial"/>
          <w:b/>
          <w:bCs/>
        </w:rPr>
        <w:t>Constitución Política del Estado Libre y Soberano de México</w:t>
      </w:r>
      <w:r w:rsidRPr="00FC5408">
        <w:rPr>
          <w:rFonts w:ascii="Palatino Linotype" w:hAnsi="Palatino Linotype" w:cs="Arial"/>
          <w:bCs/>
        </w:rPr>
        <w:t>,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2109878" w14:textId="77777777" w:rsidR="00046276" w:rsidRPr="00FC5408" w:rsidRDefault="00046276" w:rsidP="00046276">
      <w:pPr>
        <w:tabs>
          <w:tab w:val="left" w:pos="426"/>
        </w:tabs>
        <w:spacing w:line="360" w:lineRule="auto"/>
        <w:ind w:right="49"/>
        <w:contextualSpacing/>
        <w:jc w:val="both"/>
        <w:rPr>
          <w:rFonts w:ascii="Palatino Linotype" w:hAnsi="Palatino Linotype" w:cs="Arial"/>
          <w:b/>
        </w:rPr>
      </w:pPr>
    </w:p>
    <w:p w14:paraId="71B5FBE6" w14:textId="77777777" w:rsidR="00046276" w:rsidRPr="00FC5408"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FC5408">
        <w:rPr>
          <w:rFonts w:ascii="Palatino Linotype" w:hAnsi="Palatino Linotype" w:cs="Arial"/>
          <w:bCs/>
        </w:rPr>
        <w:t xml:space="preserve">Por lo cual, de una interpretación sistemática, armónica y progresiva del derecho humano de acceso a la información pública se aprecia que toda persona, sin necesidad de acreditar interés alguno o justificar su utilización, deberá tener acceso a la </w:t>
      </w:r>
      <w:r w:rsidRPr="00FC5408">
        <w:rPr>
          <w:rFonts w:ascii="Palatino Linotype" w:hAnsi="Palatino Linotype" w:cs="Arial"/>
          <w:bCs/>
        </w:rPr>
        <w:lastRenderedPageBreak/>
        <w:t>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D8D8B41" w14:textId="77777777" w:rsidR="00046276" w:rsidRPr="00FC5408" w:rsidRDefault="00046276" w:rsidP="00046276">
      <w:pPr>
        <w:tabs>
          <w:tab w:val="left" w:pos="426"/>
        </w:tabs>
        <w:spacing w:line="360" w:lineRule="auto"/>
        <w:ind w:right="49"/>
        <w:contextualSpacing/>
        <w:jc w:val="both"/>
        <w:rPr>
          <w:rFonts w:ascii="Palatino Linotype" w:hAnsi="Palatino Linotype" w:cs="Arial"/>
          <w:b/>
        </w:rPr>
      </w:pPr>
    </w:p>
    <w:p w14:paraId="6A24419C" w14:textId="77777777" w:rsidR="00046276" w:rsidRPr="00FC5408"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FC5408">
        <w:rPr>
          <w:rFonts w:ascii="Palatino Linotype" w:hAnsi="Palatino Linotype" w:cs="Arial"/>
          <w:bCs/>
        </w:rPr>
        <w:t>Asimismo, como lo establece la Convención Americana, en su artículo 13, el derecho de acceso a la información es un derecho humano universal y, en consecuencia, toda persona tiene derecho a solicitar acceso a la información.</w:t>
      </w:r>
    </w:p>
    <w:p w14:paraId="0BF5E766" w14:textId="77777777" w:rsidR="00046276" w:rsidRPr="00FC5408" w:rsidRDefault="00046276" w:rsidP="00046276">
      <w:pPr>
        <w:tabs>
          <w:tab w:val="left" w:pos="426"/>
        </w:tabs>
        <w:spacing w:line="360" w:lineRule="auto"/>
        <w:ind w:right="49"/>
        <w:contextualSpacing/>
        <w:jc w:val="both"/>
        <w:rPr>
          <w:rFonts w:ascii="Palatino Linotype" w:hAnsi="Palatino Linotype" w:cs="Arial"/>
          <w:b/>
        </w:rPr>
      </w:pPr>
    </w:p>
    <w:p w14:paraId="73BAF2D7" w14:textId="77777777" w:rsidR="00046276" w:rsidRPr="00FC5408"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FC5408">
        <w:rPr>
          <w:rFonts w:ascii="Palatino Linotype" w:hAnsi="Palatino Linotype" w:cs="Arial"/>
          <w:bCs/>
        </w:rPr>
        <w:t>De 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6032A8C" w14:textId="77777777" w:rsidR="00046276" w:rsidRPr="00FC5408" w:rsidRDefault="00046276" w:rsidP="00046276">
      <w:pPr>
        <w:tabs>
          <w:tab w:val="left" w:pos="426"/>
        </w:tabs>
        <w:spacing w:line="360" w:lineRule="auto"/>
        <w:ind w:right="49"/>
        <w:contextualSpacing/>
        <w:jc w:val="both"/>
        <w:rPr>
          <w:rFonts w:ascii="Palatino Linotype" w:hAnsi="Palatino Linotype" w:cs="Arial"/>
          <w:b/>
        </w:rPr>
      </w:pPr>
    </w:p>
    <w:p w14:paraId="22843439" w14:textId="77777777" w:rsidR="00046276" w:rsidRPr="00FC5408" w:rsidRDefault="00046276" w:rsidP="00046276">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rPr>
      </w:pPr>
      <w:r w:rsidRPr="00FC5408">
        <w:rPr>
          <w:rFonts w:ascii="Palatino Linotype" w:hAnsi="Palatino Linotype" w:cs="Arial"/>
          <w:bCs/>
        </w:rPr>
        <w:t xml:space="preserve">Por lo tanto, el nombre de la </w:t>
      </w:r>
      <w:r w:rsidRPr="00FC5408">
        <w:rPr>
          <w:rFonts w:ascii="Palatino Linotype" w:hAnsi="Palatino Linotype" w:cs="Arial"/>
          <w:b/>
          <w:bCs/>
        </w:rPr>
        <w:t>SOLICITANTE</w:t>
      </w:r>
      <w:r w:rsidRPr="00FC5408">
        <w:rPr>
          <w:rFonts w:ascii="Palatino Linotype" w:hAnsi="Palatino Linotype" w:cs="Arial"/>
          <w:bCs/>
        </w:rPr>
        <w:t xml:space="preserve"> y subsecuente </w:t>
      </w:r>
      <w:r w:rsidRPr="00FC5408">
        <w:rPr>
          <w:rFonts w:ascii="Palatino Linotype" w:hAnsi="Palatino Linotype" w:cs="Arial"/>
          <w:b/>
          <w:bCs/>
        </w:rPr>
        <w:t>RECURRENTE</w:t>
      </w:r>
      <w:r w:rsidRPr="00FC5408">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5D1C9FB4" w14:textId="77777777" w:rsidR="00BC4E46" w:rsidRPr="00FC5408" w:rsidRDefault="00BC4E46" w:rsidP="00BC4E46">
      <w:pPr>
        <w:tabs>
          <w:tab w:val="left" w:pos="426"/>
        </w:tabs>
        <w:suppressAutoHyphens w:val="0"/>
        <w:spacing w:after="160" w:line="360" w:lineRule="auto"/>
        <w:contextualSpacing/>
        <w:jc w:val="both"/>
        <w:rPr>
          <w:rFonts w:ascii="Palatino Linotype" w:hAnsi="Palatino Linotype" w:cs="Arial"/>
          <w:color w:val="000000"/>
          <w:lang w:val="es-ES" w:eastAsia="es-MX"/>
        </w:rPr>
      </w:pPr>
    </w:p>
    <w:p w14:paraId="5E165E6B" w14:textId="15F2FF47" w:rsidR="00191180" w:rsidRPr="00FC5408" w:rsidRDefault="00BC4E46" w:rsidP="006F7BEF">
      <w:pPr>
        <w:pStyle w:val="Ttulo1"/>
        <w:spacing w:line="360" w:lineRule="auto"/>
        <w:rPr>
          <w:rFonts w:ascii="Palatino Linotype" w:hAnsi="Palatino Linotype"/>
          <w:b/>
          <w:color w:val="000000" w:themeColor="text1"/>
          <w:sz w:val="24"/>
          <w:szCs w:val="24"/>
        </w:rPr>
      </w:pPr>
      <w:bookmarkStart w:id="12" w:name="_Toc104470945"/>
      <w:bookmarkStart w:id="13" w:name="_Toc110976864"/>
      <w:r w:rsidRPr="00FC5408">
        <w:rPr>
          <w:rFonts w:ascii="Palatino Linotype" w:hAnsi="Palatino Linotype"/>
          <w:b/>
          <w:color w:val="000000" w:themeColor="text1"/>
          <w:sz w:val="24"/>
          <w:szCs w:val="24"/>
        </w:rPr>
        <w:t>I</w:t>
      </w:r>
      <w:r w:rsidR="008B4757" w:rsidRPr="00FC5408">
        <w:rPr>
          <w:rFonts w:ascii="Palatino Linotype" w:hAnsi="Palatino Linotype"/>
          <w:b/>
          <w:color w:val="000000" w:themeColor="text1"/>
          <w:sz w:val="24"/>
          <w:szCs w:val="24"/>
        </w:rPr>
        <w:t>II</w:t>
      </w:r>
      <w:r w:rsidR="00F52421" w:rsidRPr="00FC5408">
        <w:rPr>
          <w:rFonts w:ascii="Palatino Linotype" w:hAnsi="Palatino Linotype"/>
          <w:b/>
          <w:color w:val="000000" w:themeColor="text1"/>
          <w:sz w:val="24"/>
          <w:szCs w:val="24"/>
        </w:rPr>
        <w:t xml:space="preserve">. </w:t>
      </w:r>
      <w:r w:rsidR="0053016B" w:rsidRPr="00FC5408">
        <w:rPr>
          <w:rFonts w:ascii="Palatino Linotype" w:hAnsi="Palatino Linotype"/>
          <w:b/>
          <w:color w:val="000000" w:themeColor="text1"/>
          <w:sz w:val="24"/>
          <w:szCs w:val="24"/>
        </w:rPr>
        <w:t>De la determinación sobre la procedibilidad del recurso.</w:t>
      </w:r>
      <w:bookmarkEnd w:id="12"/>
      <w:bookmarkEnd w:id="13"/>
    </w:p>
    <w:p w14:paraId="65525094" w14:textId="676A7014" w:rsidR="007F2DA2" w:rsidRPr="00FC5408" w:rsidRDefault="00191180" w:rsidP="007F2DA2">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lang w:val="es-ES_tradnl"/>
        </w:rPr>
      </w:pPr>
      <w:r w:rsidRPr="00FC5408">
        <w:rPr>
          <w:rFonts w:ascii="Palatino Linotype" w:eastAsia="Calibri" w:hAnsi="Palatino Linotype" w:cs="Arial"/>
          <w:lang w:val="es-ES_tradnl"/>
        </w:rPr>
        <w:t xml:space="preserve">Consecuencia de lo anterior, </w:t>
      </w:r>
      <w:bookmarkStart w:id="14" w:name="_Toc445745137"/>
      <w:bookmarkStart w:id="15" w:name="_Toc447699318"/>
      <w:bookmarkStart w:id="16" w:name="_Toc452379730"/>
      <w:bookmarkStart w:id="17" w:name="_Toc459195482"/>
      <w:bookmarkStart w:id="18" w:name="_Toc461555892"/>
      <w:bookmarkStart w:id="19" w:name="_Toc462307689"/>
      <w:bookmarkStart w:id="20" w:name="_Toc473628138"/>
      <w:r w:rsidR="007C47ED" w:rsidRPr="00FC5408">
        <w:rPr>
          <w:rFonts w:ascii="Palatino Linotype" w:eastAsia="Calibri" w:hAnsi="Palatino Linotype" w:cs="Arial"/>
          <w:lang w:val="es-ES_tradnl"/>
        </w:rPr>
        <w:t xml:space="preserve">este Órgano Garante </w:t>
      </w:r>
      <w:r w:rsidRPr="00FC5408">
        <w:rPr>
          <w:rFonts w:ascii="Palatino Linotype" w:eastAsia="Calibri" w:hAnsi="Palatino Linotype" w:cs="Arial"/>
          <w:lang w:val="es-ES_tradnl"/>
        </w:rPr>
        <w:t xml:space="preserve">advierte que el escrito contiene las formalidades previstas por el artículo 180 último párrafo de la Ley de Transparencia </w:t>
      </w:r>
      <w:r w:rsidRPr="00FC5408">
        <w:rPr>
          <w:rFonts w:ascii="Palatino Linotype" w:eastAsia="Calibri" w:hAnsi="Palatino Linotype" w:cs="Arial"/>
          <w:lang w:val="es-ES_tradnl"/>
        </w:rPr>
        <w:lastRenderedPageBreak/>
        <w:t>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60A8BC7" w14:textId="77777777" w:rsidR="007F2DA2" w:rsidRPr="00FC5408" w:rsidRDefault="007F2DA2" w:rsidP="007F2DA2">
      <w:pPr>
        <w:tabs>
          <w:tab w:val="left" w:pos="426"/>
        </w:tabs>
        <w:suppressAutoHyphens w:val="0"/>
        <w:spacing w:after="160" w:line="360" w:lineRule="auto"/>
        <w:ind w:right="49"/>
        <w:contextualSpacing/>
        <w:jc w:val="both"/>
        <w:rPr>
          <w:rFonts w:ascii="Palatino Linotype" w:hAnsi="Palatino Linotype" w:cs="Arial"/>
          <w:b/>
          <w:lang w:val="es-ES_tradnl"/>
        </w:rPr>
      </w:pPr>
    </w:p>
    <w:p w14:paraId="5FC90729" w14:textId="795AA8CC" w:rsidR="007F2DA2" w:rsidRPr="00FC5408" w:rsidRDefault="00191180" w:rsidP="0044056C">
      <w:pPr>
        <w:keepNext/>
        <w:keepLines/>
        <w:suppressAutoHyphens w:val="0"/>
        <w:spacing w:before="240" w:line="360" w:lineRule="auto"/>
        <w:outlineLvl w:val="0"/>
        <w:rPr>
          <w:rFonts w:ascii="Palatino Linotype" w:eastAsia="Calibri" w:hAnsi="Palatino Linotype"/>
          <w:b/>
          <w:bCs/>
          <w:lang w:val="es-ES"/>
        </w:rPr>
      </w:pPr>
      <w:bookmarkStart w:id="21" w:name="_Toc104470946"/>
      <w:bookmarkStart w:id="22" w:name="_Toc110976865"/>
      <w:r w:rsidRPr="00FC5408">
        <w:rPr>
          <w:rFonts w:ascii="Palatino Linotype" w:hAnsi="Palatino Linotype" w:cs="Arial"/>
          <w:b/>
          <w:bCs/>
          <w:lang w:val="es-ES_tradnl"/>
        </w:rPr>
        <w:t>TERCERO.</w:t>
      </w:r>
      <w:r w:rsidR="00D24BE3" w:rsidRPr="00FC5408">
        <w:rPr>
          <w:rFonts w:ascii="Palatino Linotype" w:hAnsi="Palatino Linotype" w:cs="Arial"/>
          <w:b/>
          <w:bCs/>
          <w:lang w:val="es-ES_tradnl"/>
        </w:rPr>
        <w:t xml:space="preserve"> </w:t>
      </w:r>
      <w:r w:rsidRPr="00FC5408">
        <w:rPr>
          <w:rFonts w:ascii="Palatino Linotype" w:eastAsia="Calibri" w:hAnsi="Palatino Linotype"/>
          <w:b/>
          <w:bCs/>
          <w:lang w:val="es-ES"/>
        </w:rPr>
        <w:t xml:space="preserve">Del planteamiento de la </w:t>
      </w:r>
      <w:r w:rsidRPr="00FC5408">
        <w:rPr>
          <w:rFonts w:ascii="Palatino Linotype" w:eastAsia="Calibri" w:hAnsi="Palatino Linotype"/>
          <w:b/>
          <w:bCs/>
          <w:i/>
          <w:lang w:val="es-ES"/>
        </w:rPr>
        <w:t>Litis</w:t>
      </w:r>
      <w:r w:rsidRPr="00FC5408">
        <w:rPr>
          <w:rFonts w:ascii="Palatino Linotype" w:eastAsia="Calibri" w:hAnsi="Palatino Linotype"/>
          <w:b/>
          <w:bCs/>
          <w:lang w:val="es-ES"/>
        </w:rPr>
        <w:t>.</w:t>
      </w:r>
      <w:bookmarkEnd w:id="21"/>
      <w:bookmarkEnd w:id="22"/>
      <w:r w:rsidRPr="00FC5408">
        <w:rPr>
          <w:rFonts w:ascii="Palatino Linotype" w:eastAsia="Calibri" w:hAnsi="Palatino Linotype"/>
          <w:b/>
          <w:bCs/>
          <w:lang w:val="es-ES"/>
        </w:rPr>
        <w:t xml:space="preserve"> </w:t>
      </w:r>
      <w:bookmarkEnd w:id="14"/>
      <w:bookmarkEnd w:id="15"/>
      <w:bookmarkEnd w:id="16"/>
      <w:bookmarkEnd w:id="17"/>
      <w:bookmarkEnd w:id="18"/>
      <w:bookmarkEnd w:id="19"/>
      <w:bookmarkEnd w:id="20"/>
    </w:p>
    <w:p w14:paraId="0CF94B18" w14:textId="355C2859" w:rsidR="00191180" w:rsidRPr="00FC5408" w:rsidRDefault="00A32B16" w:rsidP="007F2DA2">
      <w:pPr>
        <w:pStyle w:val="Prrafodelista"/>
        <w:numPr>
          <w:ilvl w:val="0"/>
          <w:numId w:val="9"/>
        </w:numPr>
        <w:tabs>
          <w:tab w:val="left" w:pos="426"/>
        </w:tabs>
        <w:suppressAutoHyphens w:val="0"/>
        <w:spacing w:after="160" w:line="360" w:lineRule="auto"/>
        <w:ind w:left="0" w:firstLine="0"/>
        <w:contextualSpacing/>
        <w:jc w:val="both"/>
        <w:rPr>
          <w:rFonts w:ascii="Palatino Linotype" w:hAnsi="Palatino Linotype"/>
          <w:sz w:val="24"/>
          <w:szCs w:val="24"/>
          <w:lang w:val="es-ES_tradnl"/>
        </w:rPr>
      </w:pPr>
      <w:bookmarkStart w:id="23" w:name="_Toc454968928"/>
      <w:bookmarkStart w:id="24" w:name="_Toc455743517"/>
      <w:bookmarkStart w:id="25" w:name="_Toc458016386"/>
      <w:bookmarkStart w:id="26" w:name="_Toc461555893"/>
      <w:bookmarkStart w:id="27" w:name="_Toc462307690"/>
      <w:bookmarkStart w:id="28" w:name="_Toc475005143"/>
      <w:r w:rsidRPr="00FC5408">
        <w:rPr>
          <w:rFonts w:ascii="Palatino Linotype" w:hAnsi="Palatino Linotype" w:cs="Arial"/>
          <w:sz w:val="24"/>
          <w:szCs w:val="24"/>
          <w:lang w:val="es-ES_tradnl"/>
        </w:rPr>
        <w:t>Se requirió</w:t>
      </w:r>
      <w:r w:rsidR="000E63C4" w:rsidRPr="00FC5408">
        <w:rPr>
          <w:rFonts w:ascii="Palatino Linotype" w:hAnsi="Palatino Linotype" w:cs="Arial"/>
          <w:sz w:val="24"/>
          <w:szCs w:val="24"/>
          <w:lang w:val="es-ES_tradnl"/>
        </w:rPr>
        <w:t xml:space="preserve"> acceso a información relacionada</w:t>
      </w:r>
      <w:r w:rsidR="00B73105" w:rsidRPr="00FC5408">
        <w:rPr>
          <w:rFonts w:ascii="Palatino Linotype" w:hAnsi="Palatino Linotype" w:cs="Arial"/>
          <w:sz w:val="24"/>
          <w:szCs w:val="24"/>
          <w:lang w:val="es-ES_tradnl"/>
        </w:rPr>
        <w:t xml:space="preserve"> </w:t>
      </w:r>
      <w:r w:rsidR="0052357F" w:rsidRPr="00FC5408">
        <w:rPr>
          <w:rFonts w:ascii="Palatino Linotype" w:hAnsi="Palatino Linotype" w:cs="Arial"/>
          <w:sz w:val="24"/>
          <w:szCs w:val="24"/>
          <w:lang w:val="es-ES_tradnl"/>
        </w:rPr>
        <w:t>con</w:t>
      </w:r>
      <w:r w:rsidR="008E56B2" w:rsidRPr="00FC5408">
        <w:rPr>
          <w:rFonts w:ascii="Palatino Linotype" w:hAnsi="Palatino Linotype" w:cs="Arial"/>
          <w:sz w:val="24"/>
          <w:szCs w:val="24"/>
          <w:lang w:val="es-ES_tradnl"/>
        </w:rPr>
        <w:t xml:space="preserve"> Facturas</w:t>
      </w:r>
      <w:r w:rsidR="003B795B" w:rsidRPr="00FC5408">
        <w:rPr>
          <w:rFonts w:ascii="Palatino Linotype" w:hAnsi="Palatino Linotype" w:cs="Arial"/>
          <w:sz w:val="24"/>
          <w:szCs w:val="24"/>
          <w:lang w:val="es-ES_tradnl"/>
        </w:rPr>
        <w:t xml:space="preserve">. </w:t>
      </w:r>
      <w:r w:rsidR="00191180" w:rsidRPr="00FC5408">
        <w:rPr>
          <w:rFonts w:ascii="Palatino Linotype" w:hAnsi="Palatino Linotype" w:cs="Arial"/>
          <w:sz w:val="24"/>
          <w:szCs w:val="24"/>
          <w:lang w:val="es-ES_tradnl"/>
        </w:rPr>
        <w:t xml:space="preserve">El </w:t>
      </w:r>
      <w:r w:rsidR="00191180" w:rsidRPr="00FC5408">
        <w:rPr>
          <w:rFonts w:ascii="Palatino Linotype" w:hAnsi="Palatino Linotype" w:cs="Arial"/>
          <w:b/>
          <w:bCs/>
          <w:sz w:val="24"/>
          <w:szCs w:val="24"/>
          <w:lang w:val="es-ES_tradnl"/>
        </w:rPr>
        <w:t>SUJETO OBLIGADO</w:t>
      </w:r>
      <w:r w:rsidR="00191180" w:rsidRPr="00FC5408">
        <w:rPr>
          <w:rFonts w:ascii="Palatino Linotype" w:hAnsi="Palatino Linotype" w:cs="Arial"/>
          <w:sz w:val="24"/>
          <w:szCs w:val="24"/>
          <w:lang w:val="es-ES_tradnl"/>
        </w:rPr>
        <w:t xml:space="preserve"> no respondió</w:t>
      </w:r>
      <w:r w:rsidR="000313BF" w:rsidRPr="00FC5408">
        <w:rPr>
          <w:rFonts w:ascii="Palatino Linotype" w:hAnsi="Palatino Linotype" w:cs="Arial"/>
          <w:sz w:val="24"/>
          <w:szCs w:val="24"/>
          <w:lang w:val="es-ES_tradnl"/>
        </w:rPr>
        <w:t xml:space="preserve"> a la solicitud de información por lo que, el</w:t>
      </w:r>
      <w:r w:rsidR="00191180" w:rsidRPr="00FC5408">
        <w:rPr>
          <w:rFonts w:ascii="Palatino Linotype" w:hAnsi="Palatino Linotype" w:cs="Arial"/>
          <w:sz w:val="24"/>
          <w:szCs w:val="24"/>
          <w:lang w:val="es-ES_tradnl"/>
        </w:rPr>
        <w:t xml:space="preserve"> ahora </w:t>
      </w:r>
      <w:r w:rsidR="00191180" w:rsidRPr="00FC5408">
        <w:rPr>
          <w:rFonts w:ascii="Palatino Linotype" w:hAnsi="Palatino Linotype" w:cs="Arial"/>
          <w:b/>
          <w:bCs/>
          <w:sz w:val="24"/>
          <w:szCs w:val="24"/>
          <w:lang w:val="es-ES_tradnl"/>
        </w:rPr>
        <w:t>RECURRENTE</w:t>
      </w:r>
      <w:r w:rsidR="000313BF" w:rsidRPr="00FC5408">
        <w:rPr>
          <w:rFonts w:ascii="Palatino Linotype" w:hAnsi="Palatino Linotype" w:cs="Arial"/>
          <w:b/>
          <w:bCs/>
          <w:sz w:val="24"/>
          <w:szCs w:val="24"/>
          <w:lang w:val="es-ES_tradnl"/>
        </w:rPr>
        <w:t>,</w:t>
      </w:r>
      <w:r w:rsidR="00191180" w:rsidRPr="00FC5408">
        <w:rPr>
          <w:rFonts w:ascii="Palatino Linotype" w:hAnsi="Palatino Linotype" w:cs="Arial"/>
          <w:sz w:val="24"/>
          <w:szCs w:val="24"/>
          <w:lang w:val="es-ES_tradnl"/>
        </w:rPr>
        <w:t xml:space="preserve"> promovió</w:t>
      </w:r>
      <w:r w:rsidR="002C3A0B" w:rsidRPr="00FC5408">
        <w:rPr>
          <w:rFonts w:ascii="Palatino Linotype" w:hAnsi="Palatino Linotype" w:cs="Arial"/>
          <w:sz w:val="24"/>
          <w:szCs w:val="24"/>
          <w:lang w:val="es-ES_tradnl"/>
        </w:rPr>
        <w:t xml:space="preserve"> el recurso de revisión indicado</w:t>
      </w:r>
      <w:r w:rsidR="00191180" w:rsidRPr="00FC5408">
        <w:rPr>
          <w:rFonts w:ascii="Palatino Linotype" w:hAnsi="Palatino Linotype" w:cs="Arial"/>
          <w:sz w:val="24"/>
          <w:szCs w:val="24"/>
          <w:lang w:val="es-ES_tradnl"/>
        </w:rPr>
        <w:t xml:space="preserve"> al rubro, y en </w:t>
      </w:r>
      <w:r w:rsidR="002C3A0B" w:rsidRPr="00FC5408">
        <w:rPr>
          <w:rFonts w:ascii="Palatino Linotype" w:hAnsi="Palatino Linotype" w:cs="Arial"/>
          <w:sz w:val="24"/>
          <w:szCs w:val="24"/>
          <w:lang w:val="es-ES_tradnl"/>
        </w:rPr>
        <w:t xml:space="preserve">el </w:t>
      </w:r>
      <w:r w:rsidR="00191180" w:rsidRPr="00FC5408">
        <w:rPr>
          <w:rFonts w:ascii="Palatino Linotype" w:hAnsi="Palatino Linotype" w:cs="Arial"/>
          <w:sz w:val="24"/>
          <w:szCs w:val="24"/>
          <w:lang w:val="es-ES_tradnl"/>
        </w:rPr>
        <w:t>que señaló por agravios que no se le entregó la información solicitada.</w:t>
      </w:r>
    </w:p>
    <w:p w14:paraId="52C29682"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lang w:val="es-ES_tradnl"/>
        </w:rPr>
      </w:pPr>
    </w:p>
    <w:p w14:paraId="0E14DB50" w14:textId="41EA5873" w:rsidR="00191180" w:rsidRPr="00FC5408" w:rsidRDefault="00093A2D"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FC5408">
        <w:rPr>
          <w:rFonts w:ascii="Palatino Linotype" w:hAnsi="Palatino Linotype" w:cs="Arial"/>
          <w:lang w:val="es-ES_tradnl"/>
        </w:rPr>
        <w:t xml:space="preserve">En ese sentido, este Órgano Garante </w:t>
      </w:r>
      <w:r w:rsidR="00191180" w:rsidRPr="00FC5408">
        <w:rPr>
          <w:rFonts w:ascii="Palatino Linotype" w:hAnsi="Palatino Linotype" w:cs="Arial"/>
          <w:lang w:val="es-ES_tradnl"/>
        </w:rPr>
        <w:t>advierte que l</w:t>
      </w:r>
      <w:r w:rsidR="002C3A0B" w:rsidRPr="00FC5408">
        <w:rPr>
          <w:rFonts w:ascii="Palatino Linotype" w:hAnsi="Palatino Linotype" w:cs="Arial"/>
          <w:lang w:val="es-ES_tradnl"/>
        </w:rPr>
        <w:t xml:space="preserve">os agravios manifestados por el </w:t>
      </w:r>
      <w:r w:rsidR="00191180" w:rsidRPr="00FC5408">
        <w:rPr>
          <w:rFonts w:ascii="Palatino Linotype" w:hAnsi="Palatino Linotype" w:cs="Arial"/>
          <w:b/>
          <w:bCs/>
          <w:lang w:val="es-ES_tradnl"/>
        </w:rPr>
        <w:t>RECURRENTE</w:t>
      </w:r>
      <w:r w:rsidR="002C3A0B" w:rsidRPr="00FC5408">
        <w:rPr>
          <w:rFonts w:ascii="Palatino Linotype" w:hAnsi="Palatino Linotype" w:cs="Arial"/>
          <w:lang w:val="es-ES_tradnl"/>
        </w:rPr>
        <w:t xml:space="preserve"> a través de</w:t>
      </w:r>
      <w:r w:rsidR="00191180" w:rsidRPr="00FC5408">
        <w:rPr>
          <w:rFonts w:ascii="Palatino Linotype" w:hAnsi="Palatino Linotype" w:cs="Arial"/>
          <w:lang w:val="es-ES_tradnl"/>
        </w:rPr>
        <w:t>l</w:t>
      </w:r>
      <w:r w:rsidR="002C3A0B" w:rsidRPr="00FC5408">
        <w:rPr>
          <w:rFonts w:ascii="Palatino Linotype" w:hAnsi="Palatino Linotype" w:cs="Arial"/>
          <w:lang w:val="es-ES_tradnl"/>
        </w:rPr>
        <w:t xml:space="preserve"> recurso</w:t>
      </w:r>
      <w:r w:rsidR="00191180" w:rsidRPr="00FC5408">
        <w:rPr>
          <w:rFonts w:ascii="Palatino Linotype" w:hAnsi="Palatino Linotype" w:cs="Arial"/>
          <w:lang w:val="es-ES_tradnl"/>
        </w:rPr>
        <w:t xml:space="preserve"> de </w:t>
      </w:r>
      <w:r w:rsidR="00191180" w:rsidRPr="00FC5408">
        <w:rPr>
          <w:rFonts w:ascii="Palatino Linotype" w:hAnsi="Palatino Linotype" w:cs="Arial"/>
          <w:color w:val="000000" w:themeColor="text1"/>
          <w:lang w:val="es-ES_tradnl"/>
        </w:rPr>
        <w:t>revisión</w:t>
      </w:r>
      <w:r w:rsidR="000E63C4" w:rsidRPr="00FC5408">
        <w:rPr>
          <w:rFonts w:ascii="Palatino Linotype" w:hAnsi="Palatino Linotype"/>
          <w:b/>
          <w:bCs/>
          <w:color w:val="000000" w:themeColor="text1"/>
        </w:rPr>
        <w:t xml:space="preserve">, </w:t>
      </w:r>
      <w:r w:rsidR="00191180" w:rsidRPr="00FC5408">
        <w:rPr>
          <w:rFonts w:ascii="Palatino Linotype" w:hAnsi="Palatino Linotype" w:cs="Arial"/>
          <w:color w:val="000000" w:themeColor="text1"/>
          <w:lang w:val="es-ES_tradnl"/>
        </w:rPr>
        <w:t xml:space="preserve">sugieren </w:t>
      </w:r>
      <w:r w:rsidR="00191180" w:rsidRPr="00FC5408">
        <w:rPr>
          <w:rFonts w:ascii="Palatino Linotype" w:hAnsi="Palatino Linotype" w:cs="Arial"/>
          <w:lang w:val="es-ES_tradnl"/>
        </w:rPr>
        <w:t xml:space="preserve">que la omisión del </w:t>
      </w:r>
      <w:r w:rsidR="00191180" w:rsidRPr="00FC5408">
        <w:rPr>
          <w:rFonts w:ascii="Palatino Linotype" w:hAnsi="Palatino Linotype" w:cs="Arial"/>
          <w:b/>
          <w:bCs/>
          <w:lang w:val="es-ES_tradnl"/>
        </w:rPr>
        <w:t>SUJETO OBLIGADO</w:t>
      </w:r>
      <w:r w:rsidR="00191180" w:rsidRPr="00FC5408">
        <w:rPr>
          <w:rFonts w:ascii="Palatino Linotype" w:hAnsi="Palatino Linotype" w:cs="Arial"/>
          <w:lang w:val="es-ES_tradnl"/>
        </w:rPr>
        <w:t xml:space="preserve"> no cumplió con el principio contendido en el artículo 11 de la Ley de Transparencia y Acceso a la Información Pública del Estado de México y Municipios, el cual señala que en la generación, publicación y entrega de información se deberá garantizar que ésta sea </w:t>
      </w:r>
      <w:r w:rsidR="00191180" w:rsidRPr="00FC5408">
        <w:rPr>
          <w:rFonts w:ascii="Palatino Linotype" w:hAnsi="Palatino Linotype" w:cs="Arial"/>
          <w:b/>
          <w:bCs/>
          <w:lang w:val="es-ES_tradnl"/>
        </w:rPr>
        <w:t>oportuna</w:t>
      </w:r>
      <w:r w:rsidR="00191180" w:rsidRPr="00FC5408">
        <w:rPr>
          <w:rFonts w:ascii="Palatino Linotype" w:hAnsi="Palatino Linotype" w:cs="Arial"/>
          <w:lang w:val="es-ES_tradnl"/>
        </w:rPr>
        <w:t>.</w:t>
      </w:r>
    </w:p>
    <w:p w14:paraId="512E369F"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lang w:val="es-ES_tradnl"/>
        </w:rPr>
      </w:pPr>
    </w:p>
    <w:p w14:paraId="0C54DE2A" w14:textId="4C3376B6"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FC5408">
        <w:rPr>
          <w:rFonts w:ascii="Palatino Linotype" w:hAnsi="Palatino Linotype" w:cs="Arial"/>
          <w:lang w:val="es-ES_tradnl"/>
        </w:rPr>
        <w:t xml:space="preserve">Por lo anterior, la </w:t>
      </w:r>
      <w:r w:rsidRPr="00FC5408">
        <w:rPr>
          <w:rFonts w:ascii="Palatino Linotype" w:hAnsi="Palatino Linotype" w:cs="Arial"/>
          <w:i/>
          <w:lang w:val="es-ES_tradnl"/>
        </w:rPr>
        <w:t>Litis</w:t>
      </w:r>
      <w:r w:rsidRPr="00FC5408">
        <w:rPr>
          <w:rFonts w:ascii="Palatino Linotype" w:hAnsi="Palatino Linotype" w:cs="Arial"/>
          <w:lang w:val="es-ES_tradnl"/>
        </w:rPr>
        <w:t xml:space="preserve"> a resolver en el presente recurso se circunscribe en determinar si el </w:t>
      </w:r>
      <w:r w:rsidRPr="00FC5408">
        <w:rPr>
          <w:rFonts w:ascii="Palatino Linotype" w:hAnsi="Palatino Linotype" w:cs="Arial"/>
          <w:b/>
          <w:bCs/>
          <w:lang w:val="es-ES_tradnl"/>
        </w:rPr>
        <w:t>SUJETO OBLIGADO</w:t>
      </w:r>
      <w:r w:rsidRPr="00FC5408">
        <w:rPr>
          <w:rFonts w:ascii="Palatino Linotype" w:hAnsi="Palatino Linotype" w:cs="Arial"/>
          <w:lang w:val="es-ES_tradnl"/>
        </w:rPr>
        <w:t xml:space="preserve"> actualiza las causales de procedencia del recurso de revisión establecidas en el artículo 179 fracciones I y VII</w:t>
      </w:r>
      <w:r w:rsidR="00780970" w:rsidRPr="00FC5408">
        <w:rPr>
          <w:rStyle w:val="Refdenotaalpie"/>
          <w:rFonts w:ascii="Palatino Linotype" w:hAnsi="Palatino Linotype" w:cs="Arial"/>
          <w:lang w:val="es-ES_tradnl"/>
        </w:rPr>
        <w:footnoteReference w:id="1"/>
      </w:r>
      <w:r w:rsidRPr="00FC5408">
        <w:rPr>
          <w:rFonts w:ascii="Palatino Linotype" w:hAnsi="Palatino Linotype" w:cs="Arial"/>
          <w:lang w:val="es-ES_tradnl"/>
        </w:rPr>
        <w:t xml:space="preserve"> de la Ley de Transparencia y Acceso a la Información Pública del</w:t>
      </w:r>
      <w:r w:rsidR="00780970" w:rsidRPr="00FC5408">
        <w:rPr>
          <w:rFonts w:ascii="Palatino Linotype" w:hAnsi="Palatino Linotype" w:cs="Arial"/>
          <w:lang w:val="es-ES_tradnl"/>
        </w:rPr>
        <w:t xml:space="preserve"> Estado de México y Municipios. </w:t>
      </w:r>
    </w:p>
    <w:p w14:paraId="2EDB9EAA" w14:textId="67DD06EF" w:rsidR="00191180" w:rsidRPr="00FC5408" w:rsidRDefault="00C1345F" w:rsidP="006F7BEF">
      <w:pPr>
        <w:keepNext/>
        <w:keepLines/>
        <w:suppressAutoHyphens w:val="0"/>
        <w:spacing w:before="240" w:line="360" w:lineRule="auto"/>
        <w:outlineLvl w:val="0"/>
        <w:rPr>
          <w:rFonts w:ascii="Palatino Linotype" w:eastAsia="MS Gothic" w:hAnsi="Palatino Linotype"/>
          <w:lang w:eastAsia="en-US"/>
        </w:rPr>
      </w:pPr>
      <w:bookmarkStart w:id="29" w:name="_Toc104470947"/>
      <w:bookmarkStart w:id="30" w:name="_Toc110976866"/>
      <w:bookmarkStart w:id="31" w:name="_Toc499659080"/>
      <w:r w:rsidRPr="00FC5408">
        <w:rPr>
          <w:rFonts w:ascii="Palatino Linotype" w:eastAsia="MS Gothic" w:hAnsi="Palatino Linotype"/>
          <w:b/>
          <w:lang w:eastAsia="en-US"/>
        </w:rPr>
        <w:lastRenderedPageBreak/>
        <w:t>CUARTO</w:t>
      </w:r>
      <w:r w:rsidR="00191180" w:rsidRPr="00FC5408">
        <w:rPr>
          <w:rFonts w:ascii="Palatino Linotype" w:eastAsia="MS Gothic" w:hAnsi="Palatino Linotype"/>
          <w:b/>
          <w:lang w:eastAsia="en-US"/>
        </w:rPr>
        <w:t>. Del estudio y resolución del asunto.</w:t>
      </w:r>
      <w:bookmarkEnd w:id="29"/>
      <w:bookmarkEnd w:id="30"/>
    </w:p>
    <w:p w14:paraId="78E42F56" w14:textId="77777777" w:rsidR="00191180" w:rsidRPr="00FC5408" w:rsidRDefault="00191180" w:rsidP="006F7BEF">
      <w:pPr>
        <w:keepNext/>
        <w:keepLines/>
        <w:suppressAutoHyphens w:val="0"/>
        <w:spacing w:before="40" w:after="160" w:line="360" w:lineRule="auto"/>
        <w:jc w:val="both"/>
        <w:outlineLvl w:val="1"/>
        <w:rPr>
          <w:rFonts w:ascii="Palatino Linotype" w:eastAsia="MS Gothic" w:hAnsi="Palatino Linotype"/>
          <w:b/>
          <w:lang w:eastAsia="en-US"/>
        </w:rPr>
      </w:pPr>
      <w:bookmarkStart w:id="32" w:name="_Toc498528948"/>
      <w:bookmarkStart w:id="33" w:name="_Toc104470948"/>
      <w:bookmarkStart w:id="34" w:name="_Toc110976867"/>
      <w:r w:rsidRPr="00FC5408">
        <w:rPr>
          <w:rFonts w:ascii="Palatino Linotype" w:eastAsia="MS Gothic" w:hAnsi="Palatino Linotype"/>
          <w:b/>
          <w:lang w:eastAsia="en-US"/>
        </w:rPr>
        <w:t>I. Del deber de las autoridades de promover, respetar, proteger y garantizar el derecho de acceso a la información pública.</w:t>
      </w:r>
      <w:bookmarkEnd w:id="32"/>
      <w:bookmarkEnd w:id="33"/>
      <w:bookmarkEnd w:id="34"/>
      <w:r w:rsidRPr="00FC5408">
        <w:rPr>
          <w:rFonts w:ascii="Palatino Linotype" w:eastAsia="MS Gothic" w:hAnsi="Palatino Linotype"/>
          <w:b/>
          <w:lang w:eastAsia="en-US"/>
        </w:rPr>
        <w:t xml:space="preserve"> </w:t>
      </w:r>
    </w:p>
    <w:p w14:paraId="3D894B5E" w14:textId="50E8CCDA"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eastAsia="MS Mincho" w:hAnsi="Palatino Linotype"/>
          <w:color w:val="000000"/>
          <w:lang w:val="es-ES_tradnl"/>
        </w:rPr>
      </w:pPr>
      <w:r w:rsidRPr="00FC5408">
        <w:rPr>
          <w:rFonts w:ascii="Palatino Linotype" w:hAnsi="Palatino Linotype"/>
          <w:lang w:val="es-ES_tradnl"/>
        </w:rPr>
        <w:t xml:space="preserve">Es menester precisar que este </w:t>
      </w:r>
      <w:r w:rsidRPr="00FC5408">
        <w:rPr>
          <w:rFonts w:ascii="Palatino Linotype" w:eastAsia="MS Mincho" w:hAnsi="Palatino Linotype"/>
          <w:color w:val="000000"/>
          <w:lang w:val="es-ES_tradnl"/>
        </w:rPr>
        <w:t xml:space="preserve">Órgano Garante parte de que </w:t>
      </w:r>
      <w:r w:rsidRPr="00FC5408">
        <w:rPr>
          <w:rFonts w:ascii="Palatino Linotype" w:hAnsi="Palatino Linotype" w:cs="Arial"/>
          <w:color w:val="000000"/>
          <w:lang w:val="es-ES_tradnl" w:eastAsia="es-MX"/>
        </w:rPr>
        <w:t xml:space="preserve">el Derecho de Acceso a la Información Pública, es un </w:t>
      </w:r>
      <w:r w:rsidR="00140F65" w:rsidRPr="00FC5408">
        <w:rPr>
          <w:rFonts w:ascii="Palatino Linotype" w:hAnsi="Palatino Linotype" w:cs="Arial"/>
          <w:color w:val="000000"/>
          <w:lang w:val="es-ES_tradnl" w:eastAsia="es-MX"/>
        </w:rPr>
        <w:t>derecho</w:t>
      </w:r>
      <w:r w:rsidRPr="00FC5408">
        <w:rPr>
          <w:rFonts w:ascii="Palatino Linotype" w:hAnsi="Palatino Linotype" w:cs="Arial"/>
          <w:color w:val="000000"/>
          <w:lang w:val="es-ES_tradnl" w:eastAsia="es-MX"/>
        </w:rPr>
        <w:t xml:space="preserve">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FC5408">
        <w:rPr>
          <w:rFonts w:ascii="Palatino Linotype" w:hAnsi="Palatino Linotype" w:cs="Arial"/>
          <w:color w:val="000000"/>
          <w:lang w:val="es-ES_tradnl"/>
        </w:rPr>
        <w:t xml:space="preserve"> </w:t>
      </w:r>
      <w:r w:rsidRPr="00FC5408">
        <w:rPr>
          <w:rFonts w:ascii="Palatino Linotype" w:hAnsi="Palatino Linotype" w:cs="Arial"/>
          <w:b/>
          <w:color w:val="000000"/>
          <w:lang w:val="es-ES_tradnl"/>
        </w:rPr>
        <w:t>SUJETO OBLIGADO</w:t>
      </w:r>
      <w:r w:rsidRPr="00FC5408">
        <w:rPr>
          <w:rFonts w:ascii="Palatino Linotype" w:hAnsi="Palatino Linotype" w:cs="Arial"/>
          <w:color w:val="000000"/>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FC5408">
        <w:rPr>
          <w:rFonts w:ascii="Palatino Linotype" w:hAnsi="Palatino Linotype" w:cs="Arial"/>
          <w:b/>
          <w:color w:val="000000"/>
          <w:lang w:val="es-ES_tradnl"/>
        </w:rPr>
        <w:t xml:space="preserve">Constitución Política de los Estados Unidos Mexicanos </w:t>
      </w:r>
      <w:r w:rsidRPr="00FC5408">
        <w:rPr>
          <w:rFonts w:ascii="Palatino Linotype" w:hAnsi="Palatino Linotype" w:cs="Arial"/>
          <w:color w:val="000000"/>
          <w:lang w:val="es-ES_tradnl"/>
        </w:rPr>
        <w:t xml:space="preserve">al señalar la obligación de “promover, </w:t>
      </w:r>
      <w:r w:rsidRPr="00FC5408">
        <w:rPr>
          <w:rFonts w:ascii="Palatino Linotype" w:hAnsi="Palatino Linotype" w:cs="Arial"/>
          <w:b/>
          <w:color w:val="000000"/>
          <w:lang w:val="es-ES_tradnl"/>
        </w:rPr>
        <w:t>respetar</w:t>
      </w:r>
      <w:r w:rsidRPr="00FC5408">
        <w:rPr>
          <w:rFonts w:ascii="Palatino Linotype" w:hAnsi="Palatino Linotype" w:cs="Arial"/>
          <w:color w:val="000000"/>
          <w:lang w:val="es-ES_tradnl"/>
        </w:rPr>
        <w:t xml:space="preserve">, proteger y </w:t>
      </w:r>
      <w:r w:rsidRPr="00FC5408">
        <w:rPr>
          <w:rFonts w:ascii="Palatino Linotype" w:hAnsi="Palatino Linotype" w:cs="Arial"/>
          <w:b/>
          <w:color w:val="000000"/>
          <w:lang w:val="es-ES_tradnl"/>
        </w:rPr>
        <w:t>garantizar</w:t>
      </w:r>
      <w:r w:rsidRPr="00FC5408">
        <w:rPr>
          <w:rFonts w:ascii="Palatino Linotype" w:hAnsi="Palatino Linotype" w:cs="Arial"/>
          <w:color w:val="000000"/>
          <w:lang w:val="es-ES_tradnl"/>
        </w:rPr>
        <w:t xml:space="preserve"> los derechos humanos”, entre los cuales se encuentra dicho derecho. </w:t>
      </w:r>
    </w:p>
    <w:p w14:paraId="571D3B80" w14:textId="77777777" w:rsidR="00191180" w:rsidRPr="00FC5408" w:rsidRDefault="00191180" w:rsidP="006F7BEF">
      <w:pPr>
        <w:tabs>
          <w:tab w:val="left" w:pos="426"/>
        </w:tabs>
        <w:suppressAutoHyphens w:val="0"/>
        <w:spacing w:line="360" w:lineRule="auto"/>
        <w:ind w:right="49"/>
        <w:contextualSpacing/>
        <w:jc w:val="both"/>
        <w:rPr>
          <w:rFonts w:ascii="Palatino Linotype" w:eastAsia="MS Mincho" w:hAnsi="Palatino Linotype"/>
          <w:color w:val="000000"/>
          <w:lang w:val="es-ES_tradnl"/>
        </w:rPr>
      </w:pPr>
    </w:p>
    <w:p w14:paraId="17807BFD"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FC5408">
        <w:rPr>
          <w:rFonts w:ascii="Palatino Linotype" w:hAnsi="Palatino Linotype"/>
          <w:lang w:val="es-ES_tradnl"/>
        </w:rPr>
        <w:t xml:space="preserve">Definiendo el Derecho de Acceso a la Información Pública como: </w:t>
      </w:r>
      <w:r w:rsidRPr="00FC5408">
        <w:rPr>
          <w:rFonts w:ascii="Palatino Linotype" w:hAnsi="Palatino Linotype"/>
          <w:i/>
          <w:color w:val="000000"/>
          <w:lang w:val="es-ES_tradnl"/>
        </w:rPr>
        <w:t>La igualdad de oportunidades para recibir, buscar e impartir información</w:t>
      </w:r>
      <w:r w:rsidRPr="00FC5408">
        <w:rPr>
          <w:rFonts w:ascii="Palatino Linotype" w:hAnsi="Palatino Linotype"/>
          <w:i/>
          <w:color w:val="000000"/>
          <w:vertAlign w:val="superscript"/>
          <w:lang w:val="es-ES_tradnl"/>
        </w:rPr>
        <w:footnoteReference w:id="2"/>
      </w:r>
      <w:r w:rsidRPr="00FC5408">
        <w:rPr>
          <w:rFonts w:ascii="Palatino Linotype" w:hAnsi="Palatino Linotype"/>
          <w:i/>
          <w:color w:val="000000"/>
          <w:lang w:val="es-ES_tradnl"/>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w:t>
      </w:r>
      <w:r w:rsidRPr="00FC5408">
        <w:rPr>
          <w:rFonts w:ascii="Palatino Linotype" w:hAnsi="Palatino Linotype"/>
          <w:i/>
          <w:color w:val="000000"/>
          <w:lang w:val="es-ES_tradnl"/>
        </w:rPr>
        <w:lastRenderedPageBreak/>
        <w:t>estatal y municipal,</w:t>
      </w:r>
      <w:r w:rsidRPr="00FC5408">
        <w:rPr>
          <w:rFonts w:ascii="Palatino Linotype" w:hAnsi="Palatino Linotype"/>
          <w:i/>
          <w:color w:val="000000"/>
          <w:vertAlign w:val="superscript"/>
          <w:lang w:val="es-ES_tradnl"/>
        </w:rPr>
        <w:footnoteReference w:id="3"/>
      </w:r>
      <w:r w:rsidRPr="00FC5408">
        <w:rPr>
          <w:rFonts w:ascii="Palatino Linotype" w:hAnsi="Palatino Linotype"/>
          <w:color w:val="000000"/>
          <w:lang w:val="es-ES_tradnl"/>
        </w:rPr>
        <w:t>que se constituye como una herramienta fundamental para ejercer</w:t>
      </w:r>
      <w:r w:rsidRPr="00FC5408">
        <w:rPr>
          <w:rFonts w:ascii="Palatino Linotype" w:hAnsi="Palatino Linotype"/>
          <w:i/>
          <w:color w:val="000000"/>
          <w:lang w:val="es-ES_tradnl"/>
        </w:rPr>
        <w:t xml:space="preserve"> el control democrático de las gestiones estatales, de forma tal que puedan cuestionar, indagar y considerar si se está dando un adecuado cumplimiento a las funciones públicas,</w:t>
      </w:r>
      <w:r w:rsidRPr="00FC5408">
        <w:rPr>
          <w:rFonts w:ascii="Palatino Linotype" w:hAnsi="Palatino Linotype"/>
          <w:i/>
          <w:color w:val="000000"/>
          <w:vertAlign w:val="superscript"/>
          <w:lang w:val="es-ES_tradnl"/>
        </w:rPr>
        <w:footnoteReference w:id="4"/>
      </w:r>
      <w:r w:rsidRPr="00FC5408">
        <w:rPr>
          <w:rFonts w:ascii="Palatino Linotype" w:hAnsi="Palatino Linotype"/>
          <w:color w:val="000000"/>
          <w:lang w:val="es-ES_tradnl"/>
        </w:rPr>
        <w:t>fomentando</w:t>
      </w:r>
      <w:r w:rsidRPr="00FC5408">
        <w:rPr>
          <w:rFonts w:ascii="Palatino Linotype" w:hAnsi="Palatino Linotype"/>
          <w:i/>
          <w:color w:val="000000"/>
          <w:lang w:val="es-ES_tradnl"/>
        </w:rPr>
        <w:t xml:space="preserve"> la transparencia de las actividades estatales y </w:t>
      </w:r>
      <w:r w:rsidRPr="00FC5408">
        <w:rPr>
          <w:rFonts w:ascii="Palatino Linotype" w:hAnsi="Palatino Linotype"/>
          <w:color w:val="000000"/>
          <w:lang w:val="es-ES_tradnl"/>
        </w:rPr>
        <w:t>promoviendo</w:t>
      </w:r>
      <w:r w:rsidRPr="00FC5408">
        <w:rPr>
          <w:rFonts w:ascii="Palatino Linotype" w:hAnsi="Palatino Linotype"/>
          <w:i/>
          <w:color w:val="000000"/>
          <w:lang w:val="es-ES_tradnl"/>
        </w:rPr>
        <w:t xml:space="preserve"> la responsabilidad de los funcionarios sobre su gestión pública,</w:t>
      </w:r>
      <w:r w:rsidRPr="00FC5408">
        <w:rPr>
          <w:rFonts w:ascii="Palatino Linotype" w:hAnsi="Palatino Linotype"/>
          <w:i/>
          <w:color w:val="000000"/>
          <w:vertAlign w:val="superscript"/>
          <w:lang w:val="es-ES_tradnl"/>
        </w:rPr>
        <w:footnoteReference w:id="5"/>
      </w:r>
      <w:r w:rsidRPr="00FC5408">
        <w:rPr>
          <w:rFonts w:ascii="Palatino Linotype" w:hAnsi="Palatino Linotype"/>
          <w:color w:val="000000"/>
          <w:lang w:val="es-ES_tradnl"/>
        </w:rPr>
        <w:t>que permite</w:t>
      </w:r>
      <w:r w:rsidRPr="00FC5408">
        <w:rPr>
          <w:rFonts w:ascii="Palatino Linotype" w:hAnsi="Palatino Linotype"/>
          <w:i/>
          <w:color w:val="000000"/>
          <w:lang w:val="es-ES_tradnl"/>
        </w:rPr>
        <w:t xml:space="preserve"> saber qué están haciendo los gobiernos por sus pueblos, sin lo cual la verdad languidecería y la participación en el gobierno permanecería fragmentada.</w:t>
      </w:r>
    </w:p>
    <w:p w14:paraId="37214E43" w14:textId="77777777" w:rsidR="00191180" w:rsidRPr="00FC5408" w:rsidRDefault="00191180" w:rsidP="006F7BEF">
      <w:pPr>
        <w:tabs>
          <w:tab w:val="left" w:pos="426"/>
        </w:tabs>
        <w:suppressAutoHyphens w:val="0"/>
        <w:spacing w:line="360" w:lineRule="auto"/>
        <w:contextualSpacing/>
        <w:rPr>
          <w:rFonts w:ascii="Palatino Linotype" w:hAnsi="Palatino Linotype"/>
          <w:lang w:val="es-ES_tradnl"/>
        </w:rPr>
      </w:pPr>
    </w:p>
    <w:p w14:paraId="13C42068" w14:textId="5C9E9716"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i/>
          <w:lang w:val="es-ES_tradnl"/>
        </w:rPr>
      </w:pPr>
      <w:r w:rsidRPr="00FC5408">
        <w:rPr>
          <w:rFonts w:ascii="Palatino Linotype" w:hAnsi="Palatino Linotype"/>
          <w:lang w:val="es-ES_tradnl"/>
        </w:rPr>
        <w:t xml:space="preserve">Por lo anterior, se deduce que el derecho de acceso a la información pública es un derecho humano constitucionalmente reconocido, en </w:t>
      </w:r>
      <w:r w:rsidR="002B0824" w:rsidRPr="00FC5408">
        <w:rPr>
          <w:rFonts w:ascii="Palatino Linotype" w:hAnsi="Palatino Linotype"/>
          <w:lang w:val="es-ES_tradnl"/>
        </w:rPr>
        <w:t>consecuencia,</w:t>
      </w:r>
      <w:r w:rsidRPr="00FC5408">
        <w:rPr>
          <w:rFonts w:ascii="Palatino Linotype" w:hAnsi="Palatino Linotype"/>
          <w:lang w:val="es-ES_tradnl"/>
        </w:rPr>
        <w:t xml:space="preserve"> todas las autoridades en el ámbito de sus competencias, funciones y atribuciones tienen la obligación de respetarlo, protegerlo y garantizarlo.</w:t>
      </w:r>
    </w:p>
    <w:p w14:paraId="661BF4DE"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i/>
          <w:lang w:val="es-ES_tradnl"/>
        </w:rPr>
      </w:pPr>
      <w:r w:rsidRPr="00FC5408">
        <w:rPr>
          <w:rFonts w:ascii="Palatino Linotype" w:hAnsi="Palatino Linotype"/>
          <w:i/>
          <w:lang w:val="es-ES_tradnl"/>
        </w:rPr>
        <w:t xml:space="preserve"> </w:t>
      </w:r>
    </w:p>
    <w:p w14:paraId="598DE69A" w14:textId="46E4F932"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lang w:val="es-ES_tradnl"/>
        </w:rPr>
        <w:t>Por lo tanto, derivado de lo señalado con anterioridad, la actuación</w:t>
      </w:r>
      <w:r w:rsidR="00E20089" w:rsidRPr="00FC5408">
        <w:rPr>
          <w:rFonts w:ascii="Palatino Linotype" w:hAnsi="Palatino Linotype"/>
        </w:rPr>
        <w:t xml:space="preserve"> del</w:t>
      </w:r>
      <w:r w:rsidR="00A3599E" w:rsidRPr="00FC5408">
        <w:rPr>
          <w:rFonts w:ascii="Palatino Linotype" w:hAnsi="Palatino Linotype"/>
          <w:b/>
          <w:bCs/>
          <w:color w:val="000000"/>
        </w:rPr>
        <w:t xml:space="preserve"> </w:t>
      </w:r>
      <w:r w:rsidR="004025A2" w:rsidRPr="00FC5408">
        <w:rPr>
          <w:rFonts w:ascii="Palatino Linotype" w:hAnsi="Palatino Linotype"/>
          <w:b/>
          <w:bCs/>
        </w:rPr>
        <w:t xml:space="preserve">SUJETO OBLIGADO </w:t>
      </w:r>
      <w:r w:rsidRPr="00FC5408">
        <w:rPr>
          <w:rFonts w:ascii="Palatino Linotype" w:hAnsi="Palatino Linotype" w:cs="Arial"/>
          <w:lang w:val="es-ES_tradnl"/>
        </w:rPr>
        <w:t xml:space="preserve">constituye una afectación al derecho humano de acceso a la información pública de la particular, toda vez que incumple el mandato constitucional al no dar trámite a las solicitudes y por ello entregar la información ni en respuesta ni en informe justificado, dos momentos procesales que antes del cierre de instrucción de los asuntos a resolver, puede ser entregada la información para reparar el derecho afectado. </w:t>
      </w:r>
    </w:p>
    <w:p w14:paraId="33D488BF" w14:textId="77777777" w:rsidR="00191180" w:rsidRPr="00FC5408" w:rsidRDefault="00191180" w:rsidP="006F7BEF">
      <w:pPr>
        <w:tabs>
          <w:tab w:val="left" w:pos="426"/>
        </w:tabs>
        <w:suppressAutoHyphens w:val="0"/>
        <w:spacing w:line="360" w:lineRule="auto"/>
        <w:contextualSpacing/>
        <w:rPr>
          <w:rFonts w:ascii="Palatino Linotype" w:hAnsi="Palatino Linotype" w:cs="Arial"/>
          <w:lang w:val="es-ES_tradnl"/>
        </w:rPr>
      </w:pPr>
    </w:p>
    <w:p w14:paraId="7B8EE951"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FC5408">
        <w:rPr>
          <w:rFonts w:ascii="Palatino Linotype" w:hAnsi="Palatino Linotype" w:cs="Arial"/>
          <w:lang w:val="es-ES_tradnl"/>
        </w:rPr>
        <w:t xml:space="preserve">Ante tal afectación, el artículo primero Constitucional de forma clara y precisa dispone que como consecuencia de la obligación que tienen las autoridades de </w:t>
      </w:r>
      <w:r w:rsidRPr="00FC5408">
        <w:rPr>
          <w:rFonts w:ascii="Palatino Linotype" w:hAnsi="Palatino Linotype" w:cs="Arial"/>
          <w:lang w:val="es-ES_tradnl"/>
        </w:rPr>
        <w:lastRenderedPageBreak/>
        <w:t xml:space="preserve">promover, respetar, proteger y garantizar el derecho humano; el Estado deberá prevenir, investigar, sancionar y reparar las violaciones a los derechos humanos. </w:t>
      </w:r>
    </w:p>
    <w:p w14:paraId="3499B1C7"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lang w:val="es-ES_tradnl"/>
        </w:rPr>
      </w:pPr>
    </w:p>
    <w:p w14:paraId="0745E1C2" w14:textId="28AA3ECD" w:rsidR="00191180" w:rsidRPr="00FC5408" w:rsidRDefault="00191180" w:rsidP="006F7BEF">
      <w:pPr>
        <w:numPr>
          <w:ilvl w:val="0"/>
          <w:numId w:val="9"/>
        </w:numPr>
        <w:tabs>
          <w:tab w:val="left" w:pos="426"/>
        </w:tabs>
        <w:suppressAutoHyphens w:val="0"/>
        <w:spacing w:before="240" w:after="160" w:line="360" w:lineRule="auto"/>
        <w:ind w:left="0" w:firstLine="0"/>
        <w:contextualSpacing/>
        <w:jc w:val="both"/>
        <w:rPr>
          <w:rFonts w:ascii="Palatino Linotype" w:hAnsi="Palatino Linotype"/>
          <w:lang w:val="es-ES_tradnl"/>
        </w:rPr>
      </w:pPr>
      <w:r w:rsidRPr="00FC5408">
        <w:rPr>
          <w:rFonts w:ascii="Palatino Linotype" w:hAnsi="Palatino Linotype" w:cs="Arial"/>
          <w:lang w:val="es-ES_tradnl"/>
        </w:rPr>
        <w:t xml:space="preserve"> En tal sentido, el derecho de acceso a la información constituye una garantía primaria, tal y como lo señala el artículo 150 de la Ley de Transparencia y Acceso a la Información del Estado de México y Municipios, </w:t>
      </w:r>
      <w:r w:rsidR="002B0824" w:rsidRPr="00FC5408">
        <w:rPr>
          <w:rFonts w:ascii="Palatino Linotype" w:hAnsi="Palatino Linotype" w:cs="Arial"/>
          <w:lang w:val="es-ES_tradnl"/>
        </w:rPr>
        <w:t>que,</w:t>
      </w:r>
      <w:r w:rsidRPr="00FC5408">
        <w:rPr>
          <w:rFonts w:ascii="Palatino Linotype" w:hAnsi="Palatino Linotype" w:cs="Arial"/>
          <w:lang w:val="es-ES_tradnl"/>
        </w:rPr>
        <w:t xml:space="preserve"> además, establece que se regirá </w:t>
      </w:r>
      <w:r w:rsidRPr="00FC5408">
        <w:rPr>
          <w:rFonts w:ascii="Palatino Linotype" w:hAnsi="Palatino Linotype" w:cs="Arial"/>
          <w:i/>
          <w:lang w:val="es-ES_tradnl"/>
        </w:rPr>
        <w:t>por los principios de simplicidad, rapidez gratuidad del procedimiento, auxilio y orientación a los particulares</w:t>
      </w:r>
      <w:r w:rsidRPr="00FC5408">
        <w:rPr>
          <w:rFonts w:ascii="Palatino Linotype" w:hAnsi="Palatino Linotype" w:cs="Arial"/>
          <w:lang w:val="es-ES_tradnl"/>
        </w:rPr>
        <w:t xml:space="preserve">, contemplando el derecho de las personas con discapacidad y hablantes de lengua indígena. </w:t>
      </w:r>
    </w:p>
    <w:p w14:paraId="1EF28760" w14:textId="77777777" w:rsidR="00191180" w:rsidRPr="00FC5408" w:rsidRDefault="00191180" w:rsidP="006F7BEF">
      <w:pPr>
        <w:tabs>
          <w:tab w:val="left" w:pos="426"/>
        </w:tabs>
        <w:suppressAutoHyphens w:val="0"/>
        <w:spacing w:before="240" w:line="360" w:lineRule="auto"/>
        <w:contextualSpacing/>
        <w:jc w:val="both"/>
        <w:rPr>
          <w:rFonts w:ascii="Palatino Linotype" w:hAnsi="Palatino Linotype"/>
          <w:lang w:val="es-ES_tradnl"/>
        </w:rPr>
      </w:pPr>
    </w:p>
    <w:p w14:paraId="594034AE"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lang w:val="es-ES_tradnl"/>
        </w:rPr>
      </w:pPr>
      <w:r w:rsidRPr="00FC5408">
        <w:rPr>
          <w:rFonts w:ascii="Palatino Linotype" w:hAnsi="Palatino Linotype"/>
          <w:lang w:val="es-ES_tradnl"/>
        </w:rPr>
        <w:t xml:space="preserve">Es así que la </w:t>
      </w:r>
      <w:r w:rsidRPr="00FC5408">
        <w:rPr>
          <w:rFonts w:ascii="Palatino Linotype" w:hAnsi="Palatino Linotype"/>
          <w:b/>
          <w:lang w:val="es-ES_tradnl"/>
        </w:rPr>
        <w:t xml:space="preserve">Ley de Transparencia y Acceso a la Información Pública del Estado de México y Municipios, </w:t>
      </w:r>
      <w:r w:rsidRPr="00FC5408">
        <w:rPr>
          <w:rFonts w:ascii="Palatino Linotype" w:hAnsi="Palatino Linotype"/>
          <w:lang w:val="es-ES_tradnl"/>
        </w:rPr>
        <w:t>cuyo objeto es establecer principios, bases generales y procedimientos para tutelar y garantizar la transparencia y el derecho humano de acceso a la información pública en posesión de los Sujetos Obligados; en su artículo 176</w:t>
      </w:r>
      <w:r w:rsidRPr="00FC5408">
        <w:rPr>
          <w:rFonts w:ascii="Palatino Linotype" w:hAnsi="Palatino Linotype"/>
          <w:b/>
          <w:lang w:val="es-ES_tradnl"/>
        </w:rPr>
        <w:t xml:space="preserve"> </w:t>
      </w:r>
      <w:r w:rsidRPr="00FC5408">
        <w:rPr>
          <w:rFonts w:ascii="Palatino Linotype" w:hAnsi="Palatino Linotype"/>
          <w:lang w:val="es-ES_tradnl"/>
        </w:rPr>
        <w:t xml:space="preserve">establece que </w:t>
      </w:r>
      <w:r w:rsidRPr="00FC5408">
        <w:rPr>
          <w:rFonts w:ascii="Palatino Linotype" w:hAnsi="Palatino Linotype"/>
          <w:b/>
          <w:i/>
          <w:lang w:val="es-ES_tradnl"/>
        </w:rPr>
        <w:t>el recurso de revisión es la garantía secundaria mediante la cual se pretende reparar cualquier posible afectación al derecho de acceso a la información pública</w:t>
      </w:r>
      <w:r w:rsidRPr="00FC5408">
        <w:rPr>
          <w:rFonts w:ascii="Palatino Linotype" w:hAnsi="Palatino Linotype"/>
          <w:bCs/>
          <w:lang w:val="es-ES_tradnl"/>
        </w:rPr>
        <w:t>, s</w:t>
      </w:r>
      <w:r w:rsidRPr="00FC5408">
        <w:rPr>
          <w:rFonts w:ascii="Palatino Linotype" w:hAnsi="Palatino Linotype"/>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0F31EA01" w14:textId="77777777" w:rsidR="00191180" w:rsidRPr="00FC5408" w:rsidRDefault="00191180" w:rsidP="006F7BEF">
      <w:pPr>
        <w:tabs>
          <w:tab w:val="left" w:pos="426"/>
        </w:tabs>
        <w:suppressAutoHyphens w:val="0"/>
        <w:spacing w:line="360" w:lineRule="auto"/>
        <w:rPr>
          <w:rFonts w:ascii="Palatino Linotype" w:eastAsia="MS Mincho" w:hAnsi="Palatino Linotype" w:cs="Arial"/>
          <w:lang w:val="es-ES_tradnl"/>
        </w:rPr>
      </w:pPr>
    </w:p>
    <w:p w14:paraId="08EAE655"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eastAsia="Calibri" w:hAnsi="Palatino Linotype"/>
          <w:lang w:val="es-ES_tradnl"/>
        </w:rPr>
      </w:pPr>
      <w:r w:rsidRPr="00FC5408">
        <w:rPr>
          <w:rFonts w:ascii="Palatino Linotype" w:eastAsia="Calibri" w:hAnsi="Palatino Linotype"/>
          <w:lang w:val="es-ES_tradnl"/>
        </w:rPr>
        <w:t xml:space="preserve">Establecido lo anterior, resulta evidente que las razones o motivos de inconformidad hechos valer en el recurso de revisión resultan </w:t>
      </w:r>
      <w:r w:rsidRPr="00FC5408">
        <w:rPr>
          <w:rFonts w:ascii="Palatino Linotype" w:eastAsia="Calibri" w:hAnsi="Palatino Linotype"/>
          <w:b/>
          <w:lang w:val="es-ES_tradnl"/>
        </w:rPr>
        <w:t>fundadas y procedentes</w:t>
      </w:r>
      <w:r w:rsidRPr="00FC5408">
        <w:rPr>
          <w:rFonts w:ascii="Palatino Linotype" w:eastAsia="Calibri" w:hAnsi="Palatino Linotype"/>
          <w:lang w:val="es-ES_tradnl"/>
        </w:rPr>
        <w:t xml:space="preserve">, debido a que el </w:t>
      </w:r>
      <w:r w:rsidRPr="00FC5408">
        <w:rPr>
          <w:rFonts w:ascii="Palatino Linotype" w:eastAsia="Calibri" w:hAnsi="Palatino Linotype"/>
          <w:b/>
          <w:lang w:val="es-ES_tradnl"/>
        </w:rPr>
        <w:t>SUJETO OBLIGADO</w:t>
      </w:r>
      <w:r w:rsidRPr="00FC5408">
        <w:rPr>
          <w:rFonts w:ascii="Palatino Linotype" w:eastAsia="Calibri" w:hAnsi="Palatino Linotype"/>
          <w:lang w:val="es-ES_tradnl"/>
        </w:rPr>
        <w:t xml:space="preserve"> fue omiso en responder las solicitudes de información en cuestión, es decir, NO proporcionó respuesta alguna, negando así el acceso a cualquier tipo de información sin ofrecer mayores explicaciones, es decir, no </w:t>
      </w:r>
      <w:r w:rsidRPr="00FC5408">
        <w:rPr>
          <w:rFonts w:ascii="Palatino Linotype" w:eastAsia="Calibri" w:hAnsi="Palatino Linotype"/>
          <w:lang w:val="es-ES_tradnl"/>
        </w:rPr>
        <w:lastRenderedPageBreak/>
        <w:t xml:space="preserve">fundó ni motivó su omisión, su falta de actuación en relación a sus obligaciones de garantizar el acceso a la información pública. </w:t>
      </w:r>
    </w:p>
    <w:p w14:paraId="369306AC" w14:textId="77777777" w:rsidR="00191180" w:rsidRPr="00FC5408" w:rsidRDefault="00191180" w:rsidP="006F7BEF">
      <w:pPr>
        <w:tabs>
          <w:tab w:val="left" w:pos="426"/>
        </w:tabs>
        <w:suppressAutoHyphens w:val="0"/>
        <w:spacing w:before="240" w:after="240" w:line="360" w:lineRule="auto"/>
        <w:contextualSpacing/>
        <w:jc w:val="both"/>
        <w:rPr>
          <w:rFonts w:ascii="Palatino Linotype" w:eastAsia="Calibri" w:hAnsi="Palatino Linotype"/>
          <w:lang w:val="es-ES_tradnl"/>
        </w:rPr>
      </w:pPr>
    </w:p>
    <w:p w14:paraId="4173CC60" w14:textId="53282840" w:rsidR="00191180" w:rsidRPr="00FC5408" w:rsidRDefault="00191180" w:rsidP="002B0824">
      <w:pPr>
        <w:numPr>
          <w:ilvl w:val="0"/>
          <w:numId w:val="9"/>
        </w:numPr>
        <w:tabs>
          <w:tab w:val="left" w:pos="426"/>
        </w:tabs>
        <w:suppressAutoHyphens w:val="0"/>
        <w:spacing w:before="240" w:after="240" w:line="360" w:lineRule="auto"/>
        <w:ind w:left="0" w:firstLine="0"/>
        <w:contextualSpacing/>
        <w:jc w:val="both"/>
        <w:rPr>
          <w:rFonts w:ascii="Palatino Linotype" w:eastAsia="Calibri" w:hAnsi="Palatino Linotype"/>
          <w:lang w:val="es-ES_tradnl"/>
        </w:rPr>
      </w:pPr>
      <w:r w:rsidRPr="00FC5408">
        <w:rPr>
          <w:rFonts w:ascii="Palatino Linotype" w:eastAsia="Calibri" w:hAnsi="Palatino Linotype"/>
          <w:lang w:val="es-ES_tradnl"/>
        </w:rPr>
        <w:t>Dicha omisión implica un incumplimiento de las obligaciones que la Ley de Transparencia y Acceso a la Información del Estado de M</w:t>
      </w:r>
      <w:r w:rsidR="00C24339" w:rsidRPr="00FC5408">
        <w:rPr>
          <w:rFonts w:ascii="Palatino Linotype" w:eastAsia="Calibri" w:hAnsi="Palatino Linotype"/>
          <w:lang w:val="es-ES_tradnl"/>
        </w:rPr>
        <w:t xml:space="preserve">éxico y Municipios le impone al ente recurrido </w:t>
      </w:r>
      <w:r w:rsidRPr="00FC5408">
        <w:rPr>
          <w:rFonts w:ascii="Palatino Linotype" w:eastAsia="Calibri" w:hAnsi="Palatino Linotype"/>
          <w:lang w:val="es-ES_tradnl"/>
        </w:rPr>
        <w:t xml:space="preserve">como </w:t>
      </w:r>
      <w:r w:rsidRPr="00FC5408">
        <w:rPr>
          <w:rFonts w:ascii="Palatino Linotype" w:eastAsia="Calibri" w:hAnsi="Palatino Linotype"/>
          <w:b/>
          <w:bCs/>
          <w:lang w:val="es-ES_tradnl"/>
        </w:rPr>
        <w:t>SUJETO OBLIGADO</w:t>
      </w:r>
      <w:r w:rsidRPr="00FC5408">
        <w:rPr>
          <w:rFonts w:ascii="Palatino Linotype" w:eastAsia="Calibri" w:hAnsi="Palatino Linotype"/>
          <w:lang w:val="es-ES_tradnl"/>
        </w:rPr>
        <w:t>, de conformidad con el artículo 23 fracción IV, que a la letra dice:</w:t>
      </w:r>
    </w:p>
    <w:p w14:paraId="12745B31" w14:textId="77777777" w:rsidR="00191180" w:rsidRPr="00FC5408" w:rsidRDefault="00191180" w:rsidP="006F7BEF">
      <w:pPr>
        <w:suppressAutoHyphens w:val="0"/>
        <w:spacing w:line="360" w:lineRule="auto"/>
        <w:ind w:left="720"/>
        <w:contextualSpacing/>
        <w:rPr>
          <w:rFonts w:ascii="Palatino Linotype" w:eastAsia="Calibri" w:hAnsi="Palatino Linotype"/>
          <w:sz w:val="22"/>
          <w:lang w:val="es-ES_tradnl"/>
        </w:rPr>
      </w:pPr>
    </w:p>
    <w:p w14:paraId="0472FCC4" w14:textId="5219D0D5" w:rsidR="00780970" w:rsidRPr="00FC5408" w:rsidRDefault="00191180" w:rsidP="0052357F">
      <w:pPr>
        <w:suppressAutoHyphens w:val="0"/>
        <w:spacing w:before="240" w:after="240" w:line="360" w:lineRule="auto"/>
        <w:ind w:left="567" w:right="567"/>
        <w:contextualSpacing/>
        <w:rPr>
          <w:rFonts w:ascii="Palatino Linotype" w:eastAsia="Calibri" w:hAnsi="Palatino Linotype"/>
          <w:b/>
          <w:bCs/>
          <w:i/>
          <w:sz w:val="22"/>
          <w:lang w:val="es-ES_tradnl"/>
        </w:rPr>
      </w:pPr>
      <w:r w:rsidRPr="00FC5408">
        <w:rPr>
          <w:rFonts w:ascii="Palatino Linotype" w:eastAsia="Calibri" w:hAnsi="Palatino Linotype"/>
          <w:b/>
          <w:bCs/>
          <w:i/>
          <w:sz w:val="22"/>
          <w:lang w:val="es-ES_tradnl"/>
        </w:rPr>
        <w:t>“</w:t>
      </w:r>
      <w:r w:rsidR="0052357F" w:rsidRPr="00FC5408">
        <w:rPr>
          <w:rFonts w:ascii="Palatino Linotype" w:eastAsia="Calibri" w:hAnsi="Palatino Linotype"/>
          <w:b/>
          <w:bCs/>
          <w:i/>
          <w:sz w:val="22"/>
        </w:rPr>
        <w:t>Artículo 23. Son sujetos obligados a transparentar y permitir el acceso a su información y proteger los datos personales que obren en su poder:</w:t>
      </w:r>
    </w:p>
    <w:p w14:paraId="3349F5F3" w14:textId="3940580C" w:rsidR="00191180" w:rsidRPr="00FC5408" w:rsidRDefault="00191180" w:rsidP="006F7BEF">
      <w:pPr>
        <w:suppressAutoHyphens w:val="0"/>
        <w:spacing w:before="240" w:after="240" w:line="360" w:lineRule="auto"/>
        <w:ind w:left="567" w:right="567"/>
        <w:contextualSpacing/>
        <w:rPr>
          <w:rFonts w:ascii="Palatino Linotype" w:eastAsia="Calibri" w:hAnsi="Palatino Linotype"/>
          <w:bCs/>
          <w:i/>
          <w:sz w:val="22"/>
          <w:lang w:val="es-ES_tradnl"/>
        </w:rPr>
      </w:pPr>
      <w:r w:rsidRPr="00FC5408">
        <w:rPr>
          <w:rFonts w:ascii="Palatino Linotype" w:eastAsia="Calibri" w:hAnsi="Palatino Linotype"/>
          <w:bCs/>
          <w:i/>
          <w:sz w:val="22"/>
          <w:lang w:val="es-ES_tradnl"/>
        </w:rPr>
        <w:t>(…)</w:t>
      </w:r>
    </w:p>
    <w:p w14:paraId="747EA0BE" w14:textId="27C2694C" w:rsidR="0052357F" w:rsidRPr="00FC5408" w:rsidRDefault="0052357F" w:rsidP="006F7BEF">
      <w:pPr>
        <w:suppressAutoHyphens w:val="0"/>
        <w:spacing w:before="240" w:after="240" w:line="360" w:lineRule="auto"/>
        <w:ind w:left="567" w:right="567"/>
        <w:contextualSpacing/>
        <w:rPr>
          <w:rFonts w:ascii="Palatino Linotype" w:eastAsia="Calibri" w:hAnsi="Palatino Linotype"/>
          <w:bCs/>
          <w:i/>
          <w:sz w:val="22"/>
          <w:lang w:val="es-ES_tradnl"/>
        </w:rPr>
      </w:pPr>
      <w:r w:rsidRPr="00FC5408">
        <w:rPr>
          <w:rFonts w:ascii="Palatino Linotype" w:eastAsia="Calibri" w:hAnsi="Palatino Linotype"/>
          <w:bCs/>
          <w:i/>
          <w:sz w:val="22"/>
        </w:rPr>
        <w:t>IV. Los ayuntamientos y las dependencias, organismos, órganos y entidades de la administración municipal;</w:t>
      </w:r>
    </w:p>
    <w:p w14:paraId="761E2046" w14:textId="460B7B86" w:rsidR="00191180" w:rsidRPr="00FC5408" w:rsidRDefault="00191180" w:rsidP="006F7BEF">
      <w:pPr>
        <w:suppressAutoHyphens w:val="0"/>
        <w:spacing w:before="240" w:after="240" w:line="360" w:lineRule="auto"/>
        <w:ind w:left="567" w:right="567"/>
        <w:contextualSpacing/>
        <w:rPr>
          <w:rFonts w:ascii="Palatino Linotype" w:eastAsia="Calibri" w:hAnsi="Palatino Linotype"/>
          <w:bCs/>
          <w:i/>
          <w:sz w:val="22"/>
          <w:lang w:val="es-ES_tradnl"/>
        </w:rPr>
      </w:pPr>
      <w:r w:rsidRPr="00FC5408">
        <w:rPr>
          <w:rFonts w:ascii="Palatino Linotype" w:eastAsia="Calibri" w:hAnsi="Palatino Linotype"/>
          <w:bCs/>
          <w:i/>
          <w:sz w:val="22"/>
          <w:lang w:val="es-ES_tradnl"/>
        </w:rPr>
        <w:t>(…)”</w:t>
      </w:r>
    </w:p>
    <w:p w14:paraId="418EB007" w14:textId="77777777" w:rsidR="0052357F" w:rsidRPr="00FC5408" w:rsidRDefault="0052357F" w:rsidP="006F7BEF">
      <w:pPr>
        <w:suppressAutoHyphens w:val="0"/>
        <w:spacing w:before="240" w:after="240" w:line="360" w:lineRule="auto"/>
        <w:ind w:left="567" w:right="567"/>
        <w:contextualSpacing/>
        <w:rPr>
          <w:rFonts w:ascii="Palatino Linotype" w:eastAsia="Calibri" w:hAnsi="Palatino Linotype"/>
          <w:bCs/>
          <w:iCs/>
          <w:sz w:val="22"/>
          <w:lang w:val="es-ES_tradnl"/>
        </w:rPr>
      </w:pPr>
    </w:p>
    <w:p w14:paraId="7CC91A55" w14:textId="77777777" w:rsidR="00191180" w:rsidRPr="00FC5408" w:rsidRDefault="00191180" w:rsidP="006F7BEF">
      <w:pPr>
        <w:suppressAutoHyphens w:val="0"/>
        <w:spacing w:before="240" w:after="240" w:line="360" w:lineRule="auto"/>
        <w:ind w:left="567" w:right="567"/>
        <w:contextualSpacing/>
        <w:rPr>
          <w:rFonts w:ascii="Palatino Linotype" w:eastAsia="Calibri" w:hAnsi="Palatino Linotype"/>
          <w:bCs/>
          <w:iCs/>
          <w:sz w:val="22"/>
          <w:lang w:val="es-ES_tradnl"/>
        </w:rPr>
      </w:pPr>
      <w:r w:rsidRPr="00FC5408">
        <w:rPr>
          <w:rFonts w:ascii="Palatino Linotype" w:eastAsia="Calibri" w:hAnsi="Palatino Linotype"/>
          <w:bCs/>
          <w:iCs/>
          <w:sz w:val="22"/>
          <w:lang w:val="es-ES_tradnl"/>
        </w:rPr>
        <w:t>(Énfasis añadido)</w:t>
      </w:r>
    </w:p>
    <w:p w14:paraId="4A04274A" w14:textId="77777777" w:rsidR="00191180" w:rsidRPr="00FC5408" w:rsidRDefault="00191180" w:rsidP="006F7BEF">
      <w:pPr>
        <w:suppressAutoHyphens w:val="0"/>
        <w:spacing w:line="360" w:lineRule="auto"/>
        <w:ind w:left="720"/>
        <w:contextualSpacing/>
        <w:rPr>
          <w:rFonts w:ascii="Palatino Linotype" w:eastAsia="Calibri" w:hAnsi="Palatino Linotype"/>
          <w:lang w:val="es-ES_tradnl"/>
        </w:rPr>
      </w:pPr>
    </w:p>
    <w:p w14:paraId="1C6417D4" w14:textId="7205C615" w:rsidR="00191180" w:rsidRPr="00FC5408" w:rsidRDefault="00191180" w:rsidP="002B0824">
      <w:pPr>
        <w:numPr>
          <w:ilvl w:val="0"/>
          <w:numId w:val="9"/>
        </w:numPr>
        <w:tabs>
          <w:tab w:val="left" w:pos="426"/>
        </w:tabs>
        <w:suppressAutoHyphens w:val="0"/>
        <w:spacing w:before="240" w:after="240" w:line="360" w:lineRule="auto"/>
        <w:ind w:left="0" w:firstLine="0"/>
        <w:contextualSpacing/>
        <w:jc w:val="both"/>
        <w:rPr>
          <w:rFonts w:ascii="Palatino Linotype" w:eastAsia="Calibri" w:hAnsi="Palatino Linotype"/>
          <w:lang w:val="es-ES_tradnl"/>
        </w:rPr>
      </w:pPr>
      <w:r w:rsidRPr="00FC5408">
        <w:rPr>
          <w:rFonts w:ascii="Palatino Linotype" w:eastAsia="Calibri" w:hAnsi="Palatino Linotype"/>
          <w:lang w:val="es-ES_tradnl"/>
        </w:rPr>
        <w:t xml:space="preserve">Así, en calidad de </w:t>
      </w:r>
      <w:r w:rsidRPr="00FC5408">
        <w:rPr>
          <w:rFonts w:ascii="Palatino Linotype" w:eastAsia="Calibri" w:hAnsi="Palatino Linotype"/>
          <w:b/>
          <w:lang w:val="es-ES_tradnl"/>
        </w:rPr>
        <w:t>SUJETO OBLIGADO</w:t>
      </w:r>
      <w:r w:rsidR="00E50771" w:rsidRPr="00FC5408">
        <w:rPr>
          <w:rFonts w:ascii="Palatino Linotype" w:eastAsia="Calibri" w:hAnsi="Palatino Linotype"/>
          <w:lang w:val="es-ES_tradnl"/>
        </w:rPr>
        <w:t xml:space="preserve">, </w:t>
      </w:r>
      <w:r w:rsidR="00C6174F" w:rsidRPr="00FC5408">
        <w:rPr>
          <w:rFonts w:ascii="Palatino Linotype" w:eastAsia="Calibri" w:hAnsi="Palatino Linotype"/>
          <w:b/>
          <w:lang w:val="es-ES_tradnl"/>
        </w:rPr>
        <w:t>el</w:t>
      </w:r>
      <w:r w:rsidR="002B0824" w:rsidRPr="00FC5408">
        <w:rPr>
          <w:rFonts w:ascii="Palatino Linotype" w:eastAsia="Calibri" w:hAnsi="Palatino Linotype"/>
          <w:lang w:val="es-ES_tradnl"/>
        </w:rPr>
        <w:t xml:space="preserve"> </w:t>
      </w:r>
      <w:r w:rsidR="002B0824" w:rsidRPr="00FC5408">
        <w:rPr>
          <w:rFonts w:ascii="Palatino Linotype" w:eastAsia="Calibri" w:hAnsi="Palatino Linotype"/>
          <w:b/>
          <w:lang w:val="es-ES_tradnl"/>
        </w:rPr>
        <w:t>Ayuntamiento de</w:t>
      </w:r>
      <w:r w:rsidR="00C809FF" w:rsidRPr="00FC5408">
        <w:rPr>
          <w:rFonts w:ascii="Palatino Linotype" w:eastAsia="Calibri" w:hAnsi="Palatino Linotype"/>
          <w:b/>
          <w:lang w:val="es-ES_tradnl"/>
        </w:rPr>
        <w:t xml:space="preserve"> Zinacantepec</w:t>
      </w:r>
      <w:r w:rsidR="005040F5" w:rsidRPr="00FC5408">
        <w:rPr>
          <w:rFonts w:ascii="Palatino Linotype" w:eastAsia="Calibri" w:hAnsi="Palatino Linotype"/>
          <w:b/>
          <w:lang w:val="es-ES_tradnl"/>
        </w:rPr>
        <w:t xml:space="preserve">, </w:t>
      </w:r>
      <w:r w:rsidRPr="00FC5408">
        <w:rPr>
          <w:rFonts w:ascii="Palatino Linotype" w:eastAsia="Calibri" w:hAnsi="Palatino Linotype"/>
          <w:lang w:val="es-ES_tradnl"/>
        </w:rPr>
        <w:t xml:space="preserve">se encuentra constreñido a respetar y cumplir el Derecho Humano de Acceso a la Información Pública consignado de igual forma como ya se refirió por la Constitución Política de los Estados Unidos Mexicanos y la Constitución Política del Estado Libre y Soberano de México respectivamente: </w:t>
      </w:r>
    </w:p>
    <w:p w14:paraId="6E9F63D0" w14:textId="77777777" w:rsidR="00191180" w:rsidRPr="00FC5408" w:rsidRDefault="00191180" w:rsidP="006F7BEF">
      <w:pPr>
        <w:suppressAutoHyphens w:val="0"/>
        <w:spacing w:line="360" w:lineRule="auto"/>
        <w:ind w:left="567" w:right="567"/>
        <w:jc w:val="center"/>
        <w:rPr>
          <w:rFonts w:ascii="Palatino Linotype" w:hAnsi="Palatino Linotype" w:cs="Arial"/>
          <w:b/>
          <w:bCs/>
          <w:i/>
          <w:sz w:val="22"/>
          <w:lang w:val="es-ES_tradnl"/>
        </w:rPr>
      </w:pPr>
      <w:r w:rsidRPr="00FC5408">
        <w:rPr>
          <w:rFonts w:ascii="Palatino Linotype" w:hAnsi="Palatino Linotype" w:cs="Arial"/>
          <w:b/>
          <w:bCs/>
          <w:i/>
          <w:sz w:val="22"/>
          <w:lang w:val="es-ES_tradnl"/>
        </w:rPr>
        <w:t>Constitución Política de los Estados Unidos Mexicanos</w:t>
      </w:r>
    </w:p>
    <w:p w14:paraId="73C503AB"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p>
    <w:p w14:paraId="682AA08B" w14:textId="77777777" w:rsidR="00191180" w:rsidRPr="00FC5408" w:rsidRDefault="00191180" w:rsidP="006F7BEF">
      <w:pPr>
        <w:suppressAutoHyphens w:val="0"/>
        <w:spacing w:line="360" w:lineRule="auto"/>
        <w:ind w:left="567" w:right="567"/>
        <w:jc w:val="both"/>
        <w:rPr>
          <w:rFonts w:ascii="Palatino Linotype" w:hAnsi="Palatino Linotype" w:cs="Arial"/>
          <w:b/>
          <w:bCs/>
          <w:i/>
          <w:sz w:val="22"/>
          <w:lang w:val="es-ES_tradnl"/>
        </w:rPr>
      </w:pPr>
      <w:r w:rsidRPr="00FC5408">
        <w:rPr>
          <w:rFonts w:ascii="Palatino Linotype" w:hAnsi="Palatino Linotype" w:cs="Arial"/>
          <w:b/>
          <w:bCs/>
          <w:i/>
          <w:sz w:val="22"/>
          <w:lang w:val="es-ES_tradnl"/>
        </w:rPr>
        <w:t>“Artículo 6.</w:t>
      </w:r>
      <w:r w:rsidRPr="00FC5408">
        <w:rPr>
          <w:rFonts w:ascii="Palatino Linotype" w:hAnsi="Palatino Linotype" w:cs="Arial"/>
          <w:bCs/>
          <w:i/>
          <w:sz w:val="22"/>
          <w:lang w:val="es-ES_tradnl"/>
        </w:rPr>
        <w:t xml:space="preserve"> …</w:t>
      </w:r>
    </w:p>
    <w:p w14:paraId="465DE437" w14:textId="1E9D48D1" w:rsidR="00191180" w:rsidRPr="00FC5408" w:rsidRDefault="0078097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Cs/>
          <w:i/>
          <w:sz w:val="22"/>
          <w:lang w:val="es-ES_tradnl"/>
        </w:rPr>
        <w:t>(</w:t>
      </w:r>
      <w:r w:rsidR="00191180" w:rsidRPr="00FC5408">
        <w:rPr>
          <w:rFonts w:ascii="Palatino Linotype" w:hAnsi="Palatino Linotype" w:cs="Arial"/>
          <w:bCs/>
          <w:i/>
          <w:sz w:val="22"/>
          <w:lang w:val="es-ES_tradnl"/>
        </w:rPr>
        <w:t>…</w:t>
      </w:r>
      <w:r w:rsidRPr="00FC5408">
        <w:rPr>
          <w:rFonts w:ascii="Palatino Linotype" w:hAnsi="Palatino Linotype" w:cs="Arial"/>
          <w:bCs/>
          <w:i/>
          <w:sz w:val="22"/>
          <w:lang w:val="es-ES_tradnl"/>
        </w:rPr>
        <w:t>)</w:t>
      </w:r>
    </w:p>
    <w:p w14:paraId="1B08E527"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Cs/>
          <w:i/>
          <w:sz w:val="22"/>
          <w:lang w:val="es-ES_tradnl"/>
        </w:rPr>
        <w:lastRenderedPageBreak/>
        <w:t>Para efectos de lo dispuesto en el presente artículo se observará lo siguiente:</w:t>
      </w:r>
    </w:p>
    <w:p w14:paraId="3F4BD479" w14:textId="77777777" w:rsidR="00191180" w:rsidRPr="00FC5408" w:rsidRDefault="00191180" w:rsidP="006F7BEF">
      <w:pPr>
        <w:suppressAutoHyphens w:val="0"/>
        <w:spacing w:line="360" w:lineRule="auto"/>
        <w:ind w:left="567" w:right="567"/>
        <w:jc w:val="both"/>
        <w:rPr>
          <w:rFonts w:ascii="Palatino Linotype" w:hAnsi="Palatino Linotype" w:cs="Arial"/>
          <w:b/>
          <w:bCs/>
          <w:i/>
          <w:sz w:val="22"/>
          <w:lang w:val="es-ES_tradnl"/>
        </w:rPr>
      </w:pPr>
      <w:r w:rsidRPr="00FC5408">
        <w:rPr>
          <w:rFonts w:ascii="Palatino Linotype" w:hAnsi="Palatino Linotype" w:cs="Arial"/>
          <w:b/>
          <w:bCs/>
          <w:i/>
          <w:sz w:val="22"/>
          <w:lang w:val="es-ES_tradnl"/>
        </w:rPr>
        <w:t>A</w:t>
      </w:r>
      <w:r w:rsidRPr="00FC5408">
        <w:rPr>
          <w:rFonts w:ascii="Palatino Linotype" w:hAnsi="Palatino Linotype" w:cs="Arial"/>
          <w:bCs/>
          <w:i/>
          <w:sz w:val="22"/>
          <w:lang w:val="es-ES_tradnl"/>
        </w:rPr>
        <w:t xml:space="preserve">. </w:t>
      </w:r>
      <w:r w:rsidRPr="00FC5408">
        <w:rPr>
          <w:rFonts w:ascii="Palatino Linotype" w:hAnsi="Palatino Linotype" w:cs="Arial"/>
          <w:b/>
          <w:bCs/>
          <w:i/>
          <w:sz w:val="22"/>
          <w:lang w:val="es-ES_tradnl"/>
        </w:rPr>
        <w:t>Para el ejercicio del derecho de acceso a la información</w:t>
      </w:r>
      <w:r w:rsidRPr="00FC5408">
        <w:rPr>
          <w:rFonts w:ascii="Palatino Linotype" w:hAnsi="Palatino Linotype" w:cs="Arial"/>
          <w:bCs/>
          <w:i/>
          <w:sz w:val="22"/>
          <w:lang w:val="es-ES_tradnl"/>
        </w:rPr>
        <w:t xml:space="preserve">, la Federación y </w:t>
      </w:r>
      <w:r w:rsidRPr="00FC5408">
        <w:rPr>
          <w:rFonts w:ascii="Palatino Linotype" w:hAnsi="Palatino Linotype" w:cs="Arial"/>
          <w:b/>
          <w:bCs/>
          <w:i/>
          <w:sz w:val="22"/>
          <w:lang w:val="es-ES_tradnl"/>
        </w:rPr>
        <w:t>las entidades federativas, en el ámbito de sus respectivas competencias, se regirán por los siguientes principios y bases:</w:t>
      </w:r>
    </w:p>
    <w:p w14:paraId="5B22EE7C" w14:textId="77777777" w:rsidR="00191180" w:rsidRPr="00FC5408" w:rsidRDefault="00191180" w:rsidP="006F7BEF">
      <w:pPr>
        <w:suppressAutoHyphens w:val="0"/>
        <w:spacing w:line="360" w:lineRule="auto"/>
        <w:ind w:left="567" w:right="567"/>
        <w:jc w:val="both"/>
        <w:rPr>
          <w:rFonts w:ascii="Palatino Linotype" w:hAnsi="Palatino Linotype" w:cs="Arial"/>
          <w:b/>
          <w:bCs/>
          <w:i/>
          <w:sz w:val="22"/>
          <w:lang w:val="es-ES_tradnl"/>
        </w:rPr>
      </w:pPr>
    </w:p>
    <w:p w14:paraId="662404A7"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
          <w:bCs/>
          <w:i/>
          <w:sz w:val="22"/>
          <w:lang w:val="es-ES_tradnl"/>
        </w:rPr>
        <w:t xml:space="preserve">I. </w:t>
      </w:r>
      <w:r w:rsidRPr="00FC5408">
        <w:rPr>
          <w:rFonts w:ascii="Palatino Linotype" w:hAnsi="Palatino Linotype" w:cs="Arial"/>
          <w:b/>
          <w:bCs/>
          <w:i/>
          <w:sz w:val="22"/>
          <w:lang w:val="es-ES_tradnl"/>
        </w:rPr>
        <w:tab/>
        <w:t>Toda la información en posesión de cualquier</w:t>
      </w:r>
      <w:r w:rsidRPr="00FC5408">
        <w:rPr>
          <w:rFonts w:ascii="Palatino Linotype" w:hAnsi="Palatino Linotype" w:cs="Arial"/>
          <w:bCs/>
          <w:i/>
          <w:sz w:val="22"/>
          <w:lang w:val="es-ES_tradnl"/>
        </w:rPr>
        <w:t xml:space="preserve"> </w:t>
      </w:r>
      <w:r w:rsidRPr="00FC5408">
        <w:rPr>
          <w:rFonts w:ascii="Palatino Linotype" w:hAnsi="Palatino Linotype" w:cs="Arial"/>
          <w:b/>
          <w:bCs/>
          <w:i/>
          <w:sz w:val="22"/>
          <w:lang w:val="es-ES_tradnl"/>
        </w:rPr>
        <w:t>autoridad</w:t>
      </w:r>
      <w:r w:rsidRPr="00FC5408">
        <w:rPr>
          <w:rFonts w:ascii="Palatino Linotype"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C5408">
        <w:rPr>
          <w:rFonts w:ascii="Palatino Linotype" w:hAnsi="Palatino Linotype" w:cs="Arial"/>
          <w:b/>
          <w:bCs/>
          <w:i/>
          <w:sz w:val="22"/>
          <w:lang w:val="es-ES_tradnl"/>
        </w:rPr>
        <w:t>municipal</w:t>
      </w:r>
      <w:r w:rsidRPr="00FC5408">
        <w:rPr>
          <w:rFonts w:ascii="Palatino Linotype" w:hAnsi="Palatino Linotype" w:cs="Arial"/>
          <w:bCs/>
          <w:i/>
          <w:sz w:val="22"/>
          <w:lang w:val="es-ES_tradnl"/>
        </w:rPr>
        <w:t xml:space="preserve">, </w:t>
      </w:r>
      <w:r w:rsidRPr="00FC5408">
        <w:rPr>
          <w:rFonts w:ascii="Palatino Linotype" w:hAnsi="Palatino Linotype" w:cs="Arial"/>
          <w:b/>
          <w:bCs/>
          <w:i/>
          <w:sz w:val="22"/>
          <w:lang w:val="es-ES_tradnl"/>
        </w:rPr>
        <w:t>es pública</w:t>
      </w:r>
      <w:r w:rsidRPr="00FC5408">
        <w:rPr>
          <w:rFonts w:ascii="Palatino Linotype" w:hAnsi="Palatino Linotype" w:cs="Arial"/>
          <w:bCs/>
          <w:i/>
          <w:sz w:val="22"/>
          <w:lang w:val="es-ES_tradnl"/>
        </w:rPr>
        <w:t xml:space="preserve"> y sólo podrá ser reservada temporalmente por razones de interés público y seguridad nacional, en los términos que fijen las leyes. </w:t>
      </w:r>
      <w:r w:rsidRPr="00FC5408">
        <w:rPr>
          <w:rFonts w:ascii="Palatino Linotype"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FC5408">
        <w:rPr>
          <w:rFonts w:ascii="Palatino Linotype" w:hAnsi="Palatino Linotype" w:cs="Arial"/>
          <w:bCs/>
          <w:i/>
          <w:sz w:val="22"/>
          <w:lang w:val="es-ES_tradnl"/>
        </w:rPr>
        <w:t>, la ley determinará los supuestos específicos bajo los cuales procederá la declaración de inexistencia de la información.”</w:t>
      </w:r>
    </w:p>
    <w:p w14:paraId="0ED3734E"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Cs/>
          <w:i/>
          <w:sz w:val="22"/>
          <w:lang w:val="es-ES_tradnl"/>
        </w:rPr>
        <w:t xml:space="preserve">(Énfasis añadido) </w:t>
      </w:r>
    </w:p>
    <w:p w14:paraId="44FE357A" w14:textId="77777777" w:rsidR="00191180" w:rsidRPr="00FC5408" w:rsidRDefault="00191180" w:rsidP="006F7BEF">
      <w:pPr>
        <w:suppressAutoHyphens w:val="0"/>
        <w:spacing w:line="360" w:lineRule="auto"/>
        <w:ind w:right="567"/>
        <w:jc w:val="both"/>
        <w:rPr>
          <w:rFonts w:ascii="Palatino Linotype" w:hAnsi="Palatino Linotype" w:cs="Arial"/>
          <w:b/>
          <w:bCs/>
          <w:i/>
          <w:sz w:val="22"/>
          <w:lang w:val="es-ES_tradnl"/>
        </w:rPr>
      </w:pPr>
    </w:p>
    <w:p w14:paraId="67565F7C" w14:textId="77777777" w:rsidR="00191180" w:rsidRPr="00FC5408" w:rsidRDefault="00191180" w:rsidP="006F7BEF">
      <w:pPr>
        <w:suppressAutoHyphens w:val="0"/>
        <w:spacing w:line="360" w:lineRule="auto"/>
        <w:ind w:left="567" w:right="567"/>
        <w:jc w:val="center"/>
        <w:rPr>
          <w:rFonts w:ascii="Palatino Linotype" w:hAnsi="Palatino Linotype" w:cs="Arial"/>
          <w:b/>
          <w:bCs/>
          <w:i/>
          <w:sz w:val="22"/>
          <w:lang w:val="es-ES_tradnl"/>
        </w:rPr>
      </w:pPr>
      <w:r w:rsidRPr="00FC5408">
        <w:rPr>
          <w:rFonts w:ascii="Palatino Linotype" w:hAnsi="Palatino Linotype" w:cs="Arial"/>
          <w:b/>
          <w:bCs/>
          <w:i/>
          <w:sz w:val="22"/>
          <w:lang w:val="es-ES_tradnl"/>
        </w:rPr>
        <w:t>Constitución Política del Estado Libre y Soberano de México</w:t>
      </w:r>
    </w:p>
    <w:p w14:paraId="0E3479DB" w14:textId="77777777" w:rsidR="00B45C3B" w:rsidRPr="00FC5408" w:rsidRDefault="00B45C3B" w:rsidP="006F7BEF">
      <w:pPr>
        <w:suppressAutoHyphens w:val="0"/>
        <w:spacing w:line="360" w:lineRule="auto"/>
        <w:ind w:right="567"/>
        <w:jc w:val="both"/>
        <w:rPr>
          <w:rFonts w:ascii="Palatino Linotype" w:hAnsi="Palatino Linotype" w:cs="Arial"/>
          <w:b/>
          <w:bCs/>
          <w:i/>
          <w:sz w:val="22"/>
          <w:lang w:val="es-ES_tradnl"/>
        </w:rPr>
      </w:pPr>
    </w:p>
    <w:p w14:paraId="733F5C93" w14:textId="0E338940" w:rsidR="00B45C3B"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
          <w:bCs/>
          <w:i/>
          <w:sz w:val="22"/>
          <w:lang w:val="es-ES_tradnl"/>
        </w:rPr>
        <w:t>“Artículo 5</w:t>
      </w:r>
      <w:r w:rsidR="00B45C3B" w:rsidRPr="00FC5408">
        <w:rPr>
          <w:rFonts w:ascii="Palatino Linotype" w:hAnsi="Palatino Linotype" w:cs="Arial"/>
          <w:bCs/>
          <w:i/>
          <w:sz w:val="22"/>
          <w:lang w:val="es-ES_tradnl"/>
        </w:rPr>
        <w:t>.-</w:t>
      </w:r>
    </w:p>
    <w:p w14:paraId="5D84D977" w14:textId="76068593" w:rsidR="00191180" w:rsidRPr="00FC5408" w:rsidRDefault="00B45C3B"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Cs/>
          <w:i/>
          <w:sz w:val="22"/>
          <w:lang w:val="es-ES_tradnl"/>
        </w:rPr>
        <w:t>(</w:t>
      </w:r>
      <w:r w:rsidR="00191180" w:rsidRPr="00FC5408">
        <w:rPr>
          <w:rFonts w:ascii="Palatino Linotype" w:hAnsi="Palatino Linotype" w:cs="Arial"/>
          <w:bCs/>
          <w:i/>
          <w:sz w:val="22"/>
          <w:lang w:val="es-ES_tradnl"/>
        </w:rPr>
        <w:t>…</w:t>
      </w:r>
      <w:r w:rsidRPr="00FC5408">
        <w:rPr>
          <w:rFonts w:ascii="Palatino Linotype" w:hAnsi="Palatino Linotype" w:cs="Arial"/>
          <w:bCs/>
          <w:i/>
          <w:sz w:val="22"/>
          <w:lang w:val="es-ES_tradnl"/>
        </w:rPr>
        <w:t>)</w:t>
      </w:r>
    </w:p>
    <w:p w14:paraId="4C97892A"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
          <w:bCs/>
          <w:i/>
          <w:sz w:val="22"/>
          <w:lang w:val="es-ES_tradnl"/>
        </w:rPr>
        <w:t>El derecho a la información será garantizado por el Estado. La ley establecerá las previsiones que permitan asegurar la protección, el respeto y la difusión de este derecho</w:t>
      </w:r>
      <w:r w:rsidRPr="00FC5408">
        <w:rPr>
          <w:rFonts w:ascii="Palatino Linotype" w:hAnsi="Palatino Linotype" w:cs="Arial"/>
          <w:bCs/>
          <w:i/>
          <w:sz w:val="22"/>
          <w:lang w:val="es-ES_tradnl"/>
        </w:rPr>
        <w:t>.</w:t>
      </w:r>
    </w:p>
    <w:p w14:paraId="6C75EF6A"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Cs/>
          <w:i/>
          <w:sz w:val="22"/>
          <w:lang w:val="es-ES_tradnl"/>
        </w:rPr>
        <w:t xml:space="preserve">Para garantizar el ejercicio del derecho de transparencia, acceso a la información pública y protección de datos personales, los poderes públicos y los organismos autónomos, </w:t>
      </w:r>
      <w:r w:rsidRPr="00FC5408">
        <w:rPr>
          <w:rFonts w:ascii="Palatino Linotype" w:hAnsi="Palatino Linotype" w:cs="Arial"/>
          <w:bCs/>
          <w:i/>
          <w:sz w:val="22"/>
          <w:lang w:val="es-ES_tradnl"/>
        </w:rPr>
        <w:lastRenderedPageBreak/>
        <w:t>transparentarán sus acciones, en términos de las disposiciones aplicables, la información será oportuna, clara, veraz y de fácil acceso.</w:t>
      </w:r>
    </w:p>
    <w:p w14:paraId="036EA993"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
          <w:bCs/>
          <w:i/>
          <w:sz w:val="22"/>
          <w:lang w:val="es-ES_tradnl"/>
        </w:rPr>
        <w:t>Este derecho se regirá por los principios y bases siguientes</w:t>
      </w:r>
      <w:r w:rsidRPr="00FC5408">
        <w:rPr>
          <w:rFonts w:ascii="Palatino Linotype" w:hAnsi="Palatino Linotype" w:cs="Arial"/>
          <w:bCs/>
          <w:i/>
          <w:sz w:val="22"/>
          <w:lang w:val="es-ES_tradnl"/>
        </w:rPr>
        <w:t>:</w:t>
      </w:r>
    </w:p>
    <w:p w14:paraId="476C2DD1"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
          <w:bCs/>
          <w:i/>
          <w:sz w:val="22"/>
          <w:lang w:val="es-ES_tradnl"/>
        </w:rPr>
        <w:t>I. Toda la información en posesión de cualquier autoridad, entidad, órgano y organismos de los</w:t>
      </w:r>
      <w:r w:rsidRPr="00FC5408">
        <w:rPr>
          <w:rFonts w:ascii="Palatino Linotype" w:hAnsi="Palatino Linotype" w:cs="Arial"/>
          <w:bCs/>
          <w:i/>
          <w:sz w:val="22"/>
          <w:lang w:val="es-ES_tradnl"/>
        </w:rPr>
        <w:t xml:space="preserve"> Poderes Ejecutivo, Legislativo y Judicial, órganos autónomos, partidos políticos, fideicomisos y fondos públicos estatales y </w:t>
      </w:r>
      <w:r w:rsidRPr="00FC5408">
        <w:rPr>
          <w:rFonts w:ascii="Palatino Linotype" w:hAnsi="Palatino Linotype" w:cs="Arial"/>
          <w:b/>
          <w:bCs/>
          <w:i/>
          <w:sz w:val="22"/>
          <w:lang w:val="es-ES_tradnl"/>
        </w:rPr>
        <w:t>municipales</w:t>
      </w:r>
      <w:r w:rsidRPr="00FC5408">
        <w:rPr>
          <w:rFonts w:ascii="Palatino Linotype"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C5408">
        <w:rPr>
          <w:rFonts w:ascii="Palatino Linotype" w:hAnsi="Palatino Linotype" w:cs="Arial"/>
          <w:b/>
          <w:bCs/>
          <w:i/>
          <w:sz w:val="22"/>
          <w:lang w:val="es-ES_tradnl"/>
        </w:rPr>
        <w:t>es pública</w:t>
      </w:r>
      <w:r w:rsidRPr="00FC5408">
        <w:rPr>
          <w:rFonts w:ascii="Palatino Linotype"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FC5408">
        <w:rPr>
          <w:rFonts w:ascii="Palatino Linotype" w:hAnsi="Palatino Linotype" w:cs="Arial"/>
          <w:b/>
          <w:bCs/>
          <w:i/>
          <w:sz w:val="22"/>
          <w:lang w:val="es-ES_tradnl"/>
        </w:rPr>
        <w:t>En la interpretación de este derecho deberá prevalecer el principio de máxima publicidad</w:t>
      </w:r>
      <w:r w:rsidRPr="00FC5408">
        <w:rPr>
          <w:rFonts w:ascii="Palatino Linotype" w:hAnsi="Palatino Linotype" w:cs="Arial"/>
          <w:bCs/>
          <w:i/>
          <w:sz w:val="22"/>
          <w:lang w:val="es-ES_tradnl"/>
        </w:rPr>
        <w:t xml:space="preserve">. </w:t>
      </w:r>
      <w:r w:rsidRPr="00FC5408">
        <w:rPr>
          <w:rFonts w:ascii="Palatino Linotype" w:hAnsi="Palatino Linotype" w:cs="Arial"/>
          <w:b/>
          <w:bCs/>
          <w:i/>
          <w:sz w:val="22"/>
          <w:lang w:val="es-ES_tradnl"/>
        </w:rPr>
        <w:t>Los sujetos obligados deberán documentar todo acto que derive del ejercicio de sus facultades, competencias o funciones</w:t>
      </w:r>
      <w:r w:rsidRPr="00FC5408">
        <w:rPr>
          <w:rFonts w:ascii="Palatino Linotype" w:hAnsi="Palatino Linotype" w:cs="Arial"/>
          <w:bCs/>
          <w:i/>
          <w:sz w:val="22"/>
          <w:lang w:val="es-ES_tradnl"/>
        </w:rPr>
        <w:t>, la ley determinará los supuestos específicos bajo los cuales procederá la declaración de inexistencia de la información.”</w:t>
      </w:r>
    </w:p>
    <w:p w14:paraId="640A483E" w14:textId="77777777" w:rsidR="00780970" w:rsidRPr="00FC5408" w:rsidRDefault="00780970" w:rsidP="006F7BEF">
      <w:pPr>
        <w:suppressAutoHyphens w:val="0"/>
        <w:spacing w:line="360" w:lineRule="auto"/>
        <w:ind w:left="567" w:right="567"/>
        <w:jc w:val="both"/>
        <w:rPr>
          <w:rFonts w:ascii="Palatino Linotype" w:hAnsi="Palatino Linotype" w:cs="Arial"/>
          <w:bCs/>
          <w:i/>
          <w:sz w:val="22"/>
          <w:lang w:val="es-ES_tradnl"/>
        </w:rPr>
      </w:pPr>
    </w:p>
    <w:p w14:paraId="1C26745C" w14:textId="77777777" w:rsidR="00191180" w:rsidRPr="00FC5408" w:rsidRDefault="00191180" w:rsidP="006F7BEF">
      <w:pPr>
        <w:suppressAutoHyphens w:val="0"/>
        <w:spacing w:line="360" w:lineRule="auto"/>
        <w:ind w:left="567" w:right="567"/>
        <w:jc w:val="both"/>
        <w:rPr>
          <w:rFonts w:ascii="Palatino Linotype" w:hAnsi="Palatino Linotype" w:cs="Arial"/>
          <w:bCs/>
          <w:i/>
          <w:sz w:val="22"/>
          <w:lang w:val="es-ES_tradnl"/>
        </w:rPr>
      </w:pPr>
      <w:r w:rsidRPr="00FC5408">
        <w:rPr>
          <w:rFonts w:ascii="Palatino Linotype" w:hAnsi="Palatino Linotype" w:cs="Arial"/>
          <w:bCs/>
          <w:i/>
          <w:sz w:val="22"/>
          <w:lang w:val="es-ES_tradnl"/>
        </w:rPr>
        <w:t xml:space="preserve">(Énfasis añadido) </w:t>
      </w:r>
    </w:p>
    <w:p w14:paraId="0A4AA133" w14:textId="77777777" w:rsidR="00191180" w:rsidRPr="00FC5408" w:rsidRDefault="00191180" w:rsidP="006F7BEF">
      <w:pPr>
        <w:suppressAutoHyphens w:val="0"/>
        <w:spacing w:line="360" w:lineRule="auto"/>
        <w:ind w:left="720"/>
        <w:contextualSpacing/>
        <w:rPr>
          <w:rFonts w:ascii="Palatino Linotype" w:eastAsia="Calibri" w:hAnsi="Palatino Linotype"/>
          <w:sz w:val="22"/>
          <w:lang w:val="es-ES_tradnl"/>
        </w:rPr>
      </w:pPr>
    </w:p>
    <w:p w14:paraId="6C16E8B5"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En virtud de ello, la información en posesión de cualquier organismo o dependencia municipal tiene el carácter de pública, en ese sentido, debe privilegiarse en todo momento el principio de máxima publicidad, establecido en el artículo 8 de la multicitada Ley de Transparencia: </w:t>
      </w:r>
    </w:p>
    <w:p w14:paraId="4A1950FA"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FC5408">
        <w:rPr>
          <w:rFonts w:ascii="Palatino Linotype" w:hAnsi="Palatino Linotype" w:cs="Arial"/>
          <w:i/>
          <w:sz w:val="22"/>
          <w:lang w:val="es-ES_tradnl"/>
        </w:rPr>
        <w:t>“</w:t>
      </w:r>
      <w:r w:rsidRPr="00FC5408">
        <w:rPr>
          <w:rFonts w:ascii="Palatino Linotype" w:hAnsi="Palatino Linotype" w:cs="Arial"/>
          <w:b/>
          <w:i/>
          <w:sz w:val="22"/>
          <w:lang w:val="es-ES_tradnl"/>
        </w:rPr>
        <w:t>Artículo 8.</w:t>
      </w:r>
      <w:r w:rsidRPr="00FC5408">
        <w:rPr>
          <w:rFonts w:ascii="Palatino Linotype"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484471D1"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p>
    <w:p w14:paraId="04CF4774"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FC5408">
        <w:rPr>
          <w:rFonts w:ascii="Palatino Linotype" w:hAnsi="Palatino Linotype" w:cs="Arial"/>
          <w:b/>
          <w:i/>
          <w:sz w:val="22"/>
          <w:lang w:val="es-ES_tradnl"/>
        </w:rPr>
        <w:t>En la aplicación e interpretación de la presente Ley deberá prevalecer el principio de máxima publicidad</w:t>
      </w:r>
      <w:r w:rsidRPr="00FC5408">
        <w:rPr>
          <w:rFonts w:ascii="Palatino Linotype"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FC5408">
        <w:rPr>
          <w:rFonts w:ascii="Palatino Linotype" w:hAnsi="Palatino Linotype" w:cs="Arial"/>
          <w:i/>
          <w:sz w:val="22"/>
          <w:lang w:val="es-ES_tradnl"/>
        </w:rPr>
        <w:t>pro</w:t>
      </w:r>
      <w:proofErr w:type="spellEnd"/>
      <w:r w:rsidRPr="00FC5408">
        <w:rPr>
          <w:rFonts w:ascii="Palatino Linotype" w:hAnsi="Palatino Linotype" w:cs="Arial"/>
          <w:i/>
          <w:sz w:val="22"/>
          <w:lang w:val="es-ES_tradnl"/>
        </w:rPr>
        <w:t xml:space="preserve"> persona.</w:t>
      </w:r>
    </w:p>
    <w:p w14:paraId="1EF4EF88"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p>
    <w:p w14:paraId="3595E556"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FC5408">
        <w:rPr>
          <w:rFonts w:ascii="Palatino Linotype"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28BDF2B"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Cs/>
          <w:sz w:val="22"/>
          <w:lang w:val="es-ES_tradnl"/>
        </w:rPr>
      </w:pPr>
      <w:r w:rsidRPr="00FC5408">
        <w:rPr>
          <w:rFonts w:ascii="Palatino Linotype" w:hAnsi="Palatino Linotype" w:cs="Arial"/>
          <w:iCs/>
          <w:sz w:val="22"/>
          <w:lang w:val="es-ES_tradnl"/>
        </w:rPr>
        <w:t xml:space="preserve">(Énfasis añadido) </w:t>
      </w:r>
    </w:p>
    <w:p w14:paraId="5AFD6709"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lang w:val="es-ES_tradnl"/>
        </w:rPr>
      </w:pPr>
    </w:p>
    <w:p w14:paraId="012B37C1" w14:textId="42332472" w:rsidR="00112B0A" w:rsidRPr="00FC5408"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Por tanto, en cumplimiento a las obligaciones que la Constitución Federal , la Constitución Estatal y la Ley de la materia, el </w:t>
      </w:r>
      <w:r w:rsidRPr="00FC5408">
        <w:rPr>
          <w:rFonts w:ascii="Palatino Linotype" w:hAnsi="Palatino Linotype" w:cs="Arial"/>
          <w:b/>
          <w:lang w:val="es-ES_tradnl"/>
        </w:rPr>
        <w:t>SUJETO OBLIGADO</w:t>
      </w:r>
      <w:r w:rsidRPr="00FC5408">
        <w:rPr>
          <w:rFonts w:ascii="Palatino Linotype" w:hAnsi="Palatino Linotype" w:cs="Arial"/>
          <w:lang w:val="es-ES_tradnl"/>
        </w:rPr>
        <w:t xml:space="preserve"> está constreñido a dar atención a las solicitudes de información que a través del </w:t>
      </w:r>
      <w:r w:rsidRPr="00FC5408">
        <w:rPr>
          <w:rFonts w:ascii="Palatino Linotype" w:hAnsi="Palatino Linotype" w:cs="Arial"/>
          <w:b/>
          <w:lang w:val="es-ES_tradnl"/>
        </w:rPr>
        <w:t>SAIMEX</w:t>
      </w:r>
      <w:r w:rsidR="00A84BC3" w:rsidRPr="00FC5408">
        <w:rPr>
          <w:rFonts w:ascii="Palatino Linotype" w:hAnsi="Palatino Linotype" w:cs="Arial"/>
          <w:lang w:val="es-ES_tradnl"/>
        </w:rPr>
        <w:t xml:space="preserve"> o </w:t>
      </w:r>
      <w:r w:rsidRPr="00FC5408">
        <w:rPr>
          <w:rFonts w:ascii="Palatino Linotype" w:hAnsi="Palatino Linotype" w:cs="Arial"/>
          <w:lang w:val="es-ES_tradnl"/>
        </w:rPr>
        <w:t xml:space="preserve">vía directa que le sean presentadas en ejercicio del derecho humano de acceso a la información pública, lo cual en el presente asunto no aconteció, pues tal y como se ha acreditado en la revisión del expediente electrónico formado en el </w:t>
      </w:r>
      <w:r w:rsidRPr="00FC5408">
        <w:rPr>
          <w:rFonts w:ascii="Palatino Linotype" w:hAnsi="Palatino Linotype" w:cs="Arial"/>
          <w:b/>
          <w:lang w:val="es-ES_tradnl"/>
        </w:rPr>
        <w:t>SAIME</w:t>
      </w:r>
      <w:r w:rsidRPr="00FC5408">
        <w:rPr>
          <w:rFonts w:ascii="Palatino Linotype" w:hAnsi="Palatino Linotype" w:cs="Arial"/>
          <w:lang w:val="es-ES_tradnl"/>
        </w:rPr>
        <w:t xml:space="preserve">X, el </w:t>
      </w:r>
      <w:r w:rsidRPr="00FC5408">
        <w:rPr>
          <w:rFonts w:ascii="Palatino Linotype" w:hAnsi="Palatino Linotype" w:cs="Arial"/>
          <w:b/>
          <w:lang w:val="es-ES_tradnl"/>
        </w:rPr>
        <w:t>SUJETO OBLIGADO</w:t>
      </w:r>
      <w:r w:rsidRPr="00FC5408">
        <w:rPr>
          <w:rFonts w:ascii="Palatino Linotype" w:hAnsi="Palatino Linotype" w:cs="Arial"/>
          <w:lang w:val="es-ES_tradnl"/>
        </w:rPr>
        <w:t xml:space="preserve"> </w:t>
      </w:r>
      <w:r w:rsidR="00112B0A" w:rsidRPr="00FC5408">
        <w:rPr>
          <w:rFonts w:ascii="Palatino Linotype" w:hAnsi="Palatino Linotype" w:cs="Arial"/>
          <w:lang w:val="es-ES_tradnl"/>
        </w:rPr>
        <w:t xml:space="preserve">fue omiso en dar respuesta a la solicitud. </w:t>
      </w:r>
    </w:p>
    <w:p w14:paraId="64F03E25" w14:textId="77777777" w:rsidR="00191180" w:rsidRPr="00FC5408"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5A9B233B" w14:textId="7961271C"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En ese tenor, es elemental recordar que la Ley de Transparencia y Acceso a la Información Pública del Estado de México y Municipios, en su artículo 163 establece que la Unidad de Transparencia deberá notificar la respuesta a la solicitud de información en el menor tiempo posible, el cual no podrá exceder de </w:t>
      </w:r>
      <w:r w:rsidRPr="00FC5408">
        <w:rPr>
          <w:rFonts w:ascii="Palatino Linotype" w:hAnsi="Palatino Linotype" w:cs="Arial"/>
          <w:b/>
          <w:bCs/>
          <w:color w:val="000000"/>
          <w:lang w:val="es-ES_tradnl"/>
        </w:rPr>
        <w:t>15 días hábiles</w:t>
      </w:r>
      <w:r w:rsidRPr="00FC5408">
        <w:rPr>
          <w:rFonts w:ascii="Palatino Linotype" w:hAnsi="Palatino Linotype" w:cs="Arial"/>
          <w:color w:val="000000"/>
          <w:lang w:val="es-ES_tradnl"/>
        </w:rPr>
        <w:t xml:space="preserve">; y, excepcionalmente, siempre y cuando existan razones fundadas y motivadas, el plazo </w:t>
      </w:r>
      <w:r w:rsidRPr="00FC5408">
        <w:rPr>
          <w:rFonts w:ascii="Palatino Linotype" w:hAnsi="Palatino Linotype" w:cs="Arial"/>
          <w:color w:val="000000"/>
          <w:lang w:val="es-ES_tradnl"/>
        </w:rPr>
        <w:lastRenderedPageBreak/>
        <w:t xml:space="preserve">referido podrá ampliarse hasta por siete días hábiles adicionales, sin embargo, esta decisión deberá ser aprobada por el Comité de Transparencia del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mediante la emisión de una resolución (o acuerdo) que deberá notificarse a la particular previo al vencimiento ordinario.</w:t>
      </w:r>
      <w:r w:rsidR="0075136F" w:rsidRPr="00FC5408">
        <w:rPr>
          <w:rFonts w:ascii="Palatino Linotype" w:hAnsi="Palatino Linotype" w:cs="Arial"/>
          <w:color w:val="000000"/>
          <w:lang w:val="es-ES_tradnl"/>
        </w:rPr>
        <w:t xml:space="preserve"> </w:t>
      </w:r>
      <w:r w:rsidRPr="00FC5408">
        <w:rPr>
          <w:rFonts w:ascii="Palatino Linotype" w:hAnsi="Palatino Linotype" w:cs="Arial"/>
          <w:color w:val="000000"/>
          <w:lang w:val="es-ES_tradnl"/>
        </w:rPr>
        <w:t>As</w:t>
      </w:r>
      <w:r w:rsidR="00112B0A" w:rsidRPr="00FC5408">
        <w:rPr>
          <w:rFonts w:ascii="Palatino Linotype" w:hAnsi="Palatino Linotype" w:cs="Arial"/>
          <w:color w:val="000000"/>
          <w:lang w:val="es-ES_tradnl"/>
        </w:rPr>
        <w:t xml:space="preserve">í las cosas, se concluye que las </w:t>
      </w:r>
      <w:r w:rsidR="0075136F" w:rsidRPr="00FC5408">
        <w:rPr>
          <w:rFonts w:ascii="Palatino Linotype" w:hAnsi="Palatino Linotype" w:cs="Arial"/>
          <w:color w:val="000000"/>
          <w:lang w:val="es-ES_tradnl"/>
        </w:rPr>
        <w:t xml:space="preserve">actuaciones realizadas </w:t>
      </w:r>
      <w:r w:rsidR="00112B0A" w:rsidRPr="00FC5408">
        <w:rPr>
          <w:rFonts w:ascii="Palatino Linotype" w:hAnsi="Palatino Linotype" w:cs="Arial"/>
          <w:color w:val="000000"/>
          <w:lang w:val="es-ES_tradnl"/>
        </w:rPr>
        <w:t xml:space="preserve">por el </w:t>
      </w:r>
      <w:r w:rsidR="00112B0A" w:rsidRPr="00FC5408">
        <w:rPr>
          <w:rFonts w:ascii="Palatino Linotype" w:hAnsi="Palatino Linotype" w:cs="Arial"/>
          <w:b/>
          <w:color w:val="000000"/>
          <w:lang w:val="es-ES_tradnl"/>
        </w:rPr>
        <w:t>SUJETO OBLIGADO</w:t>
      </w:r>
      <w:r w:rsidR="0075136F" w:rsidRPr="00FC5408">
        <w:rPr>
          <w:rFonts w:ascii="Palatino Linotype" w:hAnsi="Palatino Linotype" w:cs="Arial"/>
          <w:b/>
          <w:color w:val="000000"/>
          <w:lang w:val="es-ES_tradnl"/>
        </w:rPr>
        <w:t xml:space="preserve"> </w:t>
      </w:r>
      <w:r w:rsidR="0075136F" w:rsidRPr="00FC5408">
        <w:rPr>
          <w:rFonts w:ascii="Palatino Linotype" w:hAnsi="Palatino Linotype" w:cs="Arial"/>
          <w:color w:val="000000"/>
          <w:lang w:val="es-ES_tradnl"/>
        </w:rPr>
        <w:t xml:space="preserve">no atienden lo solicitado por el particular. </w:t>
      </w:r>
    </w:p>
    <w:p w14:paraId="1BFD8F73" w14:textId="77777777" w:rsidR="008A4ACF" w:rsidRPr="00FC5408" w:rsidRDefault="008A4ACF" w:rsidP="006F7BEF">
      <w:pPr>
        <w:tabs>
          <w:tab w:val="left" w:pos="426"/>
        </w:tabs>
        <w:suppressAutoHyphens w:val="0"/>
        <w:spacing w:after="160" w:line="360" w:lineRule="auto"/>
        <w:ind w:right="49"/>
        <w:contextualSpacing/>
        <w:jc w:val="both"/>
        <w:rPr>
          <w:rFonts w:ascii="Palatino Linotype" w:hAnsi="Palatino Linotype" w:cs="Arial"/>
          <w:color w:val="000000"/>
          <w:lang w:val="es-ES_tradnl"/>
        </w:rPr>
      </w:pPr>
    </w:p>
    <w:p w14:paraId="0CA372FE"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En ese sentido, conviene señalar que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57F249B" w14:textId="77777777" w:rsidR="00191180" w:rsidRPr="00FC5408"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29AC4034"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eastAsia="Calibri" w:hAnsi="Palatino Linotype"/>
          <w:lang w:val="es-ES"/>
        </w:rPr>
        <w:t xml:space="preserve">Así las cosas, la omisión del Titular de la Unidad de Transparencia, como primer responsable de verificar que el procedimiento de acceso a la información se realice, de acuerdo a lo dispuesto por el artículo 53 fracción II de la Ley de la materia, vulnera el derecho fundamental de acceso a la información: </w:t>
      </w:r>
    </w:p>
    <w:p w14:paraId="2048E79D"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b/>
          <w:i/>
          <w:sz w:val="22"/>
          <w:lang w:val="es-ES_tradnl"/>
        </w:rPr>
        <w:t>“Artículo 53.</w:t>
      </w:r>
      <w:r w:rsidRPr="00233D78">
        <w:rPr>
          <w:rFonts w:ascii="Palatino Linotype" w:hAnsi="Palatino Linotype"/>
          <w:i/>
          <w:sz w:val="22"/>
          <w:lang w:val="es-ES_tradnl"/>
        </w:rPr>
        <w:t xml:space="preserve"> Las Unidades de Transparencia tendrán las siguientes funciones:</w:t>
      </w:r>
    </w:p>
    <w:p w14:paraId="27EA456F"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i/>
          <w:sz w:val="22"/>
          <w:lang w:val="es-ES_tradnl"/>
        </w:rPr>
        <w:t>…</w:t>
      </w:r>
    </w:p>
    <w:p w14:paraId="61766D2B"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b/>
          <w:i/>
          <w:sz w:val="22"/>
          <w:lang w:val="es-ES_tradnl"/>
        </w:rPr>
        <w:t>II. Recibir, tramitar y dar respuesta a las solicitudes de acceso a la información</w:t>
      </w:r>
      <w:r w:rsidRPr="00233D78">
        <w:rPr>
          <w:rFonts w:ascii="Palatino Linotype" w:hAnsi="Palatino Linotype"/>
          <w:i/>
          <w:sz w:val="22"/>
          <w:lang w:val="es-ES_tradnl"/>
        </w:rPr>
        <w:t>;</w:t>
      </w:r>
    </w:p>
    <w:p w14:paraId="1746ED28"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i/>
          <w:sz w:val="22"/>
          <w:lang w:val="es-ES_tradnl"/>
        </w:rPr>
        <w:t>…</w:t>
      </w:r>
    </w:p>
    <w:p w14:paraId="1704C58A"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b/>
          <w:bCs/>
          <w:i/>
          <w:sz w:val="22"/>
          <w:lang w:val="es-ES_tradnl"/>
        </w:rPr>
        <w:t>IV.</w:t>
      </w:r>
      <w:r w:rsidRPr="00233D78">
        <w:rPr>
          <w:rFonts w:ascii="Palatino Linotype" w:hAnsi="Palatino Linotype"/>
          <w:i/>
          <w:sz w:val="22"/>
          <w:lang w:val="es-ES_tradnl"/>
        </w:rPr>
        <w:t xml:space="preserve"> Realizar, con efectividad, los trámites internos necesarios para la atención de las solicitudes de acceso a la información;</w:t>
      </w:r>
    </w:p>
    <w:p w14:paraId="2D1B06D7"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i/>
          <w:sz w:val="22"/>
          <w:lang w:val="es-ES_tradnl"/>
        </w:rPr>
        <w:t>…</w:t>
      </w:r>
    </w:p>
    <w:p w14:paraId="00E2396E" w14:textId="77777777" w:rsidR="00191180" w:rsidRPr="00233D78" w:rsidRDefault="00191180" w:rsidP="006F7BEF">
      <w:pPr>
        <w:suppressAutoHyphens w:val="0"/>
        <w:spacing w:line="360" w:lineRule="auto"/>
        <w:ind w:left="567" w:right="616"/>
        <w:jc w:val="both"/>
        <w:rPr>
          <w:rFonts w:ascii="Palatino Linotype" w:hAnsi="Palatino Linotype"/>
          <w:i/>
          <w:sz w:val="22"/>
          <w:lang w:val="es-ES_tradnl"/>
        </w:rPr>
      </w:pPr>
      <w:r w:rsidRPr="00233D78">
        <w:rPr>
          <w:rFonts w:ascii="Palatino Linotype" w:hAnsi="Palatino Linotype"/>
          <w:b/>
          <w:bCs/>
          <w:i/>
          <w:sz w:val="22"/>
          <w:lang w:val="es-ES_tradnl"/>
        </w:rPr>
        <w:lastRenderedPageBreak/>
        <w:t>XII.</w:t>
      </w:r>
      <w:r w:rsidRPr="00233D78">
        <w:rPr>
          <w:rFonts w:ascii="Palatino Linotype" w:hAnsi="Palatino Linotype"/>
          <w:i/>
          <w:sz w:val="22"/>
          <w:lang w:val="es-ES_tradnl"/>
        </w:rPr>
        <w:t xml:space="preserve"> Fomentar la transparencia y accesibilidad al interior del sujeto obligado;”</w:t>
      </w:r>
    </w:p>
    <w:p w14:paraId="01C1E3D7" w14:textId="77777777" w:rsidR="00191180" w:rsidRPr="00233D78" w:rsidRDefault="00191180" w:rsidP="006F7BEF">
      <w:pPr>
        <w:suppressAutoHyphens w:val="0"/>
        <w:spacing w:line="360" w:lineRule="auto"/>
        <w:ind w:left="567" w:right="616"/>
        <w:jc w:val="both"/>
        <w:rPr>
          <w:rFonts w:ascii="Palatino Linotype" w:hAnsi="Palatino Linotype"/>
          <w:iCs/>
          <w:sz w:val="22"/>
          <w:lang w:val="es-ES_tradnl"/>
        </w:rPr>
      </w:pPr>
      <w:r w:rsidRPr="00233D78">
        <w:rPr>
          <w:rFonts w:ascii="Palatino Linotype" w:hAnsi="Palatino Linotype"/>
          <w:iCs/>
          <w:sz w:val="22"/>
          <w:lang w:val="es-ES_tradnl"/>
        </w:rPr>
        <w:t>(Énfasis añadido)</w:t>
      </w:r>
    </w:p>
    <w:p w14:paraId="064E6F66" w14:textId="77777777" w:rsidR="00191180" w:rsidRPr="00FC5408" w:rsidRDefault="00191180" w:rsidP="006F7BEF">
      <w:pPr>
        <w:suppressAutoHyphens w:val="0"/>
        <w:spacing w:line="360" w:lineRule="auto"/>
        <w:ind w:right="49"/>
        <w:contextualSpacing/>
        <w:jc w:val="both"/>
        <w:rPr>
          <w:rFonts w:ascii="Palatino Linotype" w:hAnsi="Palatino Linotype" w:cs="Arial"/>
          <w:color w:val="000000"/>
          <w:lang w:val="es-ES_tradnl"/>
        </w:rPr>
      </w:pPr>
    </w:p>
    <w:p w14:paraId="0A145530" w14:textId="25BD42DE" w:rsidR="00191180" w:rsidRPr="00FC5408" w:rsidRDefault="00191180" w:rsidP="006F7BEF">
      <w:pPr>
        <w:numPr>
          <w:ilvl w:val="0"/>
          <w:numId w:val="9"/>
        </w:numPr>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eastAsia="Calibri" w:hAnsi="Palatino Linotype"/>
          <w:lang w:val="es-ES"/>
        </w:rPr>
        <w:t xml:space="preserve">No sobra decir </w:t>
      </w:r>
      <w:r w:rsidR="00D8214A" w:rsidRPr="00FC5408">
        <w:rPr>
          <w:rFonts w:ascii="Palatino Linotype" w:eastAsia="Calibri" w:hAnsi="Palatino Linotype"/>
          <w:lang w:val="es-ES"/>
        </w:rPr>
        <w:t>que,</w:t>
      </w:r>
      <w:r w:rsidRPr="00FC5408">
        <w:rPr>
          <w:rFonts w:ascii="Palatino Linotype" w:eastAsia="Calibri" w:hAnsi="Palatino Linotype"/>
          <w:lang w:val="es-ES"/>
        </w:rPr>
        <w:t xml:space="preserve"> al actuar de esta forma, el </w:t>
      </w:r>
      <w:r w:rsidRPr="00FC5408">
        <w:rPr>
          <w:rFonts w:ascii="Palatino Linotype" w:eastAsia="Calibri" w:hAnsi="Palatino Linotype"/>
          <w:b/>
          <w:bCs/>
          <w:lang w:val="es-ES"/>
        </w:rPr>
        <w:t>SUJETO OBLIGADO</w:t>
      </w:r>
      <w:r w:rsidRPr="00FC5408">
        <w:rPr>
          <w:rFonts w:ascii="Palatino Linotype" w:eastAsia="Calibri" w:hAnsi="Palatino Linotype"/>
          <w:lang w:val="es-ES"/>
        </w:rPr>
        <w:t xml:space="preserve"> incumple con el primer mandato contenido en el párrafo tercero del artículo primero de la Constitución Política de los Estados Unidos Mexicanos que establece el deber de todas las autoridades, </w:t>
      </w:r>
      <w:r w:rsidRPr="00FC5408">
        <w:rPr>
          <w:rFonts w:ascii="Palatino Linotype" w:eastAsia="Calibri" w:hAnsi="Palatino Linotype"/>
          <w:i/>
          <w:lang w:val="es-ES"/>
        </w:rPr>
        <w:t xml:space="preserve">en el ámbito de sus atribuciones, </w:t>
      </w:r>
      <w:r w:rsidRPr="00FC5408">
        <w:rPr>
          <w:rFonts w:ascii="Palatino Linotype" w:eastAsia="Calibri" w:hAnsi="Palatino Linotype"/>
          <w:b/>
          <w:i/>
          <w:lang w:val="es-ES"/>
        </w:rPr>
        <w:t>de promover</w:t>
      </w:r>
      <w:r w:rsidRPr="00FC5408">
        <w:rPr>
          <w:rFonts w:ascii="Palatino Linotype" w:eastAsia="Calibri" w:hAnsi="Palatino Linotype"/>
          <w:i/>
          <w:lang w:val="es-ES"/>
        </w:rPr>
        <w:t xml:space="preserve">, </w:t>
      </w:r>
      <w:r w:rsidRPr="00FC5408">
        <w:rPr>
          <w:rFonts w:ascii="Palatino Linotype" w:eastAsia="Calibri" w:hAnsi="Palatino Linotype"/>
          <w:b/>
          <w:i/>
          <w:lang w:val="es-ES"/>
        </w:rPr>
        <w:t>respetar, proteger y</w:t>
      </w:r>
      <w:r w:rsidRPr="00FC5408">
        <w:rPr>
          <w:rFonts w:ascii="Palatino Linotype" w:eastAsia="Calibri" w:hAnsi="Palatino Linotype"/>
          <w:i/>
          <w:lang w:val="es-ES"/>
        </w:rPr>
        <w:t xml:space="preserve"> </w:t>
      </w:r>
      <w:r w:rsidRPr="00FC5408">
        <w:rPr>
          <w:rFonts w:ascii="Palatino Linotype" w:eastAsia="Calibri" w:hAnsi="Palatino Linotype"/>
          <w:b/>
          <w:i/>
          <w:lang w:val="es-ES"/>
        </w:rPr>
        <w:t>garantizar</w:t>
      </w:r>
      <w:r w:rsidRPr="00FC5408">
        <w:rPr>
          <w:rFonts w:ascii="Palatino Linotype" w:eastAsia="Calibri" w:hAnsi="Palatino Linotype"/>
          <w:i/>
          <w:lang w:val="es-ES"/>
        </w:rPr>
        <w:t xml:space="preserve"> los derechos humanos. </w:t>
      </w:r>
      <w:r w:rsidRPr="00FC5408">
        <w:rPr>
          <w:rFonts w:ascii="Palatino Linotype" w:eastAsia="Calibri" w:hAnsi="Palatino Linotype"/>
          <w:lang w:val="es-ES"/>
        </w:rPr>
        <w:t xml:space="preserve">Por ello, debe considerarse que según lo dispuesto por el artículo 150 de la Ley de Transparencia y Acceso a la Información Pública del Estado de México y Municipios, el </w:t>
      </w:r>
      <w:r w:rsidRPr="00FC5408">
        <w:rPr>
          <w:rFonts w:ascii="Palatino Linotype" w:eastAsia="Calibri" w:hAnsi="Palatino Linotype"/>
          <w:i/>
          <w:lang w:val="es-ES"/>
        </w:rPr>
        <w:t xml:space="preserve">procedimiento de acceso a </w:t>
      </w:r>
      <w:r w:rsidRPr="00FC5408">
        <w:rPr>
          <w:rFonts w:ascii="Palatino Linotype" w:eastAsia="Calibri" w:hAnsi="Palatino Linotype"/>
          <w:b/>
          <w:i/>
          <w:lang w:val="es-ES"/>
        </w:rPr>
        <w:t>la información es la garantía</w:t>
      </w:r>
      <w:r w:rsidRPr="00FC5408">
        <w:rPr>
          <w:rFonts w:ascii="Palatino Linotype" w:eastAsia="Calibri" w:hAnsi="Palatino Linotype"/>
          <w:i/>
          <w:lang w:val="es-ES"/>
        </w:rPr>
        <w:t xml:space="preserve"> primaria del derecho en cuestión.</w:t>
      </w:r>
      <w:r w:rsidRPr="00FC5408">
        <w:rPr>
          <w:rFonts w:ascii="Palatino Linotype" w:eastAsia="Calibri" w:hAnsi="Palatino Linotype"/>
          <w:lang w:val="es-ES"/>
        </w:rPr>
        <w:t xml:space="preserve"> Por lo tanto, la falta de respuesta a una solicitud de acceso a la información constituye un incumplimiento del </w:t>
      </w:r>
      <w:r w:rsidRPr="00FC5408">
        <w:rPr>
          <w:rFonts w:ascii="Palatino Linotype" w:eastAsia="Calibri" w:hAnsi="Palatino Linotype"/>
          <w:b/>
          <w:bCs/>
          <w:lang w:val="es-ES"/>
        </w:rPr>
        <w:t>SUJETO OBLIGADO</w:t>
      </w:r>
      <w:r w:rsidRPr="00FC5408">
        <w:rPr>
          <w:rFonts w:ascii="Palatino Linotype" w:eastAsia="Calibri" w:hAnsi="Palatino Linotype"/>
          <w:lang w:val="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FC5408">
        <w:rPr>
          <w:rFonts w:ascii="Palatino Linotype" w:eastAsia="Calibri" w:hAnsi="Palatino Linotype"/>
          <w:i/>
          <w:lang w:val="es-ES"/>
        </w:rPr>
        <w:t>investigar, sancionar y reparar las violaciones a los derechos humanos.</w:t>
      </w:r>
      <w:r w:rsidRPr="00FC5408">
        <w:rPr>
          <w:rFonts w:ascii="Palatino Linotype" w:eastAsia="Calibri" w:hAnsi="Palatino Linotype"/>
          <w:lang w:val="es-ES"/>
        </w:rPr>
        <w:t xml:space="preserve"> </w:t>
      </w:r>
    </w:p>
    <w:p w14:paraId="4914D552" w14:textId="77777777" w:rsidR="00191180" w:rsidRPr="00FC5408" w:rsidRDefault="00191180" w:rsidP="006F7BEF">
      <w:pPr>
        <w:suppressAutoHyphens w:val="0"/>
        <w:spacing w:line="360" w:lineRule="auto"/>
        <w:contextualSpacing/>
        <w:rPr>
          <w:rFonts w:ascii="Palatino Linotype" w:eastAsia="Calibri" w:hAnsi="Palatino Linotype"/>
          <w:lang w:val="es-ES"/>
        </w:rPr>
      </w:pPr>
    </w:p>
    <w:p w14:paraId="048929F0" w14:textId="4970AB64" w:rsidR="00DF320E" w:rsidRPr="00FC5408" w:rsidRDefault="00191180" w:rsidP="006F7BEF">
      <w:pPr>
        <w:numPr>
          <w:ilvl w:val="0"/>
          <w:numId w:val="9"/>
        </w:numPr>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eastAsia="Calibri" w:hAnsi="Palatino Linotype"/>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sidRPr="00FC5408">
        <w:rPr>
          <w:rFonts w:ascii="Palatino Linotype" w:eastAsia="Calibri" w:hAnsi="Palatino Linotype"/>
          <w:b/>
          <w:bCs/>
          <w:lang w:val="es-ES"/>
        </w:rPr>
        <w:t>SUJETO OBLIGADO</w:t>
      </w:r>
      <w:r w:rsidRPr="00FC5408">
        <w:rPr>
          <w:rFonts w:ascii="Palatino Linotype" w:eastAsia="Calibri" w:hAnsi="Palatino Linotype"/>
          <w:lang w:val="es-ES"/>
        </w:rPr>
        <w:t xml:space="preserve">, cumple con su alto deber de repararlo ordenando, en consecuencia, que el </w:t>
      </w:r>
      <w:r w:rsidRPr="00FC5408">
        <w:rPr>
          <w:rFonts w:ascii="Palatino Linotype" w:eastAsia="Calibri" w:hAnsi="Palatino Linotype"/>
          <w:b/>
          <w:bCs/>
          <w:lang w:val="es-ES"/>
        </w:rPr>
        <w:t>SUJETO OBLIGADO</w:t>
      </w:r>
      <w:r w:rsidRPr="00FC5408">
        <w:rPr>
          <w:rFonts w:ascii="Palatino Linotype" w:eastAsia="Calibri" w:hAnsi="Palatino Linotype"/>
          <w:lang w:val="es-ES"/>
        </w:rPr>
        <w:t xml:space="preserve"> responda a las solicitudes de acceso a la información pública. </w:t>
      </w:r>
    </w:p>
    <w:p w14:paraId="4C3EE8D1" w14:textId="67E756F9" w:rsidR="00191180" w:rsidRPr="00233D78" w:rsidRDefault="00191180" w:rsidP="00233D78">
      <w:pPr>
        <w:keepNext/>
        <w:keepLines/>
        <w:suppressAutoHyphens w:val="0"/>
        <w:spacing w:before="240" w:line="360" w:lineRule="auto"/>
        <w:jc w:val="both"/>
        <w:outlineLvl w:val="0"/>
        <w:rPr>
          <w:rFonts w:ascii="Palatino Linotype" w:hAnsi="Palatino Linotype"/>
          <w:b/>
        </w:rPr>
      </w:pPr>
      <w:bookmarkStart w:id="35" w:name="_Toc536106972"/>
      <w:bookmarkStart w:id="36" w:name="_Toc104470949"/>
      <w:bookmarkStart w:id="37" w:name="_Toc110976868"/>
      <w:r w:rsidRPr="00233D78">
        <w:rPr>
          <w:rFonts w:ascii="Palatino Linotype" w:hAnsi="Palatino Linotype"/>
          <w:b/>
        </w:rPr>
        <w:lastRenderedPageBreak/>
        <w:t>II. Sobre las respuestas que se emita a las solicitudes.</w:t>
      </w:r>
      <w:bookmarkEnd w:id="35"/>
      <w:bookmarkEnd w:id="36"/>
      <w:bookmarkEnd w:id="37"/>
    </w:p>
    <w:p w14:paraId="6E5B2259"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color w:val="000000"/>
          <w:lang w:val="es-ES_tradnl"/>
        </w:rPr>
      </w:pPr>
      <w:r w:rsidRPr="00FC5408">
        <w:rPr>
          <w:rFonts w:ascii="Palatino Linotype" w:hAnsi="Palatino Linotype" w:cs="Arial"/>
          <w:color w:val="000000"/>
          <w:lang w:val="es-ES_tradnl"/>
        </w:rPr>
        <w:t xml:space="preserve">En cumplimiento a esta resolución, el </w:t>
      </w:r>
      <w:r w:rsidRPr="00FC5408">
        <w:rPr>
          <w:rFonts w:ascii="Palatino Linotype" w:hAnsi="Palatino Linotype" w:cs="Arial"/>
          <w:b/>
          <w:color w:val="000000"/>
          <w:lang w:val="es-ES_tradnl"/>
        </w:rPr>
        <w:t>SUJETO OBLIGADO</w:t>
      </w:r>
      <w:r w:rsidRPr="00FC5408">
        <w:rPr>
          <w:rFonts w:ascii="Palatino Linotype" w:hAnsi="Palatino Linotype" w:cs="Arial"/>
          <w:color w:val="000000"/>
          <w:lang w:val="es-ES_tradnl"/>
        </w:rPr>
        <w:t xml:space="preserve"> deberá dar atención </w:t>
      </w:r>
      <w:r w:rsidRPr="00FC5408">
        <w:rPr>
          <w:rFonts w:ascii="Palatino Linotype" w:hAnsi="Palatino Linotype" w:cs="Arial"/>
          <w:lang w:val="es-ES_tradnl"/>
        </w:rPr>
        <w:t>a las solicitudes de información, sin que sea materia de este recurso</w:t>
      </w:r>
      <w:r w:rsidRPr="00FC5408">
        <w:rPr>
          <w:rFonts w:ascii="Palatino Linotype" w:hAnsi="Palatino Linotype" w:cs="Arial"/>
          <w:b/>
          <w:lang w:val="es-ES_tradnl"/>
        </w:rPr>
        <w:t xml:space="preserve"> </w:t>
      </w:r>
      <w:r w:rsidRPr="00FC5408">
        <w:rPr>
          <w:rFonts w:ascii="Palatino Linotype" w:hAnsi="Palatino Linotype" w:cs="Arial"/>
          <w:lang w:val="es-ES_tradnl"/>
        </w:rPr>
        <w:t>analizar o</w:t>
      </w:r>
      <w:r w:rsidRPr="00FC5408">
        <w:rPr>
          <w:rFonts w:ascii="Palatino Linotype" w:hAnsi="Palatino Linotype" w:cs="Arial"/>
          <w:b/>
          <w:lang w:val="es-ES_tradnl"/>
        </w:rPr>
        <w:t xml:space="preserve"> </w:t>
      </w:r>
      <w:r w:rsidRPr="00FC5408">
        <w:rPr>
          <w:rFonts w:ascii="Palatino Linotype" w:hAnsi="Palatino Linotype" w:cs="Arial"/>
          <w:lang w:val="es-ES_tradnl"/>
        </w:rPr>
        <w:t>prejuzgar si la información que le fue solicitada se encuentra en sus archivos o le corresponde generarla, puesto que el silencio administrativo que hizo patente al omitir dar respuesta, trae como consecuencia que se le ordene dar atención a las solicitudes, lo cual deberá llevar a cabo en ejercicio de sus competencias, atribuciones y funciones y con arreglo a lo dispuesto por la Ley de la materia.</w:t>
      </w:r>
    </w:p>
    <w:p w14:paraId="3941A49F" w14:textId="77777777" w:rsidR="00191180" w:rsidRPr="00FC5408" w:rsidRDefault="00191180" w:rsidP="006F7BEF">
      <w:pPr>
        <w:tabs>
          <w:tab w:val="left" w:pos="426"/>
        </w:tabs>
        <w:suppressAutoHyphens w:val="0"/>
        <w:spacing w:line="360" w:lineRule="auto"/>
        <w:ind w:right="49"/>
        <w:contextualSpacing/>
        <w:jc w:val="both"/>
        <w:rPr>
          <w:rFonts w:ascii="Palatino Linotype" w:hAnsi="Palatino Linotype" w:cs="Arial"/>
          <w:b/>
          <w:color w:val="000000"/>
          <w:lang w:val="es-ES_tradnl"/>
        </w:rPr>
      </w:pPr>
    </w:p>
    <w:p w14:paraId="26553E02"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b/>
          <w:color w:val="000000"/>
          <w:lang w:val="es-ES_tradnl"/>
        </w:rPr>
      </w:pPr>
      <w:r w:rsidRPr="00FC5408">
        <w:rPr>
          <w:rFonts w:ascii="Palatino Linotype" w:hAnsi="Palatino Linotype" w:cs="Arial"/>
          <w:lang w:val="es-ES_tradnl"/>
        </w:rPr>
        <w:t xml:space="preserve">En este caso, el </w:t>
      </w:r>
      <w:r w:rsidRPr="00FC5408">
        <w:rPr>
          <w:rFonts w:ascii="Palatino Linotype" w:hAnsi="Palatino Linotype" w:cs="Arial"/>
          <w:b/>
          <w:bCs/>
          <w:lang w:val="es-ES_tradnl"/>
        </w:rPr>
        <w:t>SUJETO OBLIGADO</w:t>
      </w:r>
      <w:r w:rsidRPr="00FC5408">
        <w:rPr>
          <w:rFonts w:ascii="Palatino Linotype" w:hAnsi="Palatino Linotype" w:cs="Arial"/>
          <w:lang w:val="es-ES_tradnl"/>
        </w:rPr>
        <w:t xml:space="preserve"> deberá de sustanciar todo el procedimiento de acceso a la información pública verificando si la información que le ha sido requerida corresponde al ejercicio de sus facultades, competencias o funciones.</w:t>
      </w:r>
    </w:p>
    <w:p w14:paraId="2F3888D3" w14:textId="77777777" w:rsidR="00191180" w:rsidRPr="00FC5408" w:rsidRDefault="00191180" w:rsidP="006F7BEF">
      <w:pPr>
        <w:tabs>
          <w:tab w:val="left" w:pos="426"/>
        </w:tabs>
        <w:suppressAutoHyphens w:val="0"/>
        <w:spacing w:line="360" w:lineRule="auto"/>
        <w:ind w:right="49"/>
        <w:contextualSpacing/>
        <w:jc w:val="both"/>
        <w:rPr>
          <w:rFonts w:ascii="Palatino Linotype" w:hAnsi="Palatino Linotype" w:cs="Arial"/>
          <w:b/>
          <w:color w:val="000000"/>
          <w:lang w:val="es-ES_tradnl"/>
        </w:rPr>
      </w:pPr>
    </w:p>
    <w:p w14:paraId="26E5E60A"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Si dentro de las facultades, atribuciones y competencias no se encuentra  la de poseer la información requerida, deberá hacerlo del conocimiento del particular  de forma clara y precisa, fundado y motivando su actuación y en su caso orientar a la </w:t>
      </w:r>
      <w:r w:rsidRPr="00FC5408">
        <w:rPr>
          <w:rFonts w:ascii="Palatino Linotype" w:hAnsi="Palatino Linotype" w:cs="Arial"/>
          <w:b/>
          <w:bCs/>
          <w:lang w:val="es-ES_tradnl"/>
        </w:rPr>
        <w:t>RECURRENTE</w:t>
      </w:r>
      <w:r w:rsidRPr="00FC5408">
        <w:rPr>
          <w:rFonts w:ascii="Palatino Linotype" w:hAnsi="Palatino Linotype" w:cs="Arial"/>
          <w:lang w:val="es-ES_tradnl"/>
        </w:rPr>
        <w:t xml:space="preserv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5CB6C9E0"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6B6B71B6"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lang w:val="es-ES_tradnl"/>
        </w:rPr>
        <w:t xml:space="preserve">No está por demás señalar que la obligación constitucional de documentar todo acto que derive del ejercicio de las facultades, competencias o funciones de los Sujetos </w:t>
      </w:r>
      <w:r w:rsidRPr="00FC5408">
        <w:rPr>
          <w:rFonts w:ascii="Palatino Linotype" w:hAnsi="Palatino Linotype" w:cs="Arial"/>
          <w:lang w:val="es-ES_tradnl"/>
        </w:rPr>
        <w:lastRenderedPageBreak/>
        <w:t xml:space="preserve">Obligados, encuentra expresión legal en los artículos 19 de la Ley General de Transparencia y de la Ley de Transparencia y Acceso a la Información Pública del Estado de México y Municipios. </w:t>
      </w:r>
    </w:p>
    <w:p w14:paraId="13F63D12"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lang w:val="es-ES_tradnl"/>
        </w:rPr>
      </w:pPr>
    </w:p>
    <w:p w14:paraId="68918905"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lang w:val="es-ES_tradn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p>
    <w:p w14:paraId="32426879"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38AEB3C3"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Es importante también señalar que las respuestas que darán en cumplimiento a la presente resolución </w:t>
      </w:r>
      <w:proofErr w:type="gramStart"/>
      <w:r w:rsidRPr="00FC5408">
        <w:rPr>
          <w:rFonts w:ascii="Palatino Linotype" w:hAnsi="Palatino Linotype" w:cs="Arial"/>
          <w:b/>
          <w:color w:val="000000"/>
          <w:lang w:val="es-ES_tradnl"/>
        </w:rPr>
        <w:t>deberá</w:t>
      </w:r>
      <w:proofErr w:type="gramEnd"/>
      <w:r w:rsidRPr="00FC5408">
        <w:rPr>
          <w:rFonts w:ascii="Palatino Linotype" w:hAnsi="Palatino Linotype" w:cs="Arial"/>
          <w:b/>
          <w:color w:val="000000"/>
          <w:lang w:val="es-ES_tradnl"/>
        </w:rPr>
        <w:t xml:space="preserve"> ajustarse a lo dispuesto a los criterios y precedentes que este Órgano Garante ha resuelto y aprobado,</w:t>
      </w:r>
      <w:r w:rsidRPr="00FC5408">
        <w:rPr>
          <w:rFonts w:ascii="Palatino Linotype" w:hAnsi="Palatino Linotype" w:cs="Arial"/>
          <w:color w:val="000000"/>
          <w:lang w:val="es-ES_tradnl"/>
        </w:rPr>
        <w:t xml:space="preserve"> es decir, por lo que constituye una alta responsabilidad del </w:t>
      </w:r>
      <w:r w:rsidRPr="00FC5408">
        <w:rPr>
          <w:rFonts w:ascii="Palatino Linotype" w:hAnsi="Palatino Linotype" w:cs="Arial"/>
          <w:b/>
          <w:color w:val="000000"/>
          <w:lang w:val="es-ES_tradnl"/>
        </w:rPr>
        <w:t>SUJETO OBLIGADO</w:t>
      </w:r>
      <w:r w:rsidRPr="00FC5408">
        <w:rPr>
          <w:rFonts w:ascii="Palatino Linotype" w:hAnsi="Palatino Linotype" w:cs="Arial"/>
          <w:color w:val="000000"/>
          <w:lang w:val="es-ES_tradnl"/>
        </w:rPr>
        <w:t xml:space="preserve"> proporcionar la información que atienda la presente, ajustándose a la normatividad establecida y a los distintos asuntos de los cuales este Órgano Colegiado ha conocido. </w:t>
      </w:r>
    </w:p>
    <w:p w14:paraId="21331676"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3FF15F72"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lastRenderedPageBreak/>
        <w:t xml:space="preserve">Por lo que tratándose del tema o temas que se requieran en las solicitudes, 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deberá en todo momento ajustarse además de la normatividad aplicable a los asuntos, a las resoluciones aprobadas.</w:t>
      </w:r>
    </w:p>
    <w:p w14:paraId="29E76332" w14:textId="77777777" w:rsidR="00191180" w:rsidRPr="00FC5408"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2CD53348"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 xml:space="preserve">En consecuencia, para responder a las solicitudes de acceso a la información en cuestión 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w:t>
      </w:r>
      <w:r w:rsidRPr="00FC5408">
        <w:rPr>
          <w:rFonts w:ascii="Palatino Linotype" w:hAnsi="Palatino Linotype" w:cs="Arial"/>
          <w:lang w:val="es-ES"/>
        </w:rPr>
        <w:t>deberá de verificar si éstas corresponden a una facultad, competencia o función explícita o implícita. Si no estuvieran comprendidas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las solicitudes a todas las áreas competentes que cuenten o deban tener la información, con objeto de que realicen una búsqueda exhaustiva y razonable de la información solicitada.</w:t>
      </w:r>
    </w:p>
    <w:p w14:paraId="0A1D1AE4"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199D461E"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4197A399"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716BEEFC"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 xml:space="preserve">No obstante, también debe considerarse que aun cuando la información requerida corresponda a alguna función, facultad o competencia del </w:t>
      </w:r>
      <w:r w:rsidRPr="00FC5408">
        <w:rPr>
          <w:rFonts w:ascii="Palatino Linotype" w:hAnsi="Palatino Linotype" w:cs="Arial"/>
          <w:b/>
          <w:bCs/>
          <w:color w:val="000000"/>
          <w:lang w:val="es-ES_tradnl"/>
        </w:rPr>
        <w:t>SUJETO OBLIGADO</w:t>
      </w:r>
      <w:r w:rsidRPr="00FC5408">
        <w:rPr>
          <w:rFonts w:ascii="Palatino Linotype" w:hAnsi="Palatino Linotype" w:cs="Arial"/>
          <w:lang w:val="es-ES"/>
        </w:rPr>
        <w:t>, es posible que esta información no se localice, bien porque no se haya generado o porque no se encuentre disponible, en el momento de su búsqueda.</w:t>
      </w:r>
    </w:p>
    <w:p w14:paraId="54BC218C"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lang w:val="es-ES"/>
        </w:rPr>
      </w:pPr>
    </w:p>
    <w:p w14:paraId="505FD632"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A diferencia de la Ley General, la Ley de Transparencia y Acceso a la Información Pública del Estado de México y Municipios establece, en su artículo </w:t>
      </w:r>
      <w:proofErr w:type="gramStart"/>
      <w:r w:rsidRPr="00FC5408">
        <w:rPr>
          <w:rFonts w:ascii="Palatino Linotype" w:hAnsi="Palatino Linotype" w:cs="Arial"/>
          <w:lang w:val="es-ES_tradnl"/>
        </w:rPr>
        <w:t>19,  dos</w:t>
      </w:r>
      <w:proofErr w:type="gramEnd"/>
      <w:r w:rsidRPr="00FC5408">
        <w:rPr>
          <w:rFonts w:ascii="Palatino Linotype" w:hAnsi="Palatino Linotype" w:cs="Arial"/>
          <w:lang w:val="es-ES_tradnl"/>
        </w:rPr>
        <w:t xml:space="preserve"> supuestos </w:t>
      </w:r>
      <w:r w:rsidRPr="00FC5408">
        <w:rPr>
          <w:rFonts w:ascii="Palatino Linotype" w:hAnsi="Palatino Linotype" w:cs="Arial"/>
          <w:lang w:val="es-ES_tradnl"/>
        </w:rPr>
        <w:lastRenderedPageBreak/>
        <w:t xml:space="preserve">generales para proceder en el caso de información inexistente pero cuya existencia se presume por relacionarse con las facultades, competencias y funciones legales de los sujetos obligados, como a continuación se observa: </w:t>
      </w:r>
    </w:p>
    <w:p w14:paraId="7AEF2ADA" w14:textId="77777777" w:rsidR="00191180" w:rsidRPr="00233D78" w:rsidRDefault="00191180" w:rsidP="006F7BEF">
      <w:pPr>
        <w:tabs>
          <w:tab w:val="left" w:pos="8080"/>
        </w:tabs>
        <w:suppressAutoHyphens w:val="0"/>
        <w:spacing w:line="360" w:lineRule="auto"/>
        <w:ind w:left="567" w:right="567"/>
        <w:contextualSpacing/>
        <w:jc w:val="both"/>
        <w:rPr>
          <w:rFonts w:ascii="Palatino Linotype" w:hAnsi="Palatino Linotype" w:cs="Arial"/>
          <w:i/>
          <w:sz w:val="22"/>
          <w:lang w:val="es-ES_tradnl"/>
        </w:rPr>
      </w:pPr>
      <w:r w:rsidRPr="00233D78">
        <w:rPr>
          <w:rFonts w:ascii="Palatino Linotype" w:hAnsi="Palatino Linotype" w:cs="Arial"/>
          <w:i/>
          <w:sz w:val="22"/>
          <w:lang w:val="es-ES_tradnl"/>
        </w:rPr>
        <w:t>“</w:t>
      </w:r>
      <w:r w:rsidRPr="00233D78">
        <w:rPr>
          <w:rFonts w:ascii="Palatino Linotype" w:hAnsi="Palatino Linotype" w:cs="Arial"/>
          <w:b/>
          <w:i/>
          <w:sz w:val="22"/>
          <w:lang w:val="es-ES_tradnl"/>
        </w:rPr>
        <w:t>Artículo 19.</w:t>
      </w:r>
      <w:r w:rsidRPr="00233D78">
        <w:rPr>
          <w:rFonts w:ascii="Palatino Linotype" w:hAnsi="Palatino Linotype" w:cs="Arial"/>
          <w:i/>
          <w:sz w:val="22"/>
          <w:lang w:val="es-ES_tradnl"/>
        </w:rPr>
        <w:t xml:space="preserve"> Se presume que la información debe existir si se refiere a las facultades, competencias y funciones que los ordenamientos jurídicos aplicables otorgan a los sujetos obligados.</w:t>
      </w:r>
    </w:p>
    <w:p w14:paraId="444BF843" w14:textId="77777777" w:rsidR="00191180" w:rsidRPr="00233D78" w:rsidRDefault="00191180" w:rsidP="006F7BEF">
      <w:pPr>
        <w:tabs>
          <w:tab w:val="left" w:pos="8080"/>
        </w:tabs>
        <w:suppressAutoHyphens w:val="0"/>
        <w:spacing w:line="360" w:lineRule="auto"/>
        <w:ind w:left="567" w:right="567"/>
        <w:contextualSpacing/>
        <w:jc w:val="both"/>
        <w:rPr>
          <w:rFonts w:ascii="Palatino Linotype" w:hAnsi="Palatino Linotype" w:cs="Arial"/>
          <w:i/>
          <w:sz w:val="22"/>
          <w:lang w:val="es-ES_tradnl"/>
        </w:rPr>
      </w:pPr>
      <w:r w:rsidRPr="00233D78">
        <w:rPr>
          <w:rFonts w:ascii="Palatino Linotype" w:hAnsi="Palatino Linotype" w:cs="Arial"/>
          <w:i/>
          <w:sz w:val="22"/>
          <w:lang w:val="es-ES_tradnl"/>
        </w:rPr>
        <w:t xml:space="preserve"> En los casos en que ciertas facultades, competencias o funciones no se hayan ejercido, se debe motivar la respuesta en función de las causas que motiven tal circunstancia. </w:t>
      </w:r>
    </w:p>
    <w:p w14:paraId="16B23A1C" w14:textId="08A3EF1A" w:rsidR="00191180" w:rsidRPr="00233D78" w:rsidRDefault="00191180" w:rsidP="006F7BEF">
      <w:pPr>
        <w:tabs>
          <w:tab w:val="left" w:pos="8080"/>
        </w:tabs>
        <w:suppressAutoHyphens w:val="0"/>
        <w:spacing w:line="360" w:lineRule="auto"/>
        <w:ind w:left="567" w:right="567"/>
        <w:contextualSpacing/>
        <w:jc w:val="both"/>
        <w:rPr>
          <w:rFonts w:ascii="Palatino Linotype" w:hAnsi="Palatino Linotype" w:cs="Arial"/>
          <w:i/>
          <w:sz w:val="22"/>
          <w:lang w:val="es-ES_tradnl"/>
        </w:rPr>
      </w:pPr>
      <w:r w:rsidRPr="00233D78">
        <w:rPr>
          <w:rFonts w:ascii="Palatino Linotype" w:hAnsi="Palatino Linotype" w:cs="Arial"/>
          <w:i/>
          <w:sz w:val="22"/>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w:t>
      </w:r>
      <w:r w:rsidR="000D0723" w:rsidRPr="00233D78">
        <w:rPr>
          <w:rFonts w:ascii="Palatino Linotype" w:hAnsi="Palatino Linotype" w:cs="Arial"/>
          <w:i/>
          <w:sz w:val="22"/>
          <w:lang w:val="es-ES_tradnl"/>
        </w:rPr>
        <w:t>r qué no obra en sus archivos.”</w:t>
      </w:r>
    </w:p>
    <w:p w14:paraId="4E6BFBFE" w14:textId="77777777" w:rsidR="00191180" w:rsidRPr="00FC5408" w:rsidRDefault="00191180" w:rsidP="006F7BEF">
      <w:pPr>
        <w:suppressAutoHyphens w:val="0"/>
        <w:spacing w:line="360" w:lineRule="auto"/>
        <w:rPr>
          <w:rFonts w:ascii="Palatino Linotype" w:hAnsi="Palatino Linotype" w:cs="Arial"/>
          <w:lang w:val="es-ES_tradnl"/>
        </w:rPr>
      </w:pPr>
    </w:p>
    <w:p w14:paraId="1FAF257A"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El primer supuesto, que corresponde a lo señalado en su segundo párrafo, alude a actos no realizados y contemplados en alguna hipótesis jurídica: </w:t>
      </w:r>
    </w:p>
    <w:p w14:paraId="5CDEED9A" w14:textId="77777777" w:rsidR="00191180" w:rsidRPr="00233D78" w:rsidRDefault="00191180" w:rsidP="006F7BEF">
      <w:pPr>
        <w:numPr>
          <w:ilvl w:val="0"/>
          <w:numId w:val="10"/>
        </w:numPr>
        <w:suppressAutoHyphens w:val="0"/>
        <w:spacing w:before="240" w:after="240" w:line="360" w:lineRule="auto"/>
        <w:ind w:right="709"/>
        <w:contextualSpacing/>
        <w:jc w:val="both"/>
        <w:rPr>
          <w:rFonts w:ascii="Palatino Linotype" w:hAnsi="Palatino Linotype" w:cs="Arial"/>
          <w:sz w:val="22"/>
          <w:lang w:val="es-ES_tradnl"/>
        </w:rPr>
      </w:pPr>
      <w:r w:rsidRPr="00233D78">
        <w:rPr>
          <w:rFonts w:ascii="Palatino Linotype" w:hAnsi="Palatino Linotype" w:cs="Arial"/>
          <w:sz w:val="22"/>
          <w:lang w:val="es-ES_tradnl"/>
        </w:rPr>
        <w:t xml:space="preserve">Cuya realización dependa de que un tercero demande la emisión de un acto de autoridad, la expedición de una licencia, por ejemplo; </w:t>
      </w:r>
    </w:p>
    <w:p w14:paraId="6F4E129F" w14:textId="77777777" w:rsidR="00191180" w:rsidRPr="00233D78" w:rsidRDefault="00191180" w:rsidP="006F7BEF">
      <w:pPr>
        <w:numPr>
          <w:ilvl w:val="0"/>
          <w:numId w:val="10"/>
        </w:numPr>
        <w:suppressAutoHyphens w:val="0"/>
        <w:spacing w:before="240" w:after="240" w:line="360" w:lineRule="auto"/>
        <w:ind w:right="709"/>
        <w:contextualSpacing/>
        <w:jc w:val="both"/>
        <w:rPr>
          <w:rFonts w:ascii="Palatino Linotype" w:hAnsi="Palatino Linotype" w:cs="Arial"/>
          <w:sz w:val="22"/>
          <w:lang w:val="es-ES_tradnl"/>
        </w:rPr>
      </w:pPr>
      <w:r w:rsidRPr="00233D78">
        <w:rPr>
          <w:rFonts w:ascii="Palatino Linotype" w:hAnsi="Palatino Linotype" w:cs="Arial"/>
          <w:sz w:val="22"/>
          <w:lang w:val="es-ES_tradnl"/>
        </w:rPr>
        <w:t>De un acontecimiento de realización probable, la Cuenta Pública correspondiente a un ejercicio fiscal en curso; o</w:t>
      </w:r>
    </w:p>
    <w:p w14:paraId="212D4A43" w14:textId="77777777" w:rsidR="00191180" w:rsidRPr="00233D78" w:rsidRDefault="00191180" w:rsidP="006F7BEF">
      <w:pPr>
        <w:numPr>
          <w:ilvl w:val="0"/>
          <w:numId w:val="10"/>
        </w:numPr>
        <w:suppressAutoHyphens w:val="0"/>
        <w:spacing w:before="240" w:after="240" w:line="360" w:lineRule="auto"/>
        <w:ind w:right="709"/>
        <w:contextualSpacing/>
        <w:jc w:val="both"/>
        <w:rPr>
          <w:rFonts w:ascii="Palatino Linotype" w:hAnsi="Palatino Linotype" w:cs="Arial"/>
          <w:sz w:val="22"/>
          <w:lang w:val="es-ES_tradnl"/>
        </w:rPr>
      </w:pPr>
      <w:r w:rsidRPr="00233D78">
        <w:rPr>
          <w:rFonts w:ascii="Palatino Linotype" w:hAnsi="Palatino Linotype" w:cs="Arial"/>
          <w:sz w:val="22"/>
          <w:lang w:val="es-ES_tradnl"/>
        </w:rPr>
        <w:t>Una facultad potestativa, la firma de convenio de colaboración.</w:t>
      </w:r>
    </w:p>
    <w:p w14:paraId="6186A06A" w14:textId="77777777" w:rsidR="00191180" w:rsidRPr="00FC5408" w:rsidRDefault="00191180" w:rsidP="006F7BEF">
      <w:pPr>
        <w:suppressAutoHyphens w:val="0"/>
        <w:spacing w:before="240" w:line="360" w:lineRule="auto"/>
        <w:ind w:right="567"/>
        <w:jc w:val="both"/>
        <w:rPr>
          <w:rFonts w:ascii="Palatino Linotype" w:hAnsi="Palatino Linotype" w:cs="Arial"/>
          <w:lang w:val="es-ES_tradnl"/>
        </w:rPr>
      </w:pPr>
    </w:p>
    <w:p w14:paraId="04C4E591"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 En estos casos, el </w:t>
      </w:r>
      <w:r w:rsidRPr="00FC5408">
        <w:rPr>
          <w:rFonts w:ascii="Palatino Linotype" w:hAnsi="Palatino Linotype" w:cs="Arial"/>
          <w:b/>
          <w:bCs/>
          <w:color w:val="000000"/>
          <w:lang w:val="es-ES_tradnl"/>
        </w:rPr>
        <w:t>SUJETO OBLIGADO</w:t>
      </w:r>
      <w:r w:rsidRPr="00FC5408">
        <w:rPr>
          <w:rFonts w:ascii="Palatino Linotype" w:hAnsi="Palatino Linotype" w:cs="Arial"/>
          <w:lang w:val="es-ES_tradnl"/>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10A7A41A"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0A4F244F"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lastRenderedPageBreak/>
        <w:t xml:space="preserve">El segundo supuesto, que corresponde a lo señalado en su último párrafo del artículo antes referido, alude a: </w:t>
      </w:r>
    </w:p>
    <w:p w14:paraId="789B7CBE" w14:textId="23CF2B46" w:rsidR="00191180" w:rsidRPr="00233D78" w:rsidRDefault="00191180" w:rsidP="006F7BEF">
      <w:pPr>
        <w:tabs>
          <w:tab w:val="left" w:pos="7655"/>
        </w:tabs>
        <w:suppressAutoHyphens w:val="0"/>
        <w:spacing w:before="240" w:after="240" w:line="360" w:lineRule="auto"/>
        <w:ind w:left="851" w:right="709" w:hanging="284"/>
        <w:contextualSpacing/>
        <w:jc w:val="both"/>
        <w:rPr>
          <w:rFonts w:ascii="Palatino Linotype" w:hAnsi="Palatino Linotype" w:cs="Arial"/>
          <w:sz w:val="22"/>
          <w:lang w:val="es-ES_tradnl"/>
        </w:rPr>
      </w:pPr>
      <w:r w:rsidRPr="00233D78">
        <w:rPr>
          <w:rFonts w:ascii="Palatino Linotype" w:hAnsi="Palatino Linotype" w:cs="Arial"/>
          <w:b/>
          <w:bCs/>
          <w:sz w:val="22"/>
          <w:lang w:val="es-ES_tradnl"/>
        </w:rPr>
        <w:t>I.</w:t>
      </w:r>
      <w:r w:rsidRPr="00233D78">
        <w:rPr>
          <w:rFonts w:ascii="Palatino Linotype" w:hAnsi="Palatino Linotype" w:cs="Arial"/>
          <w:sz w:val="22"/>
          <w:lang w:val="es-ES_tradnl"/>
        </w:rPr>
        <w:t xml:space="preserve"> Actos realizados sobre los cuales: </w:t>
      </w:r>
    </w:p>
    <w:p w14:paraId="000D74E5" w14:textId="77777777" w:rsidR="00191180" w:rsidRPr="00233D78" w:rsidRDefault="00191180" w:rsidP="006F7BEF">
      <w:pPr>
        <w:tabs>
          <w:tab w:val="left" w:pos="1418"/>
          <w:tab w:val="left" w:pos="7655"/>
        </w:tabs>
        <w:suppressAutoHyphens w:val="0"/>
        <w:spacing w:before="240" w:after="240" w:line="360" w:lineRule="auto"/>
        <w:ind w:left="1134" w:right="709"/>
        <w:contextualSpacing/>
        <w:jc w:val="both"/>
        <w:rPr>
          <w:rFonts w:ascii="Palatino Linotype" w:hAnsi="Palatino Linotype" w:cs="Arial"/>
          <w:sz w:val="22"/>
          <w:lang w:val="es-ES_tradnl"/>
        </w:rPr>
      </w:pPr>
      <w:r w:rsidRPr="00233D78">
        <w:rPr>
          <w:rFonts w:ascii="Palatino Linotype" w:hAnsi="Palatino Linotype" w:cs="Arial"/>
          <w:b/>
          <w:bCs/>
          <w:sz w:val="22"/>
          <w:lang w:val="es-ES_tradnl"/>
        </w:rPr>
        <w:t>a)</w:t>
      </w:r>
      <w:r w:rsidRPr="00233D78">
        <w:rPr>
          <w:rFonts w:ascii="Palatino Linotype" w:hAnsi="Palatino Linotype" w:cs="Arial"/>
          <w:sz w:val="22"/>
          <w:lang w:val="es-ES_tradnl"/>
        </w:rPr>
        <w:t xml:space="preserve"> No se generó, poseyó o administró el documento que registre la información solicitada; </w:t>
      </w:r>
    </w:p>
    <w:p w14:paraId="1F4A3003" w14:textId="77777777" w:rsidR="00191180" w:rsidRPr="00233D78" w:rsidRDefault="00191180" w:rsidP="006F7BEF">
      <w:pPr>
        <w:tabs>
          <w:tab w:val="left" w:pos="1418"/>
          <w:tab w:val="left" w:pos="7655"/>
        </w:tabs>
        <w:suppressAutoHyphens w:val="0"/>
        <w:spacing w:before="240" w:after="240" w:line="360" w:lineRule="auto"/>
        <w:ind w:left="1134" w:right="709"/>
        <w:contextualSpacing/>
        <w:jc w:val="both"/>
        <w:rPr>
          <w:rFonts w:ascii="Palatino Linotype" w:hAnsi="Palatino Linotype" w:cs="Arial"/>
          <w:sz w:val="22"/>
          <w:lang w:val="es-ES_tradnl"/>
        </w:rPr>
      </w:pPr>
      <w:r w:rsidRPr="00233D78">
        <w:rPr>
          <w:rFonts w:ascii="Palatino Linotype" w:hAnsi="Palatino Linotype" w:cs="Arial"/>
          <w:b/>
          <w:bCs/>
          <w:sz w:val="22"/>
          <w:lang w:val="es-ES_tradnl"/>
        </w:rPr>
        <w:t>b)</w:t>
      </w:r>
      <w:r w:rsidRPr="00233D78">
        <w:rPr>
          <w:rFonts w:ascii="Palatino Linotype" w:hAnsi="Palatino Linotype" w:cs="Arial"/>
          <w:sz w:val="22"/>
          <w:lang w:val="es-ES_tradnl"/>
        </w:rPr>
        <w:t xml:space="preserve"> Habiendo sido generada, poseída o administrada, no se cuenta con la información solicitada.</w:t>
      </w:r>
    </w:p>
    <w:p w14:paraId="1AD24453" w14:textId="1748C789" w:rsidR="00C1345F" w:rsidRPr="00233D78" w:rsidRDefault="00233D78" w:rsidP="00233D78">
      <w:pPr>
        <w:tabs>
          <w:tab w:val="left" w:pos="7655"/>
        </w:tabs>
        <w:suppressAutoHyphens w:val="0"/>
        <w:spacing w:before="240" w:after="240" w:line="360" w:lineRule="auto"/>
        <w:ind w:left="1134" w:right="709"/>
        <w:contextualSpacing/>
        <w:jc w:val="both"/>
        <w:rPr>
          <w:rFonts w:ascii="Palatino Linotype" w:hAnsi="Palatino Linotype" w:cs="Arial"/>
          <w:sz w:val="22"/>
          <w:lang w:val="es-ES_tradnl"/>
        </w:rPr>
      </w:pPr>
      <w:r w:rsidRPr="00233D78">
        <w:rPr>
          <w:rFonts w:ascii="Palatino Linotype" w:hAnsi="Palatino Linotype" w:cs="Arial"/>
          <w:sz w:val="22"/>
          <w:lang w:val="es-ES_tradnl"/>
        </w:rPr>
        <w:tab/>
      </w:r>
    </w:p>
    <w:p w14:paraId="7C20AD1E" w14:textId="0A37BC8B" w:rsidR="00191180" w:rsidRPr="00233D78" w:rsidRDefault="00233D78" w:rsidP="006F7BEF">
      <w:pPr>
        <w:tabs>
          <w:tab w:val="left" w:pos="7655"/>
        </w:tabs>
        <w:suppressAutoHyphens w:val="0"/>
        <w:spacing w:before="240" w:after="240" w:line="360" w:lineRule="auto"/>
        <w:ind w:left="851" w:right="567" w:hanging="284"/>
        <w:contextualSpacing/>
        <w:jc w:val="both"/>
        <w:rPr>
          <w:rFonts w:ascii="Palatino Linotype" w:hAnsi="Palatino Linotype" w:cs="Arial"/>
          <w:sz w:val="22"/>
          <w:lang w:val="es-ES_tradnl"/>
        </w:rPr>
      </w:pPr>
      <w:r w:rsidRPr="00233D78">
        <w:rPr>
          <w:rFonts w:ascii="Palatino Linotype" w:hAnsi="Palatino Linotype" w:cs="Arial"/>
          <w:b/>
          <w:bCs/>
          <w:sz w:val="22"/>
          <w:lang w:val="es-ES_tradnl"/>
        </w:rPr>
        <w:t>II.</w:t>
      </w:r>
      <w:r w:rsidR="00191180" w:rsidRPr="00233D78">
        <w:rPr>
          <w:rFonts w:ascii="Palatino Linotype" w:hAnsi="Palatino Linotype" w:cs="Arial"/>
          <w:sz w:val="22"/>
          <w:lang w:val="es-ES_tradnl"/>
        </w:rPr>
        <w:t xml:space="preserve"> El </w:t>
      </w:r>
      <w:r w:rsidR="00191180" w:rsidRPr="00233D78">
        <w:rPr>
          <w:rFonts w:ascii="Palatino Linotype" w:hAnsi="Palatino Linotype" w:cs="Arial"/>
          <w:b/>
          <w:bCs/>
          <w:color w:val="000000"/>
          <w:sz w:val="22"/>
          <w:lang w:val="es-ES_tradnl"/>
        </w:rPr>
        <w:t>SUJETO OBLIGADO</w:t>
      </w:r>
      <w:r w:rsidR="00191180" w:rsidRPr="00233D78">
        <w:rPr>
          <w:rFonts w:ascii="Palatino Linotype" w:hAnsi="Palatino Linotype" w:cs="Arial"/>
          <w:color w:val="000000"/>
          <w:sz w:val="22"/>
          <w:lang w:val="es-ES_tradnl"/>
        </w:rPr>
        <w:t xml:space="preserve"> </w:t>
      </w:r>
      <w:r w:rsidR="00191180" w:rsidRPr="00233D78">
        <w:rPr>
          <w:rFonts w:ascii="Palatino Linotype" w:hAnsi="Palatino Linotype" w:cs="Arial"/>
          <w:sz w:val="22"/>
          <w:lang w:val="es-ES_tradnl"/>
        </w:rPr>
        <w:t xml:space="preserve">fue omiso en el ejercicio de una facultad, competencia o atribución inexcusable. </w:t>
      </w:r>
    </w:p>
    <w:p w14:paraId="0C9E5110" w14:textId="77777777" w:rsidR="00191180" w:rsidRPr="00FC5408" w:rsidRDefault="00191180" w:rsidP="006F7BEF">
      <w:pPr>
        <w:suppressAutoHyphens w:val="0"/>
        <w:spacing w:before="240" w:after="240" w:line="360" w:lineRule="auto"/>
        <w:contextualSpacing/>
        <w:jc w:val="both"/>
        <w:rPr>
          <w:rFonts w:ascii="Palatino Linotype" w:hAnsi="Palatino Linotype" w:cs="Arial"/>
          <w:lang w:val="es-ES_tradnl"/>
        </w:rPr>
      </w:pPr>
    </w:p>
    <w:p w14:paraId="30987B5A"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64C0E96F" w14:textId="77777777" w:rsidR="00191180" w:rsidRPr="00FC5408" w:rsidRDefault="00191180" w:rsidP="006F7BEF">
      <w:pPr>
        <w:tabs>
          <w:tab w:val="left" w:pos="426"/>
        </w:tabs>
        <w:suppressAutoHyphens w:val="0"/>
        <w:spacing w:line="360" w:lineRule="auto"/>
        <w:contextualSpacing/>
        <w:rPr>
          <w:rFonts w:ascii="Palatino Linotype" w:hAnsi="Palatino Linotype" w:cs="Arial"/>
          <w:lang w:val="es-ES_tradnl"/>
        </w:rPr>
      </w:pPr>
    </w:p>
    <w:p w14:paraId="57C83AF0"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lang w:val="es-ES_tradnl"/>
        </w:rPr>
        <w:t xml:space="preserve">En cualquiera de los casos, imperativamente, 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w:t>
      </w:r>
      <w:r w:rsidRPr="00FC5408">
        <w:rPr>
          <w:rFonts w:ascii="Palatino Linotype" w:hAnsi="Palatino Linotype" w:cs="Arial"/>
          <w:lang w:val="es-ES_tradnl"/>
        </w:rPr>
        <w:t xml:space="preserve">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FC5408">
        <w:rPr>
          <w:rFonts w:ascii="Palatino Linotype" w:hAnsi="Palatino Linotype" w:cs="Arial"/>
          <w:b/>
          <w:lang w:val="es-ES_tradnl"/>
        </w:rPr>
        <w:t>de no localizar la información que debía tener, procediendo según lo refieren los párrafos segundo o tercero del artículo 19 de la Ley de Transparencia y Acceso a la Información Pública</w:t>
      </w:r>
      <w:r w:rsidRPr="00FC5408">
        <w:rPr>
          <w:rFonts w:ascii="Palatino Linotype" w:hAnsi="Palatino Linotype" w:cs="Arial"/>
          <w:lang w:val="es-ES_tradnl"/>
        </w:rPr>
        <w:t>, pero emitiendo una respuesta.</w:t>
      </w:r>
    </w:p>
    <w:p w14:paraId="2328772D" w14:textId="77777777" w:rsidR="00191180" w:rsidRPr="00FC5408" w:rsidRDefault="00191180" w:rsidP="006F7BEF">
      <w:pPr>
        <w:suppressAutoHyphens w:val="0"/>
        <w:spacing w:line="360" w:lineRule="auto"/>
        <w:ind w:right="49"/>
        <w:contextualSpacing/>
        <w:jc w:val="both"/>
        <w:rPr>
          <w:rFonts w:ascii="Palatino Linotype" w:hAnsi="Palatino Linotype" w:cs="Arial"/>
          <w:color w:val="000000"/>
          <w:lang w:val="es-ES_tradnl"/>
        </w:rPr>
      </w:pPr>
    </w:p>
    <w:p w14:paraId="6270AEEB" w14:textId="77777777" w:rsidR="00191180" w:rsidRPr="00FC5408" w:rsidRDefault="00191180" w:rsidP="006F7BEF">
      <w:pPr>
        <w:keepNext/>
        <w:keepLines/>
        <w:suppressAutoHyphens w:val="0"/>
        <w:spacing w:before="40" w:after="160" w:line="360" w:lineRule="auto"/>
        <w:outlineLvl w:val="1"/>
        <w:rPr>
          <w:rFonts w:ascii="Palatino Linotype" w:hAnsi="Palatino Linotype"/>
          <w:b/>
          <w:lang w:eastAsia="en-US"/>
        </w:rPr>
      </w:pPr>
      <w:bookmarkStart w:id="38" w:name="_Toc524344194"/>
      <w:bookmarkStart w:id="39" w:name="_Toc526271199"/>
      <w:bookmarkStart w:id="40" w:name="_Toc536105846"/>
      <w:bookmarkStart w:id="41" w:name="_Toc536106973"/>
      <w:bookmarkStart w:id="42" w:name="_Toc104470950"/>
      <w:bookmarkStart w:id="43" w:name="_Toc110976869"/>
      <w:r w:rsidRPr="00FC5408">
        <w:rPr>
          <w:rFonts w:ascii="Palatino Linotype" w:hAnsi="Palatino Linotype"/>
          <w:b/>
          <w:lang w:eastAsia="en-US"/>
        </w:rPr>
        <w:lastRenderedPageBreak/>
        <w:t>III. Análisis al que debe someterse la información antes de su entrega.</w:t>
      </w:r>
      <w:bookmarkEnd w:id="38"/>
      <w:bookmarkEnd w:id="39"/>
      <w:bookmarkEnd w:id="40"/>
      <w:bookmarkEnd w:id="41"/>
      <w:bookmarkEnd w:id="42"/>
      <w:bookmarkEnd w:id="43"/>
    </w:p>
    <w:p w14:paraId="70049A7A"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7BA73965"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5951DA4A"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39263D0C"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i/>
          <w:color w:val="000000"/>
          <w:sz w:val="22"/>
        </w:rPr>
        <w:t>“Artículo 4.</w:t>
      </w:r>
      <w:r w:rsidRPr="00233D78">
        <w:rPr>
          <w:rFonts w:ascii="Palatino Linotype"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B00CB75"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w:t>
      </w:r>
      <w:r w:rsidRPr="00233D78">
        <w:rPr>
          <w:rFonts w:ascii="Palatino Linotype" w:hAnsi="Palatino Linotype" w:cs="Arial"/>
          <w:i/>
          <w:color w:val="000000"/>
          <w:sz w:val="22"/>
        </w:rPr>
        <w:lastRenderedPageBreak/>
        <w:t>público, en los términos de las causas legítimas y estrictamente necesarias previstas por esta Ley.</w:t>
      </w:r>
    </w:p>
    <w:p w14:paraId="3889EFAB"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1EBC3463"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w:t>
      </w:r>
    </w:p>
    <w:p w14:paraId="35327575"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p>
    <w:p w14:paraId="6BD0EBE2"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w:t>
      </w:r>
      <w:r w:rsidRPr="00233D78">
        <w:rPr>
          <w:rFonts w:ascii="Palatino Linotype" w:hAnsi="Palatino Linotype" w:cs="Arial"/>
          <w:b/>
          <w:i/>
          <w:color w:val="000000"/>
          <w:sz w:val="22"/>
        </w:rPr>
        <w:t>Artículo 122.</w:t>
      </w:r>
      <w:r w:rsidRPr="00233D78">
        <w:rPr>
          <w:rFonts w:ascii="Palatino Linotype" w:hAnsi="Palatino Linotype" w:cs="Arial"/>
          <w:i/>
          <w:color w:val="000000"/>
          <w:sz w:val="22"/>
        </w:rPr>
        <w:t xml:space="preserve"> La clasificación es el proceso mediante el cual el sujeto obligado determina que la información en su poder </w:t>
      </w:r>
      <w:proofErr w:type="spellStart"/>
      <w:r w:rsidRPr="00233D78">
        <w:rPr>
          <w:rFonts w:ascii="Palatino Linotype" w:hAnsi="Palatino Linotype" w:cs="Arial"/>
          <w:i/>
          <w:color w:val="000000"/>
          <w:sz w:val="22"/>
        </w:rPr>
        <w:t>actualiza</w:t>
      </w:r>
      <w:proofErr w:type="spellEnd"/>
      <w:r w:rsidRPr="00233D78">
        <w:rPr>
          <w:rFonts w:ascii="Palatino Linotype" w:hAnsi="Palatino Linotype" w:cs="Arial"/>
          <w:i/>
          <w:color w:val="000000"/>
          <w:sz w:val="22"/>
        </w:rPr>
        <w:t xml:space="preserve"> alguno de los supuestos de reserva o confidencialidad, de conformidad con lo dispuesto en el presente título.</w:t>
      </w:r>
    </w:p>
    <w:p w14:paraId="48F629E6"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26B22C81"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1C622370"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w:t>
      </w:r>
    </w:p>
    <w:p w14:paraId="7BF6399B"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p>
    <w:p w14:paraId="300CD8CF"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w:t>
      </w:r>
      <w:r w:rsidRPr="00233D78">
        <w:rPr>
          <w:rFonts w:ascii="Palatino Linotype" w:hAnsi="Palatino Linotype" w:cs="Arial"/>
          <w:b/>
          <w:i/>
          <w:color w:val="000000"/>
          <w:sz w:val="22"/>
        </w:rPr>
        <w:t>Artículo 140.</w:t>
      </w:r>
      <w:r w:rsidRPr="00233D78">
        <w:rPr>
          <w:rFonts w:ascii="Palatino Linotype"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77E64D72"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I.</w:t>
      </w:r>
      <w:r w:rsidRPr="00233D78">
        <w:rPr>
          <w:rFonts w:ascii="Palatino Linotype" w:hAnsi="Palatino Linotype" w:cs="Arial"/>
          <w:i/>
          <w:color w:val="000000"/>
          <w:sz w:val="22"/>
        </w:rPr>
        <w:t xml:space="preserve"> Comprometa la seguridad pública y cuente con un propósito genuino y un efecto demostrable;</w:t>
      </w:r>
    </w:p>
    <w:p w14:paraId="5935FCDB"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II.</w:t>
      </w:r>
      <w:r w:rsidRPr="00233D78">
        <w:rPr>
          <w:rFonts w:ascii="Palatino Linotype" w:hAnsi="Palatino Linotype" w:cs="Arial"/>
          <w:i/>
          <w:color w:val="000000"/>
          <w:sz w:val="22"/>
        </w:rPr>
        <w:t xml:space="preserve"> Pueda menoscabar la conducción de las negociaciones y relaciones internacionales;</w:t>
      </w:r>
    </w:p>
    <w:p w14:paraId="073253E0"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III.</w:t>
      </w:r>
      <w:r w:rsidRPr="00233D78">
        <w:rPr>
          <w:rFonts w:ascii="Palatino Linotype" w:hAnsi="Palatino Linotype" w:cs="Arial"/>
          <w:i/>
          <w:color w:val="000000"/>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0C86495"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lastRenderedPageBreak/>
        <w:t>IV.</w:t>
      </w:r>
      <w:r w:rsidRPr="00233D78">
        <w:rPr>
          <w:rFonts w:ascii="Palatino Linotype" w:hAnsi="Palatino Linotype" w:cs="Arial"/>
          <w:i/>
          <w:color w:val="000000"/>
          <w:sz w:val="22"/>
        </w:rPr>
        <w:t xml:space="preserve"> Ponga en riesgo la vida, la seguridad o la salud de una persona física;</w:t>
      </w:r>
    </w:p>
    <w:p w14:paraId="12C7886A"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V.</w:t>
      </w:r>
      <w:r w:rsidRPr="00233D78">
        <w:rPr>
          <w:rFonts w:ascii="Palatino Linotype" w:hAnsi="Palatino Linotype" w:cs="Arial"/>
          <w:i/>
          <w:color w:val="000000"/>
          <w:sz w:val="22"/>
        </w:rPr>
        <w:t xml:space="preserve"> Aquella cuya divulgación obstruya o pueda causar un serio perjuicio a:</w:t>
      </w:r>
    </w:p>
    <w:p w14:paraId="0BC90DA6" w14:textId="77777777" w:rsidR="00191180" w:rsidRPr="00233D78" w:rsidRDefault="00191180" w:rsidP="006F7BEF">
      <w:pPr>
        <w:suppressAutoHyphens w:val="0"/>
        <w:spacing w:line="360" w:lineRule="auto"/>
        <w:ind w:left="851"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1.</w:t>
      </w:r>
      <w:r w:rsidRPr="00233D78">
        <w:rPr>
          <w:rFonts w:ascii="Palatino Linotype" w:hAnsi="Palatino Linotype" w:cs="Arial"/>
          <w:i/>
          <w:color w:val="000000"/>
          <w:sz w:val="22"/>
        </w:rPr>
        <w:t xml:space="preserve"> Las actividades de fiscalización, verificación, inspección, comprobación y auditoría sobre el cumplimiento de las Leyes; o</w:t>
      </w:r>
    </w:p>
    <w:p w14:paraId="3B1D4331" w14:textId="7DB15F91" w:rsidR="00191180" w:rsidRPr="00233D78" w:rsidRDefault="00191180" w:rsidP="006F7BEF">
      <w:pPr>
        <w:suppressAutoHyphens w:val="0"/>
        <w:spacing w:line="360" w:lineRule="auto"/>
        <w:ind w:left="851"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2.</w:t>
      </w:r>
      <w:r w:rsidRPr="00233D78">
        <w:rPr>
          <w:rFonts w:ascii="Palatino Linotype" w:hAnsi="Palatino Linotype" w:cs="Arial"/>
          <w:i/>
          <w:color w:val="000000"/>
          <w:sz w:val="22"/>
        </w:rPr>
        <w:t xml:space="preserve"> La recaudación de las contribuciones.</w:t>
      </w:r>
    </w:p>
    <w:p w14:paraId="18AC36EA" w14:textId="77777777" w:rsidR="00D8214A" w:rsidRPr="00233D78" w:rsidRDefault="00D8214A" w:rsidP="006F7BEF">
      <w:pPr>
        <w:suppressAutoHyphens w:val="0"/>
        <w:spacing w:line="360" w:lineRule="auto"/>
        <w:ind w:left="851" w:right="567"/>
        <w:contextualSpacing/>
        <w:jc w:val="both"/>
        <w:rPr>
          <w:rFonts w:ascii="Palatino Linotype" w:hAnsi="Palatino Linotype" w:cs="Arial"/>
          <w:i/>
          <w:color w:val="000000"/>
          <w:sz w:val="22"/>
        </w:rPr>
      </w:pPr>
    </w:p>
    <w:p w14:paraId="6CA776E1"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VI.</w:t>
      </w:r>
      <w:r w:rsidRPr="00233D78">
        <w:rPr>
          <w:rFonts w:ascii="Palatino Linotype" w:hAnsi="Palatino Linotype" w:cs="Arial"/>
          <w:i/>
          <w:color w:val="000000"/>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F888BE6"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 xml:space="preserve">VII. </w:t>
      </w:r>
      <w:r w:rsidRPr="00233D78">
        <w:rPr>
          <w:rFonts w:ascii="Palatino Linotype" w:hAnsi="Palatino Linotype" w:cs="Arial"/>
          <w:i/>
          <w:color w:val="000000"/>
          <w:sz w:val="22"/>
        </w:rPr>
        <w:t>La que contengan las opiniones, recomendaciones o puntos de vista que formen parte del proceso deliberativo de los servidores públicos, hasta en tanto sea adoptada la decisión definitiva, la cual deberá estar documentada;</w:t>
      </w:r>
    </w:p>
    <w:p w14:paraId="646BE1A0"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VIII.</w:t>
      </w:r>
      <w:r w:rsidRPr="00233D78">
        <w:rPr>
          <w:rFonts w:ascii="Palatino Linotype" w:hAnsi="Palatino Linotype" w:cs="Arial"/>
          <w:i/>
          <w:color w:val="000000"/>
          <w:sz w:val="22"/>
        </w:rPr>
        <w:t xml:space="preserve"> Vulnere la conducción de los expedientes judiciales o de los procedimientos administrativos seguidos en forma de juicio, en tanto no hayan quedado firmes;</w:t>
      </w:r>
    </w:p>
    <w:p w14:paraId="19BBA6B2"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IX.</w:t>
      </w:r>
      <w:r w:rsidRPr="00233D78">
        <w:rPr>
          <w:rFonts w:ascii="Palatino Linotype" w:hAnsi="Palatino Linotype" w:cs="Arial"/>
          <w:i/>
          <w:color w:val="000000"/>
          <w:sz w:val="22"/>
        </w:rPr>
        <w:t xml:space="preserve"> Se encuentre contenida dentro de las investigaciones de hechos que la Ley señale como delitos y se tramiten ante el Ministerio Público;</w:t>
      </w:r>
    </w:p>
    <w:p w14:paraId="4EF6BFE6"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t>X.</w:t>
      </w:r>
      <w:r w:rsidRPr="00233D78">
        <w:rPr>
          <w:rFonts w:ascii="Palatino Linotype" w:hAnsi="Palatino Linotype" w:cs="Arial"/>
          <w:i/>
          <w:color w:val="000000"/>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B2CAE19"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i/>
          <w:color w:val="000000"/>
          <w:sz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C1FE33A"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r w:rsidRPr="00233D78">
        <w:rPr>
          <w:rFonts w:ascii="Palatino Linotype" w:hAnsi="Palatino Linotype" w:cs="Arial"/>
          <w:b/>
          <w:bCs/>
          <w:i/>
          <w:color w:val="000000"/>
          <w:sz w:val="22"/>
        </w:rPr>
        <w:lastRenderedPageBreak/>
        <w:t>XI.</w:t>
      </w:r>
      <w:r w:rsidRPr="00233D78">
        <w:rPr>
          <w:rFonts w:ascii="Palatino Linotype" w:hAnsi="Palatino Linotype" w:cs="Arial"/>
          <w:i/>
          <w:color w:val="000000"/>
          <w:sz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5E5D0282"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rPr>
      </w:pPr>
    </w:p>
    <w:p w14:paraId="31361848" w14:textId="77777777" w:rsidR="00191180" w:rsidRPr="00233D78" w:rsidRDefault="00191180" w:rsidP="006F7BEF">
      <w:pPr>
        <w:suppressAutoHyphens w:val="0"/>
        <w:spacing w:line="360" w:lineRule="auto"/>
        <w:ind w:left="567" w:right="567"/>
        <w:contextualSpacing/>
        <w:jc w:val="both"/>
        <w:rPr>
          <w:rFonts w:ascii="Palatino Linotype" w:hAnsi="Palatino Linotype" w:cs="Arial"/>
          <w:b/>
          <w:i/>
          <w:color w:val="000000"/>
          <w:sz w:val="22"/>
        </w:rPr>
      </w:pPr>
      <w:r w:rsidRPr="00233D78">
        <w:rPr>
          <w:rFonts w:ascii="Palatino Linotype" w:hAnsi="Palatino Linotype" w:cs="Arial"/>
          <w:i/>
          <w:color w:val="000000"/>
          <w:sz w:val="22"/>
        </w:rPr>
        <w:t>“</w:t>
      </w:r>
      <w:r w:rsidRPr="00233D78">
        <w:rPr>
          <w:rFonts w:ascii="Palatino Linotype" w:hAnsi="Palatino Linotype" w:cs="Arial"/>
          <w:b/>
          <w:i/>
          <w:color w:val="000000"/>
          <w:sz w:val="22"/>
        </w:rPr>
        <w:t>Artículo 141.</w:t>
      </w:r>
      <w:r w:rsidRPr="00233D78">
        <w:rPr>
          <w:rFonts w:ascii="Palatino Linotype" w:hAnsi="Palatino Linotype" w:cs="Arial"/>
          <w:i/>
          <w:color w:val="000000"/>
          <w:sz w:val="22"/>
        </w:rPr>
        <w:t xml:space="preserve"> </w:t>
      </w:r>
      <w:r w:rsidRPr="00233D78">
        <w:rPr>
          <w:rFonts w:ascii="Palatino Linotype" w:hAnsi="Palatino Linotype" w:cs="Arial"/>
          <w:b/>
          <w:i/>
          <w:color w:val="000000"/>
          <w:sz w:val="22"/>
        </w:rPr>
        <w:t>Las causales de reserva previstas en este Capítulo se deberán fundar y motivar, a través de la aplicación de la prueba de daño a la que se hace referencia en el presente Título.”</w:t>
      </w:r>
    </w:p>
    <w:p w14:paraId="034E60F2" w14:textId="77777777" w:rsidR="00191180" w:rsidRPr="00233D78" w:rsidRDefault="00191180" w:rsidP="006F7BEF">
      <w:pPr>
        <w:suppressAutoHyphens w:val="0"/>
        <w:spacing w:line="360" w:lineRule="auto"/>
        <w:ind w:left="567" w:right="567"/>
        <w:contextualSpacing/>
        <w:jc w:val="both"/>
        <w:rPr>
          <w:rFonts w:ascii="Palatino Linotype" w:hAnsi="Palatino Linotype" w:cs="Arial"/>
          <w:b/>
          <w:i/>
          <w:color w:val="000000"/>
          <w:sz w:val="22"/>
        </w:rPr>
      </w:pPr>
      <w:r w:rsidRPr="00233D78">
        <w:rPr>
          <w:rFonts w:ascii="Palatino Linotype" w:hAnsi="Palatino Linotype" w:cs="Arial"/>
          <w:i/>
          <w:color w:val="000000"/>
          <w:sz w:val="22"/>
        </w:rPr>
        <w:t xml:space="preserve">(Énfasis añadido) </w:t>
      </w:r>
    </w:p>
    <w:p w14:paraId="70E9CEC5" w14:textId="77777777" w:rsidR="00191180" w:rsidRPr="00FC5408" w:rsidRDefault="00191180" w:rsidP="006F7BEF">
      <w:pPr>
        <w:suppressAutoHyphens w:val="0"/>
        <w:autoSpaceDE w:val="0"/>
        <w:autoSpaceDN w:val="0"/>
        <w:adjustRightInd w:val="0"/>
        <w:spacing w:line="360" w:lineRule="auto"/>
        <w:ind w:right="50" w:firstLine="1418"/>
        <w:jc w:val="both"/>
        <w:rPr>
          <w:rFonts w:ascii="Palatino Linotype" w:hAnsi="Palatino Linotype" w:cs="Arial"/>
          <w:bCs/>
          <w:color w:val="000000"/>
          <w:lang w:val="es-ES_tradnl"/>
        </w:rPr>
      </w:pPr>
    </w:p>
    <w:p w14:paraId="54AE57E0"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3F6E03F7"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7A9B0187"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2796A057" w14:textId="77777777" w:rsidR="00191180" w:rsidRPr="00FC5408" w:rsidRDefault="00191180" w:rsidP="006F7BEF">
      <w:pPr>
        <w:tabs>
          <w:tab w:val="left" w:pos="426"/>
        </w:tabs>
        <w:suppressAutoHyphens w:val="0"/>
        <w:spacing w:line="360" w:lineRule="auto"/>
        <w:contextualSpacing/>
        <w:rPr>
          <w:rFonts w:ascii="Palatino Linotype" w:hAnsi="Palatino Linotype" w:cs="Arial"/>
          <w:lang w:val="es-ES"/>
        </w:rPr>
      </w:pPr>
    </w:p>
    <w:p w14:paraId="5891ECAA" w14:textId="77777777" w:rsidR="00191180" w:rsidRPr="00FC5408" w:rsidRDefault="00191180" w:rsidP="006F7BEF">
      <w:pPr>
        <w:numPr>
          <w:ilvl w:val="0"/>
          <w:numId w:val="9"/>
        </w:numPr>
        <w:tabs>
          <w:tab w:val="left" w:pos="426"/>
        </w:tabs>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lang w:val="es-ES"/>
        </w:rPr>
        <w:lastRenderedPageBreak/>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71312566" w14:textId="77777777" w:rsidR="00191180" w:rsidRPr="00FC5408" w:rsidRDefault="00191180" w:rsidP="006F7BEF">
      <w:pPr>
        <w:tabs>
          <w:tab w:val="left" w:pos="426"/>
        </w:tabs>
        <w:suppressAutoHyphens w:val="0"/>
        <w:spacing w:line="360" w:lineRule="auto"/>
        <w:ind w:right="49"/>
        <w:contextualSpacing/>
        <w:jc w:val="both"/>
        <w:rPr>
          <w:rFonts w:ascii="Palatino Linotype" w:hAnsi="Palatino Linotype" w:cs="Arial"/>
          <w:color w:val="000000"/>
          <w:lang w:val="es-ES_tradnl"/>
        </w:rPr>
      </w:pPr>
    </w:p>
    <w:p w14:paraId="0574ACA0"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680F1F42"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
        </w:rPr>
      </w:pPr>
    </w:p>
    <w:p w14:paraId="272F1C77"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
        </w:rPr>
      </w:pPr>
      <w:r w:rsidRPr="00FC5408">
        <w:rPr>
          <w:rFonts w:ascii="Palatino Linotype" w:hAnsi="Palatino Linotype" w:cs="Arial"/>
          <w:lang w:val="es-ES"/>
        </w:rPr>
        <w:t xml:space="preserve">No hay que perder de vista que el derecho de acceso se rige por el principio de máxima publicidad, es decir, la información que generan, </w:t>
      </w:r>
      <w:proofErr w:type="gramStart"/>
      <w:r w:rsidRPr="00FC5408">
        <w:rPr>
          <w:rFonts w:ascii="Palatino Linotype" w:hAnsi="Palatino Linotype" w:cs="Arial"/>
          <w:lang w:val="es-ES"/>
        </w:rPr>
        <w:t>administren</w:t>
      </w:r>
      <w:proofErr w:type="gramEnd"/>
      <w:r w:rsidRPr="00FC5408">
        <w:rPr>
          <w:rFonts w:ascii="Palatino Linotype" w:hAnsi="Palatino Linotype" w:cs="Arial"/>
          <w:lang w:val="es-ES"/>
        </w:rPr>
        <w:t xml:space="preserve"> o posean los organismos públicos deben ser puesto a disposición de cualquier persona y para su limitante debe existir un bien jurídico mayor que proteger.</w:t>
      </w:r>
    </w:p>
    <w:p w14:paraId="5563D3E0" w14:textId="77777777" w:rsidR="00191180" w:rsidRPr="00FC5408" w:rsidRDefault="00191180" w:rsidP="006F7BEF">
      <w:pPr>
        <w:tabs>
          <w:tab w:val="left" w:pos="426"/>
        </w:tabs>
        <w:suppressAutoHyphens w:val="0"/>
        <w:spacing w:line="360" w:lineRule="auto"/>
        <w:contextualSpacing/>
        <w:rPr>
          <w:rFonts w:ascii="Palatino Linotype" w:hAnsi="Palatino Linotype" w:cs="Arial"/>
          <w:lang w:val="es-ES"/>
        </w:rPr>
      </w:pPr>
    </w:p>
    <w:p w14:paraId="71C41FA0"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
        </w:rPr>
        <w:t>De</w:t>
      </w:r>
      <w:r w:rsidRPr="00FC5408">
        <w:rPr>
          <w:rFonts w:ascii="Palatino Linotype" w:hAnsi="Palatino Linotype" w:cs="Arial"/>
          <w:lang w:val="es-ES_tradnl"/>
        </w:rPr>
        <w:t xml:space="preserve"> tal manera que el </w:t>
      </w:r>
      <w:r w:rsidRPr="00FC5408">
        <w:rPr>
          <w:rFonts w:ascii="Palatino Linotype" w:hAnsi="Palatino Linotype" w:cs="Arial"/>
          <w:b/>
          <w:lang w:val="es-ES_tradnl"/>
        </w:rPr>
        <w:t>SUJETO OBLIGADO</w:t>
      </w:r>
      <w:r w:rsidRPr="00FC5408">
        <w:rPr>
          <w:rFonts w:ascii="Palatino Linotype" w:hAnsi="Palatino Linotype" w:cs="Arial"/>
          <w:lang w:val="es-ES_tradnl"/>
        </w:rPr>
        <w:t xml:space="preserve"> deberá dar atención a la solicitud de información, lo cual deberá realizar con arreglo al procedimiento establecido en la Ley que ha sido descrito en esta resolución y de manera fundada y motivada.</w:t>
      </w:r>
    </w:p>
    <w:p w14:paraId="0BFE2282"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2F7E7F90"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FC5408">
        <w:rPr>
          <w:rFonts w:ascii="Palatino Linotype" w:hAnsi="Palatino Linotype" w:cs="Arial"/>
          <w:color w:val="222222"/>
          <w:lang w:val="es-ES_tradnl" w:eastAsia="es-MX"/>
        </w:rPr>
        <w:lastRenderedPageBreak/>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7FD84F8A"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lang w:val="es-ES_tradnl"/>
        </w:rPr>
      </w:pPr>
      <w:r w:rsidRPr="00233D78">
        <w:rPr>
          <w:rFonts w:ascii="Palatino Linotype" w:hAnsi="Palatino Linotype" w:cs="Arial"/>
          <w:b/>
          <w:i/>
          <w:color w:val="000000"/>
          <w:sz w:val="22"/>
          <w:lang w:val="es-ES_tradnl"/>
        </w:rPr>
        <w:t>“Artículo 16.</w:t>
      </w:r>
      <w:r w:rsidRPr="00233D78">
        <w:rPr>
          <w:rFonts w:ascii="Palatino Linotype" w:hAnsi="Palatino Linotype" w:cs="Arial"/>
          <w:i/>
          <w:color w:val="000000"/>
          <w:sz w:val="22"/>
          <w:lang w:val="es-ES_tradnl"/>
        </w:rPr>
        <w:t xml:space="preserve"> Nadie puede ser molestado en su persona, familia, domicilio, papeles o posesiones, </w:t>
      </w:r>
      <w:r w:rsidRPr="00233D78">
        <w:rPr>
          <w:rFonts w:ascii="Palatino Linotype" w:hAnsi="Palatino Linotype" w:cs="Arial"/>
          <w:b/>
          <w:i/>
          <w:color w:val="000000"/>
          <w:sz w:val="22"/>
          <w:lang w:val="es-ES_tradnl"/>
        </w:rPr>
        <w:t>sino en virtud de mandamiento escrito de la autoridad competente, que funde y motive la causa legal del procedimiento</w:t>
      </w:r>
      <w:r w:rsidRPr="00233D78">
        <w:rPr>
          <w:rFonts w:ascii="Palatino Linotype" w:hAnsi="Palatino Linotype" w:cs="Arial"/>
          <w:i/>
          <w:color w:val="000000"/>
          <w:sz w:val="22"/>
          <w:lang w:val="es-ES_tradnl"/>
        </w:rPr>
        <w:t>.</w:t>
      </w:r>
    </w:p>
    <w:p w14:paraId="28704E61"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lang w:val="es-ES_tradnl"/>
        </w:rPr>
      </w:pPr>
      <w:r w:rsidRPr="00233D78">
        <w:rPr>
          <w:rFonts w:ascii="Palatino Linotype" w:hAnsi="Palatino Linotype" w:cs="Arial"/>
          <w:i/>
          <w:color w:val="000000"/>
          <w:sz w:val="22"/>
          <w:lang w:val="es-ES_tradnl"/>
        </w:rPr>
        <w:t>(…)”</w:t>
      </w:r>
    </w:p>
    <w:p w14:paraId="777BB2C8" w14:textId="77777777" w:rsidR="00191180" w:rsidRPr="00233D78" w:rsidRDefault="00191180" w:rsidP="006F7BEF">
      <w:pPr>
        <w:suppressAutoHyphens w:val="0"/>
        <w:spacing w:line="360" w:lineRule="auto"/>
        <w:ind w:left="567" w:right="567"/>
        <w:contextualSpacing/>
        <w:jc w:val="both"/>
        <w:rPr>
          <w:rFonts w:ascii="Palatino Linotype" w:hAnsi="Palatino Linotype" w:cs="Arial"/>
          <w:i/>
          <w:color w:val="000000"/>
          <w:sz w:val="22"/>
          <w:lang w:val="es-ES_tradnl"/>
        </w:rPr>
      </w:pPr>
      <w:r w:rsidRPr="00233D78">
        <w:rPr>
          <w:rFonts w:ascii="Palatino Linotype" w:hAnsi="Palatino Linotype" w:cs="Arial"/>
          <w:i/>
          <w:color w:val="000000"/>
          <w:sz w:val="22"/>
          <w:lang w:val="es-ES_tradnl"/>
        </w:rPr>
        <w:t xml:space="preserve">(Énfasis añadido) </w:t>
      </w:r>
    </w:p>
    <w:p w14:paraId="5F8690CD" w14:textId="77777777" w:rsidR="00191180" w:rsidRPr="00FC5408" w:rsidRDefault="00191180" w:rsidP="006F7BEF">
      <w:pPr>
        <w:shd w:val="clear" w:color="auto" w:fill="FFFFFF"/>
        <w:suppressAutoHyphens w:val="0"/>
        <w:spacing w:line="360" w:lineRule="auto"/>
        <w:contextualSpacing/>
        <w:jc w:val="both"/>
        <w:rPr>
          <w:rFonts w:ascii="Palatino Linotype" w:hAnsi="Palatino Linotype" w:cs="Arial"/>
          <w:color w:val="222222"/>
          <w:lang w:val="es-ES_tradnl" w:eastAsia="es-MX"/>
        </w:rPr>
      </w:pPr>
    </w:p>
    <w:p w14:paraId="486DE2E9" w14:textId="77777777" w:rsidR="00191180" w:rsidRPr="00FC5408"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FC5408">
        <w:rPr>
          <w:rFonts w:ascii="Palatino Linotype" w:hAnsi="Palatino Linotype" w:cs="Arial"/>
          <w:color w:val="222222"/>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AA6E7B3" w14:textId="77777777" w:rsidR="00191180" w:rsidRPr="00FC5408" w:rsidRDefault="00191180" w:rsidP="006F7BEF">
      <w:pPr>
        <w:suppressAutoHyphens w:val="0"/>
        <w:spacing w:before="240" w:after="240" w:line="360" w:lineRule="auto"/>
        <w:contextualSpacing/>
        <w:jc w:val="both"/>
        <w:rPr>
          <w:rFonts w:ascii="Palatino Linotype" w:hAnsi="Palatino Linotype" w:cs="Arial"/>
          <w:color w:val="222222"/>
          <w:lang w:val="es-ES_tradnl" w:eastAsia="es-MX"/>
        </w:rPr>
      </w:pPr>
    </w:p>
    <w:p w14:paraId="30139CD0" w14:textId="77777777" w:rsidR="00191180" w:rsidRPr="00FC5408"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FC5408">
        <w:rPr>
          <w:rFonts w:ascii="Palatino Linotype" w:hAnsi="Palatino Linotype" w:cs="Arial"/>
          <w:color w:val="222222"/>
          <w:lang w:val="es-ES_tradnl" w:eastAsia="es-MX"/>
        </w:rPr>
        <w:t>Entonces, la fundamentación y motivación consiste en la obligación que tiene todo ente público de expresar los preceptos jurídicos aplicables al asunto motivo del acto y las razones o argumentos de su actuar.</w:t>
      </w:r>
    </w:p>
    <w:p w14:paraId="7B73A8C8" w14:textId="77777777" w:rsidR="00191180" w:rsidRPr="00FC5408" w:rsidRDefault="00191180" w:rsidP="006F7BEF">
      <w:pPr>
        <w:suppressAutoHyphens w:val="0"/>
        <w:spacing w:before="240" w:after="240" w:line="360" w:lineRule="auto"/>
        <w:contextualSpacing/>
        <w:jc w:val="both"/>
        <w:rPr>
          <w:rFonts w:ascii="Palatino Linotype" w:hAnsi="Palatino Linotype" w:cs="Arial"/>
          <w:color w:val="222222"/>
          <w:lang w:val="es-ES_tradnl" w:eastAsia="es-MX"/>
        </w:rPr>
      </w:pPr>
    </w:p>
    <w:p w14:paraId="1F1EFCF7" w14:textId="77777777" w:rsidR="00191180" w:rsidRPr="00FC5408" w:rsidRDefault="00191180" w:rsidP="006F7BEF">
      <w:pPr>
        <w:numPr>
          <w:ilvl w:val="0"/>
          <w:numId w:val="9"/>
        </w:numPr>
        <w:tabs>
          <w:tab w:val="left" w:pos="284"/>
        </w:tabs>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FC5408">
        <w:rPr>
          <w:rFonts w:ascii="Palatino Linotype" w:hAnsi="Palatino Linotype" w:cs="Arial"/>
          <w:color w:val="222222"/>
          <w:lang w:val="es-ES_tradnl" w:eastAsia="es-MX"/>
        </w:rPr>
        <w:t xml:space="preserve">Han sido vastos los estudios doctrinarios relativos a estos derechos fundamentales y al principio de legalidad en ellos contenidos; como ejemplo, el procesalista José Ovalle Fabela, en su obra “Garantías Constitucionales del Proceso”, </w:t>
      </w:r>
      <w:r w:rsidRPr="00FC5408">
        <w:rPr>
          <w:rFonts w:ascii="Palatino Linotype" w:hAnsi="Palatino Linotype" w:cs="Arial"/>
          <w:color w:val="222222"/>
          <w:lang w:val="es-ES_tradnl" w:eastAsia="es-MX"/>
        </w:rPr>
        <w:lastRenderedPageBreak/>
        <w:t>refiere que “...</w:t>
      </w:r>
      <w:r w:rsidRPr="00FC5408">
        <w:rPr>
          <w:rFonts w:ascii="Palatino Linotype" w:hAnsi="Palatino Linotype" w:cs="Arial"/>
          <w:i/>
          <w:iCs/>
          <w:color w:val="222222"/>
          <w:lang w:val="es-ES_tradnl" w:eastAsia="es-MX"/>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FC5408">
        <w:rPr>
          <w:rFonts w:ascii="Palatino Linotype" w:hAnsi="Palatino Linotype" w:cs="Arial"/>
          <w:color w:val="222222"/>
          <w:lang w:val="es-ES_tradnl" w:eastAsia="es-MX"/>
        </w:rPr>
        <w:t>”</w:t>
      </w:r>
    </w:p>
    <w:p w14:paraId="02DB5066" w14:textId="77777777" w:rsidR="00191180" w:rsidRPr="00FC5408" w:rsidRDefault="00191180" w:rsidP="006F7BEF">
      <w:pPr>
        <w:suppressAutoHyphens w:val="0"/>
        <w:spacing w:before="240" w:after="240" w:line="360" w:lineRule="auto"/>
        <w:contextualSpacing/>
        <w:jc w:val="both"/>
        <w:rPr>
          <w:rFonts w:ascii="Palatino Linotype" w:hAnsi="Palatino Linotype" w:cs="Arial"/>
          <w:color w:val="222222"/>
          <w:lang w:val="es-ES_tradnl" w:eastAsia="es-MX"/>
        </w:rPr>
      </w:pPr>
    </w:p>
    <w:p w14:paraId="32A8032A" w14:textId="77777777" w:rsidR="00191180" w:rsidRPr="00FC5408" w:rsidRDefault="00191180" w:rsidP="006F7BEF">
      <w:pPr>
        <w:numPr>
          <w:ilvl w:val="0"/>
          <w:numId w:val="9"/>
        </w:numPr>
        <w:suppressAutoHyphens w:val="0"/>
        <w:spacing w:before="240" w:after="240" w:line="360" w:lineRule="auto"/>
        <w:ind w:left="0" w:firstLine="0"/>
        <w:contextualSpacing/>
        <w:jc w:val="both"/>
        <w:rPr>
          <w:rFonts w:ascii="Palatino Linotype" w:hAnsi="Palatino Linotype" w:cs="Arial"/>
          <w:color w:val="222222"/>
          <w:lang w:val="es-ES_tradnl" w:eastAsia="es-MX"/>
        </w:rPr>
      </w:pPr>
      <w:r w:rsidRPr="00FC5408">
        <w:rPr>
          <w:rFonts w:ascii="Palatino Linotype" w:hAnsi="Palatino Linotype" w:cs="Arial"/>
          <w:color w:val="222222"/>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28E3F3E" w14:textId="77777777" w:rsidR="00191180" w:rsidRPr="00FC5408" w:rsidRDefault="00191180" w:rsidP="006F7BEF">
      <w:pPr>
        <w:suppressAutoHyphens w:val="0"/>
        <w:spacing w:line="360" w:lineRule="auto"/>
        <w:contextualSpacing/>
        <w:rPr>
          <w:rFonts w:ascii="Palatino Linotype" w:hAnsi="Palatino Linotype" w:cs="Arial"/>
          <w:color w:val="222222"/>
          <w:lang w:val="es-ES_tradnl" w:eastAsia="es-MX"/>
        </w:rPr>
      </w:pPr>
    </w:p>
    <w:p w14:paraId="561D2E53" w14:textId="61AB5542" w:rsidR="00191180" w:rsidRPr="00FC5408" w:rsidRDefault="00191180" w:rsidP="006F7BEF">
      <w:pPr>
        <w:numPr>
          <w:ilvl w:val="0"/>
          <w:numId w:val="9"/>
        </w:numPr>
        <w:suppressAutoHyphens w:val="0"/>
        <w:spacing w:after="16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color w:val="222222"/>
          <w:lang w:val="es-ES_tradnl" w:eastAsia="es-MX"/>
        </w:rPr>
        <w:t xml:space="preserve">Es así </w:t>
      </w:r>
      <w:r w:rsidR="007A645B" w:rsidRPr="00FC5408">
        <w:rPr>
          <w:rFonts w:ascii="Palatino Linotype" w:hAnsi="Palatino Linotype" w:cs="Arial"/>
          <w:color w:val="222222"/>
          <w:lang w:val="es-ES_tradnl" w:eastAsia="es-MX"/>
        </w:rPr>
        <w:t>que,</w:t>
      </w:r>
      <w:r w:rsidRPr="00FC5408">
        <w:rPr>
          <w:rFonts w:ascii="Palatino Linotype" w:hAnsi="Palatino Linotype" w:cs="Arial"/>
          <w:color w:val="222222"/>
          <w:lang w:val="es-ES_tradnl" w:eastAsia="es-MX"/>
        </w:rPr>
        <w:t xml:space="preserve"> a través de la presente resolución, se hace del conocimiento del </w:t>
      </w:r>
      <w:r w:rsidRPr="00FC5408">
        <w:rPr>
          <w:rFonts w:ascii="Palatino Linotype" w:hAnsi="Palatino Linotype" w:cs="Arial"/>
          <w:b/>
          <w:color w:val="222222"/>
          <w:lang w:val="es-ES_tradnl" w:eastAsia="es-MX"/>
        </w:rPr>
        <w:t>SUJETO OBLIGADO</w:t>
      </w:r>
      <w:r w:rsidRPr="00FC5408">
        <w:rPr>
          <w:rFonts w:ascii="Palatino Linotype" w:hAnsi="Palatino Linotype" w:cs="Arial"/>
          <w:color w:val="222222"/>
          <w:lang w:val="es-ES_tradnl" w:eastAsia="es-MX"/>
        </w:rPr>
        <w:t xml:space="preserve"> que deberá atender las solicitudes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38870949" w14:textId="77777777" w:rsidR="00191180" w:rsidRPr="00FC5408" w:rsidRDefault="00191180" w:rsidP="006F7BEF">
      <w:pPr>
        <w:suppressAutoHyphens w:val="0"/>
        <w:spacing w:line="360" w:lineRule="auto"/>
        <w:ind w:left="720"/>
        <w:contextualSpacing/>
        <w:rPr>
          <w:rFonts w:ascii="Palatino Linotype" w:hAnsi="Palatino Linotype" w:cs="Arial"/>
          <w:color w:val="000000"/>
          <w:lang w:val="es-ES_tradnl"/>
        </w:rPr>
      </w:pPr>
    </w:p>
    <w:p w14:paraId="2F7BF4E9" w14:textId="35904F7D" w:rsidR="00191180" w:rsidRPr="00FC5408" w:rsidRDefault="00C1345F" w:rsidP="006F7BEF">
      <w:pPr>
        <w:keepNext/>
        <w:keepLines/>
        <w:suppressAutoHyphens w:val="0"/>
        <w:spacing w:before="240" w:line="360" w:lineRule="auto"/>
        <w:outlineLvl w:val="0"/>
        <w:rPr>
          <w:rFonts w:ascii="Palatino Linotype" w:hAnsi="Palatino Linotype"/>
          <w:lang w:eastAsia="en-US"/>
        </w:rPr>
      </w:pPr>
      <w:bookmarkStart w:id="44" w:name="_Toc524344195"/>
      <w:bookmarkStart w:id="45" w:name="_Toc526271200"/>
      <w:bookmarkStart w:id="46" w:name="_Toc536106974"/>
      <w:bookmarkStart w:id="47" w:name="_Toc104470951"/>
      <w:bookmarkStart w:id="48" w:name="_Toc110976870"/>
      <w:r w:rsidRPr="00FC5408">
        <w:rPr>
          <w:rFonts w:ascii="Palatino Linotype" w:hAnsi="Palatino Linotype"/>
          <w:b/>
          <w:lang w:eastAsia="en-US"/>
        </w:rPr>
        <w:t>QUINTO</w:t>
      </w:r>
      <w:r w:rsidR="00191180" w:rsidRPr="00FC5408">
        <w:rPr>
          <w:rFonts w:ascii="Palatino Linotype" w:hAnsi="Palatino Linotype"/>
          <w:b/>
          <w:lang w:eastAsia="en-US"/>
        </w:rPr>
        <w:t>. El cumplimiento a esta resolución es susceptible de ser impugnado</w:t>
      </w:r>
      <w:bookmarkEnd w:id="44"/>
      <w:bookmarkEnd w:id="45"/>
      <w:r w:rsidR="00191180" w:rsidRPr="00FC5408">
        <w:rPr>
          <w:rFonts w:ascii="Palatino Linotype" w:hAnsi="Palatino Linotype"/>
          <w:b/>
          <w:lang w:eastAsia="en-US"/>
        </w:rPr>
        <w:t>.</w:t>
      </w:r>
      <w:bookmarkEnd w:id="46"/>
      <w:bookmarkEnd w:id="47"/>
      <w:bookmarkEnd w:id="48"/>
    </w:p>
    <w:p w14:paraId="681F84B4"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Cabe señalar que, atento a lo dispuesto al artículo 179 de la Ley de la materia, el cual contempla de manera puntual las causales en las cuales será procedente el recurso de revisión que se interponga por cualquier persona como un medio de protección para </w:t>
      </w:r>
      <w:r w:rsidRPr="00FC5408">
        <w:rPr>
          <w:rFonts w:ascii="Palatino Linotype" w:hAnsi="Palatino Linotype" w:cs="Arial"/>
          <w:lang w:val="es-ES_tradnl"/>
        </w:rPr>
        <w:lastRenderedPageBreak/>
        <w:t>que se le garantice el derecho de acceder a la información pública, este mismo artículo señala en el párrafo final lo siguiente:</w:t>
      </w:r>
    </w:p>
    <w:p w14:paraId="6481E38D" w14:textId="77777777" w:rsidR="00191180" w:rsidRPr="00233D7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233D78">
        <w:rPr>
          <w:rFonts w:ascii="Palatino Linotype" w:hAnsi="Palatino Linotype" w:cs="Arial"/>
          <w:i/>
          <w:sz w:val="22"/>
          <w:lang w:val="es-ES_tradnl"/>
        </w:rPr>
        <w:t>“(…)</w:t>
      </w:r>
    </w:p>
    <w:p w14:paraId="66037B33" w14:textId="77777777" w:rsidR="00191180" w:rsidRPr="00233D78" w:rsidRDefault="00191180" w:rsidP="006F7BEF">
      <w:pPr>
        <w:suppressAutoHyphens w:val="0"/>
        <w:spacing w:before="240" w:after="240" w:line="360" w:lineRule="auto"/>
        <w:ind w:left="567" w:right="567"/>
        <w:contextualSpacing/>
        <w:jc w:val="both"/>
        <w:rPr>
          <w:rFonts w:ascii="Palatino Linotype" w:hAnsi="Palatino Linotype" w:cs="Arial"/>
          <w:i/>
          <w:sz w:val="22"/>
          <w:lang w:val="es-ES_tradnl"/>
        </w:rPr>
      </w:pPr>
      <w:r w:rsidRPr="00233D78">
        <w:rPr>
          <w:rFonts w:ascii="Palatino Linotype" w:hAnsi="Palatino Linotype" w:cs="Arial"/>
          <w:b/>
          <w:i/>
          <w:sz w:val="22"/>
          <w:lang w:val="es-ES_tradnl"/>
        </w:rPr>
        <w:t>La respuesta que den los sujetos obligados derivada de la resolución</w:t>
      </w:r>
      <w:r w:rsidRPr="00233D78">
        <w:rPr>
          <w:rFonts w:ascii="Palatino Linotype" w:hAnsi="Palatino Linotype" w:cs="Arial"/>
          <w:i/>
          <w:sz w:val="22"/>
          <w:lang w:val="es-ES_tradnl"/>
        </w:rPr>
        <w:t xml:space="preserve"> a un recurso de revisión que proceda por las causales señaladas en las fracciones IV, VII, IX, X, XI y XII es susceptible de ser impugnada de nueva cuenta, mediante recurso de revisión, ante el Instituto. “</w:t>
      </w:r>
    </w:p>
    <w:p w14:paraId="2E9A51B5" w14:textId="77777777" w:rsidR="00191180" w:rsidRPr="00233D78" w:rsidRDefault="00191180" w:rsidP="006F7BEF">
      <w:pPr>
        <w:suppressAutoHyphens w:val="0"/>
        <w:spacing w:before="240" w:after="240" w:line="360" w:lineRule="auto"/>
        <w:ind w:left="567" w:right="567"/>
        <w:contextualSpacing/>
        <w:jc w:val="both"/>
        <w:rPr>
          <w:rFonts w:ascii="Palatino Linotype" w:hAnsi="Palatino Linotype" w:cs="Arial"/>
          <w:iCs/>
          <w:sz w:val="22"/>
          <w:lang w:val="es-ES_tradnl"/>
        </w:rPr>
      </w:pPr>
      <w:r w:rsidRPr="00233D78">
        <w:rPr>
          <w:rFonts w:ascii="Palatino Linotype" w:hAnsi="Palatino Linotype" w:cs="Arial"/>
          <w:iCs/>
          <w:sz w:val="22"/>
          <w:lang w:val="es-ES_tradnl"/>
        </w:rPr>
        <w:t>(Énfasis añadido)</w:t>
      </w:r>
    </w:p>
    <w:p w14:paraId="713D6218" w14:textId="77777777" w:rsidR="00191180" w:rsidRPr="00FC5408" w:rsidRDefault="00191180" w:rsidP="006F7BEF">
      <w:pPr>
        <w:suppressAutoHyphens w:val="0"/>
        <w:spacing w:before="240" w:after="240" w:line="360" w:lineRule="auto"/>
        <w:ind w:left="360"/>
        <w:contextualSpacing/>
        <w:jc w:val="both"/>
        <w:rPr>
          <w:rFonts w:ascii="Palatino Linotype" w:hAnsi="Palatino Linotype" w:cs="Arial"/>
          <w:lang w:val="es-ES_tradnl"/>
        </w:rPr>
      </w:pPr>
    </w:p>
    <w:p w14:paraId="5AE92EA6"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 Es así que en este asunto en el que se está ante la presencia de una falta de respuesta a la solicitud de información por parte del </w:t>
      </w:r>
      <w:r w:rsidRPr="00FC5408">
        <w:rPr>
          <w:rFonts w:ascii="Palatino Linotype" w:hAnsi="Palatino Linotype" w:cs="Arial"/>
          <w:b/>
          <w:lang w:val="es-ES_tradnl"/>
        </w:rPr>
        <w:t>SUJETO OBLIGADO</w:t>
      </w:r>
      <w:r w:rsidRPr="00FC5408">
        <w:rPr>
          <w:rFonts w:ascii="Palatino Linotype" w:hAnsi="Palatino Linotype" w:cs="Arial"/>
          <w:lang w:val="es-ES_tradnl"/>
        </w:rPr>
        <w:t>, se encuadra en el supuesto que contempla el artículo 179 en su fracción VII, misma que señala lo siguiente:</w:t>
      </w:r>
    </w:p>
    <w:p w14:paraId="3EAF80EE" w14:textId="77777777" w:rsidR="00191180" w:rsidRPr="00FC5408" w:rsidRDefault="00191180" w:rsidP="006F7BEF">
      <w:pPr>
        <w:suppressAutoHyphens w:val="0"/>
        <w:spacing w:before="240" w:line="360" w:lineRule="auto"/>
        <w:ind w:left="360"/>
        <w:contextualSpacing/>
        <w:jc w:val="both"/>
        <w:rPr>
          <w:rFonts w:ascii="Palatino Linotype" w:hAnsi="Palatino Linotype" w:cs="Arial"/>
          <w:lang w:val="es-ES_tradnl"/>
        </w:rPr>
      </w:pPr>
    </w:p>
    <w:p w14:paraId="6DF1F024" w14:textId="77777777" w:rsidR="00191180" w:rsidRPr="00FC5408" w:rsidRDefault="00191180" w:rsidP="006F7BEF">
      <w:pPr>
        <w:suppressAutoHyphens w:val="0"/>
        <w:spacing w:after="240" w:line="360" w:lineRule="auto"/>
        <w:ind w:left="567" w:right="567"/>
        <w:contextualSpacing/>
        <w:jc w:val="both"/>
        <w:rPr>
          <w:rFonts w:ascii="Palatino Linotype" w:hAnsi="Palatino Linotype" w:cs="Arial"/>
          <w:i/>
          <w:lang w:val="es-ES_tradnl"/>
        </w:rPr>
      </w:pPr>
      <w:r w:rsidRPr="00FC5408">
        <w:rPr>
          <w:rFonts w:ascii="Palatino Linotype" w:hAnsi="Palatino Linotype" w:cs="Arial"/>
          <w:i/>
          <w:lang w:val="es-ES_tradnl"/>
        </w:rPr>
        <w:t>“</w:t>
      </w:r>
      <w:r w:rsidRPr="00FC5408">
        <w:rPr>
          <w:rFonts w:ascii="Palatino Linotype" w:hAnsi="Palatino Linotype" w:cs="Arial"/>
          <w:b/>
          <w:bCs/>
          <w:i/>
          <w:lang w:val="es-ES_tradnl"/>
        </w:rPr>
        <w:t>Artículo 179.</w:t>
      </w:r>
      <w:r w:rsidRPr="00FC5408">
        <w:rPr>
          <w:rFonts w:ascii="Palatino Linotype" w:hAnsi="Palatino Linotype" w:cs="Arial"/>
          <w:i/>
          <w:lang w:val="es-ES_tradnl"/>
        </w:rPr>
        <w:t xml:space="preserve"> El recurso de revisión es un medio de protección que la Ley otorga a los particulares, para hacer valer su derecho de acceso a la información pública, y procederá en contra de las siguientes causas:</w:t>
      </w:r>
    </w:p>
    <w:p w14:paraId="7596926E"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lang w:val="es-ES_tradnl"/>
        </w:rPr>
      </w:pPr>
      <w:r w:rsidRPr="00FC5408">
        <w:rPr>
          <w:rFonts w:ascii="Palatino Linotype" w:hAnsi="Palatino Linotype" w:cs="Arial"/>
          <w:i/>
          <w:lang w:val="es-ES_tradnl"/>
        </w:rPr>
        <w:t>(…)</w:t>
      </w:r>
    </w:p>
    <w:p w14:paraId="2C7C81D2"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b/>
          <w:i/>
          <w:lang w:val="es-ES_tradnl"/>
        </w:rPr>
      </w:pPr>
      <w:r w:rsidRPr="00FC5408">
        <w:rPr>
          <w:rFonts w:ascii="Palatino Linotype" w:hAnsi="Palatino Linotype" w:cs="Arial"/>
          <w:b/>
          <w:i/>
          <w:lang w:val="es-ES_tradnl"/>
        </w:rPr>
        <w:t>VII. La falta de respuesta a una solicitud de acceso a la información;</w:t>
      </w:r>
    </w:p>
    <w:p w14:paraId="3F8D1281"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lang w:val="es-ES_tradnl"/>
        </w:rPr>
      </w:pPr>
      <w:r w:rsidRPr="00FC5408">
        <w:rPr>
          <w:rFonts w:ascii="Palatino Linotype" w:hAnsi="Palatino Linotype" w:cs="Arial"/>
          <w:i/>
          <w:lang w:val="es-ES_tradnl"/>
        </w:rPr>
        <w:t>(…)”</w:t>
      </w:r>
    </w:p>
    <w:p w14:paraId="14185C7D" w14:textId="77777777" w:rsidR="000D0723" w:rsidRPr="00FC5408" w:rsidRDefault="000D0723" w:rsidP="006F7BEF">
      <w:pPr>
        <w:suppressAutoHyphens w:val="0"/>
        <w:spacing w:before="240" w:after="240" w:line="360" w:lineRule="auto"/>
        <w:ind w:left="567" w:right="567"/>
        <w:contextualSpacing/>
        <w:jc w:val="both"/>
        <w:rPr>
          <w:rFonts w:ascii="Palatino Linotype" w:hAnsi="Palatino Linotype" w:cs="Arial"/>
          <w:i/>
          <w:iCs/>
          <w:lang w:val="es-ES_tradnl"/>
        </w:rPr>
      </w:pPr>
    </w:p>
    <w:p w14:paraId="220BC811" w14:textId="77777777" w:rsidR="00191180" w:rsidRPr="00FC5408" w:rsidRDefault="00191180" w:rsidP="006F7BEF">
      <w:pPr>
        <w:suppressAutoHyphens w:val="0"/>
        <w:spacing w:before="240" w:after="240" w:line="360" w:lineRule="auto"/>
        <w:ind w:left="567" w:right="567"/>
        <w:contextualSpacing/>
        <w:jc w:val="both"/>
        <w:rPr>
          <w:rFonts w:ascii="Palatino Linotype" w:hAnsi="Palatino Linotype" w:cs="Arial"/>
          <w:i/>
          <w:iCs/>
          <w:lang w:val="es-ES_tradnl"/>
        </w:rPr>
      </w:pPr>
      <w:r w:rsidRPr="00FC5408">
        <w:rPr>
          <w:rFonts w:ascii="Palatino Linotype" w:hAnsi="Palatino Linotype" w:cs="Arial"/>
          <w:i/>
          <w:iCs/>
          <w:lang w:val="es-ES_tradnl"/>
        </w:rPr>
        <w:t>(Énfasis añadido)</w:t>
      </w:r>
    </w:p>
    <w:p w14:paraId="3906E88D" w14:textId="77777777" w:rsidR="00191180" w:rsidRPr="00FC5408" w:rsidRDefault="00191180" w:rsidP="006F7BEF">
      <w:pPr>
        <w:suppressAutoHyphens w:val="0"/>
        <w:spacing w:before="240" w:after="240" w:line="360" w:lineRule="auto"/>
        <w:ind w:left="360"/>
        <w:contextualSpacing/>
        <w:jc w:val="both"/>
        <w:rPr>
          <w:rFonts w:ascii="Palatino Linotype" w:hAnsi="Palatino Linotype" w:cs="Arial"/>
          <w:lang w:val="es-ES_tradnl"/>
        </w:rPr>
      </w:pPr>
    </w:p>
    <w:p w14:paraId="591441C9"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En ese tenor, en el asunto particular derivado de la negativa por parte de la Unidad de Transparencia del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w:t>
      </w:r>
      <w:r w:rsidRPr="00FC5408">
        <w:rPr>
          <w:rFonts w:ascii="Palatino Linotype" w:hAnsi="Palatino Linotype" w:cs="Arial"/>
          <w:lang w:val="es-ES_tradnl"/>
        </w:rPr>
        <w:t xml:space="preserve">a dar respuesta a la solicitud se configura de manera clara la fracción señalada con anterioridad y este Órgano Garante procede a </w:t>
      </w:r>
      <w:r w:rsidRPr="00FC5408">
        <w:rPr>
          <w:rFonts w:ascii="Palatino Linotype" w:hAnsi="Palatino Linotype" w:cs="Arial"/>
          <w:b/>
          <w:bCs/>
          <w:lang w:val="es-ES_tradnl"/>
        </w:rPr>
        <w:lastRenderedPageBreak/>
        <w:t>ordenar</w:t>
      </w:r>
      <w:r w:rsidRPr="00FC5408">
        <w:rPr>
          <w:rFonts w:ascii="Palatino Linotype" w:hAnsi="Palatino Linotype" w:cs="Arial"/>
          <w:lang w:val="es-ES_tradnl"/>
        </w:rPr>
        <w:t>, a través de la presente resolución, dar atención a la solicitud de información y además de ello entregar la información correspondiente, con las formalidades en tiempo y forma que dispone la normatividad aplicable.</w:t>
      </w:r>
    </w:p>
    <w:p w14:paraId="792CB0AE" w14:textId="77777777" w:rsidR="00191180" w:rsidRPr="00FC5408" w:rsidRDefault="00191180" w:rsidP="006F7BEF">
      <w:pPr>
        <w:tabs>
          <w:tab w:val="left" w:pos="426"/>
        </w:tabs>
        <w:suppressAutoHyphens w:val="0"/>
        <w:spacing w:before="240" w:after="240" w:line="360" w:lineRule="auto"/>
        <w:contextualSpacing/>
        <w:jc w:val="both"/>
        <w:rPr>
          <w:rFonts w:ascii="Palatino Linotype" w:hAnsi="Palatino Linotype" w:cs="Arial"/>
          <w:lang w:val="es-ES_tradnl"/>
        </w:rPr>
      </w:pPr>
    </w:p>
    <w:p w14:paraId="4282FC4C" w14:textId="77777777" w:rsidR="00191180" w:rsidRPr="00FC5408" w:rsidRDefault="00191180" w:rsidP="006F7BEF">
      <w:pPr>
        <w:numPr>
          <w:ilvl w:val="0"/>
          <w:numId w:val="9"/>
        </w:numPr>
        <w:tabs>
          <w:tab w:val="left" w:pos="426"/>
        </w:tabs>
        <w:suppressAutoHyphens w:val="0"/>
        <w:spacing w:before="240" w:after="240" w:line="360" w:lineRule="auto"/>
        <w:ind w:left="0" w:firstLine="0"/>
        <w:contextualSpacing/>
        <w:jc w:val="both"/>
        <w:rPr>
          <w:rFonts w:ascii="Palatino Linotype" w:hAnsi="Palatino Linotype" w:cs="Arial"/>
          <w:lang w:val="es-ES_tradnl"/>
        </w:rPr>
      </w:pPr>
      <w:r w:rsidRPr="00FC5408">
        <w:rPr>
          <w:rFonts w:ascii="Palatino Linotype" w:hAnsi="Palatino Linotype" w:cs="Arial"/>
          <w:lang w:val="es-ES_tradnl"/>
        </w:rPr>
        <w:t xml:space="preserve">El último párrafo del artículo 179 de la Ley de la materia, se configura entonces en aquellos casos en donde los </w:t>
      </w:r>
      <w:r w:rsidRPr="00FC5408">
        <w:rPr>
          <w:rFonts w:ascii="Palatino Linotype" w:hAnsi="Palatino Linotype" w:cs="Arial"/>
          <w:b/>
          <w:lang w:val="es-ES_tradnl"/>
        </w:rPr>
        <w:t>Sujetos Obligados emiten respuesta derivada de una resolución a un recurso de revisión que proceda por la causal prevista en la fracción VII de la Ley en cita como es este el caso</w:t>
      </w:r>
      <w:r w:rsidRPr="00FC5408">
        <w:rPr>
          <w:rFonts w:ascii="Palatino Linotype" w:hAnsi="Palatino Linotype" w:cs="Arial"/>
          <w:lang w:val="es-ES_tradnl"/>
        </w:rPr>
        <w:t xml:space="preserve">, dicha respuesta es susceptible de ser impugnada de nueva cuenta, mediante recurso de revisión ante el Instituto. Esto es, que el acto que genere el </w:t>
      </w:r>
      <w:r w:rsidRPr="00FC5408">
        <w:rPr>
          <w:rFonts w:ascii="Palatino Linotype" w:hAnsi="Palatino Linotype" w:cs="Arial"/>
          <w:b/>
          <w:lang w:val="es-ES_tradnl"/>
        </w:rPr>
        <w:t>SUJETO OBLIGADO</w:t>
      </w:r>
      <w:r w:rsidRPr="00FC5408">
        <w:rPr>
          <w:rFonts w:ascii="Palatino Linotype" w:hAnsi="Palatino Linotype" w:cs="Arial"/>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FC5408">
        <w:rPr>
          <w:rFonts w:ascii="Palatino Linotype" w:hAnsi="Palatino Linotype" w:cs="Arial"/>
          <w:b/>
          <w:lang w:val="es-ES_tradnl"/>
        </w:rPr>
        <w:t>queda al alcance de la persona la interposición de un nuevo recurso de revisión</w:t>
      </w:r>
      <w:r w:rsidRPr="00FC5408">
        <w:rPr>
          <w:rFonts w:ascii="Palatino Linotype" w:hAnsi="Palatino Linotype" w:cs="Arial"/>
          <w:lang w:val="es-ES_tradn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1F510815" w14:textId="77777777" w:rsidR="008E56B2" w:rsidRPr="00FC5408" w:rsidRDefault="008E56B2" w:rsidP="008E56B2">
      <w:pPr>
        <w:tabs>
          <w:tab w:val="left" w:pos="426"/>
        </w:tabs>
        <w:suppressAutoHyphens w:val="0"/>
        <w:spacing w:before="240" w:after="240" w:line="360" w:lineRule="auto"/>
        <w:contextualSpacing/>
        <w:jc w:val="both"/>
        <w:rPr>
          <w:rFonts w:ascii="Palatino Linotype" w:hAnsi="Palatino Linotype" w:cs="Arial"/>
          <w:lang w:val="es-ES_tradnl"/>
        </w:rPr>
      </w:pPr>
    </w:p>
    <w:p w14:paraId="350DD03A" w14:textId="77777777" w:rsidR="00591E1A" w:rsidRPr="00FC5408" w:rsidRDefault="00591E1A" w:rsidP="00591E1A">
      <w:pPr>
        <w:keepNext/>
        <w:keepLines/>
        <w:tabs>
          <w:tab w:val="left" w:pos="284"/>
        </w:tabs>
        <w:spacing w:before="240"/>
        <w:outlineLvl w:val="0"/>
        <w:rPr>
          <w:rFonts w:ascii="Palatino Linotype" w:eastAsia="MS Gothic" w:hAnsi="Palatino Linotype" w:cstheme="majorBidi"/>
          <w:b/>
          <w:lang w:eastAsia="es-ES_tradnl"/>
        </w:rPr>
      </w:pPr>
      <w:bookmarkStart w:id="49" w:name="_Toc68793658"/>
      <w:bookmarkStart w:id="50" w:name="_Toc87549681"/>
      <w:r w:rsidRPr="00FC5408">
        <w:rPr>
          <w:rFonts w:ascii="Palatino Linotype" w:eastAsia="MS Gothic" w:hAnsi="Palatino Linotype" w:cstheme="majorBidi"/>
          <w:b/>
        </w:rPr>
        <w:t>SEXTO. Vista al órgano de control interno competente.</w:t>
      </w:r>
      <w:bookmarkEnd w:id="49"/>
      <w:bookmarkEnd w:id="50"/>
    </w:p>
    <w:p w14:paraId="2F404A4F" w14:textId="538D508F" w:rsidR="00591E1A" w:rsidRPr="00FC5408" w:rsidRDefault="00591E1A" w:rsidP="00591E1A">
      <w:pPr>
        <w:pStyle w:val="Prrafodelista"/>
        <w:numPr>
          <w:ilvl w:val="0"/>
          <w:numId w:val="9"/>
        </w:numPr>
        <w:tabs>
          <w:tab w:val="left" w:pos="284"/>
        </w:tabs>
        <w:suppressAutoHyphens w:val="0"/>
        <w:spacing w:line="360" w:lineRule="auto"/>
        <w:ind w:left="0" w:firstLine="0"/>
        <w:contextualSpacing/>
        <w:jc w:val="both"/>
        <w:rPr>
          <w:rFonts w:ascii="Palatino Linotype" w:eastAsiaTheme="minorEastAsia" w:hAnsi="Palatino Linotype" w:cs="Arial"/>
          <w:sz w:val="24"/>
          <w:szCs w:val="24"/>
          <w:lang w:val="es-ES_tradnl"/>
        </w:rPr>
      </w:pPr>
      <w:r w:rsidRPr="00FC5408">
        <w:rPr>
          <w:rFonts w:ascii="Palatino Linotype" w:eastAsiaTheme="minorEastAsia" w:hAnsi="Palatino Linotype" w:cs="Arial"/>
          <w:sz w:val="24"/>
          <w:szCs w:val="24"/>
          <w:lang w:val="es-ES_tradnl"/>
        </w:rPr>
        <w:t>La Ley de Transparencia y Acceso a la Información Pública del Estado de México y Municipios en los artículos 222 fracción I y II, 162 y 59 fracción I y II establecen los siguiente:</w:t>
      </w:r>
    </w:p>
    <w:p w14:paraId="506F8580" w14:textId="77777777" w:rsidR="00591E1A" w:rsidRPr="00FC5408" w:rsidRDefault="00591E1A" w:rsidP="00591E1A">
      <w:pPr>
        <w:tabs>
          <w:tab w:val="left" w:pos="284"/>
        </w:tabs>
        <w:spacing w:line="360" w:lineRule="auto"/>
        <w:jc w:val="both"/>
        <w:rPr>
          <w:rFonts w:ascii="Palatino Linotype" w:eastAsiaTheme="minorEastAsia" w:hAnsi="Palatino Linotype" w:cs="Arial"/>
          <w:lang w:val="es-ES_tradnl"/>
        </w:rPr>
      </w:pPr>
    </w:p>
    <w:p w14:paraId="6161604E"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lastRenderedPageBreak/>
        <w:t>Artículo 222. Son causas de responsabilidad administrativa de los servidores públicos de los sujetos obligados, por incumplimiento de las obligaciones establecidas en la materia de la presente Ley, las siguientes:</w:t>
      </w:r>
    </w:p>
    <w:p w14:paraId="6FB8843F"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 xml:space="preserve">I. Cualquier acto u omisión que provoque la suspensión o deficiencia en la atención de las solicitudes de información; </w:t>
      </w:r>
    </w:p>
    <w:p w14:paraId="14B66504"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II. La falta de respuesta a las solicitudes de información en los plazos señalados en la normatividad aplicable;</w:t>
      </w:r>
    </w:p>
    <w:p w14:paraId="344E154F"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III. a XXI. …</w:t>
      </w:r>
    </w:p>
    <w:p w14:paraId="32943CC9" w14:textId="77777777" w:rsidR="00591E1A" w:rsidRPr="00233D78" w:rsidRDefault="00591E1A" w:rsidP="00591E1A">
      <w:pPr>
        <w:tabs>
          <w:tab w:val="left" w:pos="284"/>
        </w:tabs>
        <w:spacing w:line="360" w:lineRule="auto"/>
        <w:ind w:left="567" w:right="567"/>
        <w:contextualSpacing/>
        <w:jc w:val="both"/>
        <w:rPr>
          <w:rFonts w:ascii="Palatino Linotype" w:eastAsiaTheme="minorEastAsia" w:hAnsi="Palatino Linotype" w:cs="Arial"/>
          <w:i/>
          <w:iCs/>
          <w:sz w:val="22"/>
          <w:lang w:val="es-ES_tradnl"/>
        </w:rPr>
      </w:pPr>
    </w:p>
    <w:p w14:paraId="7BECB0A0"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240E083"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p>
    <w:p w14:paraId="4DF1DB21"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Artículo 59. Los servidores públicos habilitados tendrán las funciones siguientes:</w:t>
      </w:r>
    </w:p>
    <w:p w14:paraId="52705D26"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p>
    <w:p w14:paraId="3BB264AE"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 xml:space="preserve">I. Localizar la información que le solicite la Unidad de Transparencia; </w:t>
      </w:r>
    </w:p>
    <w:p w14:paraId="45CD33F0"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II. Proporcionar la información que obre en los archivos y que le sea solicitada por la Unidad de Transparencia;</w:t>
      </w:r>
    </w:p>
    <w:p w14:paraId="6C4E5806" w14:textId="77777777" w:rsidR="00591E1A" w:rsidRPr="00233D78" w:rsidRDefault="00591E1A" w:rsidP="00591E1A">
      <w:pPr>
        <w:tabs>
          <w:tab w:val="left" w:pos="284"/>
        </w:tabs>
        <w:spacing w:line="360" w:lineRule="auto"/>
        <w:ind w:left="567" w:right="567"/>
        <w:contextualSpacing/>
        <w:jc w:val="both"/>
        <w:rPr>
          <w:rFonts w:ascii="Palatino Linotype" w:hAnsi="Palatino Linotype"/>
          <w:i/>
          <w:iCs/>
          <w:sz w:val="22"/>
        </w:rPr>
      </w:pPr>
      <w:r w:rsidRPr="00233D78">
        <w:rPr>
          <w:rFonts w:ascii="Palatino Linotype" w:hAnsi="Palatino Linotype"/>
          <w:i/>
          <w:iCs/>
          <w:sz w:val="22"/>
        </w:rPr>
        <w:t>III. a VII. …”</w:t>
      </w:r>
    </w:p>
    <w:p w14:paraId="1493D638" w14:textId="77777777" w:rsidR="00591E1A" w:rsidRPr="00FC5408" w:rsidRDefault="00591E1A" w:rsidP="00591E1A">
      <w:pPr>
        <w:tabs>
          <w:tab w:val="left" w:pos="284"/>
        </w:tabs>
        <w:spacing w:line="360" w:lineRule="auto"/>
        <w:ind w:left="567" w:right="567"/>
        <w:contextualSpacing/>
        <w:jc w:val="both"/>
        <w:rPr>
          <w:rFonts w:ascii="Palatino Linotype" w:eastAsiaTheme="minorEastAsia" w:hAnsi="Palatino Linotype" w:cs="Arial"/>
          <w:i/>
          <w:iCs/>
          <w:lang w:val="es-ES_tradnl"/>
        </w:rPr>
      </w:pPr>
    </w:p>
    <w:p w14:paraId="068DD586" w14:textId="77777777" w:rsidR="00591E1A" w:rsidRPr="00FC5408" w:rsidRDefault="00591E1A" w:rsidP="00591E1A">
      <w:pPr>
        <w:numPr>
          <w:ilvl w:val="0"/>
          <w:numId w:val="28"/>
        </w:numPr>
        <w:tabs>
          <w:tab w:val="left" w:pos="284"/>
        </w:tabs>
        <w:suppressAutoHyphens w:val="0"/>
        <w:spacing w:line="360" w:lineRule="auto"/>
        <w:ind w:left="0" w:firstLine="0"/>
        <w:contextualSpacing/>
        <w:jc w:val="both"/>
        <w:rPr>
          <w:rFonts w:ascii="Palatino Linotype" w:eastAsiaTheme="minorEastAsia" w:hAnsi="Palatino Linotype" w:cs="Arial"/>
          <w:lang w:val="es-ES_tradnl"/>
        </w:rPr>
      </w:pPr>
      <w:r w:rsidRPr="00FC5408">
        <w:rPr>
          <w:rFonts w:ascii="Palatino Linotype" w:eastAsiaTheme="minorEastAsia" w:hAnsi="Palatino Linotype" w:cs="Arial"/>
          <w:lang w:val="es-ES_tradnl"/>
        </w:rPr>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1AA1D132" w14:textId="77777777" w:rsidR="00591E1A" w:rsidRPr="00FC5408" w:rsidRDefault="00591E1A" w:rsidP="00591E1A">
      <w:pPr>
        <w:numPr>
          <w:ilvl w:val="0"/>
          <w:numId w:val="28"/>
        </w:numPr>
        <w:tabs>
          <w:tab w:val="left" w:pos="284"/>
        </w:tabs>
        <w:suppressAutoHyphens w:val="0"/>
        <w:spacing w:line="360" w:lineRule="auto"/>
        <w:ind w:left="0" w:firstLine="0"/>
        <w:contextualSpacing/>
        <w:jc w:val="both"/>
        <w:rPr>
          <w:rFonts w:ascii="Palatino Linotype" w:eastAsiaTheme="minorEastAsia" w:hAnsi="Palatino Linotype" w:cs="Arial"/>
          <w:lang w:val="es-ES_tradnl"/>
        </w:rPr>
      </w:pPr>
      <w:r w:rsidRPr="00FC5408">
        <w:rPr>
          <w:rFonts w:ascii="Palatino Linotype" w:eastAsiaTheme="minorEastAsia" w:hAnsi="Palatino Linotype" w:cs="Arial"/>
          <w:lang w:val="es-ES_tradnl"/>
        </w:rPr>
        <w:lastRenderedPageBreak/>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4CE337E4" w14:textId="77777777" w:rsidR="00591E1A" w:rsidRPr="00FC5408" w:rsidRDefault="00591E1A" w:rsidP="00591E1A">
      <w:pPr>
        <w:tabs>
          <w:tab w:val="left" w:pos="284"/>
        </w:tabs>
        <w:spacing w:line="360" w:lineRule="auto"/>
        <w:jc w:val="both"/>
        <w:rPr>
          <w:rFonts w:ascii="Palatino Linotype" w:eastAsiaTheme="minorEastAsia" w:hAnsi="Palatino Linotype" w:cs="Arial"/>
          <w:lang w:val="es-ES_tradnl"/>
        </w:rPr>
      </w:pPr>
    </w:p>
    <w:p w14:paraId="43E3FFAB" w14:textId="77777777" w:rsidR="00591E1A" w:rsidRDefault="00591E1A" w:rsidP="00591E1A">
      <w:pPr>
        <w:numPr>
          <w:ilvl w:val="0"/>
          <w:numId w:val="28"/>
        </w:numPr>
        <w:tabs>
          <w:tab w:val="left" w:pos="284"/>
        </w:tabs>
        <w:suppressAutoHyphens w:val="0"/>
        <w:spacing w:before="240" w:line="360" w:lineRule="auto"/>
        <w:ind w:left="0" w:firstLine="0"/>
        <w:contextualSpacing/>
        <w:jc w:val="both"/>
        <w:rPr>
          <w:rFonts w:ascii="Palatino Linotype" w:eastAsiaTheme="minorEastAsia" w:hAnsi="Palatino Linotype" w:cs="Arial"/>
          <w:lang w:val="es-ES_tradnl"/>
        </w:rPr>
      </w:pPr>
      <w:r w:rsidRPr="00FC5408">
        <w:rPr>
          <w:rFonts w:ascii="Palatino Linotype" w:eastAsiaTheme="minorEastAsia" w:hAnsi="Palatino Linotype" w:cs="Arial"/>
          <w:lang w:val="es-ES_tradnl"/>
        </w:rPr>
        <w:t>En el presente asunto en particular, se tiene que el Titular de la Unidad de Transparencia no turnó la solicitud al Servidor Público Habilitado.</w:t>
      </w:r>
    </w:p>
    <w:p w14:paraId="7766E4BA" w14:textId="77777777" w:rsidR="00233D78" w:rsidRDefault="00233D78" w:rsidP="00233D78">
      <w:pPr>
        <w:pStyle w:val="Prrafodelista"/>
        <w:rPr>
          <w:rFonts w:ascii="Palatino Linotype" w:eastAsiaTheme="minorEastAsia" w:hAnsi="Palatino Linotype" w:cs="Arial"/>
          <w:lang w:val="es-ES_tradnl"/>
        </w:rPr>
      </w:pPr>
    </w:p>
    <w:p w14:paraId="1CD414CC" w14:textId="77777777" w:rsidR="00591E1A" w:rsidRPr="00FC5408" w:rsidRDefault="00591E1A" w:rsidP="00591E1A">
      <w:pPr>
        <w:pStyle w:val="Prrafodelista"/>
        <w:numPr>
          <w:ilvl w:val="0"/>
          <w:numId w:val="28"/>
        </w:numPr>
        <w:tabs>
          <w:tab w:val="left" w:pos="284"/>
        </w:tabs>
        <w:suppressAutoHyphens w:val="0"/>
        <w:spacing w:before="240" w:after="240" w:line="360" w:lineRule="auto"/>
        <w:ind w:left="0" w:firstLine="0"/>
        <w:contextualSpacing/>
        <w:jc w:val="both"/>
        <w:rPr>
          <w:rFonts w:ascii="Palatino Linotype" w:eastAsiaTheme="minorEastAsia" w:hAnsi="Palatino Linotype" w:cstheme="minorBidi"/>
          <w:sz w:val="24"/>
          <w:szCs w:val="24"/>
          <w:lang w:val="es-ES_tradnl"/>
        </w:rPr>
      </w:pPr>
      <w:r w:rsidRPr="00FC5408">
        <w:rPr>
          <w:rFonts w:ascii="Palatino Linotype" w:hAnsi="Palatino Linotype" w:cs="Arial"/>
          <w:sz w:val="24"/>
          <w:szCs w:val="24"/>
        </w:rPr>
        <w:t>Se tiene que el Titular de la Unidad de Transparencia incumplió con sus funciones, atribuciones y competencias, al no dar trámite a la solicitud, lo cual tuvo como consecuencia la falta de respuesta a ambas solicitudes.</w:t>
      </w:r>
    </w:p>
    <w:p w14:paraId="0F2E8924" w14:textId="77777777" w:rsidR="00591E1A" w:rsidRPr="00FC5408" w:rsidRDefault="00591E1A" w:rsidP="00591E1A">
      <w:pPr>
        <w:pStyle w:val="Prrafodelista"/>
        <w:tabs>
          <w:tab w:val="left" w:pos="284"/>
        </w:tabs>
        <w:spacing w:before="240" w:after="240" w:line="360" w:lineRule="auto"/>
        <w:ind w:left="0"/>
        <w:jc w:val="both"/>
        <w:rPr>
          <w:rFonts w:ascii="Palatino Linotype" w:hAnsi="Palatino Linotype"/>
          <w:sz w:val="24"/>
          <w:szCs w:val="24"/>
        </w:rPr>
      </w:pPr>
    </w:p>
    <w:p w14:paraId="074FD1F2" w14:textId="77777777" w:rsidR="00591E1A" w:rsidRPr="00FC5408" w:rsidRDefault="00591E1A" w:rsidP="00591E1A">
      <w:pPr>
        <w:pStyle w:val="Prrafodelista"/>
        <w:numPr>
          <w:ilvl w:val="0"/>
          <w:numId w:val="28"/>
        </w:numPr>
        <w:tabs>
          <w:tab w:val="left" w:pos="284"/>
        </w:tabs>
        <w:suppressAutoHyphens w:val="0"/>
        <w:spacing w:before="240" w:after="240" w:line="360" w:lineRule="auto"/>
        <w:ind w:left="0" w:firstLine="0"/>
        <w:contextualSpacing/>
        <w:jc w:val="both"/>
        <w:rPr>
          <w:rFonts w:ascii="Palatino Linotype" w:hAnsi="Palatino Linotype"/>
          <w:sz w:val="24"/>
          <w:szCs w:val="24"/>
        </w:rPr>
      </w:pPr>
      <w:r w:rsidRPr="00FC5408">
        <w:rPr>
          <w:rFonts w:ascii="Palatino Linotype" w:hAnsi="Palatino Linotype"/>
          <w:sz w:val="24"/>
          <w:szCs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Pleno hará del conocimiento del </w:t>
      </w:r>
      <w:r w:rsidRPr="00FC5408">
        <w:rPr>
          <w:rFonts w:ascii="Palatino Linotype" w:eastAsia="MS Gothic" w:hAnsi="Palatino Linotype" w:cstheme="majorBidi"/>
          <w:sz w:val="24"/>
          <w:szCs w:val="24"/>
        </w:rPr>
        <w:t xml:space="preserve">órgano interno de control </w:t>
      </w:r>
      <w:r w:rsidRPr="00FC5408">
        <w:rPr>
          <w:rFonts w:ascii="Palatino Linotype" w:hAnsi="Palatino Linotype"/>
          <w:sz w:val="24"/>
          <w:szCs w:val="24"/>
        </w:rPr>
        <w:t>competente, para que inicie, en su caso, el procedimiento de responsabilidad respectivo.</w:t>
      </w:r>
    </w:p>
    <w:p w14:paraId="2EC2CA73" w14:textId="199A0468" w:rsidR="00191180" w:rsidRPr="00FC5408" w:rsidRDefault="00C1345F" w:rsidP="006F7BEF">
      <w:pPr>
        <w:keepNext/>
        <w:keepLines/>
        <w:suppressAutoHyphens w:val="0"/>
        <w:spacing w:before="240" w:line="360" w:lineRule="auto"/>
        <w:outlineLvl w:val="0"/>
        <w:rPr>
          <w:rFonts w:ascii="Palatino Linotype" w:hAnsi="Palatino Linotype" w:cs="Arial"/>
          <w:b/>
          <w:color w:val="000000"/>
          <w:lang w:val="es-ES_tradnl"/>
        </w:rPr>
      </w:pPr>
      <w:bookmarkStart w:id="51" w:name="_Toc104470953"/>
      <w:bookmarkStart w:id="52" w:name="_Toc110976872"/>
      <w:r w:rsidRPr="00FC5408">
        <w:rPr>
          <w:rFonts w:ascii="Palatino Linotype" w:hAnsi="Palatino Linotype" w:cs="Arial"/>
          <w:b/>
          <w:color w:val="000000"/>
          <w:lang w:val="es-ES_tradnl"/>
        </w:rPr>
        <w:t>SÉPTIMO</w:t>
      </w:r>
      <w:r w:rsidR="00191180" w:rsidRPr="00FC5408">
        <w:rPr>
          <w:rFonts w:ascii="Palatino Linotype" w:hAnsi="Palatino Linotype" w:cs="Arial"/>
          <w:b/>
          <w:color w:val="000000"/>
          <w:lang w:val="es-ES_tradnl"/>
        </w:rPr>
        <w:t>. De la versión pública.</w:t>
      </w:r>
      <w:bookmarkEnd w:id="51"/>
      <w:bookmarkEnd w:id="52"/>
    </w:p>
    <w:p w14:paraId="24014B16" w14:textId="77777777" w:rsidR="00191180" w:rsidRPr="00FC5408" w:rsidRDefault="00191180" w:rsidP="006F7BEF">
      <w:pPr>
        <w:numPr>
          <w:ilvl w:val="0"/>
          <w:numId w:val="9"/>
        </w:numPr>
        <w:tabs>
          <w:tab w:val="left" w:pos="426"/>
        </w:tabs>
        <w:suppressAutoHyphens w:val="0"/>
        <w:spacing w:after="120" w:line="360" w:lineRule="auto"/>
        <w:ind w:left="0" w:right="49"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Por otro lado, debe destacarse que debido a la naturaleza de la información solicitada</w:t>
      </w:r>
      <w:r w:rsidRPr="00FC5408">
        <w:rPr>
          <w:rFonts w:ascii="Palatino Linotype" w:hAnsi="Palatino Linotype" w:cs="Arial"/>
          <w:b/>
          <w:color w:val="000000"/>
          <w:lang w:val="es-ES_tradnl"/>
        </w:rPr>
        <w:t xml:space="preserve">, </w:t>
      </w:r>
      <w:r w:rsidRPr="00FC5408">
        <w:rPr>
          <w:rFonts w:ascii="Palatino Linotype" w:hAnsi="Palatino Linotype" w:cs="Arial"/>
          <w:color w:val="000000"/>
          <w:lang w:val="es-ES_tradnl"/>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w:t>
      </w:r>
      <w:r w:rsidRPr="00FC5408">
        <w:rPr>
          <w:rFonts w:ascii="Palatino Linotype" w:hAnsi="Palatino Linotype" w:cs="Arial"/>
          <w:color w:val="000000"/>
          <w:lang w:val="es-ES_tradnl"/>
        </w:rPr>
        <w:lastRenderedPageBreak/>
        <w:t xml:space="preserve">generar la </w:t>
      </w:r>
      <w:r w:rsidRPr="00FC5408">
        <w:rPr>
          <w:rFonts w:ascii="Palatino Linotype" w:hAnsi="Palatino Linotype" w:cs="Arial"/>
          <w:b/>
          <w:color w:val="000000"/>
          <w:lang w:val="es-ES_tradnl"/>
        </w:rPr>
        <w:t>versión pública</w:t>
      </w:r>
      <w:r w:rsidRPr="00FC5408">
        <w:rPr>
          <w:rFonts w:ascii="Palatino Linotype" w:hAnsi="Palatino Linotype" w:cs="Arial"/>
          <w:color w:val="000000"/>
          <w:lang w:val="es-ES_tradnl"/>
        </w:rPr>
        <w:t xml:space="preserve"> del documento por las consideraciones que se estimen pertinentes.</w:t>
      </w:r>
    </w:p>
    <w:p w14:paraId="60AA595E" w14:textId="77777777" w:rsidR="00191180" w:rsidRPr="00FC5408" w:rsidRDefault="00191180" w:rsidP="006F7BEF">
      <w:pPr>
        <w:tabs>
          <w:tab w:val="left" w:pos="426"/>
        </w:tabs>
        <w:suppressAutoHyphens w:val="0"/>
        <w:spacing w:after="120" w:line="360" w:lineRule="auto"/>
        <w:ind w:right="49"/>
        <w:contextualSpacing/>
        <w:jc w:val="both"/>
        <w:rPr>
          <w:rFonts w:ascii="Palatino Linotype" w:hAnsi="Palatino Linotype" w:cs="Arial"/>
          <w:color w:val="000000"/>
          <w:lang w:val="es-ES_tradnl"/>
        </w:rPr>
      </w:pPr>
    </w:p>
    <w:p w14:paraId="02335BD8" w14:textId="77777777" w:rsidR="00191180" w:rsidRPr="00FC5408" w:rsidRDefault="00191180" w:rsidP="006F7BEF">
      <w:pPr>
        <w:numPr>
          <w:ilvl w:val="0"/>
          <w:numId w:val="9"/>
        </w:numPr>
        <w:shd w:val="clear" w:color="auto" w:fill="FFFFFF"/>
        <w:tabs>
          <w:tab w:val="left" w:pos="284"/>
          <w:tab w:val="left" w:pos="426"/>
        </w:tabs>
        <w:suppressAutoHyphens w:val="0"/>
        <w:spacing w:before="240" w:after="200" w:line="360" w:lineRule="auto"/>
        <w:ind w:left="0" w:firstLine="0"/>
        <w:contextualSpacing/>
        <w:jc w:val="both"/>
        <w:rPr>
          <w:rFonts w:ascii="Palatino Linotype" w:hAnsi="Palatino Linotype" w:cs="Arial"/>
          <w:color w:val="000000"/>
          <w:lang w:val="es-ES_tradnl"/>
        </w:rPr>
      </w:pPr>
      <w:r w:rsidRPr="00FC5408">
        <w:rPr>
          <w:rFonts w:ascii="Palatino Linotype" w:eastAsia="Calibri" w:hAnsi="Palatino Linotype" w:cs="Arial"/>
          <w:color w:val="000000"/>
          <w:lang w:val="es-ES" w:eastAsia="es-MX"/>
        </w:rPr>
        <w:t xml:space="preserve">Es de señalar que, por lo que hace a las versiones públicas, el </w:t>
      </w:r>
      <w:r w:rsidRPr="00FC5408">
        <w:rPr>
          <w:rFonts w:ascii="Palatino Linotype" w:eastAsia="Calibri" w:hAnsi="Palatino Linotype" w:cs="Arial"/>
          <w:b/>
          <w:color w:val="000000"/>
          <w:lang w:val="es-ES" w:eastAsia="es-MX"/>
        </w:rPr>
        <w:t>SUJETO OBLIGADO</w:t>
      </w:r>
      <w:r w:rsidRPr="00FC5408">
        <w:rPr>
          <w:rFonts w:ascii="Palatino Linotype" w:eastAsia="Calibri" w:hAnsi="Palatino Linotype" w:cs="Arial"/>
          <w:color w:val="000000"/>
          <w:lang w:val="es-ES" w:eastAsia="es-MX"/>
        </w:rPr>
        <w:t xml:space="preserve"> debe cumplir con las formalidades exigidas en la Ley, por lo que </w:t>
      </w:r>
      <w:r w:rsidRPr="00FC5408">
        <w:rPr>
          <w:rFonts w:ascii="Palatino Linotype" w:hAnsi="Palatino Linotype" w:cs="Arial"/>
          <w:color w:val="000000"/>
          <w:lang w:val="es-ES_tradnl" w:eastAsia="es-MX"/>
        </w:rPr>
        <w:t xml:space="preserve">para tal efecto emitirá el </w:t>
      </w:r>
      <w:r w:rsidRPr="00FC5408">
        <w:rPr>
          <w:rFonts w:ascii="Palatino Linotype" w:eastAsia="Calibri" w:hAnsi="Palatino Linotype" w:cs="Arial"/>
          <w:color w:val="000000"/>
          <w:lang w:val="es-ES" w:eastAsia="es-MX"/>
        </w:rPr>
        <w:t>Acuerdo del Comité de Transparencia en términos de los artículos 49 fracción</w:t>
      </w:r>
      <w:r w:rsidRPr="00FC5408">
        <w:rPr>
          <w:rFonts w:ascii="Palatino Linotype" w:eastAsia="Calibri" w:hAnsi="Palatino Linotype" w:cs="Arial"/>
          <w:bCs/>
          <w:color w:val="000000"/>
          <w:lang w:val="es-ES_tradnl"/>
        </w:rPr>
        <w:t xml:space="preserve"> VIII,</w:t>
      </w:r>
      <w:r w:rsidRPr="00FC5408">
        <w:rPr>
          <w:rFonts w:ascii="Palatino Linotype" w:eastAsia="Calibri" w:hAnsi="Palatino Linotype" w:cs="Arial"/>
          <w:color w:val="000000"/>
          <w:lang w:val="es-ES" w:eastAsia="es-MX"/>
        </w:rPr>
        <w:t xml:space="preserve"> 122</w:t>
      </w:r>
      <w:r w:rsidRPr="00FC5408">
        <w:rPr>
          <w:rFonts w:ascii="Palatino Linotype" w:hAnsi="Palatino Linotype"/>
          <w:vertAlign w:val="superscript"/>
          <w:lang w:val="es-ES" w:eastAsia="es-MX"/>
        </w:rPr>
        <w:footnoteReference w:id="6"/>
      </w:r>
      <w:r w:rsidRPr="00FC5408">
        <w:rPr>
          <w:rFonts w:ascii="Palatino Linotype" w:eastAsia="Calibri" w:hAnsi="Palatino Linotype" w:cs="Arial"/>
          <w:color w:val="000000"/>
          <w:lang w:val="es-ES" w:eastAsia="es-MX"/>
        </w:rPr>
        <w:t>, 135</w:t>
      </w:r>
      <w:r w:rsidRPr="00FC5408">
        <w:rPr>
          <w:rFonts w:ascii="Palatino Linotype" w:hAnsi="Palatino Linotype"/>
          <w:vertAlign w:val="superscript"/>
          <w:lang w:val="es-ES" w:eastAsia="es-MX"/>
        </w:rPr>
        <w:footnoteReference w:id="7"/>
      </w:r>
      <w:r w:rsidRPr="00FC5408">
        <w:rPr>
          <w:rFonts w:ascii="Palatino Linotype" w:eastAsia="Calibri" w:hAnsi="Palatino Linotype" w:cs="Arial"/>
          <w:color w:val="000000"/>
          <w:lang w:val="es-ES" w:eastAsia="es-MX"/>
        </w:rPr>
        <w:t xml:space="preserve"> y 149 de la </w:t>
      </w:r>
      <w:r w:rsidRPr="00FC5408">
        <w:rPr>
          <w:rFonts w:ascii="Palatino Linotype" w:eastAsia="Calibri" w:hAnsi="Palatino Linotype" w:cs="Arial"/>
          <w:b/>
          <w:color w:val="000000"/>
          <w:lang w:val="es-ES" w:eastAsia="es-MX"/>
        </w:rPr>
        <w:t>Ley de Transparencia y Acceso a la Información Pública del Estado de México y Municipios</w:t>
      </w:r>
      <w:r w:rsidRPr="00FC5408">
        <w:rPr>
          <w:rFonts w:ascii="Palatino Linotype" w:eastAsia="Calibri" w:hAnsi="Palatino Linotype" w:cs="Arial"/>
          <w:color w:val="000000"/>
          <w:lang w:val="es-ES" w:eastAsia="es-MX"/>
        </w:rPr>
        <w:t>, con el cual sustentara de forma fundada y motivada la clasificación de datos y con ello la "versión pública" de los documentos materia de la solicitud.</w:t>
      </w:r>
    </w:p>
    <w:p w14:paraId="07572824" w14:textId="77777777" w:rsidR="00191180" w:rsidRPr="00FC5408" w:rsidRDefault="00191180" w:rsidP="006F7BEF">
      <w:pPr>
        <w:shd w:val="clear" w:color="auto" w:fill="FFFFFF"/>
        <w:tabs>
          <w:tab w:val="left" w:pos="284"/>
          <w:tab w:val="left" w:pos="426"/>
        </w:tabs>
        <w:suppressAutoHyphens w:val="0"/>
        <w:spacing w:before="240" w:after="200" w:line="360" w:lineRule="auto"/>
        <w:contextualSpacing/>
        <w:jc w:val="both"/>
        <w:rPr>
          <w:rFonts w:ascii="Palatino Linotype" w:hAnsi="Palatino Linotype" w:cs="Arial"/>
          <w:color w:val="000000"/>
          <w:lang w:val="es-ES_tradnl"/>
        </w:rPr>
      </w:pPr>
    </w:p>
    <w:p w14:paraId="35ABA92D" w14:textId="77777777" w:rsidR="00191180" w:rsidRPr="00FC5408" w:rsidRDefault="00191180" w:rsidP="006F7BEF">
      <w:pPr>
        <w:keepNext/>
        <w:keepLines/>
        <w:suppressAutoHyphens w:val="0"/>
        <w:spacing w:before="40" w:line="360" w:lineRule="auto"/>
        <w:outlineLvl w:val="1"/>
        <w:rPr>
          <w:rFonts w:ascii="Palatino Linotype" w:hAnsi="Palatino Linotype"/>
          <w:b/>
          <w:color w:val="000000"/>
          <w:lang w:eastAsia="en-US"/>
        </w:rPr>
      </w:pPr>
      <w:bookmarkStart w:id="53" w:name="_Toc500756709"/>
      <w:bookmarkStart w:id="54" w:name="_Toc536691777"/>
      <w:bookmarkStart w:id="55" w:name="_Toc104470954"/>
      <w:bookmarkStart w:id="56" w:name="_Toc110976873"/>
      <w:r w:rsidRPr="00FC5408">
        <w:rPr>
          <w:rFonts w:ascii="Palatino Linotype" w:hAnsi="Palatino Linotype"/>
          <w:b/>
          <w:color w:val="000000"/>
          <w:lang w:eastAsia="en-US"/>
        </w:rPr>
        <w:t>I. De la clasificación de la información.</w:t>
      </w:r>
      <w:bookmarkEnd w:id="53"/>
      <w:bookmarkEnd w:id="54"/>
      <w:bookmarkEnd w:id="55"/>
      <w:bookmarkEnd w:id="56"/>
    </w:p>
    <w:p w14:paraId="4C242014"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FC5408">
        <w:rPr>
          <w:rFonts w:ascii="Palatino Linotype" w:hAnsi="Palatino Linotype"/>
          <w:vertAlign w:val="superscript"/>
          <w:lang w:val="es-ES_tradnl"/>
        </w:rPr>
        <w:footnoteReference w:id="8"/>
      </w:r>
      <w:r w:rsidRPr="00FC5408">
        <w:rPr>
          <w:rFonts w:ascii="Palatino Linotype" w:hAnsi="Palatino Linotype"/>
          <w:color w:val="000000"/>
          <w:lang w:val="es-ES_tradnl"/>
        </w:rPr>
        <w:t xml:space="preserve"> aunque cualquier límite o restricción, para ser legítimo, </w:t>
      </w:r>
      <w:r w:rsidRPr="00FC5408">
        <w:rPr>
          <w:rFonts w:ascii="Palatino Linotype" w:hAnsi="Palatino Linotype"/>
          <w:color w:val="000000"/>
          <w:lang w:val="es-ES_tradnl"/>
        </w:rPr>
        <w:lastRenderedPageBreak/>
        <w:t>debe reunir con tres requisitos: primero, debe de estar establecida en un ordenamiento legal, antes de su aplicación; debe de corresponder a un fin legítimo y ser estrictamente proporcional con el principio o valor que se pretende preservar.</w:t>
      </w:r>
      <w:r w:rsidRPr="00FC5408">
        <w:rPr>
          <w:rFonts w:ascii="Palatino Linotype" w:hAnsi="Palatino Linotype"/>
          <w:vertAlign w:val="superscript"/>
          <w:lang w:val="es-ES_tradnl"/>
        </w:rPr>
        <w:footnoteReference w:id="9"/>
      </w:r>
      <w:r w:rsidRPr="00FC5408">
        <w:rPr>
          <w:rFonts w:ascii="Palatino Linotype" w:hAnsi="Palatino Linotype"/>
          <w:color w:val="000000"/>
          <w:lang w:val="es-ES_tradnl"/>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20EF70F1"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1CCC8094"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lastRenderedPageBreak/>
        <w:t>El grave problema que enfrentamos todos los días al resolver los recursos de revisión que se presentan, consiste en que a pesar de que han pasado más de dos años desde la entrada en vigor de la Ley General, y poco más de un año de la entrada en vigor de Ley Estatal, y de que dichos ordenamientos señalan los pasos, requisitos y formalidades que deben de cumplirse, en general, los acuerdos de clasificación de la información que emiten los Sujetos Obligados siguen sin observar los requisitos, tanto por la complejidad del procedimiento como por la falta de atención de los operadores jurídicos.</w:t>
      </w:r>
    </w:p>
    <w:p w14:paraId="6C6D7BFD" w14:textId="77777777" w:rsidR="00191180" w:rsidRPr="00FC5408" w:rsidRDefault="00191180" w:rsidP="006F7BEF">
      <w:pPr>
        <w:tabs>
          <w:tab w:val="left" w:pos="426"/>
        </w:tabs>
        <w:suppressAutoHyphens w:val="0"/>
        <w:spacing w:after="160" w:line="360" w:lineRule="auto"/>
        <w:contextualSpacing/>
        <w:jc w:val="both"/>
        <w:rPr>
          <w:rFonts w:ascii="Palatino Linotype" w:hAnsi="Palatino Linotype"/>
          <w:color w:val="000000"/>
          <w:lang w:val="es-ES_tradnl"/>
        </w:rPr>
      </w:pPr>
    </w:p>
    <w:p w14:paraId="3F3A8B07"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Por esa razón, es que en esta ocasión se presenta un apretado resumen de las formalidades, elementos y procedimientos que debe considerar 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w:t>
      </w:r>
      <w:r w:rsidRPr="00FC5408">
        <w:rPr>
          <w:rFonts w:ascii="Palatino Linotype" w:hAnsi="Palatino Linotype"/>
          <w:color w:val="000000"/>
          <w:lang w:val="es-ES_tradnl"/>
        </w:rPr>
        <w:t>para emitir este tipo de acuerdos y que el Órgano Garante debe verificar que se cumplan.</w:t>
      </w:r>
    </w:p>
    <w:p w14:paraId="43F45798" w14:textId="77777777" w:rsidR="00191180" w:rsidRPr="00FC5408" w:rsidRDefault="00191180" w:rsidP="006F7BEF">
      <w:pPr>
        <w:suppressAutoHyphens w:val="0"/>
        <w:spacing w:line="360" w:lineRule="auto"/>
        <w:jc w:val="both"/>
        <w:rPr>
          <w:rFonts w:ascii="Palatino Linotype" w:hAnsi="Palatino Linotype"/>
          <w:color w:val="000000"/>
          <w:lang w:val="es-ES_tradnl"/>
        </w:rPr>
      </w:pPr>
    </w:p>
    <w:p w14:paraId="0FD14A13" w14:textId="77777777" w:rsidR="00191180" w:rsidRPr="00FC5408" w:rsidRDefault="00191180" w:rsidP="006F7BEF">
      <w:pPr>
        <w:keepNext/>
        <w:keepLines/>
        <w:pBdr>
          <w:top w:val="nil"/>
          <w:left w:val="nil"/>
          <w:bottom w:val="nil"/>
          <w:right w:val="nil"/>
          <w:between w:val="nil"/>
          <w:bar w:val="nil"/>
        </w:pBdr>
        <w:suppressAutoHyphens w:val="0"/>
        <w:spacing w:before="240" w:line="360" w:lineRule="auto"/>
        <w:contextualSpacing/>
        <w:outlineLvl w:val="0"/>
        <w:rPr>
          <w:rFonts w:ascii="Palatino Linotype" w:hAnsi="Palatino Linotype"/>
          <w:b/>
          <w:color w:val="000000"/>
          <w:lang w:eastAsia="en-US"/>
        </w:rPr>
      </w:pPr>
      <w:bookmarkStart w:id="57" w:name="_Toc485631700"/>
      <w:bookmarkStart w:id="58" w:name="_Toc500756710"/>
      <w:bookmarkStart w:id="59" w:name="_Toc536691778"/>
      <w:bookmarkStart w:id="60" w:name="_Toc104470955"/>
      <w:bookmarkStart w:id="61" w:name="_Toc110976874"/>
      <w:r w:rsidRPr="00FC5408">
        <w:rPr>
          <w:rFonts w:ascii="Palatino Linotype" w:hAnsi="Palatino Linotype"/>
          <w:b/>
          <w:color w:val="000000"/>
          <w:lang w:eastAsia="en-US"/>
        </w:rPr>
        <w:t>a) Requisitos previos.</w:t>
      </w:r>
      <w:bookmarkEnd w:id="57"/>
      <w:bookmarkEnd w:id="58"/>
      <w:bookmarkEnd w:id="59"/>
      <w:bookmarkEnd w:id="60"/>
      <w:bookmarkEnd w:id="61"/>
    </w:p>
    <w:p w14:paraId="62142134"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Los </w:t>
      </w:r>
      <w:r w:rsidRPr="00FC5408">
        <w:rPr>
          <w:rFonts w:ascii="Palatino Linotype" w:hAnsi="Palatino Linotype"/>
          <w:color w:val="000000"/>
          <w:lang w:val="es-ES_tradnl"/>
        </w:rPr>
        <w:t>artículos</w:t>
      </w:r>
      <w:r w:rsidRPr="00FC5408">
        <w:rPr>
          <w:rFonts w:ascii="Palatino Linotype" w:hAnsi="Palatino Linotype" w:cs="Arial"/>
          <w:color w:val="000000"/>
          <w:lang w:val="es-ES_tradnl"/>
        </w:rPr>
        <w:t xml:space="preserve">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394AB5D0"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022DB1F3"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lastRenderedPageBreak/>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2E107266"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48017299"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7A962342" w14:textId="77777777" w:rsidR="00191180" w:rsidRPr="00FC5408" w:rsidRDefault="00191180" w:rsidP="006F7BEF">
      <w:pPr>
        <w:suppressAutoHyphens w:val="0"/>
        <w:spacing w:after="160" w:line="360" w:lineRule="auto"/>
        <w:contextualSpacing/>
        <w:jc w:val="both"/>
        <w:rPr>
          <w:rFonts w:ascii="Palatino Linotype" w:hAnsi="Palatino Linotype" w:cs="Arial"/>
          <w:color w:val="000000"/>
          <w:lang w:val="es-ES_tradnl"/>
        </w:rPr>
      </w:pPr>
    </w:p>
    <w:p w14:paraId="6CD38659" w14:textId="77777777" w:rsidR="00191180" w:rsidRPr="00FC5408" w:rsidRDefault="00191180" w:rsidP="006F7BEF">
      <w:pPr>
        <w:keepNext/>
        <w:keepLines/>
        <w:pBdr>
          <w:top w:val="nil"/>
          <w:left w:val="nil"/>
          <w:bottom w:val="nil"/>
          <w:right w:val="nil"/>
          <w:between w:val="nil"/>
          <w:bar w:val="nil"/>
        </w:pBdr>
        <w:suppressAutoHyphens w:val="0"/>
        <w:spacing w:before="240" w:line="360" w:lineRule="auto"/>
        <w:contextualSpacing/>
        <w:outlineLvl w:val="0"/>
        <w:rPr>
          <w:rFonts w:ascii="Palatino Linotype" w:hAnsi="Palatino Linotype"/>
          <w:b/>
          <w:color w:val="000000"/>
          <w:lang w:eastAsia="en-US"/>
        </w:rPr>
      </w:pPr>
      <w:bookmarkStart w:id="62" w:name="_Toc485631701"/>
      <w:bookmarkStart w:id="63" w:name="_Toc500756711"/>
      <w:bookmarkStart w:id="64" w:name="_Toc536691779"/>
      <w:bookmarkStart w:id="65" w:name="_Toc104470956"/>
      <w:bookmarkStart w:id="66" w:name="_Toc110976875"/>
      <w:r w:rsidRPr="00FC5408">
        <w:rPr>
          <w:rFonts w:ascii="Palatino Linotype" w:hAnsi="Palatino Linotype"/>
          <w:b/>
          <w:color w:val="000000"/>
          <w:lang w:eastAsia="en-US"/>
        </w:rPr>
        <w:t>b) Supuestos de clasificación.</w:t>
      </w:r>
      <w:bookmarkEnd w:id="62"/>
      <w:bookmarkEnd w:id="63"/>
      <w:bookmarkEnd w:id="64"/>
      <w:bookmarkEnd w:id="65"/>
      <w:bookmarkEnd w:id="66"/>
    </w:p>
    <w:p w14:paraId="6E683C54"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Las disposiciones constitucionales y legales en la materia establecen los dos supuestos generales para clasificar la información: por reserva y por confidencialidad.</w:t>
      </w:r>
    </w:p>
    <w:p w14:paraId="2FDF64E4"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282E5AC4"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Mientras que los artículos 143 y 116 de la Ley Estatal y de la Ley General, respectivamente, señalan los supuestos para que la información pueda ser clasificada como confidencial:</w:t>
      </w:r>
    </w:p>
    <w:p w14:paraId="27F6FF13" w14:textId="77777777" w:rsidR="00191180" w:rsidRPr="00233D7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233D78">
        <w:rPr>
          <w:rFonts w:ascii="Palatino Linotype" w:hAnsi="Palatino Linotype" w:cs="Bookman Old Style"/>
          <w:bCs/>
          <w:i/>
          <w:iCs/>
          <w:color w:val="000000"/>
          <w:sz w:val="22"/>
          <w:lang w:val="es-ES_tradnl"/>
        </w:rPr>
        <w:t>“</w:t>
      </w:r>
      <w:r w:rsidRPr="00233D78">
        <w:rPr>
          <w:rFonts w:ascii="Palatino Linotype" w:hAnsi="Palatino Linotype" w:cs="Bookman Old Style"/>
          <w:b/>
          <w:i/>
          <w:iCs/>
          <w:color w:val="000000"/>
          <w:sz w:val="22"/>
          <w:lang w:val="es-ES_tradnl"/>
        </w:rPr>
        <w:t>I.</w:t>
      </w:r>
      <w:r w:rsidRPr="00233D78">
        <w:rPr>
          <w:rFonts w:ascii="Palatino Linotype" w:hAnsi="Palatino Linotype" w:cs="Bookman Old Style"/>
          <w:bCs/>
          <w:i/>
          <w:iCs/>
          <w:color w:val="000000"/>
          <w:sz w:val="22"/>
          <w:lang w:val="es-ES_tradnl"/>
        </w:rPr>
        <w:t xml:space="preserve"> </w:t>
      </w:r>
      <w:r w:rsidRPr="00233D78">
        <w:rPr>
          <w:rFonts w:ascii="Palatino Linotype" w:hAnsi="Palatino Linotype" w:cs="Bookman Old Style"/>
          <w:i/>
          <w:iCs/>
          <w:color w:val="000000"/>
          <w:sz w:val="22"/>
          <w:lang w:val="es-ES_tradnl"/>
        </w:rPr>
        <w:t xml:space="preserve">Se refiera a la información privada y los datos personales concernientes a una persona física o jurídico colectiva identificada o identificable; </w:t>
      </w:r>
    </w:p>
    <w:p w14:paraId="49A4549E" w14:textId="77777777" w:rsidR="00191180" w:rsidRPr="00233D7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233D78">
        <w:rPr>
          <w:rFonts w:ascii="Palatino Linotype" w:hAnsi="Palatino Linotype" w:cs="Bookman Old Style"/>
          <w:b/>
          <w:i/>
          <w:iCs/>
          <w:color w:val="000000"/>
          <w:sz w:val="22"/>
          <w:lang w:val="es-ES_tradnl"/>
        </w:rPr>
        <w:t>II.</w:t>
      </w:r>
      <w:r w:rsidRPr="00233D78">
        <w:rPr>
          <w:rFonts w:ascii="Palatino Linotype" w:hAnsi="Palatino Linotype" w:cs="Bookman Old Style"/>
          <w:bCs/>
          <w:i/>
          <w:iCs/>
          <w:color w:val="000000"/>
          <w:sz w:val="22"/>
          <w:lang w:val="es-ES_tradnl"/>
        </w:rPr>
        <w:t xml:space="preserve"> </w:t>
      </w:r>
      <w:r w:rsidRPr="00233D78">
        <w:rPr>
          <w:rFonts w:ascii="Palatino Linotype" w:hAnsi="Palatino Linotype" w:cs="Bookman Old Style"/>
          <w:i/>
          <w:iCs/>
          <w:color w:val="000000"/>
          <w:sz w:val="22"/>
          <w:lang w:val="es-ES_tradnl"/>
        </w:rPr>
        <w:t xml:space="preserve">Los secretos bancario, fiduciario, industrial, comercial, fiscal, bursátil y postal, cuya titularidad corresponda a particulares, sujetos de derecho internacional o a sujetos obligados </w:t>
      </w:r>
      <w:r w:rsidRPr="00233D78">
        <w:rPr>
          <w:rFonts w:ascii="Palatino Linotype" w:hAnsi="Palatino Linotype" w:cs="Bookman Old Style"/>
          <w:i/>
          <w:iCs/>
          <w:color w:val="000000"/>
          <w:sz w:val="22"/>
          <w:lang w:val="es-ES_tradnl"/>
        </w:rPr>
        <w:lastRenderedPageBreak/>
        <w:t xml:space="preserve">cuando no involucren el ejercicio de recursos públicos; y </w:t>
      </w:r>
    </w:p>
    <w:p w14:paraId="404F0DA3" w14:textId="77777777" w:rsidR="00191180" w:rsidRPr="00233D7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233D78">
        <w:rPr>
          <w:rFonts w:ascii="Palatino Linotype" w:hAnsi="Palatino Linotype" w:cs="Bookman Old Style"/>
          <w:b/>
          <w:i/>
          <w:iCs/>
          <w:color w:val="000000"/>
          <w:sz w:val="22"/>
          <w:lang w:val="es-ES_tradnl"/>
        </w:rPr>
        <w:t>III.</w:t>
      </w:r>
      <w:r w:rsidRPr="00233D78">
        <w:rPr>
          <w:rFonts w:ascii="Palatino Linotype" w:hAnsi="Palatino Linotype" w:cs="Bookman Old Style"/>
          <w:bCs/>
          <w:i/>
          <w:iCs/>
          <w:color w:val="000000"/>
          <w:sz w:val="22"/>
          <w:lang w:val="es-ES_tradnl"/>
        </w:rPr>
        <w:t xml:space="preserve"> </w:t>
      </w:r>
      <w:r w:rsidRPr="00233D78">
        <w:rPr>
          <w:rFonts w:ascii="Palatino Linotype" w:hAnsi="Palatino Linotype" w:cs="Bookman Old Style"/>
          <w:i/>
          <w:iCs/>
          <w:color w:val="000000"/>
          <w:sz w:val="22"/>
          <w:lang w:val="es-ES_tradnl"/>
        </w:rPr>
        <w:t xml:space="preserve">La que presenten los particulares a los sujetos obligados, de conformidad con lo dispuesto por las leyes o los tratados internacionales. </w:t>
      </w:r>
    </w:p>
    <w:p w14:paraId="33CAF0B2" w14:textId="77777777" w:rsidR="00191180" w:rsidRPr="00233D7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233D78">
        <w:rPr>
          <w:rFonts w:ascii="Palatino Linotype" w:hAnsi="Palatino Linotype" w:cs="Bookman Old Style"/>
          <w:i/>
          <w:iCs/>
          <w:color w:val="000000"/>
          <w:sz w:val="22"/>
          <w:lang w:val="es-ES_tradnl"/>
        </w:rPr>
        <w:t xml:space="preserve">La información confidencial no estará sujeta a temporalidad alguna y sólo podrán tener acceso a ella los titulares de la misma, sus representantes y los servidores públicos facultados para ello. </w:t>
      </w:r>
    </w:p>
    <w:p w14:paraId="0B80A546" w14:textId="77777777" w:rsidR="00191180" w:rsidRPr="00233D78" w:rsidRDefault="00191180" w:rsidP="006F7BEF">
      <w:pPr>
        <w:widowControl w:val="0"/>
        <w:suppressAutoHyphens w:val="0"/>
        <w:autoSpaceDE w:val="0"/>
        <w:autoSpaceDN w:val="0"/>
        <w:adjustRightInd w:val="0"/>
        <w:spacing w:line="360" w:lineRule="auto"/>
        <w:ind w:left="567" w:right="616"/>
        <w:jc w:val="both"/>
        <w:rPr>
          <w:rFonts w:ascii="Palatino Linotype" w:hAnsi="Palatino Linotype" w:cs="Times"/>
          <w:i/>
          <w:iCs/>
          <w:color w:val="000000"/>
          <w:sz w:val="22"/>
          <w:lang w:val="es-ES_tradnl"/>
        </w:rPr>
      </w:pPr>
      <w:r w:rsidRPr="00233D78">
        <w:rPr>
          <w:rFonts w:ascii="Palatino Linotype" w:hAnsi="Palatino Linotype" w:cs="Bookman Old Style"/>
          <w:i/>
          <w:iCs/>
          <w:color w:val="000000"/>
          <w:sz w:val="22"/>
          <w:lang w:val="es-ES_tradnl"/>
        </w:rPr>
        <w:t>No se considerará confidencial la información que se encuentre en los registros públicos o en fuentes de acceso público, ni tampoco la que sea considerada por la presente ley como información pública.”</w:t>
      </w:r>
    </w:p>
    <w:p w14:paraId="61512247" w14:textId="77777777" w:rsidR="00191180" w:rsidRPr="00FC5408" w:rsidRDefault="00191180" w:rsidP="006F7BEF">
      <w:pPr>
        <w:suppressAutoHyphens w:val="0"/>
        <w:spacing w:line="360" w:lineRule="auto"/>
        <w:jc w:val="both"/>
        <w:rPr>
          <w:rFonts w:ascii="Palatino Linotype" w:hAnsi="Palatino Linotype" w:cs="Arial"/>
          <w:color w:val="000000"/>
          <w:lang w:val="es-ES_tradnl"/>
        </w:rPr>
      </w:pPr>
    </w:p>
    <w:p w14:paraId="009CF250"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2008857C"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01F5B627"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Como consecuencia de lo anterior, el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debe identificar claramente el tipo de información y hacer un juicio de subsunción o encaje</w:t>
      </w:r>
      <w:r w:rsidRPr="00FC5408">
        <w:rPr>
          <w:rFonts w:ascii="Palatino Linotype" w:hAnsi="Palatino Linotype" w:cs="Arial"/>
          <w:color w:val="000000"/>
          <w:vertAlign w:val="superscript"/>
          <w:lang w:val="es-ES_tradnl"/>
        </w:rPr>
        <w:footnoteReference w:id="10"/>
      </w:r>
      <w:r w:rsidRPr="00FC5408">
        <w:rPr>
          <w:rFonts w:ascii="Palatino Linotype" w:hAnsi="Palatino Linotype" w:cs="Arial"/>
          <w:color w:val="000000"/>
          <w:lang w:val="es-ES_tradnl"/>
        </w:rPr>
        <w:t xml:space="preserve"> para </w:t>
      </w:r>
      <w:r w:rsidRPr="00FC5408">
        <w:rPr>
          <w:rFonts w:ascii="Palatino Linotype" w:hAnsi="Palatino Linotype" w:cs="Arial"/>
          <w:color w:val="000000"/>
          <w:lang w:val="es-ES_tradnl"/>
        </w:rPr>
        <w:lastRenderedPageBreak/>
        <w:t>acreditar que el supuesto de hecho corresponde estrictamente con la hipótesis jurídica. Esto también lo debe de realizar el servidor público habilitado y el titular del área que administra la información.</w:t>
      </w:r>
    </w:p>
    <w:p w14:paraId="4A599573"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69C74377"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Una vez hecho lo anterior, se remite la información al Titular de la Unidad de Transparencia, con el acuerdo de clasificación correspondiente, para que sea sometido al conocimiento del Comité de Transparencia.</w:t>
      </w:r>
    </w:p>
    <w:p w14:paraId="1C742DDC" w14:textId="77777777" w:rsidR="00191180" w:rsidRPr="00FC5408" w:rsidRDefault="00191180" w:rsidP="006F7BEF">
      <w:pPr>
        <w:suppressAutoHyphens w:val="0"/>
        <w:spacing w:line="360" w:lineRule="auto"/>
        <w:contextualSpacing/>
        <w:jc w:val="both"/>
        <w:rPr>
          <w:rFonts w:ascii="Palatino Linotype" w:hAnsi="Palatino Linotype"/>
          <w:b/>
          <w:color w:val="000000"/>
          <w:lang w:val="es-ES_tradnl"/>
        </w:rPr>
      </w:pPr>
    </w:p>
    <w:p w14:paraId="30100D8A" w14:textId="77777777" w:rsidR="00191180" w:rsidRPr="00FC5408" w:rsidRDefault="00191180" w:rsidP="006F7BEF">
      <w:pPr>
        <w:keepNext/>
        <w:keepLines/>
        <w:pBdr>
          <w:top w:val="nil"/>
          <w:left w:val="nil"/>
          <w:bottom w:val="nil"/>
          <w:right w:val="nil"/>
          <w:between w:val="nil"/>
          <w:bar w:val="nil"/>
        </w:pBdr>
        <w:suppressAutoHyphens w:val="0"/>
        <w:spacing w:before="240" w:line="360" w:lineRule="auto"/>
        <w:contextualSpacing/>
        <w:jc w:val="both"/>
        <w:outlineLvl w:val="0"/>
        <w:rPr>
          <w:rFonts w:ascii="Palatino Linotype" w:hAnsi="Palatino Linotype"/>
          <w:b/>
          <w:color w:val="000000"/>
          <w:lang w:eastAsia="en-US"/>
        </w:rPr>
      </w:pPr>
      <w:bookmarkStart w:id="67" w:name="_Toc485631702"/>
      <w:bookmarkStart w:id="68" w:name="_Toc500756712"/>
      <w:bookmarkStart w:id="69" w:name="_Toc536691780"/>
      <w:bookmarkStart w:id="70" w:name="_Toc104470957"/>
      <w:bookmarkStart w:id="71" w:name="_Toc110976876"/>
      <w:r w:rsidRPr="00FC5408">
        <w:rPr>
          <w:rFonts w:ascii="Palatino Linotype" w:hAnsi="Palatino Linotype"/>
          <w:b/>
          <w:color w:val="000000"/>
          <w:lang w:eastAsia="en-US"/>
        </w:rPr>
        <w:t>c) Excepciones a los supuestos de clasificación de la información como reservada.</w:t>
      </w:r>
      <w:bookmarkEnd w:id="67"/>
      <w:bookmarkEnd w:id="68"/>
      <w:bookmarkEnd w:id="69"/>
      <w:bookmarkEnd w:id="70"/>
      <w:bookmarkEnd w:id="71"/>
    </w:p>
    <w:p w14:paraId="394FC59F" w14:textId="77777777" w:rsidR="00191180" w:rsidRPr="00FC5408" w:rsidRDefault="00191180" w:rsidP="006F7BEF">
      <w:pPr>
        <w:numPr>
          <w:ilvl w:val="0"/>
          <w:numId w:val="9"/>
        </w:numPr>
        <w:tabs>
          <w:tab w:val="left" w:pos="426"/>
        </w:tabs>
        <w:suppressAutoHyphens w:val="0"/>
        <w:spacing w:before="100" w:beforeAutospacing="1" w:after="100" w:afterAutospacing="1" w:line="360" w:lineRule="auto"/>
        <w:ind w:left="0" w:firstLine="0"/>
        <w:jc w:val="both"/>
        <w:rPr>
          <w:rFonts w:ascii="Palatino Linotype" w:hAnsi="Palatino Linotype"/>
          <w:color w:val="000000"/>
          <w:lang w:val="es-ES"/>
        </w:rPr>
      </w:pPr>
      <w:r w:rsidRPr="00FC5408">
        <w:rPr>
          <w:rFonts w:ascii="Palatino Linotype" w:hAnsi="Palatino Linotype"/>
          <w:color w:val="000000"/>
          <w:lang w:val="es-ES"/>
        </w:rPr>
        <w:t xml:space="preserve">En todos aquellos casos en los que se pretende adoptar una clasificación de la información como reservada, hay que considerar lo señalado por los artículos 5, 140 y 142 de la Ley Estatal y 5, 113 fracción III y 115 de la Ley General, que establecen </w:t>
      </w:r>
      <w:r w:rsidRPr="00FC5408">
        <w:rPr>
          <w:rFonts w:ascii="Palatino Linotype" w:hAnsi="Palatino Linotype"/>
          <w:b/>
          <w:color w:val="000000"/>
          <w:lang w:val="es-ES"/>
        </w:rPr>
        <w:t>qué no puede clasificarse como información reservada:</w:t>
      </w:r>
    </w:p>
    <w:p w14:paraId="445D3A68" w14:textId="77777777" w:rsidR="00191180" w:rsidRPr="00233D7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
          <w:i/>
          <w:iCs/>
          <w:color w:val="000000"/>
          <w:sz w:val="22"/>
          <w:lang w:val="es-ES"/>
        </w:rPr>
      </w:pPr>
      <w:r w:rsidRPr="00233D78">
        <w:rPr>
          <w:rFonts w:ascii="Palatino Linotype" w:hAnsi="Palatino Linotype"/>
          <w:bCs/>
          <w:color w:val="000000"/>
          <w:sz w:val="22"/>
          <w:lang w:val="es-ES"/>
        </w:rPr>
        <w:t>“</w:t>
      </w:r>
      <w:r w:rsidRPr="00233D78">
        <w:rPr>
          <w:rFonts w:ascii="Palatino Linotype" w:hAnsi="Palatino Linotype"/>
          <w:b/>
          <w:i/>
          <w:iCs/>
          <w:color w:val="000000"/>
          <w:sz w:val="22"/>
          <w:lang w:val="es-ES"/>
        </w:rPr>
        <w:t>I. Se trate de violaciones graves de derechos humanos, calificada así por autoridad competente;</w:t>
      </w:r>
    </w:p>
    <w:p w14:paraId="479672DC" w14:textId="77777777" w:rsidR="00191180" w:rsidRPr="00233D7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
          <w:i/>
          <w:iCs/>
          <w:color w:val="000000"/>
          <w:sz w:val="22"/>
          <w:lang w:val="es-ES"/>
        </w:rPr>
      </w:pPr>
      <w:r w:rsidRPr="00233D78">
        <w:rPr>
          <w:rFonts w:ascii="Palatino Linotype" w:hAnsi="Palatino Linotype"/>
          <w:b/>
          <w:i/>
          <w:iCs/>
          <w:color w:val="000000"/>
          <w:sz w:val="22"/>
          <w:lang w:val="es-ES"/>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1C13BE8" w14:textId="77777777" w:rsidR="00191180" w:rsidRPr="00233D7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
          <w:i/>
          <w:iCs/>
          <w:color w:val="000000"/>
          <w:sz w:val="22"/>
          <w:lang w:val="es-ES"/>
        </w:rPr>
      </w:pPr>
      <w:r w:rsidRPr="00233D78">
        <w:rPr>
          <w:rFonts w:ascii="Palatino Linotype" w:hAnsi="Palatino Linotype"/>
          <w:b/>
          <w:i/>
          <w:iCs/>
          <w:color w:val="000000"/>
          <w:sz w:val="22"/>
          <w:lang w:val="es-ES"/>
        </w:rPr>
        <w:t xml:space="preserve">III. Se trate de delitos de lesa humanidad conforme a los tratados ratificados por el Senado de la República, las resoluciones emitidas por organismos internacionales </w:t>
      </w:r>
      <w:r w:rsidRPr="00233D78">
        <w:rPr>
          <w:rFonts w:ascii="Palatino Linotype" w:hAnsi="Palatino Linotype"/>
          <w:b/>
          <w:i/>
          <w:iCs/>
          <w:color w:val="000000"/>
          <w:sz w:val="22"/>
          <w:lang w:val="es-ES"/>
        </w:rPr>
        <w:lastRenderedPageBreak/>
        <w:t>cuya competencia sea reconocida por el Estado Mexicano, así como en las disposiciones jurídicas aplicables; y</w:t>
      </w:r>
    </w:p>
    <w:p w14:paraId="1D243941" w14:textId="77777777" w:rsidR="00191180" w:rsidRPr="00233D78" w:rsidRDefault="00191180" w:rsidP="006F7BEF">
      <w:pPr>
        <w:suppressAutoHyphens w:val="0"/>
        <w:spacing w:before="100" w:beforeAutospacing="1" w:after="100" w:afterAutospacing="1" w:line="360" w:lineRule="auto"/>
        <w:ind w:left="567" w:right="567"/>
        <w:contextualSpacing/>
        <w:jc w:val="both"/>
        <w:rPr>
          <w:rFonts w:ascii="Palatino Linotype" w:hAnsi="Palatino Linotype"/>
          <w:bCs/>
          <w:color w:val="000000"/>
          <w:sz w:val="22"/>
          <w:lang w:val="es-ES"/>
        </w:rPr>
      </w:pPr>
      <w:r w:rsidRPr="00233D78">
        <w:rPr>
          <w:rFonts w:ascii="Palatino Linotype" w:hAnsi="Palatino Linotype"/>
          <w:b/>
          <w:i/>
          <w:iCs/>
          <w:color w:val="000000"/>
          <w:sz w:val="22"/>
          <w:lang w:val="es-ES"/>
        </w:rPr>
        <w:t>IV. Se trate de información relacionada con actos de corrupción de conformidad con las disposiciones jurídicas aplicables.</w:t>
      </w:r>
      <w:r w:rsidRPr="00233D78">
        <w:rPr>
          <w:rFonts w:ascii="Palatino Linotype" w:hAnsi="Palatino Linotype"/>
          <w:bCs/>
          <w:color w:val="000000"/>
          <w:sz w:val="22"/>
          <w:lang w:val="es-ES"/>
        </w:rPr>
        <w:t>”</w:t>
      </w:r>
    </w:p>
    <w:p w14:paraId="11B543C4" w14:textId="77777777" w:rsidR="00191180" w:rsidRPr="00FC5408" w:rsidRDefault="00191180" w:rsidP="006F7BEF">
      <w:pPr>
        <w:suppressAutoHyphens w:val="0"/>
        <w:spacing w:before="100" w:beforeAutospacing="1" w:after="100" w:afterAutospacing="1" w:line="360" w:lineRule="auto"/>
        <w:ind w:left="720"/>
        <w:contextualSpacing/>
        <w:jc w:val="both"/>
        <w:rPr>
          <w:rFonts w:ascii="Palatino Linotype" w:hAnsi="Palatino Linotype"/>
          <w:b/>
          <w:color w:val="000000"/>
          <w:lang w:val="es-ES"/>
        </w:rPr>
      </w:pPr>
    </w:p>
    <w:p w14:paraId="71F55ED0" w14:textId="77777777" w:rsidR="00191180" w:rsidRPr="00FC5408" w:rsidRDefault="00191180" w:rsidP="006F7BEF">
      <w:pPr>
        <w:numPr>
          <w:ilvl w:val="0"/>
          <w:numId w:val="9"/>
        </w:numPr>
        <w:tabs>
          <w:tab w:val="left" w:pos="426"/>
        </w:tabs>
        <w:suppressAutoHyphens w:val="0"/>
        <w:spacing w:before="100" w:beforeAutospacing="1" w:after="100" w:afterAutospacing="1" w:line="360" w:lineRule="auto"/>
        <w:ind w:left="0" w:firstLine="0"/>
        <w:contextualSpacing/>
        <w:jc w:val="both"/>
        <w:rPr>
          <w:rFonts w:ascii="Palatino Linotype" w:hAnsi="Palatino Linotype"/>
          <w:color w:val="000000"/>
          <w:lang w:val="es-ES"/>
        </w:rPr>
      </w:pPr>
      <w:r w:rsidRPr="00FC5408">
        <w:rPr>
          <w:rFonts w:ascii="Palatino Linotype" w:hAnsi="Palatino Linotype"/>
          <w:color w:val="000000"/>
          <w:lang w:val="es-ES"/>
        </w:rPr>
        <w:t xml:space="preserve">En ese tenor, si la información solicitada encuadra en cualquiera de los supuestos señalados con anterioridad, no será procedente la clasificación de la información bajo ninguna circunstancia; dicho de otro modo, no aplica la excepción a la regla general, derivado que este tipo de casos, deberá de ser del escrutinio público, lo cual ayudará a tener un país informado, que posibilita la población cuestione, indague y verifique los actos de autoridad. </w:t>
      </w:r>
    </w:p>
    <w:p w14:paraId="6D433CA2" w14:textId="77777777" w:rsidR="00191180" w:rsidRPr="00FC5408" w:rsidRDefault="00191180" w:rsidP="006F7BEF">
      <w:pPr>
        <w:suppressAutoHyphens w:val="0"/>
        <w:spacing w:before="100" w:beforeAutospacing="1" w:after="100" w:afterAutospacing="1" w:line="360" w:lineRule="auto"/>
        <w:ind w:left="360"/>
        <w:contextualSpacing/>
        <w:jc w:val="both"/>
        <w:rPr>
          <w:rFonts w:ascii="Palatino Linotype" w:hAnsi="Palatino Linotype"/>
          <w:color w:val="000000"/>
          <w:lang w:val="es-ES"/>
        </w:rPr>
      </w:pPr>
    </w:p>
    <w:p w14:paraId="477A026B" w14:textId="77777777" w:rsidR="00191180" w:rsidRPr="00FC5408" w:rsidRDefault="00191180" w:rsidP="006F7BEF">
      <w:pPr>
        <w:keepNext/>
        <w:keepLines/>
        <w:pBdr>
          <w:top w:val="nil"/>
          <w:left w:val="nil"/>
          <w:bottom w:val="nil"/>
          <w:right w:val="nil"/>
          <w:between w:val="nil"/>
          <w:bar w:val="nil"/>
        </w:pBdr>
        <w:suppressAutoHyphens w:val="0"/>
        <w:spacing w:before="240" w:line="360" w:lineRule="auto"/>
        <w:outlineLvl w:val="0"/>
        <w:rPr>
          <w:rFonts w:ascii="Palatino Linotype" w:hAnsi="Palatino Linotype"/>
          <w:b/>
          <w:color w:val="000000"/>
          <w:lang w:eastAsia="en-US"/>
        </w:rPr>
      </w:pPr>
      <w:bookmarkStart w:id="72" w:name="_Toc485631703"/>
      <w:bookmarkStart w:id="73" w:name="_Toc500756713"/>
      <w:bookmarkStart w:id="74" w:name="_Toc536691781"/>
      <w:bookmarkStart w:id="75" w:name="_Toc104470958"/>
      <w:bookmarkStart w:id="76" w:name="_Toc110976877"/>
      <w:r w:rsidRPr="00FC5408">
        <w:rPr>
          <w:rFonts w:ascii="Palatino Linotype" w:hAnsi="Palatino Linotype"/>
          <w:b/>
          <w:color w:val="000000"/>
          <w:lang w:eastAsia="en-US"/>
        </w:rPr>
        <w:t>II. La intervención del Comité de Transparencia.</w:t>
      </w:r>
      <w:bookmarkEnd w:id="72"/>
      <w:bookmarkEnd w:id="73"/>
      <w:bookmarkEnd w:id="74"/>
      <w:bookmarkEnd w:id="75"/>
      <w:bookmarkEnd w:id="76"/>
    </w:p>
    <w:p w14:paraId="7123E502" w14:textId="77777777" w:rsidR="00191180" w:rsidRPr="00FC5408" w:rsidRDefault="00191180" w:rsidP="006F7BEF">
      <w:pPr>
        <w:keepNext/>
        <w:keepLines/>
        <w:pBdr>
          <w:top w:val="nil"/>
          <w:left w:val="nil"/>
          <w:bottom w:val="nil"/>
          <w:right w:val="nil"/>
          <w:between w:val="nil"/>
          <w:bar w:val="nil"/>
        </w:pBdr>
        <w:suppressAutoHyphens w:val="0"/>
        <w:spacing w:before="40" w:line="360" w:lineRule="auto"/>
        <w:contextualSpacing/>
        <w:outlineLvl w:val="1"/>
        <w:rPr>
          <w:rFonts w:ascii="Palatino Linotype" w:hAnsi="Palatino Linotype"/>
          <w:b/>
          <w:color w:val="000000"/>
          <w:lang w:eastAsia="en-US"/>
        </w:rPr>
      </w:pPr>
      <w:bookmarkStart w:id="77" w:name="_Toc485631704"/>
      <w:bookmarkStart w:id="78" w:name="_Toc500756714"/>
      <w:bookmarkStart w:id="79" w:name="_Toc536691782"/>
      <w:bookmarkStart w:id="80" w:name="_Toc104470959"/>
      <w:bookmarkStart w:id="81" w:name="_Toc110976878"/>
      <w:r w:rsidRPr="00FC5408">
        <w:rPr>
          <w:rFonts w:ascii="Palatino Linotype" w:hAnsi="Palatino Linotype"/>
          <w:b/>
          <w:color w:val="000000"/>
          <w:lang w:eastAsia="en-US"/>
        </w:rPr>
        <w:t>a) Formalidades para emitir el acuerdo de clasificación.</w:t>
      </w:r>
      <w:bookmarkEnd w:id="77"/>
      <w:bookmarkEnd w:id="78"/>
      <w:bookmarkEnd w:id="79"/>
      <w:bookmarkEnd w:id="80"/>
      <w:bookmarkEnd w:id="81"/>
    </w:p>
    <w:p w14:paraId="153A0B7E"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eastAsia="es-ES_tradnl"/>
        </w:rPr>
      </w:pPr>
      <w:r w:rsidRPr="00FC5408">
        <w:rPr>
          <w:rFonts w:ascii="Palatino Linotype" w:hAnsi="Palatino Linotype" w:cs="Arial"/>
          <w:color w:val="000000"/>
          <w:lang w:val="es-ES_tradnl"/>
        </w:rPr>
        <w:t xml:space="preserve">El Comité de Transparencia, según lo dispuesto en los artículos 128 y 103 de la Ley Estatal y de la Ley General, respectivamente, y </w:t>
      </w:r>
      <w:r w:rsidRPr="00FC5408">
        <w:rPr>
          <w:rFonts w:ascii="Palatino Linotype" w:hAnsi="Palatino Linotype"/>
          <w:color w:val="000000"/>
          <w:lang w:val="es-ES_tradnl"/>
        </w:rPr>
        <w:t xml:space="preserve">la fracción III del numeral Segundo de los </w:t>
      </w:r>
      <w:r w:rsidRPr="00FC5408">
        <w:rPr>
          <w:rFonts w:ascii="Palatino Linotype" w:hAnsi="Palatino Linotype" w:cs="Arial"/>
          <w:color w:val="000000"/>
          <w:lang w:val="es-ES_tradnl"/>
        </w:rPr>
        <w:t>Lineamientos Generales en Materia de Clasificación y Desclasificación de la Información, así como para la Elaboración de Versiones Públicas (en adelante los Lineamientos Generales),</w:t>
      </w:r>
      <w:r w:rsidRPr="00FC5408">
        <w:rPr>
          <w:rFonts w:ascii="Palatino Linotype" w:hAnsi="Palatino Linotype"/>
          <w:color w:val="000000"/>
          <w:lang w:val="es-ES_tradnl"/>
        </w:rPr>
        <w:t xml:space="preserve"> </w:t>
      </w:r>
      <w:r w:rsidRPr="00FC5408">
        <w:rPr>
          <w:rFonts w:ascii="Palatino Linotype" w:hAnsi="Palatino Linotype" w:cs="Arial"/>
          <w:color w:val="000000"/>
          <w:lang w:val="es-ES_tradnl"/>
        </w:rPr>
        <w:t>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14:paraId="6ED792F9"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s="Arial"/>
          <w:color w:val="000000"/>
          <w:lang w:val="es-ES_tradnl"/>
        </w:rPr>
      </w:pPr>
    </w:p>
    <w:p w14:paraId="5F2E4F1E"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lastRenderedPageBreak/>
        <w:t>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0E9E2B10" w14:textId="77777777" w:rsidR="00191180" w:rsidRPr="00FC5408" w:rsidRDefault="00191180" w:rsidP="006F7BEF">
      <w:pPr>
        <w:tabs>
          <w:tab w:val="left" w:pos="426"/>
        </w:tabs>
        <w:suppressAutoHyphens w:val="0"/>
        <w:spacing w:line="360" w:lineRule="auto"/>
        <w:jc w:val="both"/>
        <w:rPr>
          <w:rFonts w:ascii="Palatino Linotype" w:hAnsi="Palatino Linotype"/>
          <w:color w:val="000000"/>
          <w:lang w:val="es-ES_tradnl"/>
        </w:rPr>
      </w:pPr>
    </w:p>
    <w:p w14:paraId="64E6AD46"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 </w:t>
      </w:r>
    </w:p>
    <w:p w14:paraId="00923392" w14:textId="77777777" w:rsidR="00191180" w:rsidRPr="00FC5408" w:rsidRDefault="00191180" w:rsidP="006F7BEF">
      <w:pPr>
        <w:suppressAutoHyphens w:val="0"/>
        <w:spacing w:line="360" w:lineRule="auto"/>
        <w:jc w:val="both"/>
        <w:rPr>
          <w:rFonts w:ascii="Palatino Linotype" w:hAnsi="Palatino Linotype"/>
          <w:color w:val="000000"/>
          <w:lang w:val="es-ES_tradnl"/>
        </w:rPr>
      </w:pPr>
    </w:p>
    <w:p w14:paraId="03D1130D" w14:textId="77777777" w:rsidR="00191180" w:rsidRPr="00FC5408" w:rsidRDefault="00191180" w:rsidP="006F7BEF">
      <w:pPr>
        <w:keepNext/>
        <w:keepLines/>
        <w:pBdr>
          <w:top w:val="nil"/>
          <w:left w:val="nil"/>
          <w:bottom w:val="nil"/>
          <w:right w:val="nil"/>
          <w:between w:val="nil"/>
          <w:bar w:val="nil"/>
        </w:pBdr>
        <w:suppressAutoHyphens w:val="0"/>
        <w:spacing w:before="40" w:line="360" w:lineRule="auto"/>
        <w:contextualSpacing/>
        <w:outlineLvl w:val="1"/>
        <w:rPr>
          <w:rFonts w:ascii="Palatino Linotype" w:hAnsi="Palatino Linotype"/>
          <w:b/>
          <w:color w:val="000000"/>
          <w:lang w:eastAsia="en-US"/>
        </w:rPr>
      </w:pPr>
      <w:bookmarkStart w:id="82" w:name="_Toc485631705"/>
      <w:bookmarkStart w:id="83" w:name="_Toc500756715"/>
      <w:bookmarkStart w:id="84" w:name="_Toc536691783"/>
      <w:bookmarkStart w:id="85" w:name="_Toc104470960"/>
      <w:bookmarkStart w:id="86" w:name="_Toc110976879"/>
      <w:r w:rsidRPr="00FC5408">
        <w:rPr>
          <w:rFonts w:ascii="Palatino Linotype" w:hAnsi="Palatino Linotype"/>
          <w:b/>
          <w:color w:val="000000"/>
          <w:lang w:eastAsia="en-US"/>
        </w:rPr>
        <w:t>b) Requisitos de fondo del acuerdo de clasificación.</w:t>
      </w:r>
      <w:bookmarkEnd w:id="82"/>
      <w:bookmarkEnd w:id="83"/>
      <w:bookmarkEnd w:id="84"/>
      <w:bookmarkEnd w:id="85"/>
      <w:bookmarkEnd w:id="86"/>
    </w:p>
    <w:p w14:paraId="24BAE95E" w14:textId="7DB3E7A8"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w:t>
      </w:r>
      <w:r w:rsidRPr="00FC5408">
        <w:rPr>
          <w:rFonts w:ascii="Palatino Linotype" w:hAnsi="Palatino Linotype" w:cs="Arial"/>
          <w:color w:val="000000"/>
          <w:lang w:val="es-ES_tradnl"/>
        </w:rPr>
        <w:lastRenderedPageBreak/>
        <w:t xml:space="preserve">Ley General respectivamente, y el lineamiento sexagésimo segundo </w:t>
      </w:r>
      <w:r w:rsidR="007A645B" w:rsidRPr="00FC5408">
        <w:rPr>
          <w:rFonts w:ascii="Palatino Linotype" w:hAnsi="Palatino Linotype" w:cs="Arial"/>
          <w:color w:val="000000"/>
          <w:lang w:val="es-ES_tradnl"/>
        </w:rPr>
        <w:t xml:space="preserve">de los Lineamientos Generales, </w:t>
      </w:r>
      <w:r w:rsidRPr="00FC5408">
        <w:rPr>
          <w:rFonts w:ascii="Palatino Linotype" w:hAnsi="Palatino Linotype" w:cs="Arial"/>
          <w:color w:val="000000"/>
          <w:lang w:val="es-ES_tradnl"/>
        </w:rPr>
        <w:t xml:space="preserve">al señalar que la carga de la prueba, para justificar las restricciones, corresponde a los Sujetos Obligados, por lo que deberán fundar y motivar debidamente la clasificación. </w:t>
      </w:r>
    </w:p>
    <w:p w14:paraId="31978C6E"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1DF31661" w14:textId="50A75A84"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De lo anterior, se desprende </w:t>
      </w:r>
      <w:r w:rsidR="007A645B" w:rsidRPr="00FC5408">
        <w:rPr>
          <w:rFonts w:ascii="Palatino Linotype" w:hAnsi="Palatino Linotype"/>
          <w:color w:val="000000"/>
          <w:lang w:val="es-ES_tradnl"/>
        </w:rPr>
        <w:t>que,</w:t>
      </w:r>
      <w:r w:rsidRPr="00FC5408">
        <w:rPr>
          <w:rFonts w:ascii="Palatino Linotype" w:hAnsi="Palatino Linotype"/>
          <w:color w:val="000000"/>
          <w:lang w:val="es-ES_tradnl"/>
        </w:rPr>
        <w:t xml:space="preserv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1AE467B" w14:textId="77777777" w:rsidR="00191180" w:rsidRPr="00FC5408"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65D29BD9" w14:textId="77777777" w:rsidR="00191180" w:rsidRPr="00FC5408"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FC5408">
        <w:rPr>
          <w:rFonts w:ascii="Palatino Linotype" w:hAnsi="Palatino Linotype" w:cs="Arial"/>
          <w:color w:val="000000"/>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w:t>
      </w:r>
      <w:r w:rsidRPr="00FC5408">
        <w:rPr>
          <w:rFonts w:ascii="Palatino Linotype" w:hAnsi="Palatino Linotype" w:cs="Arial"/>
          <w:i/>
          <w:iCs/>
          <w:color w:val="000000"/>
          <w:lang w:val="es-ES_tradnl" w:eastAsia="es-MX"/>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FC5408">
        <w:rPr>
          <w:rFonts w:ascii="Palatino Linotype" w:hAnsi="Palatino Linotype" w:cs="Arial"/>
          <w:color w:val="000000"/>
          <w:lang w:val="es-ES_tradnl" w:eastAsia="es-MX"/>
        </w:rPr>
        <w:t>...”.</w:t>
      </w:r>
      <w:r w:rsidRPr="00FC5408">
        <w:rPr>
          <w:rFonts w:ascii="Palatino Linotype" w:hAnsi="Palatino Linotype" w:cs="Arial"/>
          <w:color w:val="000000"/>
          <w:vertAlign w:val="superscript"/>
          <w:lang w:val="es-ES_tradnl" w:eastAsia="es-MX"/>
        </w:rPr>
        <w:footnoteReference w:id="11"/>
      </w:r>
    </w:p>
    <w:p w14:paraId="5BB1B264" w14:textId="77777777" w:rsidR="00191180" w:rsidRPr="00FC5408"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4B158902" w14:textId="77777777" w:rsidR="00191180" w:rsidRPr="00FC5408"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FC5408">
        <w:rPr>
          <w:rFonts w:ascii="Palatino Linotype" w:hAnsi="Palatino Linotype" w:cs="Arial"/>
          <w:color w:val="000000"/>
          <w:lang w:val="es-ES_tradnl" w:eastAsia="es-MX"/>
        </w:rPr>
        <w:lastRenderedPageBreak/>
        <w:t>Por su parte, el intérprete judicial del país ha establecido una jurisprudencia respecto a qué debe entenderse por fundamentación y motivación, en los siguientes términos</w:t>
      </w:r>
      <w:r w:rsidRPr="00FC5408">
        <w:rPr>
          <w:rFonts w:ascii="Palatino Linotype" w:hAnsi="Palatino Linotype" w:cs="Arial"/>
          <w:i/>
          <w:color w:val="000000"/>
          <w:vertAlign w:val="superscript"/>
          <w:lang w:val="es-ES_tradnl"/>
        </w:rPr>
        <w:footnoteReference w:id="12"/>
      </w:r>
      <w:r w:rsidRPr="00FC5408">
        <w:rPr>
          <w:rFonts w:ascii="Palatino Linotype" w:hAnsi="Palatino Linotype" w:cs="Arial"/>
          <w:color w:val="000000"/>
          <w:lang w:val="es-ES_tradnl" w:eastAsia="es-MX"/>
        </w:rPr>
        <w:t>:</w:t>
      </w:r>
    </w:p>
    <w:p w14:paraId="74DFBCBB" w14:textId="77777777" w:rsidR="00191180" w:rsidRPr="00233D78" w:rsidRDefault="00191180" w:rsidP="006F7BEF">
      <w:pPr>
        <w:suppressAutoHyphens w:val="0"/>
        <w:spacing w:line="360" w:lineRule="auto"/>
        <w:ind w:left="567" w:right="618"/>
        <w:contextualSpacing/>
        <w:jc w:val="both"/>
        <w:rPr>
          <w:rFonts w:ascii="Palatino Linotype" w:hAnsi="Palatino Linotype" w:cs="Arial"/>
          <w:i/>
          <w:color w:val="000000"/>
          <w:sz w:val="22"/>
          <w:lang w:val="es-ES_tradnl"/>
        </w:rPr>
      </w:pPr>
      <w:r w:rsidRPr="00233D78">
        <w:rPr>
          <w:rFonts w:ascii="Palatino Linotype" w:hAnsi="Palatino Linotype" w:cs="Arial"/>
          <w:b/>
          <w:i/>
          <w:color w:val="000000"/>
          <w:sz w:val="22"/>
          <w:lang w:val="es-ES_tradnl"/>
        </w:rPr>
        <w:t>FUNDAMENTACIÓN Y MOTIVACIÓN.</w:t>
      </w:r>
      <w:r w:rsidRPr="00233D78">
        <w:rPr>
          <w:rFonts w:ascii="Palatino Linotype" w:hAnsi="Palatino Linotype" w:cs="Arial"/>
          <w:i/>
          <w:color w:val="000000"/>
          <w:sz w:val="22"/>
          <w:lang w:val="es-ES_tradnl"/>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6584C5E" w14:textId="77777777" w:rsidR="00191180" w:rsidRPr="00FC5408" w:rsidRDefault="00191180" w:rsidP="006F7BEF">
      <w:pPr>
        <w:suppressAutoHyphens w:val="0"/>
        <w:spacing w:line="360" w:lineRule="auto"/>
        <w:ind w:left="567"/>
        <w:contextualSpacing/>
        <w:jc w:val="both"/>
        <w:rPr>
          <w:rFonts w:ascii="Palatino Linotype" w:hAnsi="Palatino Linotype" w:cs="Arial"/>
          <w:color w:val="000000"/>
          <w:lang w:val="es-ES"/>
        </w:rPr>
      </w:pPr>
    </w:p>
    <w:p w14:paraId="4476847F" w14:textId="77777777" w:rsidR="00191180" w:rsidRPr="00FC5408"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FC5408">
        <w:rPr>
          <w:rFonts w:ascii="Palatino Linotype" w:hAnsi="Palatino Linotype" w:cs="Arial"/>
          <w:color w:val="000000"/>
          <w:lang w:val="es-ES_tradnl"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1C5C785" w14:textId="77777777" w:rsidR="00191180" w:rsidRPr="00FC5408"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6B83E273" w14:textId="77777777" w:rsidR="00191180" w:rsidRPr="00FC5408"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FC5408">
        <w:rPr>
          <w:rFonts w:ascii="Palatino Linotype" w:hAnsi="Palatino Linotype" w:cs="Arial"/>
          <w:color w:val="000000"/>
          <w:lang w:val="es-ES_tradnl"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D934B44" w14:textId="77777777" w:rsidR="00191180" w:rsidRPr="00FC5408" w:rsidRDefault="00191180" w:rsidP="006F7BEF">
      <w:pPr>
        <w:shd w:val="clear" w:color="auto" w:fill="FFFFFF"/>
        <w:tabs>
          <w:tab w:val="left" w:pos="426"/>
        </w:tabs>
        <w:suppressAutoHyphens w:val="0"/>
        <w:spacing w:line="360" w:lineRule="auto"/>
        <w:contextualSpacing/>
        <w:jc w:val="both"/>
        <w:rPr>
          <w:rFonts w:ascii="Palatino Linotype" w:hAnsi="Palatino Linotype" w:cs="Arial"/>
          <w:color w:val="000000"/>
          <w:lang w:val="es-ES_tradnl" w:eastAsia="es-MX"/>
        </w:rPr>
      </w:pPr>
    </w:p>
    <w:p w14:paraId="56BB4259" w14:textId="77777777" w:rsidR="00191180" w:rsidRPr="00FC5408" w:rsidRDefault="00191180" w:rsidP="006F7BEF">
      <w:pPr>
        <w:numPr>
          <w:ilvl w:val="0"/>
          <w:numId w:val="9"/>
        </w:numPr>
        <w:shd w:val="clear" w:color="auto" w:fill="FFFFFF"/>
        <w:tabs>
          <w:tab w:val="left" w:pos="426"/>
        </w:tabs>
        <w:suppressAutoHyphens w:val="0"/>
        <w:spacing w:after="160" w:line="360" w:lineRule="auto"/>
        <w:ind w:left="0" w:firstLine="0"/>
        <w:contextualSpacing/>
        <w:jc w:val="both"/>
        <w:rPr>
          <w:rFonts w:ascii="Palatino Linotype" w:hAnsi="Palatino Linotype" w:cs="Arial"/>
          <w:color w:val="000000"/>
          <w:lang w:val="es-ES_tradnl" w:eastAsia="es-MX"/>
        </w:rPr>
      </w:pPr>
      <w:r w:rsidRPr="00FC5408">
        <w:rPr>
          <w:rFonts w:ascii="Palatino Linotype" w:hAnsi="Palatino Linotype" w:cs="Arial"/>
          <w:color w:val="000000"/>
          <w:lang w:val="es-ES_tradnl" w:eastAsia="es-MX"/>
        </w:rPr>
        <w:lastRenderedPageBreak/>
        <w:t>En ese mismo sentido, el lineamiento trigésimo tercero fracción V de los Lineamientos Generales, precisa que para motivar la clasificación se deben acreditar las circunstancias de tiempo, modo y lugar.</w:t>
      </w:r>
    </w:p>
    <w:p w14:paraId="68ED3795" w14:textId="77777777" w:rsidR="00191180" w:rsidRPr="00FC5408" w:rsidRDefault="00191180" w:rsidP="006F7BEF">
      <w:pPr>
        <w:shd w:val="clear" w:color="auto" w:fill="FFFFFF"/>
        <w:tabs>
          <w:tab w:val="left" w:pos="426"/>
        </w:tabs>
        <w:suppressAutoHyphens w:val="0"/>
        <w:spacing w:after="200" w:line="360" w:lineRule="auto"/>
        <w:contextualSpacing/>
        <w:jc w:val="both"/>
        <w:rPr>
          <w:rFonts w:ascii="Palatino Linotype" w:hAnsi="Palatino Linotype" w:cs="Arial"/>
          <w:color w:val="000000"/>
          <w:lang w:val="es-ES_tradnl" w:eastAsia="es-MX"/>
        </w:rPr>
      </w:pPr>
    </w:p>
    <w:p w14:paraId="6F7A3481" w14:textId="77777777" w:rsidR="00191180" w:rsidRPr="00FC5408" w:rsidRDefault="00191180" w:rsidP="006F7BEF">
      <w:pPr>
        <w:numPr>
          <w:ilvl w:val="0"/>
          <w:numId w:val="9"/>
        </w:numPr>
        <w:shd w:val="clear" w:color="auto" w:fill="FFFFFF"/>
        <w:tabs>
          <w:tab w:val="left" w:pos="426"/>
        </w:tabs>
        <w:suppressAutoHyphens w:val="0"/>
        <w:spacing w:after="200" w:line="360" w:lineRule="auto"/>
        <w:ind w:left="0" w:firstLine="0"/>
        <w:contextualSpacing/>
        <w:jc w:val="both"/>
        <w:rPr>
          <w:rFonts w:ascii="Palatino Linotype" w:hAnsi="Palatino Linotype" w:cs="Arial"/>
          <w:color w:val="000000"/>
          <w:lang w:val="es-ES_tradnl" w:eastAsia="es-MX"/>
        </w:rPr>
      </w:pPr>
      <w:r w:rsidRPr="00FC5408">
        <w:rPr>
          <w:rFonts w:ascii="Palatino Linotype" w:hAnsi="Palatino Linotype" w:cs="Arial"/>
          <w:color w:val="000000"/>
          <w:lang w:val="es-ES_tradnl" w:eastAsia="es-MX"/>
        </w:rPr>
        <w:t>Ahora bien, para cada caso además de fundar y motivar, se debe identificar con claridad que datos contenidos en las documentales que son susceptibles de suprimirse, por ejemplo, si una documental de naturaleza pública como lo es la nómina general, si bien el dato de sus remuneraciones es eminentemente público, no así todos los datos contenidos en dicho documento que son</w:t>
      </w:r>
      <w:r w:rsidRPr="00FC5408">
        <w:rPr>
          <w:rFonts w:ascii="Palatino Linotype" w:hAnsi="Palatino Linotype"/>
          <w:color w:val="000000"/>
          <w:lang w:val="es-ES_tradnl"/>
        </w:rPr>
        <w:t xml:space="preserve"> </w:t>
      </w:r>
      <w:r w:rsidRPr="00FC5408">
        <w:rPr>
          <w:rFonts w:ascii="Palatino Linotype" w:hAnsi="Palatino Linotype" w:cs="Arial"/>
          <w:color w:val="000000"/>
          <w:lang w:val="es-ES_tradnl" w:eastAsia="es-MX"/>
        </w:rPr>
        <w:t>datos personales</w:t>
      </w:r>
      <w:r w:rsidRPr="00FC5408">
        <w:rPr>
          <w:rFonts w:ascii="Palatino Linotype" w:hAnsi="Palatino Linotype" w:cs="Arial"/>
          <w:color w:val="000000"/>
          <w:vertAlign w:val="superscript"/>
          <w:lang w:val="es-ES_tradnl" w:eastAsia="es-MX"/>
        </w:rPr>
        <w:footnoteReference w:id="13"/>
      </w:r>
      <w:r w:rsidRPr="00FC5408">
        <w:rPr>
          <w:rFonts w:ascii="Palatino Linotype" w:hAnsi="Palatino Linotype" w:cs="Arial"/>
          <w:color w:val="000000"/>
          <w:lang w:val="es-ES_tradnl" w:eastAsia="es-MX"/>
        </w:rPr>
        <w:t xml:space="preserve"> del servidor público que no tienen ninguna injerencia en el tema de la transparencia y la rendición de cuentas,  por ejemplo, </w:t>
      </w:r>
      <w:r w:rsidRPr="00FC5408">
        <w:rPr>
          <w:rFonts w:ascii="Palatino Linotype" w:eastAsia="Calibri" w:hAnsi="Palatino Linotype" w:cs="Arial"/>
          <w:color w:val="000000"/>
          <w:lang w:val="es-ES" w:eastAsia="es-MX"/>
        </w:rPr>
        <w:t xml:space="preserve">Clave Única de Registro de Población (CURP), Registro Federal de Contribuyentes (R.F.C.), clave de ISSEMYM, número de cuenta, deducciones (concepto y monto) de sindicato, mutualidad, ayuda por defunción, fondo de resistencia sindical, caja de ahorro, seguro de vida,  ausentismo, Cadenas Originales del Sellos Digitales y los Códigos Bidimensionales, también denominados Códigos QR, estos son datos  susceptibles de clasificarse como confidenciales mediante una versión pública que deje a la vista los datos que ofrezcan la información requerida.  </w:t>
      </w:r>
    </w:p>
    <w:p w14:paraId="3E3D2FDA" w14:textId="77777777" w:rsidR="00191180" w:rsidRPr="00FC5408" w:rsidRDefault="00191180" w:rsidP="006F7BEF">
      <w:pPr>
        <w:shd w:val="clear" w:color="auto" w:fill="FFFFFF"/>
        <w:tabs>
          <w:tab w:val="left" w:pos="426"/>
        </w:tabs>
        <w:suppressAutoHyphens w:val="0"/>
        <w:spacing w:after="200" w:line="360" w:lineRule="auto"/>
        <w:contextualSpacing/>
        <w:jc w:val="both"/>
        <w:rPr>
          <w:rFonts w:ascii="Palatino Linotype" w:eastAsia="Calibri" w:hAnsi="Palatino Linotype" w:cs="Arial"/>
          <w:color w:val="000000"/>
          <w:lang w:val="es-ES" w:eastAsia="es-MX"/>
        </w:rPr>
      </w:pPr>
    </w:p>
    <w:p w14:paraId="4C6182C1" w14:textId="77777777" w:rsidR="00191180" w:rsidRPr="00FC5408" w:rsidRDefault="00191180" w:rsidP="006F7BEF">
      <w:pPr>
        <w:numPr>
          <w:ilvl w:val="0"/>
          <w:numId w:val="9"/>
        </w:numPr>
        <w:shd w:val="clear" w:color="auto" w:fill="FFFFFF"/>
        <w:tabs>
          <w:tab w:val="left" w:pos="426"/>
        </w:tabs>
        <w:suppressAutoHyphens w:val="0"/>
        <w:spacing w:after="200" w:line="360" w:lineRule="auto"/>
        <w:ind w:left="0" w:firstLine="0"/>
        <w:contextualSpacing/>
        <w:jc w:val="both"/>
        <w:rPr>
          <w:rFonts w:ascii="Palatino Linotype" w:eastAsia="Calibri" w:hAnsi="Palatino Linotype" w:cs="Arial"/>
          <w:color w:val="000000"/>
          <w:lang w:val="es-ES" w:eastAsia="es-MX"/>
        </w:rPr>
      </w:pPr>
      <w:r w:rsidRPr="00FC5408">
        <w:rPr>
          <w:rFonts w:ascii="Palatino Linotype" w:eastAsia="Calibri" w:hAnsi="Palatino Linotype" w:cs="Arial"/>
          <w:color w:val="000000"/>
          <w:lang w:val="es-ES" w:eastAsia="es-MX"/>
        </w:rPr>
        <w:t xml:space="preserve">Otro tipo de información confidencial constituyen los secretos bancario, fiduciario, industrial, comercial, fiscal, bursátil y postal, cuya titularidad corresponda a particulares, sujetos de derecho internacional o a Sujetos Obligados cuando no </w:t>
      </w:r>
      <w:r w:rsidRPr="00FC5408">
        <w:rPr>
          <w:rFonts w:ascii="Palatino Linotype" w:eastAsia="Calibri" w:hAnsi="Palatino Linotype" w:cs="Arial"/>
          <w:color w:val="000000"/>
          <w:lang w:val="es-ES" w:eastAsia="es-MX"/>
        </w:rPr>
        <w:lastRenderedPageBreak/>
        <w:t>involucren el ejercicio de recursos públicos, así lo define la fracción XXI del artículo 3 de la Ley Estatal.</w:t>
      </w:r>
    </w:p>
    <w:p w14:paraId="53E207AB" w14:textId="77777777" w:rsidR="00191180" w:rsidRPr="00FC5408" w:rsidRDefault="00191180" w:rsidP="006F7BEF">
      <w:pPr>
        <w:suppressAutoHyphens w:val="0"/>
        <w:spacing w:line="360" w:lineRule="auto"/>
        <w:contextualSpacing/>
        <w:jc w:val="both"/>
        <w:rPr>
          <w:rFonts w:ascii="Palatino Linotype" w:hAnsi="Palatino Linotype" w:cs="Arial"/>
          <w:color w:val="000000"/>
          <w:lang w:val="es-ES_tradnl"/>
        </w:rPr>
      </w:pPr>
    </w:p>
    <w:p w14:paraId="214D17FE" w14:textId="77777777" w:rsidR="00191180" w:rsidRPr="00FC5408" w:rsidRDefault="00191180" w:rsidP="006F7BEF">
      <w:pPr>
        <w:keepNext/>
        <w:keepLines/>
        <w:pBdr>
          <w:top w:val="nil"/>
          <w:left w:val="nil"/>
          <w:bottom w:val="nil"/>
          <w:right w:val="nil"/>
          <w:between w:val="nil"/>
          <w:bar w:val="nil"/>
        </w:pBdr>
        <w:suppressAutoHyphens w:val="0"/>
        <w:spacing w:before="40" w:line="360" w:lineRule="auto"/>
        <w:jc w:val="both"/>
        <w:outlineLvl w:val="1"/>
        <w:rPr>
          <w:rFonts w:ascii="Palatino Linotype" w:hAnsi="Palatino Linotype"/>
          <w:b/>
          <w:color w:val="000000"/>
          <w:lang w:eastAsia="en-US"/>
        </w:rPr>
      </w:pPr>
      <w:bookmarkStart w:id="87" w:name="_Toc485631706"/>
      <w:bookmarkStart w:id="88" w:name="_Toc500756716"/>
      <w:bookmarkStart w:id="89" w:name="_Toc536691784"/>
      <w:bookmarkStart w:id="90" w:name="_Toc104470961"/>
      <w:bookmarkStart w:id="91" w:name="_Toc110976880"/>
      <w:r w:rsidRPr="00FC5408">
        <w:rPr>
          <w:rFonts w:ascii="Palatino Linotype" w:hAnsi="Palatino Linotype"/>
          <w:b/>
          <w:color w:val="000000"/>
          <w:lang w:eastAsia="en-US"/>
        </w:rPr>
        <w:t>III. Condiciones especiales de la clasificación de la información como reservada</w:t>
      </w:r>
      <w:bookmarkEnd w:id="87"/>
      <w:bookmarkEnd w:id="88"/>
      <w:bookmarkEnd w:id="89"/>
      <w:bookmarkEnd w:id="90"/>
      <w:bookmarkEnd w:id="91"/>
      <w:r w:rsidRPr="00FC5408">
        <w:rPr>
          <w:rFonts w:ascii="Palatino Linotype" w:hAnsi="Palatino Linotype"/>
          <w:b/>
          <w:color w:val="000000"/>
          <w:lang w:eastAsia="en-US"/>
        </w:rPr>
        <w:t xml:space="preserve"> </w:t>
      </w:r>
    </w:p>
    <w:p w14:paraId="435E2040" w14:textId="77777777" w:rsidR="00191180" w:rsidRPr="00FC5408" w:rsidRDefault="00191180" w:rsidP="006F7BEF">
      <w:pPr>
        <w:pStyle w:val="Ttulo1"/>
        <w:spacing w:line="360" w:lineRule="auto"/>
        <w:rPr>
          <w:rFonts w:ascii="Palatino Linotype" w:hAnsi="Palatino Linotype"/>
          <w:b/>
          <w:color w:val="000000" w:themeColor="text1"/>
          <w:sz w:val="24"/>
          <w:szCs w:val="24"/>
        </w:rPr>
      </w:pPr>
      <w:bookmarkStart w:id="92" w:name="_Toc485631707"/>
      <w:bookmarkStart w:id="93" w:name="_Toc500756717"/>
      <w:bookmarkStart w:id="94" w:name="_Toc536691785"/>
      <w:bookmarkStart w:id="95" w:name="_Toc104470962"/>
      <w:bookmarkStart w:id="96" w:name="_Toc110976881"/>
      <w:r w:rsidRPr="00FC5408">
        <w:rPr>
          <w:rFonts w:ascii="Palatino Linotype" w:hAnsi="Palatino Linotype"/>
          <w:b/>
          <w:color w:val="000000" w:themeColor="text1"/>
          <w:sz w:val="24"/>
          <w:szCs w:val="24"/>
        </w:rPr>
        <w:t>a) La fundamentación específica.</w:t>
      </w:r>
      <w:bookmarkEnd w:id="92"/>
      <w:bookmarkEnd w:id="93"/>
      <w:bookmarkEnd w:id="94"/>
      <w:bookmarkEnd w:id="95"/>
      <w:bookmarkEnd w:id="96"/>
    </w:p>
    <w:p w14:paraId="536498E2" w14:textId="4C4C8C2C" w:rsidR="003B5B03"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Más aún, los artículos 128, segundo párrafo, y 103, segundo párrafo, de las Leyes Estatal y General, respectivamente, señalan </w:t>
      </w:r>
      <w:proofErr w:type="gramStart"/>
      <w:r w:rsidRPr="00FC5408">
        <w:rPr>
          <w:rFonts w:ascii="Palatino Linotype" w:hAnsi="Palatino Linotype" w:cs="Arial"/>
          <w:color w:val="000000"/>
          <w:lang w:val="es-ES_tradnl"/>
        </w:rPr>
        <w:t>que</w:t>
      </w:r>
      <w:proofErr w:type="gramEnd"/>
      <w:r w:rsidRPr="00FC5408">
        <w:rPr>
          <w:rFonts w:ascii="Palatino Linotype" w:hAnsi="Palatino Linotype" w:cs="Arial"/>
          <w:color w:val="000000"/>
          <w:lang w:val="es-ES_tradnl"/>
        </w:rPr>
        <w:t xml:space="preserve"> en el caso de la información reservada, se deben de señalar las razones, motivos o circunstancias especiales que llevan al </w:t>
      </w:r>
      <w:r w:rsidRPr="00FC5408">
        <w:rPr>
          <w:rFonts w:ascii="Palatino Linotype" w:hAnsi="Palatino Linotype" w:cs="Arial"/>
          <w:b/>
          <w:bCs/>
          <w:color w:val="000000"/>
          <w:lang w:val="es-ES_tradnl"/>
        </w:rPr>
        <w:t>SUJETO OBLIGADO</w:t>
      </w:r>
      <w:r w:rsidRPr="00FC5408">
        <w:rPr>
          <w:rFonts w:ascii="Palatino Linotype" w:hAnsi="Palatino Linotype" w:cs="Arial"/>
          <w:color w:val="000000"/>
          <w:lang w:val="es-ES_tradnl"/>
        </w:rPr>
        <w:t xml:space="preserve">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 no uno autorreferencial en el que primero se dice algo, después se dice lo mismo y al final exactamente lo mismo, cambiando sólo el orden de las palabras.</w:t>
      </w:r>
    </w:p>
    <w:p w14:paraId="3AC50B80" w14:textId="705E22B7" w:rsidR="00191180" w:rsidRPr="00FC5408" w:rsidRDefault="00350E91" w:rsidP="006F7BEF">
      <w:pPr>
        <w:pStyle w:val="Ttulo1"/>
        <w:spacing w:line="360" w:lineRule="auto"/>
        <w:rPr>
          <w:rFonts w:ascii="Palatino Linotype" w:hAnsi="Palatino Linotype"/>
          <w:b/>
          <w:color w:val="000000" w:themeColor="text1"/>
          <w:sz w:val="24"/>
          <w:szCs w:val="24"/>
        </w:rPr>
      </w:pPr>
      <w:bookmarkStart w:id="97" w:name="_Toc485631708"/>
      <w:bookmarkStart w:id="98" w:name="_Toc500756718"/>
      <w:bookmarkStart w:id="99" w:name="_Toc536691786"/>
      <w:bookmarkStart w:id="100" w:name="_Toc104470963"/>
      <w:bookmarkStart w:id="101" w:name="_Toc110976882"/>
      <w:r w:rsidRPr="00FC5408">
        <w:rPr>
          <w:rFonts w:ascii="Palatino Linotype" w:hAnsi="Palatino Linotype"/>
          <w:b/>
          <w:color w:val="000000" w:themeColor="text1"/>
          <w:sz w:val="24"/>
          <w:szCs w:val="24"/>
        </w:rPr>
        <w:t>b</w:t>
      </w:r>
      <w:r w:rsidR="00191180" w:rsidRPr="00FC5408">
        <w:rPr>
          <w:rFonts w:ascii="Palatino Linotype" w:hAnsi="Palatino Linotype"/>
          <w:b/>
          <w:color w:val="000000" w:themeColor="text1"/>
          <w:sz w:val="24"/>
          <w:szCs w:val="24"/>
        </w:rPr>
        <w:t>) La prueba de daño.</w:t>
      </w:r>
      <w:bookmarkEnd w:id="97"/>
      <w:bookmarkEnd w:id="98"/>
      <w:bookmarkEnd w:id="99"/>
      <w:bookmarkEnd w:id="100"/>
      <w:bookmarkEnd w:id="101"/>
    </w:p>
    <w:p w14:paraId="0B5F53A8"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w:t>
      </w:r>
      <w:r w:rsidRPr="00FC5408">
        <w:rPr>
          <w:rFonts w:ascii="Palatino Linotype" w:hAnsi="Palatino Linotype"/>
          <w:color w:val="000000"/>
          <w:lang w:val="es-ES_tradnl"/>
        </w:rPr>
        <w:lastRenderedPageBreak/>
        <w:t>esto es, no se puede hacer una prueba de daño de un expediente completo, sino de cada uno de los documentos que lo integran.</w:t>
      </w:r>
    </w:p>
    <w:p w14:paraId="63191B70" w14:textId="77777777" w:rsidR="00191180" w:rsidRPr="00FC5408" w:rsidRDefault="00191180" w:rsidP="006F7BEF">
      <w:pPr>
        <w:tabs>
          <w:tab w:val="left" w:pos="426"/>
        </w:tabs>
        <w:suppressAutoHyphens w:val="0"/>
        <w:spacing w:after="160" w:line="360" w:lineRule="auto"/>
        <w:contextualSpacing/>
        <w:jc w:val="both"/>
        <w:rPr>
          <w:rFonts w:ascii="Palatino Linotype" w:hAnsi="Palatino Linotype"/>
          <w:color w:val="000000"/>
          <w:lang w:val="es-ES_tradnl"/>
        </w:rPr>
      </w:pPr>
    </w:p>
    <w:p w14:paraId="553E757F"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Para aplicar la prueba de daño, se deberán de precisar las razones objetivas por las que la apertura genera una afectación, acreditando que:</w:t>
      </w:r>
    </w:p>
    <w:p w14:paraId="582E72DC" w14:textId="77777777" w:rsidR="00191180" w:rsidRPr="00233D78" w:rsidRDefault="00191180" w:rsidP="006F7BEF">
      <w:pPr>
        <w:numPr>
          <w:ilvl w:val="1"/>
          <w:numId w:val="9"/>
        </w:numPr>
        <w:tabs>
          <w:tab w:val="left" w:pos="426"/>
        </w:tabs>
        <w:suppressAutoHyphens w:val="0"/>
        <w:spacing w:after="160" w:line="360" w:lineRule="auto"/>
        <w:ind w:left="1134" w:hanging="436"/>
        <w:contextualSpacing/>
        <w:jc w:val="both"/>
        <w:rPr>
          <w:rFonts w:ascii="Palatino Linotype" w:hAnsi="Palatino Linotype"/>
          <w:iCs/>
          <w:color w:val="000000"/>
          <w:sz w:val="22"/>
          <w:lang w:val="es-ES_tradnl"/>
        </w:rPr>
      </w:pPr>
      <w:r w:rsidRPr="00233D78">
        <w:rPr>
          <w:rFonts w:ascii="Palatino Linotype" w:hAnsi="Palatino Linotype"/>
          <w:color w:val="000000"/>
          <w:sz w:val="22"/>
          <w:lang w:val="es-ES_tradnl"/>
        </w:rPr>
        <w:t xml:space="preserve">La </w:t>
      </w:r>
      <w:r w:rsidRPr="00233D78">
        <w:rPr>
          <w:rFonts w:ascii="Palatino Linotype" w:hAnsi="Palatino Linotype"/>
          <w:iCs/>
          <w:color w:val="000000"/>
          <w:sz w:val="22"/>
          <w:lang w:val="es-ES_tradnl"/>
        </w:rPr>
        <w:t xml:space="preserve">divulgación de la información representa un riesgo real, demostrable e identificable del perjuicio significativo al interés público o a la seguridad pública; </w:t>
      </w:r>
    </w:p>
    <w:p w14:paraId="08F94714" w14:textId="77777777" w:rsidR="00191180" w:rsidRPr="00233D78" w:rsidRDefault="00191180" w:rsidP="006F7BEF">
      <w:pPr>
        <w:numPr>
          <w:ilvl w:val="1"/>
          <w:numId w:val="9"/>
        </w:numPr>
        <w:tabs>
          <w:tab w:val="left" w:pos="426"/>
        </w:tabs>
        <w:suppressAutoHyphens w:val="0"/>
        <w:spacing w:after="160" w:line="360" w:lineRule="auto"/>
        <w:ind w:left="1134" w:hanging="436"/>
        <w:contextualSpacing/>
        <w:jc w:val="both"/>
        <w:rPr>
          <w:rFonts w:ascii="Palatino Linotype" w:hAnsi="Palatino Linotype"/>
          <w:iCs/>
          <w:color w:val="000000"/>
          <w:sz w:val="22"/>
          <w:lang w:val="es-ES_tradnl"/>
        </w:rPr>
      </w:pPr>
      <w:r w:rsidRPr="00233D78">
        <w:rPr>
          <w:rFonts w:ascii="Palatino Linotype" w:hAnsi="Palatino Linotype"/>
          <w:iCs/>
          <w:color w:val="000000"/>
          <w:sz w:val="22"/>
          <w:lang w:val="es-ES_tradnl"/>
        </w:rPr>
        <w:t xml:space="preserve">El riesgo de perjuicio que supondría la divulgación supera el interés público general de que se difunda; y </w:t>
      </w:r>
    </w:p>
    <w:p w14:paraId="5E2885FB" w14:textId="77777777" w:rsidR="00191180" w:rsidRPr="00233D78" w:rsidRDefault="00191180" w:rsidP="006F7BEF">
      <w:pPr>
        <w:numPr>
          <w:ilvl w:val="1"/>
          <w:numId w:val="9"/>
        </w:numPr>
        <w:tabs>
          <w:tab w:val="left" w:pos="426"/>
        </w:tabs>
        <w:suppressAutoHyphens w:val="0"/>
        <w:spacing w:after="160" w:line="360" w:lineRule="auto"/>
        <w:ind w:left="1134" w:hanging="436"/>
        <w:contextualSpacing/>
        <w:jc w:val="both"/>
        <w:rPr>
          <w:rFonts w:ascii="Palatino Linotype" w:hAnsi="Palatino Linotype"/>
          <w:iCs/>
          <w:color w:val="000000"/>
          <w:sz w:val="22"/>
          <w:lang w:val="es-ES_tradnl"/>
        </w:rPr>
      </w:pPr>
      <w:r w:rsidRPr="00233D78">
        <w:rPr>
          <w:rFonts w:ascii="Palatino Linotype" w:hAnsi="Palatino Linotype"/>
          <w:iCs/>
          <w:color w:val="000000"/>
          <w:sz w:val="22"/>
          <w:lang w:val="es-ES_tradnl"/>
        </w:rPr>
        <w:t>La limitación se adecua al principio de proporcionalidad y representa el medio menos restrictivo disponible para evitar el perjuicio.</w:t>
      </w:r>
    </w:p>
    <w:p w14:paraId="53A8E578" w14:textId="77777777" w:rsidR="00191180" w:rsidRPr="00FC5408" w:rsidRDefault="00191180" w:rsidP="006F7BEF">
      <w:pPr>
        <w:tabs>
          <w:tab w:val="left" w:pos="426"/>
        </w:tabs>
        <w:suppressAutoHyphens w:val="0"/>
        <w:spacing w:line="360" w:lineRule="auto"/>
        <w:ind w:left="1134"/>
        <w:contextualSpacing/>
        <w:jc w:val="both"/>
        <w:rPr>
          <w:rFonts w:ascii="Palatino Linotype" w:hAnsi="Palatino Linotype"/>
          <w:iCs/>
          <w:color w:val="000000"/>
          <w:lang w:val="es-ES_tradnl"/>
        </w:rPr>
      </w:pPr>
    </w:p>
    <w:p w14:paraId="4598969E" w14:textId="456E2816" w:rsidR="00191180" w:rsidRPr="00FC5408" w:rsidRDefault="00191180" w:rsidP="006F7BEF">
      <w:pPr>
        <w:numPr>
          <w:ilvl w:val="0"/>
          <w:numId w:val="9"/>
        </w:numPr>
        <w:shd w:val="clear" w:color="auto" w:fill="FFFFFF"/>
        <w:tabs>
          <w:tab w:val="left" w:pos="426"/>
        </w:tabs>
        <w:suppressAutoHyphens w:val="0"/>
        <w:spacing w:after="160" w:line="360" w:lineRule="auto"/>
        <w:ind w:left="0" w:firstLine="0"/>
        <w:jc w:val="both"/>
        <w:textAlignment w:val="baseline"/>
        <w:rPr>
          <w:rFonts w:ascii="Palatino Linotype" w:eastAsia="Calibri" w:hAnsi="Palatino Linotype"/>
          <w:color w:val="000000"/>
          <w:lang w:val="es-ES_tradnl" w:eastAsia="es-ES_tradnl"/>
        </w:rPr>
      </w:pPr>
      <w:r w:rsidRPr="00FC5408">
        <w:rPr>
          <w:rFonts w:ascii="Palatino Linotype" w:eastAsia="Calibri" w:hAnsi="Palatino Linotype"/>
          <w:color w:val="000000"/>
          <w:lang w:val="es-ES_tradnl" w:eastAsia="es-ES_tradnl"/>
        </w:rPr>
        <w:t xml:space="preserve">Sobre el primer supuesto consideremos </w:t>
      </w:r>
      <w:proofErr w:type="gramStart"/>
      <w:r w:rsidRPr="00FC5408">
        <w:rPr>
          <w:rFonts w:ascii="Palatino Linotype" w:eastAsia="Calibri" w:hAnsi="Palatino Linotype"/>
          <w:color w:val="000000"/>
          <w:lang w:val="es-ES_tradnl" w:eastAsia="es-ES_tradnl"/>
        </w:rPr>
        <w:t>que</w:t>
      </w:r>
      <w:proofErr w:type="gramEnd"/>
      <w:r w:rsidRPr="00FC5408">
        <w:rPr>
          <w:rFonts w:ascii="Palatino Linotype" w:eastAsia="Calibri" w:hAnsi="Palatino Linotype"/>
          <w:color w:val="000000"/>
          <w:lang w:val="es-ES_tradnl" w:eastAsia="es-ES_tradnl"/>
        </w:rPr>
        <w:t xml:space="preserve"> según el diccionario del español jurídico, por riesgo podemos entender “la contingencia o proximidad de un daño”,</w:t>
      </w:r>
      <w:r w:rsidRPr="00FC5408">
        <w:rPr>
          <w:rFonts w:ascii="Palatino Linotype" w:eastAsia="Calibri" w:hAnsi="Palatino Linotype"/>
          <w:color w:val="000000"/>
          <w:vertAlign w:val="superscript"/>
          <w:lang w:val="es-ES_tradnl" w:eastAsia="es-ES_tradnl"/>
        </w:rPr>
        <w:footnoteReference w:id="14"/>
      </w:r>
      <w:r w:rsidRPr="00FC5408">
        <w:rPr>
          <w:rFonts w:ascii="Palatino Linotype" w:eastAsia="Calibri" w:hAnsi="Palatino Linotype"/>
          <w:color w:val="000000"/>
          <w:lang w:val="es-ES_tradnl" w:eastAsia="es-ES_tradnl"/>
        </w:rPr>
        <w:t xml:space="preserve"> mientras que el daño es considerado como un “perjuicio o lesión”</w:t>
      </w:r>
      <w:r w:rsidRPr="00FC5408">
        <w:rPr>
          <w:rFonts w:ascii="Palatino Linotype" w:eastAsia="Calibri" w:hAnsi="Palatino Linotype"/>
          <w:color w:val="000000"/>
          <w:vertAlign w:val="superscript"/>
          <w:lang w:val="es-ES_tradnl" w:eastAsia="es-ES_tradnl"/>
        </w:rPr>
        <w:footnoteReference w:id="15"/>
      </w:r>
      <w:r w:rsidRPr="00FC5408">
        <w:rPr>
          <w:rFonts w:ascii="Palatino Linotype" w:eastAsia="Calibri" w:hAnsi="Palatino Linotype"/>
          <w:color w:val="000000"/>
          <w:lang w:val="es-ES_tradnl" w:eastAsia="es-ES_tradnl"/>
        </w:rPr>
        <w:t>, mientras que según el Diccionario de la Lengua Española, lo real es</w:t>
      </w:r>
      <w:r w:rsidRPr="00FC5408">
        <w:rPr>
          <w:rFonts w:ascii="Palatino Linotype" w:eastAsia="Arial Unicode MS" w:hAnsi="Palatino Linotype" w:cs="Arial Unicode MS"/>
          <w:color w:val="000000"/>
          <w:spacing w:val="4"/>
          <w:shd w:val="clear" w:color="auto" w:fill="FFFFFF"/>
          <w:lang w:val="es-ES_tradnl" w:eastAsia="es-ES_tradnl"/>
        </w:rPr>
        <w:t xml:space="preserve"> lo “</w:t>
      </w:r>
      <w:r w:rsidRPr="00FC5408">
        <w:rPr>
          <w:rFonts w:ascii="Palatino Linotype" w:hAnsi="Palatino Linotype"/>
          <w:color w:val="000000"/>
          <w:lang w:val="es-ES_tradnl" w:eastAsia="es-ES_tradnl"/>
        </w:rPr>
        <w:t>(que</w:t>
      </w:r>
      <w:r w:rsidRPr="00FC5408">
        <w:rPr>
          <w:rFonts w:ascii="Palatino Linotype" w:eastAsia="Arial Unicode MS" w:hAnsi="Palatino Linotype" w:cs="Arial Unicode MS"/>
          <w:color w:val="000000"/>
          <w:spacing w:val="4"/>
          <w:shd w:val="clear" w:color="auto" w:fill="FFFFFF"/>
          <w:lang w:val="es-ES_tradnl" w:eastAsia="es-ES_tradnl"/>
        </w:rPr>
        <w:t xml:space="preserve"> </w:t>
      </w:r>
      <w:r w:rsidRPr="00FC5408">
        <w:rPr>
          <w:rFonts w:ascii="Palatino Linotype" w:hAnsi="Palatino Linotype"/>
          <w:color w:val="000000"/>
          <w:lang w:val="es-ES_tradnl" w:eastAsia="es-ES_tradnl"/>
        </w:rPr>
        <w:t>tiene</w:t>
      </w:r>
      <w:r w:rsidRPr="00FC5408">
        <w:rPr>
          <w:rFonts w:ascii="Palatino Linotype" w:eastAsia="Arial Unicode MS" w:hAnsi="Palatino Linotype" w:cs="Arial Unicode MS"/>
          <w:color w:val="000000"/>
          <w:spacing w:val="4"/>
          <w:shd w:val="clear" w:color="auto" w:fill="FFFFFF"/>
          <w:lang w:val="es-ES_tradnl" w:eastAsia="es-ES_tradnl"/>
        </w:rPr>
        <w:t xml:space="preserve"> </w:t>
      </w:r>
      <w:r w:rsidRPr="00FC5408">
        <w:rPr>
          <w:rFonts w:ascii="Palatino Linotype" w:hAnsi="Palatino Linotype"/>
          <w:color w:val="000000"/>
          <w:lang w:val="es-ES_tradnl" w:eastAsia="es-ES_tradnl"/>
        </w:rPr>
        <w:t>existencia</w:t>
      </w:r>
      <w:r w:rsidRPr="00FC5408">
        <w:rPr>
          <w:rFonts w:ascii="Palatino Linotype" w:eastAsia="Arial Unicode MS" w:hAnsi="Palatino Linotype" w:cs="Arial Unicode MS"/>
          <w:color w:val="000000"/>
          <w:spacing w:val="4"/>
          <w:shd w:val="clear" w:color="auto" w:fill="FFFFFF"/>
          <w:lang w:val="es-ES_tradnl" w:eastAsia="es-ES_tradnl"/>
        </w:rPr>
        <w:t xml:space="preserve"> </w:t>
      </w:r>
      <w:r w:rsidRPr="00FC5408">
        <w:rPr>
          <w:rFonts w:ascii="Palatino Linotype" w:hAnsi="Palatino Linotype"/>
          <w:color w:val="000000"/>
          <w:lang w:val="es-ES_tradnl" w:eastAsia="es-ES_tradnl"/>
        </w:rPr>
        <w:t>objetiva”,</w:t>
      </w:r>
      <w:r w:rsidRPr="00FC5408">
        <w:rPr>
          <w:rFonts w:ascii="Palatino Linotype" w:hAnsi="Palatino Linotype"/>
          <w:color w:val="000000"/>
          <w:vertAlign w:val="superscript"/>
          <w:lang w:val="es-ES_tradnl" w:eastAsia="es-ES_tradnl"/>
        </w:rPr>
        <w:footnoteReference w:id="16"/>
      </w:r>
      <w:r w:rsidRPr="00FC5408">
        <w:rPr>
          <w:rFonts w:ascii="Palatino Linotype" w:hAnsi="Palatino Linotype"/>
          <w:color w:val="000000"/>
          <w:lang w:val="es-ES_tradnl" w:eastAsia="es-ES_tradnl"/>
        </w:rPr>
        <w:t xml:space="preserve"> </w:t>
      </w:r>
      <w:r w:rsidRPr="00FC5408">
        <w:rPr>
          <w:rFonts w:ascii="Palatino Linotype" w:eastAsia="Arial Unicode MS" w:hAnsi="Palatino Linotype" w:cs="Arial Unicode MS"/>
          <w:color w:val="000000"/>
          <w:spacing w:val="4"/>
          <w:shd w:val="clear" w:color="auto" w:fill="FFFFFF"/>
          <w:lang w:val="es-ES_tradnl" w:eastAsia="es-ES_tradnl"/>
        </w:rPr>
        <w:t>mientras que lo demostrables es, según la misma fuente, aquello que se puede demostrar,</w:t>
      </w:r>
      <w:r w:rsidRPr="00FC5408">
        <w:rPr>
          <w:rFonts w:ascii="Palatino Linotype" w:eastAsia="Arial Unicode MS" w:hAnsi="Palatino Linotype" w:cs="Arial Unicode MS"/>
          <w:color w:val="000000"/>
          <w:spacing w:val="4"/>
          <w:shd w:val="clear" w:color="auto" w:fill="FFFFFF"/>
          <w:vertAlign w:val="superscript"/>
          <w:lang w:val="es-ES_tradnl" w:eastAsia="es-ES_tradnl"/>
        </w:rPr>
        <w:footnoteReference w:id="17"/>
      </w:r>
      <w:r w:rsidRPr="00FC5408">
        <w:rPr>
          <w:rFonts w:ascii="Palatino Linotype" w:eastAsia="Arial Unicode MS" w:hAnsi="Palatino Linotype" w:cs="Arial Unicode MS"/>
          <w:color w:val="000000"/>
          <w:spacing w:val="4"/>
          <w:shd w:val="clear" w:color="auto" w:fill="FFFFFF"/>
          <w:lang w:val="es-ES_tradnl" w:eastAsia="es-ES_tradnl"/>
        </w:rPr>
        <w:t xml:space="preserve"> es decir, </w:t>
      </w:r>
      <w:r w:rsidRPr="00FC5408">
        <w:rPr>
          <w:rFonts w:ascii="Palatino Linotype" w:eastAsia="Calibri" w:hAnsi="Palatino Linotype"/>
          <w:color w:val="000000"/>
          <w:lang w:eastAsia="en-US"/>
        </w:rPr>
        <w:t xml:space="preserve">“(manifestar, declarar. Probar, sirviéndose de cualquier género de demostración, </w:t>
      </w:r>
      <w:hyperlink r:id="rId8" w:anchor="6nAyKjE" w:history="1">
        <w:r w:rsidRPr="00FC5408">
          <w:rPr>
            <w:rFonts w:ascii="Palatino Linotype" w:eastAsia="Calibri" w:hAnsi="Palatino Linotype"/>
            <w:color w:val="000000"/>
            <w:lang w:eastAsia="en-US"/>
          </w:rPr>
          <w:t>enseñar</w:t>
        </w:r>
      </w:hyperlink>
      <w:r w:rsidRPr="00FC5408">
        <w:rPr>
          <w:rFonts w:ascii="Palatino Linotype" w:eastAsia="Calibri" w:hAnsi="Palatino Linotype"/>
          <w:color w:val="000000"/>
          <w:lang w:eastAsia="en-US"/>
        </w:rPr>
        <w:t xml:space="preserve"> mostrar o </w:t>
      </w:r>
      <w:r w:rsidRPr="00FC5408">
        <w:rPr>
          <w:rFonts w:ascii="Palatino Linotype" w:eastAsia="Calibri" w:hAnsi="Palatino Linotype"/>
          <w:color w:val="000000"/>
          <w:lang w:eastAsia="en-US"/>
        </w:rPr>
        <w:lastRenderedPageBreak/>
        <w:t>exponer algo)”.</w:t>
      </w:r>
      <w:r w:rsidRPr="00FC5408">
        <w:rPr>
          <w:rFonts w:ascii="Palatino Linotype" w:eastAsia="Calibri" w:hAnsi="Palatino Linotype"/>
          <w:color w:val="000000"/>
          <w:vertAlign w:val="superscript"/>
          <w:lang w:eastAsia="en-US"/>
        </w:rPr>
        <w:footnoteReference w:id="18"/>
      </w:r>
      <w:r w:rsidRPr="00FC5408">
        <w:rPr>
          <w:rFonts w:ascii="Palatino Linotype" w:eastAsia="Calibri" w:hAnsi="Palatino Linotype"/>
          <w:color w:val="000000"/>
          <w:lang w:eastAsia="en-US"/>
        </w:rPr>
        <w:t xml:space="preserve"> Mientras que lo identificable es lo que puede ser identificado,</w:t>
      </w:r>
      <w:r w:rsidRPr="00FC5408">
        <w:rPr>
          <w:rFonts w:ascii="Palatino Linotype" w:eastAsia="Calibri" w:hAnsi="Palatino Linotype"/>
          <w:color w:val="000000"/>
          <w:vertAlign w:val="superscript"/>
          <w:lang w:eastAsia="en-US"/>
        </w:rPr>
        <w:footnoteReference w:id="19"/>
      </w:r>
      <w:r w:rsidRPr="00FC5408">
        <w:rPr>
          <w:rFonts w:ascii="Palatino Linotype" w:eastAsia="Calibri" w:hAnsi="Palatino Linotype"/>
          <w:color w:val="000000"/>
          <w:lang w:eastAsia="en-US"/>
        </w:rPr>
        <w:t xml:space="preserve"> esto es,</w:t>
      </w:r>
      <w:r w:rsidRPr="00FC5408">
        <w:rPr>
          <w:rFonts w:ascii="Palatino Linotype" w:eastAsia="Calibri" w:hAnsi="Palatino Linotype"/>
          <w:color w:val="000000"/>
          <w:lang w:val="es-ES_tradnl" w:eastAsia="es-ES_tradnl"/>
        </w:rPr>
        <w:t xml:space="preserve"> “(dar los datos necesarios para ser reconocido”.</w:t>
      </w:r>
      <w:r w:rsidRPr="00FC5408">
        <w:rPr>
          <w:rFonts w:ascii="Palatino Linotype" w:eastAsia="Calibri" w:hAnsi="Palatino Linotype"/>
          <w:color w:val="000000"/>
          <w:vertAlign w:val="superscript"/>
          <w:lang w:val="es-ES_tradnl" w:eastAsia="es-ES_tradnl"/>
        </w:rPr>
        <w:footnoteReference w:id="20"/>
      </w:r>
    </w:p>
    <w:p w14:paraId="09D6F368"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1644A59D"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629240CA"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Identificado ese riesgo, se debe demostrar que el mismo supera el interés público general porque se difunda dicha información. </w:t>
      </w:r>
    </w:p>
    <w:p w14:paraId="1FCC6D89"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1EA866BF" w14:textId="3C08724B"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Y, por último,  que la limitación es acorde con el principio de proporcionalidad, para ello, se sugiere emplear los tres juicios propuestos por la Corte Constitucional Colombiana</w:t>
      </w:r>
      <w:r w:rsidRPr="00FC5408">
        <w:rPr>
          <w:rFonts w:ascii="Palatino Linotype" w:hAnsi="Palatino Linotype"/>
          <w:color w:val="000000"/>
          <w:vertAlign w:val="superscript"/>
          <w:lang w:val="es-ES_tradnl"/>
        </w:rPr>
        <w:footnoteReference w:id="21"/>
      </w:r>
      <w:r w:rsidRPr="00FC5408">
        <w:rPr>
          <w:rFonts w:ascii="Palatino Linotype" w:hAnsi="Palatino Linotype"/>
          <w:color w:val="000000"/>
          <w:lang w:val="es-ES_tradnl"/>
        </w:rPr>
        <w:t xml:space="preserve">, siguiendo el principio de ponderación propuesto por el Tribunal </w:t>
      </w:r>
      <w:r w:rsidRPr="00FC5408">
        <w:rPr>
          <w:rFonts w:ascii="Palatino Linotype" w:hAnsi="Palatino Linotype"/>
          <w:color w:val="000000"/>
          <w:lang w:val="es-ES_tradnl"/>
        </w:rPr>
        <w:lastRenderedPageBreak/>
        <w:t>Constitucional Alemán,</w:t>
      </w:r>
      <w:r w:rsidRPr="00FC5408">
        <w:rPr>
          <w:rFonts w:ascii="Palatino Linotype" w:hAnsi="Palatino Linotype"/>
          <w:color w:val="000000"/>
          <w:vertAlign w:val="superscript"/>
          <w:lang w:val="es-ES_tradnl"/>
        </w:rPr>
        <w:footnoteReference w:id="22"/>
      </w:r>
      <w:r w:rsidRPr="00FC5408">
        <w:rPr>
          <w:rFonts w:ascii="Palatino Linotype" w:hAnsi="Palatino Linotype"/>
          <w:color w:val="000000"/>
          <w:lang w:val="es-ES_tradnl"/>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3D7A7672" w14:textId="0D54769B" w:rsidR="00191180" w:rsidRPr="00FC5408" w:rsidRDefault="00350E91" w:rsidP="006F7BEF">
      <w:pPr>
        <w:pStyle w:val="Ttulo1"/>
        <w:spacing w:line="360" w:lineRule="auto"/>
        <w:rPr>
          <w:rFonts w:ascii="Palatino Linotype" w:hAnsi="Palatino Linotype"/>
          <w:b/>
          <w:sz w:val="24"/>
          <w:szCs w:val="24"/>
          <w:lang w:eastAsia="en-US"/>
        </w:rPr>
      </w:pPr>
      <w:bookmarkStart w:id="102" w:name="_Toc485631709"/>
      <w:bookmarkStart w:id="103" w:name="_Toc500756719"/>
      <w:bookmarkStart w:id="104" w:name="_Toc536691787"/>
      <w:bookmarkStart w:id="105" w:name="_Toc104470964"/>
      <w:bookmarkStart w:id="106" w:name="_Toc110976883"/>
      <w:r w:rsidRPr="00FC5408">
        <w:rPr>
          <w:rFonts w:ascii="Palatino Linotype" w:hAnsi="Palatino Linotype"/>
          <w:b/>
          <w:color w:val="000000" w:themeColor="text1"/>
          <w:sz w:val="24"/>
          <w:szCs w:val="24"/>
          <w:lang w:eastAsia="en-US"/>
        </w:rPr>
        <w:t>c</w:t>
      </w:r>
      <w:r w:rsidR="00191180" w:rsidRPr="00FC5408">
        <w:rPr>
          <w:rFonts w:ascii="Palatino Linotype" w:hAnsi="Palatino Linotype"/>
          <w:b/>
          <w:color w:val="000000" w:themeColor="text1"/>
          <w:sz w:val="24"/>
          <w:szCs w:val="24"/>
          <w:lang w:eastAsia="en-US"/>
        </w:rPr>
        <w:t>) La clasificación de la información reservada debe ser de manera temporal.</w:t>
      </w:r>
      <w:bookmarkEnd w:id="102"/>
      <w:bookmarkEnd w:id="103"/>
      <w:bookmarkEnd w:id="104"/>
      <w:bookmarkEnd w:id="105"/>
      <w:bookmarkEnd w:id="106"/>
    </w:p>
    <w:p w14:paraId="1B412005"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14:paraId="2C761099" w14:textId="77777777" w:rsidR="00191180" w:rsidRPr="00FC5408" w:rsidRDefault="00191180" w:rsidP="006F7BEF">
      <w:pPr>
        <w:tabs>
          <w:tab w:val="left" w:pos="426"/>
        </w:tabs>
        <w:suppressAutoHyphens w:val="0"/>
        <w:spacing w:line="360" w:lineRule="auto"/>
        <w:contextualSpacing/>
        <w:jc w:val="both"/>
        <w:rPr>
          <w:rFonts w:ascii="Palatino Linotype" w:hAnsi="Palatino Linotype"/>
          <w:color w:val="000000"/>
          <w:lang w:val="es-ES_tradnl"/>
        </w:rPr>
      </w:pPr>
    </w:p>
    <w:p w14:paraId="48677A93"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La temporalidad de la clasificación de la información se encuentra señalada en el artículo 125 de la Ley Estatal y en el 101 de la Ley General, artículos que contemplan que dicha información podrá permanecer con tal carácter hasta por un periodo de cinco años, contados a partir de su clasificación, salvo que antes del cumplimiento del periodo de restricción, dejaran de existir los motivos de su reserva. </w:t>
      </w:r>
    </w:p>
    <w:p w14:paraId="44D62DB2" w14:textId="77777777" w:rsidR="00191180" w:rsidRPr="00FC5408" w:rsidRDefault="00191180" w:rsidP="006F7BEF">
      <w:pPr>
        <w:tabs>
          <w:tab w:val="left" w:pos="426"/>
        </w:tabs>
        <w:suppressAutoHyphens w:val="0"/>
        <w:spacing w:line="360" w:lineRule="auto"/>
        <w:contextualSpacing/>
        <w:rPr>
          <w:rFonts w:ascii="Palatino Linotype" w:hAnsi="Palatino Linotype"/>
          <w:color w:val="000000"/>
          <w:lang w:val="es-ES_tradnl"/>
        </w:rPr>
      </w:pPr>
    </w:p>
    <w:p w14:paraId="67A3ECC3"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 xml:space="preserve">Ahora bien, los titulares de las áreas tienen la alta responsabilidad de determinar que el plazo de reserva sea el estrictamente necesario para proteger la información mientras subsistan las causas que dieron origen a la clasificación, salvaguardando el </w:t>
      </w:r>
      <w:r w:rsidRPr="00FC5408">
        <w:rPr>
          <w:rFonts w:ascii="Palatino Linotype" w:hAnsi="Palatino Linotype"/>
          <w:color w:val="000000"/>
          <w:lang w:val="es-ES_tradnl"/>
        </w:rPr>
        <w:lastRenderedPageBreak/>
        <w:t>interés público protegido y tomarán en cuenta las razones que justifican el periodo de reserva establecido.</w:t>
      </w:r>
    </w:p>
    <w:p w14:paraId="16BEF2A6" w14:textId="77777777" w:rsidR="00191180" w:rsidRPr="00FC5408" w:rsidRDefault="00191180" w:rsidP="006F7BEF">
      <w:pPr>
        <w:tabs>
          <w:tab w:val="left" w:pos="426"/>
        </w:tabs>
        <w:suppressAutoHyphens w:val="0"/>
        <w:spacing w:line="360" w:lineRule="auto"/>
        <w:contextualSpacing/>
        <w:rPr>
          <w:rFonts w:ascii="Palatino Linotype" w:hAnsi="Palatino Linotype"/>
          <w:b/>
          <w:color w:val="000000"/>
          <w:lang w:val="es-ES_tradnl"/>
        </w:rPr>
      </w:pPr>
    </w:p>
    <w:p w14:paraId="366F7CCF"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De</w:t>
      </w:r>
      <w:r w:rsidRPr="00FC5408">
        <w:rPr>
          <w:rFonts w:ascii="Palatino Linotype" w:hAnsi="Palatino Linotype"/>
          <w:b/>
          <w:color w:val="000000"/>
          <w:lang w:val="es-ES_tradnl"/>
        </w:rPr>
        <w:t xml:space="preserve"> </w:t>
      </w:r>
      <w:r w:rsidRPr="00FC5408">
        <w:rPr>
          <w:rFonts w:ascii="Palatino Linotype" w:hAnsi="Palatino Linotype"/>
          <w:color w:val="000000"/>
          <w:lang w:val="es-ES_tradnl"/>
        </w:rPr>
        <w:t xml:space="preserve">manera excepcional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w:t>
      </w:r>
    </w:p>
    <w:p w14:paraId="6E13D502" w14:textId="77777777" w:rsidR="00191180" w:rsidRPr="00FC5408" w:rsidRDefault="00191180" w:rsidP="006F7BEF">
      <w:pPr>
        <w:tabs>
          <w:tab w:val="left" w:pos="426"/>
        </w:tabs>
        <w:suppressAutoHyphens w:val="0"/>
        <w:spacing w:line="360" w:lineRule="auto"/>
        <w:contextualSpacing/>
        <w:rPr>
          <w:rFonts w:ascii="Palatino Linotype" w:hAnsi="Palatino Linotype"/>
          <w:color w:val="000000"/>
          <w:lang w:val="es-ES_tradnl"/>
        </w:rPr>
      </w:pPr>
    </w:p>
    <w:p w14:paraId="09DF9655" w14:textId="77777777" w:rsidR="00191180" w:rsidRPr="00FC5408" w:rsidRDefault="00191180" w:rsidP="006F7BEF">
      <w:pPr>
        <w:numPr>
          <w:ilvl w:val="0"/>
          <w:numId w:val="9"/>
        </w:numPr>
        <w:tabs>
          <w:tab w:val="left" w:pos="426"/>
        </w:tabs>
        <w:suppressAutoHyphens w:val="0"/>
        <w:spacing w:after="160" w:line="360" w:lineRule="auto"/>
        <w:ind w:left="0" w:firstLine="0"/>
        <w:contextualSpacing/>
        <w:jc w:val="both"/>
        <w:rPr>
          <w:rFonts w:ascii="Palatino Linotype" w:hAnsi="Palatino Linotype"/>
          <w:color w:val="000000"/>
          <w:lang w:val="es-ES_tradnl"/>
        </w:rPr>
      </w:pPr>
      <w:r w:rsidRPr="00FC5408">
        <w:rPr>
          <w:rFonts w:ascii="Palatino Linotype" w:hAnsi="Palatino Linotype"/>
          <w:color w:val="000000"/>
          <w:lang w:val="es-ES_tradnl"/>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6196DDDE" w14:textId="77777777" w:rsidR="00191180" w:rsidRPr="00FC5408" w:rsidRDefault="00191180" w:rsidP="006F7BEF">
      <w:pPr>
        <w:suppressAutoHyphens w:val="0"/>
        <w:spacing w:line="360" w:lineRule="auto"/>
        <w:jc w:val="both"/>
        <w:rPr>
          <w:rFonts w:ascii="Palatino Linotype" w:hAnsi="Palatino Linotype" w:cs="Arial"/>
          <w:b/>
          <w:color w:val="000000"/>
          <w:lang w:val="es-ES_tradnl"/>
        </w:rPr>
      </w:pPr>
    </w:p>
    <w:p w14:paraId="753C79AD" w14:textId="77777777" w:rsidR="003A6731" w:rsidRPr="00FC5408" w:rsidRDefault="00191180" w:rsidP="006F7BEF">
      <w:pPr>
        <w:keepNext/>
        <w:keepLines/>
        <w:numPr>
          <w:ilvl w:val="0"/>
          <w:numId w:val="14"/>
        </w:numPr>
        <w:pBdr>
          <w:top w:val="nil"/>
          <w:left w:val="nil"/>
          <w:bottom w:val="nil"/>
          <w:right w:val="nil"/>
          <w:between w:val="nil"/>
          <w:bar w:val="nil"/>
        </w:pBdr>
        <w:suppressAutoHyphens w:val="0"/>
        <w:spacing w:before="40" w:after="160" w:line="360" w:lineRule="auto"/>
        <w:ind w:left="426" w:hanging="426"/>
        <w:contextualSpacing/>
        <w:jc w:val="both"/>
        <w:outlineLvl w:val="1"/>
        <w:rPr>
          <w:rFonts w:ascii="Palatino Linotype" w:hAnsi="Palatino Linotype"/>
          <w:b/>
          <w:color w:val="000000"/>
          <w:lang w:eastAsia="en-US"/>
        </w:rPr>
      </w:pPr>
      <w:bookmarkStart w:id="107" w:name="_Toc485631710"/>
      <w:bookmarkStart w:id="108" w:name="_Toc500756720"/>
      <w:bookmarkStart w:id="109" w:name="_Toc536691788"/>
      <w:bookmarkStart w:id="110" w:name="_Toc104470965"/>
      <w:bookmarkStart w:id="111" w:name="_Toc110976884"/>
      <w:r w:rsidRPr="00FC5408">
        <w:rPr>
          <w:rFonts w:ascii="Palatino Linotype" w:hAnsi="Palatino Linotype"/>
          <w:b/>
          <w:color w:val="000000"/>
          <w:lang w:eastAsia="en-US"/>
        </w:rPr>
        <w:t>Condiciones especiales de la clasificación de la información como confidencial.</w:t>
      </w:r>
      <w:bookmarkEnd w:id="107"/>
      <w:bookmarkEnd w:id="108"/>
      <w:bookmarkEnd w:id="109"/>
      <w:bookmarkEnd w:id="110"/>
      <w:bookmarkEnd w:id="111"/>
    </w:p>
    <w:p w14:paraId="3BB0E161" w14:textId="77777777" w:rsidR="00191180" w:rsidRPr="00FC5408" w:rsidRDefault="00191180" w:rsidP="006F7BEF">
      <w:pPr>
        <w:numPr>
          <w:ilvl w:val="0"/>
          <w:numId w:val="9"/>
        </w:numPr>
        <w:shd w:val="clear" w:color="auto" w:fill="FFFFFF"/>
        <w:tabs>
          <w:tab w:val="left" w:pos="426"/>
        </w:tabs>
        <w:suppressAutoHyphens w:val="0"/>
        <w:spacing w:beforeAutospacing="1" w:after="160" w:afterAutospacing="1" w:line="360" w:lineRule="auto"/>
        <w:ind w:left="0" w:firstLine="0"/>
        <w:jc w:val="both"/>
        <w:textAlignment w:val="baseline"/>
        <w:rPr>
          <w:rFonts w:ascii="Palatino Linotype" w:eastAsia="Calibri" w:hAnsi="Palatino Linotype"/>
          <w:color w:val="000000"/>
          <w:lang w:eastAsia="en-US"/>
        </w:rPr>
      </w:pPr>
      <w:r w:rsidRPr="00FC5408">
        <w:rPr>
          <w:rFonts w:ascii="Palatino Linotype" w:eastAsia="Calibri" w:hAnsi="Palatino Linotype"/>
          <w:color w:val="000000"/>
          <w:lang w:eastAsia="en-US"/>
        </w:rPr>
        <w:t xml:space="preserve">Los artículos 148 y 120 de la Ley Estatal y de la Ley General, respectivamente, establecen </w:t>
      </w:r>
      <w:proofErr w:type="gramStart"/>
      <w:r w:rsidRPr="00FC5408">
        <w:rPr>
          <w:rFonts w:ascii="Palatino Linotype" w:eastAsia="Calibri" w:hAnsi="Palatino Linotype"/>
          <w:color w:val="000000"/>
          <w:lang w:eastAsia="en-US"/>
        </w:rPr>
        <w:t>que</w:t>
      </w:r>
      <w:proofErr w:type="gramEnd"/>
      <w:r w:rsidRPr="00FC5408">
        <w:rPr>
          <w:rFonts w:ascii="Palatino Linotype" w:eastAsia="Calibri" w:hAnsi="Palatino Linotype"/>
          <w:color w:val="000000"/>
          <w:lang w:eastAsia="en-US"/>
        </w:rPr>
        <w:t xml:space="preserve"> aun tratándose de datos personales, se podrán proporcionar, incluso sin solicitar el consentimiento de su titular, cuando dichos datos correspondan a los siguientes supuestos: </w:t>
      </w:r>
    </w:p>
    <w:p w14:paraId="0BC30ED9" w14:textId="77777777" w:rsidR="00191180" w:rsidRPr="00233D78" w:rsidRDefault="00191180" w:rsidP="006F7BEF">
      <w:pPr>
        <w:suppressAutoHyphens w:val="0"/>
        <w:spacing w:line="360" w:lineRule="auto"/>
        <w:ind w:left="567" w:right="567"/>
        <w:jc w:val="both"/>
        <w:rPr>
          <w:rFonts w:ascii="Palatino Linotype" w:hAnsi="Palatino Linotype"/>
          <w:bCs/>
          <w:i/>
          <w:iCs/>
          <w:color w:val="000000"/>
          <w:sz w:val="22"/>
          <w:lang w:val="es-ES"/>
        </w:rPr>
      </w:pPr>
      <w:r w:rsidRPr="00233D78">
        <w:rPr>
          <w:rFonts w:ascii="Palatino Linotype" w:hAnsi="Palatino Linotype"/>
          <w:bCs/>
          <w:i/>
          <w:iCs/>
          <w:color w:val="000000"/>
          <w:sz w:val="22"/>
          <w:lang w:val="es-ES"/>
        </w:rPr>
        <w:t>“</w:t>
      </w:r>
      <w:r w:rsidRPr="00233D78">
        <w:rPr>
          <w:rFonts w:ascii="Palatino Linotype" w:hAnsi="Palatino Linotype"/>
          <w:b/>
          <w:i/>
          <w:iCs/>
          <w:color w:val="000000"/>
          <w:sz w:val="22"/>
          <w:lang w:val="es-ES"/>
        </w:rPr>
        <w:t>I.</w:t>
      </w:r>
      <w:r w:rsidRPr="00233D78">
        <w:rPr>
          <w:rFonts w:ascii="Palatino Linotype" w:hAnsi="Palatino Linotype"/>
          <w:i/>
          <w:iCs/>
          <w:color w:val="000000"/>
          <w:sz w:val="22"/>
          <w:lang w:val="es-ES"/>
        </w:rPr>
        <w:t xml:space="preserve"> La información se encuentre en registros públicos o fuentes de acceso público;</w:t>
      </w:r>
    </w:p>
    <w:p w14:paraId="551D4EAE" w14:textId="77777777" w:rsidR="00191180" w:rsidRPr="00233D78" w:rsidRDefault="00191180" w:rsidP="006F7BEF">
      <w:pPr>
        <w:suppressAutoHyphens w:val="0"/>
        <w:spacing w:line="360" w:lineRule="auto"/>
        <w:ind w:left="567" w:right="567"/>
        <w:jc w:val="both"/>
        <w:rPr>
          <w:rFonts w:ascii="Palatino Linotype" w:hAnsi="Palatino Linotype"/>
          <w:bCs/>
          <w:i/>
          <w:iCs/>
          <w:color w:val="000000"/>
          <w:sz w:val="22"/>
          <w:lang w:val="es-ES"/>
        </w:rPr>
      </w:pPr>
      <w:r w:rsidRPr="00233D78">
        <w:rPr>
          <w:rFonts w:ascii="Palatino Linotype" w:hAnsi="Palatino Linotype"/>
          <w:b/>
          <w:i/>
          <w:iCs/>
          <w:color w:val="000000"/>
          <w:sz w:val="22"/>
          <w:lang w:val="es-ES"/>
        </w:rPr>
        <w:t>II.</w:t>
      </w:r>
      <w:r w:rsidRPr="00233D78">
        <w:rPr>
          <w:rFonts w:ascii="Palatino Linotype" w:hAnsi="Palatino Linotype"/>
          <w:bCs/>
          <w:i/>
          <w:iCs/>
          <w:color w:val="000000"/>
          <w:sz w:val="22"/>
          <w:lang w:val="es-ES"/>
        </w:rPr>
        <w:t xml:space="preserve"> </w:t>
      </w:r>
      <w:r w:rsidRPr="00233D78">
        <w:rPr>
          <w:rFonts w:ascii="Palatino Linotype" w:hAnsi="Palatino Linotype"/>
          <w:i/>
          <w:iCs/>
          <w:color w:val="000000"/>
          <w:sz w:val="22"/>
          <w:lang w:val="es-ES"/>
        </w:rPr>
        <w:t>Por Ley tenga el carácter de pública;</w:t>
      </w:r>
    </w:p>
    <w:p w14:paraId="60605DB9" w14:textId="77777777" w:rsidR="00191180" w:rsidRPr="00233D78" w:rsidRDefault="00191180" w:rsidP="006F7BEF">
      <w:pPr>
        <w:suppressAutoHyphens w:val="0"/>
        <w:spacing w:line="360" w:lineRule="auto"/>
        <w:ind w:left="567" w:right="567"/>
        <w:jc w:val="both"/>
        <w:rPr>
          <w:rFonts w:ascii="Palatino Linotype" w:hAnsi="Palatino Linotype"/>
          <w:i/>
          <w:iCs/>
          <w:color w:val="000000"/>
          <w:sz w:val="22"/>
          <w:lang w:val="es-ES"/>
        </w:rPr>
      </w:pPr>
      <w:r w:rsidRPr="00233D78">
        <w:rPr>
          <w:rFonts w:ascii="Palatino Linotype" w:hAnsi="Palatino Linotype"/>
          <w:b/>
          <w:i/>
          <w:iCs/>
          <w:color w:val="000000"/>
          <w:sz w:val="22"/>
          <w:lang w:val="es-ES"/>
        </w:rPr>
        <w:lastRenderedPageBreak/>
        <w:t>III.</w:t>
      </w:r>
      <w:r w:rsidRPr="00233D78">
        <w:rPr>
          <w:rFonts w:ascii="Palatino Linotype" w:hAnsi="Palatino Linotype"/>
          <w:bCs/>
          <w:i/>
          <w:iCs/>
          <w:color w:val="000000"/>
          <w:sz w:val="22"/>
          <w:lang w:val="es-ES"/>
        </w:rPr>
        <w:t xml:space="preserve"> </w:t>
      </w:r>
      <w:r w:rsidRPr="00233D78">
        <w:rPr>
          <w:rFonts w:ascii="Palatino Linotype" w:hAnsi="Palatino Linotype"/>
          <w:i/>
          <w:iCs/>
          <w:color w:val="000000"/>
          <w:sz w:val="22"/>
          <w:lang w:val="es-ES"/>
        </w:rPr>
        <w:t xml:space="preserve">Exista una orden judicial; </w:t>
      </w:r>
    </w:p>
    <w:p w14:paraId="6BF86D5A" w14:textId="77777777" w:rsidR="00191180" w:rsidRPr="00233D78" w:rsidRDefault="00191180" w:rsidP="006F7BEF">
      <w:pPr>
        <w:suppressAutoHyphens w:val="0"/>
        <w:spacing w:line="360" w:lineRule="auto"/>
        <w:ind w:left="567" w:right="567"/>
        <w:jc w:val="both"/>
        <w:rPr>
          <w:rFonts w:ascii="Palatino Linotype" w:hAnsi="Palatino Linotype"/>
          <w:i/>
          <w:iCs/>
          <w:color w:val="000000"/>
          <w:sz w:val="22"/>
          <w:lang w:val="es-ES"/>
        </w:rPr>
      </w:pPr>
      <w:r w:rsidRPr="00233D78">
        <w:rPr>
          <w:rFonts w:ascii="Palatino Linotype" w:hAnsi="Palatino Linotype"/>
          <w:b/>
          <w:i/>
          <w:iCs/>
          <w:color w:val="000000"/>
          <w:sz w:val="22"/>
          <w:lang w:val="es-ES"/>
        </w:rPr>
        <w:t>IV.</w:t>
      </w:r>
      <w:r w:rsidRPr="00233D78">
        <w:rPr>
          <w:rFonts w:ascii="Palatino Linotype" w:hAnsi="Palatino Linotype"/>
          <w:bCs/>
          <w:i/>
          <w:iCs/>
          <w:color w:val="000000"/>
          <w:sz w:val="22"/>
          <w:lang w:val="es-ES"/>
        </w:rPr>
        <w:t xml:space="preserve"> </w:t>
      </w:r>
      <w:r w:rsidRPr="00233D78">
        <w:rPr>
          <w:rFonts w:ascii="Palatino Linotype" w:hAnsi="Palatino Linotype"/>
          <w:i/>
          <w:iCs/>
          <w:color w:val="000000"/>
          <w:sz w:val="22"/>
          <w:lang w:val="es-ES"/>
        </w:rPr>
        <w:t xml:space="preserve">Por razones de seguridad pública, o para proteger los derechos de terceros, se requiera su publicación; o </w:t>
      </w:r>
    </w:p>
    <w:p w14:paraId="34880C28" w14:textId="77777777" w:rsidR="00191180" w:rsidRPr="00233D78" w:rsidRDefault="00191180" w:rsidP="006F7BEF">
      <w:pPr>
        <w:suppressAutoHyphens w:val="0"/>
        <w:spacing w:line="360" w:lineRule="auto"/>
        <w:ind w:left="567" w:right="567"/>
        <w:jc w:val="both"/>
        <w:rPr>
          <w:rFonts w:ascii="Palatino Linotype" w:hAnsi="Palatino Linotype"/>
          <w:i/>
          <w:iCs/>
          <w:color w:val="000000"/>
          <w:sz w:val="22"/>
          <w:lang w:val="es-ES"/>
        </w:rPr>
      </w:pPr>
      <w:r w:rsidRPr="00233D78">
        <w:rPr>
          <w:rFonts w:ascii="Palatino Linotype" w:hAnsi="Palatino Linotype"/>
          <w:b/>
          <w:i/>
          <w:iCs/>
          <w:color w:val="000000"/>
          <w:sz w:val="22"/>
          <w:lang w:val="es-ES"/>
        </w:rPr>
        <w:t>V.</w:t>
      </w:r>
      <w:r w:rsidRPr="00233D78">
        <w:rPr>
          <w:rFonts w:ascii="Palatino Linotype" w:hAnsi="Palatino Linotype"/>
          <w:bCs/>
          <w:i/>
          <w:iCs/>
          <w:color w:val="000000"/>
          <w:sz w:val="22"/>
          <w:lang w:val="es-ES"/>
        </w:rPr>
        <w:t xml:space="preserve"> </w:t>
      </w:r>
      <w:r w:rsidRPr="00233D78">
        <w:rPr>
          <w:rFonts w:ascii="Palatino Linotype" w:hAnsi="Palatino Linotype"/>
          <w:i/>
          <w:iCs/>
          <w:color w:val="000000"/>
          <w:sz w:val="22"/>
          <w:lang w:val="es-ES"/>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62473B1D" w14:textId="77777777" w:rsidR="00191180" w:rsidRPr="00FC5408" w:rsidRDefault="00191180" w:rsidP="006F7BEF">
      <w:pPr>
        <w:numPr>
          <w:ilvl w:val="0"/>
          <w:numId w:val="9"/>
        </w:numPr>
        <w:shd w:val="clear" w:color="auto" w:fill="FFFFFF"/>
        <w:suppressAutoHyphens w:val="0"/>
        <w:spacing w:beforeAutospacing="1" w:after="160" w:afterAutospacing="1" w:line="360" w:lineRule="auto"/>
        <w:ind w:left="0" w:firstLine="0"/>
        <w:jc w:val="both"/>
        <w:textAlignment w:val="baseline"/>
        <w:rPr>
          <w:rFonts w:ascii="Palatino Linotype" w:eastAsia="Calibri" w:hAnsi="Palatino Linotype"/>
          <w:color w:val="000000"/>
          <w:lang w:val="es-ES_tradnl" w:eastAsia="es-ES_tradnl"/>
        </w:rPr>
      </w:pPr>
      <w:r w:rsidRPr="00FC5408">
        <w:rPr>
          <w:rFonts w:ascii="Palatino Linotype" w:eastAsia="Calibri" w:hAnsi="Palatino Linotype"/>
          <w:color w:val="000000"/>
          <w:lang w:eastAsia="en-US"/>
        </w:rPr>
        <w:t>En</w:t>
      </w:r>
      <w:r w:rsidRPr="00FC5408">
        <w:rPr>
          <w:rFonts w:ascii="Palatino Linotype" w:eastAsia="Calibri" w:hAnsi="Palatino Linotype"/>
          <w:color w:val="000000"/>
          <w:lang w:val="es-ES_tradnl" w:eastAsia="es-ES_tradnl"/>
        </w:rPr>
        <w:t xml:space="preserve">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1B3A68B" w14:textId="77777777" w:rsidR="00191180" w:rsidRPr="00FC5408" w:rsidRDefault="00191180" w:rsidP="006F7BEF">
      <w:pPr>
        <w:shd w:val="clear" w:color="auto" w:fill="FFFFFF"/>
        <w:suppressAutoHyphens w:val="0"/>
        <w:spacing w:afterAutospacing="1" w:line="360" w:lineRule="auto"/>
        <w:contextualSpacing/>
        <w:jc w:val="both"/>
        <w:textAlignment w:val="baseline"/>
        <w:rPr>
          <w:rFonts w:ascii="Palatino Linotype" w:hAnsi="Palatino Linotype"/>
          <w:color w:val="000000"/>
          <w:lang w:val="es-ES_tradnl"/>
        </w:rPr>
      </w:pPr>
    </w:p>
    <w:p w14:paraId="440908A0" w14:textId="77777777" w:rsidR="00191180" w:rsidRPr="00FC5408" w:rsidRDefault="00191180" w:rsidP="006F7BEF">
      <w:pPr>
        <w:numPr>
          <w:ilvl w:val="0"/>
          <w:numId w:val="9"/>
        </w:numPr>
        <w:shd w:val="clear" w:color="auto" w:fill="FFFFFF"/>
        <w:suppressAutoHyphens w:val="0"/>
        <w:spacing w:after="160" w:afterAutospacing="1" w:line="360" w:lineRule="auto"/>
        <w:ind w:left="0" w:firstLine="0"/>
        <w:contextualSpacing/>
        <w:jc w:val="both"/>
        <w:textAlignment w:val="baseline"/>
        <w:rPr>
          <w:rFonts w:ascii="Palatino Linotype" w:hAnsi="Palatino Linotype"/>
          <w:color w:val="000000"/>
          <w:lang w:val="es-ES_tradnl"/>
        </w:rPr>
      </w:pPr>
      <w:r w:rsidRPr="00FC5408">
        <w:rPr>
          <w:rFonts w:ascii="Palatino Linotype" w:eastAsia="Calibri" w:hAnsi="Palatino Linotype"/>
          <w:color w:val="000000"/>
          <w:lang w:eastAsia="en-US"/>
        </w:rPr>
        <w:t>Pero</w:t>
      </w:r>
      <w:r w:rsidRPr="00FC5408">
        <w:rPr>
          <w:rFonts w:ascii="Palatino Linotype" w:eastAsia="Calibri" w:hAnsi="Palatino Linotype"/>
          <w:color w:val="000000"/>
          <w:lang w:val="es-ES_tradnl" w:eastAsia="es-ES_tradnl"/>
        </w:rPr>
        <w:t xml:space="preserve"> si la información que se pretende clasificar como confidencial no se encuentra en los supuestos antes señalados y es posible, se deberá consultar al titular de los datos si permite o no el acceso. De no ser posible, la realización de la consulta procede, fundando y motivando la clasificación.</w:t>
      </w:r>
    </w:p>
    <w:p w14:paraId="299CABB5" w14:textId="77777777" w:rsidR="00191180" w:rsidRPr="00FC5408" w:rsidRDefault="00191180" w:rsidP="006F7BEF">
      <w:pPr>
        <w:shd w:val="clear" w:color="auto" w:fill="FFFFFF"/>
        <w:suppressAutoHyphens w:val="0"/>
        <w:spacing w:before="240" w:after="160" w:afterAutospacing="1" w:line="360" w:lineRule="auto"/>
        <w:contextualSpacing/>
        <w:jc w:val="both"/>
        <w:textAlignment w:val="baseline"/>
        <w:rPr>
          <w:rFonts w:ascii="Palatino Linotype" w:hAnsi="Palatino Linotype"/>
          <w:color w:val="000000"/>
          <w:lang w:val="es-ES_tradnl"/>
        </w:rPr>
      </w:pPr>
    </w:p>
    <w:p w14:paraId="7A740076" w14:textId="49D8B3BE" w:rsidR="00191180" w:rsidRPr="00FC5408" w:rsidRDefault="00191180" w:rsidP="006F7BEF">
      <w:pPr>
        <w:numPr>
          <w:ilvl w:val="0"/>
          <w:numId w:val="9"/>
        </w:numPr>
        <w:shd w:val="clear" w:color="auto" w:fill="FFFFFF"/>
        <w:suppressAutoHyphens w:val="0"/>
        <w:spacing w:before="240" w:after="160" w:afterAutospacing="1" w:line="360" w:lineRule="auto"/>
        <w:ind w:left="0" w:firstLine="0"/>
        <w:contextualSpacing/>
        <w:jc w:val="both"/>
        <w:textAlignment w:val="baseline"/>
        <w:rPr>
          <w:rFonts w:ascii="Palatino Linotype" w:hAnsi="Palatino Linotype"/>
          <w:color w:val="000000"/>
          <w:lang w:val="es-ES_tradnl"/>
        </w:rPr>
      </w:pPr>
      <w:r w:rsidRPr="00FC5408">
        <w:rPr>
          <w:rFonts w:ascii="Palatino Linotype" w:hAnsi="Palatino Linotype"/>
          <w:color w:val="000000"/>
          <w:lang w:val="es-ES_tradnl"/>
        </w:rPr>
        <w:t>Los elementos que brevemente se han señalado son todos los que deben de integrar el proceso de clasificación total o parcial de la información para, especialmente, responder a las solicitudes de acceso a la información pública. La falta de cualquiera de ellos puede provocar que el acto que limita o restringe el derecho de acceso a la información sea considerada infundado y se proceda a ordenar la desclasificación de la información por el incumplimiento de las formalidades, es decir, por vicios de legalidad o a la reposición del acto.  Para tratar de ser aún más gráficos y propiciar el mejor entendimiento de esta materia, se anexa la siguiente tabla</w:t>
      </w:r>
      <w:r w:rsidR="00140F65">
        <w:rPr>
          <w:rFonts w:ascii="Palatino Linotype" w:hAnsi="Palatino Linotype"/>
          <w:color w:val="000000"/>
          <w:lang w:val="es-ES_tradnl"/>
        </w:rPr>
        <w:t>:</w:t>
      </w:r>
    </w:p>
    <w:p w14:paraId="4F42BA88" w14:textId="77777777" w:rsidR="00191180" w:rsidRDefault="00191180" w:rsidP="006F7BEF">
      <w:pPr>
        <w:suppressAutoHyphens w:val="0"/>
        <w:spacing w:line="360" w:lineRule="auto"/>
        <w:rPr>
          <w:rFonts w:ascii="Palatino Linotype" w:hAnsi="Palatino Linotype"/>
          <w:color w:val="000000"/>
          <w:lang w:val="es-ES_tradnl"/>
        </w:rPr>
      </w:pPr>
    </w:p>
    <w:p w14:paraId="197449D5" w14:textId="77777777" w:rsidR="00140F65" w:rsidRPr="00FC5408" w:rsidRDefault="00140F65" w:rsidP="006F7BEF">
      <w:pPr>
        <w:suppressAutoHyphens w:val="0"/>
        <w:spacing w:line="360" w:lineRule="auto"/>
        <w:rPr>
          <w:rFonts w:ascii="Palatino Linotype" w:hAnsi="Palatino Linotype"/>
          <w:color w:val="000000"/>
          <w:lang w:val="es-ES_tradnl"/>
        </w:rPr>
      </w:pPr>
    </w:p>
    <w:tbl>
      <w:tblPr>
        <w:tblStyle w:val="Tablaconcuadrcula27"/>
        <w:tblW w:w="8451" w:type="dxa"/>
        <w:tblLook w:val="04A0" w:firstRow="1" w:lastRow="0" w:firstColumn="1" w:lastColumn="0" w:noHBand="0" w:noVBand="1"/>
      </w:tblPr>
      <w:tblGrid>
        <w:gridCol w:w="2155"/>
        <w:gridCol w:w="1759"/>
        <w:gridCol w:w="2269"/>
        <w:gridCol w:w="2268"/>
      </w:tblGrid>
      <w:tr w:rsidR="00191180" w:rsidRPr="00233D78" w14:paraId="35CD711E" w14:textId="77777777" w:rsidTr="00191180">
        <w:tc>
          <w:tcPr>
            <w:tcW w:w="2155" w:type="dxa"/>
            <w:vMerge w:val="restart"/>
            <w:shd w:val="clear" w:color="auto" w:fill="D5DCE4"/>
          </w:tcPr>
          <w:p w14:paraId="4DFAE36C"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Requisitos previos</w:t>
            </w:r>
          </w:p>
        </w:tc>
        <w:tc>
          <w:tcPr>
            <w:tcW w:w="1759" w:type="dxa"/>
          </w:tcPr>
          <w:p w14:paraId="2CF39548"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Los sujetos obligados determinan que la información actualiza alguno de los supuestos de clasificación:</w:t>
            </w:r>
          </w:p>
        </w:tc>
        <w:tc>
          <w:tcPr>
            <w:tcW w:w="2269" w:type="dxa"/>
          </w:tcPr>
          <w:p w14:paraId="17B2A5F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p w14:paraId="3B9631DA" w14:textId="77777777" w:rsidR="00191180" w:rsidRPr="00233D78" w:rsidRDefault="00191180" w:rsidP="006F7BEF">
            <w:pPr>
              <w:numPr>
                <w:ilvl w:val="0"/>
                <w:numId w:val="12"/>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 xml:space="preserve">Confidencialidad </w:t>
            </w:r>
          </w:p>
          <w:p w14:paraId="0C033D5C" w14:textId="77777777" w:rsidR="00191180" w:rsidRPr="00233D78" w:rsidRDefault="00191180" w:rsidP="006F7BEF">
            <w:pPr>
              <w:numPr>
                <w:ilvl w:val="0"/>
                <w:numId w:val="12"/>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Reserva</w:t>
            </w:r>
          </w:p>
        </w:tc>
        <w:tc>
          <w:tcPr>
            <w:tcW w:w="2268" w:type="dxa"/>
          </w:tcPr>
          <w:p w14:paraId="735598A2"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6BC117BC" w14:textId="77777777" w:rsidTr="00191180">
        <w:tc>
          <w:tcPr>
            <w:tcW w:w="2155" w:type="dxa"/>
            <w:vMerge/>
            <w:shd w:val="clear" w:color="auto" w:fill="D5DCE4"/>
          </w:tcPr>
          <w:p w14:paraId="257965E4"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3D469513"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Los titulares de las áreas que administran la información son los que aprueban la clasificación </w:t>
            </w:r>
          </w:p>
        </w:tc>
        <w:tc>
          <w:tcPr>
            <w:tcW w:w="2269" w:type="dxa"/>
          </w:tcPr>
          <w:p w14:paraId="57D1CB0C"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266780B3"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1B5CE14E" w14:textId="77777777" w:rsidTr="00191180">
        <w:tc>
          <w:tcPr>
            <w:tcW w:w="2155" w:type="dxa"/>
            <w:vMerge/>
            <w:shd w:val="clear" w:color="auto" w:fill="D5DCE4"/>
          </w:tcPr>
          <w:p w14:paraId="69B876C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64B20802"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La clasificación de la información se realiza al momento de:</w:t>
            </w:r>
          </w:p>
        </w:tc>
        <w:tc>
          <w:tcPr>
            <w:tcW w:w="2269" w:type="dxa"/>
          </w:tcPr>
          <w:p w14:paraId="1CEA32C2" w14:textId="77777777" w:rsidR="00191180" w:rsidRPr="00233D78" w:rsidRDefault="00191180" w:rsidP="006F7BEF">
            <w:pPr>
              <w:numPr>
                <w:ilvl w:val="0"/>
                <w:numId w:val="11"/>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Atender una solicitud</w:t>
            </w:r>
          </w:p>
          <w:p w14:paraId="5FAA03E2" w14:textId="77777777" w:rsidR="00191180" w:rsidRPr="00233D78" w:rsidRDefault="00191180" w:rsidP="006F7BEF">
            <w:pPr>
              <w:numPr>
                <w:ilvl w:val="0"/>
                <w:numId w:val="11"/>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Por mandato de una autoridad competente</w:t>
            </w:r>
          </w:p>
          <w:p w14:paraId="1863D2EA" w14:textId="77777777" w:rsidR="00191180" w:rsidRPr="00233D78" w:rsidRDefault="00191180" w:rsidP="006F7BEF">
            <w:pPr>
              <w:numPr>
                <w:ilvl w:val="0"/>
                <w:numId w:val="11"/>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Para elaborar una versión pública y cumplir una obligación de transparencia</w:t>
            </w:r>
          </w:p>
        </w:tc>
        <w:tc>
          <w:tcPr>
            <w:tcW w:w="2268" w:type="dxa"/>
          </w:tcPr>
          <w:p w14:paraId="489F1E5E"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42BE32F8" w14:textId="77777777" w:rsidTr="00191180">
        <w:tc>
          <w:tcPr>
            <w:tcW w:w="2155" w:type="dxa"/>
            <w:vMerge/>
            <w:shd w:val="clear" w:color="auto" w:fill="D5DCE4"/>
          </w:tcPr>
          <w:p w14:paraId="553C290E"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7FFFCF01"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No se pueden emitir acuerdos de carácter </w:t>
            </w:r>
            <w:r w:rsidRPr="00233D78">
              <w:rPr>
                <w:rFonts w:ascii="Palatino Linotype" w:hAnsi="Palatino Linotype"/>
                <w:color w:val="000000"/>
                <w:sz w:val="20"/>
                <w:szCs w:val="20"/>
              </w:rPr>
              <w:lastRenderedPageBreak/>
              <w:t>general ni particular</w:t>
            </w:r>
          </w:p>
        </w:tc>
        <w:tc>
          <w:tcPr>
            <w:tcW w:w="2269" w:type="dxa"/>
          </w:tcPr>
          <w:p w14:paraId="13B5602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lastRenderedPageBreak/>
              <w:t xml:space="preserve">El </w:t>
            </w:r>
            <w:r w:rsidRPr="00233D78">
              <w:rPr>
                <w:rFonts w:ascii="Palatino Linotype" w:hAnsi="Palatino Linotype"/>
                <w:b/>
                <w:bCs/>
                <w:color w:val="000000"/>
                <w:sz w:val="20"/>
                <w:szCs w:val="20"/>
              </w:rPr>
              <w:t>SUJETO OBLIGADO</w:t>
            </w:r>
            <w:r w:rsidRPr="00233D78">
              <w:rPr>
                <w:rFonts w:ascii="Palatino Linotype" w:hAnsi="Palatino Linotype"/>
                <w:color w:val="000000"/>
                <w:sz w:val="20"/>
                <w:szCs w:val="20"/>
              </w:rPr>
              <w:t xml:space="preserve"> debe emitir un acuerdo describiendo y </w:t>
            </w:r>
            <w:r w:rsidRPr="00233D78">
              <w:rPr>
                <w:rFonts w:ascii="Palatino Linotype" w:hAnsi="Palatino Linotype"/>
                <w:color w:val="000000"/>
                <w:sz w:val="20"/>
                <w:szCs w:val="20"/>
              </w:rPr>
              <w:lastRenderedPageBreak/>
              <w:t xml:space="preserve">analizando cada documento de un expediente y todos los datos incluidos en un documento </w:t>
            </w:r>
          </w:p>
        </w:tc>
        <w:tc>
          <w:tcPr>
            <w:tcW w:w="2268" w:type="dxa"/>
          </w:tcPr>
          <w:p w14:paraId="3036D60B"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34121BC0" w14:textId="77777777" w:rsidTr="00191180">
        <w:tc>
          <w:tcPr>
            <w:tcW w:w="2155" w:type="dxa"/>
            <w:vMerge w:val="restart"/>
            <w:shd w:val="clear" w:color="auto" w:fill="D5DCE4"/>
          </w:tcPr>
          <w:p w14:paraId="15B63F2B"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Supuestos de clasificación</w:t>
            </w:r>
          </w:p>
        </w:tc>
        <w:tc>
          <w:tcPr>
            <w:tcW w:w="1759" w:type="dxa"/>
          </w:tcPr>
          <w:p w14:paraId="0BA21DC1"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Para clasificar la información como reservada hay</w:t>
            </w:r>
          </w:p>
        </w:tc>
        <w:tc>
          <w:tcPr>
            <w:tcW w:w="2269" w:type="dxa"/>
          </w:tcPr>
          <w:p w14:paraId="655C3360" w14:textId="77777777" w:rsidR="00191180" w:rsidRPr="00233D78" w:rsidRDefault="00191180" w:rsidP="006F7BEF">
            <w:pPr>
              <w:numPr>
                <w:ilvl w:val="0"/>
                <w:numId w:val="13"/>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11 supuestos en la Ley Estatal</w:t>
            </w:r>
          </w:p>
          <w:p w14:paraId="1D2BE7E8" w14:textId="77777777" w:rsidR="00191180" w:rsidRPr="00233D78" w:rsidRDefault="00191180" w:rsidP="006F7BEF">
            <w:pPr>
              <w:numPr>
                <w:ilvl w:val="0"/>
                <w:numId w:val="13"/>
              </w:numPr>
              <w:suppressAutoHyphens w:val="0"/>
              <w:spacing w:line="360" w:lineRule="auto"/>
              <w:contextualSpacing/>
              <w:jc w:val="both"/>
              <w:rPr>
                <w:rFonts w:ascii="Palatino Linotype" w:hAnsi="Palatino Linotype"/>
                <w:color w:val="000000"/>
                <w:sz w:val="20"/>
                <w:szCs w:val="20"/>
              </w:rPr>
            </w:pPr>
            <w:r w:rsidRPr="00233D78">
              <w:rPr>
                <w:rFonts w:ascii="Palatino Linotype" w:hAnsi="Palatino Linotype"/>
                <w:color w:val="000000"/>
                <w:sz w:val="20"/>
                <w:szCs w:val="20"/>
              </w:rPr>
              <w:t>13 supuestos en la Ley General</w:t>
            </w:r>
          </w:p>
        </w:tc>
        <w:tc>
          <w:tcPr>
            <w:tcW w:w="2268" w:type="dxa"/>
          </w:tcPr>
          <w:p w14:paraId="386C76B0"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El </w:t>
            </w:r>
            <w:r w:rsidRPr="00233D78">
              <w:rPr>
                <w:rFonts w:ascii="Palatino Linotype" w:hAnsi="Palatino Linotype"/>
                <w:b/>
                <w:bCs/>
                <w:color w:val="000000"/>
                <w:sz w:val="20"/>
                <w:szCs w:val="20"/>
              </w:rPr>
              <w:t>SUJETO OBLIGADO</w:t>
            </w:r>
            <w:r w:rsidRPr="00233D78">
              <w:rPr>
                <w:rFonts w:ascii="Palatino Linotype" w:hAnsi="Palatino Linotype"/>
                <w:color w:val="000000"/>
                <w:sz w:val="20"/>
                <w:szCs w:val="20"/>
              </w:rPr>
              <w:t xml:space="preserve"> debe identificar claramente la información que se pretende clasificar y realizar un juicio de subsunción o encaje</w:t>
            </w:r>
          </w:p>
        </w:tc>
      </w:tr>
      <w:tr w:rsidR="00191180" w:rsidRPr="00233D78" w14:paraId="08FFF648" w14:textId="77777777" w:rsidTr="00191180">
        <w:tc>
          <w:tcPr>
            <w:tcW w:w="2155" w:type="dxa"/>
            <w:vMerge/>
            <w:shd w:val="clear" w:color="auto" w:fill="D5DCE4"/>
          </w:tcPr>
          <w:p w14:paraId="35BF581D"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08A40F54"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Para clasificar la información como confidencial hay</w:t>
            </w:r>
          </w:p>
        </w:tc>
        <w:tc>
          <w:tcPr>
            <w:tcW w:w="2269" w:type="dxa"/>
          </w:tcPr>
          <w:p w14:paraId="18ECC53C"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que considerar la definición de dato personal</w:t>
            </w:r>
          </w:p>
        </w:tc>
        <w:tc>
          <w:tcPr>
            <w:tcW w:w="2268" w:type="dxa"/>
          </w:tcPr>
          <w:p w14:paraId="4E575FB8"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616A693F" w14:textId="77777777" w:rsidTr="00191180">
        <w:tc>
          <w:tcPr>
            <w:tcW w:w="2155" w:type="dxa"/>
            <w:vMerge/>
            <w:shd w:val="clear" w:color="auto" w:fill="D5DCE4"/>
          </w:tcPr>
          <w:p w14:paraId="5E97D2DD"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018156A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Estos supuestos se aplican de manera restrictiva y estricta, no pueden ampliarse</w:t>
            </w:r>
          </w:p>
        </w:tc>
        <w:tc>
          <w:tcPr>
            <w:tcW w:w="2269" w:type="dxa"/>
          </w:tcPr>
          <w:p w14:paraId="59E633DC"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6F606E0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2C6D2336" w14:textId="77777777" w:rsidTr="00191180">
        <w:tc>
          <w:tcPr>
            <w:tcW w:w="2155" w:type="dxa"/>
            <w:vMerge w:val="restart"/>
            <w:shd w:val="clear" w:color="auto" w:fill="D5DCE4"/>
          </w:tcPr>
          <w:p w14:paraId="4A547A37"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Excepciones a la clasificación de reserva</w:t>
            </w:r>
          </w:p>
        </w:tc>
        <w:tc>
          <w:tcPr>
            <w:tcW w:w="1759" w:type="dxa"/>
            <w:vMerge w:val="restart"/>
          </w:tcPr>
          <w:p w14:paraId="25E17223"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No puede clasificarse como información reservada la concerniente a:</w:t>
            </w:r>
          </w:p>
        </w:tc>
        <w:tc>
          <w:tcPr>
            <w:tcW w:w="2269" w:type="dxa"/>
          </w:tcPr>
          <w:p w14:paraId="54E4809B"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Actos (probados o en investigación) graves de violaciones a derechos humanos</w:t>
            </w:r>
          </w:p>
        </w:tc>
        <w:tc>
          <w:tcPr>
            <w:tcW w:w="2268" w:type="dxa"/>
          </w:tcPr>
          <w:p w14:paraId="5D26969E"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28A78EF2" w14:textId="77777777" w:rsidTr="00191180">
        <w:tc>
          <w:tcPr>
            <w:tcW w:w="2155" w:type="dxa"/>
            <w:vMerge/>
            <w:shd w:val="clear" w:color="auto" w:fill="D5DCE4"/>
          </w:tcPr>
          <w:p w14:paraId="71EC931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1BD4270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9" w:type="dxa"/>
          </w:tcPr>
          <w:p w14:paraId="34EA4EF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Delitos de </w:t>
            </w:r>
            <w:proofErr w:type="spellStart"/>
            <w:r w:rsidRPr="00233D78">
              <w:rPr>
                <w:rFonts w:ascii="Palatino Linotype" w:hAnsi="Palatino Linotype"/>
                <w:color w:val="000000"/>
                <w:sz w:val="20"/>
                <w:szCs w:val="20"/>
              </w:rPr>
              <w:t>lessa</w:t>
            </w:r>
            <w:proofErr w:type="spellEnd"/>
            <w:r w:rsidRPr="00233D78">
              <w:rPr>
                <w:rFonts w:ascii="Palatino Linotype" w:hAnsi="Palatino Linotype"/>
                <w:color w:val="000000"/>
                <w:sz w:val="20"/>
                <w:szCs w:val="20"/>
              </w:rPr>
              <w:t xml:space="preserve"> humanidad</w:t>
            </w:r>
          </w:p>
        </w:tc>
        <w:tc>
          <w:tcPr>
            <w:tcW w:w="2268" w:type="dxa"/>
          </w:tcPr>
          <w:p w14:paraId="1BE483F8"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53D6173C" w14:textId="77777777" w:rsidTr="00191180">
        <w:tc>
          <w:tcPr>
            <w:tcW w:w="2155" w:type="dxa"/>
            <w:vMerge/>
            <w:shd w:val="clear" w:color="auto" w:fill="D5DCE4"/>
          </w:tcPr>
          <w:p w14:paraId="3F23A930"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561E7705"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9" w:type="dxa"/>
          </w:tcPr>
          <w:p w14:paraId="69C8D9D3"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Actos de Corrupción</w:t>
            </w:r>
          </w:p>
        </w:tc>
        <w:tc>
          <w:tcPr>
            <w:tcW w:w="2268" w:type="dxa"/>
          </w:tcPr>
          <w:p w14:paraId="595959C7"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Los comprendidos en el Título Sexto del Código Penal del Estado</w:t>
            </w:r>
          </w:p>
        </w:tc>
      </w:tr>
      <w:tr w:rsidR="00191180" w:rsidRPr="00233D78" w14:paraId="78431307" w14:textId="77777777" w:rsidTr="00191180">
        <w:tc>
          <w:tcPr>
            <w:tcW w:w="2155" w:type="dxa"/>
            <w:vMerge w:val="restart"/>
            <w:shd w:val="clear" w:color="auto" w:fill="D5DCE4"/>
          </w:tcPr>
          <w:p w14:paraId="574640DF"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Participación del Comité de Transparencia</w:t>
            </w:r>
          </w:p>
        </w:tc>
        <w:tc>
          <w:tcPr>
            <w:tcW w:w="1759" w:type="dxa"/>
            <w:vMerge w:val="restart"/>
          </w:tcPr>
          <w:p w14:paraId="3D339051"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Formalidades</w:t>
            </w:r>
          </w:p>
        </w:tc>
        <w:tc>
          <w:tcPr>
            <w:tcW w:w="2269" w:type="dxa"/>
          </w:tcPr>
          <w:p w14:paraId="7E343D14"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El Comité debe de estar debidamente integrado</w:t>
            </w:r>
          </w:p>
        </w:tc>
        <w:tc>
          <w:tcPr>
            <w:tcW w:w="2268" w:type="dxa"/>
          </w:tcPr>
          <w:p w14:paraId="3518174F"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203DBED0" w14:textId="77777777" w:rsidTr="00191180">
        <w:tc>
          <w:tcPr>
            <w:tcW w:w="2155" w:type="dxa"/>
            <w:vMerge/>
            <w:shd w:val="clear" w:color="auto" w:fill="D5DCE4"/>
          </w:tcPr>
          <w:p w14:paraId="403DF1DF"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2374DB72"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9" w:type="dxa"/>
          </w:tcPr>
          <w:p w14:paraId="55135950"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El Comité no aprueba la clasificación, sólo: confirma, modifica o revoca la decisión de las áreas </w:t>
            </w:r>
          </w:p>
        </w:tc>
        <w:tc>
          <w:tcPr>
            <w:tcW w:w="2268" w:type="dxa"/>
          </w:tcPr>
          <w:p w14:paraId="6256350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315C686E" w14:textId="77777777" w:rsidTr="00191180">
        <w:tc>
          <w:tcPr>
            <w:tcW w:w="2155" w:type="dxa"/>
            <w:shd w:val="clear" w:color="auto" w:fill="D5DCE4"/>
          </w:tcPr>
          <w:p w14:paraId="7BCE06E7"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Fondo del acuerdo de clasificación</w:t>
            </w:r>
          </w:p>
        </w:tc>
        <w:tc>
          <w:tcPr>
            <w:tcW w:w="1759" w:type="dxa"/>
          </w:tcPr>
          <w:p w14:paraId="29EBC7D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La carga de la prueba para justificar la restricción corresponde al </w:t>
            </w:r>
            <w:r w:rsidRPr="00233D78">
              <w:rPr>
                <w:rFonts w:ascii="Palatino Linotype" w:hAnsi="Palatino Linotype"/>
                <w:b/>
                <w:bCs/>
                <w:color w:val="000000"/>
                <w:sz w:val="20"/>
                <w:szCs w:val="20"/>
              </w:rPr>
              <w:t>SUJETO OBLIGADO</w:t>
            </w:r>
          </w:p>
        </w:tc>
        <w:tc>
          <w:tcPr>
            <w:tcW w:w="2269" w:type="dxa"/>
          </w:tcPr>
          <w:p w14:paraId="555EBA74"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Deber de fundar y motivar</w:t>
            </w:r>
          </w:p>
        </w:tc>
        <w:tc>
          <w:tcPr>
            <w:tcW w:w="2268" w:type="dxa"/>
          </w:tcPr>
          <w:p w14:paraId="2E23E030"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359D8447" w14:textId="77777777" w:rsidTr="00191180">
        <w:trPr>
          <w:trHeight w:val="486"/>
        </w:trPr>
        <w:tc>
          <w:tcPr>
            <w:tcW w:w="2155" w:type="dxa"/>
            <w:vMerge w:val="restart"/>
            <w:shd w:val="clear" w:color="auto" w:fill="D5DCE4"/>
          </w:tcPr>
          <w:p w14:paraId="411F1961"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Condiciones especiales de la reserva</w:t>
            </w:r>
          </w:p>
        </w:tc>
        <w:tc>
          <w:tcPr>
            <w:tcW w:w="1759" w:type="dxa"/>
            <w:vMerge w:val="restart"/>
          </w:tcPr>
          <w:p w14:paraId="611D7AC6"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Motivar implica</w:t>
            </w:r>
          </w:p>
          <w:p w14:paraId="42FBE448"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roofErr w:type="gramStart"/>
            <w:r w:rsidRPr="00233D78">
              <w:rPr>
                <w:rFonts w:ascii="Palatino Linotype" w:hAnsi="Palatino Linotype"/>
                <w:color w:val="000000"/>
                <w:sz w:val="20"/>
                <w:szCs w:val="20"/>
              </w:rPr>
              <w:t>Además</w:t>
            </w:r>
            <w:proofErr w:type="gramEnd"/>
            <w:r w:rsidRPr="00233D78">
              <w:rPr>
                <w:rFonts w:ascii="Palatino Linotype" w:hAnsi="Palatino Linotype"/>
                <w:color w:val="000000"/>
                <w:sz w:val="20"/>
                <w:szCs w:val="20"/>
              </w:rPr>
              <w:t xml:space="preserve"> se debe aplicar, caso por caso, una prueba de daño.</w:t>
            </w:r>
          </w:p>
        </w:tc>
        <w:tc>
          <w:tcPr>
            <w:tcW w:w="2269" w:type="dxa"/>
            <w:vMerge w:val="restart"/>
          </w:tcPr>
          <w:p w14:paraId="54717CA4"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Señalar las razones, motivos o circunstancias.</w:t>
            </w:r>
          </w:p>
          <w:p w14:paraId="20C77B4B"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Se deben señalar las razones objetivas y acreditar.</w:t>
            </w:r>
          </w:p>
          <w:p w14:paraId="1FD1AC50"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p w14:paraId="49CC3827"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*Adquiere la condición especial de ser </w:t>
            </w:r>
            <w:r w:rsidRPr="00233D78">
              <w:rPr>
                <w:rFonts w:ascii="Palatino Linotype" w:hAnsi="Palatino Linotype"/>
                <w:color w:val="000000"/>
                <w:sz w:val="20"/>
                <w:szCs w:val="20"/>
              </w:rPr>
              <w:lastRenderedPageBreak/>
              <w:t>temporal por un periodo de 5 años con la posibilidad de ampliarse por un periodo igual.</w:t>
            </w:r>
          </w:p>
        </w:tc>
        <w:tc>
          <w:tcPr>
            <w:tcW w:w="2268" w:type="dxa"/>
            <w:vMerge w:val="restart"/>
          </w:tcPr>
          <w:p w14:paraId="3A9307C3"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lastRenderedPageBreak/>
              <w:t>Que entregar la información provoca un riesgo real, demostrable e identificable al interés público o a la seguridad pública</w:t>
            </w:r>
          </w:p>
        </w:tc>
      </w:tr>
      <w:tr w:rsidR="00191180" w:rsidRPr="00233D78" w14:paraId="1778F197" w14:textId="77777777" w:rsidTr="00191180">
        <w:trPr>
          <w:trHeight w:val="486"/>
        </w:trPr>
        <w:tc>
          <w:tcPr>
            <w:tcW w:w="2155" w:type="dxa"/>
            <w:vMerge/>
            <w:shd w:val="clear" w:color="auto" w:fill="D5DCE4"/>
          </w:tcPr>
          <w:p w14:paraId="76E879B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4F92978E"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9" w:type="dxa"/>
            <w:vMerge/>
          </w:tcPr>
          <w:p w14:paraId="45CD0B6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8" w:type="dxa"/>
            <w:vMerge/>
          </w:tcPr>
          <w:p w14:paraId="663B9967"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25659DF8" w14:textId="77777777" w:rsidTr="00191180">
        <w:tc>
          <w:tcPr>
            <w:tcW w:w="2155" w:type="dxa"/>
            <w:vMerge/>
            <w:shd w:val="clear" w:color="auto" w:fill="D5DCE4"/>
          </w:tcPr>
          <w:p w14:paraId="15D8FA49"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4006807C"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9" w:type="dxa"/>
            <w:vMerge/>
          </w:tcPr>
          <w:p w14:paraId="547BF734"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32C75DC8"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El riesgo por divulgar es mayor que el interés </w:t>
            </w:r>
            <w:r w:rsidRPr="00233D78">
              <w:rPr>
                <w:rFonts w:ascii="Palatino Linotype" w:hAnsi="Palatino Linotype"/>
                <w:color w:val="000000"/>
                <w:sz w:val="20"/>
                <w:szCs w:val="20"/>
              </w:rPr>
              <w:lastRenderedPageBreak/>
              <w:t xml:space="preserve">público de que se difunda  </w:t>
            </w:r>
          </w:p>
        </w:tc>
      </w:tr>
      <w:tr w:rsidR="00191180" w:rsidRPr="00233D78" w14:paraId="5F21AD6F" w14:textId="77777777" w:rsidTr="00191180">
        <w:trPr>
          <w:trHeight w:val="1454"/>
        </w:trPr>
        <w:tc>
          <w:tcPr>
            <w:tcW w:w="2155" w:type="dxa"/>
            <w:vMerge/>
            <w:shd w:val="clear" w:color="auto" w:fill="D5DCE4"/>
          </w:tcPr>
          <w:p w14:paraId="466A048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vMerge/>
          </w:tcPr>
          <w:p w14:paraId="6C3D0CFA"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9" w:type="dxa"/>
            <w:vMerge/>
          </w:tcPr>
          <w:p w14:paraId="7D27D3C5"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7BF41DA1"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El principio de proporcionalidad</w:t>
            </w:r>
          </w:p>
        </w:tc>
      </w:tr>
      <w:tr w:rsidR="00191180" w:rsidRPr="00233D78" w14:paraId="1A0ED26F" w14:textId="77777777" w:rsidTr="00191180">
        <w:tc>
          <w:tcPr>
            <w:tcW w:w="2155" w:type="dxa"/>
            <w:vMerge w:val="restart"/>
            <w:shd w:val="clear" w:color="auto" w:fill="D5DCE4"/>
          </w:tcPr>
          <w:p w14:paraId="2A077695"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Condiciones especiales de la confidencialidad</w:t>
            </w:r>
          </w:p>
        </w:tc>
        <w:tc>
          <w:tcPr>
            <w:tcW w:w="1759" w:type="dxa"/>
          </w:tcPr>
          <w:p w14:paraId="7B5D043F"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Para clasificar se debe verificar que no se encuentre en los supuestos del artículo 148 de la ley Estatal </w:t>
            </w:r>
          </w:p>
        </w:tc>
        <w:tc>
          <w:tcPr>
            <w:tcW w:w="2269" w:type="dxa"/>
          </w:tcPr>
          <w:p w14:paraId="3A78E816"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 xml:space="preserve">Si se encuentra en los supuestos de dicho artículo se entrega aún sin consentimiento del titular del dato personal </w:t>
            </w:r>
          </w:p>
        </w:tc>
        <w:tc>
          <w:tcPr>
            <w:tcW w:w="2268" w:type="dxa"/>
          </w:tcPr>
          <w:p w14:paraId="4B6C6FEE"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r w:rsidR="00191180" w:rsidRPr="00233D78" w14:paraId="6494D65F" w14:textId="77777777" w:rsidTr="00191180">
        <w:trPr>
          <w:trHeight w:val="3404"/>
        </w:trPr>
        <w:tc>
          <w:tcPr>
            <w:tcW w:w="2155" w:type="dxa"/>
            <w:vMerge/>
            <w:shd w:val="clear" w:color="auto" w:fill="D5DCE4"/>
          </w:tcPr>
          <w:p w14:paraId="45AB9F0D"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1759" w:type="dxa"/>
          </w:tcPr>
          <w:p w14:paraId="64018E70" w14:textId="77777777" w:rsidR="00191180" w:rsidRPr="00233D78" w:rsidRDefault="00191180" w:rsidP="006F7BEF">
            <w:pPr>
              <w:suppressAutoHyphens w:val="0"/>
              <w:spacing w:line="360" w:lineRule="auto"/>
              <w:jc w:val="both"/>
              <w:rPr>
                <w:rFonts w:ascii="Palatino Linotype" w:hAnsi="Palatino Linotype"/>
                <w:color w:val="000000"/>
                <w:sz w:val="20"/>
                <w:szCs w:val="20"/>
              </w:rPr>
            </w:pPr>
            <w:r w:rsidRPr="00233D78">
              <w:rPr>
                <w:rFonts w:ascii="Palatino Linotype" w:hAnsi="Palatino Linotype"/>
                <w:color w:val="000000"/>
                <w:sz w:val="20"/>
                <w:szCs w:val="20"/>
              </w:rPr>
              <w:t>Si es posible, se debe consultar al titular de los datos para requerir su autorización para entregarlo</w:t>
            </w:r>
          </w:p>
        </w:tc>
        <w:tc>
          <w:tcPr>
            <w:tcW w:w="2269" w:type="dxa"/>
          </w:tcPr>
          <w:p w14:paraId="2AC23AED"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c>
          <w:tcPr>
            <w:tcW w:w="2268" w:type="dxa"/>
          </w:tcPr>
          <w:p w14:paraId="785B6093" w14:textId="77777777" w:rsidR="00191180" w:rsidRPr="00233D78" w:rsidRDefault="00191180" w:rsidP="006F7BEF">
            <w:pPr>
              <w:suppressAutoHyphens w:val="0"/>
              <w:spacing w:line="360" w:lineRule="auto"/>
              <w:jc w:val="both"/>
              <w:rPr>
                <w:rFonts w:ascii="Palatino Linotype" w:hAnsi="Palatino Linotype"/>
                <w:color w:val="000000"/>
                <w:sz w:val="20"/>
                <w:szCs w:val="20"/>
              </w:rPr>
            </w:pPr>
          </w:p>
        </w:tc>
      </w:tr>
    </w:tbl>
    <w:p w14:paraId="427E34E2" w14:textId="39C9C6CF" w:rsidR="00191180" w:rsidRPr="00FC5408" w:rsidRDefault="00191180" w:rsidP="006F7BEF">
      <w:pPr>
        <w:numPr>
          <w:ilvl w:val="0"/>
          <w:numId w:val="9"/>
        </w:numPr>
        <w:shd w:val="clear" w:color="auto" w:fill="FFFFFF"/>
        <w:tabs>
          <w:tab w:val="left" w:pos="426"/>
        </w:tabs>
        <w:suppressAutoHyphens w:val="0"/>
        <w:spacing w:beforeAutospacing="1" w:after="240" w:line="360" w:lineRule="auto"/>
        <w:ind w:left="0" w:firstLine="0"/>
        <w:jc w:val="both"/>
        <w:textAlignment w:val="baseline"/>
        <w:rPr>
          <w:rFonts w:ascii="Palatino Linotype" w:hAnsi="Palatino Linotype" w:cs="Arial"/>
          <w:color w:val="000000"/>
          <w:lang w:val="es-ES_tradnl"/>
        </w:rPr>
      </w:pPr>
      <w:r w:rsidRPr="00FC5408">
        <w:rPr>
          <w:rFonts w:ascii="Palatino Linotype" w:eastAsia="Calibri" w:hAnsi="Palatino Linotype"/>
          <w:color w:val="000000"/>
          <w:lang w:eastAsia="en-US"/>
        </w:rPr>
        <w:t>Pero</w:t>
      </w:r>
      <w:r w:rsidRPr="00FC5408">
        <w:rPr>
          <w:rFonts w:ascii="Palatino Linotype" w:eastAsia="Calibri" w:hAnsi="Palatino Linotype"/>
          <w:color w:val="000000"/>
          <w:lang w:val="es-ES_tradnl" w:eastAsia="es-ES_tradnl"/>
        </w:rPr>
        <w:t xml:space="preserve"> si la información que se pretende clasificar como confidencial no se encuentra en los supuestos antes señalados y es posible, se deberá consultar al titular de los datos si permite o no el acceso. </w:t>
      </w:r>
    </w:p>
    <w:p w14:paraId="0CDCC70C" w14:textId="72595B8B" w:rsidR="00795F38" w:rsidRPr="00FC5408" w:rsidRDefault="00C1345F" w:rsidP="006F7BEF">
      <w:pPr>
        <w:pStyle w:val="Ttulo1"/>
        <w:spacing w:line="360" w:lineRule="auto"/>
        <w:rPr>
          <w:rFonts w:ascii="Palatino Linotype" w:hAnsi="Palatino Linotype"/>
          <w:b/>
          <w:color w:val="000000" w:themeColor="text1"/>
          <w:sz w:val="24"/>
          <w:szCs w:val="24"/>
        </w:rPr>
      </w:pPr>
      <w:bookmarkStart w:id="112" w:name="_Toc104470966"/>
      <w:bookmarkStart w:id="113" w:name="_Toc110976885"/>
      <w:r w:rsidRPr="00FC5408">
        <w:rPr>
          <w:rFonts w:ascii="Palatino Linotype" w:hAnsi="Palatino Linotype"/>
          <w:b/>
          <w:color w:val="000000" w:themeColor="text1"/>
          <w:sz w:val="24"/>
          <w:szCs w:val="24"/>
        </w:rPr>
        <w:lastRenderedPageBreak/>
        <w:t>OCTAVO</w:t>
      </w:r>
      <w:r w:rsidR="00795F38" w:rsidRPr="00FC5408">
        <w:rPr>
          <w:rFonts w:ascii="Palatino Linotype" w:hAnsi="Palatino Linotype"/>
          <w:b/>
          <w:color w:val="000000" w:themeColor="text1"/>
          <w:sz w:val="24"/>
          <w:szCs w:val="24"/>
        </w:rPr>
        <w:t xml:space="preserve">. </w:t>
      </w:r>
      <w:r w:rsidR="006406C1" w:rsidRPr="00FC5408">
        <w:rPr>
          <w:rFonts w:ascii="Palatino Linotype" w:hAnsi="Palatino Linotype"/>
          <w:b/>
          <w:color w:val="000000" w:themeColor="text1"/>
          <w:sz w:val="24"/>
          <w:szCs w:val="24"/>
        </w:rPr>
        <w:t>De la d</w:t>
      </w:r>
      <w:r w:rsidR="00795F38" w:rsidRPr="00FC5408">
        <w:rPr>
          <w:rFonts w:ascii="Palatino Linotype" w:hAnsi="Palatino Linotype"/>
          <w:b/>
          <w:color w:val="000000" w:themeColor="text1"/>
          <w:sz w:val="24"/>
          <w:szCs w:val="24"/>
        </w:rPr>
        <w:t>ecisión.</w:t>
      </w:r>
      <w:bookmarkEnd w:id="112"/>
      <w:bookmarkEnd w:id="113"/>
      <w:r w:rsidR="00795F38" w:rsidRPr="00FC5408">
        <w:rPr>
          <w:rFonts w:ascii="Palatino Linotype" w:hAnsi="Palatino Linotype"/>
          <w:b/>
          <w:color w:val="000000" w:themeColor="text1"/>
          <w:sz w:val="24"/>
          <w:szCs w:val="24"/>
        </w:rPr>
        <w:t xml:space="preserve"> </w:t>
      </w:r>
    </w:p>
    <w:p w14:paraId="2EE79603" w14:textId="2742EA78" w:rsidR="006406C1" w:rsidRPr="00FC5408" w:rsidRDefault="006406C1" w:rsidP="006F7BEF">
      <w:pPr>
        <w:numPr>
          <w:ilvl w:val="0"/>
          <w:numId w:val="9"/>
        </w:numPr>
        <w:suppressAutoHyphens w:val="0"/>
        <w:spacing w:before="240" w:after="240" w:line="360" w:lineRule="auto"/>
        <w:ind w:left="0" w:right="49" w:firstLine="0"/>
        <w:contextualSpacing/>
        <w:jc w:val="both"/>
        <w:rPr>
          <w:rFonts w:ascii="Palatino Linotype" w:hAnsi="Palatino Linotype" w:cs="Arial"/>
          <w:lang w:eastAsia="es-ES_tradnl"/>
        </w:rPr>
      </w:pPr>
      <w:r w:rsidRPr="00FC5408">
        <w:rPr>
          <w:rFonts w:ascii="Palatino Linotype" w:hAnsi="Palatino Linotype" w:cs="Tahoma"/>
        </w:rPr>
        <w:t xml:space="preserve">Con base en todo lo expuesto, y toda vez que no se atendió la solicitud de información, con fundamento en el artículo 186, fracción IV, de la Ley de Transparencia y Acceso a la Información Pública del Estado de México y Municipios, este Instituto considera procedente </w:t>
      </w:r>
      <w:r w:rsidRPr="00FC5408">
        <w:rPr>
          <w:rFonts w:ascii="Palatino Linotype" w:hAnsi="Palatino Linotype" w:cs="Tahoma"/>
          <w:b/>
        </w:rPr>
        <w:t xml:space="preserve">ORDENAR </w:t>
      </w:r>
      <w:r w:rsidRPr="00FC5408">
        <w:rPr>
          <w:rFonts w:ascii="Palatino Linotype" w:hAnsi="Palatino Linotype" w:cs="Tahoma"/>
        </w:rPr>
        <w:t xml:space="preserve">la entrega de la información solicitada, de </w:t>
      </w:r>
      <w:r w:rsidR="001A6FF4" w:rsidRPr="00FC5408">
        <w:rPr>
          <w:rFonts w:ascii="Palatino Linotype" w:hAnsi="Palatino Linotype" w:cs="Tahoma"/>
        </w:rPr>
        <w:t>ser el caso en versión pública.</w:t>
      </w:r>
    </w:p>
    <w:p w14:paraId="5B9B8239" w14:textId="77777777" w:rsidR="006406C1" w:rsidRPr="00FC5408" w:rsidRDefault="006406C1" w:rsidP="006F7BEF">
      <w:pPr>
        <w:suppressAutoHyphens w:val="0"/>
        <w:spacing w:before="240" w:after="240" w:line="360" w:lineRule="auto"/>
        <w:ind w:right="49"/>
        <w:contextualSpacing/>
        <w:jc w:val="both"/>
        <w:rPr>
          <w:rFonts w:ascii="Palatino Linotype" w:hAnsi="Palatino Linotype" w:cs="Arial"/>
          <w:lang w:eastAsia="es-ES_tradnl"/>
        </w:rPr>
      </w:pPr>
    </w:p>
    <w:p w14:paraId="1669CE43" w14:textId="24FB10A4" w:rsidR="00191180" w:rsidRPr="00FC5408" w:rsidRDefault="00191180" w:rsidP="006F7BEF">
      <w:pPr>
        <w:numPr>
          <w:ilvl w:val="0"/>
          <w:numId w:val="9"/>
        </w:numPr>
        <w:tabs>
          <w:tab w:val="left" w:pos="426"/>
        </w:tabs>
        <w:suppressAutoHyphens w:val="0"/>
        <w:spacing w:after="120" w:line="360" w:lineRule="auto"/>
        <w:ind w:left="0" w:right="49" w:firstLine="0"/>
        <w:jc w:val="both"/>
        <w:rPr>
          <w:rFonts w:ascii="Palatino Linotype" w:hAnsi="Palatino Linotype" w:cs="Arial"/>
          <w:color w:val="000000"/>
          <w:lang w:val="es-ES_tradnl"/>
        </w:rPr>
      </w:pPr>
      <w:r w:rsidRPr="00FC5408">
        <w:rPr>
          <w:rFonts w:ascii="Palatino Linotype" w:hAnsi="Palatino Linotype" w:cs="Arial"/>
          <w:color w:val="000000"/>
          <w:lang w:val="es-ES_tradnl"/>
        </w:rPr>
        <w:t xml:space="preserve">Por lo anteriormente expuesto y fundado, este </w:t>
      </w:r>
      <w:r w:rsidRPr="00FC5408">
        <w:rPr>
          <w:rFonts w:ascii="Palatino Linotype" w:hAnsi="Palatino Linotype" w:cs="Arial"/>
          <w:b/>
          <w:color w:val="000000"/>
          <w:lang w:val="es-ES_tradnl"/>
        </w:rPr>
        <w:t>ÓRGANO GARANTE</w:t>
      </w:r>
      <w:r w:rsidRPr="00FC5408">
        <w:rPr>
          <w:rFonts w:ascii="Palatino Linotype" w:hAnsi="Palatino Linotype" w:cs="Arial"/>
          <w:color w:val="000000"/>
          <w:lang w:val="es-ES_tradnl"/>
        </w:rPr>
        <w:t xml:space="preserve"> emite los siguientes: --------------------------------------------------------------------------------------------</w:t>
      </w:r>
      <w:r w:rsidR="003F047F" w:rsidRPr="00FC5408">
        <w:rPr>
          <w:rFonts w:ascii="Palatino Linotype" w:hAnsi="Palatino Linotype" w:cs="Arial"/>
          <w:color w:val="000000"/>
          <w:lang w:val="es-ES_tradnl"/>
        </w:rPr>
        <w:t>------</w:t>
      </w:r>
    </w:p>
    <w:p w14:paraId="741A9FCD" w14:textId="77777777" w:rsidR="00191180" w:rsidRPr="00FC5408" w:rsidRDefault="00191180" w:rsidP="006F7BEF">
      <w:pPr>
        <w:keepNext/>
        <w:keepLines/>
        <w:suppressAutoHyphens w:val="0"/>
        <w:spacing w:before="240" w:line="360" w:lineRule="auto"/>
        <w:jc w:val="center"/>
        <w:outlineLvl w:val="0"/>
        <w:rPr>
          <w:rFonts w:ascii="Palatino Linotype" w:eastAsia="Calibri" w:hAnsi="Palatino Linotype"/>
          <w:lang w:val="es-ES"/>
        </w:rPr>
      </w:pPr>
      <w:bookmarkStart w:id="114" w:name="_Toc524344198"/>
      <w:bookmarkStart w:id="115" w:name="_Toc526271203"/>
      <w:bookmarkStart w:id="116" w:name="_Toc536106982"/>
      <w:bookmarkStart w:id="117" w:name="_Toc104470967"/>
      <w:bookmarkStart w:id="118" w:name="_Toc110976886"/>
      <w:r w:rsidRPr="00FC5408">
        <w:rPr>
          <w:rFonts w:ascii="Palatino Linotype" w:eastAsia="Calibri" w:hAnsi="Palatino Linotype"/>
          <w:b/>
          <w:lang w:val="es-ES"/>
        </w:rPr>
        <w:t>R E S O L U T I V O S</w:t>
      </w:r>
      <w:bookmarkEnd w:id="114"/>
      <w:bookmarkEnd w:id="115"/>
      <w:bookmarkEnd w:id="116"/>
      <w:bookmarkEnd w:id="117"/>
      <w:bookmarkEnd w:id="118"/>
      <w:r w:rsidRPr="00FC5408">
        <w:rPr>
          <w:rFonts w:ascii="Palatino Linotype" w:eastAsia="Calibri" w:hAnsi="Palatino Linotype"/>
          <w:b/>
          <w:lang w:val="es-ES"/>
        </w:rPr>
        <w:t xml:space="preserve"> </w:t>
      </w:r>
    </w:p>
    <w:p w14:paraId="3C7175E8" w14:textId="77777777" w:rsidR="00191180" w:rsidRPr="00FC5408" w:rsidRDefault="00191180" w:rsidP="006F7BEF">
      <w:pPr>
        <w:suppressAutoHyphens w:val="0"/>
        <w:spacing w:line="360" w:lineRule="auto"/>
        <w:rPr>
          <w:rFonts w:ascii="Palatino Linotype" w:hAnsi="Palatino Linotype"/>
          <w:lang w:val="es-ES"/>
        </w:rPr>
      </w:pPr>
    </w:p>
    <w:p w14:paraId="67C517A0" w14:textId="668DBFCA" w:rsidR="00191180" w:rsidRPr="00FC5408" w:rsidRDefault="00191180" w:rsidP="006F7BEF">
      <w:pPr>
        <w:suppressAutoHyphens w:val="0"/>
        <w:spacing w:line="360" w:lineRule="auto"/>
        <w:jc w:val="both"/>
        <w:rPr>
          <w:rFonts w:ascii="Palatino Linotype" w:hAnsi="Palatino Linotype" w:cs="Arial"/>
          <w:lang w:val="es-ES"/>
        </w:rPr>
      </w:pPr>
      <w:r w:rsidRPr="00FC5408">
        <w:rPr>
          <w:rFonts w:ascii="Palatino Linotype" w:hAnsi="Palatino Linotype" w:cs="Arial"/>
          <w:b/>
          <w:lang w:val="es-ES_tradnl"/>
        </w:rPr>
        <w:t xml:space="preserve">PRIMERO. </w:t>
      </w:r>
      <w:r w:rsidRPr="00FC5408">
        <w:rPr>
          <w:rFonts w:ascii="Palatino Linotype" w:hAnsi="Palatino Linotype" w:cs="Arial"/>
          <w:lang w:val="es-ES_tradnl"/>
        </w:rPr>
        <w:t>Resultan fundadas las</w:t>
      </w:r>
      <w:r w:rsidRPr="00FC5408">
        <w:rPr>
          <w:rFonts w:ascii="Palatino Linotype" w:hAnsi="Palatino Linotype" w:cs="Arial"/>
          <w:b/>
          <w:lang w:val="es-ES_tradnl"/>
        </w:rPr>
        <w:t xml:space="preserve"> </w:t>
      </w:r>
      <w:r w:rsidRPr="00FC5408">
        <w:rPr>
          <w:rFonts w:ascii="Palatino Linotype" w:hAnsi="Palatino Linotype" w:cs="Arial"/>
          <w:lang w:val="es-ES"/>
        </w:rPr>
        <w:t xml:space="preserve">razones o motivos de inconformidad hechos valer en </w:t>
      </w:r>
      <w:r w:rsidR="00362EFA" w:rsidRPr="00FC5408">
        <w:rPr>
          <w:rFonts w:ascii="Palatino Linotype" w:hAnsi="Palatino Linotype" w:cs="Arial"/>
          <w:lang w:val="es-ES"/>
        </w:rPr>
        <w:t>el</w:t>
      </w:r>
      <w:r w:rsidR="00C211C5" w:rsidRPr="00FC5408">
        <w:rPr>
          <w:rFonts w:ascii="Palatino Linotype" w:hAnsi="Palatino Linotype" w:cs="Arial"/>
          <w:lang w:val="es-ES"/>
        </w:rPr>
        <w:t xml:space="preserve"> </w:t>
      </w:r>
      <w:r w:rsidR="0036339F" w:rsidRPr="00FC5408">
        <w:rPr>
          <w:rFonts w:ascii="Palatino Linotype" w:hAnsi="Palatino Linotype" w:cs="Arial"/>
          <w:lang w:val="es-ES"/>
        </w:rPr>
        <w:t>recurso</w:t>
      </w:r>
      <w:r w:rsidRPr="00FC5408">
        <w:rPr>
          <w:rFonts w:ascii="Palatino Linotype" w:hAnsi="Palatino Linotype" w:cs="Arial"/>
          <w:lang w:val="es-ES"/>
        </w:rPr>
        <w:t xml:space="preserve"> de revisión</w:t>
      </w:r>
      <w:r w:rsidR="00F34127" w:rsidRPr="00FC5408">
        <w:rPr>
          <w:rFonts w:ascii="Palatino Linotype" w:hAnsi="Palatino Linotype" w:cs="Arial"/>
          <w:lang w:val="es-ES"/>
        </w:rPr>
        <w:t xml:space="preserve"> </w:t>
      </w:r>
      <w:r w:rsidR="00362EFA" w:rsidRPr="00FC5408">
        <w:rPr>
          <w:rFonts w:ascii="Palatino Linotype" w:hAnsi="Palatino Linotype" w:cs="Arial"/>
          <w:b/>
          <w:bCs/>
        </w:rPr>
        <w:t xml:space="preserve">00468/INFOEM/IP/RR/2024, </w:t>
      </w:r>
      <w:r w:rsidRPr="00FC5408">
        <w:rPr>
          <w:rFonts w:ascii="Palatino Linotype" w:hAnsi="Palatino Linotype" w:cs="Arial"/>
          <w:bCs/>
          <w:lang w:val="es-ES_tradnl" w:eastAsia="es-MX"/>
        </w:rPr>
        <w:t xml:space="preserve">en términos del </w:t>
      </w:r>
      <w:r w:rsidR="00140F65">
        <w:rPr>
          <w:rFonts w:ascii="Palatino Linotype" w:hAnsi="Palatino Linotype" w:cs="Arial"/>
          <w:b/>
          <w:bCs/>
          <w:lang w:val="es-ES_tradnl" w:eastAsia="es-MX"/>
        </w:rPr>
        <w:t>c</w:t>
      </w:r>
      <w:r w:rsidR="001B030B" w:rsidRPr="00FC5408">
        <w:rPr>
          <w:rFonts w:ascii="Palatino Linotype" w:hAnsi="Palatino Linotype" w:cs="Arial"/>
          <w:b/>
          <w:bCs/>
          <w:lang w:val="es-ES_tradnl" w:eastAsia="es-MX"/>
        </w:rPr>
        <w:t>onsiderando CUARTO</w:t>
      </w:r>
      <w:r w:rsidRPr="00FC5408">
        <w:rPr>
          <w:rFonts w:ascii="Palatino Linotype" w:hAnsi="Palatino Linotype" w:cs="Arial"/>
          <w:b/>
          <w:bCs/>
          <w:lang w:val="es-ES_tradnl" w:eastAsia="es-MX"/>
        </w:rPr>
        <w:t xml:space="preserve"> </w:t>
      </w:r>
      <w:r w:rsidRPr="00FC5408">
        <w:rPr>
          <w:rFonts w:ascii="Palatino Linotype" w:hAnsi="Palatino Linotype" w:cs="Arial"/>
          <w:bCs/>
          <w:lang w:val="es-ES_tradnl" w:eastAsia="es-MX"/>
        </w:rPr>
        <w:t>de la presente resolución.</w:t>
      </w:r>
    </w:p>
    <w:p w14:paraId="0F2846DF" w14:textId="77777777" w:rsidR="00191180" w:rsidRPr="00FC5408" w:rsidRDefault="00191180" w:rsidP="006F7BEF">
      <w:pPr>
        <w:suppressAutoHyphens w:val="0"/>
        <w:spacing w:line="360" w:lineRule="auto"/>
        <w:jc w:val="both"/>
        <w:rPr>
          <w:rFonts w:ascii="Palatino Linotype" w:hAnsi="Palatino Linotype" w:cs="Arial"/>
          <w:bCs/>
          <w:lang w:val="es-ES_tradnl" w:eastAsia="es-MX"/>
        </w:rPr>
      </w:pPr>
    </w:p>
    <w:p w14:paraId="17338226" w14:textId="67039986" w:rsidR="00191180" w:rsidRPr="00FC5408" w:rsidRDefault="00191180" w:rsidP="006F7BEF">
      <w:pPr>
        <w:suppressAutoHyphens w:val="0"/>
        <w:spacing w:line="360" w:lineRule="auto"/>
        <w:jc w:val="both"/>
        <w:rPr>
          <w:rFonts w:ascii="Palatino Linotype" w:eastAsia="Calibri" w:hAnsi="Palatino Linotype" w:cs="Arial"/>
          <w:lang w:val="es-ES"/>
        </w:rPr>
      </w:pPr>
      <w:r w:rsidRPr="00FC5408">
        <w:rPr>
          <w:rFonts w:ascii="Palatino Linotype" w:eastAsia="Calibri" w:hAnsi="Palatino Linotype" w:cs="Arial"/>
          <w:b/>
          <w:bCs/>
          <w:lang w:val="es-ES"/>
        </w:rPr>
        <w:t xml:space="preserve">SEGUNDO. </w:t>
      </w:r>
      <w:r w:rsidRPr="00FC5408">
        <w:rPr>
          <w:rFonts w:ascii="Palatino Linotype" w:eastAsia="Calibri" w:hAnsi="Palatino Linotype" w:cs="Arial"/>
          <w:lang w:val="es-ES"/>
        </w:rPr>
        <w:t xml:space="preserve">Se </w:t>
      </w:r>
      <w:r w:rsidRPr="00FC5408">
        <w:rPr>
          <w:rFonts w:ascii="Palatino Linotype" w:eastAsia="Calibri" w:hAnsi="Palatino Linotype" w:cs="Arial"/>
          <w:b/>
          <w:lang w:val="es-ES"/>
        </w:rPr>
        <w:t xml:space="preserve">ORDENA </w:t>
      </w:r>
      <w:r w:rsidR="00E50771" w:rsidRPr="00FC5408">
        <w:rPr>
          <w:rFonts w:ascii="Palatino Linotype" w:eastAsia="Calibri" w:hAnsi="Palatino Linotype" w:cs="Arial"/>
          <w:lang w:val="es-ES"/>
        </w:rPr>
        <w:t>a</w:t>
      </w:r>
      <w:r w:rsidR="00C02573" w:rsidRPr="00FC5408">
        <w:rPr>
          <w:rFonts w:ascii="Palatino Linotype" w:eastAsia="Calibri" w:hAnsi="Palatino Linotype" w:cs="Arial"/>
          <w:b/>
          <w:lang w:val="es-ES"/>
        </w:rPr>
        <w:t>l</w:t>
      </w:r>
      <w:r w:rsidR="004F20FB" w:rsidRPr="00FC5408">
        <w:rPr>
          <w:rFonts w:ascii="Palatino Linotype" w:eastAsia="Calibri" w:hAnsi="Palatino Linotype" w:cs="Arial"/>
          <w:b/>
          <w:lang w:val="es-ES"/>
        </w:rPr>
        <w:t xml:space="preserve"> </w:t>
      </w:r>
      <w:r w:rsidR="00362EFA" w:rsidRPr="00FC5408">
        <w:rPr>
          <w:rFonts w:ascii="Palatino Linotype" w:eastAsia="Calibri" w:hAnsi="Palatino Linotype" w:cs="Arial"/>
          <w:b/>
          <w:bCs/>
        </w:rPr>
        <w:t>Ayuntamiento de Jaltenco</w:t>
      </w:r>
      <w:r w:rsidR="00140F65">
        <w:rPr>
          <w:rFonts w:ascii="Palatino Linotype" w:eastAsia="Calibri" w:hAnsi="Palatino Linotype" w:cs="Arial"/>
          <w:b/>
          <w:bCs/>
        </w:rPr>
        <w:t>,</w:t>
      </w:r>
      <w:r w:rsidR="0036339F" w:rsidRPr="00FC5408">
        <w:rPr>
          <w:rFonts w:ascii="Palatino Linotype" w:eastAsia="Calibri" w:hAnsi="Palatino Linotype" w:cs="Arial"/>
          <w:b/>
          <w:bCs/>
        </w:rPr>
        <w:t xml:space="preserve"> </w:t>
      </w:r>
      <w:r w:rsidRPr="00FC5408">
        <w:rPr>
          <w:rFonts w:ascii="Palatino Linotype" w:eastAsia="Calibri" w:hAnsi="Palatino Linotype" w:cs="Arial"/>
          <w:lang w:val="es-ES"/>
        </w:rPr>
        <w:t>dar atenció</w:t>
      </w:r>
      <w:r w:rsidR="00C211C5" w:rsidRPr="00FC5408">
        <w:rPr>
          <w:rFonts w:ascii="Palatino Linotype" w:eastAsia="Calibri" w:hAnsi="Palatino Linotype" w:cs="Arial"/>
          <w:lang w:val="es-ES"/>
        </w:rPr>
        <w:t>n a la solicitud</w:t>
      </w:r>
      <w:r w:rsidRPr="00FC5408">
        <w:rPr>
          <w:rFonts w:ascii="Palatino Linotype" w:eastAsia="Calibri" w:hAnsi="Palatino Linotype" w:cs="Arial"/>
          <w:lang w:val="es-ES"/>
        </w:rPr>
        <w:t xml:space="preserve"> de información</w:t>
      </w:r>
      <w:r w:rsidR="000C1CE2" w:rsidRPr="00FC5408">
        <w:rPr>
          <w:rFonts w:ascii="Palatino Linotype" w:eastAsia="Calibri" w:hAnsi="Palatino Linotype" w:cs="Arial"/>
          <w:lang w:val="es-ES"/>
        </w:rPr>
        <w:t xml:space="preserve"> </w:t>
      </w:r>
      <w:r w:rsidR="00362EFA" w:rsidRPr="00FC5408">
        <w:rPr>
          <w:rFonts w:ascii="Palatino Linotype" w:eastAsia="Calibri" w:hAnsi="Palatino Linotype" w:cs="Arial"/>
          <w:b/>
          <w:bCs/>
        </w:rPr>
        <w:t>00003/JALTENCO/IP/2024</w:t>
      </w:r>
      <w:r w:rsidRPr="00FC5408">
        <w:rPr>
          <w:rFonts w:ascii="Palatino Linotype" w:eastAsia="Calibri" w:hAnsi="Palatino Linotype" w:cs="Arial"/>
          <w:b/>
          <w:bCs/>
          <w:lang w:val="es-ES"/>
        </w:rPr>
        <w:t>;</w:t>
      </w:r>
      <w:r w:rsidRPr="00FC5408">
        <w:rPr>
          <w:rFonts w:ascii="Palatino Linotype" w:hAnsi="Palatino Linotype"/>
          <w:b/>
          <w:bCs/>
          <w:color w:val="FF0000"/>
          <w:lang w:val="es-ES_tradnl"/>
        </w:rPr>
        <w:t xml:space="preserve"> </w:t>
      </w:r>
      <w:r w:rsidRPr="00FC5408">
        <w:rPr>
          <w:rFonts w:ascii="Palatino Linotype" w:eastAsia="Calibri" w:hAnsi="Palatino Linotype" w:cs="Arial"/>
          <w:lang w:val="es-ES"/>
        </w:rPr>
        <w:t xml:space="preserve">y, en su caso, entregar la información en la modalidad </w:t>
      </w:r>
      <w:r w:rsidRPr="00FC5408">
        <w:rPr>
          <w:rFonts w:ascii="Palatino Linotype" w:eastAsia="Calibri" w:hAnsi="Palatino Linotype" w:cs="Arial"/>
          <w:lang w:val="es-ES_tradnl"/>
        </w:rPr>
        <w:t>Sistema de Acceso a Información Mexiquense (</w:t>
      </w:r>
      <w:r w:rsidRPr="00FC5408">
        <w:rPr>
          <w:rFonts w:ascii="Palatino Linotype" w:eastAsia="Calibri" w:hAnsi="Palatino Linotype" w:cs="Arial"/>
          <w:b/>
          <w:lang w:val="es-ES"/>
        </w:rPr>
        <w:t>SAIMEX)</w:t>
      </w:r>
      <w:r w:rsidR="00484489" w:rsidRPr="00FC5408">
        <w:rPr>
          <w:rFonts w:ascii="Palatino Linotype" w:eastAsia="Calibri" w:hAnsi="Palatino Linotype" w:cs="Arial"/>
          <w:b/>
          <w:lang w:val="es-ES"/>
        </w:rPr>
        <w:t>.</w:t>
      </w:r>
    </w:p>
    <w:p w14:paraId="2E14BAEE" w14:textId="77777777" w:rsidR="00191180" w:rsidRPr="00FC5408" w:rsidRDefault="00191180" w:rsidP="006F7BEF">
      <w:pPr>
        <w:suppressAutoHyphens w:val="0"/>
        <w:spacing w:line="360" w:lineRule="auto"/>
        <w:jc w:val="both"/>
        <w:rPr>
          <w:rFonts w:ascii="Palatino Linotype" w:eastAsia="Calibri" w:hAnsi="Palatino Linotype" w:cs="Arial"/>
          <w:lang w:val="es-ES"/>
        </w:rPr>
      </w:pPr>
    </w:p>
    <w:p w14:paraId="3DF20CFD" w14:textId="77777777" w:rsidR="00F34127" w:rsidRPr="00FC5408" w:rsidRDefault="00F34127" w:rsidP="00F34127">
      <w:pPr>
        <w:tabs>
          <w:tab w:val="left" w:pos="8080"/>
        </w:tabs>
        <w:suppressAutoHyphens w:val="0"/>
        <w:spacing w:line="360" w:lineRule="auto"/>
        <w:ind w:right="49"/>
        <w:contextualSpacing/>
        <w:jc w:val="both"/>
        <w:rPr>
          <w:rFonts w:ascii="Palatino Linotype" w:eastAsia="Palatino Linotype" w:hAnsi="Palatino Linotype" w:cs="Palatino Linotype"/>
          <w:b/>
          <w:lang w:val="es-ES_tradnl"/>
        </w:rPr>
      </w:pPr>
      <w:r w:rsidRPr="00FC5408">
        <w:rPr>
          <w:rFonts w:ascii="Palatino Linotype" w:eastAsia="Palatino Linotype" w:hAnsi="Palatino Linotype" w:cs="Palatino Linotype"/>
          <w:b/>
          <w:lang w:val="es-ES_tradnl"/>
        </w:rPr>
        <w:t xml:space="preserve">TERCERO. </w:t>
      </w:r>
      <w:r w:rsidRPr="00FC5408">
        <w:rPr>
          <w:rFonts w:ascii="Palatino Linotype" w:eastAsia="Palatino Linotype" w:hAnsi="Palatino Linotype" w:cs="Palatino Linotype"/>
          <w:b/>
          <w:lang w:val="es-ES_tradnl" w:eastAsia="es-MX"/>
        </w:rPr>
        <w:t xml:space="preserve">Notifíquese </w:t>
      </w:r>
      <w:r w:rsidRPr="00FC5408">
        <w:rPr>
          <w:rFonts w:ascii="Palatino Linotype" w:eastAsia="Palatino Linotype" w:hAnsi="Palatino Linotype" w:cs="Palatino Linotype"/>
          <w:b/>
          <w:lang w:val="es-ES" w:eastAsia="es-MX"/>
        </w:rPr>
        <w:t xml:space="preserve">vía SAIMEX </w:t>
      </w:r>
      <w:r w:rsidRPr="00FC5408">
        <w:rPr>
          <w:rFonts w:ascii="Palatino Linotype" w:eastAsia="Palatino Linotype" w:hAnsi="Palatino Linotype" w:cs="Palatino Linotype"/>
          <w:lang w:val="es-ES" w:eastAsia="es-MX"/>
        </w:rPr>
        <w:t xml:space="preserve">la presente resolución al Titular de la Unidad de Transparencia del </w:t>
      </w:r>
      <w:r w:rsidRPr="00FC5408">
        <w:rPr>
          <w:rFonts w:ascii="Palatino Linotype" w:eastAsia="Palatino Linotype" w:hAnsi="Palatino Linotype" w:cs="Palatino Linotype"/>
          <w:b/>
          <w:lang w:val="es-ES" w:eastAsia="es-MX"/>
        </w:rPr>
        <w:t>SUJETO OBLIGADO</w:t>
      </w:r>
      <w:r w:rsidRPr="00FC5408">
        <w:rPr>
          <w:rFonts w:ascii="Palatino Linotype" w:eastAsia="Palatino Linotype" w:hAnsi="Palatino Linotype" w:cs="Palatino Linotype"/>
          <w:lang w:val="es-ES" w:eastAsia="es-MX"/>
        </w:rPr>
        <w:t xml:space="preserve">, para que conforme al artículo 186 último párrafo, 189 segundo párrafo y 194 de la Ley de Transparencia y Acceso a la Información Pública del Estado de México y Municipios </w:t>
      </w:r>
      <w:r w:rsidRPr="00140F65">
        <w:rPr>
          <w:rFonts w:ascii="Palatino Linotype" w:eastAsia="Palatino Linotype" w:hAnsi="Palatino Linotype" w:cs="Palatino Linotype"/>
          <w:b/>
          <w:lang w:val="es-ES" w:eastAsia="es-MX"/>
        </w:rPr>
        <w:t xml:space="preserve">dé cumplimiento a lo ordenado dentro del plazo de diez días hábiles, </w:t>
      </w:r>
      <w:r w:rsidRPr="00FC5408">
        <w:rPr>
          <w:rFonts w:ascii="Palatino Linotype" w:eastAsia="Palatino Linotype" w:hAnsi="Palatino Linotype" w:cs="Palatino Linotype"/>
          <w:lang w:val="es-ES" w:eastAsia="es-MX"/>
        </w:rPr>
        <w:t xml:space="preserve">e informe a este Instituto en un plazo </w:t>
      </w:r>
      <w:r w:rsidRPr="00FC5408">
        <w:rPr>
          <w:rFonts w:ascii="Palatino Linotype" w:eastAsia="Palatino Linotype" w:hAnsi="Palatino Linotype" w:cs="Palatino Linotype"/>
          <w:lang w:val="es-ES" w:eastAsia="es-MX"/>
        </w:rPr>
        <w:lastRenderedPageBreak/>
        <w:t xml:space="preserve">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y el título noveno, capítulo primero de la referida Ley de Transparencia y Acceso a la Información Pública del Estado de México y Municipios. </w:t>
      </w:r>
    </w:p>
    <w:p w14:paraId="6FD4660F" w14:textId="77777777" w:rsidR="00191180" w:rsidRPr="00FC5408" w:rsidRDefault="00191180" w:rsidP="006F7BEF">
      <w:pPr>
        <w:shd w:val="clear" w:color="auto" w:fill="FFFFFF"/>
        <w:suppressAutoHyphens w:val="0"/>
        <w:spacing w:line="360" w:lineRule="auto"/>
        <w:jc w:val="both"/>
        <w:rPr>
          <w:rFonts w:ascii="Palatino Linotype" w:hAnsi="Palatino Linotype" w:cs="Arial"/>
          <w:b/>
          <w:lang w:val="es-ES_tradnl"/>
        </w:rPr>
      </w:pPr>
    </w:p>
    <w:p w14:paraId="425C32FA" w14:textId="6D051CFD" w:rsidR="00191180" w:rsidRPr="00FC5408" w:rsidRDefault="00191180" w:rsidP="006F7BEF">
      <w:pPr>
        <w:shd w:val="clear" w:color="auto" w:fill="FFFFFF"/>
        <w:suppressAutoHyphens w:val="0"/>
        <w:spacing w:line="360" w:lineRule="auto"/>
        <w:jc w:val="both"/>
        <w:rPr>
          <w:rFonts w:ascii="Palatino Linotype" w:eastAsia="MS Mincho" w:hAnsi="Palatino Linotype"/>
          <w:lang w:val="es-ES_tradnl"/>
        </w:rPr>
      </w:pPr>
      <w:r w:rsidRPr="00FC5408">
        <w:rPr>
          <w:rFonts w:ascii="Palatino Linotype" w:hAnsi="Palatino Linotype" w:cs="Arial"/>
          <w:b/>
          <w:lang w:val="es-ES_tradnl"/>
        </w:rPr>
        <w:t xml:space="preserve">CUARTO. </w:t>
      </w:r>
      <w:r w:rsidRPr="00FC5408">
        <w:rPr>
          <w:rFonts w:ascii="Palatino Linotype" w:hAnsi="Palatino Linotype"/>
          <w:b/>
          <w:bCs/>
          <w:color w:val="222222"/>
          <w:lang w:val="es-ES"/>
        </w:rPr>
        <w:t xml:space="preserve">Notifíquese </w:t>
      </w:r>
      <w:r w:rsidRPr="00FC5408">
        <w:rPr>
          <w:rFonts w:ascii="Palatino Linotype" w:hAnsi="Palatino Linotype"/>
          <w:bCs/>
          <w:color w:val="222222"/>
          <w:lang w:val="es-ES"/>
        </w:rPr>
        <w:t>a</w:t>
      </w:r>
      <w:r w:rsidR="00526F88" w:rsidRPr="00FC5408">
        <w:rPr>
          <w:rFonts w:ascii="Palatino Linotype" w:hAnsi="Palatino Linotype"/>
          <w:lang w:val="es-ES_tradnl"/>
        </w:rPr>
        <w:t xml:space="preserve"> la parte </w:t>
      </w:r>
      <w:r w:rsidR="00526F88" w:rsidRPr="00FC5408">
        <w:rPr>
          <w:rFonts w:ascii="Palatino Linotype" w:hAnsi="Palatino Linotype"/>
          <w:b/>
          <w:lang w:val="es-ES_tradnl"/>
        </w:rPr>
        <w:t>RECURRENTE</w:t>
      </w:r>
      <w:r w:rsidR="00526F88" w:rsidRPr="00FC5408">
        <w:rPr>
          <w:rFonts w:ascii="Palatino Linotype" w:hAnsi="Palatino Linotype"/>
          <w:lang w:val="es-ES_tradnl"/>
        </w:rPr>
        <w:t xml:space="preserve"> </w:t>
      </w:r>
      <w:r w:rsidRPr="00FC5408">
        <w:rPr>
          <w:rFonts w:ascii="Palatino Linotype" w:hAnsi="Palatino Linotype"/>
          <w:lang w:val="es-ES_tradnl"/>
        </w:rPr>
        <w:t>la presente resolución</w:t>
      </w:r>
      <w:r w:rsidR="00F032A7" w:rsidRPr="00FC5408">
        <w:rPr>
          <w:rFonts w:ascii="Palatino Linotype" w:eastAsia="MS Mincho" w:hAnsi="Palatino Linotype"/>
          <w:lang w:val="es-ES_tradnl"/>
        </w:rPr>
        <w:t xml:space="preserve"> vía Sistema de Acceso a Información Mexiquense (</w:t>
      </w:r>
      <w:r w:rsidR="008B4757" w:rsidRPr="00FC5408">
        <w:rPr>
          <w:rFonts w:ascii="Palatino Linotype" w:eastAsia="MS Mincho" w:hAnsi="Palatino Linotype"/>
          <w:b/>
          <w:lang w:val="es-ES"/>
        </w:rPr>
        <w:t>SAIMEX).</w:t>
      </w:r>
    </w:p>
    <w:p w14:paraId="661C7F74" w14:textId="77777777" w:rsidR="00191180" w:rsidRPr="00FC5408" w:rsidRDefault="00191180" w:rsidP="006F7BEF">
      <w:pPr>
        <w:shd w:val="clear" w:color="auto" w:fill="FFFFFF"/>
        <w:suppressAutoHyphens w:val="0"/>
        <w:spacing w:line="360" w:lineRule="auto"/>
        <w:jc w:val="both"/>
        <w:rPr>
          <w:rFonts w:ascii="Palatino Linotype" w:eastAsia="MS Mincho" w:hAnsi="Palatino Linotype"/>
          <w:lang w:val="es-ES_tradnl"/>
        </w:rPr>
      </w:pPr>
    </w:p>
    <w:p w14:paraId="6E526EC9" w14:textId="21DE1017" w:rsidR="00191180" w:rsidRPr="00FC5408" w:rsidRDefault="00191180" w:rsidP="006F7BEF">
      <w:pPr>
        <w:shd w:val="clear" w:color="auto" w:fill="FFFFFF"/>
        <w:suppressAutoHyphens w:val="0"/>
        <w:spacing w:line="360" w:lineRule="auto"/>
        <w:jc w:val="both"/>
        <w:rPr>
          <w:rFonts w:ascii="Palatino Linotype" w:eastAsia="MS Mincho" w:hAnsi="Palatino Linotype"/>
          <w:lang w:val="es-ES"/>
        </w:rPr>
      </w:pPr>
      <w:r w:rsidRPr="00FC5408">
        <w:rPr>
          <w:rFonts w:ascii="Palatino Linotype" w:eastAsia="MS Mincho" w:hAnsi="Palatino Linotype"/>
          <w:b/>
        </w:rPr>
        <w:t>QUINTO.</w:t>
      </w:r>
      <w:r w:rsidRPr="00FC5408">
        <w:rPr>
          <w:rFonts w:ascii="Palatino Linotype" w:eastAsia="MS Mincho" w:hAnsi="Palatino Linotype"/>
        </w:rPr>
        <w:t xml:space="preserve"> </w:t>
      </w:r>
      <w:r w:rsidRPr="00FC5408">
        <w:rPr>
          <w:rFonts w:ascii="Palatino Linotype" w:eastAsia="MS Mincho" w:hAnsi="Palatino Linotype"/>
          <w:lang w:val="es-ES"/>
        </w:rPr>
        <w:t>Se hace del conocimiento de</w:t>
      </w:r>
      <w:r w:rsidR="00526F88" w:rsidRPr="00FC5408">
        <w:rPr>
          <w:rFonts w:ascii="Palatino Linotype" w:eastAsia="MS Mincho" w:hAnsi="Palatino Linotype"/>
          <w:lang w:val="es-ES"/>
        </w:rPr>
        <w:t xml:space="preserve"> la parte</w:t>
      </w:r>
      <w:r w:rsidR="00526F88" w:rsidRPr="00FC5408">
        <w:rPr>
          <w:rFonts w:ascii="Palatino Linotype" w:hAnsi="Palatino Linotype"/>
          <w:b/>
          <w:lang w:val="es-ES_tradnl"/>
        </w:rPr>
        <w:t xml:space="preserve"> </w:t>
      </w:r>
      <w:r w:rsidR="00526F88" w:rsidRPr="00FC5408">
        <w:rPr>
          <w:rFonts w:ascii="Palatino Linotype" w:eastAsia="MS Mincho" w:hAnsi="Palatino Linotype"/>
          <w:b/>
          <w:lang w:val="es-ES_tradnl"/>
        </w:rPr>
        <w:t>RECURRENTE</w:t>
      </w:r>
      <w:r w:rsidR="00FB5766" w:rsidRPr="00FC5408">
        <w:rPr>
          <w:rFonts w:ascii="Palatino Linotype" w:eastAsia="MS Mincho" w:hAnsi="Palatino Linotype"/>
          <w:lang w:val="es-ES"/>
        </w:rPr>
        <w:t xml:space="preserve"> </w:t>
      </w:r>
      <w:r w:rsidRPr="00FC5408">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FC5408">
        <w:rPr>
          <w:rFonts w:ascii="Palatino Linotype" w:eastAsia="MS Mincho" w:hAnsi="Palatino Linotype"/>
          <w:bCs/>
          <w:lang w:val="es-ES"/>
        </w:rPr>
        <w:t>vía juicio de amparo</w:t>
      </w:r>
      <w:r w:rsidRPr="00FC5408">
        <w:rPr>
          <w:rFonts w:ascii="Palatino Linotype" w:eastAsia="MS Mincho" w:hAnsi="Palatino Linotype"/>
          <w:lang w:val="es-ES"/>
        </w:rPr>
        <w:t> en los términos de las leyes aplicables.</w:t>
      </w:r>
    </w:p>
    <w:p w14:paraId="6B711991" w14:textId="77777777" w:rsidR="00191180" w:rsidRPr="00FC5408" w:rsidRDefault="00191180" w:rsidP="006F7BEF">
      <w:pPr>
        <w:suppressAutoHyphens w:val="0"/>
        <w:spacing w:line="360" w:lineRule="auto"/>
        <w:jc w:val="both"/>
        <w:rPr>
          <w:rFonts w:ascii="Palatino Linotype" w:eastAsia="MS Mincho" w:hAnsi="Palatino Linotype"/>
          <w:b/>
          <w:lang w:val="es-ES_tradnl"/>
        </w:rPr>
      </w:pPr>
    </w:p>
    <w:p w14:paraId="6CEEB5F3" w14:textId="29012A72" w:rsidR="00191180" w:rsidRPr="00FC5408" w:rsidRDefault="00191180" w:rsidP="006F7BEF">
      <w:pPr>
        <w:suppressAutoHyphens w:val="0"/>
        <w:spacing w:line="360" w:lineRule="auto"/>
        <w:jc w:val="both"/>
        <w:rPr>
          <w:rFonts w:ascii="Palatino Linotype" w:eastAsia="MS Mincho" w:hAnsi="Palatino Linotype"/>
          <w:lang w:val="es-ES"/>
        </w:rPr>
      </w:pPr>
      <w:r w:rsidRPr="00FC5408">
        <w:rPr>
          <w:rFonts w:ascii="Palatino Linotype" w:eastAsia="MS Mincho" w:hAnsi="Palatino Linotype"/>
          <w:b/>
          <w:lang w:val="es-ES_tradnl"/>
        </w:rPr>
        <w:t xml:space="preserve">SEXTO. </w:t>
      </w:r>
      <w:r w:rsidRPr="00FC5408">
        <w:rPr>
          <w:rFonts w:ascii="Palatino Linotype" w:eastAsia="MS Mincho" w:hAnsi="Palatino Linotype"/>
          <w:lang w:val="es-ES"/>
        </w:rPr>
        <w:t>Hágase del conocimiento de</w:t>
      </w:r>
      <w:r w:rsidR="00526F88" w:rsidRPr="00FC5408">
        <w:rPr>
          <w:rFonts w:ascii="Palatino Linotype" w:hAnsi="Palatino Linotype"/>
          <w:b/>
          <w:lang w:val="es-ES_tradnl"/>
        </w:rPr>
        <w:t xml:space="preserve"> </w:t>
      </w:r>
      <w:r w:rsidR="00526F88" w:rsidRPr="00FC5408">
        <w:rPr>
          <w:rFonts w:ascii="Palatino Linotype" w:hAnsi="Palatino Linotype"/>
          <w:b/>
          <w:lang w:val="es-ES"/>
        </w:rPr>
        <w:t>la parte</w:t>
      </w:r>
      <w:r w:rsidR="00526F88" w:rsidRPr="00FC5408">
        <w:rPr>
          <w:rFonts w:ascii="Palatino Linotype" w:hAnsi="Palatino Linotype"/>
          <w:b/>
          <w:lang w:val="es-ES_tradnl"/>
        </w:rPr>
        <w:t xml:space="preserve"> RECURRENTE</w:t>
      </w:r>
      <w:r w:rsidR="00C16632" w:rsidRPr="00FC5408">
        <w:rPr>
          <w:rFonts w:ascii="Palatino Linotype" w:hAnsi="Palatino Linotype"/>
          <w:b/>
          <w:lang w:val="es-ES"/>
        </w:rPr>
        <w:t xml:space="preserve"> </w:t>
      </w:r>
      <w:r w:rsidRPr="00FC5408">
        <w:rPr>
          <w:rFonts w:ascii="Palatino Linotype" w:eastAsia="MS Mincho" w:hAnsi="Palatino Linotype"/>
          <w:lang w:val="es-ES"/>
        </w:rPr>
        <w:t>que las respuestas que dé el</w:t>
      </w:r>
      <w:r w:rsidRPr="00FC5408">
        <w:rPr>
          <w:rFonts w:ascii="Palatino Linotype" w:eastAsia="MS Mincho" w:hAnsi="Palatino Linotype"/>
          <w:b/>
          <w:lang w:val="es-ES"/>
        </w:rPr>
        <w:t xml:space="preserve"> SUJETO OBLIGADO</w:t>
      </w:r>
      <w:r w:rsidRPr="00FC5408">
        <w:rPr>
          <w:rFonts w:ascii="Palatino Linotype" w:eastAsia="MS Mincho" w:hAnsi="Palatino Linotype"/>
          <w:lang w:val="es-ES"/>
        </w:rPr>
        <w:t xml:space="preserve"> derivada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1CC7293C" w14:textId="77777777" w:rsidR="00191180" w:rsidRPr="00FC5408" w:rsidRDefault="00191180" w:rsidP="006F7BEF">
      <w:pPr>
        <w:suppressAutoHyphens w:val="0"/>
        <w:spacing w:line="360" w:lineRule="auto"/>
        <w:jc w:val="both"/>
        <w:rPr>
          <w:rFonts w:ascii="Palatino Linotype" w:eastAsia="MS Mincho" w:hAnsi="Palatino Linotype"/>
          <w:b/>
          <w:lang w:val="es-ES_tradnl"/>
        </w:rPr>
      </w:pPr>
    </w:p>
    <w:p w14:paraId="1F85A350" w14:textId="3E1097B1" w:rsidR="00191180" w:rsidRPr="00FC5408" w:rsidRDefault="00191180" w:rsidP="006F7BEF">
      <w:pPr>
        <w:suppressAutoHyphens w:val="0"/>
        <w:spacing w:line="360" w:lineRule="auto"/>
        <w:jc w:val="both"/>
        <w:rPr>
          <w:rFonts w:ascii="Palatino Linotype" w:eastAsia="MS Mincho" w:hAnsi="Palatino Linotype"/>
          <w:b/>
          <w:lang w:val="es-ES_tradnl"/>
        </w:rPr>
      </w:pPr>
      <w:r w:rsidRPr="00FC5408">
        <w:rPr>
          <w:rFonts w:ascii="Palatino Linotype" w:eastAsia="MS Mincho" w:hAnsi="Palatino Linotype"/>
          <w:b/>
          <w:lang w:val="es-ES_tradnl"/>
        </w:rPr>
        <w:t>SÉPTIMO.</w:t>
      </w:r>
      <w:r w:rsidRPr="00FC5408">
        <w:rPr>
          <w:rFonts w:ascii="Palatino Linotype" w:eastAsia="MS Mincho" w:hAnsi="Palatino Linotype"/>
          <w:lang w:val="es-ES_tradnl"/>
        </w:rPr>
        <w:t xml:space="preserve"> </w:t>
      </w:r>
      <w:r w:rsidR="00F34127" w:rsidRPr="00FC5408">
        <w:rPr>
          <w:rFonts w:ascii="Palatino Linotype" w:eastAsia="MS Mincho" w:hAnsi="Palatino Linotype"/>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w:t>
      </w:r>
      <w:r w:rsidR="00F34127" w:rsidRPr="00FC5408">
        <w:rPr>
          <w:rFonts w:ascii="Palatino Linotype" w:eastAsia="MS Mincho" w:hAnsi="Palatino Linotype"/>
          <w:lang w:val="es-ES"/>
        </w:rPr>
        <w:lastRenderedPageBreak/>
        <w:t xml:space="preserve">Información Pública del Estado de México y Municipios, determine lo conducente, en términos de lo señalado en el Considerando </w:t>
      </w:r>
      <w:r w:rsidR="00F34127" w:rsidRPr="00FC5408">
        <w:rPr>
          <w:rFonts w:ascii="Palatino Linotype" w:eastAsia="MS Mincho" w:hAnsi="Palatino Linotype"/>
          <w:b/>
          <w:lang w:val="es-ES"/>
        </w:rPr>
        <w:t>SEXTO</w:t>
      </w:r>
      <w:r w:rsidR="00F34127" w:rsidRPr="00FC5408">
        <w:rPr>
          <w:rFonts w:ascii="Palatino Linotype" w:eastAsia="MS Mincho" w:hAnsi="Palatino Linotype"/>
          <w:lang w:val="es-ES"/>
        </w:rPr>
        <w:t xml:space="preserve"> de la presente Resolución.</w:t>
      </w:r>
    </w:p>
    <w:bookmarkEnd w:id="23"/>
    <w:bookmarkEnd w:id="24"/>
    <w:bookmarkEnd w:id="25"/>
    <w:bookmarkEnd w:id="26"/>
    <w:bookmarkEnd w:id="27"/>
    <w:bookmarkEnd w:id="28"/>
    <w:bookmarkEnd w:id="31"/>
    <w:p w14:paraId="1112E612" w14:textId="77777777" w:rsidR="00591E1A" w:rsidRPr="00FC5408" w:rsidRDefault="00591E1A" w:rsidP="00591E1A">
      <w:pPr>
        <w:shd w:val="clear" w:color="auto" w:fill="FFFFFF"/>
        <w:spacing w:line="360" w:lineRule="auto"/>
        <w:jc w:val="both"/>
        <w:rPr>
          <w:rFonts w:ascii="Palatino Linotype" w:hAnsi="Palatino Linotype"/>
          <w:lang w:val="es-ES" w:eastAsia="es-MX"/>
        </w:rPr>
      </w:pPr>
    </w:p>
    <w:p w14:paraId="2664C3A3" w14:textId="77777777" w:rsidR="00CE5462" w:rsidRPr="009E648F" w:rsidRDefault="00CE5462" w:rsidP="00CE5462">
      <w:pPr>
        <w:spacing w:before="240" w:after="240" w:line="360" w:lineRule="auto"/>
        <w:ind w:firstLine="1"/>
        <w:jc w:val="both"/>
        <w:rPr>
          <w:rStyle w:val="Referenciasutil"/>
          <w:rFonts w:ascii="Palatino Linotype" w:eastAsiaTheme="majorEastAsia" w:hAnsi="Palatino Linotype"/>
          <w:color w:val="auto"/>
        </w:rPr>
      </w:pPr>
      <w:bookmarkStart w:id="119" w:name="_Hlk129792997"/>
      <w:r w:rsidRPr="009E648F">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w:t>
      </w:r>
      <w:r>
        <w:rPr>
          <w:rStyle w:val="Referenciasutil"/>
          <w:rFonts w:ascii="Palatino Linotype" w:eastAsiaTheme="majorEastAsia" w:hAnsi="Palatino Linotype"/>
          <w:color w:val="auto"/>
        </w:rPr>
        <w:t>DALUPE RAMÍREZ PEÑA; EN LA SÉPTIMA</w:t>
      </w:r>
      <w:r w:rsidRPr="009E648F">
        <w:rPr>
          <w:rStyle w:val="Referenciasutil"/>
          <w:rFonts w:ascii="Palatino Linotype" w:eastAsiaTheme="majorEastAsia" w:hAnsi="Palatino Linotype"/>
          <w:color w:val="auto"/>
        </w:rPr>
        <w:t xml:space="preserve"> SESIÓ</w:t>
      </w:r>
      <w:r>
        <w:rPr>
          <w:rStyle w:val="Referenciasutil"/>
          <w:rFonts w:ascii="Palatino Linotype" w:eastAsiaTheme="majorEastAsia" w:hAnsi="Palatino Linotype"/>
          <w:color w:val="auto"/>
        </w:rPr>
        <w:t>N ORDINARIA CELEBRADA EL VEINTIOCHO</w:t>
      </w:r>
      <w:r w:rsidRPr="009E648F">
        <w:rPr>
          <w:rStyle w:val="Referenciasutil"/>
          <w:rFonts w:ascii="Palatino Linotype" w:eastAsiaTheme="majorEastAsia" w:hAnsi="Palatino Linotype"/>
          <w:color w:val="auto"/>
        </w:rPr>
        <w:t xml:space="preserve"> (</w:t>
      </w:r>
      <w:r>
        <w:rPr>
          <w:rStyle w:val="Referenciasutil"/>
          <w:rFonts w:ascii="Palatino Linotype" w:eastAsiaTheme="majorEastAsia" w:hAnsi="Palatino Linotype"/>
          <w:color w:val="auto"/>
        </w:rPr>
        <w:t>28</w:t>
      </w:r>
      <w:r w:rsidRPr="009E648F">
        <w:rPr>
          <w:rStyle w:val="Referenciasutil"/>
          <w:rFonts w:ascii="Palatino Linotype" w:eastAsiaTheme="majorEastAsia" w:hAnsi="Palatino Linotype"/>
          <w:color w:val="auto"/>
        </w:rPr>
        <w:t xml:space="preserve">) DE FEBRERO DE DOS MIL VEINTICUATRO, ANTE EL SECRETARIO TÉCNICO DEL PLENO ALEXIS TAPIA RAMÍREZ. </w:t>
      </w:r>
      <w:bookmarkEnd w:id="119"/>
    </w:p>
    <w:p w14:paraId="46A719F1"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0B899650"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38583270"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2A93BA95"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0069B7A8"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72B74D1E"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7D1674BA"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61890352"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60515573"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2B4815DD"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077B8725"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28FC5156"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72C9213D"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290D0890"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740E4943"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631D7E15"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p w14:paraId="7D7AD773" w14:textId="77777777" w:rsidR="00140F65" w:rsidRDefault="00140F65" w:rsidP="00140F65">
      <w:pPr>
        <w:spacing w:before="240" w:after="240" w:line="360" w:lineRule="auto"/>
        <w:ind w:firstLine="1"/>
        <w:jc w:val="both"/>
        <w:rPr>
          <w:rStyle w:val="Referenciasutil"/>
          <w:rFonts w:ascii="Palatino Linotype" w:eastAsiaTheme="majorEastAsia" w:hAnsi="Palatino Linotype"/>
          <w:color w:val="auto"/>
        </w:rPr>
      </w:pPr>
    </w:p>
    <w:sectPr w:rsidR="00140F65" w:rsidSect="00FC5408">
      <w:headerReference w:type="default" r:id="rId9"/>
      <w:footerReference w:type="default" r:id="rId10"/>
      <w:headerReference w:type="first" r:id="rId11"/>
      <w:footerReference w:type="first" r:id="rId12"/>
      <w:pgSz w:w="12240" w:h="15840"/>
      <w:pgMar w:top="1418" w:right="1325" w:bottom="1418" w:left="1701" w:header="709" w:footer="10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262E" w14:textId="77777777" w:rsidR="00F746D5" w:rsidRDefault="00F746D5" w:rsidP="00B41C9D">
      <w:r>
        <w:separator/>
      </w:r>
    </w:p>
  </w:endnote>
  <w:endnote w:type="continuationSeparator" w:id="0">
    <w:p w14:paraId="45B3AEC4" w14:textId="77777777" w:rsidR="00F746D5" w:rsidRDefault="00F746D5" w:rsidP="00B4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BB49" w14:textId="66C41429" w:rsidR="00FC5408" w:rsidRDefault="00FC5408">
    <w:pPr>
      <w:pStyle w:val="Piedepgina"/>
      <w:jc w:val="right"/>
      <w:rPr>
        <w:rFonts w:ascii="Palatino Linotype" w:hAnsi="Palatino Linotype" w:cs="Arial"/>
        <w:bCs/>
      </w:rPr>
    </w:pPr>
    <w:r>
      <w:rPr>
        <w:rFonts w:ascii="Palatino Linotype" w:hAnsi="Palatino Linotype" w:cs="Arial"/>
        <w:bCs/>
      </w:rPr>
      <w:t xml:space="preserve">Página </w:t>
    </w:r>
    <w:r>
      <w:rPr>
        <w:rFonts w:ascii="Palatino Linotype" w:hAnsi="Palatino Linotype" w:cs="Arial"/>
        <w:bCs/>
      </w:rPr>
      <w:fldChar w:fldCharType="begin"/>
    </w:r>
    <w:r>
      <w:rPr>
        <w:rFonts w:ascii="Palatino Linotype" w:hAnsi="Palatino Linotype" w:cs="Arial"/>
        <w:bCs/>
      </w:rPr>
      <w:instrText>PAGE</w:instrText>
    </w:r>
    <w:r>
      <w:rPr>
        <w:rFonts w:ascii="Palatino Linotype" w:hAnsi="Palatino Linotype" w:cs="Arial"/>
        <w:bCs/>
      </w:rPr>
      <w:fldChar w:fldCharType="separate"/>
    </w:r>
    <w:r w:rsidR="008116F5">
      <w:rPr>
        <w:rFonts w:ascii="Palatino Linotype" w:hAnsi="Palatino Linotype" w:cs="Arial"/>
        <w:bCs/>
        <w:noProof/>
      </w:rPr>
      <w:t>22</w:t>
    </w:r>
    <w:r>
      <w:rPr>
        <w:rFonts w:ascii="Palatino Linotype" w:hAnsi="Palatino Linotype" w:cs="Arial"/>
        <w:bCs/>
      </w:rPr>
      <w:fldChar w:fldCharType="end"/>
    </w:r>
    <w:r>
      <w:rPr>
        <w:rFonts w:ascii="Palatino Linotype" w:hAnsi="Palatino Linotype" w:cs="Arial"/>
        <w:bCs/>
      </w:rPr>
      <w:t xml:space="preserve"> de </w:t>
    </w:r>
    <w:r>
      <w:rPr>
        <w:rFonts w:ascii="Palatino Linotype" w:hAnsi="Palatino Linotype" w:cs="Arial"/>
        <w:bCs/>
      </w:rPr>
      <w:fldChar w:fldCharType="begin"/>
    </w:r>
    <w:r>
      <w:rPr>
        <w:rFonts w:ascii="Palatino Linotype" w:hAnsi="Palatino Linotype" w:cs="Arial"/>
        <w:bCs/>
      </w:rPr>
      <w:instrText>NUMPAGES</w:instrText>
    </w:r>
    <w:r>
      <w:rPr>
        <w:rFonts w:ascii="Palatino Linotype" w:hAnsi="Palatino Linotype" w:cs="Arial"/>
        <w:bCs/>
      </w:rPr>
      <w:fldChar w:fldCharType="separate"/>
    </w:r>
    <w:r w:rsidR="008116F5">
      <w:rPr>
        <w:rFonts w:ascii="Palatino Linotype" w:hAnsi="Palatino Linotype" w:cs="Arial"/>
        <w:bCs/>
        <w:noProof/>
      </w:rPr>
      <w:t>59</w:t>
    </w:r>
    <w:r>
      <w:rPr>
        <w:rFonts w:ascii="Palatino Linotype" w:hAnsi="Palatino Linotype"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1A9B" w14:textId="1AAE1861" w:rsidR="00FC5408" w:rsidRDefault="00FC5408">
    <w:pPr>
      <w:pStyle w:val="Piedepgina"/>
      <w:spacing w:before="120"/>
      <w:jc w:val="right"/>
      <w:rPr>
        <w:rFonts w:ascii="Palatino Linotype" w:hAnsi="Palatino Linotype" w:cs="Arial"/>
        <w:bCs/>
      </w:rPr>
    </w:pPr>
    <w:r>
      <w:rPr>
        <w:rFonts w:ascii="Palatino Linotype" w:hAnsi="Palatino Linotype" w:cs="Arial"/>
        <w:bCs/>
      </w:rPr>
      <w:t xml:space="preserve">Página </w:t>
    </w:r>
    <w:r>
      <w:rPr>
        <w:rFonts w:ascii="Palatino Linotype" w:hAnsi="Palatino Linotype" w:cs="Arial"/>
        <w:bCs/>
      </w:rPr>
      <w:fldChar w:fldCharType="begin"/>
    </w:r>
    <w:r>
      <w:rPr>
        <w:rFonts w:ascii="Palatino Linotype" w:hAnsi="Palatino Linotype" w:cs="Arial"/>
        <w:bCs/>
      </w:rPr>
      <w:instrText>PAGE</w:instrText>
    </w:r>
    <w:r>
      <w:rPr>
        <w:rFonts w:ascii="Palatino Linotype" w:hAnsi="Palatino Linotype" w:cs="Arial"/>
        <w:bCs/>
      </w:rPr>
      <w:fldChar w:fldCharType="separate"/>
    </w:r>
    <w:r w:rsidR="008116F5">
      <w:rPr>
        <w:rFonts w:ascii="Palatino Linotype" w:hAnsi="Palatino Linotype" w:cs="Arial"/>
        <w:bCs/>
        <w:noProof/>
      </w:rPr>
      <w:t>1</w:t>
    </w:r>
    <w:r>
      <w:rPr>
        <w:rFonts w:ascii="Palatino Linotype" w:hAnsi="Palatino Linotype" w:cs="Arial"/>
        <w:bCs/>
      </w:rPr>
      <w:fldChar w:fldCharType="end"/>
    </w:r>
    <w:r>
      <w:rPr>
        <w:rFonts w:ascii="Palatino Linotype" w:hAnsi="Palatino Linotype" w:cs="Arial"/>
      </w:rPr>
      <w:t xml:space="preserve"> de </w:t>
    </w:r>
    <w:r>
      <w:rPr>
        <w:rFonts w:ascii="Palatino Linotype" w:hAnsi="Palatino Linotype" w:cs="Arial"/>
        <w:bCs/>
      </w:rPr>
      <w:fldChar w:fldCharType="begin"/>
    </w:r>
    <w:r>
      <w:rPr>
        <w:rFonts w:ascii="Palatino Linotype" w:hAnsi="Palatino Linotype" w:cs="Arial"/>
        <w:bCs/>
      </w:rPr>
      <w:instrText>NUMPAGES</w:instrText>
    </w:r>
    <w:r>
      <w:rPr>
        <w:rFonts w:ascii="Palatino Linotype" w:hAnsi="Palatino Linotype" w:cs="Arial"/>
        <w:bCs/>
      </w:rPr>
      <w:fldChar w:fldCharType="separate"/>
    </w:r>
    <w:r w:rsidR="008116F5">
      <w:rPr>
        <w:rFonts w:ascii="Palatino Linotype" w:hAnsi="Palatino Linotype" w:cs="Arial"/>
        <w:bCs/>
        <w:noProof/>
      </w:rPr>
      <w:t>59</w:t>
    </w:r>
    <w:r>
      <w:rPr>
        <w:rFonts w:ascii="Palatino Linotype" w:hAnsi="Palatino Linotype"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3D28" w14:textId="77777777" w:rsidR="00F746D5" w:rsidRDefault="00F746D5" w:rsidP="00B41C9D">
      <w:r>
        <w:separator/>
      </w:r>
    </w:p>
  </w:footnote>
  <w:footnote w:type="continuationSeparator" w:id="0">
    <w:p w14:paraId="70EEA0FB" w14:textId="77777777" w:rsidR="00F746D5" w:rsidRDefault="00F746D5" w:rsidP="00B41C9D">
      <w:r>
        <w:continuationSeparator/>
      </w:r>
    </w:p>
  </w:footnote>
  <w:footnote w:id="1">
    <w:p w14:paraId="4E420C67" w14:textId="06C62EDB" w:rsidR="00FC5408" w:rsidRPr="00780970" w:rsidRDefault="00FC5408" w:rsidP="00780970">
      <w:pPr>
        <w:tabs>
          <w:tab w:val="left" w:pos="0"/>
        </w:tabs>
        <w:suppressAutoHyphens w:val="0"/>
        <w:ind w:right="567"/>
        <w:jc w:val="both"/>
        <w:rPr>
          <w:rFonts w:ascii="Palatino Linotype" w:hAnsi="Palatino Linotype"/>
          <w:i/>
          <w:color w:val="000000"/>
          <w:sz w:val="20"/>
          <w:lang w:val="es-ES_tradnl"/>
        </w:rPr>
      </w:pPr>
      <w:r w:rsidRPr="00780970">
        <w:rPr>
          <w:rStyle w:val="Refdenotaalpie"/>
          <w:sz w:val="20"/>
        </w:rPr>
        <w:footnoteRef/>
      </w:r>
      <w:r w:rsidRPr="00780970">
        <w:rPr>
          <w:sz w:val="20"/>
        </w:rPr>
        <w:t xml:space="preserve"> </w:t>
      </w:r>
      <w:r w:rsidRPr="00780970">
        <w:rPr>
          <w:rFonts w:ascii="Palatino Linotype" w:hAnsi="Palatino Linotype"/>
          <w:i/>
          <w:color w:val="000000"/>
          <w:sz w:val="20"/>
          <w:lang w:val="es-ES_tradnl"/>
        </w:rPr>
        <w:t>“</w:t>
      </w:r>
      <w:r w:rsidRPr="00780970">
        <w:rPr>
          <w:rFonts w:ascii="Palatino Linotype" w:hAnsi="Palatino Linotype"/>
          <w:b/>
          <w:i/>
          <w:color w:val="000000"/>
          <w:sz w:val="20"/>
          <w:lang w:val="es-ES_tradnl"/>
        </w:rPr>
        <w:t>Artículo 179.</w:t>
      </w:r>
      <w:r w:rsidRPr="00780970">
        <w:rPr>
          <w:rFonts w:ascii="Palatino Linotype" w:hAnsi="Palatino Linotype"/>
          <w:i/>
          <w:color w:val="000000"/>
          <w:sz w:val="20"/>
          <w:lang w:val="es-ES_tradnl"/>
        </w:rPr>
        <w:t xml:space="preserve"> El recurso de revisión es un medio de protección que la Ley otorga a los particulares, para hacer valer su derecho de acceso a la información pública, y procederá en contra de las siguientes causas:</w:t>
      </w:r>
    </w:p>
    <w:p w14:paraId="56E2AEEC" w14:textId="77777777" w:rsidR="00FC5408" w:rsidRPr="00780970" w:rsidRDefault="00FC5408"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b/>
          <w:bCs/>
          <w:i/>
          <w:color w:val="000000"/>
          <w:sz w:val="20"/>
          <w:lang w:val="es-ES_tradnl"/>
        </w:rPr>
        <w:t>I.</w:t>
      </w:r>
      <w:r w:rsidRPr="00780970">
        <w:rPr>
          <w:rFonts w:ascii="Palatino Linotype" w:hAnsi="Palatino Linotype"/>
          <w:i/>
          <w:color w:val="000000"/>
          <w:sz w:val="20"/>
          <w:lang w:val="es-ES_tradnl"/>
        </w:rPr>
        <w:t xml:space="preserve"> La negativa a la información solicitada;</w:t>
      </w:r>
    </w:p>
    <w:p w14:paraId="515D75F7" w14:textId="77777777" w:rsidR="00FC5408" w:rsidRPr="00780970" w:rsidRDefault="00FC5408"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i/>
          <w:color w:val="000000"/>
          <w:sz w:val="20"/>
          <w:lang w:val="es-ES_tradnl"/>
        </w:rPr>
        <w:t>(…)</w:t>
      </w:r>
    </w:p>
    <w:p w14:paraId="09836398" w14:textId="77777777" w:rsidR="00FC5408" w:rsidRPr="00780970" w:rsidRDefault="00FC5408"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b/>
          <w:bCs/>
          <w:i/>
          <w:color w:val="000000"/>
          <w:sz w:val="20"/>
          <w:lang w:val="es-ES_tradnl"/>
        </w:rPr>
        <w:t>VII.</w:t>
      </w:r>
      <w:r w:rsidRPr="00780970">
        <w:rPr>
          <w:rFonts w:ascii="Palatino Linotype" w:hAnsi="Palatino Linotype"/>
          <w:i/>
          <w:color w:val="000000"/>
          <w:sz w:val="20"/>
          <w:lang w:val="es-ES_tradnl"/>
        </w:rPr>
        <w:t xml:space="preserve"> La falta de respuesta a una solicitud de acceso a la información;</w:t>
      </w:r>
    </w:p>
    <w:p w14:paraId="1090700D" w14:textId="77777777" w:rsidR="00FC5408" w:rsidRPr="00780970" w:rsidRDefault="00FC5408" w:rsidP="00780970">
      <w:pPr>
        <w:tabs>
          <w:tab w:val="left" w:pos="0"/>
        </w:tabs>
        <w:suppressAutoHyphens w:val="0"/>
        <w:ind w:right="567"/>
        <w:jc w:val="both"/>
        <w:rPr>
          <w:rFonts w:ascii="Palatino Linotype" w:hAnsi="Palatino Linotype"/>
          <w:i/>
          <w:color w:val="000000"/>
          <w:sz w:val="20"/>
          <w:lang w:val="es-ES_tradnl"/>
        </w:rPr>
      </w:pPr>
      <w:r w:rsidRPr="00780970">
        <w:rPr>
          <w:rFonts w:ascii="Palatino Linotype" w:hAnsi="Palatino Linotype"/>
          <w:i/>
          <w:color w:val="000000"/>
          <w:sz w:val="20"/>
          <w:lang w:val="es-ES_tradnl"/>
        </w:rPr>
        <w:t>(…)”</w:t>
      </w:r>
    </w:p>
    <w:p w14:paraId="21FBCC2E" w14:textId="2458ECDC" w:rsidR="00FC5408" w:rsidRDefault="00FC5408">
      <w:pPr>
        <w:pStyle w:val="Textonotapie"/>
      </w:pPr>
    </w:p>
  </w:footnote>
  <w:footnote w:id="2">
    <w:p w14:paraId="4371D73E" w14:textId="77777777" w:rsidR="00FC5408" w:rsidRDefault="00FC5408" w:rsidP="00191180">
      <w:pPr>
        <w:pStyle w:val="Textonotapie"/>
      </w:pPr>
      <w:r>
        <w:rPr>
          <w:rStyle w:val="Refdenotaalpie"/>
        </w:rPr>
        <w:footnoteRef/>
      </w:r>
      <w:r>
        <w:t xml:space="preserve"> Convención Americana sobre Derechos Humanos. Artículo 13.</w:t>
      </w:r>
    </w:p>
  </w:footnote>
  <w:footnote w:id="3">
    <w:p w14:paraId="015B3E2B" w14:textId="77777777" w:rsidR="00FC5408" w:rsidRDefault="00FC5408" w:rsidP="00191180">
      <w:pPr>
        <w:pStyle w:val="Textonotapie"/>
      </w:pPr>
      <w:r>
        <w:rPr>
          <w:rStyle w:val="Refdenotaalpie"/>
        </w:rPr>
        <w:footnoteRef/>
      </w:r>
      <w:r>
        <w:t xml:space="preserve"> Constitución Política de los Estados Unidos Mexicanos. Artículo sexto, sección A, fracción I.</w:t>
      </w:r>
    </w:p>
  </w:footnote>
  <w:footnote w:id="4">
    <w:p w14:paraId="246CA687" w14:textId="77777777" w:rsidR="00FC5408" w:rsidRDefault="00FC5408" w:rsidP="00191180">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773D57A4" w14:textId="77777777" w:rsidR="00FC5408" w:rsidRDefault="00FC5408" w:rsidP="00191180">
      <w:pPr>
        <w:pStyle w:val="Textonotapie"/>
      </w:pPr>
      <w:r>
        <w:rPr>
          <w:rStyle w:val="Refdenotaalpie"/>
        </w:rPr>
        <w:footnoteRef/>
      </w:r>
      <w:r>
        <w:t xml:space="preserve"> Ibídem. Parr. 87.</w:t>
      </w:r>
    </w:p>
  </w:footnote>
  <w:footnote w:id="6">
    <w:p w14:paraId="5C1D3AE7" w14:textId="77777777" w:rsidR="00FC5408" w:rsidRPr="00985DD4" w:rsidRDefault="00FC5408" w:rsidP="00191180">
      <w:pPr>
        <w:autoSpaceDE w:val="0"/>
        <w:autoSpaceDN w:val="0"/>
        <w:adjustRightInd w:val="0"/>
        <w:spacing w:line="276" w:lineRule="auto"/>
        <w:jc w:val="both"/>
        <w:rPr>
          <w:rFonts w:cs="Arial"/>
          <w:sz w:val="20"/>
          <w:szCs w:val="20"/>
        </w:rPr>
      </w:pPr>
      <w:r>
        <w:rPr>
          <w:rStyle w:val="Refdenotaalpie"/>
        </w:rPr>
        <w:footnoteRef/>
      </w:r>
      <w:r>
        <w:t xml:space="preserve"> </w:t>
      </w:r>
      <w:r w:rsidRPr="00985DD4">
        <w:rPr>
          <w:rFonts w:cs="Arial"/>
          <w:b/>
          <w:bCs/>
          <w:sz w:val="20"/>
          <w:szCs w:val="20"/>
        </w:rPr>
        <w:t xml:space="preserve">Artículo 122. </w:t>
      </w:r>
      <w:r w:rsidRPr="00985DD4">
        <w:rPr>
          <w:rFonts w:cs="Arial"/>
          <w:sz w:val="20"/>
          <w:szCs w:val="20"/>
        </w:rPr>
        <w:t>La clasificación es el proceso mediante el cual el sujeto obligado determina que la información en su poder actualiza alguno de los supuestos de reserva o confidencialidad, de conformidad con lo dispuesto en el presente título.</w:t>
      </w:r>
    </w:p>
    <w:p w14:paraId="6869A9C0" w14:textId="77777777" w:rsidR="00FC5408" w:rsidRPr="00985DD4" w:rsidRDefault="00FC5408" w:rsidP="00191180">
      <w:pPr>
        <w:autoSpaceDE w:val="0"/>
        <w:autoSpaceDN w:val="0"/>
        <w:adjustRightInd w:val="0"/>
        <w:spacing w:line="276" w:lineRule="auto"/>
        <w:jc w:val="both"/>
        <w:rPr>
          <w:rFonts w:cs="Arial"/>
          <w:sz w:val="20"/>
          <w:szCs w:val="20"/>
        </w:rPr>
      </w:pPr>
      <w:r w:rsidRPr="00985DD4">
        <w:rPr>
          <w:rFonts w:cs="Arial"/>
          <w:sz w:val="20"/>
          <w:szCs w:val="20"/>
        </w:rPr>
        <w:t>Los supuestos de reserva o confidencialidad previstos en las leyes deberán ser acordes con las bases, principios y disposiciones establecidos en la Ley General y, en ningún caso, podrán contravenirla.</w:t>
      </w:r>
    </w:p>
    <w:p w14:paraId="38A211ED" w14:textId="77777777" w:rsidR="00FC5408" w:rsidRPr="00BE13A0" w:rsidRDefault="00FC5408" w:rsidP="00191180">
      <w:pPr>
        <w:autoSpaceDE w:val="0"/>
        <w:autoSpaceDN w:val="0"/>
        <w:adjustRightInd w:val="0"/>
        <w:spacing w:line="276" w:lineRule="auto"/>
        <w:jc w:val="both"/>
        <w:rPr>
          <w:rFonts w:cs="Arial"/>
          <w:sz w:val="20"/>
          <w:szCs w:val="20"/>
        </w:rPr>
      </w:pPr>
      <w:r w:rsidRPr="00985DD4">
        <w:rPr>
          <w:rFonts w:cs="Arial"/>
          <w:sz w:val="20"/>
          <w:szCs w:val="20"/>
        </w:rPr>
        <w:t>Los titulares de las áreas de los sujetos obligados serán los responsables de clasificar la información, de conformidad con lo dispuesto en la presente Ley y demás disposiciones jurídicas aplicables.</w:t>
      </w:r>
    </w:p>
  </w:footnote>
  <w:footnote w:id="7">
    <w:p w14:paraId="3C968F82" w14:textId="77777777" w:rsidR="00FC5408" w:rsidRPr="00985DD4" w:rsidRDefault="00FC5408" w:rsidP="00191180">
      <w:pPr>
        <w:autoSpaceDE w:val="0"/>
        <w:autoSpaceDN w:val="0"/>
        <w:adjustRightInd w:val="0"/>
        <w:spacing w:line="276" w:lineRule="auto"/>
        <w:jc w:val="both"/>
        <w:rPr>
          <w:rFonts w:cs="Arial"/>
          <w:sz w:val="20"/>
          <w:szCs w:val="20"/>
        </w:rPr>
      </w:pPr>
      <w:r w:rsidRPr="00985DD4">
        <w:rPr>
          <w:rStyle w:val="Refdenotaalpie"/>
        </w:rPr>
        <w:footnoteRef/>
      </w:r>
      <w:r w:rsidRPr="00985DD4">
        <w:rPr>
          <w:sz w:val="20"/>
          <w:szCs w:val="20"/>
        </w:rPr>
        <w:t xml:space="preserve"> </w:t>
      </w:r>
      <w:r w:rsidRPr="00985DD4">
        <w:rPr>
          <w:rFonts w:cs="Arial"/>
          <w:b/>
          <w:sz w:val="20"/>
          <w:szCs w:val="20"/>
        </w:rPr>
        <w:t>Artículo 135.</w:t>
      </w:r>
      <w:r w:rsidRPr="00985DD4">
        <w:rPr>
          <w:rFonts w:cs="Arial"/>
          <w:sz w:val="20"/>
          <w:szCs w:val="20"/>
        </w:rPr>
        <w:t xml:space="preserve"> Los lineamientos generales que se emitan al respecto en materia de clasificación de la información reservada y confidencial y, para la elaboración de versiones públicas, serán de observancia obligatoria para los sujetos obligados.</w:t>
      </w:r>
    </w:p>
  </w:footnote>
  <w:footnote w:id="8">
    <w:p w14:paraId="770C42F8" w14:textId="77777777" w:rsidR="00FC5408" w:rsidRDefault="00FC5408" w:rsidP="00191180">
      <w:pPr>
        <w:pStyle w:val="Textonotapie"/>
        <w:jc w:val="both"/>
      </w:pPr>
      <w:r>
        <w:rPr>
          <w:rStyle w:val="Refdenotaalpie"/>
        </w:rPr>
        <w:footnoteRef/>
      </w:r>
      <w:r w:rsidRPr="00266430">
        <w:rPr>
          <w:lang w:val="es-ES"/>
        </w:rPr>
        <w:t xml:space="preserve"> </w:t>
      </w:r>
      <w:r w:rsidRPr="00266430">
        <w:rPr>
          <w:b/>
        </w:rPr>
        <w:t>RESTRICCIONES A LOS DERECHOS FUNDAMENTALES. ELEMENTOS QUE EL JUEZ CONSTITUCIONAL DEBE TOMAR EN CUENTA PARA CONSIDERARLAS VÁLIDAS.</w:t>
      </w:r>
      <w:r w:rsidRPr="00266430">
        <w:t xml:space="preserve"> 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2C720EA5" w14:textId="77777777" w:rsidR="00FC5408" w:rsidRPr="00266430" w:rsidRDefault="00FC5408" w:rsidP="00191180">
      <w:pPr>
        <w:pStyle w:val="Textonotapie"/>
        <w:jc w:val="both"/>
      </w:pPr>
      <w:r w:rsidRPr="00266430">
        <w:t xml:space="preserve">1a./J. 2/2012 (9a.). Primera Sala. Décima Época. Semanario Judicial de la Federación y su Gaceta. Libro V, Febrero de 2012, Pág. 533.  </w:t>
      </w:r>
    </w:p>
  </w:footnote>
  <w:footnote w:id="9">
    <w:p w14:paraId="2EA88ECF" w14:textId="77777777" w:rsidR="00FC5408" w:rsidRPr="00A870EF" w:rsidRDefault="00FC5408" w:rsidP="00191180">
      <w:pPr>
        <w:pStyle w:val="Textonotapie"/>
        <w:jc w:val="both"/>
        <w:rPr>
          <w:lang w:val="es-ES"/>
        </w:rPr>
      </w:pPr>
      <w:r>
        <w:rPr>
          <w:rStyle w:val="Refdenotaalpie"/>
        </w:rPr>
        <w:footnoteRef/>
      </w:r>
      <w: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sidRPr="008E2275">
        <w:rPr>
          <w:i/>
        </w:rPr>
        <w:t>Marco jurídico interamericano sobre el derecho a la libertad de expresión</w:t>
      </w:r>
      <w:r>
        <w:t xml:space="preserve">. Párr. 67. </w:t>
      </w:r>
    </w:p>
  </w:footnote>
  <w:footnote w:id="10">
    <w:p w14:paraId="137B5DE3" w14:textId="77777777" w:rsidR="00FC5408" w:rsidRDefault="00FC5408" w:rsidP="00191180">
      <w:pPr>
        <w:pStyle w:val="Textonotapie"/>
        <w:jc w:val="both"/>
        <w:rPr>
          <w:lang w:val="es-ES"/>
        </w:rPr>
      </w:pPr>
      <w:r>
        <w:rPr>
          <w:rStyle w:val="Refdenotaalpie"/>
        </w:rPr>
        <w:footnoteRef/>
      </w:r>
      <w:r>
        <w:t xml:space="preserve"> </w:t>
      </w:r>
      <w:r>
        <w:rPr>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7ECD9A43" w14:textId="77777777" w:rsidR="00FC5408" w:rsidRDefault="00FC5408" w:rsidP="00191180">
      <w:pPr>
        <w:pStyle w:val="Textonotapie"/>
        <w:jc w:val="both"/>
        <w:rPr>
          <w:lang w:val="es-ES"/>
        </w:rPr>
      </w:pPr>
      <w:r>
        <w:rPr>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30A40383" w14:textId="77777777" w:rsidR="00FC5408" w:rsidRPr="001E1F95" w:rsidRDefault="00FC5408" w:rsidP="00191180">
      <w:pPr>
        <w:pStyle w:val="Textonotapie"/>
        <w:jc w:val="both"/>
        <w:rPr>
          <w:lang w:val="es-ES"/>
        </w:rPr>
      </w:pPr>
      <w:r>
        <w:rPr>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Pp 1-19. </w:t>
      </w:r>
    </w:p>
  </w:footnote>
  <w:footnote w:id="11">
    <w:p w14:paraId="1F278625" w14:textId="77777777" w:rsidR="00FC5408" w:rsidRPr="00191180" w:rsidRDefault="00FC5408" w:rsidP="00191180">
      <w:pPr>
        <w:pStyle w:val="Textonotapie"/>
        <w:rPr>
          <w:color w:val="000000"/>
        </w:rPr>
      </w:pPr>
      <w:r>
        <w:rPr>
          <w:rStyle w:val="Refdenotaalpie"/>
        </w:rPr>
        <w:footnoteRef/>
      </w:r>
      <w:r>
        <w:t xml:space="preserve"> </w:t>
      </w:r>
      <w:r w:rsidRPr="00191180">
        <w:rPr>
          <w:bCs/>
          <w:color w:val="000000"/>
          <w:bdr w:val="none" w:sz="0" w:space="0" w:color="auto" w:frame="1"/>
          <w:shd w:val="clear" w:color="auto" w:fill="FFFFFF"/>
        </w:rPr>
        <w:t>OVALLE FAVELA, José,</w:t>
      </w:r>
      <w:r w:rsidRPr="00191180">
        <w:rPr>
          <w:rStyle w:val="apple-converted-space"/>
          <w:bCs/>
          <w:color w:val="000000"/>
          <w:bdr w:val="none" w:sz="0" w:space="0" w:color="auto" w:frame="1"/>
          <w:shd w:val="clear" w:color="auto" w:fill="FFFFFF"/>
        </w:rPr>
        <w:t xml:space="preserve"> “</w:t>
      </w:r>
      <w:r w:rsidRPr="00191180">
        <w:rPr>
          <w:bCs/>
          <w:i/>
          <w:iCs/>
          <w:color w:val="000000"/>
          <w:bdr w:val="none" w:sz="0" w:space="0" w:color="auto" w:frame="1"/>
          <w:shd w:val="clear" w:color="auto" w:fill="FFFFFF"/>
        </w:rPr>
        <w:t>Garantías constitucionales del proceso”</w:t>
      </w:r>
      <w:r w:rsidRPr="00191180">
        <w:rPr>
          <w:bCs/>
          <w:color w:val="000000"/>
          <w:bdr w:val="none" w:sz="0" w:space="0" w:color="auto" w:frame="1"/>
          <w:shd w:val="clear" w:color="auto" w:fill="FFFFFF"/>
        </w:rPr>
        <w:t>, 2a. ed., México, Oxford University Press, 2002, 474 pp.</w:t>
      </w:r>
    </w:p>
  </w:footnote>
  <w:footnote w:id="12">
    <w:p w14:paraId="4A51ECD8" w14:textId="77777777" w:rsidR="00FC5408" w:rsidRPr="0037004E" w:rsidRDefault="00FC5408" w:rsidP="00191180">
      <w:pPr>
        <w:pStyle w:val="Textonotapie"/>
        <w:jc w:val="both"/>
        <w:rPr>
          <w:lang w:val="es-ES"/>
        </w:rPr>
      </w:pPr>
      <w:r>
        <w:rPr>
          <w:rStyle w:val="Refdenotaalpie"/>
        </w:rPr>
        <w:footnoteRef/>
      </w:r>
      <w:r>
        <w:t xml:space="preserve"> </w:t>
      </w:r>
      <w:r w:rsidRPr="00C4034A">
        <w:rPr>
          <w:lang w:val="es-ES"/>
        </w:rPr>
        <w:t>Tribunales Colegiados de Circuito. Novena Época. Semanario Judicial de la Federación y su Gaceta. Tomo III, marzo de 1996. Pág 769. Consultado en http://sjf.scjn.gob.mx/sjfsist/Documentos/Tesis/203/203143.pdf  el viernes 16 de junio de 2017.</w:t>
      </w:r>
    </w:p>
    <w:p w14:paraId="43F7E52C" w14:textId="77777777" w:rsidR="00FC5408" w:rsidRDefault="00FC5408" w:rsidP="00191180">
      <w:pPr>
        <w:pStyle w:val="Textonotapie"/>
      </w:pPr>
    </w:p>
  </w:footnote>
  <w:footnote w:id="13">
    <w:p w14:paraId="181FA67F" w14:textId="77777777" w:rsidR="00FC5408" w:rsidRDefault="00FC5408" w:rsidP="00191180">
      <w:pPr>
        <w:pStyle w:val="Textonotapie"/>
        <w:jc w:val="both"/>
      </w:pPr>
      <w:r>
        <w:rPr>
          <w:rStyle w:val="Refdenotaalpie"/>
        </w:rPr>
        <w:footnoteRef/>
      </w:r>
      <w:r>
        <w:t xml:space="preserve"> Artículo 3. Para los efectos de la presente Ley se entenderá por:</w:t>
      </w:r>
    </w:p>
    <w:p w14:paraId="114323FE" w14:textId="77777777" w:rsidR="00FC5408" w:rsidRDefault="00FC5408" w:rsidP="00191180">
      <w:pPr>
        <w:pStyle w:val="Textonotapie"/>
        <w:jc w:val="both"/>
      </w:pPr>
      <w:r>
        <w:t xml:space="preserve"> (…)</w:t>
      </w:r>
    </w:p>
    <w:p w14:paraId="57C8702F" w14:textId="77777777" w:rsidR="00FC5408" w:rsidRDefault="00FC5408" w:rsidP="00191180">
      <w:pPr>
        <w:pStyle w:val="Textonotapie"/>
        <w:jc w:val="both"/>
      </w:pPr>
      <w:r>
        <w:t>IX. Datos personales: La información concerniente a una persona, identificada o identificable según lo dispuesto por la Ley de Protección de Datos Personales del Estado de México;</w:t>
      </w:r>
    </w:p>
  </w:footnote>
  <w:footnote w:id="14">
    <w:p w14:paraId="3F849BA8" w14:textId="77777777" w:rsidR="00FC5408" w:rsidRPr="00ED2A04" w:rsidRDefault="00FC5408" w:rsidP="00191180">
      <w:pPr>
        <w:pStyle w:val="Textonotapie"/>
        <w:jc w:val="both"/>
        <w:rPr>
          <w:lang w:val="es-ES"/>
        </w:rPr>
      </w:pPr>
      <w:r>
        <w:rPr>
          <w:rStyle w:val="Refdenotaalpie"/>
        </w:rPr>
        <w:footnoteRef/>
      </w:r>
      <w:r>
        <w:t xml:space="preserve"> </w:t>
      </w:r>
      <w:hyperlink r:id="rId1" w:anchor="/entry-id/E216930" w:history="1">
        <w:r w:rsidRPr="00AA2458">
          <w:rPr>
            <w:rStyle w:val="Hipervnculo"/>
          </w:rPr>
          <w:t>http://dej.rae.es/#/entry-id/E216930</w:t>
        </w:r>
      </w:hyperlink>
      <w:r>
        <w:t xml:space="preserve"> </w:t>
      </w:r>
    </w:p>
  </w:footnote>
  <w:footnote w:id="15">
    <w:p w14:paraId="5D545B0A" w14:textId="77777777" w:rsidR="00FC5408" w:rsidRPr="00ED2A04" w:rsidRDefault="00FC5408" w:rsidP="00191180">
      <w:pPr>
        <w:pStyle w:val="Textonotapie"/>
        <w:jc w:val="both"/>
        <w:rPr>
          <w:lang w:val="es-ES"/>
        </w:rPr>
      </w:pPr>
      <w:r>
        <w:rPr>
          <w:rStyle w:val="Refdenotaalpie"/>
        </w:rPr>
        <w:footnoteRef/>
      </w:r>
      <w:r>
        <w:t xml:space="preserve"> </w:t>
      </w:r>
      <w:hyperlink r:id="rId2" w:anchor="/entry-id/E87450" w:history="1">
        <w:r w:rsidRPr="00AA2458">
          <w:rPr>
            <w:rStyle w:val="Hipervnculo"/>
          </w:rPr>
          <w:t>http://dej.rae.es/#/entry-id/E87450</w:t>
        </w:r>
      </w:hyperlink>
      <w:r>
        <w:t xml:space="preserve"> </w:t>
      </w:r>
    </w:p>
  </w:footnote>
  <w:footnote w:id="16">
    <w:p w14:paraId="083574C4" w14:textId="77777777" w:rsidR="00FC5408" w:rsidRPr="000406A4" w:rsidRDefault="00FC5408" w:rsidP="00191180">
      <w:pPr>
        <w:pStyle w:val="Textonotapie"/>
        <w:jc w:val="both"/>
        <w:rPr>
          <w:lang w:val="es-ES"/>
        </w:rPr>
      </w:pPr>
      <w:r>
        <w:rPr>
          <w:rStyle w:val="Refdenotaalpie"/>
        </w:rPr>
        <w:footnoteRef/>
      </w:r>
      <w:r>
        <w:t xml:space="preserve"> </w:t>
      </w:r>
      <w:hyperlink r:id="rId3" w:history="1">
        <w:r w:rsidRPr="00AA2458">
          <w:rPr>
            <w:rStyle w:val="Hipervnculo"/>
          </w:rPr>
          <w:t>http://dle.rae.es/?id=VGqyuLj|VGtxgAo|VGuc9Wg</w:t>
        </w:r>
      </w:hyperlink>
      <w:r>
        <w:t xml:space="preserve"> </w:t>
      </w:r>
    </w:p>
  </w:footnote>
  <w:footnote w:id="17">
    <w:p w14:paraId="05CD266C" w14:textId="77777777" w:rsidR="00FC5408" w:rsidRPr="000406A4" w:rsidRDefault="00FC5408" w:rsidP="00191180">
      <w:pPr>
        <w:pStyle w:val="Textonotapie"/>
        <w:jc w:val="both"/>
        <w:rPr>
          <w:lang w:val="es-ES"/>
        </w:rPr>
      </w:pPr>
      <w:r>
        <w:rPr>
          <w:rStyle w:val="Refdenotaalpie"/>
        </w:rPr>
        <w:footnoteRef/>
      </w:r>
      <w:r>
        <w:t xml:space="preserve"> </w:t>
      </w:r>
      <w:hyperlink r:id="rId4" w:history="1">
        <w:r w:rsidRPr="00AA2458">
          <w:rPr>
            <w:rStyle w:val="Hipervnculo"/>
          </w:rPr>
          <w:t>http://dle.rae.es/?id=CAjNzMR</w:t>
        </w:r>
      </w:hyperlink>
      <w:r>
        <w:t xml:space="preserve"> </w:t>
      </w:r>
    </w:p>
  </w:footnote>
  <w:footnote w:id="18">
    <w:p w14:paraId="2A47BEF3" w14:textId="77777777" w:rsidR="00FC5408" w:rsidRPr="000406A4" w:rsidRDefault="00FC5408" w:rsidP="00191180">
      <w:pPr>
        <w:pStyle w:val="Textonotapie"/>
        <w:jc w:val="both"/>
        <w:rPr>
          <w:lang w:val="es-ES"/>
        </w:rPr>
      </w:pPr>
      <w:r>
        <w:rPr>
          <w:rStyle w:val="Refdenotaalpie"/>
        </w:rPr>
        <w:footnoteRef/>
      </w:r>
      <w:r>
        <w:t xml:space="preserve"> </w:t>
      </w:r>
      <w:hyperlink r:id="rId5" w:history="1">
        <w:r w:rsidRPr="00AA2458">
          <w:rPr>
            <w:rStyle w:val="Hipervnculo"/>
          </w:rPr>
          <w:t>http://dle.rae.es/?id=CAqWkEB</w:t>
        </w:r>
      </w:hyperlink>
      <w:r>
        <w:t xml:space="preserve"> </w:t>
      </w:r>
    </w:p>
  </w:footnote>
  <w:footnote w:id="19">
    <w:p w14:paraId="1D752F38" w14:textId="77777777" w:rsidR="00FC5408" w:rsidRPr="000406A4" w:rsidRDefault="00FC5408" w:rsidP="00191180">
      <w:pPr>
        <w:pStyle w:val="Textonotapie"/>
        <w:jc w:val="both"/>
        <w:rPr>
          <w:lang w:val="es-ES"/>
        </w:rPr>
      </w:pPr>
      <w:r>
        <w:rPr>
          <w:rStyle w:val="Refdenotaalpie"/>
        </w:rPr>
        <w:footnoteRef/>
      </w:r>
      <w:r>
        <w:t xml:space="preserve"> </w:t>
      </w:r>
      <w:hyperlink r:id="rId6" w:history="1">
        <w:r w:rsidRPr="00AA2458">
          <w:rPr>
            <w:rStyle w:val="Hipervnculo"/>
          </w:rPr>
          <w:t>http://dle.rae.es/?id=KtnHLLd</w:t>
        </w:r>
      </w:hyperlink>
      <w:r>
        <w:t xml:space="preserve"> </w:t>
      </w:r>
    </w:p>
  </w:footnote>
  <w:footnote w:id="20">
    <w:p w14:paraId="33A14100" w14:textId="77777777" w:rsidR="00FC5408" w:rsidRPr="000406A4" w:rsidRDefault="00FC5408" w:rsidP="00191180">
      <w:pPr>
        <w:pStyle w:val="Textonotapie"/>
        <w:jc w:val="both"/>
        <w:rPr>
          <w:lang w:val="es-ES"/>
        </w:rPr>
      </w:pPr>
      <w:r>
        <w:rPr>
          <w:rStyle w:val="Refdenotaalpie"/>
        </w:rPr>
        <w:footnoteRef/>
      </w:r>
      <w:r>
        <w:t xml:space="preserve"> </w:t>
      </w:r>
      <w:hyperlink r:id="rId7" w:history="1">
        <w:r w:rsidRPr="00AA2458">
          <w:rPr>
            <w:rStyle w:val="Hipervnculo"/>
          </w:rPr>
          <w:t>http://dle.rae.es/?id=KtpfgjV</w:t>
        </w:r>
      </w:hyperlink>
      <w:r>
        <w:t xml:space="preserve"> </w:t>
      </w:r>
    </w:p>
  </w:footnote>
  <w:footnote w:id="21">
    <w:p w14:paraId="4C4765AE" w14:textId="77777777" w:rsidR="00FC5408" w:rsidRPr="00191180" w:rsidRDefault="00FC5408" w:rsidP="00191180">
      <w:pPr>
        <w:jc w:val="both"/>
        <w:rPr>
          <w:color w:val="000000"/>
          <w:sz w:val="20"/>
          <w:szCs w:val="20"/>
          <w:lang w:eastAsia="es-ES_tradnl"/>
        </w:rPr>
      </w:pPr>
      <w:r>
        <w:rPr>
          <w:rStyle w:val="Refdenotaalpie"/>
        </w:rPr>
        <w:footnoteRef/>
      </w:r>
      <w:r>
        <w:t xml:space="preserve"> </w:t>
      </w:r>
      <w:r>
        <w:rPr>
          <w:lang w:val="es-ES"/>
        </w:rPr>
        <w:t>“</w:t>
      </w:r>
      <w:r w:rsidRPr="00191180">
        <w:rPr>
          <w:color w:val="000000"/>
          <w:sz w:val="20"/>
          <w:szCs w:val="20"/>
          <w:lang w:eastAsia="es-ES_tradnl"/>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22">
    <w:p w14:paraId="6A14A564" w14:textId="77777777" w:rsidR="00FC5408" w:rsidRPr="00A4142C" w:rsidRDefault="00FC5408" w:rsidP="00191180">
      <w:pPr>
        <w:pStyle w:val="Textonotapie"/>
        <w:rPr>
          <w:lang w:val="es-ES"/>
        </w:rPr>
      </w:pPr>
      <w:r>
        <w:rPr>
          <w:rStyle w:val="Refdenotaalpie"/>
        </w:rPr>
        <w:footnoteRef/>
      </w:r>
      <w:r>
        <w:t xml:space="preserve"> </w:t>
      </w:r>
      <w:r>
        <w:rPr>
          <w:lang w:val="es-ES"/>
        </w:rPr>
        <w:t>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5" w:type="dxa"/>
      <w:tblInd w:w="-142" w:type="dxa"/>
      <w:tblLook w:val="04A0" w:firstRow="1" w:lastRow="0" w:firstColumn="1" w:lastColumn="0" w:noHBand="0" w:noVBand="1"/>
    </w:tblPr>
    <w:tblGrid>
      <w:gridCol w:w="3970"/>
      <w:gridCol w:w="2551"/>
      <w:gridCol w:w="3724"/>
    </w:tblGrid>
    <w:tr w:rsidR="00FC5408" w14:paraId="282D4D92" w14:textId="77777777" w:rsidTr="00FC5408">
      <w:tc>
        <w:tcPr>
          <w:tcW w:w="3970" w:type="dxa"/>
          <w:vMerge w:val="restart"/>
        </w:tcPr>
        <w:p w14:paraId="1F75A14E" w14:textId="10913DE8" w:rsidR="00FC5408" w:rsidRDefault="00FC5408">
          <w:pPr>
            <w:rPr>
              <w:rFonts w:ascii="Palatino Linotype" w:hAnsi="Palatino Linotype"/>
              <w:b/>
              <w:sz w:val="22"/>
              <w:szCs w:val="22"/>
              <w:lang w:val="es-ES_tradnl"/>
            </w:rPr>
          </w:pPr>
          <w:r>
            <w:rPr>
              <w:noProof/>
              <w:lang w:eastAsia="es-MX"/>
            </w:rPr>
            <w:drawing>
              <wp:inline distT="0" distB="0" distL="0" distR="0" wp14:anchorId="527B0BCA" wp14:editId="4A929592">
                <wp:extent cx="1663700" cy="838200"/>
                <wp:effectExtent l="0" t="0" r="0" b="0"/>
                <wp:docPr id="3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1"/>
                        <pic:cNvPicPr>
                          <a:picLocks noChangeAspect="1" noChangeArrowheads="1"/>
                        </pic:cNvPicPr>
                      </pic:nvPicPr>
                      <pic:blipFill>
                        <a:blip r:embed="rId1"/>
                        <a:stretch>
                          <a:fillRect/>
                        </a:stretch>
                      </pic:blipFill>
                      <pic:spPr bwMode="auto">
                        <a:xfrm>
                          <a:off x="0" y="0"/>
                          <a:ext cx="1663700" cy="838200"/>
                        </a:xfrm>
                        <a:prstGeom prst="rect">
                          <a:avLst/>
                        </a:prstGeom>
                      </pic:spPr>
                    </pic:pic>
                  </a:graphicData>
                </a:graphic>
              </wp:inline>
            </w:drawing>
          </w:r>
        </w:p>
      </w:tc>
      <w:tc>
        <w:tcPr>
          <w:tcW w:w="2551" w:type="dxa"/>
          <w:shd w:val="clear" w:color="auto" w:fill="auto"/>
        </w:tcPr>
        <w:p w14:paraId="7EB9F736" w14:textId="77777777"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724" w:type="dxa"/>
          <w:shd w:val="clear" w:color="auto" w:fill="auto"/>
          <w:vAlign w:val="center"/>
        </w:tcPr>
        <w:p w14:paraId="3F4DD691" w14:textId="05F69B4D" w:rsidR="00FC5408" w:rsidRPr="00FC5408" w:rsidRDefault="00FC5408" w:rsidP="007F2DA2">
          <w:pPr>
            <w:jc w:val="both"/>
            <w:rPr>
              <w:rFonts w:ascii="Palatino Linotype" w:hAnsi="Palatino Linotype"/>
              <w:sz w:val="22"/>
              <w:szCs w:val="22"/>
              <w:lang w:val="es-ES_tradnl"/>
            </w:rPr>
          </w:pPr>
          <w:r>
            <w:rPr>
              <w:rFonts w:ascii="Palatino Linotype" w:hAnsi="Palatino Linotype" w:cs="Arial"/>
              <w:bCs/>
              <w:sz w:val="22"/>
              <w:szCs w:val="22"/>
            </w:rPr>
            <w:t>00468/INFOEM/IP/RR/2024</w:t>
          </w:r>
        </w:p>
      </w:tc>
    </w:tr>
    <w:tr w:rsidR="00FC5408" w14:paraId="669321FA" w14:textId="77777777" w:rsidTr="00FC5408">
      <w:tc>
        <w:tcPr>
          <w:tcW w:w="3970" w:type="dxa"/>
          <w:vMerge/>
        </w:tcPr>
        <w:p w14:paraId="6D05AC28" w14:textId="77777777" w:rsidR="00FC5408" w:rsidRDefault="00FC5408">
          <w:pPr>
            <w:rPr>
              <w:rFonts w:ascii="Palatino Linotype" w:hAnsi="Palatino Linotype"/>
              <w:b/>
              <w:sz w:val="22"/>
              <w:szCs w:val="22"/>
              <w:lang w:val="es-ES_tradnl"/>
            </w:rPr>
          </w:pPr>
        </w:p>
      </w:tc>
      <w:tc>
        <w:tcPr>
          <w:tcW w:w="2551" w:type="dxa"/>
          <w:shd w:val="clear" w:color="auto" w:fill="auto"/>
        </w:tcPr>
        <w:p w14:paraId="0DAA7DBC" w14:textId="77777777"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724" w:type="dxa"/>
          <w:shd w:val="clear" w:color="auto" w:fill="auto"/>
          <w:vAlign w:val="center"/>
        </w:tcPr>
        <w:p w14:paraId="60A64ADE" w14:textId="3A429277" w:rsidR="00FC5408" w:rsidRPr="00FC5408" w:rsidRDefault="00FC5408" w:rsidP="00115368">
          <w:pPr>
            <w:jc w:val="both"/>
            <w:rPr>
              <w:rFonts w:ascii="Palatino Linotype" w:hAnsi="Palatino Linotype"/>
              <w:sz w:val="22"/>
              <w:szCs w:val="22"/>
              <w:lang w:val="es-ES_tradnl"/>
            </w:rPr>
          </w:pPr>
          <w:r w:rsidRPr="00FC5408">
            <w:rPr>
              <w:rFonts w:ascii="Palatino Linotype" w:eastAsia="Calibri" w:hAnsi="Palatino Linotype" w:cs="Arial"/>
              <w:bCs/>
              <w:sz w:val="22"/>
              <w:szCs w:val="22"/>
            </w:rPr>
            <w:t>Ayuntamiento de Jaltenco</w:t>
          </w:r>
        </w:p>
      </w:tc>
    </w:tr>
    <w:tr w:rsidR="00FC5408" w14:paraId="1C820DB1" w14:textId="77777777" w:rsidTr="00FC5408">
      <w:trPr>
        <w:trHeight w:val="228"/>
      </w:trPr>
      <w:tc>
        <w:tcPr>
          <w:tcW w:w="3970" w:type="dxa"/>
          <w:vMerge/>
        </w:tcPr>
        <w:p w14:paraId="358B7346" w14:textId="77777777" w:rsidR="00FC5408" w:rsidRDefault="00FC5408">
          <w:pPr>
            <w:rPr>
              <w:rFonts w:ascii="Palatino Linotype" w:hAnsi="Palatino Linotype"/>
              <w:b/>
              <w:sz w:val="22"/>
              <w:szCs w:val="22"/>
              <w:lang w:val="es-ES_tradnl"/>
            </w:rPr>
          </w:pPr>
        </w:p>
      </w:tc>
      <w:tc>
        <w:tcPr>
          <w:tcW w:w="2551" w:type="dxa"/>
          <w:shd w:val="clear" w:color="auto" w:fill="auto"/>
        </w:tcPr>
        <w:p w14:paraId="41D21D25" w14:textId="77777777"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724" w:type="dxa"/>
          <w:shd w:val="clear" w:color="auto" w:fill="auto"/>
        </w:tcPr>
        <w:p w14:paraId="34B4F0AE" w14:textId="0494019E" w:rsidR="00FC5408" w:rsidRPr="00FC5408" w:rsidRDefault="00FC5408">
          <w:pPr>
            <w:jc w:val="both"/>
            <w:rPr>
              <w:rFonts w:ascii="Palatino Linotype" w:hAnsi="Palatino Linotype"/>
              <w:sz w:val="22"/>
              <w:szCs w:val="22"/>
              <w:lang w:val="es-ES_tradnl"/>
            </w:rPr>
          </w:pPr>
          <w:r w:rsidRPr="00FC5408">
            <w:rPr>
              <w:rFonts w:ascii="Palatino Linotype" w:hAnsi="Palatino Linotype"/>
              <w:sz w:val="22"/>
              <w:szCs w:val="22"/>
              <w:lang w:val="es-ES_tradnl"/>
            </w:rPr>
            <w:t>María del Rosario Mejía Ayala</w:t>
          </w:r>
        </w:p>
      </w:tc>
    </w:tr>
  </w:tbl>
  <w:p w14:paraId="445407E8" w14:textId="2F009478" w:rsidR="00FC5408" w:rsidRDefault="00FF5B4F">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eastAsia="es-MX"/>
      </w:rPr>
      <w:drawing>
        <wp:anchor distT="0" distB="0" distL="0" distR="0" simplePos="0" relativeHeight="251660288" behindDoc="1" locked="0" layoutInCell="1" allowOverlap="1" wp14:anchorId="6590E581" wp14:editId="444C995C">
          <wp:simplePos x="0" y="0"/>
          <wp:positionH relativeFrom="margin">
            <wp:align>center</wp:align>
          </wp:positionH>
          <wp:positionV relativeFrom="margin">
            <wp:posOffset>-1106805</wp:posOffset>
          </wp:positionV>
          <wp:extent cx="6858635" cy="9144635"/>
          <wp:effectExtent l="0" t="0" r="0" b="0"/>
          <wp:wrapNone/>
          <wp:docPr id="37" name="WordPictureWatermark20959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2095932798"/>
                  <pic:cNvPicPr>
                    <a:picLocks noChangeAspect="1" noChangeArrowheads="1"/>
                  </pic:cNvPicPr>
                </pic:nvPicPr>
                <pic:blipFill>
                  <a:blip r:embed="rId2"/>
                  <a:stretch>
                    <a:fillRect/>
                  </a:stretch>
                </pic:blipFill>
                <pic:spPr bwMode="auto">
                  <a:xfrm>
                    <a:off x="0" y="0"/>
                    <a:ext cx="6858635" cy="91446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3" w:type="dxa"/>
      <w:tblInd w:w="-1276" w:type="dxa"/>
      <w:tblLook w:val="04A0" w:firstRow="1" w:lastRow="0" w:firstColumn="1" w:lastColumn="0" w:noHBand="0" w:noVBand="1"/>
    </w:tblPr>
    <w:tblGrid>
      <w:gridCol w:w="4678"/>
      <w:gridCol w:w="2552"/>
      <w:gridCol w:w="3473"/>
    </w:tblGrid>
    <w:tr w:rsidR="00FC5408" w14:paraId="1F742D4E" w14:textId="77777777" w:rsidTr="00FC5408">
      <w:tc>
        <w:tcPr>
          <w:tcW w:w="4678" w:type="dxa"/>
          <w:vMerge w:val="restart"/>
          <w:shd w:val="clear" w:color="auto" w:fill="auto"/>
        </w:tcPr>
        <w:p w14:paraId="104B4E99" w14:textId="3F329847" w:rsidR="00FC5408" w:rsidRDefault="00FC5408">
          <w:pPr>
            <w:rPr>
              <w:rFonts w:ascii="Palatino Linotype" w:hAnsi="Palatino Linotype"/>
              <w:b/>
              <w:sz w:val="22"/>
              <w:szCs w:val="22"/>
              <w:lang w:val="es-ES_tradnl"/>
            </w:rPr>
          </w:pPr>
          <w:r>
            <w:rPr>
              <w:noProof/>
              <w:lang w:eastAsia="es-MX"/>
            </w:rPr>
            <w:drawing>
              <wp:inline distT="0" distB="0" distL="0" distR="0" wp14:anchorId="5D4DFD49" wp14:editId="7B96B904">
                <wp:extent cx="1663700" cy="838200"/>
                <wp:effectExtent l="0" t="0" r="0" b="0"/>
                <wp:docPr id="4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9"/>
                        <pic:cNvPicPr>
                          <a:picLocks noChangeAspect="1" noChangeArrowheads="1"/>
                        </pic:cNvPicPr>
                      </pic:nvPicPr>
                      <pic:blipFill>
                        <a:blip r:embed="rId1"/>
                        <a:stretch>
                          <a:fillRect/>
                        </a:stretch>
                      </pic:blipFill>
                      <pic:spPr bwMode="auto">
                        <a:xfrm>
                          <a:off x="0" y="0"/>
                          <a:ext cx="1663700" cy="838200"/>
                        </a:xfrm>
                        <a:prstGeom prst="rect">
                          <a:avLst/>
                        </a:prstGeom>
                      </pic:spPr>
                    </pic:pic>
                  </a:graphicData>
                </a:graphic>
              </wp:inline>
            </w:drawing>
          </w:r>
        </w:p>
      </w:tc>
      <w:tc>
        <w:tcPr>
          <w:tcW w:w="2552" w:type="dxa"/>
          <w:shd w:val="clear" w:color="auto" w:fill="auto"/>
        </w:tcPr>
        <w:p w14:paraId="3412ED05" w14:textId="77777777"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473" w:type="dxa"/>
          <w:shd w:val="clear" w:color="auto" w:fill="auto"/>
          <w:vAlign w:val="center"/>
        </w:tcPr>
        <w:p w14:paraId="551B9D73" w14:textId="709E6153" w:rsidR="00FC5408" w:rsidRPr="00FC5408" w:rsidRDefault="00FC5408" w:rsidP="00C8293B">
          <w:pPr>
            <w:jc w:val="both"/>
            <w:rPr>
              <w:rFonts w:ascii="Palatino Linotype" w:hAnsi="Palatino Linotype"/>
              <w:sz w:val="22"/>
              <w:szCs w:val="22"/>
              <w:lang w:val="es-ES_tradnl"/>
            </w:rPr>
          </w:pPr>
          <w:r>
            <w:rPr>
              <w:rFonts w:ascii="Palatino Linotype" w:hAnsi="Palatino Linotype" w:cs="Arial"/>
              <w:bCs/>
              <w:sz w:val="22"/>
              <w:szCs w:val="22"/>
            </w:rPr>
            <w:t>00468/INFOEM/IP/RR/2024</w:t>
          </w:r>
        </w:p>
      </w:tc>
    </w:tr>
    <w:tr w:rsidR="00FC5408" w14:paraId="0C57C404" w14:textId="77777777" w:rsidTr="00FC5408">
      <w:tc>
        <w:tcPr>
          <w:tcW w:w="4678" w:type="dxa"/>
          <w:vMerge/>
          <w:shd w:val="clear" w:color="auto" w:fill="auto"/>
        </w:tcPr>
        <w:p w14:paraId="46FACBB9" w14:textId="77777777" w:rsidR="00FC5408" w:rsidRDefault="00FC5408">
          <w:pPr>
            <w:rPr>
              <w:rFonts w:ascii="Palatino Linotype" w:hAnsi="Palatino Linotype"/>
              <w:b/>
              <w:sz w:val="22"/>
              <w:szCs w:val="22"/>
              <w:lang w:val="es-ES_tradnl"/>
            </w:rPr>
          </w:pPr>
        </w:p>
      </w:tc>
      <w:tc>
        <w:tcPr>
          <w:tcW w:w="2552" w:type="dxa"/>
          <w:shd w:val="clear" w:color="auto" w:fill="auto"/>
        </w:tcPr>
        <w:p w14:paraId="1E664F80" w14:textId="4527D6A5"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473" w:type="dxa"/>
          <w:shd w:val="clear" w:color="auto" w:fill="auto"/>
          <w:vAlign w:val="center"/>
        </w:tcPr>
        <w:p w14:paraId="5604AC6D" w14:textId="324DD870" w:rsidR="00FC5408" w:rsidRPr="00FC5408" w:rsidRDefault="00FC5408" w:rsidP="00115368">
          <w:pPr>
            <w:jc w:val="both"/>
            <w:rPr>
              <w:rFonts w:ascii="Palatino Linotype" w:hAnsi="Palatino Linotype"/>
              <w:sz w:val="22"/>
              <w:szCs w:val="22"/>
              <w:lang w:val="es-ES_tradnl"/>
            </w:rPr>
          </w:pPr>
        </w:p>
      </w:tc>
    </w:tr>
    <w:tr w:rsidR="00FC5408" w14:paraId="1DF5462B" w14:textId="77777777" w:rsidTr="00FC5408">
      <w:trPr>
        <w:trHeight w:val="228"/>
      </w:trPr>
      <w:tc>
        <w:tcPr>
          <w:tcW w:w="4678" w:type="dxa"/>
          <w:vMerge/>
          <w:shd w:val="clear" w:color="auto" w:fill="auto"/>
        </w:tcPr>
        <w:p w14:paraId="1E078EF1" w14:textId="77777777" w:rsidR="00FC5408" w:rsidRDefault="00FC5408">
          <w:pPr>
            <w:rPr>
              <w:rFonts w:ascii="Palatino Linotype" w:hAnsi="Palatino Linotype"/>
              <w:b/>
              <w:sz w:val="22"/>
              <w:szCs w:val="22"/>
              <w:lang w:val="es-ES_tradnl"/>
            </w:rPr>
          </w:pPr>
        </w:p>
      </w:tc>
      <w:tc>
        <w:tcPr>
          <w:tcW w:w="2552" w:type="dxa"/>
          <w:shd w:val="clear" w:color="auto" w:fill="auto"/>
        </w:tcPr>
        <w:p w14:paraId="230383F3" w14:textId="77777777"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473" w:type="dxa"/>
          <w:shd w:val="clear" w:color="auto" w:fill="auto"/>
          <w:vAlign w:val="center"/>
        </w:tcPr>
        <w:p w14:paraId="58E9D74B" w14:textId="2D337958" w:rsidR="00FC5408" w:rsidRPr="00FC5408" w:rsidRDefault="00FC5408" w:rsidP="003A7A06">
          <w:pPr>
            <w:jc w:val="both"/>
            <w:rPr>
              <w:rFonts w:ascii="Palatino Linotype" w:hAnsi="Palatino Linotype"/>
              <w:sz w:val="22"/>
              <w:szCs w:val="22"/>
            </w:rPr>
          </w:pPr>
          <w:r w:rsidRPr="00FC5408">
            <w:rPr>
              <w:rFonts w:ascii="Palatino Linotype" w:eastAsia="Calibri" w:hAnsi="Palatino Linotype" w:cs="Arial"/>
              <w:bCs/>
              <w:sz w:val="22"/>
              <w:szCs w:val="22"/>
            </w:rPr>
            <w:t>Ayuntamiento de Jaltenco</w:t>
          </w:r>
        </w:p>
      </w:tc>
    </w:tr>
    <w:tr w:rsidR="00FC5408" w14:paraId="0ACA838E" w14:textId="77777777" w:rsidTr="00FC5408">
      <w:trPr>
        <w:trHeight w:val="84"/>
      </w:trPr>
      <w:tc>
        <w:tcPr>
          <w:tcW w:w="4678" w:type="dxa"/>
          <w:vMerge/>
          <w:shd w:val="clear" w:color="auto" w:fill="auto"/>
        </w:tcPr>
        <w:p w14:paraId="6591A501" w14:textId="77777777" w:rsidR="00FC5408" w:rsidRDefault="00FC5408">
          <w:pPr>
            <w:rPr>
              <w:rFonts w:ascii="Palatino Linotype" w:hAnsi="Palatino Linotype"/>
              <w:b/>
              <w:sz w:val="22"/>
              <w:szCs w:val="22"/>
              <w:lang w:val="es-ES_tradnl"/>
            </w:rPr>
          </w:pPr>
        </w:p>
      </w:tc>
      <w:tc>
        <w:tcPr>
          <w:tcW w:w="2552" w:type="dxa"/>
          <w:shd w:val="clear" w:color="auto" w:fill="auto"/>
        </w:tcPr>
        <w:p w14:paraId="1F73F8D9" w14:textId="77777777" w:rsidR="00FC5408" w:rsidRDefault="00FC5408">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473" w:type="dxa"/>
          <w:shd w:val="clear" w:color="auto" w:fill="auto"/>
        </w:tcPr>
        <w:p w14:paraId="3F1E5C5F" w14:textId="79E27FD5" w:rsidR="00FC5408" w:rsidRPr="00FC5408" w:rsidRDefault="00FC5408">
          <w:pPr>
            <w:jc w:val="both"/>
            <w:rPr>
              <w:rFonts w:ascii="Palatino Linotype" w:hAnsi="Palatino Linotype"/>
              <w:sz w:val="22"/>
              <w:szCs w:val="22"/>
              <w:lang w:val="es-ES_tradnl"/>
            </w:rPr>
          </w:pPr>
          <w:r w:rsidRPr="00FC5408">
            <w:rPr>
              <w:rFonts w:ascii="Palatino Linotype" w:hAnsi="Palatino Linotype"/>
              <w:sz w:val="22"/>
              <w:szCs w:val="22"/>
              <w:lang w:val="es-ES_tradnl"/>
            </w:rPr>
            <w:t xml:space="preserve">María del Rosario Mejía Ayala </w:t>
          </w:r>
        </w:p>
      </w:tc>
    </w:tr>
  </w:tbl>
  <w:p w14:paraId="1625864D" w14:textId="1308A4DA" w:rsidR="00FC5408" w:rsidRDefault="00FF5B4F" w:rsidP="00C8293B">
    <w:pPr>
      <w:tabs>
        <w:tab w:val="left" w:pos="7620"/>
      </w:tabs>
      <w:rPr>
        <w:rFonts w:ascii="Palatino Linotype" w:hAnsi="Palatino Linotype"/>
        <w:sz w:val="28"/>
        <w:szCs w:val="28"/>
      </w:rPr>
    </w:pPr>
    <w:r>
      <w:rPr>
        <w:rFonts w:ascii="Palatino Linotype" w:hAnsi="Palatino Linotype"/>
        <w:noProof/>
        <w:sz w:val="28"/>
        <w:szCs w:val="28"/>
        <w:lang w:eastAsia="es-MX"/>
      </w:rPr>
      <w:drawing>
        <wp:anchor distT="0" distB="0" distL="0" distR="0" simplePos="0" relativeHeight="251659264" behindDoc="1" locked="0" layoutInCell="1" allowOverlap="1" wp14:anchorId="3213D6DA" wp14:editId="4DA8F67E">
          <wp:simplePos x="0" y="0"/>
          <wp:positionH relativeFrom="page">
            <wp:align>center</wp:align>
          </wp:positionH>
          <wp:positionV relativeFrom="margin">
            <wp:posOffset>-754380</wp:posOffset>
          </wp:positionV>
          <wp:extent cx="6858635" cy="9144635"/>
          <wp:effectExtent l="0" t="0" r="0" b="0"/>
          <wp:wrapNone/>
          <wp:docPr id="39" name="WordPictureWatermark20959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PictureWatermark2095932796"/>
                  <pic:cNvPicPr>
                    <a:picLocks noChangeAspect="1" noChangeArrowheads="1"/>
                  </pic:cNvPicPr>
                </pic:nvPicPr>
                <pic:blipFill>
                  <a:blip r:embed="rId2"/>
                  <a:stretch>
                    <a:fillRect/>
                  </a:stretch>
                </pic:blipFill>
                <pic:spPr bwMode="auto">
                  <a:xfrm>
                    <a:off x="0" y="0"/>
                    <a:ext cx="6858635" cy="9144635"/>
                  </a:xfrm>
                  <a:prstGeom prst="rect">
                    <a:avLst/>
                  </a:prstGeom>
                </pic:spPr>
              </pic:pic>
            </a:graphicData>
          </a:graphic>
        </wp:anchor>
      </w:drawing>
    </w:r>
    <w:r w:rsidR="00FC5408">
      <w:rPr>
        <w:rFonts w:ascii="Palatino Linotype" w:hAnsi="Palatino Linotype"/>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F525A0"/>
    <w:multiLevelType w:val="hybridMultilevel"/>
    <w:tmpl w:val="0CA21B9E"/>
    <w:styleLink w:val="Estiloimportado14"/>
    <w:lvl w:ilvl="0" w:tplc="20EED1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2A1263"/>
    <w:multiLevelType w:val="hybridMultilevel"/>
    <w:tmpl w:val="C50041F4"/>
    <w:lvl w:ilvl="0" w:tplc="488219D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9406D35"/>
    <w:multiLevelType w:val="hybridMultilevel"/>
    <w:tmpl w:val="3D96261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36658"/>
    <w:multiLevelType w:val="hybridMultilevel"/>
    <w:tmpl w:val="ED4C3122"/>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2D927D1D"/>
    <w:multiLevelType w:val="hybridMultilevel"/>
    <w:tmpl w:val="CF3815D2"/>
    <w:lvl w:ilvl="0" w:tplc="3A646C4A">
      <w:start w:val="10"/>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317490"/>
    <w:multiLevelType w:val="hybridMultilevel"/>
    <w:tmpl w:val="D370F3DE"/>
    <w:lvl w:ilvl="0" w:tplc="92BE0B36">
      <w:start w:val="1"/>
      <w:numFmt w:val="decimal"/>
      <w:lvlText w:val="%1."/>
      <w:lvlJc w:val="left"/>
      <w:pPr>
        <w:ind w:left="644"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AB0125E"/>
    <w:multiLevelType w:val="hybridMultilevel"/>
    <w:tmpl w:val="C090E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560839D1"/>
    <w:multiLevelType w:val="hybridMultilevel"/>
    <w:tmpl w:val="334C5C00"/>
    <w:lvl w:ilvl="0" w:tplc="C302A056">
      <w:start w:val="1"/>
      <w:numFmt w:val="decimal"/>
      <w:lvlText w:val="%1."/>
      <w:lvlJc w:val="left"/>
      <w:pPr>
        <w:ind w:left="720"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D1266"/>
    <w:multiLevelType w:val="hybridMultilevel"/>
    <w:tmpl w:val="7D76B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63F863F1"/>
    <w:multiLevelType w:val="hybridMultilevel"/>
    <w:tmpl w:val="9F8A0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A35AFF"/>
    <w:multiLevelType w:val="hybridMultilevel"/>
    <w:tmpl w:val="D370F3DE"/>
    <w:lvl w:ilvl="0" w:tplc="92BE0B36">
      <w:start w:val="1"/>
      <w:numFmt w:val="decimal"/>
      <w:lvlText w:val="%1."/>
      <w:lvlJc w:val="left"/>
      <w:pPr>
        <w:ind w:left="360"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3204EE"/>
    <w:multiLevelType w:val="hybridMultilevel"/>
    <w:tmpl w:val="6672802E"/>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136A0"/>
    <w:multiLevelType w:val="hybridMultilevel"/>
    <w:tmpl w:val="E03044EA"/>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CF028E"/>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6A4943"/>
    <w:multiLevelType w:val="hybridMultilevel"/>
    <w:tmpl w:val="41F836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2097044820">
    <w:abstractNumId w:val="10"/>
  </w:num>
  <w:num w:numId="2" w16cid:durableId="664431369">
    <w:abstractNumId w:val="7"/>
  </w:num>
  <w:num w:numId="3" w16cid:durableId="1891645467">
    <w:abstractNumId w:val="5"/>
  </w:num>
  <w:num w:numId="4" w16cid:durableId="1331061899">
    <w:abstractNumId w:val="0"/>
  </w:num>
  <w:num w:numId="5" w16cid:durableId="1251700008">
    <w:abstractNumId w:val="8"/>
  </w:num>
  <w:num w:numId="6" w16cid:durableId="968129738">
    <w:abstractNumId w:val="20"/>
  </w:num>
  <w:num w:numId="7" w16cid:durableId="902986584">
    <w:abstractNumId w:val="12"/>
  </w:num>
  <w:num w:numId="8" w16cid:durableId="136341564">
    <w:abstractNumId w:val="1"/>
  </w:num>
  <w:num w:numId="9" w16cid:durableId="950359311">
    <w:abstractNumId w:val="11"/>
  </w:num>
  <w:num w:numId="10" w16cid:durableId="396167346">
    <w:abstractNumId w:val="13"/>
  </w:num>
  <w:num w:numId="11" w16cid:durableId="1709910480">
    <w:abstractNumId w:val="18"/>
  </w:num>
  <w:num w:numId="12" w16cid:durableId="965307112">
    <w:abstractNumId w:val="15"/>
  </w:num>
  <w:num w:numId="13" w16cid:durableId="776219652">
    <w:abstractNumId w:val="3"/>
  </w:num>
  <w:num w:numId="14" w16cid:durableId="1323391785">
    <w:abstractNumId w:val="2"/>
  </w:num>
  <w:num w:numId="15" w16cid:durableId="1791389258">
    <w:abstractNumId w:val="14"/>
  </w:num>
  <w:num w:numId="16" w16cid:durableId="651327753">
    <w:abstractNumId w:val="24"/>
  </w:num>
  <w:num w:numId="17" w16cid:durableId="491288319">
    <w:abstractNumId w:val="23"/>
  </w:num>
  <w:num w:numId="18" w16cid:durableId="1481844364">
    <w:abstractNumId w:val="17"/>
  </w:num>
  <w:num w:numId="19" w16cid:durableId="1448423573">
    <w:abstractNumId w:val="19"/>
  </w:num>
  <w:num w:numId="20" w16cid:durableId="1550144008">
    <w:abstractNumId w:val="22"/>
  </w:num>
  <w:num w:numId="21" w16cid:durableId="1086732056">
    <w:abstractNumId w:val="4"/>
  </w:num>
  <w:num w:numId="22" w16cid:durableId="44257484">
    <w:abstractNumId w:val="9"/>
  </w:num>
  <w:num w:numId="23" w16cid:durableId="1618216458">
    <w:abstractNumId w:val="25"/>
  </w:num>
  <w:num w:numId="24" w16cid:durableId="1474979742">
    <w:abstractNumId w:val="16"/>
  </w:num>
  <w:num w:numId="25" w16cid:durableId="354893557">
    <w:abstractNumId w:val="6"/>
  </w:num>
  <w:num w:numId="26" w16cid:durableId="1865904019">
    <w:abstractNumId w:val="21"/>
  </w:num>
  <w:num w:numId="27" w16cid:durableId="1655063582">
    <w:abstractNumId w:val="26"/>
  </w:num>
  <w:num w:numId="28" w16cid:durableId="804280202">
    <w:abstractNumId w:val="11"/>
  </w:num>
  <w:num w:numId="29" w16cid:durableId="1505510012">
    <w:abstractNumId w:val="1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9D"/>
    <w:rsid w:val="000044BC"/>
    <w:rsid w:val="00006C8A"/>
    <w:rsid w:val="000100F6"/>
    <w:rsid w:val="000313BF"/>
    <w:rsid w:val="00036969"/>
    <w:rsid w:val="00046276"/>
    <w:rsid w:val="00055DEB"/>
    <w:rsid w:val="00055EF3"/>
    <w:rsid w:val="00056AA7"/>
    <w:rsid w:val="00076942"/>
    <w:rsid w:val="00081015"/>
    <w:rsid w:val="00093A2D"/>
    <w:rsid w:val="000A75D1"/>
    <w:rsid w:val="000A7B67"/>
    <w:rsid w:val="000B1959"/>
    <w:rsid w:val="000B3909"/>
    <w:rsid w:val="000C091A"/>
    <w:rsid w:val="000C106A"/>
    <w:rsid w:val="000C1CE2"/>
    <w:rsid w:val="000D0723"/>
    <w:rsid w:val="000D2781"/>
    <w:rsid w:val="000E55D7"/>
    <w:rsid w:val="000E63C4"/>
    <w:rsid w:val="00112B0A"/>
    <w:rsid w:val="00115368"/>
    <w:rsid w:val="0013020B"/>
    <w:rsid w:val="00140F65"/>
    <w:rsid w:val="0014632C"/>
    <w:rsid w:val="00151E50"/>
    <w:rsid w:val="00162AEA"/>
    <w:rsid w:val="00171E05"/>
    <w:rsid w:val="00175813"/>
    <w:rsid w:val="00191180"/>
    <w:rsid w:val="00193A52"/>
    <w:rsid w:val="001A6FF4"/>
    <w:rsid w:val="001A746D"/>
    <w:rsid w:val="001B030B"/>
    <w:rsid w:val="001C2634"/>
    <w:rsid w:val="001D0230"/>
    <w:rsid w:val="001E0A16"/>
    <w:rsid w:val="001E4B4A"/>
    <w:rsid w:val="001F6495"/>
    <w:rsid w:val="00206DB9"/>
    <w:rsid w:val="002312BA"/>
    <w:rsid w:val="00233D78"/>
    <w:rsid w:val="00242DA6"/>
    <w:rsid w:val="00243EDE"/>
    <w:rsid w:val="00244163"/>
    <w:rsid w:val="00273CBA"/>
    <w:rsid w:val="00280AF8"/>
    <w:rsid w:val="00292D2C"/>
    <w:rsid w:val="002B0824"/>
    <w:rsid w:val="002B4527"/>
    <w:rsid w:val="002B7913"/>
    <w:rsid w:val="002C3A0B"/>
    <w:rsid w:val="002C757D"/>
    <w:rsid w:val="002D6926"/>
    <w:rsid w:val="002D6B2C"/>
    <w:rsid w:val="002E0DC5"/>
    <w:rsid w:val="002E43DF"/>
    <w:rsid w:val="003036F7"/>
    <w:rsid w:val="0034462A"/>
    <w:rsid w:val="00350E91"/>
    <w:rsid w:val="00351363"/>
    <w:rsid w:val="00362EFA"/>
    <w:rsid w:val="0036339F"/>
    <w:rsid w:val="0036657E"/>
    <w:rsid w:val="003725A1"/>
    <w:rsid w:val="00377758"/>
    <w:rsid w:val="00382BAC"/>
    <w:rsid w:val="003911FB"/>
    <w:rsid w:val="003A38E6"/>
    <w:rsid w:val="003A48AF"/>
    <w:rsid w:val="003A6731"/>
    <w:rsid w:val="003A7A06"/>
    <w:rsid w:val="003B5B03"/>
    <w:rsid w:val="003B795B"/>
    <w:rsid w:val="003C50FF"/>
    <w:rsid w:val="003D09EA"/>
    <w:rsid w:val="003D0A92"/>
    <w:rsid w:val="003E3235"/>
    <w:rsid w:val="003E4EFC"/>
    <w:rsid w:val="003F047F"/>
    <w:rsid w:val="003F1413"/>
    <w:rsid w:val="003F3BD0"/>
    <w:rsid w:val="003F4469"/>
    <w:rsid w:val="003F4B8F"/>
    <w:rsid w:val="003F4D15"/>
    <w:rsid w:val="004025A2"/>
    <w:rsid w:val="00414310"/>
    <w:rsid w:val="0042463F"/>
    <w:rsid w:val="004250AF"/>
    <w:rsid w:val="0044056C"/>
    <w:rsid w:val="00442AA3"/>
    <w:rsid w:val="00442D8C"/>
    <w:rsid w:val="0045111D"/>
    <w:rsid w:val="0045350A"/>
    <w:rsid w:val="00463ACA"/>
    <w:rsid w:val="00464C91"/>
    <w:rsid w:val="00484489"/>
    <w:rsid w:val="00496106"/>
    <w:rsid w:val="004967A0"/>
    <w:rsid w:val="004968C8"/>
    <w:rsid w:val="00497F68"/>
    <w:rsid w:val="004A0A11"/>
    <w:rsid w:val="004B344D"/>
    <w:rsid w:val="004B5798"/>
    <w:rsid w:val="004C2113"/>
    <w:rsid w:val="004C4001"/>
    <w:rsid w:val="004C75E2"/>
    <w:rsid w:val="004D5A66"/>
    <w:rsid w:val="004E2AB0"/>
    <w:rsid w:val="004E41B2"/>
    <w:rsid w:val="004F20FB"/>
    <w:rsid w:val="005030D3"/>
    <w:rsid w:val="005040F5"/>
    <w:rsid w:val="00515048"/>
    <w:rsid w:val="005206FA"/>
    <w:rsid w:val="0052357F"/>
    <w:rsid w:val="00526F88"/>
    <w:rsid w:val="0053016B"/>
    <w:rsid w:val="0053426A"/>
    <w:rsid w:val="00534480"/>
    <w:rsid w:val="0054642C"/>
    <w:rsid w:val="00550416"/>
    <w:rsid w:val="00552D75"/>
    <w:rsid w:val="00553848"/>
    <w:rsid w:val="00563244"/>
    <w:rsid w:val="00573B85"/>
    <w:rsid w:val="00574FB9"/>
    <w:rsid w:val="0057552B"/>
    <w:rsid w:val="00591E1A"/>
    <w:rsid w:val="005964BE"/>
    <w:rsid w:val="005C3C65"/>
    <w:rsid w:val="005C50B4"/>
    <w:rsid w:val="005C706B"/>
    <w:rsid w:val="005E321A"/>
    <w:rsid w:val="005E338E"/>
    <w:rsid w:val="005F1F47"/>
    <w:rsid w:val="005F69AD"/>
    <w:rsid w:val="00602E7D"/>
    <w:rsid w:val="00613931"/>
    <w:rsid w:val="006255C5"/>
    <w:rsid w:val="006406C1"/>
    <w:rsid w:val="00642A3F"/>
    <w:rsid w:val="00667954"/>
    <w:rsid w:val="00670A9E"/>
    <w:rsid w:val="00670E6E"/>
    <w:rsid w:val="00681628"/>
    <w:rsid w:val="00691221"/>
    <w:rsid w:val="00695C32"/>
    <w:rsid w:val="006A2231"/>
    <w:rsid w:val="006B4562"/>
    <w:rsid w:val="006B6418"/>
    <w:rsid w:val="006D12C3"/>
    <w:rsid w:val="006F2548"/>
    <w:rsid w:val="006F2D5B"/>
    <w:rsid w:val="006F70F0"/>
    <w:rsid w:val="006F7BEF"/>
    <w:rsid w:val="00732EC8"/>
    <w:rsid w:val="007403E9"/>
    <w:rsid w:val="0075136F"/>
    <w:rsid w:val="0075458F"/>
    <w:rsid w:val="00765427"/>
    <w:rsid w:val="00780970"/>
    <w:rsid w:val="00795F38"/>
    <w:rsid w:val="007A645B"/>
    <w:rsid w:val="007C0470"/>
    <w:rsid w:val="007C0A21"/>
    <w:rsid w:val="007C47ED"/>
    <w:rsid w:val="007E10FE"/>
    <w:rsid w:val="007F21B9"/>
    <w:rsid w:val="007F2DA2"/>
    <w:rsid w:val="007F5234"/>
    <w:rsid w:val="008048B4"/>
    <w:rsid w:val="008054C5"/>
    <w:rsid w:val="008065BC"/>
    <w:rsid w:val="00806C2F"/>
    <w:rsid w:val="008116F5"/>
    <w:rsid w:val="00816688"/>
    <w:rsid w:val="00840FBE"/>
    <w:rsid w:val="008567E2"/>
    <w:rsid w:val="0086472B"/>
    <w:rsid w:val="00867A52"/>
    <w:rsid w:val="00885757"/>
    <w:rsid w:val="008A4ACF"/>
    <w:rsid w:val="008B4757"/>
    <w:rsid w:val="008B7817"/>
    <w:rsid w:val="008C048A"/>
    <w:rsid w:val="008C1B5F"/>
    <w:rsid w:val="008C79EB"/>
    <w:rsid w:val="008E56B2"/>
    <w:rsid w:val="008F3853"/>
    <w:rsid w:val="008F3BDF"/>
    <w:rsid w:val="008F62D7"/>
    <w:rsid w:val="00912240"/>
    <w:rsid w:val="00915BC5"/>
    <w:rsid w:val="0093195B"/>
    <w:rsid w:val="0093390E"/>
    <w:rsid w:val="00943AD9"/>
    <w:rsid w:val="009463E1"/>
    <w:rsid w:val="009467E4"/>
    <w:rsid w:val="00956C0F"/>
    <w:rsid w:val="0096699B"/>
    <w:rsid w:val="00966B07"/>
    <w:rsid w:val="009704EC"/>
    <w:rsid w:val="009706DF"/>
    <w:rsid w:val="00984329"/>
    <w:rsid w:val="009A4527"/>
    <w:rsid w:val="009A544A"/>
    <w:rsid w:val="009A7C8F"/>
    <w:rsid w:val="009C0B87"/>
    <w:rsid w:val="009D7561"/>
    <w:rsid w:val="009E1376"/>
    <w:rsid w:val="009E7700"/>
    <w:rsid w:val="009F7758"/>
    <w:rsid w:val="00A07E68"/>
    <w:rsid w:val="00A143C7"/>
    <w:rsid w:val="00A20561"/>
    <w:rsid w:val="00A32B16"/>
    <w:rsid w:val="00A3599E"/>
    <w:rsid w:val="00A414EA"/>
    <w:rsid w:val="00A475D8"/>
    <w:rsid w:val="00A51227"/>
    <w:rsid w:val="00A51B7F"/>
    <w:rsid w:val="00A526CE"/>
    <w:rsid w:val="00A5416A"/>
    <w:rsid w:val="00A57E66"/>
    <w:rsid w:val="00A84BC3"/>
    <w:rsid w:val="00A87961"/>
    <w:rsid w:val="00A94256"/>
    <w:rsid w:val="00AD3D1C"/>
    <w:rsid w:val="00AE3BDE"/>
    <w:rsid w:val="00B41C9D"/>
    <w:rsid w:val="00B4361E"/>
    <w:rsid w:val="00B45C3B"/>
    <w:rsid w:val="00B52F89"/>
    <w:rsid w:val="00B72872"/>
    <w:rsid w:val="00B73105"/>
    <w:rsid w:val="00B7466B"/>
    <w:rsid w:val="00B77184"/>
    <w:rsid w:val="00B94E03"/>
    <w:rsid w:val="00BA22BD"/>
    <w:rsid w:val="00BA48E3"/>
    <w:rsid w:val="00BC4E46"/>
    <w:rsid w:val="00BD24AB"/>
    <w:rsid w:val="00BD6BB8"/>
    <w:rsid w:val="00BE02D0"/>
    <w:rsid w:val="00BE21C4"/>
    <w:rsid w:val="00BE56D8"/>
    <w:rsid w:val="00BF4F82"/>
    <w:rsid w:val="00C02573"/>
    <w:rsid w:val="00C0315D"/>
    <w:rsid w:val="00C04072"/>
    <w:rsid w:val="00C060A8"/>
    <w:rsid w:val="00C1345F"/>
    <w:rsid w:val="00C16632"/>
    <w:rsid w:val="00C211C5"/>
    <w:rsid w:val="00C24339"/>
    <w:rsid w:val="00C27468"/>
    <w:rsid w:val="00C409EF"/>
    <w:rsid w:val="00C4626C"/>
    <w:rsid w:val="00C60801"/>
    <w:rsid w:val="00C6174F"/>
    <w:rsid w:val="00C62A1E"/>
    <w:rsid w:val="00C66E23"/>
    <w:rsid w:val="00C66F57"/>
    <w:rsid w:val="00C80959"/>
    <w:rsid w:val="00C809FF"/>
    <w:rsid w:val="00C80E4D"/>
    <w:rsid w:val="00C8293B"/>
    <w:rsid w:val="00C9084A"/>
    <w:rsid w:val="00C96E91"/>
    <w:rsid w:val="00CA0F41"/>
    <w:rsid w:val="00CA0FAE"/>
    <w:rsid w:val="00CA218B"/>
    <w:rsid w:val="00CC70B3"/>
    <w:rsid w:val="00CD447B"/>
    <w:rsid w:val="00CE5462"/>
    <w:rsid w:val="00D0026E"/>
    <w:rsid w:val="00D07BFA"/>
    <w:rsid w:val="00D12A37"/>
    <w:rsid w:val="00D2000B"/>
    <w:rsid w:val="00D24BE3"/>
    <w:rsid w:val="00D24BF4"/>
    <w:rsid w:val="00D27EE5"/>
    <w:rsid w:val="00D352C2"/>
    <w:rsid w:val="00D416B8"/>
    <w:rsid w:val="00D42AE6"/>
    <w:rsid w:val="00D622A1"/>
    <w:rsid w:val="00D70851"/>
    <w:rsid w:val="00D75668"/>
    <w:rsid w:val="00D8214A"/>
    <w:rsid w:val="00D90B92"/>
    <w:rsid w:val="00D92237"/>
    <w:rsid w:val="00DB1423"/>
    <w:rsid w:val="00DC24D9"/>
    <w:rsid w:val="00DD1437"/>
    <w:rsid w:val="00DF320E"/>
    <w:rsid w:val="00DF6F53"/>
    <w:rsid w:val="00E00AAA"/>
    <w:rsid w:val="00E0287A"/>
    <w:rsid w:val="00E06C69"/>
    <w:rsid w:val="00E15B92"/>
    <w:rsid w:val="00E20089"/>
    <w:rsid w:val="00E20285"/>
    <w:rsid w:val="00E26172"/>
    <w:rsid w:val="00E32EF5"/>
    <w:rsid w:val="00E405D4"/>
    <w:rsid w:val="00E50771"/>
    <w:rsid w:val="00E70579"/>
    <w:rsid w:val="00E750ED"/>
    <w:rsid w:val="00E82EEA"/>
    <w:rsid w:val="00E84085"/>
    <w:rsid w:val="00E95992"/>
    <w:rsid w:val="00E965F8"/>
    <w:rsid w:val="00E96A2C"/>
    <w:rsid w:val="00EA786F"/>
    <w:rsid w:val="00EB02D8"/>
    <w:rsid w:val="00EB28BD"/>
    <w:rsid w:val="00EB486B"/>
    <w:rsid w:val="00EC3275"/>
    <w:rsid w:val="00EC634B"/>
    <w:rsid w:val="00EC7C00"/>
    <w:rsid w:val="00EE6002"/>
    <w:rsid w:val="00EF09F9"/>
    <w:rsid w:val="00F0183C"/>
    <w:rsid w:val="00F032A7"/>
    <w:rsid w:val="00F12753"/>
    <w:rsid w:val="00F13B57"/>
    <w:rsid w:val="00F33953"/>
    <w:rsid w:val="00F34127"/>
    <w:rsid w:val="00F52421"/>
    <w:rsid w:val="00F6114F"/>
    <w:rsid w:val="00F61DAB"/>
    <w:rsid w:val="00F63ED7"/>
    <w:rsid w:val="00F67357"/>
    <w:rsid w:val="00F746D5"/>
    <w:rsid w:val="00F81097"/>
    <w:rsid w:val="00F83732"/>
    <w:rsid w:val="00F96888"/>
    <w:rsid w:val="00FA7215"/>
    <w:rsid w:val="00FB4CA0"/>
    <w:rsid w:val="00FB5766"/>
    <w:rsid w:val="00FC014D"/>
    <w:rsid w:val="00FC5408"/>
    <w:rsid w:val="00FC630C"/>
    <w:rsid w:val="00FD1BEE"/>
    <w:rsid w:val="00FE46B5"/>
    <w:rsid w:val="00FF5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EE9D6"/>
  <w15:chartTrackingRefBased/>
  <w15:docId w15:val="{F8B20850-6842-4F31-9775-AA6BCDB9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9D"/>
    <w:pPr>
      <w:suppressAutoHyphens/>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qFormat/>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spacing w:after="0" w:line="240" w:lineRule="auto"/>
    </w:pPr>
    <w:rPr>
      <w:rFonts w:ascii="Arial" w:hAnsi="Arial" w:cs="Arial"/>
      <w:color w:val="000000"/>
      <w:sz w:val="24"/>
      <w:szCs w:val="24"/>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spacing w:after="0" w:line="240" w:lineRule="auto"/>
    </w:pPr>
    <w:rPr>
      <w:rFonts w:ascii="Times New Roman" w:eastAsia="Times New Roman" w:hAnsi="Times New Roman" w:cs="Times New Roman"/>
    </w:r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spacing w:after="0" w:line="240" w:lineRule="auto"/>
      <w:textAlignment w:val="baseline"/>
    </w:pPr>
    <w:rPr>
      <w:rFonts w:ascii="Liberation Serif" w:eastAsia="DejaVu Sans" w:hAnsi="Liberation Serif" w:cs="Lohit Hindi"/>
      <w:kern w:val="2"/>
      <w:sz w:val="24"/>
      <w:szCs w:val="24"/>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pPr>
      <w:numPr>
        <w:numId w:val="1"/>
      </w:numPr>
    </w:pPr>
  </w:style>
  <w:style w:type="numbering" w:customStyle="1" w:styleId="Estiloimportado1">
    <w:name w:val="Estilo importado 1"/>
    <w:qFormat/>
    <w:rsid w:val="00B41C9D"/>
    <w:pPr>
      <w:numPr>
        <w:numId w:val="2"/>
      </w:numPr>
    </w:pPr>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41C9D"/>
    <w:pPr>
      <w:suppressAutoHyphens/>
      <w:spacing w:after="0" w:line="240" w:lineRule="auto"/>
    </w:pPr>
    <w:rPr>
      <w:rFonts w:eastAsiaTheme="minorEastAsia"/>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39"/>
    <w:rsid w:val="00B41C9D"/>
    <w:pPr>
      <w:suppressAutoHyphens/>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B41C9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B41C9D"/>
    <w:pPr>
      <w:numPr>
        <w:numId w:val="3"/>
      </w:numPr>
    </w:pPr>
  </w:style>
  <w:style w:type="numbering" w:customStyle="1" w:styleId="Estiloimportado12">
    <w:name w:val="Estilo importado 12"/>
    <w:rsid w:val="00B41C9D"/>
    <w:pPr>
      <w:numPr>
        <w:numId w:val="4"/>
      </w:numPr>
    </w:pPr>
  </w:style>
  <w:style w:type="table" w:customStyle="1" w:styleId="Tablaconcuadrcula121">
    <w:name w:val="Tabla con cuadrícula12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pPr>
      <w:numPr>
        <w:numId w:val="5"/>
      </w:numPr>
    </w:pPr>
  </w:style>
  <w:style w:type="numbering" w:customStyle="1" w:styleId="Estiloimportado112">
    <w:name w:val="Estilo importado 112"/>
    <w:rsid w:val="00B41C9D"/>
    <w:pPr>
      <w:numPr>
        <w:numId w:val="6"/>
      </w:numPr>
    </w:pPr>
  </w:style>
  <w:style w:type="table" w:customStyle="1" w:styleId="Tablaconcuadrcula1122">
    <w:name w:val="Tabla con cuadrícula11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4">
    <w:name w:val="Estilo importado 24"/>
    <w:rsid w:val="00B41C9D"/>
    <w:pPr>
      <w:numPr>
        <w:numId w:val="7"/>
      </w:numPr>
    </w:pPr>
  </w:style>
  <w:style w:type="numbering" w:customStyle="1" w:styleId="Estiloimportado14">
    <w:name w:val="Estilo importado 14"/>
    <w:rsid w:val="00B41C9D"/>
    <w:pPr>
      <w:numPr>
        <w:numId w:val="8"/>
      </w:numPr>
    </w:pPr>
  </w:style>
  <w:style w:type="table" w:customStyle="1" w:styleId="Tablaconcuadrcula122">
    <w:name w:val="Tabla con cuadrícula122"/>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B4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pPr>
      <w:spacing w:after="0" w:line="240" w:lineRule="auto"/>
    </w:pPr>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1C9D"/>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B41C9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464C91"/>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64C9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191180"/>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1911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1609377113336227858gmail-msonormal">
    <w:name w:val="m_1609377113336227858gmail-msonormal"/>
    <w:basedOn w:val="Normal"/>
    <w:rsid w:val="00362EFA"/>
    <w:pPr>
      <w:suppressAutoHyphens w:val="0"/>
      <w:spacing w:before="100" w:beforeAutospacing="1" w:after="100" w:afterAutospacing="1"/>
    </w:pPr>
    <w:rPr>
      <w:lang w:val="es-ES"/>
    </w:rPr>
  </w:style>
  <w:style w:type="character" w:styleId="Referenciasutil">
    <w:name w:val="Subtle Reference"/>
    <w:basedOn w:val="Fuentedeprrafopredeter"/>
    <w:uiPriority w:val="31"/>
    <w:qFormat/>
    <w:rsid w:val="00140F6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98">
      <w:bodyDiv w:val="1"/>
      <w:marLeft w:val="0"/>
      <w:marRight w:val="0"/>
      <w:marTop w:val="0"/>
      <w:marBottom w:val="0"/>
      <w:divBdr>
        <w:top w:val="none" w:sz="0" w:space="0" w:color="auto"/>
        <w:left w:val="none" w:sz="0" w:space="0" w:color="auto"/>
        <w:bottom w:val="none" w:sz="0" w:space="0" w:color="auto"/>
        <w:right w:val="none" w:sz="0" w:space="0" w:color="auto"/>
      </w:divBdr>
    </w:div>
    <w:div w:id="77944307">
      <w:bodyDiv w:val="1"/>
      <w:marLeft w:val="0"/>
      <w:marRight w:val="0"/>
      <w:marTop w:val="0"/>
      <w:marBottom w:val="0"/>
      <w:divBdr>
        <w:top w:val="none" w:sz="0" w:space="0" w:color="auto"/>
        <w:left w:val="none" w:sz="0" w:space="0" w:color="auto"/>
        <w:bottom w:val="none" w:sz="0" w:space="0" w:color="auto"/>
        <w:right w:val="none" w:sz="0" w:space="0" w:color="auto"/>
      </w:divBdr>
      <w:divsChild>
        <w:div w:id="1738236717">
          <w:marLeft w:val="0"/>
          <w:marRight w:val="0"/>
          <w:marTop w:val="0"/>
          <w:marBottom w:val="0"/>
          <w:divBdr>
            <w:top w:val="none" w:sz="0" w:space="0" w:color="auto"/>
            <w:left w:val="none" w:sz="0" w:space="0" w:color="auto"/>
            <w:bottom w:val="none" w:sz="0" w:space="0" w:color="auto"/>
            <w:right w:val="none" w:sz="0" w:space="0" w:color="auto"/>
          </w:divBdr>
        </w:div>
      </w:divsChild>
    </w:div>
    <w:div w:id="85344275">
      <w:bodyDiv w:val="1"/>
      <w:marLeft w:val="0"/>
      <w:marRight w:val="0"/>
      <w:marTop w:val="0"/>
      <w:marBottom w:val="0"/>
      <w:divBdr>
        <w:top w:val="none" w:sz="0" w:space="0" w:color="auto"/>
        <w:left w:val="none" w:sz="0" w:space="0" w:color="auto"/>
        <w:bottom w:val="none" w:sz="0" w:space="0" w:color="auto"/>
        <w:right w:val="none" w:sz="0" w:space="0" w:color="auto"/>
      </w:divBdr>
    </w:div>
    <w:div w:id="104353897">
      <w:bodyDiv w:val="1"/>
      <w:marLeft w:val="0"/>
      <w:marRight w:val="0"/>
      <w:marTop w:val="0"/>
      <w:marBottom w:val="0"/>
      <w:divBdr>
        <w:top w:val="none" w:sz="0" w:space="0" w:color="auto"/>
        <w:left w:val="none" w:sz="0" w:space="0" w:color="auto"/>
        <w:bottom w:val="none" w:sz="0" w:space="0" w:color="auto"/>
        <w:right w:val="none" w:sz="0" w:space="0" w:color="auto"/>
      </w:divBdr>
    </w:div>
    <w:div w:id="113525434">
      <w:bodyDiv w:val="1"/>
      <w:marLeft w:val="0"/>
      <w:marRight w:val="0"/>
      <w:marTop w:val="0"/>
      <w:marBottom w:val="0"/>
      <w:divBdr>
        <w:top w:val="none" w:sz="0" w:space="0" w:color="auto"/>
        <w:left w:val="none" w:sz="0" w:space="0" w:color="auto"/>
        <w:bottom w:val="none" w:sz="0" w:space="0" w:color="auto"/>
        <w:right w:val="none" w:sz="0" w:space="0" w:color="auto"/>
      </w:divBdr>
    </w:div>
    <w:div w:id="126439744">
      <w:bodyDiv w:val="1"/>
      <w:marLeft w:val="0"/>
      <w:marRight w:val="0"/>
      <w:marTop w:val="0"/>
      <w:marBottom w:val="0"/>
      <w:divBdr>
        <w:top w:val="none" w:sz="0" w:space="0" w:color="auto"/>
        <w:left w:val="none" w:sz="0" w:space="0" w:color="auto"/>
        <w:bottom w:val="none" w:sz="0" w:space="0" w:color="auto"/>
        <w:right w:val="none" w:sz="0" w:space="0" w:color="auto"/>
      </w:divBdr>
    </w:div>
    <w:div w:id="143008349">
      <w:bodyDiv w:val="1"/>
      <w:marLeft w:val="0"/>
      <w:marRight w:val="0"/>
      <w:marTop w:val="0"/>
      <w:marBottom w:val="0"/>
      <w:divBdr>
        <w:top w:val="none" w:sz="0" w:space="0" w:color="auto"/>
        <w:left w:val="none" w:sz="0" w:space="0" w:color="auto"/>
        <w:bottom w:val="none" w:sz="0" w:space="0" w:color="auto"/>
        <w:right w:val="none" w:sz="0" w:space="0" w:color="auto"/>
      </w:divBdr>
    </w:div>
    <w:div w:id="144710543">
      <w:bodyDiv w:val="1"/>
      <w:marLeft w:val="0"/>
      <w:marRight w:val="0"/>
      <w:marTop w:val="0"/>
      <w:marBottom w:val="0"/>
      <w:divBdr>
        <w:top w:val="none" w:sz="0" w:space="0" w:color="auto"/>
        <w:left w:val="none" w:sz="0" w:space="0" w:color="auto"/>
        <w:bottom w:val="none" w:sz="0" w:space="0" w:color="auto"/>
        <w:right w:val="none" w:sz="0" w:space="0" w:color="auto"/>
      </w:divBdr>
    </w:div>
    <w:div w:id="189027735">
      <w:bodyDiv w:val="1"/>
      <w:marLeft w:val="0"/>
      <w:marRight w:val="0"/>
      <w:marTop w:val="0"/>
      <w:marBottom w:val="0"/>
      <w:divBdr>
        <w:top w:val="none" w:sz="0" w:space="0" w:color="auto"/>
        <w:left w:val="none" w:sz="0" w:space="0" w:color="auto"/>
        <w:bottom w:val="none" w:sz="0" w:space="0" w:color="auto"/>
        <w:right w:val="none" w:sz="0" w:space="0" w:color="auto"/>
      </w:divBdr>
    </w:div>
    <w:div w:id="192497842">
      <w:bodyDiv w:val="1"/>
      <w:marLeft w:val="0"/>
      <w:marRight w:val="0"/>
      <w:marTop w:val="0"/>
      <w:marBottom w:val="0"/>
      <w:divBdr>
        <w:top w:val="none" w:sz="0" w:space="0" w:color="auto"/>
        <w:left w:val="none" w:sz="0" w:space="0" w:color="auto"/>
        <w:bottom w:val="none" w:sz="0" w:space="0" w:color="auto"/>
        <w:right w:val="none" w:sz="0" w:space="0" w:color="auto"/>
      </w:divBdr>
    </w:div>
    <w:div w:id="197936137">
      <w:bodyDiv w:val="1"/>
      <w:marLeft w:val="0"/>
      <w:marRight w:val="0"/>
      <w:marTop w:val="0"/>
      <w:marBottom w:val="0"/>
      <w:divBdr>
        <w:top w:val="none" w:sz="0" w:space="0" w:color="auto"/>
        <w:left w:val="none" w:sz="0" w:space="0" w:color="auto"/>
        <w:bottom w:val="none" w:sz="0" w:space="0" w:color="auto"/>
        <w:right w:val="none" w:sz="0" w:space="0" w:color="auto"/>
      </w:divBdr>
    </w:div>
    <w:div w:id="259995616">
      <w:bodyDiv w:val="1"/>
      <w:marLeft w:val="0"/>
      <w:marRight w:val="0"/>
      <w:marTop w:val="0"/>
      <w:marBottom w:val="0"/>
      <w:divBdr>
        <w:top w:val="none" w:sz="0" w:space="0" w:color="auto"/>
        <w:left w:val="none" w:sz="0" w:space="0" w:color="auto"/>
        <w:bottom w:val="none" w:sz="0" w:space="0" w:color="auto"/>
        <w:right w:val="none" w:sz="0" w:space="0" w:color="auto"/>
      </w:divBdr>
    </w:div>
    <w:div w:id="270741770">
      <w:bodyDiv w:val="1"/>
      <w:marLeft w:val="0"/>
      <w:marRight w:val="0"/>
      <w:marTop w:val="0"/>
      <w:marBottom w:val="0"/>
      <w:divBdr>
        <w:top w:val="none" w:sz="0" w:space="0" w:color="auto"/>
        <w:left w:val="none" w:sz="0" w:space="0" w:color="auto"/>
        <w:bottom w:val="none" w:sz="0" w:space="0" w:color="auto"/>
        <w:right w:val="none" w:sz="0" w:space="0" w:color="auto"/>
      </w:divBdr>
    </w:div>
    <w:div w:id="284580225">
      <w:bodyDiv w:val="1"/>
      <w:marLeft w:val="0"/>
      <w:marRight w:val="0"/>
      <w:marTop w:val="0"/>
      <w:marBottom w:val="0"/>
      <w:divBdr>
        <w:top w:val="none" w:sz="0" w:space="0" w:color="auto"/>
        <w:left w:val="none" w:sz="0" w:space="0" w:color="auto"/>
        <w:bottom w:val="none" w:sz="0" w:space="0" w:color="auto"/>
        <w:right w:val="none" w:sz="0" w:space="0" w:color="auto"/>
      </w:divBdr>
    </w:div>
    <w:div w:id="288366103">
      <w:bodyDiv w:val="1"/>
      <w:marLeft w:val="0"/>
      <w:marRight w:val="0"/>
      <w:marTop w:val="0"/>
      <w:marBottom w:val="0"/>
      <w:divBdr>
        <w:top w:val="none" w:sz="0" w:space="0" w:color="auto"/>
        <w:left w:val="none" w:sz="0" w:space="0" w:color="auto"/>
        <w:bottom w:val="none" w:sz="0" w:space="0" w:color="auto"/>
        <w:right w:val="none" w:sz="0" w:space="0" w:color="auto"/>
      </w:divBdr>
    </w:div>
    <w:div w:id="322977972">
      <w:bodyDiv w:val="1"/>
      <w:marLeft w:val="0"/>
      <w:marRight w:val="0"/>
      <w:marTop w:val="0"/>
      <w:marBottom w:val="0"/>
      <w:divBdr>
        <w:top w:val="none" w:sz="0" w:space="0" w:color="auto"/>
        <w:left w:val="none" w:sz="0" w:space="0" w:color="auto"/>
        <w:bottom w:val="none" w:sz="0" w:space="0" w:color="auto"/>
        <w:right w:val="none" w:sz="0" w:space="0" w:color="auto"/>
      </w:divBdr>
    </w:div>
    <w:div w:id="345058061">
      <w:bodyDiv w:val="1"/>
      <w:marLeft w:val="0"/>
      <w:marRight w:val="0"/>
      <w:marTop w:val="0"/>
      <w:marBottom w:val="0"/>
      <w:divBdr>
        <w:top w:val="none" w:sz="0" w:space="0" w:color="auto"/>
        <w:left w:val="none" w:sz="0" w:space="0" w:color="auto"/>
        <w:bottom w:val="none" w:sz="0" w:space="0" w:color="auto"/>
        <w:right w:val="none" w:sz="0" w:space="0" w:color="auto"/>
      </w:divBdr>
    </w:div>
    <w:div w:id="387265296">
      <w:bodyDiv w:val="1"/>
      <w:marLeft w:val="0"/>
      <w:marRight w:val="0"/>
      <w:marTop w:val="0"/>
      <w:marBottom w:val="0"/>
      <w:divBdr>
        <w:top w:val="none" w:sz="0" w:space="0" w:color="auto"/>
        <w:left w:val="none" w:sz="0" w:space="0" w:color="auto"/>
        <w:bottom w:val="none" w:sz="0" w:space="0" w:color="auto"/>
        <w:right w:val="none" w:sz="0" w:space="0" w:color="auto"/>
      </w:divBdr>
    </w:div>
    <w:div w:id="426077538">
      <w:bodyDiv w:val="1"/>
      <w:marLeft w:val="0"/>
      <w:marRight w:val="0"/>
      <w:marTop w:val="0"/>
      <w:marBottom w:val="0"/>
      <w:divBdr>
        <w:top w:val="none" w:sz="0" w:space="0" w:color="auto"/>
        <w:left w:val="none" w:sz="0" w:space="0" w:color="auto"/>
        <w:bottom w:val="none" w:sz="0" w:space="0" w:color="auto"/>
        <w:right w:val="none" w:sz="0" w:space="0" w:color="auto"/>
      </w:divBdr>
    </w:div>
    <w:div w:id="428240107">
      <w:bodyDiv w:val="1"/>
      <w:marLeft w:val="0"/>
      <w:marRight w:val="0"/>
      <w:marTop w:val="0"/>
      <w:marBottom w:val="0"/>
      <w:divBdr>
        <w:top w:val="none" w:sz="0" w:space="0" w:color="auto"/>
        <w:left w:val="none" w:sz="0" w:space="0" w:color="auto"/>
        <w:bottom w:val="none" w:sz="0" w:space="0" w:color="auto"/>
        <w:right w:val="none" w:sz="0" w:space="0" w:color="auto"/>
      </w:divBdr>
    </w:div>
    <w:div w:id="484778393">
      <w:bodyDiv w:val="1"/>
      <w:marLeft w:val="0"/>
      <w:marRight w:val="0"/>
      <w:marTop w:val="0"/>
      <w:marBottom w:val="0"/>
      <w:divBdr>
        <w:top w:val="none" w:sz="0" w:space="0" w:color="auto"/>
        <w:left w:val="none" w:sz="0" w:space="0" w:color="auto"/>
        <w:bottom w:val="none" w:sz="0" w:space="0" w:color="auto"/>
        <w:right w:val="none" w:sz="0" w:space="0" w:color="auto"/>
      </w:divBdr>
    </w:div>
    <w:div w:id="558781712">
      <w:bodyDiv w:val="1"/>
      <w:marLeft w:val="0"/>
      <w:marRight w:val="0"/>
      <w:marTop w:val="0"/>
      <w:marBottom w:val="0"/>
      <w:divBdr>
        <w:top w:val="none" w:sz="0" w:space="0" w:color="auto"/>
        <w:left w:val="none" w:sz="0" w:space="0" w:color="auto"/>
        <w:bottom w:val="none" w:sz="0" w:space="0" w:color="auto"/>
        <w:right w:val="none" w:sz="0" w:space="0" w:color="auto"/>
      </w:divBdr>
    </w:div>
    <w:div w:id="624895143">
      <w:bodyDiv w:val="1"/>
      <w:marLeft w:val="0"/>
      <w:marRight w:val="0"/>
      <w:marTop w:val="0"/>
      <w:marBottom w:val="0"/>
      <w:divBdr>
        <w:top w:val="none" w:sz="0" w:space="0" w:color="auto"/>
        <w:left w:val="none" w:sz="0" w:space="0" w:color="auto"/>
        <w:bottom w:val="none" w:sz="0" w:space="0" w:color="auto"/>
        <w:right w:val="none" w:sz="0" w:space="0" w:color="auto"/>
      </w:divBdr>
    </w:div>
    <w:div w:id="656153599">
      <w:bodyDiv w:val="1"/>
      <w:marLeft w:val="0"/>
      <w:marRight w:val="0"/>
      <w:marTop w:val="0"/>
      <w:marBottom w:val="0"/>
      <w:divBdr>
        <w:top w:val="none" w:sz="0" w:space="0" w:color="auto"/>
        <w:left w:val="none" w:sz="0" w:space="0" w:color="auto"/>
        <w:bottom w:val="none" w:sz="0" w:space="0" w:color="auto"/>
        <w:right w:val="none" w:sz="0" w:space="0" w:color="auto"/>
      </w:divBdr>
    </w:div>
    <w:div w:id="721825320">
      <w:bodyDiv w:val="1"/>
      <w:marLeft w:val="0"/>
      <w:marRight w:val="0"/>
      <w:marTop w:val="0"/>
      <w:marBottom w:val="0"/>
      <w:divBdr>
        <w:top w:val="none" w:sz="0" w:space="0" w:color="auto"/>
        <w:left w:val="none" w:sz="0" w:space="0" w:color="auto"/>
        <w:bottom w:val="none" w:sz="0" w:space="0" w:color="auto"/>
        <w:right w:val="none" w:sz="0" w:space="0" w:color="auto"/>
      </w:divBdr>
    </w:div>
    <w:div w:id="747965785">
      <w:bodyDiv w:val="1"/>
      <w:marLeft w:val="0"/>
      <w:marRight w:val="0"/>
      <w:marTop w:val="0"/>
      <w:marBottom w:val="0"/>
      <w:divBdr>
        <w:top w:val="none" w:sz="0" w:space="0" w:color="auto"/>
        <w:left w:val="none" w:sz="0" w:space="0" w:color="auto"/>
        <w:bottom w:val="none" w:sz="0" w:space="0" w:color="auto"/>
        <w:right w:val="none" w:sz="0" w:space="0" w:color="auto"/>
      </w:divBdr>
    </w:div>
    <w:div w:id="778649946">
      <w:bodyDiv w:val="1"/>
      <w:marLeft w:val="0"/>
      <w:marRight w:val="0"/>
      <w:marTop w:val="0"/>
      <w:marBottom w:val="0"/>
      <w:divBdr>
        <w:top w:val="none" w:sz="0" w:space="0" w:color="auto"/>
        <w:left w:val="none" w:sz="0" w:space="0" w:color="auto"/>
        <w:bottom w:val="none" w:sz="0" w:space="0" w:color="auto"/>
        <w:right w:val="none" w:sz="0" w:space="0" w:color="auto"/>
      </w:divBdr>
    </w:div>
    <w:div w:id="952442516">
      <w:bodyDiv w:val="1"/>
      <w:marLeft w:val="0"/>
      <w:marRight w:val="0"/>
      <w:marTop w:val="0"/>
      <w:marBottom w:val="0"/>
      <w:divBdr>
        <w:top w:val="none" w:sz="0" w:space="0" w:color="auto"/>
        <w:left w:val="none" w:sz="0" w:space="0" w:color="auto"/>
        <w:bottom w:val="none" w:sz="0" w:space="0" w:color="auto"/>
        <w:right w:val="none" w:sz="0" w:space="0" w:color="auto"/>
      </w:divBdr>
    </w:div>
    <w:div w:id="1175874365">
      <w:bodyDiv w:val="1"/>
      <w:marLeft w:val="0"/>
      <w:marRight w:val="0"/>
      <w:marTop w:val="0"/>
      <w:marBottom w:val="0"/>
      <w:divBdr>
        <w:top w:val="none" w:sz="0" w:space="0" w:color="auto"/>
        <w:left w:val="none" w:sz="0" w:space="0" w:color="auto"/>
        <w:bottom w:val="none" w:sz="0" w:space="0" w:color="auto"/>
        <w:right w:val="none" w:sz="0" w:space="0" w:color="auto"/>
      </w:divBdr>
    </w:div>
    <w:div w:id="1217856912">
      <w:bodyDiv w:val="1"/>
      <w:marLeft w:val="0"/>
      <w:marRight w:val="0"/>
      <w:marTop w:val="0"/>
      <w:marBottom w:val="0"/>
      <w:divBdr>
        <w:top w:val="none" w:sz="0" w:space="0" w:color="auto"/>
        <w:left w:val="none" w:sz="0" w:space="0" w:color="auto"/>
        <w:bottom w:val="none" w:sz="0" w:space="0" w:color="auto"/>
        <w:right w:val="none" w:sz="0" w:space="0" w:color="auto"/>
      </w:divBdr>
    </w:div>
    <w:div w:id="1247837284">
      <w:bodyDiv w:val="1"/>
      <w:marLeft w:val="0"/>
      <w:marRight w:val="0"/>
      <w:marTop w:val="0"/>
      <w:marBottom w:val="0"/>
      <w:divBdr>
        <w:top w:val="none" w:sz="0" w:space="0" w:color="auto"/>
        <w:left w:val="none" w:sz="0" w:space="0" w:color="auto"/>
        <w:bottom w:val="none" w:sz="0" w:space="0" w:color="auto"/>
        <w:right w:val="none" w:sz="0" w:space="0" w:color="auto"/>
      </w:divBdr>
    </w:div>
    <w:div w:id="1260988491">
      <w:bodyDiv w:val="1"/>
      <w:marLeft w:val="0"/>
      <w:marRight w:val="0"/>
      <w:marTop w:val="0"/>
      <w:marBottom w:val="0"/>
      <w:divBdr>
        <w:top w:val="none" w:sz="0" w:space="0" w:color="auto"/>
        <w:left w:val="none" w:sz="0" w:space="0" w:color="auto"/>
        <w:bottom w:val="none" w:sz="0" w:space="0" w:color="auto"/>
        <w:right w:val="none" w:sz="0" w:space="0" w:color="auto"/>
      </w:divBdr>
    </w:div>
    <w:div w:id="1449008596">
      <w:bodyDiv w:val="1"/>
      <w:marLeft w:val="0"/>
      <w:marRight w:val="0"/>
      <w:marTop w:val="0"/>
      <w:marBottom w:val="0"/>
      <w:divBdr>
        <w:top w:val="none" w:sz="0" w:space="0" w:color="auto"/>
        <w:left w:val="none" w:sz="0" w:space="0" w:color="auto"/>
        <w:bottom w:val="none" w:sz="0" w:space="0" w:color="auto"/>
        <w:right w:val="none" w:sz="0" w:space="0" w:color="auto"/>
      </w:divBdr>
    </w:div>
    <w:div w:id="1495796744">
      <w:bodyDiv w:val="1"/>
      <w:marLeft w:val="0"/>
      <w:marRight w:val="0"/>
      <w:marTop w:val="0"/>
      <w:marBottom w:val="0"/>
      <w:divBdr>
        <w:top w:val="none" w:sz="0" w:space="0" w:color="auto"/>
        <w:left w:val="none" w:sz="0" w:space="0" w:color="auto"/>
        <w:bottom w:val="none" w:sz="0" w:space="0" w:color="auto"/>
        <w:right w:val="none" w:sz="0" w:space="0" w:color="auto"/>
      </w:divBdr>
    </w:div>
    <w:div w:id="1546406132">
      <w:bodyDiv w:val="1"/>
      <w:marLeft w:val="0"/>
      <w:marRight w:val="0"/>
      <w:marTop w:val="0"/>
      <w:marBottom w:val="0"/>
      <w:divBdr>
        <w:top w:val="none" w:sz="0" w:space="0" w:color="auto"/>
        <w:left w:val="none" w:sz="0" w:space="0" w:color="auto"/>
        <w:bottom w:val="none" w:sz="0" w:space="0" w:color="auto"/>
        <w:right w:val="none" w:sz="0" w:space="0" w:color="auto"/>
      </w:divBdr>
    </w:div>
    <w:div w:id="1622028834">
      <w:bodyDiv w:val="1"/>
      <w:marLeft w:val="0"/>
      <w:marRight w:val="0"/>
      <w:marTop w:val="0"/>
      <w:marBottom w:val="0"/>
      <w:divBdr>
        <w:top w:val="none" w:sz="0" w:space="0" w:color="auto"/>
        <w:left w:val="none" w:sz="0" w:space="0" w:color="auto"/>
        <w:bottom w:val="none" w:sz="0" w:space="0" w:color="auto"/>
        <w:right w:val="none" w:sz="0" w:space="0" w:color="auto"/>
      </w:divBdr>
    </w:div>
    <w:div w:id="1664242296">
      <w:bodyDiv w:val="1"/>
      <w:marLeft w:val="0"/>
      <w:marRight w:val="0"/>
      <w:marTop w:val="0"/>
      <w:marBottom w:val="0"/>
      <w:divBdr>
        <w:top w:val="none" w:sz="0" w:space="0" w:color="auto"/>
        <w:left w:val="none" w:sz="0" w:space="0" w:color="auto"/>
        <w:bottom w:val="none" w:sz="0" w:space="0" w:color="auto"/>
        <w:right w:val="none" w:sz="0" w:space="0" w:color="auto"/>
      </w:divBdr>
    </w:div>
    <w:div w:id="1736468097">
      <w:bodyDiv w:val="1"/>
      <w:marLeft w:val="0"/>
      <w:marRight w:val="0"/>
      <w:marTop w:val="0"/>
      <w:marBottom w:val="0"/>
      <w:divBdr>
        <w:top w:val="none" w:sz="0" w:space="0" w:color="auto"/>
        <w:left w:val="none" w:sz="0" w:space="0" w:color="auto"/>
        <w:bottom w:val="none" w:sz="0" w:space="0" w:color="auto"/>
        <w:right w:val="none" w:sz="0" w:space="0" w:color="auto"/>
      </w:divBdr>
    </w:div>
    <w:div w:id="1739279799">
      <w:bodyDiv w:val="1"/>
      <w:marLeft w:val="0"/>
      <w:marRight w:val="0"/>
      <w:marTop w:val="0"/>
      <w:marBottom w:val="0"/>
      <w:divBdr>
        <w:top w:val="none" w:sz="0" w:space="0" w:color="auto"/>
        <w:left w:val="none" w:sz="0" w:space="0" w:color="auto"/>
        <w:bottom w:val="none" w:sz="0" w:space="0" w:color="auto"/>
        <w:right w:val="none" w:sz="0" w:space="0" w:color="auto"/>
      </w:divBdr>
    </w:div>
    <w:div w:id="1899901041">
      <w:bodyDiv w:val="1"/>
      <w:marLeft w:val="0"/>
      <w:marRight w:val="0"/>
      <w:marTop w:val="0"/>
      <w:marBottom w:val="0"/>
      <w:divBdr>
        <w:top w:val="none" w:sz="0" w:space="0" w:color="auto"/>
        <w:left w:val="none" w:sz="0" w:space="0" w:color="auto"/>
        <w:bottom w:val="none" w:sz="0" w:space="0" w:color="auto"/>
        <w:right w:val="none" w:sz="0" w:space="0" w:color="auto"/>
      </w:divBdr>
    </w:div>
    <w:div w:id="1905798847">
      <w:bodyDiv w:val="1"/>
      <w:marLeft w:val="0"/>
      <w:marRight w:val="0"/>
      <w:marTop w:val="0"/>
      <w:marBottom w:val="0"/>
      <w:divBdr>
        <w:top w:val="none" w:sz="0" w:space="0" w:color="auto"/>
        <w:left w:val="none" w:sz="0" w:space="0" w:color="auto"/>
        <w:bottom w:val="none" w:sz="0" w:space="0" w:color="auto"/>
        <w:right w:val="none" w:sz="0" w:space="0" w:color="auto"/>
      </w:divBdr>
    </w:div>
    <w:div w:id="1954361028">
      <w:bodyDiv w:val="1"/>
      <w:marLeft w:val="0"/>
      <w:marRight w:val="0"/>
      <w:marTop w:val="0"/>
      <w:marBottom w:val="0"/>
      <w:divBdr>
        <w:top w:val="none" w:sz="0" w:space="0" w:color="auto"/>
        <w:left w:val="none" w:sz="0" w:space="0" w:color="auto"/>
        <w:bottom w:val="none" w:sz="0" w:space="0" w:color="auto"/>
        <w:right w:val="none" w:sz="0" w:space="0" w:color="auto"/>
      </w:divBdr>
    </w:div>
    <w:div w:id="1956212641">
      <w:bodyDiv w:val="1"/>
      <w:marLeft w:val="0"/>
      <w:marRight w:val="0"/>
      <w:marTop w:val="0"/>
      <w:marBottom w:val="0"/>
      <w:divBdr>
        <w:top w:val="none" w:sz="0" w:space="0" w:color="auto"/>
        <w:left w:val="none" w:sz="0" w:space="0" w:color="auto"/>
        <w:bottom w:val="none" w:sz="0" w:space="0" w:color="auto"/>
        <w:right w:val="none" w:sz="0" w:space="0" w:color="auto"/>
      </w:divBdr>
    </w:div>
    <w:div w:id="1966228322">
      <w:bodyDiv w:val="1"/>
      <w:marLeft w:val="0"/>
      <w:marRight w:val="0"/>
      <w:marTop w:val="0"/>
      <w:marBottom w:val="0"/>
      <w:divBdr>
        <w:top w:val="none" w:sz="0" w:space="0" w:color="auto"/>
        <w:left w:val="none" w:sz="0" w:space="0" w:color="auto"/>
        <w:bottom w:val="none" w:sz="0" w:space="0" w:color="auto"/>
        <w:right w:val="none" w:sz="0" w:space="0" w:color="auto"/>
      </w:divBdr>
    </w:div>
    <w:div w:id="2017268752">
      <w:bodyDiv w:val="1"/>
      <w:marLeft w:val="0"/>
      <w:marRight w:val="0"/>
      <w:marTop w:val="0"/>
      <w:marBottom w:val="0"/>
      <w:divBdr>
        <w:top w:val="none" w:sz="0" w:space="0" w:color="auto"/>
        <w:left w:val="none" w:sz="0" w:space="0" w:color="auto"/>
        <w:bottom w:val="none" w:sz="0" w:space="0" w:color="auto"/>
        <w:right w:val="none" w:sz="0" w:space="0" w:color="auto"/>
      </w:divBdr>
    </w:div>
    <w:div w:id="2088652128">
      <w:bodyDiv w:val="1"/>
      <w:marLeft w:val="0"/>
      <w:marRight w:val="0"/>
      <w:marTop w:val="0"/>
      <w:marBottom w:val="0"/>
      <w:divBdr>
        <w:top w:val="none" w:sz="0" w:space="0" w:color="auto"/>
        <w:left w:val="none" w:sz="0" w:space="0" w:color="auto"/>
        <w:bottom w:val="none" w:sz="0" w:space="0" w:color="auto"/>
        <w:right w:val="none" w:sz="0" w:space="0" w:color="auto"/>
      </w:divBdr>
    </w:div>
    <w:div w:id="21442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FdI00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le.rae.es/?id=VGqyuLj|VGtxgAo|VGuc9Wg" TargetMode="External"/><Relationship Id="rId7" Type="http://schemas.openxmlformats.org/officeDocument/2006/relationships/hyperlink" Target="http://dle.rae.es/?id=KtpfgjV" TargetMode="External"/><Relationship Id="rId2" Type="http://schemas.openxmlformats.org/officeDocument/2006/relationships/hyperlink" Target="http://dej.rae.es/" TargetMode="External"/><Relationship Id="rId1" Type="http://schemas.openxmlformats.org/officeDocument/2006/relationships/hyperlink" Target="http://dej.rae.es/" TargetMode="External"/><Relationship Id="rId6" Type="http://schemas.openxmlformats.org/officeDocument/2006/relationships/hyperlink" Target="http://dle.rae.es/?id=KtnHLLd" TargetMode="External"/><Relationship Id="rId5" Type="http://schemas.openxmlformats.org/officeDocument/2006/relationships/hyperlink" Target="http://dle.rae.es/?id=CAqWkEB" TargetMode="External"/><Relationship Id="rId4" Type="http://schemas.openxmlformats.org/officeDocument/2006/relationships/hyperlink" Target="http://dle.rae.es/?id=CAjNzM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7E02-3C1B-4CFE-865A-22B7424D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13046</Words>
  <Characters>71759</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inf03m612@outlook.com</cp:lastModifiedBy>
  <cp:revision>7</cp:revision>
  <cp:lastPrinted>2022-10-13T05:05:00Z</cp:lastPrinted>
  <dcterms:created xsi:type="dcterms:W3CDTF">2024-02-23T18:24:00Z</dcterms:created>
  <dcterms:modified xsi:type="dcterms:W3CDTF">2024-02-29T16:54:00Z</dcterms:modified>
</cp:coreProperties>
</file>