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0B3717" w:rsidRDefault="00AE3DA7" w:rsidP="000B3717">
          <w:pPr>
            <w:pStyle w:val="TtulodeTDC"/>
            <w:spacing w:before="0" w:line="240" w:lineRule="auto"/>
            <w:rPr>
              <w:rFonts w:ascii="Palatino Linotype" w:hAnsi="Palatino Linotype"/>
              <w:color w:val="auto"/>
              <w:sz w:val="22"/>
              <w:szCs w:val="22"/>
              <w:lang w:val="es-ES"/>
            </w:rPr>
          </w:pPr>
          <w:r w:rsidRPr="000B3717">
            <w:rPr>
              <w:rFonts w:ascii="Palatino Linotype" w:hAnsi="Palatino Linotype"/>
              <w:color w:val="auto"/>
              <w:sz w:val="22"/>
              <w:szCs w:val="22"/>
              <w:lang w:val="es-ES"/>
            </w:rPr>
            <w:t>Contenido</w:t>
          </w:r>
        </w:p>
        <w:p w14:paraId="3EB312A7" w14:textId="77777777" w:rsidR="00AA6EA9" w:rsidRPr="000B3717" w:rsidRDefault="00AA6EA9" w:rsidP="000B3717">
          <w:pPr>
            <w:spacing w:line="240" w:lineRule="auto"/>
            <w:rPr>
              <w:szCs w:val="22"/>
              <w:lang w:val="es-ES" w:eastAsia="es-MX"/>
            </w:rPr>
          </w:pPr>
        </w:p>
        <w:p w14:paraId="78304596" w14:textId="77777777" w:rsidR="00BB3018" w:rsidRPr="000B3717" w:rsidRDefault="00AE3DA7" w:rsidP="000B3717">
          <w:pPr>
            <w:pStyle w:val="TDC1"/>
            <w:tabs>
              <w:tab w:val="right" w:leader="dot" w:pos="9034"/>
            </w:tabs>
            <w:rPr>
              <w:rFonts w:asciiTheme="minorHAnsi" w:eastAsiaTheme="minorEastAsia" w:hAnsiTheme="minorHAnsi" w:cstheme="minorBidi"/>
              <w:noProof/>
              <w:szCs w:val="22"/>
              <w:lang w:eastAsia="es-MX"/>
            </w:rPr>
          </w:pPr>
          <w:r w:rsidRPr="000B3717">
            <w:rPr>
              <w:szCs w:val="22"/>
            </w:rPr>
            <w:fldChar w:fldCharType="begin"/>
          </w:r>
          <w:r w:rsidRPr="000B3717">
            <w:rPr>
              <w:szCs w:val="22"/>
            </w:rPr>
            <w:instrText xml:space="preserve"> TOC \o "1-3" \h \z \u </w:instrText>
          </w:r>
          <w:r w:rsidRPr="000B3717">
            <w:rPr>
              <w:szCs w:val="22"/>
            </w:rPr>
            <w:fldChar w:fldCharType="separate"/>
          </w:r>
          <w:hyperlink w:anchor="_Toc181272180" w:history="1">
            <w:r w:rsidR="00BB3018" w:rsidRPr="000B3717">
              <w:rPr>
                <w:rStyle w:val="Hipervnculo"/>
                <w:noProof/>
                <w:color w:val="auto"/>
              </w:rPr>
              <w:t>ANTECEDENTES</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_Toc181272180 \h </w:instrText>
            </w:r>
            <w:r w:rsidR="00BB3018" w:rsidRPr="000B3717">
              <w:rPr>
                <w:noProof/>
                <w:webHidden/>
              </w:rPr>
            </w:r>
            <w:r w:rsidR="00BB3018" w:rsidRPr="000B3717">
              <w:rPr>
                <w:noProof/>
                <w:webHidden/>
              </w:rPr>
              <w:fldChar w:fldCharType="separate"/>
            </w:r>
            <w:r w:rsidR="00ED50D7">
              <w:rPr>
                <w:noProof/>
                <w:webHidden/>
              </w:rPr>
              <w:t>1</w:t>
            </w:r>
            <w:r w:rsidR="00BB3018" w:rsidRPr="000B3717">
              <w:rPr>
                <w:noProof/>
                <w:webHidden/>
              </w:rPr>
              <w:fldChar w:fldCharType="end"/>
            </w:r>
          </w:hyperlink>
        </w:p>
        <w:p w14:paraId="6EEA83C0" w14:textId="77777777" w:rsidR="00BB3018" w:rsidRPr="000B3717" w:rsidRDefault="00ED50D7" w:rsidP="000B3717">
          <w:pPr>
            <w:pStyle w:val="TDC2"/>
            <w:rPr>
              <w:rFonts w:asciiTheme="minorHAnsi" w:eastAsiaTheme="minorEastAsia" w:hAnsiTheme="minorHAnsi" w:cstheme="minorBidi"/>
              <w:noProof/>
              <w:szCs w:val="22"/>
              <w:lang w:eastAsia="es-MX"/>
            </w:rPr>
          </w:pPr>
          <w:hyperlink w:anchor="_Toc181272181" w:history="1">
            <w:r w:rsidR="00BB3018" w:rsidRPr="000B3717">
              <w:rPr>
                <w:rStyle w:val="Hipervnculo"/>
                <w:noProof/>
                <w:color w:val="auto"/>
              </w:rPr>
              <w:t>DE LAS SOLICITUDES DE INFORMACIÓN</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_Toc181272181 \h </w:instrText>
            </w:r>
            <w:r w:rsidR="00BB3018" w:rsidRPr="000B3717">
              <w:rPr>
                <w:noProof/>
                <w:webHidden/>
              </w:rPr>
            </w:r>
            <w:r w:rsidR="00BB3018" w:rsidRPr="000B3717">
              <w:rPr>
                <w:noProof/>
                <w:webHidden/>
              </w:rPr>
              <w:fldChar w:fldCharType="separate"/>
            </w:r>
            <w:r>
              <w:rPr>
                <w:noProof/>
                <w:webHidden/>
              </w:rPr>
              <w:t>1</w:t>
            </w:r>
            <w:r w:rsidR="00BB3018" w:rsidRPr="000B3717">
              <w:rPr>
                <w:noProof/>
                <w:webHidden/>
              </w:rPr>
              <w:fldChar w:fldCharType="end"/>
            </w:r>
          </w:hyperlink>
        </w:p>
        <w:p w14:paraId="35CD4B1F" w14:textId="77777777" w:rsidR="00BB3018" w:rsidRPr="000B3717" w:rsidRDefault="00ED50D7" w:rsidP="000B3717">
          <w:pPr>
            <w:pStyle w:val="TDC3"/>
            <w:rPr>
              <w:rFonts w:asciiTheme="minorHAnsi" w:eastAsiaTheme="minorEastAsia" w:hAnsiTheme="minorHAnsi" w:cstheme="minorBidi"/>
              <w:noProof/>
              <w:szCs w:val="22"/>
              <w:lang w:eastAsia="es-MX"/>
            </w:rPr>
          </w:pPr>
          <w:hyperlink w:anchor="_Toc181272182" w:history="1">
            <w:r w:rsidR="00BB3018" w:rsidRPr="000B3717">
              <w:rPr>
                <w:rStyle w:val="Hipervnculo"/>
                <w:noProof/>
                <w:color w:val="auto"/>
              </w:rPr>
              <w:t>a) Solicitudes de información.</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_Toc181272182 \h </w:instrText>
            </w:r>
            <w:r w:rsidR="00BB3018" w:rsidRPr="000B3717">
              <w:rPr>
                <w:noProof/>
                <w:webHidden/>
              </w:rPr>
            </w:r>
            <w:r w:rsidR="00BB3018" w:rsidRPr="000B3717">
              <w:rPr>
                <w:noProof/>
                <w:webHidden/>
              </w:rPr>
              <w:fldChar w:fldCharType="separate"/>
            </w:r>
            <w:r>
              <w:rPr>
                <w:noProof/>
                <w:webHidden/>
              </w:rPr>
              <w:t>1</w:t>
            </w:r>
            <w:r w:rsidR="00BB3018" w:rsidRPr="000B3717">
              <w:rPr>
                <w:noProof/>
                <w:webHidden/>
              </w:rPr>
              <w:fldChar w:fldCharType="end"/>
            </w:r>
          </w:hyperlink>
        </w:p>
        <w:p w14:paraId="1FC7AD2B" w14:textId="77777777" w:rsidR="00BB3018" w:rsidRPr="000B3717" w:rsidRDefault="00ED50D7" w:rsidP="000B3717">
          <w:pPr>
            <w:pStyle w:val="TDC3"/>
            <w:rPr>
              <w:rFonts w:asciiTheme="minorHAnsi" w:eastAsiaTheme="minorEastAsia" w:hAnsiTheme="minorHAnsi" w:cstheme="minorBidi"/>
              <w:noProof/>
              <w:szCs w:val="22"/>
              <w:lang w:eastAsia="es-MX"/>
            </w:rPr>
          </w:pPr>
          <w:hyperlink w:anchor="_Toc181272183" w:history="1">
            <w:r w:rsidR="00BB3018" w:rsidRPr="000B3717">
              <w:rPr>
                <w:rStyle w:val="Hipervnculo"/>
                <w:noProof/>
                <w:color w:val="auto"/>
              </w:rPr>
              <w:t>b) Turno de las solicitudes de información.</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_Toc181272183 \h </w:instrText>
            </w:r>
            <w:r w:rsidR="00BB3018" w:rsidRPr="000B3717">
              <w:rPr>
                <w:noProof/>
                <w:webHidden/>
              </w:rPr>
            </w:r>
            <w:r w:rsidR="00BB3018" w:rsidRPr="000B3717">
              <w:rPr>
                <w:noProof/>
                <w:webHidden/>
              </w:rPr>
              <w:fldChar w:fldCharType="separate"/>
            </w:r>
            <w:r>
              <w:rPr>
                <w:noProof/>
                <w:webHidden/>
              </w:rPr>
              <w:t>2</w:t>
            </w:r>
            <w:r w:rsidR="00BB3018" w:rsidRPr="000B3717">
              <w:rPr>
                <w:noProof/>
                <w:webHidden/>
              </w:rPr>
              <w:fldChar w:fldCharType="end"/>
            </w:r>
          </w:hyperlink>
        </w:p>
        <w:p w14:paraId="4A4B1A58" w14:textId="77777777" w:rsidR="00BB3018" w:rsidRPr="000B3717" w:rsidRDefault="00ED50D7" w:rsidP="000B3717">
          <w:pPr>
            <w:pStyle w:val="TDC3"/>
            <w:rPr>
              <w:rFonts w:asciiTheme="minorHAnsi" w:eastAsiaTheme="minorEastAsia" w:hAnsiTheme="minorHAnsi" w:cstheme="minorBidi"/>
              <w:noProof/>
              <w:szCs w:val="22"/>
              <w:lang w:eastAsia="es-MX"/>
            </w:rPr>
          </w:pPr>
          <w:hyperlink w:anchor="_Toc181272184" w:history="1">
            <w:r w:rsidR="00BB3018" w:rsidRPr="000B3717">
              <w:rPr>
                <w:rStyle w:val="Hipervnculo"/>
                <w:noProof/>
                <w:color w:val="auto"/>
                <w:lang w:val="es-ES"/>
              </w:rPr>
              <w:t xml:space="preserve">c) Respuestas </w:t>
            </w:r>
            <w:r w:rsidR="00BB3018" w:rsidRPr="000B3717">
              <w:rPr>
                <w:rStyle w:val="Hipervnculo"/>
                <w:rFonts w:eastAsia="Calibri"/>
                <w:noProof/>
                <w:color w:val="auto"/>
                <w:lang w:eastAsia="en-US"/>
              </w:rPr>
              <w:t>del Sujeto Obligado.</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_Toc181272184 \h </w:instrText>
            </w:r>
            <w:r w:rsidR="00BB3018" w:rsidRPr="000B3717">
              <w:rPr>
                <w:noProof/>
                <w:webHidden/>
              </w:rPr>
            </w:r>
            <w:r w:rsidR="00BB3018" w:rsidRPr="000B3717">
              <w:rPr>
                <w:noProof/>
                <w:webHidden/>
              </w:rPr>
              <w:fldChar w:fldCharType="separate"/>
            </w:r>
            <w:r>
              <w:rPr>
                <w:noProof/>
                <w:webHidden/>
              </w:rPr>
              <w:t>2</w:t>
            </w:r>
            <w:r w:rsidR="00BB3018" w:rsidRPr="000B3717">
              <w:rPr>
                <w:noProof/>
                <w:webHidden/>
              </w:rPr>
              <w:fldChar w:fldCharType="end"/>
            </w:r>
          </w:hyperlink>
        </w:p>
        <w:p w14:paraId="3E3E8600" w14:textId="77777777" w:rsidR="00BB3018" w:rsidRPr="000B3717" w:rsidRDefault="00ED50D7" w:rsidP="000B3717">
          <w:pPr>
            <w:pStyle w:val="TDC2"/>
            <w:rPr>
              <w:rFonts w:asciiTheme="minorHAnsi" w:eastAsiaTheme="minorEastAsia" w:hAnsiTheme="minorHAnsi" w:cstheme="minorBidi"/>
              <w:noProof/>
              <w:szCs w:val="22"/>
              <w:lang w:eastAsia="es-MX"/>
            </w:rPr>
          </w:pPr>
          <w:hyperlink w:anchor="_Toc181272185" w:history="1">
            <w:r w:rsidR="00BB3018" w:rsidRPr="000B3717">
              <w:rPr>
                <w:rStyle w:val="Hipervnculo"/>
                <w:noProof/>
                <w:color w:val="auto"/>
              </w:rPr>
              <w:t>DEL RECURSO DE REVISIÓN</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_Toc181272185 \h </w:instrText>
            </w:r>
            <w:r w:rsidR="00BB3018" w:rsidRPr="000B3717">
              <w:rPr>
                <w:noProof/>
                <w:webHidden/>
              </w:rPr>
            </w:r>
            <w:r w:rsidR="00BB3018" w:rsidRPr="000B3717">
              <w:rPr>
                <w:noProof/>
                <w:webHidden/>
              </w:rPr>
              <w:fldChar w:fldCharType="separate"/>
            </w:r>
            <w:r>
              <w:rPr>
                <w:noProof/>
                <w:webHidden/>
              </w:rPr>
              <w:t>3</w:t>
            </w:r>
            <w:r w:rsidR="00BB3018" w:rsidRPr="000B3717">
              <w:rPr>
                <w:noProof/>
                <w:webHidden/>
              </w:rPr>
              <w:fldChar w:fldCharType="end"/>
            </w:r>
          </w:hyperlink>
        </w:p>
        <w:p w14:paraId="7FA77447" w14:textId="77777777" w:rsidR="00BB3018" w:rsidRPr="000B3717" w:rsidRDefault="00ED50D7" w:rsidP="000B3717">
          <w:pPr>
            <w:pStyle w:val="TDC3"/>
            <w:rPr>
              <w:rFonts w:asciiTheme="minorHAnsi" w:eastAsiaTheme="minorEastAsia" w:hAnsiTheme="minorHAnsi" w:cstheme="minorBidi"/>
              <w:noProof/>
              <w:szCs w:val="22"/>
              <w:lang w:eastAsia="es-MX"/>
            </w:rPr>
          </w:pPr>
          <w:hyperlink w:anchor="_Toc181272186" w:history="1">
            <w:r w:rsidR="00BB3018" w:rsidRPr="000B3717">
              <w:rPr>
                <w:rStyle w:val="Hipervnculo"/>
                <w:noProof/>
                <w:color w:val="auto"/>
              </w:rPr>
              <w:t>a) Interposición de los Recursos de Revisión.</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_Toc181272186 \h </w:instrText>
            </w:r>
            <w:r w:rsidR="00BB3018" w:rsidRPr="000B3717">
              <w:rPr>
                <w:noProof/>
                <w:webHidden/>
              </w:rPr>
            </w:r>
            <w:r w:rsidR="00BB3018" w:rsidRPr="000B3717">
              <w:rPr>
                <w:noProof/>
                <w:webHidden/>
              </w:rPr>
              <w:fldChar w:fldCharType="separate"/>
            </w:r>
            <w:r>
              <w:rPr>
                <w:noProof/>
                <w:webHidden/>
              </w:rPr>
              <w:t>3</w:t>
            </w:r>
            <w:r w:rsidR="00BB3018" w:rsidRPr="000B3717">
              <w:rPr>
                <w:noProof/>
                <w:webHidden/>
              </w:rPr>
              <w:fldChar w:fldCharType="end"/>
            </w:r>
          </w:hyperlink>
        </w:p>
        <w:p w14:paraId="5624D688" w14:textId="77777777" w:rsidR="00BB3018" w:rsidRPr="000B3717" w:rsidRDefault="00ED50D7" w:rsidP="000B3717">
          <w:pPr>
            <w:pStyle w:val="TDC3"/>
            <w:rPr>
              <w:rFonts w:asciiTheme="minorHAnsi" w:eastAsiaTheme="minorEastAsia" w:hAnsiTheme="minorHAnsi" w:cstheme="minorBidi"/>
              <w:noProof/>
              <w:szCs w:val="22"/>
              <w:lang w:eastAsia="es-MX"/>
            </w:rPr>
          </w:pPr>
          <w:hyperlink w:anchor="_Toc181272187" w:history="1">
            <w:r w:rsidR="00BB3018" w:rsidRPr="000B3717">
              <w:rPr>
                <w:rStyle w:val="Hipervnculo"/>
                <w:noProof/>
                <w:color w:val="auto"/>
              </w:rPr>
              <w:t>b) Turno de los Recursos de Revisión.</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_Toc181272187 \h </w:instrText>
            </w:r>
            <w:r w:rsidR="00BB3018" w:rsidRPr="000B3717">
              <w:rPr>
                <w:noProof/>
                <w:webHidden/>
              </w:rPr>
            </w:r>
            <w:r w:rsidR="00BB3018" w:rsidRPr="000B3717">
              <w:rPr>
                <w:noProof/>
                <w:webHidden/>
              </w:rPr>
              <w:fldChar w:fldCharType="separate"/>
            </w:r>
            <w:r>
              <w:rPr>
                <w:noProof/>
                <w:webHidden/>
              </w:rPr>
              <w:t>4</w:t>
            </w:r>
            <w:r w:rsidR="00BB3018" w:rsidRPr="000B3717">
              <w:rPr>
                <w:noProof/>
                <w:webHidden/>
              </w:rPr>
              <w:fldChar w:fldCharType="end"/>
            </w:r>
          </w:hyperlink>
        </w:p>
        <w:p w14:paraId="5E46FA4B" w14:textId="77777777" w:rsidR="00BB3018" w:rsidRPr="000B3717" w:rsidRDefault="00ED50D7" w:rsidP="000B3717">
          <w:pPr>
            <w:pStyle w:val="TDC3"/>
            <w:rPr>
              <w:rFonts w:asciiTheme="minorHAnsi" w:eastAsiaTheme="minorEastAsia" w:hAnsiTheme="minorHAnsi" w:cstheme="minorBidi"/>
              <w:noProof/>
              <w:szCs w:val="22"/>
              <w:lang w:eastAsia="es-MX"/>
            </w:rPr>
          </w:pPr>
          <w:hyperlink w:anchor="_Toc181272188" w:history="1">
            <w:r w:rsidR="00BB3018" w:rsidRPr="000B3717">
              <w:rPr>
                <w:rStyle w:val="Hipervnculo"/>
                <w:noProof/>
                <w:color w:val="auto"/>
              </w:rPr>
              <w:t>c) Admisiones de los Recursos de Revisión.</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_Toc181272188 \h </w:instrText>
            </w:r>
            <w:r w:rsidR="00BB3018" w:rsidRPr="000B3717">
              <w:rPr>
                <w:noProof/>
                <w:webHidden/>
              </w:rPr>
            </w:r>
            <w:r w:rsidR="00BB3018" w:rsidRPr="000B3717">
              <w:rPr>
                <w:noProof/>
                <w:webHidden/>
              </w:rPr>
              <w:fldChar w:fldCharType="separate"/>
            </w:r>
            <w:r>
              <w:rPr>
                <w:noProof/>
                <w:webHidden/>
              </w:rPr>
              <w:t>4</w:t>
            </w:r>
            <w:r w:rsidR="00BB3018" w:rsidRPr="000B3717">
              <w:rPr>
                <w:noProof/>
                <w:webHidden/>
              </w:rPr>
              <w:fldChar w:fldCharType="end"/>
            </w:r>
          </w:hyperlink>
        </w:p>
        <w:p w14:paraId="63FCF5BF" w14:textId="77777777" w:rsidR="00BB3018" w:rsidRPr="000B3717" w:rsidRDefault="00ED50D7" w:rsidP="000B3717">
          <w:pPr>
            <w:pStyle w:val="TDC3"/>
            <w:rPr>
              <w:rFonts w:asciiTheme="minorHAnsi" w:eastAsiaTheme="minorEastAsia" w:hAnsiTheme="minorHAnsi" w:cstheme="minorBidi"/>
              <w:noProof/>
              <w:szCs w:val="22"/>
              <w:lang w:eastAsia="es-MX"/>
            </w:rPr>
          </w:pPr>
          <w:hyperlink w:anchor="_Toc181272189" w:history="1">
            <w:r w:rsidR="00BB3018" w:rsidRPr="000B3717">
              <w:rPr>
                <w:rStyle w:val="Hipervnculo"/>
                <w:noProof/>
                <w:color w:val="auto"/>
              </w:rPr>
              <w:t>d) Manifestaciones del Sujeto Obligado.</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_Toc181272189 \h </w:instrText>
            </w:r>
            <w:r w:rsidR="00BB3018" w:rsidRPr="000B3717">
              <w:rPr>
                <w:noProof/>
                <w:webHidden/>
              </w:rPr>
            </w:r>
            <w:r w:rsidR="00BB3018" w:rsidRPr="000B3717">
              <w:rPr>
                <w:noProof/>
                <w:webHidden/>
              </w:rPr>
              <w:fldChar w:fldCharType="separate"/>
            </w:r>
            <w:r>
              <w:rPr>
                <w:noProof/>
                <w:webHidden/>
              </w:rPr>
              <w:t>4</w:t>
            </w:r>
            <w:r w:rsidR="00BB3018" w:rsidRPr="000B3717">
              <w:rPr>
                <w:noProof/>
                <w:webHidden/>
              </w:rPr>
              <w:fldChar w:fldCharType="end"/>
            </w:r>
          </w:hyperlink>
        </w:p>
        <w:p w14:paraId="7A6C8CCE" w14:textId="77777777" w:rsidR="00BB3018" w:rsidRPr="000B3717" w:rsidRDefault="00ED50D7" w:rsidP="000B3717">
          <w:pPr>
            <w:pStyle w:val="TDC3"/>
            <w:rPr>
              <w:rFonts w:asciiTheme="minorHAnsi" w:eastAsiaTheme="minorEastAsia" w:hAnsiTheme="minorHAnsi" w:cstheme="minorBidi"/>
              <w:noProof/>
              <w:szCs w:val="22"/>
              <w:lang w:eastAsia="es-MX"/>
            </w:rPr>
          </w:pPr>
          <w:hyperlink w:anchor="_Toc181272190" w:history="1">
            <w:r w:rsidR="00BB3018" w:rsidRPr="000B3717">
              <w:rPr>
                <w:rStyle w:val="Hipervnculo"/>
                <w:rFonts w:eastAsia="Calibri"/>
                <w:bCs/>
                <w:noProof/>
                <w:color w:val="auto"/>
                <w:lang w:eastAsia="en-US"/>
              </w:rPr>
              <w:t>e)</w:t>
            </w:r>
            <w:r w:rsidR="00BB3018" w:rsidRPr="000B3717">
              <w:rPr>
                <w:rStyle w:val="Hipervnculo"/>
                <w:noProof/>
                <w:color w:val="auto"/>
              </w:rPr>
              <w:t xml:space="preserve"> </w:t>
            </w:r>
            <w:r w:rsidR="00BB3018" w:rsidRPr="000B3717">
              <w:rPr>
                <w:rStyle w:val="Hipervnculo"/>
                <w:noProof/>
                <w:color w:val="auto"/>
                <w:lang w:val="es-ES"/>
              </w:rPr>
              <w:t>Manifestaciones de la Parte Recurrente.</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_Toc181272190 \h </w:instrText>
            </w:r>
            <w:r w:rsidR="00BB3018" w:rsidRPr="000B3717">
              <w:rPr>
                <w:noProof/>
                <w:webHidden/>
              </w:rPr>
            </w:r>
            <w:r w:rsidR="00BB3018" w:rsidRPr="000B3717">
              <w:rPr>
                <w:noProof/>
                <w:webHidden/>
              </w:rPr>
              <w:fldChar w:fldCharType="separate"/>
            </w:r>
            <w:r>
              <w:rPr>
                <w:noProof/>
                <w:webHidden/>
              </w:rPr>
              <w:t>4</w:t>
            </w:r>
            <w:r w:rsidR="00BB3018" w:rsidRPr="000B3717">
              <w:rPr>
                <w:noProof/>
                <w:webHidden/>
              </w:rPr>
              <w:fldChar w:fldCharType="end"/>
            </w:r>
          </w:hyperlink>
        </w:p>
        <w:p w14:paraId="3162B4AC" w14:textId="77777777" w:rsidR="00BB3018" w:rsidRPr="000B3717" w:rsidRDefault="00ED50D7" w:rsidP="000B3717">
          <w:pPr>
            <w:pStyle w:val="TDC3"/>
            <w:rPr>
              <w:rFonts w:asciiTheme="minorHAnsi" w:eastAsiaTheme="minorEastAsia" w:hAnsiTheme="minorHAnsi" w:cstheme="minorBidi"/>
              <w:noProof/>
              <w:szCs w:val="22"/>
              <w:lang w:eastAsia="es-MX"/>
            </w:rPr>
          </w:pPr>
          <w:hyperlink w:anchor="_Toc181272191" w:history="1">
            <w:r w:rsidR="00BB3018" w:rsidRPr="000B3717">
              <w:rPr>
                <w:rStyle w:val="Hipervnculo"/>
                <w:noProof/>
                <w:color w:val="auto"/>
              </w:rPr>
              <w:t>f) Acumulación de los Recursos de Revisión.</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_Toc181272191 \h </w:instrText>
            </w:r>
            <w:r w:rsidR="00BB3018" w:rsidRPr="000B3717">
              <w:rPr>
                <w:noProof/>
                <w:webHidden/>
              </w:rPr>
            </w:r>
            <w:r w:rsidR="00BB3018" w:rsidRPr="000B3717">
              <w:rPr>
                <w:noProof/>
                <w:webHidden/>
              </w:rPr>
              <w:fldChar w:fldCharType="separate"/>
            </w:r>
            <w:r>
              <w:rPr>
                <w:noProof/>
                <w:webHidden/>
              </w:rPr>
              <w:t>5</w:t>
            </w:r>
            <w:r w:rsidR="00BB3018" w:rsidRPr="000B3717">
              <w:rPr>
                <w:noProof/>
                <w:webHidden/>
              </w:rPr>
              <w:fldChar w:fldCharType="end"/>
            </w:r>
          </w:hyperlink>
        </w:p>
        <w:p w14:paraId="32B9EB73" w14:textId="77777777" w:rsidR="00BB3018" w:rsidRPr="000B3717" w:rsidRDefault="00ED50D7" w:rsidP="000B3717">
          <w:pPr>
            <w:pStyle w:val="TDC3"/>
            <w:rPr>
              <w:rFonts w:asciiTheme="minorHAnsi" w:eastAsiaTheme="minorEastAsia" w:hAnsiTheme="minorHAnsi" w:cstheme="minorBidi"/>
              <w:noProof/>
              <w:szCs w:val="22"/>
              <w:lang w:eastAsia="es-MX"/>
            </w:rPr>
          </w:pPr>
          <w:hyperlink w:anchor="_Toc181272192" w:history="1">
            <w:r w:rsidR="00BB3018" w:rsidRPr="000B3717">
              <w:rPr>
                <w:rStyle w:val="Hipervnculo"/>
                <w:noProof/>
                <w:color w:val="auto"/>
              </w:rPr>
              <w:t>g) Cierre de instrucción.</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_Toc181272192 \h </w:instrText>
            </w:r>
            <w:r w:rsidR="00BB3018" w:rsidRPr="000B3717">
              <w:rPr>
                <w:noProof/>
                <w:webHidden/>
              </w:rPr>
            </w:r>
            <w:r w:rsidR="00BB3018" w:rsidRPr="000B3717">
              <w:rPr>
                <w:noProof/>
                <w:webHidden/>
              </w:rPr>
              <w:fldChar w:fldCharType="separate"/>
            </w:r>
            <w:r>
              <w:rPr>
                <w:noProof/>
                <w:webHidden/>
              </w:rPr>
              <w:t>5</w:t>
            </w:r>
            <w:r w:rsidR="00BB3018" w:rsidRPr="000B3717">
              <w:rPr>
                <w:noProof/>
                <w:webHidden/>
              </w:rPr>
              <w:fldChar w:fldCharType="end"/>
            </w:r>
          </w:hyperlink>
        </w:p>
        <w:p w14:paraId="218A60C3" w14:textId="77777777" w:rsidR="00BB3018" w:rsidRPr="000B3717" w:rsidRDefault="00ED50D7" w:rsidP="000B3717">
          <w:pPr>
            <w:pStyle w:val="TDC1"/>
            <w:tabs>
              <w:tab w:val="right" w:leader="dot" w:pos="9034"/>
            </w:tabs>
            <w:rPr>
              <w:rFonts w:asciiTheme="minorHAnsi" w:eastAsiaTheme="minorEastAsia" w:hAnsiTheme="minorHAnsi" w:cstheme="minorBidi"/>
              <w:noProof/>
              <w:szCs w:val="22"/>
              <w:lang w:eastAsia="es-MX"/>
            </w:rPr>
          </w:pPr>
          <w:hyperlink w:anchor="_Toc181272193" w:history="1">
            <w:r w:rsidR="00BB3018" w:rsidRPr="000B3717">
              <w:rPr>
                <w:rStyle w:val="Hipervnculo"/>
                <w:rFonts w:eastAsiaTheme="minorHAnsi"/>
                <w:noProof/>
                <w:color w:val="auto"/>
                <w:lang w:eastAsia="en-US"/>
              </w:rPr>
              <w:t>CONSIDERANDOS</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_Toc181272193 \h </w:instrText>
            </w:r>
            <w:r w:rsidR="00BB3018" w:rsidRPr="000B3717">
              <w:rPr>
                <w:noProof/>
                <w:webHidden/>
              </w:rPr>
            </w:r>
            <w:r w:rsidR="00BB3018" w:rsidRPr="000B3717">
              <w:rPr>
                <w:noProof/>
                <w:webHidden/>
              </w:rPr>
              <w:fldChar w:fldCharType="separate"/>
            </w:r>
            <w:r>
              <w:rPr>
                <w:noProof/>
                <w:webHidden/>
              </w:rPr>
              <w:t>5</w:t>
            </w:r>
            <w:r w:rsidR="00BB3018" w:rsidRPr="000B3717">
              <w:rPr>
                <w:noProof/>
                <w:webHidden/>
              </w:rPr>
              <w:fldChar w:fldCharType="end"/>
            </w:r>
          </w:hyperlink>
        </w:p>
        <w:p w14:paraId="54AEE557" w14:textId="77777777" w:rsidR="00BB3018" w:rsidRPr="000B3717" w:rsidRDefault="00ED50D7" w:rsidP="000B3717">
          <w:pPr>
            <w:pStyle w:val="TDC2"/>
            <w:rPr>
              <w:rFonts w:asciiTheme="minorHAnsi" w:eastAsiaTheme="minorEastAsia" w:hAnsiTheme="minorHAnsi" w:cstheme="minorBidi"/>
              <w:noProof/>
              <w:szCs w:val="22"/>
              <w:lang w:eastAsia="es-MX"/>
            </w:rPr>
          </w:pPr>
          <w:hyperlink w:anchor="_Toc181272194" w:history="1">
            <w:r w:rsidR="00BB3018" w:rsidRPr="000B3717">
              <w:rPr>
                <w:rStyle w:val="Hipervnculo"/>
                <w:rFonts w:eastAsia="Batang"/>
                <w:noProof/>
                <w:color w:val="auto"/>
              </w:rPr>
              <w:t>PRIMERO. Procedibilidad</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_Toc181272194 \h </w:instrText>
            </w:r>
            <w:r w:rsidR="00BB3018" w:rsidRPr="000B3717">
              <w:rPr>
                <w:noProof/>
                <w:webHidden/>
              </w:rPr>
            </w:r>
            <w:r w:rsidR="00BB3018" w:rsidRPr="000B3717">
              <w:rPr>
                <w:noProof/>
                <w:webHidden/>
              </w:rPr>
              <w:fldChar w:fldCharType="separate"/>
            </w:r>
            <w:r>
              <w:rPr>
                <w:noProof/>
                <w:webHidden/>
              </w:rPr>
              <w:t>5</w:t>
            </w:r>
            <w:r w:rsidR="00BB3018" w:rsidRPr="000B3717">
              <w:rPr>
                <w:noProof/>
                <w:webHidden/>
              </w:rPr>
              <w:fldChar w:fldCharType="end"/>
            </w:r>
          </w:hyperlink>
        </w:p>
        <w:p w14:paraId="54A125E7" w14:textId="77777777" w:rsidR="00BB3018" w:rsidRPr="000B3717" w:rsidRDefault="00ED50D7" w:rsidP="000B3717">
          <w:pPr>
            <w:pStyle w:val="TDC3"/>
            <w:rPr>
              <w:rFonts w:asciiTheme="minorHAnsi" w:eastAsiaTheme="minorEastAsia" w:hAnsiTheme="minorHAnsi" w:cstheme="minorBidi"/>
              <w:noProof/>
              <w:szCs w:val="22"/>
              <w:lang w:eastAsia="es-MX"/>
            </w:rPr>
          </w:pPr>
          <w:hyperlink w:anchor="_Toc181272195" w:history="1">
            <w:r w:rsidR="00BB3018" w:rsidRPr="000B3717">
              <w:rPr>
                <w:rStyle w:val="Hipervnculo"/>
                <w:noProof/>
                <w:color w:val="auto"/>
              </w:rPr>
              <w:t>a) Competencia del Instituto.</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_Toc181272195 \h </w:instrText>
            </w:r>
            <w:r w:rsidR="00BB3018" w:rsidRPr="000B3717">
              <w:rPr>
                <w:noProof/>
                <w:webHidden/>
              </w:rPr>
            </w:r>
            <w:r w:rsidR="00BB3018" w:rsidRPr="000B3717">
              <w:rPr>
                <w:noProof/>
                <w:webHidden/>
              </w:rPr>
              <w:fldChar w:fldCharType="separate"/>
            </w:r>
            <w:r>
              <w:rPr>
                <w:noProof/>
                <w:webHidden/>
              </w:rPr>
              <w:t>5</w:t>
            </w:r>
            <w:r w:rsidR="00BB3018" w:rsidRPr="000B3717">
              <w:rPr>
                <w:noProof/>
                <w:webHidden/>
              </w:rPr>
              <w:fldChar w:fldCharType="end"/>
            </w:r>
          </w:hyperlink>
        </w:p>
        <w:p w14:paraId="4537ECF4" w14:textId="77777777" w:rsidR="00BB3018" w:rsidRPr="000B3717" w:rsidRDefault="00ED50D7" w:rsidP="000B3717">
          <w:pPr>
            <w:pStyle w:val="TDC3"/>
            <w:rPr>
              <w:rFonts w:asciiTheme="minorHAnsi" w:eastAsiaTheme="minorEastAsia" w:hAnsiTheme="minorHAnsi" w:cstheme="minorBidi"/>
              <w:noProof/>
              <w:szCs w:val="22"/>
              <w:lang w:eastAsia="es-MX"/>
            </w:rPr>
          </w:pPr>
          <w:hyperlink w:anchor="_Toc181272196" w:history="1">
            <w:r w:rsidR="00BB3018" w:rsidRPr="000B3717">
              <w:rPr>
                <w:rStyle w:val="Hipervnculo"/>
                <w:noProof/>
                <w:color w:val="auto"/>
              </w:rPr>
              <w:t>b) Legitimidad de la parte recurrente.</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_Toc181272196 \h </w:instrText>
            </w:r>
            <w:r w:rsidR="00BB3018" w:rsidRPr="000B3717">
              <w:rPr>
                <w:noProof/>
                <w:webHidden/>
              </w:rPr>
            </w:r>
            <w:r w:rsidR="00BB3018" w:rsidRPr="000B3717">
              <w:rPr>
                <w:noProof/>
                <w:webHidden/>
              </w:rPr>
              <w:fldChar w:fldCharType="separate"/>
            </w:r>
            <w:r>
              <w:rPr>
                <w:noProof/>
                <w:webHidden/>
              </w:rPr>
              <w:t>6</w:t>
            </w:r>
            <w:r w:rsidR="00BB3018" w:rsidRPr="000B3717">
              <w:rPr>
                <w:noProof/>
                <w:webHidden/>
              </w:rPr>
              <w:fldChar w:fldCharType="end"/>
            </w:r>
          </w:hyperlink>
        </w:p>
        <w:p w14:paraId="0D8A24E9" w14:textId="77777777" w:rsidR="00BB3018" w:rsidRPr="000B3717" w:rsidRDefault="00ED50D7" w:rsidP="000B3717">
          <w:pPr>
            <w:pStyle w:val="TDC3"/>
            <w:rPr>
              <w:rFonts w:asciiTheme="minorHAnsi" w:eastAsiaTheme="minorEastAsia" w:hAnsiTheme="minorHAnsi" w:cstheme="minorBidi"/>
              <w:noProof/>
              <w:szCs w:val="22"/>
              <w:lang w:eastAsia="es-MX"/>
            </w:rPr>
          </w:pPr>
          <w:hyperlink w:anchor="_Toc181272197" w:history="1">
            <w:r w:rsidR="00BB3018" w:rsidRPr="000B3717">
              <w:rPr>
                <w:rStyle w:val="Hipervnculo"/>
                <w:rFonts w:eastAsia="Calibri"/>
                <w:noProof/>
                <w:color w:val="auto"/>
                <w:lang w:eastAsia="es-ES_tradnl"/>
              </w:rPr>
              <w:t>c) Plazo para interponer el recurso.</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_Toc181272197 \h </w:instrText>
            </w:r>
            <w:r w:rsidR="00BB3018" w:rsidRPr="000B3717">
              <w:rPr>
                <w:noProof/>
                <w:webHidden/>
              </w:rPr>
            </w:r>
            <w:r w:rsidR="00BB3018" w:rsidRPr="000B3717">
              <w:rPr>
                <w:noProof/>
                <w:webHidden/>
              </w:rPr>
              <w:fldChar w:fldCharType="separate"/>
            </w:r>
            <w:r>
              <w:rPr>
                <w:noProof/>
                <w:webHidden/>
              </w:rPr>
              <w:t>6</w:t>
            </w:r>
            <w:r w:rsidR="00BB3018" w:rsidRPr="000B3717">
              <w:rPr>
                <w:noProof/>
                <w:webHidden/>
              </w:rPr>
              <w:fldChar w:fldCharType="end"/>
            </w:r>
          </w:hyperlink>
        </w:p>
        <w:p w14:paraId="07B6B113" w14:textId="77777777" w:rsidR="00BB3018" w:rsidRPr="000B3717" w:rsidRDefault="00ED50D7" w:rsidP="000B3717">
          <w:pPr>
            <w:pStyle w:val="TDC3"/>
            <w:rPr>
              <w:rFonts w:asciiTheme="minorHAnsi" w:eastAsiaTheme="minorEastAsia" w:hAnsiTheme="minorHAnsi" w:cstheme="minorBidi"/>
              <w:noProof/>
              <w:szCs w:val="22"/>
              <w:lang w:eastAsia="es-MX"/>
            </w:rPr>
          </w:pPr>
          <w:hyperlink w:anchor="_Toc181272198" w:history="1">
            <w:r w:rsidR="00BB3018" w:rsidRPr="000B3717">
              <w:rPr>
                <w:rStyle w:val="Hipervnculo"/>
                <w:rFonts w:eastAsia="Calibri"/>
                <w:noProof/>
                <w:color w:val="auto"/>
                <w:lang w:eastAsia="es-ES_tradnl"/>
              </w:rPr>
              <w:t>d) Causales de procedencia.</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_Toc181272198 \h </w:instrText>
            </w:r>
            <w:r w:rsidR="00BB3018" w:rsidRPr="000B3717">
              <w:rPr>
                <w:noProof/>
                <w:webHidden/>
              </w:rPr>
            </w:r>
            <w:r w:rsidR="00BB3018" w:rsidRPr="000B3717">
              <w:rPr>
                <w:noProof/>
                <w:webHidden/>
              </w:rPr>
              <w:fldChar w:fldCharType="separate"/>
            </w:r>
            <w:r>
              <w:rPr>
                <w:noProof/>
                <w:webHidden/>
              </w:rPr>
              <w:t>7</w:t>
            </w:r>
            <w:r w:rsidR="00BB3018" w:rsidRPr="000B3717">
              <w:rPr>
                <w:noProof/>
                <w:webHidden/>
              </w:rPr>
              <w:fldChar w:fldCharType="end"/>
            </w:r>
          </w:hyperlink>
        </w:p>
        <w:p w14:paraId="06B3E2BF" w14:textId="77777777" w:rsidR="00BB3018" w:rsidRPr="000B3717" w:rsidRDefault="00ED50D7" w:rsidP="000B3717">
          <w:pPr>
            <w:pStyle w:val="TDC3"/>
            <w:rPr>
              <w:rFonts w:asciiTheme="minorHAnsi" w:eastAsiaTheme="minorEastAsia" w:hAnsiTheme="minorHAnsi" w:cstheme="minorBidi"/>
              <w:noProof/>
              <w:szCs w:val="22"/>
              <w:lang w:eastAsia="es-MX"/>
            </w:rPr>
          </w:pPr>
          <w:hyperlink w:anchor="_Toc181272199" w:history="1">
            <w:r w:rsidR="00BB3018" w:rsidRPr="000B3717">
              <w:rPr>
                <w:rStyle w:val="Hipervnculo"/>
                <w:noProof/>
                <w:color w:val="auto"/>
              </w:rPr>
              <w:t>e) Requisitos formales para la interposición del recurso.</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_Toc181272199 \h </w:instrText>
            </w:r>
            <w:r w:rsidR="00BB3018" w:rsidRPr="000B3717">
              <w:rPr>
                <w:noProof/>
                <w:webHidden/>
              </w:rPr>
            </w:r>
            <w:r w:rsidR="00BB3018" w:rsidRPr="000B3717">
              <w:rPr>
                <w:noProof/>
                <w:webHidden/>
              </w:rPr>
              <w:fldChar w:fldCharType="separate"/>
            </w:r>
            <w:r>
              <w:rPr>
                <w:noProof/>
                <w:webHidden/>
              </w:rPr>
              <w:t>7</w:t>
            </w:r>
            <w:r w:rsidR="00BB3018" w:rsidRPr="000B3717">
              <w:rPr>
                <w:noProof/>
                <w:webHidden/>
              </w:rPr>
              <w:fldChar w:fldCharType="end"/>
            </w:r>
          </w:hyperlink>
        </w:p>
        <w:p w14:paraId="3E0E7FBF" w14:textId="77777777" w:rsidR="00BB3018" w:rsidRPr="000B3717" w:rsidRDefault="00ED50D7" w:rsidP="000B3717">
          <w:pPr>
            <w:pStyle w:val="TDC3"/>
            <w:rPr>
              <w:rFonts w:asciiTheme="minorHAnsi" w:eastAsiaTheme="minorEastAsia" w:hAnsiTheme="minorHAnsi" w:cstheme="minorBidi"/>
              <w:noProof/>
              <w:szCs w:val="22"/>
              <w:lang w:eastAsia="es-MX"/>
            </w:rPr>
          </w:pPr>
          <w:hyperlink w:anchor="_Toc181272200" w:history="1">
            <w:r w:rsidR="00BB3018" w:rsidRPr="000B3717">
              <w:rPr>
                <w:rStyle w:val="Hipervnculo"/>
                <w:noProof/>
                <w:color w:val="auto"/>
              </w:rPr>
              <w:t>f) Acumulación de los Recursos de Revisión.</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_Toc181272200 \h </w:instrText>
            </w:r>
            <w:r w:rsidR="00BB3018" w:rsidRPr="000B3717">
              <w:rPr>
                <w:noProof/>
                <w:webHidden/>
              </w:rPr>
            </w:r>
            <w:r w:rsidR="00BB3018" w:rsidRPr="000B3717">
              <w:rPr>
                <w:noProof/>
                <w:webHidden/>
              </w:rPr>
              <w:fldChar w:fldCharType="separate"/>
            </w:r>
            <w:r>
              <w:rPr>
                <w:noProof/>
                <w:webHidden/>
              </w:rPr>
              <w:t>8</w:t>
            </w:r>
            <w:r w:rsidR="00BB3018" w:rsidRPr="000B3717">
              <w:rPr>
                <w:noProof/>
                <w:webHidden/>
              </w:rPr>
              <w:fldChar w:fldCharType="end"/>
            </w:r>
          </w:hyperlink>
        </w:p>
        <w:p w14:paraId="4D478B5E" w14:textId="77777777" w:rsidR="00BB3018" w:rsidRPr="000B3717" w:rsidRDefault="00ED50D7" w:rsidP="000B3717">
          <w:pPr>
            <w:pStyle w:val="TDC2"/>
            <w:rPr>
              <w:rFonts w:asciiTheme="minorHAnsi" w:eastAsiaTheme="minorEastAsia" w:hAnsiTheme="minorHAnsi" w:cstheme="minorBidi"/>
              <w:noProof/>
              <w:szCs w:val="22"/>
              <w:lang w:eastAsia="es-MX"/>
            </w:rPr>
          </w:pPr>
          <w:hyperlink w:anchor="_Toc181272201" w:history="1">
            <w:r w:rsidR="00BB3018" w:rsidRPr="000B3717">
              <w:rPr>
                <w:rStyle w:val="Hipervnculo"/>
                <w:noProof/>
                <w:color w:val="auto"/>
              </w:rPr>
              <w:t>SEGUNDO. Estudio de fondo.</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_Toc181272201 \h </w:instrText>
            </w:r>
            <w:r w:rsidR="00BB3018" w:rsidRPr="000B3717">
              <w:rPr>
                <w:noProof/>
                <w:webHidden/>
              </w:rPr>
            </w:r>
            <w:r w:rsidR="00BB3018" w:rsidRPr="000B3717">
              <w:rPr>
                <w:noProof/>
                <w:webHidden/>
              </w:rPr>
              <w:fldChar w:fldCharType="separate"/>
            </w:r>
            <w:r>
              <w:rPr>
                <w:noProof/>
                <w:webHidden/>
              </w:rPr>
              <w:t>8</w:t>
            </w:r>
            <w:r w:rsidR="00BB3018" w:rsidRPr="000B3717">
              <w:rPr>
                <w:noProof/>
                <w:webHidden/>
              </w:rPr>
              <w:fldChar w:fldCharType="end"/>
            </w:r>
          </w:hyperlink>
        </w:p>
        <w:p w14:paraId="4CBA6BD7" w14:textId="77777777" w:rsidR="00BB3018" w:rsidRPr="000B3717" w:rsidRDefault="00ED50D7" w:rsidP="000B3717">
          <w:pPr>
            <w:pStyle w:val="TDC3"/>
            <w:rPr>
              <w:rFonts w:asciiTheme="minorHAnsi" w:eastAsiaTheme="minorEastAsia" w:hAnsiTheme="minorHAnsi" w:cstheme="minorBidi"/>
              <w:noProof/>
              <w:szCs w:val="22"/>
              <w:lang w:eastAsia="es-MX"/>
            </w:rPr>
          </w:pPr>
          <w:hyperlink w:anchor="_Toc181272202" w:history="1">
            <w:r w:rsidR="00BB3018" w:rsidRPr="000B3717">
              <w:rPr>
                <w:rStyle w:val="Hipervnculo"/>
                <w:noProof/>
                <w:color w:val="auto"/>
              </w:rPr>
              <w:t>a) Mandato de transparencia y responsabilidad del Sujeto Obligado.</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_Toc181272202 \h </w:instrText>
            </w:r>
            <w:r w:rsidR="00BB3018" w:rsidRPr="000B3717">
              <w:rPr>
                <w:noProof/>
                <w:webHidden/>
              </w:rPr>
            </w:r>
            <w:r w:rsidR="00BB3018" w:rsidRPr="000B3717">
              <w:rPr>
                <w:noProof/>
                <w:webHidden/>
              </w:rPr>
              <w:fldChar w:fldCharType="separate"/>
            </w:r>
            <w:r>
              <w:rPr>
                <w:noProof/>
                <w:webHidden/>
              </w:rPr>
              <w:t>8</w:t>
            </w:r>
            <w:r w:rsidR="00BB3018" w:rsidRPr="000B3717">
              <w:rPr>
                <w:noProof/>
                <w:webHidden/>
              </w:rPr>
              <w:fldChar w:fldCharType="end"/>
            </w:r>
          </w:hyperlink>
        </w:p>
        <w:p w14:paraId="26C7F704" w14:textId="77777777" w:rsidR="00BB3018" w:rsidRPr="000B3717" w:rsidRDefault="00ED50D7" w:rsidP="000B3717">
          <w:pPr>
            <w:pStyle w:val="TDC3"/>
            <w:rPr>
              <w:rFonts w:asciiTheme="minorHAnsi" w:eastAsiaTheme="minorEastAsia" w:hAnsiTheme="minorHAnsi" w:cstheme="minorBidi"/>
              <w:noProof/>
              <w:szCs w:val="22"/>
              <w:lang w:eastAsia="es-MX"/>
            </w:rPr>
          </w:pPr>
          <w:hyperlink w:anchor="_Toc181272203" w:history="1">
            <w:r w:rsidR="00BB3018" w:rsidRPr="000B3717">
              <w:rPr>
                <w:rStyle w:val="Hipervnculo"/>
                <w:rFonts w:eastAsia="Calibri"/>
                <w:noProof/>
                <w:color w:val="auto"/>
                <w:lang w:eastAsia="es-ES_tradnl"/>
              </w:rPr>
              <w:t>b) Controversia a resolver.</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_Toc181272203 \h </w:instrText>
            </w:r>
            <w:r w:rsidR="00BB3018" w:rsidRPr="000B3717">
              <w:rPr>
                <w:noProof/>
                <w:webHidden/>
              </w:rPr>
            </w:r>
            <w:r w:rsidR="00BB3018" w:rsidRPr="000B3717">
              <w:rPr>
                <w:noProof/>
                <w:webHidden/>
              </w:rPr>
              <w:fldChar w:fldCharType="separate"/>
            </w:r>
            <w:r>
              <w:rPr>
                <w:noProof/>
                <w:webHidden/>
              </w:rPr>
              <w:t>11</w:t>
            </w:r>
            <w:r w:rsidR="00BB3018" w:rsidRPr="000B3717">
              <w:rPr>
                <w:noProof/>
                <w:webHidden/>
              </w:rPr>
              <w:fldChar w:fldCharType="end"/>
            </w:r>
          </w:hyperlink>
        </w:p>
        <w:p w14:paraId="605C1B1C" w14:textId="77777777" w:rsidR="00BB3018" w:rsidRPr="000B3717" w:rsidRDefault="00ED50D7" w:rsidP="000B3717">
          <w:pPr>
            <w:pStyle w:val="TDC3"/>
            <w:rPr>
              <w:rFonts w:asciiTheme="minorHAnsi" w:eastAsiaTheme="minorEastAsia" w:hAnsiTheme="minorHAnsi" w:cstheme="minorBidi"/>
              <w:noProof/>
              <w:szCs w:val="22"/>
              <w:lang w:eastAsia="es-MX"/>
            </w:rPr>
          </w:pPr>
          <w:hyperlink w:anchor="_Toc181272204" w:history="1">
            <w:r w:rsidR="00BB3018" w:rsidRPr="000B3717">
              <w:rPr>
                <w:rStyle w:val="Hipervnculo"/>
                <w:noProof/>
                <w:color w:val="auto"/>
              </w:rPr>
              <w:t>c) Estudio de la controversia.</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_Toc181272204 \h </w:instrText>
            </w:r>
            <w:r w:rsidR="00BB3018" w:rsidRPr="000B3717">
              <w:rPr>
                <w:noProof/>
                <w:webHidden/>
              </w:rPr>
            </w:r>
            <w:r w:rsidR="00BB3018" w:rsidRPr="000B3717">
              <w:rPr>
                <w:noProof/>
                <w:webHidden/>
              </w:rPr>
              <w:fldChar w:fldCharType="separate"/>
            </w:r>
            <w:r>
              <w:rPr>
                <w:noProof/>
                <w:webHidden/>
              </w:rPr>
              <w:t>12</w:t>
            </w:r>
            <w:r w:rsidR="00BB3018" w:rsidRPr="000B3717">
              <w:rPr>
                <w:noProof/>
                <w:webHidden/>
              </w:rPr>
              <w:fldChar w:fldCharType="end"/>
            </w:r>
          </w:hyperlink>
        </w:p>
        <w:p w14:paraId="4888E606" w14:textId="77777777" w:rsidR="00BB3018" w:rsidRPr="000B3717" w:rsidRDefault="00ED50D7" w:rsidP="000B3717">
          <w:pPr>
            <w:pStyle w:val="TDC3"/>
            <w:rPr>
              <w:rFonts w:asciiTheme="minorHAnsi" w:eastAsiaTheme="minorEastAsia" w:hAnsiTheme="minorHAnsi" w:cstheme="minorBidi"/>
              <w:noProof/>
              <w:szCs w:val="22"/>
              <w:lang w:eastAsia="es-MX"/>
            </w:rPr>
          </w:pPr>
          <w:hyperlink w:anchor="_Toc181272205" w:history="1">
            <w:r w:rsidR="00BB3018" w:rsidRPr="000B3717">
              <w:rPr>
                <w:rStyle w:val="Hipervnculo"/>
                <w:noProof/>
                <w:color w:val="auto"/>
              </w:rPr>
              <w:t>d) Versión pública.</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_Toc181272205 \h </w:instrText>
            </w:r>
            <w:r w:rsidR="00BB3018" w:rsidRPr="000B3717">
              <w:rPr>
                <w:noProof/>
                <w:webHidden/>
              </w:rPr>
            </w:r>
            <w:r w:rsidR="00BB3018" w:rsidRPr="000B3717">
              <w:rPr>
                <w:noProof/>
                <w:webHidden/>
              </w:rPr>
              <w:fldChar w:fldCharType="separate"/>
            </w:r>
            <w:r>
              <w:rPr>
                <w:noProof/>
                <w:webHidden/>
              </w:rPr>
              <w:t>22</w:t>
            </w:r>
            <w:r w:rsidR="00BB3018" w:rsidRPr="000B3717">
              <w:rPr>
                <w:noProof/>
                <w:webHidden/>
              </w:rPr>
              <w:fldChar w:fldCharType="end"/>
            </w:r>
          </w:hyperlink>
        </w:p>
        <w:p w14:paraId="46ED60C0" w14:textId="77777777" w:rsidR="00BB3018" w:rsidRPr="000B3717" w:rsidRDefault="00ED50D7" w:rsidP="000B3717">
          <w:pPr>
            <w:pStyle w:val="TDC3"/>
            <w:rPr>
              <w:rFonts w:asciiTheme="minorHAnsi" w:eastAsiaTheme="minorEastAsia" w:hAnsiTheme="minorHAnsi" w:cstheme="minorBidi"/>
              <w:noProof/>
              <w:szCs w:val="22"/>
              <w:lang w:eastAsia="es-MX"/>
            </w:rPr>
          </w:pPr>
          <w:hyperlink w:anchor="_Toc181272206" w:history="1">
            <w:r w:rsidR="00BB3018" w:rsidRPr="000B3717">
              <w:rPr>
                <w:rStyle w:val="Hipervnculo"/>
                <w:noProof/>
                <w:color w:val="auto"/>
              </w:rPr>
              <w:t>e) Conclusión.</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_Toc181272206 \h </w:instrText>
            </w:r>
            <w:r w:rsidR="00BB3018" w:rsidRPr="000B3717">
              <w:rPr>
                <w:noProof/>
                <w:webHidden/>
              </w:rPr>
            </w:r>
            <w:r w:rsidR="00BB3018" w:rsidRPr="000B3717">
              <w:rPr>
                <w:noProof/>
                <w:webHidden/>
              </w:rPr>
              <w:fldChar w:fldCharType="separate"/>
            </w:r>
            <w:r>
              <w:rPr>
                <w:noProof/>
                <w:webHidden/>
              </w:rPr>
              <w:t>36</w:t>
            </w:r>
            <w:r w:rsidR="00BB3018" w:rsidRPr="000B3717">
              <w:rPr>
                <w:noProof/>
                <w:webHidden/>
              </w:rPr>
              <w:fldChar w:fldCharType="end"/>
            </w:r>
          </w:hyperlink>
        </w:p>
        <w:p w14:paraId="1BA58729" w14:textId="77777777" w:rsidR="00BB3018" w:rsidRPr="000B3717" w:rsidRDefault="00ED50D7" w:rsidP="000B3717">
          <w:pPr>
            <w:pStyle w:val="TDC1"/>
            <w:tabs>
              <w:tab w:val="right" w:leader="dot" w:pos="9034"/>
            </w:tabs>
            <w:rPr>
              <w:rFonts w:asciiTheme="minorHAnsi" w:eastAsiaTheme="minorEastAsia" w:hAnsiTheme="minorHAnsi" w:cstheme="minorBidi"/>
              <w:noProof/>
              <w:szCs w:val="22"/>
              <w:lang w:eastAsia="es-MX"/>
            </w:rPr>
          </w:pPr>
          <w:hyperlink w:anchor="_Toc181272207" w:history="1">
            <w:r w:rsidR="00BB3018" w:rsidRPr="000B3717">
              <w:rPr>
                <w:rStyle w:val="Hipervnculo"/>
                <w:noProof/>
                <w:color w:val="auto"/>
              </w:rPr>
              <w:t>RESUELVE</w:t>
            </w:r>
            <w:r w:rsidR="00BB3018" w:rsidRPr="000B3717">
              <w:rPr>
                <w:noProof/>
                <w:webHidden/>
              </w:rPr>
              <w:tab/>
            </w:r>
            <w:r w:rsidR="00BB3018" w:rsidRPr="000B3717">
              <w:rPr>
                <w:noProof/>
                <w:webHidden/>
              </w:rPr>
              <w:fldChar w:fldCharType="begin"/>
            </w:r>
            <w:r w:rsidR="00BB3018" w:rsidRPr="000B3717">
              <w:rPr>
                <w:noProof/>
                <w:webHidden/>
              </w:rPr>
              <w:instrText xml:space="preserve"> PAGEREF _Toc181272207 \h </w:instrText>
            </w:r>
            <w:r w:rsidR="00BB3018" w:rsidRPr="000B3717">
              <w:rPr>
                <w:noProof/>
                <w:webHidden/>
              </w:rPr>
            </w:r>
            <w:r w:rsidR="00BB3018" w:rsidRPr="000B3717">
              <w:rPr>
                <w:noProof/>
                <w:webHidden/>
              </w:rPr>
              <w:fldChar w:fldCharType="separate"/>
            </w:r>
            <w:r>
              <w:rPr>
                <w:noProof/>
                <w:webHidden/>
              </w:rPr>
              <w:t>37</w:t>
            </w:r>
            <w:r w:rsidR="00BB3018" w:rsidRPr="000B3717">
              <w:rPr>
                <w:noProof/>
                <w:webHidden/>
              </w:rPr>
              <w:fldChar w:fldCharType="end"/>
            </w:r>
          </w:hyperlink>
        </w:p>
        <w:p w14:paraId="0C82FD7A" w14:textId="39D4F053" w:rsidR="009B2945" w:rsidRPr="000B3717" w:rsidRDefault="00AE3DA7" w:rsidP="000B3717">
          <w:pPr>
            <w:spacing w:line="240" w:lineRule="auto"/>
            <w:rPr>
              <w:b/>
              <w:bCs/>
              <w:szCs w:val="22"/>
              <w:lang w:val="es-ES"/>
            </w:rPr>
          </w:pPr>
          <w:r w:rsidRPr="000B3717">
            <w:rPr>
              <w:b/>
              <w:bCs/>
              <w:szCs w:val="22"/>
              <w:lang w:val="es-ES"/>
            </w:rPr>
            <w:fldChar w:fldCharType="end"/>
          </w:r>
        </w:p>
      </w:sdtContent>
    </w:sdt>
    <w:p w14:paraId="603A07E2" w14:textId="77777777" w:rsidR="00646436" w:rsidRPr="000B3717" w:rsidRDefault="00646436" w:rsidP="000B3717">
      <w:pPr>
        <w:rPr>
          <w:rFonts w:cs="Tahoma"/>
          <w:szCs w:val="22"/>
        </w:rPr>
        <w:sectPr w:rsidR="00646436" w:rsidRPr="000B3717"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6F5FBB4" w:rsidR="00775BFC" w:rsidRPr="000B3717" w:rsidRDefault="00775BFC" w:rsidP="000B3717">
      <w:pPr>
        <w:rPr>
          <w:b/>
          <w:bCs/>
          <w:szCs w:val="22"/>
        </w:rPr>
      </w:pPr>
      <w:r w:rsidRPr="000B3717">
        <w:rPr>
          <w:szCs w:val="22"/>
        </w:rPr>
        <w:lastRenderedPageBreak/>
        <w:t xml:space="preserve">Resolución del Pleno del Instituto de Transparencia, Acceso a la Información Pública y Protección de Datos Personales del Estado de México y Municipios, con domicilio en Metepec, Estado de México, </w:t>
      </w:r>
      <w:r w:rsidRPr="000B3717">
        <w:rPr>
          <w:b/>
          <w:bCs/>
          <w:szCs w:val="22"/>
        </w:rPr>
        <w:t xml:space="preserve">de </w:t>
      </w:r>
      <w:r w:rsidR="000E301F" w:rsidRPr="000B3717">
        <w:rPr>
          <w:b/>
          <w:bCs/>
          <w:szCs w:val="22"/>
        </w:rPr>
        <w:t>seis</w:t>
      </w:r>
      <w:r w:rsidRPr="000B3717">
        <w:rPr>
          <w:b/>
          <w:bCs/>
          <w:szCs w:val="22"/>
        </w:rPr>
        <w:t xml:space="preserve"> de </w:t>
      </w:r>
      <w:r w:rsidR="008401A5" w:rsidRPr="000B3717">
        <w:rPr>
          <w:b/>
          <w:bCs/>
          <w:szCs w:val="22"/>
        </w:rPr>
        <w:t>noviembre</w:t>
      </w:r>
      <w:r w:rsidR="000B3717">
        <w:rPr>
          <w:b/>
          <w:bCs/>
          <w:szCs w:val="22"/>
        </w:rPr>
        <w:t xml:space="preserve"> </w:t>
      </w:r>
      <w:r w:rsidRPr="000B3717">
        <w:rPr>
          <w:b/>
          <w:bCs/>
          <w:szCs w:val="22"/>
        </w:rPr>
        <w:t xml:space="preserve">de dos mil </w:t>
      </w:r>
      <w:r w:rsidR="00DB6004" w:rsidRPr="000B3717">
        <w:rPr>
          <w:b/>
          <w:bCs/>
          <w:szCs w:val="22"/>
        </w:rPr>
        <w:t>veinticuatro.</w:t>
      </w:r>
    </w:p>
    <w:p w14:paraId="0AF3AAC4" w14:textId="77777777" w:rsidR="00775BFC" w:rsidRPr="000B3717" w:rsidRDefault="00775BFC" w:rsidP="000B3717">
      <w:pPr>
        <w:rPr>
          <w:szCs w:val="22"/>
        </w:rPr>
      </w:pPr>
    </w:p>
    <w:p w14:paraId="40EAE038" w14:textId="1280BE00" w:rsidR="00775BFC" w:rsidRPr="000B3717" w:rsidRDefault="00775BFC" w:rsidP="000B3717">
      <w:pPr>
        <w:rPr>
          <w:szCs w:val="22"/>
        </w:rPr>
      </w:pPr>
      <w:r w:rsidRPr="000B3717">
        <w:rPr>
          <w:b/>
          <w:szCs w:val="22"/>
        </w:rPr>
        <w:t>VISTO</w:t>
      </w:r>
      <w:r w:rsidR="00A21FF1" w:rsidRPr="000B3717">
        <w:rPr>
          <w:b/>
          <w:szCs w:val="22"/>
        </w:rPr>
        <w:t>S</w:t>
      </w:r>
      <w:r w:rsidRPr="000B3717">
        <w:rPr>
          <w:b/>
          <w:szCs w:val="22"/>
        </w:rPr>
        <w:t xml:space="preserve"> </w:t>
      </w:r>
      <w:r w:rsidR="00A21FF1" w:rsidRPr="000B3717">
        <w:rPr>
          <w:szCs w:val="22"/>
        </w:rPr>
        <w:t>los</w:t>
      </w:r>
      <w:r w:rsidRPr="000B3717">
        <w:rPr>
          <w:szCs w:val="22"/>
        </w:rPr>
        <w:t xml:space="preserve"> expediente</w:t>
      </w:r>
      <w:r w:rsidR="00A21FF1" w:rsidRPr="000B3717">
        <w:rPr>
          <w:szCs w:val="22"/>
        </w:rPr>
        <w:t>s</w:t>
      </w:r>
      <w:r w:rsidRPr="000B3717">
        <w:rPr>
          <w:szCs w:val="22"/>
        </w:rPr>
        <w:t xml:space="preserve"> formado</w:t>
      </w:r>
      <w:r w:rsidR="00A21FF1" w:rsidRPr="000B3717">
        <w:rPr>
          <w:szCs w:val="22"/>
        </w:rPr>
        <w:t>s</w:t>
      </w:r>
      <w:r w:rsidRPr="000B3717">
        <w:rPr>
          <w:szCs w:val="22"/>
        </w:rPr>
        <w:t xml:space="preserve"> con motivo de</w:t>
      </w:r>
      <w:r w:rsidR="00A21FF1" w:rsidRPr="000B3717">
        <w:rPr>
          <w:szCs w:val="22"/>
        </w:rPr>
        <w:t xml:space="preserve"> </w:t>
      </w:r>
      <w:r w:rsidRPr="000B3717">
        <w:rPr>
          <w:szCs w:val="22"/>
        </w:rPr>
        <w:t>l</w:t>
      </w:r>
      <w:r w:rsidR="00A21FF1" w:rsidRPr="000B3717">
        <w:rPr>
          <w:szCs w:val="22"/>
        </w:rPr>
        <w:t>os</w:t>
      </w:r>
      <w:r w:rsidRPr="000B3717">
        <w:rPr>
          <w:szCs w:val="22"/>
        </w:rPr>
        <w:t xml:space="preserve"> Recurso</w:t>
      </w:r>
      <w:r w:rsidR="00A21FF1" w:rsidRPr="000B3717">
        <w:rPr>
          <w:szCs w:val="22"/>
        </w:rPr>
        <w:t>s</w:t>
      </w:r>
      <w:r w:rsidRPr="000B3717">
        <w:rPr>
          <w:szCs w:val="22"/>
        </w:rPr>
        <w:t xml:space="preserve"> de Revisión </w:t>
      </w:r>
      <w:r w:rsidR="00F16D76" w:rsidRPr="000B3717">
        <w:rPr>
          <w:rFonts w:cs="Tahoma"/>
          <w:b/>
          <w:bCs/>
          <w:szCs w:val="22"/>
        </w:rPr>
        <w:t>06032</w:t>
      </w:r>
      <w:r w:rsidR="0034579B" w:rsidRPr="000B3717">
        <w:rPr>
          <w:rFonts w:cs="Tahoma"/>
          <w:b/>
          <w:bCs/>
          <w:szCs w:val="22"/>
        </w:rPr>
        <w:t>/INFOEM/IP/RR/2024</w:t>
      </w:r>
      <w:r w:rsidR="00876B54" w:rsidRPr="000B3717">
        <w:rPr>
          <w:rFonts w:cs="Tahoma"/>
          <w:b/>
          <w:bCs/>
          <w:szCs w:val="22"/>
        </w:rPr>
        <w:t xml:space="preserve"> </w:t>
      </w:r>
      <w:r w:rsidR="00A21FF1" w:rsidRPr="000B3717">
        <w:rPr>
          <w:rFonts w:cs="Tahoma"/>
          <w:szCs w:val="22"/>
        </w:rPr>
        <w:t xml:space="preserve">y </w:t>
      </w:r>
      <w:r w:rsidR="00F16D76" w:rsidRPr="000B3717">
        <w:rPr>
          <w:rFonts w:cs="Tahoma"/>
          <w:b/>
          <w:bCs/>
          <w:szCs w:val="22"/>
        </w:rPr>
        <w:t>06033</w:t>
      </w:r>
      <w:r w:rsidR="00A21FF1" w:rsidRPr="000B3717">
        <w:rPr>
          <w:rFonts w:cs="Tahoma"/>
          <w:b/>
          <w:bCs/>
          <w:szCs w:val="22"/>
        </w:rPr>
        <w:t xml:space="preserve">/INFOEM/IP/RR/2024 </w:t>
      </w:r>
      <w:r w:rsidRPr="000B3717">
        <w:rPr>
          <w:szCs w:val="22"/>
        </w:rPr>
        <w:t>interpuesto</w:t>
      </w:r>
      <w:r w:rsidR="00A21FF1" w:rsidRPr="000B3717">
        <w:rPr>
          <w:szCs w:val="22"/>
        </w:rPr>
        <w:t>s</w:t>
      </w:r>
      <w:r w:rsidRPr="000B3717">
        <w:rPr>
          <w:szCs w:val="22"/>
        </w:rPr>
        <w:t xml:space="preserve"> por </w:t>
      </w:r>
      <w:r w:rsidR="001D4224" w:rsidRPr="000B3717">
        <w:rPr>
          <w:b/>
          <w:bCs/>
          <w:szCs w:val="22"/>
        </w:rPr>
        <w:t>una persona de manera anónima</w:t>
      </w:r>
      <w:r w:rsidR="00930CF8" w:rsidRPr="000B3717">
        <w:rPr>
          <w:b/>
          <w:bCs/>
          <w:szCs w:val="22"/>
        </w:rPr>
        <w:t xml:space="preserve"> </w:t>
      </w:r>
      <w:r w:rsidRPr="000B3717">
        <w:rPr>
          <w:szCs w:val="22"/>
        </w:rPr>
        <w:t xml:space="preserve">a quien en lo subsecuente se le denominará </w:t>
      </w:r>
      <w:r w:rsidRPr="000B3717">
        <w:rPr>
          <w:b/>
          <w:bCs/>
          <w:szCs w:val="22"/>
        </w:rPr>
        <w:t>LA PARTE RECURRENTE</w:t>
      </w:r>
      <w:r w:rsidRPr="000B3717">
        <w:rPr>
          <w:szCs w:val="22"/>
        </w:rPr>
        <w:t>, en contra de la</w:t>
      </w:r>
      <w:r w:rsidR="00A21FF1" w:rsidRPr="000B3717">
        <w:rPr>
          <w:szCs w:val="22"/>
        </w:rPr>
        <w:t>s</w:t>
      </w:r>
      <w:r w:rsidRPr="000B3717">
        <w:rPr>
          <w:szCs w:val="22"/>
        </w:rPr>
        <w:t xml:space="preserve"> respuesta</w:t>
      </w:r>
      <w:r w:rsidR="00A21FF1" w:rsidRPr="000B3717">
        <w:rPr>
          <w:szCs w:val="22"/>
        </w:rPr>
        <w:t>s</w:t>
      </w:r>
      <w:r w:rsidRPr="000B3717">
        <w:rPr>
          <w:szCs w:val="22"/>
        </w:rPr>
        <w:t xml:space="preserve"> emitida</w:t>
      </w:r>
      <w:r w:rsidR="00A21FF1" w:rsidRPr="000B3717">
        <w:rPr>
          <w:szCs w:val="22"/>
        </w:rPr>
        <w:t>s</w:t>
      </w:r>
      <w:r w:rsidRPr="000B3717">
        <w:rPr>
          <w:szCs w:val="22"/>
        </w:rPr>
        <w:t xml:space="preserve"> por</w:t>
      </w:r>
      <w:r w:rsidR="00DB6004" w:rsidRPr="000B3717">
        <w:rPr>
          <w:szCs w:val="22"/>
        </w:rPr>
        <w:t xml:space="preserve"> </w:t>
      </w:r>
      <w:r w:rsidR="001D4224" w:rsidRPr="000B3717">
        <w:rPr>
          <w:szCs w:val="22"/>
        </w:rPr>
        <w:t>el</w:t>
      </w:r>
      <w:r w:rsidRPr="000B3717">
        <w:rPr>
          <w:szCs w:val="22"/>
        </w:rPr>
        <w:t xml:space="preserve"> </w:t>
      </w:r>
      <w:r w:rsidR="001D4224" w:rsidRPr="000B3717">
        <w:rPr>
          <w:b/>
          <w:bCs/>
          <w:szCs w:val="22"/>
        </w:rPr>
        <w:t>Ayuntamiento de Tezoyuca</w:t>
      </w:r>
      <w:r w:rsidR="00DB6004" w:rsidRPr="000B3717">
        <w:rPr>
          <w:b/>
          <w:bCs/>
          <w:szCs w:val="22"/>
        </w:rPr>
        <w:t xml:space="preserve">, </w:t>
      </w:r>
      <w:r w:rsidRPr="000B3717">
        <w:rPr>
          <w:szCs w:val="22"/>
        </w:rPr>
        <w:t xml:space="preserve">en adelante </w:t>
      </w:r>
      <w:r w:rsidRPr="000B3717">
        <w:rPr>
          <w:b/>
          <w:bCs/>
          <w:szCs w:val="22"/>
        </w:rPr>
        <w:t>EL SUJETO OBLIGADO</w:t>
      </w:r>
      <w:r w:rsidRPr="000B3717">
        <w:rPr>
          <w:rFonts w:eastAsia="Calibri"/>
          <w:szCs w:val="22"/>
          <w:lang w:eastAsia="en-US"/>
        </w:rPr>
        <w:t xml:space="preserve">, </w:t>
      </w:r>
      <w:r w:rsidRPr="000B3717">
        <w:rPr>
          <w:szCs w:val="22"/>
        </w:rPr>
        <w:t>se emite la presente Resolución con base en los Antecedentes y Considerandos que se exponen a continuación:</w:t>
      </w:r>
    </w:p>
    <w:p w14:paraId="2116968C" w14:textId="33FF576A" w:rsidR="00775BFC" w:rsidRPr="000B3717" w:rsidRDefault="00775BFC" w:rsidP="000B3717">
      <w:pPr>
        <w:rPr>
          <w:szCs w:val="22"/>
        </w:rPr>
      </w:pPr>
    </w:p>
    <w:p w14:paraId="5A444FB6" w14:textId="639D3567" w:rsidR="00664420" w:rsidRPr="000B3717" w:rsidRDefault="00664420" w:rsidP="000B3717">
      <w:pPr>
        <w:pStyle w:val="Ttulo1"/>
        <w:rPr>
          <w:szCs w:val="22"/>
        </w:rPr>
      </w:pPr>
      <w:bookmarkStart w:id="2" w:name="_Toc181272180"/>
      <w:r w:rsidRPr="000B3717">
        <w:rPr>
          <w:szCs w:val="22"/>
        </w:rPr>
        <w:t>ANTECEDENTES</w:t>
      </w:r>
      <w:bookmarkEnd w:id="2"/>
    </w:p>
    <w:p w14:paraId="5CB5034E" w14:textId="77777777" w:rsidR="00AC2DB8" w:rsidRPr="000B3717" w:rsidRDefault="00AC2DB8" w:rsidP="000B3717">
      <w:pPr>
        <w:rPr>
          <w:szCs w:val="22"/>
        </w:rPr>
      </w:pPr>
    </w:p>
    <w:p w14:paraId="09B2D38F" w14:textId="72C0806A" w:rsidR="00664420" w:rsidRPr="000B3717" w:rsidRDefault="00E37A3F" w:rsidP="000B3717">
      <w:pPr>
        <w:pStyle w:val="Ttulo2"/>
        <w:rPr>
          <w:szCs w:val="22"/>
        </w:rPr>
      </w:pPr>
      <w:bookmarkStart w:id="3" w:name="_Toc181272181"/>
      <w:r w:rsidRPr="000B3717">
        <w:rPr>
          <w:szCs w:val="22"/>
        </w:rPr>
        <w:t>DE LA</w:t>
      </w:r>
      <w:r w:rsidR="00AA27F9" w:rsidRPr="000B3717">
        <w:rPr>
          <w:szCs w:val="22"/>
        </w:rPr>
        <w:t>S</w:t>
      </w:r>
      <w:r w:rsidRPr="000B3717">
        <w:rPr>
          <w:szCs w:val="22"/>
        </w:rPr>
        <w:t xml:space="preserve"> SOLICITUD</w:t>
      </w:r>
      <w:r w:rsidR="00AA27F9" w:rsidRPr="000B3717">
        <w:rPr>
          <w:szCs w:val="22"/>
        </w:rPr>
        <w:t>ES</w:t>
      </w:r>
      <w:r w:rsidRPr="000B3717">
        <w:rPr>
          <w:szCs w:val="22"/>
        </w:rPr>
        <w:t xml:space="preserve"> DE INFORMACIÓN</w:t>
      </w:r>
      <w:bookmarkEnd w:id="3"/>
    </w:p>
    <w:p w14:paraId="7B7535DF" w14:textId="77777777" w:rsidR="00E37A3F" w:rsidRPr="000B3717" w:rsidRDefault="00E37A3F" w:rsidP="000B3717">
      <w:pPr>
        <w:rPr>
          <w:szCs w:val="22"/>
        </w:rPr>
      </w:pPr>
    </w:p>
    <w:p w14:paraId="2C6AD1A5" w14:textId="34D34D63" w:rsidR="00664420" w:rsidRPr="000B3717" w:rsidRDefault="00E37A3F" w:rsidP="000B3717">
      <w:pPr>
        <w:pStyle w:val="Ttulo3"/>
        <w:rPr>
          <w:szCs w:val="22"/>
        </w:rPr>
      </w:pPr>
      <w:bookmarkStart w:id="4" w:name="_Toc181272182"/>
      <w:r w:rsidRPr="000B3717">
        <w:rPr>
          <w:szCs w:val="22"/>
        </w:rPr>
        <w:t xml:space="preserve">a) </w:t>
      </w:r>
      <w:r w:rsidR="006B10B0" w:rsidRPr="000B3717">
        <w:rPr>
          <w:szCs w:val="22"/>
        </w:rPr>
        <w:t>S</w:t>
      </w:r>
      <w:r w:rsidR="00664420" w:rsidRPr="000B3717">
        <w:rPr>
          <w:szCs w:val="22"/>
        </w:rPr>
        <w:t>olicitud</w:t>
      </w:r>
      <w:r w:rsidR="00947134" w:rsidRPr="000B3717">
        <w:rPr>
          <w:szCs w:val="22"/>
        </w:rPr>
        <w:t>es</w:t>
      </w:r>
      <w:r w:rsidR="00664420" w:rsidRPr="000B3717">
        <w:rPr>
          <w:szCs w:val="22"/>
        </w:rPr>
        <w:t xml:space="preserve"> de </w:t>
      </w:r>
      <w:r w:rsidR="006B10B0" w:rsidRPr="000B3717">
        <w:rPr>
          <w:szCs w:val="22"/>
        </w:rPr>
        <w:t>i</w:t>
      </w:r>
      <w:r w:rsidR="00664420" w:rsidRPr="000B3717">
        <w:rPr>
          <w:szCs w:val="22"/>
        </w:rPr>
        <w:t>nformación</w:t>
      </w:r>
      <w:r w:rsidR="00DB6004" w:rsidRPr="000B3717">
        <w:rPr>
          <w:szCs w:val="22"/>
        </w:rPr>
        <w:t>.</w:t>
      </w:r>
      <w:bookmarkEnd w:id="4"/>
    </w:p>
    <w:p w14:paraId="6168F827" w14:textId="1EAD726F" w:rsidR="00AD1D93" w:rsidRPr="000B3717" w:rsidRDefault="006B10B0" w:rsidP="000B3717">
      <w:pPr>
        <w:tabs>
          <w:tab w:val="left" w:pos="0"/>
        </w:tabs>
        <w:rPr>
          <w:rFonts w:cs="Tahoma"/>
          <w:szCs w:val="22"/>
        </w:rPr>
      </w:pPr>
      <w:r w:rsidRPr="000B3717">
        <w:rPr>
          <w:rFonts w:cs="Tahoma"/>
          <w:szCs w:val="22"/>
        </w:rPr>
        <w:t>El</w:t>
      </w:r>
      <w:r w:rsidR="00664420" w:rsidRPr="000B3717">
        <w:rPr>
          <w:rFonts w:cs="Tahoma"/>
          <w:szCs w:val="22"/>
        </w:rPr>
        <w:t xml:space="preserve"> </w:t>
      </w:r>
      <w:r w:rsidR="001D4224" w:rsidRPr="000B3717">
        <w:rPr>
          <w:rFonts w:cs="Tahoma"/>
          <w:b/>
          <w:szCs w:val="22"/>
        </w:rPr>
        <w:t>once</w:t>
      </w:r>
      <w:r w:rsidR="00664420" w:rsidRPr="000B3717">
        <w:rPr>
          <w:rFonts w:cs="Tahoma"/>
          <w:b/>
          <w:bCs/>
          <w:szCs w:val="22"/>
        </w:rPr>
        <w:t xml:space="preserve"> de </w:t>
      </w:r>
      <w:r w:rsidR="00876B54" w:rsidRPr="000B3717">
        <w:rPr>
          <w:rFonts w:cs="Tahoma"/>
          <w:b/>
          <w:bCs/>
          <w:szCs w:val="22"/>
        </w:rPr>
        <w:t>septiembre</w:t>
      </w:r>
      <w:r w:rsidR="00664420" w:rsidRPr="000B3717">
        <w:rPr>
          <w:rFonts w:cs="Tahoma"/>
          <w:b/>
          <w:bCs/>
          <w:szCs w:val="22"/>
        </w:rPr>
        <w:t xml:space="preserve"> de dos mil </w:t>
      </w:r>
      <w:r w:rsidR="00A0307E" w:rsidRPr="000B3717">
        <w:rPr>
          <w:rFonts w:cs="Tahoma"/>
          <w:b/>
          <w:bCs/>
          <w:szCs w:val="22"/>
        </w:rPr>
        <w:t>veinticuatro</w:t>
      </w:r>
      <w:r w:rsidR="00664420" w:rsidRPr="000B3717">
        <w:rPr>
          <w:rFonts w:cs="Tahoma"/>
          <w:szCs w:val="22"/>
        </w:rPr>
        <w:t xml:space="preserve"> </w:t>
      </w:r>
      <w:r w:rsidRPr="000B3717">
        <w:rPr>
          <w:b/>
          <w:bCs/>
          <w:szCs w:val="22"/>
        </w:rPr>
        <w:t>LA PARTE RECURRENTE</w:t>
      </w:r>
      <w:r w:rsidR="00664420" w:rsidRPr="000B3717">
        <w:rPr>
          <w:rFonts w:cs="Tahoma"/>
          <w:szCs w:val="22"/>
        </w:rPr>
        <w:t xml:space="preserve"> presentó </w:t>
      </w:r>
      <w:r w:rsidR="00AA02C6" w:rsidRPr="000B3717">
        <w:rPr>
          <w:rFonts w:cs="Tahoma"/>
          <w:szCs w:val="22"/>
        </w:rPr>
        <w:t>dos</w:t>
      </w:r>
      <w:r w:rsidR="00664420" w:rsidRPr="000B3717">
        <w:rPr>
          <w:rFonts w:cs="Tahoma"/>
          <w:szCs w:val="22"/>
        </w:rPr>
        <w:t xml:space="preserve"> solicitud</w:t>
      </w:r>
      <w:r w:rsidR="00FC23B8" w:rsidRPr="000B3717">
        <w:rPr>
          <w:rFonts w:cs="Tahoma"/>
          <w:szCs w:val="22"/>
        </w:rPr>
        <w:t>es</w:t>
      </w:r>
      <w:r w:rsidR="00664420" w:rsidRPr="000B3717">
        <w:rPr>
          <w:rFonts w:cs="Tahoma"/>
          <w:szCs w:val="22"/>
        </w:rPr>
        <w:t xml:space="preserve"> de acceso a la información pública </w:t>
      </w:r>
      <w:r w:rsidR="001F3515" w:rsidRPr="000B3717">
        <w:rPr>
          <w:rFonts w:cs="Tahoma"/>
          <w:szCs w:val="22"/>
        </w:rPr>
        <w:t xml:space="preserve">ante el </w:t>
      </w:r>
      <w:r w:rsidR="001F3515" w:rsidRPr="000B3717">
        <w:rPr>
          <w:rFonts w:cs="Tahoma"/>
          <w:b/>
          <w:bCs/>
          <w:szCs w:val="22"/>
        </w:rPr>
        <w:t>SUJETO OBLIGADO</w:t>
      </w:r>
      <w:r w:rsidR="001F3515" w:rsidRPr="000B3717">
        <w:rPr>
          <w:rFonts w:cs="Tahoma"/>
          <w:szCs w:val="22"/>
        </w:rPr>
        <w:t xml:space="preserve">, </w:t>
      </w:r>
      <w:r w:rsidR="00664420" w:rsidRPr="000B3717">
        <w:rPr>
          <w:rFonts w:cs="Tahoma"/>
          <w:szCs w:val="22"/>
        </w:rPr>
        <w:t xml:space="preserve">a través del </w:t>
      </w:r>
      <w:r w:rsidRPr="000B3717">
        <w:rPr>
          <w:rFonts w:cs="Tahoma"/>
          <w:szCs w:val="22"/>
        </w:rPr>
        <w:t>Sistema de Acceso a la Información Mexiquense</w:t>
      </w:r>
      <w:r w:rsidR="009A2D78" w:rsidRPr="000B3717">
        <w:rPr>
          <w:rFonts w:cs="Tahoma"/>
          <w:szCs w:val="22"/>
        </w:rPr>
        <w:t xml:space="preserve"> (</w:t>
      </w:r>
      <w:r w:rsidRPr="000B3717">
        <w:rPr>
          <w:rFonts w:cs="Tahoma"/>
          <w:szCs w:val="22"/>
        </w:rPr>
        <w:t>SAIMEX</w:t>
      </w:r>
      <w:r w:rsidR="00947134" w:rsidRPr="000B3717">
        <w:rPr>
          <w:rFonts w:cs="Tahoma"/>
          <w:szCs w:val="22"/>
        </w:rPr>
        <w:t>). Dicha</w:t>
      </w:r>
      <w:r w:rsidR="00BC5BB6" w:rsidRPr="000B3717">
        <w:rPr>
          <w:rFonts w:cs="Tahoma"/>
          <w:szCs w:val="22"/>
        </w:rPr>
        <w:t>s</w:t>
      </w:r>
      <w:r w:rsidR="00947134" w:rsidRPr="000B3717">
        <w:rPr>
          <w:rFonts w:cs="Tahoma"/>
          <w:szCs w:val="22"/>
        </w:rPr>
        <w:t xml:space="preserve"> solicitud</w:t>
      </w:r>
      <w:r w:rsidR="00BC5BB6" w:rsidRPr="000B3717">
        <w:rPr>
          <w:rFonts w:cs="Tahoma"/>
          <w:szCs w:val="22"/>
        </w:rPr>
        <w:t>es</w:t>
      </w:r>
      <w:r w:rsidR="00947134" w:rsidRPr="000B3717">
        <w:rPr>
          <w:rFonts w:cs="Tahoma"/>
          <w:szCs w:val="22"/>
        </w:rPr>
        <w:t xml:space="preserve"> quedaron</w:t>
      </w:r>
      <w:r w:rsidRPr="000B3717">
        <w:rPr>
          <w:rFonts w:cs="Tahoma"/>
          <w:szCs w:val="22"/>
        </w:rPr>
        <w:t xml:space="preserve"> registrada</w:t>
      </w:r>
      <w:r w:rsidR="00947134" w:rsidRPr="000B3717">
        <w:rPr>
          <w:rFonts w:cs="Tahoma"/>
          <w:szCs w:val="22"/>
        </w:rPr>
        <w:t>s</w:t>
      </w:r>
      <w:r w:rsidRPr="000B3717">
        <w:rPr>
          <w:rFonts w:cs="Tahoma"/>
          <w:szCs w:val="22"/>
        </w:rPr>
        <w:t xml:space="preserve"> c</w:t>
      </w:r>
      <w:r w:rsidR="00664420" w:rsidRPr="000B3717">
        <w:rPr>
          <w:rFonts w:cs="Tahoma"/>
          <w:szCs w:val="22"/>
        </w:rPr>
        <w:t xml:space="preserve">on </w:t>
      </w:r>
      <w:r w:rsidR="00947134" w:rsidRPr="000B3717">
        <w:rPr>
          <w:rFonts w:cs="Tahoma"/>
          <w:szCs w:val="22"/>
        </w:rPr>
        <w:t>los</w:t>
      </w:r>
      <w:r w:rsidR="00664420" w:rsidRPr="000B3717">
        <w:rPr>
          <w:rFonts w:cs="Tahoma"/>
          <w:szCs w:val="22"/>
        </w:rPr>
        <w:t xml:space="preserve"> número</w:t>
      </w:r>
      <w:r w:rsidR="00947134" w:rsidRPr="000B3717">
        <w:rPr>
          <w:rFonts w:cs="Tahoma"/>
          <w:szCs w:val="22"/>
        </w:rPr>
        <w:t>s</w:t>
      </w:r>
      <w:r w:rsidR="00664420" w:rsidRPr="000B3717">
        <w:rPr>
          <w:rFonts w:cs="Tahoma"/>
          <w:szCs w:val="22"/>
        </w:rPr>
        <w:t xml:space="preserve"> de folio</w:t>
      </w:r>
      <w:r w:rsidR="00FE1818" w:rsidRPr="000B3717">
        <w:rPr>
          <w:rFonts w:cs="Tahoma"/>
          <w:b/>
          <w:bCs/>
          <w:szCs w:val="22"/>
        </w:rPr>
        <w:t xml:space="preserve"> </w:t>
      </w:r>
      <w:r w:rsidR="001D4224" w:rsidRPr="000B3717">
        <w:rPr>
          <w:rFonts w:cs="Tahoma"/>
          <w:b/>
          <w:bCs/>
          <w:szCs w:val="22"/>
        </w:rPr>
        <w:t xml:space="preserve">00089/TEZOYUCA/IP/2024 </w:t>
      </w:r>
      <w:r w:rsidR="00947134" w:rsidRPr="000B3717">
        <w:rPr>
          <w:rFonts w:cs="Tahoma"/>
          <w:b/>
          <w:bCs/>
          <w:szCs w:val="22"/>
        </w:rPr>
        <w:t xml:space="preserve">y </w:t>
      </w:r>
      <w:r w:rsidR="001D4224" w:rsidRPr="000B3717">
        <w:rPr>
          <w:rFonts w:cs="Tahoma"/>
          <w:b/>
          <w:bCs/>
          <w:szCs w:val="22"/>
        </w:rPr>
        <w:t>00088/TEZOYUCA/IP/2024</w:t>
      </w:r>
      <w:r w:rsidR="004D3411" w:rsidRPr="000B3717">
        <w:rPr>
          <w:rFonts w:cs="Tahoma"/>
          <w:b/>
          <w:bCs/>
          <w:szCs w:val="22"/>
        </w:rPr>
        <w:t xml:space="preserve"> </w:t>
      </w:r>
      <w:r w:rsidR="002A3601" w:rsidRPr="000B3717">
        <w:rPr>
          <w:rFonts w:cs="Tahoma"/>
          <w:szCs w:val="22"/>
        </w:rPr>
        <w:t>y en ella</w:t>
      </w:r>
      <w:r w:rsidR="007C65D0" w:rsidRPr="000B3717">
        <w:rPr>
          <w:rFonts w:cs="Tahoma"/>
          <w:szCs w:val="22"/>
        </w:rPr>
        <w:t>s</w:t>
      </w:r>
      <w:r w:rsidR="002A3601" w:rsidRPr="000B3717">
        <w:rPr>
          <w:rFonts w:cs="Tahoma"/>
          <w:szCs w:val="22"/>
        </w:rPr>
        <w:t xml:space="preserve"> </w:t>
      </w:r>
      <w:r w:rsidR="009A2D78" w:rsidRPr="000B3717">
        <w:rPr>
          <w:rFonts w:cs="Tahoma"/>
          <w:szCs w:val="22"/>
        </w:rPr>
        <w:t>se requirió la siguiente información:</w:t>
      </w:r>
    </w:p>
    <w:p w14:paraId="65C740D2" w14:textId="77777777" w:rsidR="007D4082" w:rsidRPr="000B3717" w:rsidRDefault="007D4082" w:rsidP="000B3717">
      <w:pPr>
        <w:tabs>
          <w:tab w:val="left" w:pos="0"/>
        </w:tabs>
        <w:rPr>
          <w:rFonts w:cs="Tahoma"/>
          <w:szCs w:val="22"/>
        </w:rPr>
      </w:pPr>
    </w:p>
    <w:p w14:paraId="0FA59232" w14:textId="77777777" w:rsidR="007D4082" w:rsidRPr="000B3717" w:rsidRDefault="007D4082" w:rsidP="000B3717">
      <w:pPr>
        <w:tabs>
          <w:tab w:val="left" w:pos="0"/>
        </w:tabs>
        <w:rPr>
          <w:rFonts w:cs="Tahoma"/>
          <w:szCs w:val="22"/>
        </w:rPr>
      </w:pPr>
    </w:p>
    <w:p w14:paraId="65E3C4BB" w14:textId="77777777" w:rsidR="007D4082" w:rsidRPr="000B3717" w:rsidRDefault="007D4082" w:rsidP="000B3717">
      <w:pPr>
        <w:tabs>
          <w:tab w:val="left" w:pos="0"/>
        </w:tabs>
        <w:rPr>
          <w:rFonts w:cs="Tahoma"/>
          <w:b/>
          <w:bCs/>
          <w:szCs w:val="22"/>
        </w:rPr>
      </w:pPr>
    </w:p>
    <w:p w14:paraId="24AA0461" w14:textId="77777777" w:rsidR="00FC23B8" w:rsidRPr="000B3717" w:rsidRDefault="00FC23B8" w:rsidP="000B3717">
      <w:pPr>
        <w:tabs>
          <w:tab w:val="left" w:pos="4667"/>
        </w:tabs>
        <w:ind w:right="567"/>
        <w:rPr>
          <w:rFonts w:cs="Tahoma"/>
          <w:b/>
          <w:bCs/>
          <w:szCs w:val="22"/>
        </w:rPr>
      </w:pP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81"/>
      </w:tblGrid>
      <w:tr w:rsidR="000B3717" w:rsidRPr="000B3717" w14:paraId="479608A9" w14:textId="77777777" w:rsidTr="001D4224">
        <w:trPr>
          <w:trHeight w:val="225"/>
        </w:trPr>
        <w:tc>
          <w:tcPr>
            <w:tcW w:w="2830" w:type="dxa"/>
            <w:shd w:val="clear" w:color="auto" w:fill="F9CB9C"/>
            <w:tcMar>
              <w:top w:w="0" w:type="dxa"/>
              <w:left w:w="45" w:type="dxa"/>
              <w:bottom w:w="0" w:type="dxa"/>
              <w:right w:w="45" w:type="dxa"/>
            </w:tcMar>
            <w:vAlign w:val="center"/>
          </w:tcPr>
          <w:p w14:paraId="6C08B06A" w14:textId="77777777" w:rsidR="00947134" w:rsidRPr="000B3717" w:rsidRDefault="00947134" w:rsidP="000B3717">
            <w:pPr>
              <w:spacing w:line="276" w:lineRule="auto"/>
              <w:jc w:val="center"/>
              <w:rPr>
                <w:b/>
                <w:szCs w:val="22"/>
              </w:rPr>
            </w:pPr>
            <w:r w:rsidRPr="000B3717">
              <w:rPr>
                <w:b/>
                <w:szCs w:val="22"/>
              </w:rPr>
              <w:lastRenderedPageBreak/>
              <w:t>Recursos de revisión.</w:t>
            </w:r>
          </w:p>
        </w:tc>
        <w:tc>
          <w:tcPr>
            <w:tcW w:w="6281" w:type="dxa"/>
            <w:shd w:val="clear" w:color="auto" w:fill="F9CB9C"/>
            <w:tcMar>
              <w:top w:w="0" w:type="dxa"/>
              <w:left w:w="45" w:type="dxa"/>
              <w:bottom w:w="0" w:type="dxa"/>
              <w:right w:w="45" w:type="dxa"/>
            </w:tcMar>
            <w:vAlign w:val="center"/>
          </w:tcPr>
          <w:p w14:paraId="2464BC3C" w14:textId="7A4F58E9" w:rsidR="00947134" w:rsidRPr="000B3717" w:rsidRDefault="00947134" w:rsidP="000B3717">
            <w:pPr>
              <w:spacing w:line="276" w:lineRule="auto"/>
              <w:jc w:val="center"/>
              <w:rPr>
                <w:b/>
                <w:szCs w:val="22"/>
              </w:rPr>
            </w:pPr>
            <w:r w:rsidRPr="000B3717">
              <w:rPr>
                <w:b/>
                <w:szCs w:val="22"/>
              </w:rPr>
              <w:t>Solicitud</w:t>
            </w:r>
            <w:r w:rsidR="000E03AE" w:rsidRPr="000B3717">
              <w:rPr>
                <w:b/>
                <w:szCs w:val="22"/>
              </w:rPr>
              <w:t>es.</w:t>
            </w:r>
          </w:p>
        </w:tc>
      </w:tr>
      <w:tr w:rsidR="000B3717" w:rsidRPr="000B3717" w14:paraId="31829097" w14:textId="77777777" w:rsidTr="001D4224">
        <w:trPr>
          <w:trHeight w:val="1093"/>
        </w:trPr>
        <w:tc>
          <w:tcPr>
            <w:tcW w:w="2830" w:type="dxa"/>
            <w:tcMar>
              <w:top w:w="0" w:type="dxa"/>
              <w:left w:w="45" w:type="dxa"/>
              <w:bottom w:w="0" w:type="dxa"/>
              <w:right w:w="45" w:type="dxa"/>
            </w:tcMar>
            <w:vAlign w:val="center"/>
          </w:tcPr>
          <w:p w14:paraId="67FB7CC9" w14:textId="74C8D80B" w:rsidR="00947134" w:rsidRPr="000B3717" w:rsidRDefault="001D4224" w:rsidP="000B3717">
            <w:pPr>
              <w:spacing w:line="276" w:lineRule="auto"/>
              <w:jc w:val="center"/>
              <w:rPr>
                <w:b/>
                <w:szCs w:val="22"/>
              </w:rPr>
            </w:pPr>
            <w:r w:rsidRPr="000B3717">
              <w:rPr>
                <w:b/>
                <w:szCs w:val="22"/>
              </w:rPr>
              <w:t>00089/TEZOYUCA/IP/2024</w:t>
            </w:r>
          </w:p>
        </w:tc>
        <w:tc>
          <w:tcPr>
            <w:tcW w:w="6281" w:type="dxa"/>
            <w:tcMar>
              <w:top w:w="0" w:type="dxa"/>
              <w:left w:w="45" w:type="dxa"/>
              <w:bottom w:w="0" w:type="dxa"/>
              <w:right w:w="45" w:type="dxa"/>
            </w:tcMar>
          </w:tcPr>
          <w:p w14:paraId="35EF1EEF" w14:textId="581523E4" w:rsidR="00947134" w:rsidRPr="000B3717" w:rsidRDefault="00876B54" w:rsidP="000B3717">
            <w:pPr>
              <w:spacing w:line="276" w:lineRule="auto"/>
              <w:ind w:left="28"/>
              <w:rPr>
                <w:i/>
                <w:szCs w:val="22"/>
              </w:rPr>
            </w:pPr>
            <w:r w:rsidRPr="000B3717">
              <w:rPr>
                <w:i/>
                <w:szCs w:val="22"/>
              </w:rPr>
              <w:t>"</w:t>
            </w:r>
            <w:r w:rsidR="001D4224" w:rsidRPr="000B3717">
              <w:rPr>
                <w:i/>
                <w:szCs w:val="22"/>
              </w:rPr>
              <w:t xml:space="preserve">Solicito </w:t>
            </w:r>
            <w:r w:rsidR="001D4224" w:rsidRPr="000B3717">
              <w:rPr>
                <w:b/>
                <w:i/>
                <w:szCs w:val="22"/>
              </w:rPr>
              <w:t>todo el procedimiento de adquisición</w:t>
            </w:r>
            <w:r w:rsidR="001D4224" w:rsidRPr="000B3717">
              <w:rPr>
                <w:i/>
                <w:szCs w:val="22"/>
              </w:rPr>
              <w:t xml:space="preserve"> de </w:t>
            </w:r>
            <w:proofErr w:type="spellStart"/>
            <w:r w:rsidR="001D4224" w:rsidRPr="000B3717">
              <w:rPr>
                <w:i/>
                <w:szCs w:val="22"/>
              </w:rPr>
              <w:t>material</w:t>
            </w:r>
            <w:proofErr w:type="gramStart"/>
            <w:r w:rsidR="001D4224" w:rsidRPr="000B3717">
              <w:rPr>
                <w:i/>
                <w:szCs w:val="22"/>
              </w:rPr>
              <w:t>,gastos</w:t>
            </w:r>
            <w:proofErr w:type="spellEnd"/>
            <w:proofErr w:type="gramEnd"/>
            <w:r w:rsidR="001D4224" w:rsidRPr="000B3717">
              <w:rPr>
                <w:i/>
                <w:szCs w:val="22"/>
              </w:rPr>
              <w:t xml:space="preserve"> realizados, contratos, convenios sobre la adquisición </w:t>
            </w:r>
            <w:r w:rsidR="001D4224" w:rsidRPr="000B3717">
              <w:rPr>
                <w:b/>
                <w:i/>
                <w:szCs w:val="22"/>
              </w:rPr>
              <w:t>de papelería</w:t>
            </w:r>
            <w:r w:rsidR="001D4224" w:rsidRPr="000B3717">
              <w:rPr>
                <w:i/>
                <w:szCs w:val="22"/>
              </w:rPr>
              <w:t xml:space="preserve"> que se utiliza en el municipio de </w:t>
            </w:r>
            <w:proofErr w:type="spellStart"/>
            <w:r w:rsidR="001D4224" w:rsidRPr="000B3717">
              <w:rPr>
                <w:i/>
                <w:szCs w:val="22"/>
              </w:rPr>
              <w:t>tezoyuca</w:t>
            </w:r>
            <w:proofErr w:type="spellEnd"/>
            <w:r w:rsidR="001D4224" w:rsidRPr="000B3717">
              <w:rPr>
                <w:i/>
                <w:szCs w:val="22"/>
              </w:rPr>
              <w:t xml:space="preserve"> del </w:t>
            </w:r>
            <w:r w:rsidR="001D4224" w:rsidRPr="000B3717">
              <w:rPr>
                <w:b/>
                <w:i/>
                <w:szCs w:val="22"/>
              </w:rPr>
              <w:t>2022 a 2024</w:t>
            </w:r>
            <w:r w:rsidR="000C6C4B" w:rsidRPr="000B3717">
              <w:rPr>
                <w:i/>
                <w:szCs w:val="22"/>
              </w:rPr>
              <w:t xml:space="preserve">” </w:t>
            </w:r>
            <w:r w:rsidR="000C6C4B" w:rsidRPr="000B3717">
              <w:rPr>
                <w:szCs w:val="22"/>
              </w:rPr>
              <w:t>(Sic).</w:t>
            </w:r>
          </w:p>
        </w:tc>
      </w:tr>
      <w:tr w:rsidR="00947134" w:rsidRPr="000B3717" w14:paraId="67BFF831" w14:textId="77777777" w:rsidTr="001D4224">
        <w:trPr>
          <w:trHeight w:val="65"/>
        </w:trPr>
        <w:tc>
          <w:tcPr>
            <w:tcW w:w="2830" w:type="dxa"/>
            <w:tcMar>
              <w:top w:w="0" w:type="dxa"/>
              <w:left w:w="45" w:type="dxa"/>
              <w:bottom w:w="0" w:type="dxa"/>
              <w:right w:w="45" w:type="dxa"/>
            </w:tcMar>
            <w:vAlign w:val="center"/>
          </w:tcPr>
          <w:p w14:paraId="6CB53A75" w14:textId="1459EE8A" w:rsidR="00947134" w:rsidRPr="000B3717" w:rsidRDefault="001D4224" w:rsidP="000B3717">
            <w:pPr>
              <w:spacing w:line="276" w:lineRule="auto"/>
              <w:jc w:val="center"/>
              <w:rPr>
                <w:b/>
                <w:szCs w:val="22"/>
              </w:rPr>
            </w:pPr>
            <w:r w:rsidRPr="000B3717">
              <w:rPr>
                <w:rFonts w:cs="Tahoma"/>
                <w:b/>
                <w:bCs/>
                <w:szCs w:val="22"/>
              </w:rPr>
              <w:t>00088/TEZOYUCA/IP/2024</w:t>
            </w:r>
          </w:p>
        </w:tc>
        <w:tc>
          <w:tcPr>
            <w:tcW w:w="6281" w:type="dxa"/>
            <w:tcMar>
              <w:top w:w="0" w:type="dxa"/>
              <w:left w:w="45" w:type="dxa"/>
              <w:bottom w:w="0" w:type="dxa"/>
              <w:right w:w="45" w:type="dxa"/>
            </w:tcMar>
          </w:tcPr>
          <w:p w14:paraId="7F908EB7" w14:textId="40CE2DAB" w:rsidR="00947134" w:rsidRPr="000B3717" w:rsidRDefault="00A0307E" w:rsidP="000B3717">
            <w:pPr>
              <w:spacing w:line="276" w:lineRule="auto"/>
              <w:rPr>
                <w:i/>
                <w:szCs w:val="22"/>
              </w:rPr>
            </w:pPr>
            <w:r w:rsidRPr="000B3717">
              <w:rPr>
                <w:i/>
                <w:szCs w:val="22"/>
              </w:rPr>
              <w:t>"</w:t>
            </w:r>
            <w:r w:rsidR="001D4224" w:rsidRPr="000B3717">
              <w:rPr>
                <w:i/>
                <w:szCs w:val="22"/>
              </w:rPr>
              <w:t xml:space="preserve">Solicito </w:t>
            </w:r>
            <w:r w:rsidR="001D4224" w:rsidRPr="000B3717">
              <w:rPr>
                <w:b/>
                <w:i/>
                <w:szCs w:val="22"/>
              </w:rPr>
              <w:t>todo el procedimiento de adquisición</w:t>
            </w:r>
            <w:r w:rsidR="001D4224" w:rsidRPr="000B3717">
              <w:rPr>
                <w:i/>
                <w:szCs w:val="22"/>
              </w:rPr>
              <w:t xml:space="preserve"> de </w:t>
            </w:r>
            <w:proofErr w:type="spellStart"/>
            <w:r w:rsidR="001D4224" w:rsidRPr="000B3717">
              <w:rPr>
                <w:i/>
                <w:szCs w:val="22"/>
              </w:rPr>
              <w:t>material</w:t>
            </w:r>
            <w:proofErr w:type="gramStart"/>
            <w:r w:rsidR="001D4224" w:rsidRPr="000B3717">
              <w:rPr>
                <w:i/>
                <w:szCs w:val="22"/>
              </w:rPr>
              <w:t>,gastos</w:t>
            </w:r>
            <w:proofErr w:type="spellEnd"/>
            <w:proofErr w:type="gramEnd"/>
            <w:r w:rsidR="001D4224" w:rsidRPr="000B3717">
              <w:rPr>
                <w:i/>
                <w:szCs w:val="22"/>
              </w:rPr>
              <w:t xml:space="preserve"> realizados, contratos, convenios sobre la adquisición </w:t>
            </w:r>
            <w:r w:rsidR="001D4224" w:rsidRPr="000B3717">
              <w:rPr>
                <w:b/>
                <w:i/>
                <w:szCs w:val="22"/>
              </w:rPr>
              <w:t>de papelería</w:t>
            </w:r>
            <w:r w:rsidR="001D4224" w:rsidRPr="000B3717">
              <w:rPr>
                <w:i/>
                <w:szCs w:val="22"/>
              </w:rPr>
              <w:t xml:space="preserve"> que se utiliza en el municipio de </w:t>
            </w:r>
            <w:proofErr w:type="spellStart"/>
            <w:r w:rsidR="001D4224" w:rsidRPr="000B3717">
              <w:rPr>
                <w:i/>
                <w:szCs w:val="22"/>
              </w:rPr>
              <w:t>tezoyuca</w:t>
            </w:r>
            <w:proofErr w:type="spellEnd"/>
            <w:r w:rsidR="001D4224" w:rsidRPr="000B3717">
              <w:rPr>
                <w:i/>
                <w:szCs w:val="22"/>
              </w:rPr>
              <w:t xml:space="preserve"> del </w:t>
            </w:r>
            <w:r w:rsidR="001D4224" w:rsidRPr="000B3717">
              <w:rPr>
                <w:b/>
                <w:i/>
                <w:szCs w:val="22"/>
              </w:rPr>
              <w:t>2022 a 2024</w:t>
            </w:r>
            <w:r w:rsidR="00947134" w:rsidRPr="000B3717">
              <w:rPr>
                <w:i/>
                <w:szCs w:val="22"/>
              </w:rPr>
              <w:t>”</w:t>
            </w:r>
            <w:r w:rsidR="000C6C4B" w:rsidRPr="000B3717">
              <w:rPr>
                <w:i/>
                <w:szCs w:val="22"/>
              </w:rPr>
              <w:t xml:space="preserve"> </w:t>
            </w:r>
            <w:r w:rsidR="000C6C4B" w:rsidRPr="000B3717">
              <w:rPr>
                <w:szCs w:val="22"/>
              </w:rPr>
              <w:t>(Sic).</w:t>
            </w:r>
          </w:p>
        </w:tc>
      </w:tr>
    </w:tbl>
    <w:p w14:paraId="457F1F6B" w14:textId="77777777" w:rsidR="000C6C4B" w:rsidRPr="000B3717" w:rsidRDefault="000C6C4B" w:rsidP="000B3717">
      <w:pPr>
        <w:tabs>
          <w:tab w:val="left" w:pos="4667"/>
        </w:tabs>
        <w:ind w:right="567"/>
        <w:rPr>
          <w:rFonts w:cs="Tahoma"/>
          <w:b/>
          <w:bCs/>
          <w:szCs w:val="22"/>
        </w:rPr>
      </w:pPr>
    </w:p>
    <w:p w14:paraId="0BD6321D" w14:textId="56D9ABBC" w:rsidR="00664420" w:rsidRPr="000B3717" w:rsidRDefault="009A2D78" w:rsidP="000B3717">
      <w:pPr>
        <w:tabs>
          <w:tab w:val="left" w:pos="4667"/>
        </w:tabs>
        <w:ind w:right="567"/>
        <w:rPr>
          <w:rFonts w:cs="Tahoma"/>
          <w:bCs/>
          <w:szCs w:val="22"/>
        </w:rPr>
      </w:pPr>
      <w:r w:rsidRPr="000B3717">
        <w:rPr>
          <w:rFonts w:cs="Tahoma"/>
          <w:b/>
          <w:bCs/>
          <w:szCs w:val="22"/>
        </w:rPr>
        <w:t>Modalidad de entrega</w:t>
      </w:r>
      <w:r w:rsidRPr="000B3717">
        <w:rPr>
          <w:rFonts w:cs="Tahoma"/>
          <w:bCs/>
          <w:szCs w:val="22"/>
        </w:rPr>
        <w:t>: a</w:t>
      </w:r>
      <w:r w:rsidR="00664420" w:rsidRPr="000B3717">
        <w:rPr>
          <w:rFonts w:cs="Tahoma"/>
          <w:bCs/>
          <w:szCs w:val="22"/>
        </w:rPr>
        <w:t xml:space="preserve"> través del SAIMEX</w:t>
      </w:r>
      <w:r w:rsidRPr="000B3717">
        <w:rPr>
          <w:rFonts w:cs="Tahoma"/>
          <w:bCs/>
          <w:szCs w:val="22"/>
        </w:rPr>
        <w:t>.</w:t>
      </w:r>
    </w:p>
    <w:p w14:paraId="2C4045D7" w14:textId="77777777" w:rsidR="00AF03C4" w:rsidRPr="000B3717" w:rsidRDefault="00AF03C4" w:rsidP="000B3717">
      <w:pPr>
        <w:rPr>
          <w:szCs w:val="22"/>
          <w:lang w:val="es-ES"/>
        </w:rPr>
      </w:pPr>
    </w:p>
    <w:p w14:paraId="60E7B614" w14:textId="2AAF68C5" w:rsidR="00871A57" w:rsidRPr="000B3717" w:rsidRDefault="00871A57" w:rsidP="000B3717">
      <w:pPr>
        <w:pStyle w:val="Ttulo3"/>
        <w:rPr>
          <w:szCs w:val="22"/>
        </w:rPr>
      </w:pPr>
      <w:bookmarkStart w:id="5" w:name="_Toc172136606"/>
      <w:bookmarkStart w:id="6" w:name="_Toc181272183"/>
      <w:r w:rsidRPr="000B3717">
        <w:rPr>
          <w:szCs w:val="22"/>
        </w:rPr>
        <w:t>b) Turno de las solicitudes de información.</w:t>
      </w:r>
      <w:bookmarkEnd w:id="5"/>
      <w:bookmarkEnd w:id="6"/>
    </w:p>
    <w:p w14:paraId="61AB1CD0" w14:textId="32276736" w:rsidR="00871A57" w:rsidRPr="000B3717" w:rsidRDefault="00871A57" w:rsidP="000B3717">
      <w:pPr>
        <w:rPr>
          <w:szCs w:val="22"/>
        </w:rPr>
      </w:pPr>
      <w:r w:rsidRPr="000B3717">
        <w:rPr>
          <w:szCs w:val="22"/>
        </w:rPr>
        <w:t xml:space="preserve">En cumplimiento al artículo 162 de la Ley de Transparencia y Acceso a la Información Pública del Estado de México y Municipios, el </w:t>
      </w:r>
      <w:r w:rsidR="001D4224" w:rsidRPr="000B3717">
        <w:rPr>
          <w:rFonts w:eastAsia="Palatino Linotype" w:cs="Palatino Linotype"/>
          <w:b/>
          <w:szCs w:val="22"/>
        </w:rPr>
        <w:t>trece</w:t>
      </w:r>
      <w:r w:rsidR="002352B5" w:rsidRPr="000B3717">
        <w:rPr>
          <w:rFonts w:eastAsia="Palatino Linotype" w:cs="Palatino Linotype"/>
          <w:b/>
          <w:szCs w:val="22"/>
        </w:rPr>
        <w:t xml:space="preserve"> </w:t>
      </w:r>
      <w:r w:rsidR="004D3411" w:rsidRPr="000B3717">
        <w:rPr>
          <w:rFonts w:eastAsia="Palatino Linotype" w:cs="Palatino Linotype"/>
          <w:b/>
          <w:szCs w:val="22"/>
        </w:rPr>
        <w:t xml:space="preserve">de </w:t>
      </w:r>
      <w:r w:rsidR="00534BC4" w:rsidRPr="000B3717">
        <w:rPr>
          <w:rFonts w:eastAsia="Palatino Linotype" w:cs="Palatino Linotype"/>
          <w:b/>
          <w:szCs w:val="22"/>
        </w:rPr>
        <w:t>septiembre</w:t>
      </w:r>
      <w:r w:rsidR="004D3411" w:rsidRPr="000B3717">
        <w:rPr>
          <w:rFonts w:eastAsia="Palatino Linotype" w:cs="Palatino Linotype"/>
          <w:b/>
          <w:szCs w:val="22"/>
        </w:rPr>
        <w:t xml:space="preserve"> </w:t>
      </w:r>
      <w:r w:rsidRPr="000B3717">
        <w:rPr>
          <w:rFonts w:eastAsia="Palatino Linotype" w:cs="Palatino Linotype"/>
          <w:b/>
          <w:szCs w:val="22"/>
        </w:rPr>
        <w:t xml:space="preserve">de dos mil </w:t>
      </w:r>
      <w:r w:rsidR="00A0307E" w:rsidRPr="000B3717">
        <w:rPr>
          <w:rFonts w:eastAsia="Palatino Linotype" w:cs="Palatino Linotype"/>
          <w:b/>
          <w:szCs w:val="22"/>
        </w:rPr>
        <w:t>veinticuatro</w:t>
      </w:r>
      <w:r w:rsidRPr="000B3717">
        <w:rPr>
          <w:rFonts w:eastAsia="Palatino Linotype" w:cs="Palatino Linotype"/>
          <w:b/>
          <w:szCs w:val="22"/>
        </w:rPr>
        <w:t>,</w:t>
      </w:r>
      <w:r w:rsidRPr="000B3717">
        <w:rPr>
          <w:szCs w:val="22"/>
        </w:rPr>
        <w:t xml:space="preserve"> el Titular de la Unidad de Transparencia del </w:t>
      </w:r>
      <w:r w:rsidRPr="000B3717">
        <w:rPr>
          <w:b/>
          <w:szCs w:val="22"/>
        </w:rPr>
        <w:t>SUJETO OBLIGADO</w:t>
      </w:r>
      <w:r w:rsidRPr="000B3717">
        <w:rPr>
          <w:szCs w:val="22"/>
        </w:rPr>
        <w:t xml:space="preserve"> turnó las solicitudes de información a</w:t>
      </w:r>
      <w:r w:rsidR="004D3411" w:rsidRPr="000B3717">
        <w:rPr>
          <w:szCs w:val="22"/>
        </w:rPr>
        <w:t xml:space="preserve"> </w:t>
      </w:r>
      <w:r w:rsidR="001D4224" w:rsidRPr="000B3717">
        <w:rPr>
          <w:szCs w:val="22"/>
        </w:rPr>
        <w:t>los</w:t>
      </w:r>
      <w:r w:rsidRPr="000B3717">
        <w:rPr>
          <w:szCs w:val="22"/>
        </w:rPr>
        <w:t xml:space="preserve"> servidor</w:t>
      </w:r>
      <w:r w:rsidR="001D4224" w:rsidRPr="000B3717">
        <w:rPr>
          <w:szCs w:val="22"/>
        </w:rPr>
        <w:t>es públicos</w:t>
      </w:r>
      <w:r w:rsidRPr="000B3717">
        <w:rPr>
          <w:szCs w:val="22"/>
        </w:rPr>
        <w:t xml:space="preserve"> que estimó pertinente</w:t>
      </w:r>
      <w:r w:rsidR="001D4224" w:rsidRPr="000B3717">
        <w:rPr>
          <w:szCs w:val="22"/>
        </w:rPr>
        <w:t>s</w:t>
      </w:r>
      <w:r w:rsidRPr="000B3717">
        <w:rPr>
          <w:szCs w:val="22"/>
        </w:rPr>
        <w:t>.</w:t>
      </w:r>
    </w:p>
    <w:p w14:paraId="31355D83" w14:textId="77777777" w:rsidR="00534BC4" w:rsidRPr="000B3717" w:rsidRDefault="00534BC4" w:rsidP="000B3717"/>
    <w:p w14:paraId="3212BA4D" w14:textId="49EFDE20" w:rsidR="00664420" w:rsidRPr="000B3717" w:rsidRDefault="007D4082" w:rsidP="000B3717">
      <w:pPr>
        <w:pStyle w:val="Ttulo3"/>
        <w:rPr>
          <w:rFonts w:eastAsia="Calibri"/>
          <w:szCs w:val="22"/>
          <w:lang w:eastAsia="en-US"/>
        </w:rPr>
      </w:pPr>
      <w:bookmarkStart w:id="7" w:name="_Toc181272184"/>
      <w:r w:rsidRPr="000B3717">
        <w:rPr>
          <w:szCs w:val="22"/>
          <w:lang w:val="es-ES"/>
        </w:rPr>
        <w:t>c</w:t>
      </w:r>
      <w:r w:rsidR="00E37A3F" w:rsidRPr="000B3717">
        <w:rPr>
          <w:szCs w:val="22"/>
          <w:lang w:val="es-ES"/>
        </w:rPr>
        <w:t xml:space="preserve">) </w:t>
      </w:r>
      <w:r w:rsidR="00664420" w:rsidRPr="000B3717">
        <w:rPr>
          <w:szCs w:val="22"/>
          <w:lang w:val="es-ES"/>
        </w:rPr>
        <w:t>Respuesta</w:t>
      </w:r>
      <w:r w:rsidR="00947134" w:rsidRPr="000B3717">
        <w:rPr>
          <w:szCs w:val="22"/>
          <w:lang w:val="es-ES"/>
        </w:rPr>
        <w:t>s</w:t>
      </w:r>
      <w:r w:rsidR="00664420" w:rsidRPr="000B3717">
        <w:rPr>
          <w:szCs w:val="22"/>
          <w:lang w:val="es-ES"/>
        </w:rPr>
        <w:t xml:space="preserve"> </w:t>
      </w:r>
      <w:r w:rsidR="00664420" w:rsidRPr="000B3717">
        <w:rPr>
          <w:rFonts w:eastAsia="Calibri"/>
          <w:szCs w:val="22"/>
          <w:lang w:eastAsia="en-US"/>
        </w:rPr>
        <w:t>del Sujeto Obligado</w:t>
      </w:r>
      <w:r w:rsidR="00A7290A" w:rsidRPr="000B3717">
        <w:rPr>
          <w:rFonts w:eastAsia="Calibri"/>
          <w:szCs w:val="22"/>
          <w:lang w:eastAsia="en-US"/>
        </w:rPr>
        <w:t>.</w:t>
      </w:r>
      <w:bookmarkEnd w:id="7"/>
    </w:p>
    <w:p w14:paraId="3783644C" w14:textId="7FEFA1D1" w:rsidR="00AD1D93" w:rsidRPr="000B3717" w:rsidRDefault="00FE1818" w:rsidP="000B3717">
      <w:pPr>
        <w:pBdr>
          <w:top w:val="nil"/>
          <w:left w:val="nil"/>
          <w:bottom w:val="nil"/>
          <w:right w:val="nil"/>
          <w:between w:val="nil"/>
        </w:pBdr>
        <w:rPr>
          <w:rFonts w:eastAsia="Palatino Linotype" w:cs="Palatino Linotype"/>
          <w:szCs w:val="22"/>
        </w:rPr>
      </w:pPr>
      <w:r w:rsidRPr="000B3717">
        <w:rPr>
          <w:rFonts w:eastAsia="Palatino Linotype" w:cs="Palatino Linotype"/>
          <w:szCs w:val="22"/>
        </w:rPr>
        <w:t xml:space="preserve">El </w:t>
      </w:r>
      <w:r w:rsidR="001D4224" w:rsidRPr="000B3717">
        <w:rPr>
          <w:rFonts w:eastAsia="Palatino Linotype" w:cs="Palatino Linotype"/>
          <w:b/>
          <w:szCs w:val="22"/>
        </w:rPr>
        <w:t>cuatro</w:t>
      </w:r>
      <w:r w:rsidR="002352B5" w:rsidRPr="000B3717">
        <w:rPr>
          <w:rFonts w:eastAsia="Palatino Linotype" w:cs="Palatino Linotype"/>
          <w:b/>
          <w:szCs w:val="22"/>
        </w:rPr>
        <w:t xml:space="preserve"> </w:t>
      </w:r>
      <w:r w:rsidRPr="000B3717">
        <w:rPr>
          <w:rFonts w:eastAsia="Palatino Linotype" w:cs="Palatino Linotype"/>
          <w:b/>
          <w:szCs w:val="22"/>
        </w:rPr>
        <w:t xml:space="preserve">de </w:t>
      </w:r>
      <w:r w:rsidR="001D4224" w:rsidRPr="000B3717">
        <w:rPr>
          <w:rFonts w:eastAsia="Palatino Linotype" w:cs="Palatino Linotype"/>
          <w:b/>
          <w:szCs w:val="22"/>
        </w:rPr>
        <w:t>octubre</w:t>
      </w:r>
      <w:r w:rsidRPr="000B3717">
        <w:rPr>
          <w:rFonts w:eastAsia="Palatino Linotype" w:cs="Palatino Linotype"/>
          <w:b/>
          <w:szCs w:val="22"/>
        </w:rPr>
        <w:t xml:space="preserve"> de dos mil </w:t>
      </w:r>
      <w:r w:rsidR="002352B5" w:rsidRPr="000B3717">
        <w:rPr>
          <w:rFonts w:eastAsia="Palatino Linotype" w:cs="Palatino Linotype"/>
          <w:b/>
          <w:szCs w:val="22"/>
        </w:rPr>
        <w:t>veinticuatro</w:t>
      </w:r>
      <w:r w:rsidRPr="000B3717">
        <w:rPr>
          <w:rFonts w:eastAsia="Palatino Linotype" w:cs="Palatino Linotype"/>
          <w:b/>
          <w:szCs w:val="22"/>
        </w:rPr>
        <w:t>,</w:t>
      </w:r>
      <w:r w:rsidRPr="000B3717">
        <w:rPr>
          <w:rFonts w:eastAsia="Palatino Linotype" w:cs="Palatino Linotype"/>
          <w:szCs w:val="22"/>
        </w:rPr>
        <w:t xml:space="preserve"> el Titular de la Unidad de Transparencia del </w:t>
      </w:r>
      <w:r w:rsidRPr="000B3717">
        <w:rPr>
          <w:rFonts w:eastAsia="Palatino Linotype" w:cs="Palatino Linotype"/>
          <w:b/>
          <w:szCs w:val="22"/>
        </w:rPr>
        <w:t>SUJETO OBLIGADO</w:t>
      </w:r>
      <w:r w:rsidRPr="000B3717">
        <w:rPr>
          <w:rFonts w:eastAsia="Palatino Linotype" w:cs="Palatino Linotype"/>
          <w:szCs w:val="22"/>
        </w:rPr>
        <w:t xml:space="preserve"> notificó la</w:t>
      </w:r>
      <w:r w:rsidR="007C65D0" w:rsidRPr="000B3717">
        <w:rPr>
          <w:rFonts w:eastAsia="Palatino Linotype" w:cs="Palatino Linotype"/>
          <w:szCs w:val="22"/>
        </w:rPr>
        <w:t>s</w:t>
      </w:r>
      <w:r w:rsidRPr="000B3717">
        <w:rPr>
          <w:rFonts w:eastAsia="Palatino Linotype" w:cs="Palatino Linotype"/>
          <w:szCs w:val="22"/>
        </w:rPr>
        <w:t xml:space="preserve"> siguiente</w:t>
      </w:r>
      <w:r w:rsidR="007C65D0" w:rsidRPr="000B3717">
        <w:rPr>
          <w:rFonts w:eastAsia="Palatino Linotype" w:cs="Palatino Linotype"/>
          <w:szCs w:val="22"/>
        </w:rPr>
        <w:t xml:space="preserve">s respuestas </w:t>
      </w:r>
      <w:r w:rsidR="00781217" w:rsidRPr="000B3717">
        <w:rPr>
          <w:rFonts w:eastAsia="Palatino Linotype" w:cs="Palatino Linotype"/>
          <w:szCs w:val="22"/>
        </w:rPr>
        <w:t>de manera homologada a través del SAIMEX, en los siguientes términos:</w:t>
      </w:r>
    </w:p>
    <w:p w14:paraId="558151F7" w14:textId="77777777" w:rsidR="00781217" w:rsidRPr="000B3717" w:rsidRDefault="00781217" w:rsidP="000B3717">
      <w:pPr>
        <w:pBdr>
          <w:top w:val="nil"/>
          <w:left w:val="nil"/>
          <w:bottom w:val="nil"/>
          <w:right w:val="nil"/>
          <w:between w:val="nil"/>
        </w:pBdr>
        <w:rPr>
          <w:rFonts w:eastAsia="Palatino Linotype" w:cs="Palatino Linotype"/>
          <w:szCs w:val="22"/>
        </w:rPr>
      </w:pPr>
    </w:p>
    <w:p w14:paraId="6BD0F8C8" w14:textId="71313F91" w:rsidR="001D4224" w:rsidRPr="000B3717" w:rsidRDefault="004D3411" w:rsidP="000B3717">
      <w:pPr>
        <w:pStyle w:val="Puesto"/>
      </w:pPr>
      <w:r w:rsidRPr="000B3717">
        <w:t>“</w:t>
      </w:r>
      <w:r w:rsidR="001D4224" w:rsidRPr="000B3717">
        <w:t>…</w:t>
      </w:r>
    </w:p>
    <w:p w14:paraId="4AE4F74F" w14:textId="77777777" w:rsidR="001D4224" w:rsidRPr="000B3717" w:rsidRDefault="001D4224" w:rsidP="000B3717">
      <w:pPr>
        <w:pStyle w:val="Puesto"/>
      </w:pPr>
      <w:r w:rsidRPr="000B3717">
        <w:t>En respuesta a la solicitud recibida, nos permitimos hacer de su conocimiento que con fundamento en el artículo 53, Fracciones: II, V y VI de la Ley de Transparencia y Acceso a la Información Pública del Estado de México y Municipios, le contestamos que:</w:t>
      </w:r>
    </w:p>
    <w:p w14:paraId="1F405D5A" w14:textId="77777777" w:rsidR="00BB3018" w:rsidRPr="000B3717" w:rsidRDefault="00BB3018" w:rsidP="000B3717"/>
    <w:p w14:paraId="104923BB" w14:textId="4CF065D8" w:rsidR="004D3411" w:rsidRPr="000B3717" w:rsidRDefault="001D4224" w:rsidP="000B3717">
      <w:pPr>
        <w:pStyle w:val="Puesto"/>
      </w:pPr>
      <w:r w:rsidRPr="000B3717">
        <w:t xml:space="preserve">La que suscribe, Lic. Mayra Patricia Capistran Estrada, Directora de la Unidad de Transparencia del H. Ayuntamiento de Tezoyuca, Estado de México; por medio de la </w:t>
      </w:r>
      <w:r w:rsidRPr="000B3717">
        <w:lastRenderedPageBreak/>
        <w:t xml:space="preserve">presente me permito informarle que esta Unidad realizó lo pertinente para dar una debida contestación en tiempo y forma, pero </w:t>
      </w:r>
      <w:r w:rsidRPr="000B3717">
        <w:rPr>
          <w:b/>
        </w:rPr>
        <w:t>hasta el momento su solicitud sigue en trámite</w:t>
      </w:r>
      <w:r w:rsidRPr="000B3717">
        <w:t>. Sin más por el momento, me despido de Usted, quedando a sus órdenes.</w:t>
      </w:r>
      <w:r w:rsidR="004D3411" w:rsidRPr="000B3717">
        <w:t>”</w:t>
      </w:r>
    </w:p>
    <w:p w14:paraId="52460699" w14:textId="77777777" w:rsidR="00664420" w:rsidRPr="000B3717" w:rsidRDefault="00664420" w:rsidP="000B3717">
      <w:pPr>
        <w:autoSpaceDE w:val="0"/>
        <w:autoSpaceDN w:val="0"/>
        <w:adjustRightInd w:val="0"/>
        <w:ind w:right="-28"/>
        <w:rPr>
          <w:rFonts w:cs="Tahoma"/>
          <w:bCs/>
          <w:szCs w:val="22"/>
          <w:lang w:val="es-ES"/>
        </w:rPr>
      </w:pPr>
    </w:p>
    <w:p w14:paraId="5A5DAB9E" w14:textId="77777777" w:rsidR="00E37A3F" w:rsidRPr="000B3717" w:rsidRDefault="00E37A3F" w:rsidP="000B3717">
      <w:pPr>
        <w:pStyle w:val="Ttulo2"/>
        <w:jc w:val="left"/>
        <w:rPr>
          <w:szCs w:val="22"/>
        </w:rPr>
      </w:pPr>
      <w:bookmarkStart w:id="8" w:name="_Toc181272185"/>
      <w:r w:rsidRPr="000B3717">
        <w:rPr>
          <w:szCs w:val="22"/>
        </w:rPr>
        <w:t>DEL RECURSO DE REVISIÓN</w:t>
      </w:r>
      <w:bookmarkEnd w:id="8"/>
    </w:p>
    <w:p w14:paraId="2B216813" w14:textId="15039AEE" w:rsidR="00664420" w:rsidRPr="000B3717" w:rsidRDefault="000E03AE" w:rsidP="000B3717">
      <w:pPr>
        <w:pStyle w:val="Ttulo3"/>
        <w:rPr>
          <w:szCs w:val="22"/>
        </w:rPr>
      </w:pPr>
      <w:bookmarkStart w:id="9" w:name="_Toc181272186"/>
      <w:r w:rsidRPr="000B3717">
        <w:rPr>
          <w:szCs w:val="22"/>
        </w:rPr>
        <w:t>a</w:t>
      </w:r>
      <w:r w:rsidR="006E25BC" w:rsidRPr="000B3717">
        <w:rPr>
          <w:szCs w:val="22"/>
        </w:rPr>
        <w:t xml:space="preserve">) </w:t>
      </w:r>
      <w:r w:rsidR="00664420" w:rsidRPr="000B3717">
        <w:rPr>
          <w:szCs w:val="22"/>
        </w:rPr>
        <w:t>Interposición de</w:t>
      </w:r>
      <w:r w:rsidR="008C1676" w:rsidRPr="000B3717">
        <w:rPr>
          <w:szCs w:val="22"/>
        </w:rPr>
        <w:t xml:space="preserve"> </w:t>
      </w:r>
      <w:r w:rsidR="00664420" w:rsidRPr="000B3717">
        <w:rPr>
          <w:szCs w:val="22"/>
        </w:rPr>
        <w:t>l</w:t>
      </w:r>
      <w:r w:rsidR="008C1676" w:rsidRPr="000B3717">
        <w:rPr>
          <w:szCs w:val="22"/>
        </w:rPr>
        <w:t>os</w:t>
      </w:r>
      <w:r w:rsidR="00664420" w:rsidRPr="000B3717">
        <w:rPr>
          <w:szCs w:val="22"/>
        </w:rPr>
        <w:t xml:space="preserve"> Recurso</w:t>
      </w:r>
      <w:r w:rsidR="008C1676" w:rsidRPr="000B3717">
        <w:rPr>
          <w:szCs w:val="22"/>
        </w:rPr>
        <w:t>s</w:t>
      </w:r>
      <w:r w:rsidR="00664420" w:rsidRPr="000B3717">
        <w:rPr>
          <w:szCs w:val="22"/>
        </w:rPr>
        <w:t xml:space="preserve"> de Revisión</w:t>
      </w:r>
      <w:r w:rsidR="004A4FD1" w:rsidRPr="000B3717">
        <w:rPr>
          <w:szCs w:val="22"/>
        </w:rPr>
        <w:t>.</w:t>
      </w:r>
      <w:bookmarkEnd w:id="9"/>
    </w:p>
    <w:p w14:paraId="61FF57ED" w14:textId="78EC6A2C" w:rsidR="004B4047" w:rsidRPr="000B3717" w:rsidRDefault="00664420" w:rsidP="000B3717">
      <w:pPr>
        <w:autoSpaceDE w:val="0"/>
        <w:autoSpaceDN w:val="0"/>
        <w:adjustRightInd w:val="0"/>
        <w:ind w:right="-28"/>
        <w:rPr>
          <w:rFonts w:cs="Tahoma"/>
          <w:szCs w:val="22"/>
        </w:rPr>
      </w:pPr>
      <w:r w:rsidRPr="000B3717">
        <w:rPr>
          <w:rFonts w:cs="Tahoma"/>
          <w:szCs w:val="22"/>
        </w:rPr>
        <w:t xml:space="preserve">El </w:t>
      </w:r>
      <w:r w:rsidR="00495492" w:rsidRPr="000B3717">
        <w:rPr>
          <w:rFonts w:cs="Tahoma"/>
          <w:b/>
          <w:bCs/>
          <w:szCs w:val="22"/>
        </w:rPr>
        <w:t>siete</w:t>
      </w:r>
      <w:r w:rsidR="002352B5" w:rsidRPr="000B3717">
        <w:rPr>
          <w:rFonts w:cs="Tahoma"/>
          <w:b/>
          <w:bCs/>
          <w:szCs w:val="22"/>
        </w:rPr>
        <w:t xml:space="preserve"> de </w:t>
      </w:r>
      <w:r w:rsidR="001D4224" w:rsidRPr="000B3717">
        <w:rPr>
          <w:rFonts w:cs="Tahoma"/>
          <w:b/>
          <w:bCs/>
          <w:szCs w:val="22"/>
        </w:rPr>
        <w:t>octubre</w:t>
      </w:r>
      <w:r w:rsidR="002352B5" w:rsidRPr="000B3717">
        <w:rPr>
          <w:rFonts w:cs="Tahoma"/>
          <w:b/>
          <w:bCs/>
          <w:szCs w:val="22"/>
        </w:rPr>
        <w:t xml:space="preserve"> </w:t>
      </w:r>
      <w:r w:rsidRPr="000B3717">
        <w:rPr>
          <w:rFonts w:cs="Tahoma"/>
          <w:b/>
          <w:bCs/>
          <w:szCs w:val="22"/>
        </w:rPr>
        <w:t xml:space="preserve">de dos mil </w:t>
      </w:r>
      <w:r w:rsidR="004A4FD1" w:rsidRPr="000B3717">
        <w:rPr>
          <w:rFonts w:cs="Tahoma"/>
          <w:b/>
          <w:bCs/>
          <w:szCs w:val="22"/>
        </w:rPr>
        <w:t>veinticuatro</w:t>
      </w:r>
      <w:r w:rsidR="00495492" w:rsidRPr="000B3717">
        <w:rPr>
          <w:rStyle w:val="Refdenotaalpie"/>
          <w:rFonts w:cs="Tahoma"/>
          <w:b/>
          <w:bCs/>
          <w:szCs w:val="22"/>
        </w:rPr>
        <w:footnoteReference w:id="1"/>
      </w:r>
      <w:r w:rsidR="004A4FD1" w:rsidRPr="000B3717">
        <w:rPr>
          <w:rFonts w:cs="Tahoma"/>
          <w:b/>
          <w:bCs/>
          <w:szCs w:val="22"/>
        </w:rPr>
        <w:t>,</w:t>
      </w:r>
      <w:r w:rsidRPr="000B3717">
        <w:rPr>
          <w:rFonts w:cs="Tahoma"/>
          <w:szCs w:val="22"/>
        </w:rPr>
        <w:t xml:space="preserve"> </w:t>
      </w:r>
      <w:r w:rsidR="00F75D23" w:rsidRPr="000B3717">
        <w:rPr>
          <w:rFonts w:cs="Tahoma"/>
          <w:b/>
          <w:bCs/>
          <w:szCs w:val="22"/>
        </w:rPr>
        <w:t>LA PARTE RECURRENTE</w:t>
      </w:r>
      <w:r w:rsidR="00F75D23" w:rsidRPr="000B3717">
        <w:rPr>
          <w:rFonts w:cs="Tahoma"/>
          <w:szCs w:val="22"/>
        </w:rPr>
        <w:t xml:space="preserve"> interpuso </w:t>
      </w:r>
      <w:r w:rsidR="002352B5" w:rsidRPr="000B3717">
        <w:rPr>
          <w:rFonts w:cs="Tahoma"/>
          <w:szCs w:val="22"/>
        </w:rPr>
        <w:t>los recursos</w:t>
      </w:r>
      <w:r w:rsidR="00F75D23" w:rsidRPr="000B3717">
        <w:rPr>
          <w:rFonts w:cs="Tahoma"/>
          <w:szCs w:val="22"/>
        </w:rPr>
        <w:t xml:space="preserve"> de revisión en contra de la</w:t>
      </w:r>
      <w:r w:rsidR="005B7DDA" w:rsidRPr="000B3717">
        <w:rPr>
          <w:rFonts w:cs="Tahoma"/>
          <w:szCs w:val="22"/>
        </w:rPr>
        <w:t>s</w:t>
      </w:r>
      <w:r w:rsidR="00F75D23" w:rsidRPr="000B3717">
        <w:rPr>
          <w:rFonts w:cs="Tahoma"/>
          <w:szCs w:val="22"/>
        </w:rPr>
        <w:t xml:space="preserve"> respuesta</w:t>
      </w:r>
      <w:r w:rsidR="005B7DDA" w:rsidRPr="000B3717">
        <w:rPr>
          <w:rFonts w:cs="Tahoma"/>
          <w:szCs w:val="22"/>
        </w:rPr>
        <w:t>s</w:t>
      </w:r>
      <w:r w:rsidR="00F75D23" w:rsidRPr="000B3717">
        <w:rPr>
          <w:rFonts w:cs="Tahoma"/>
          <w:szCs w:val="22"/>
        </w:rPr>
        <w:t xml:space="preserve"> emitida</w:t>
      </w:r>
      <w:r w:rsidR="005B7DDA" w:rsidRPr="000B3717">
        <w:rPr>
          <w:rFonts w:cs="Tahoma"/>
          <w:szCs w:val="22"/>
        </w:rPr>
        <w:t>s</w:t>
      </w:r>
      <w:r w:rsidR="00F75D23" w:rsidRPr="000B3717">
        <w:rPr>
          <w:rFonts w:cs="Tahoma"/>
          <w:szCs w:val="22"/>
        </w:rPr>
        <w:t xml:space="preserve"> por el </w:t>
      </w:r>
      <w:r w:rsidR="00F75D23" w:rsidRPr="000B3717">
        <w:rPr>
          <w:rFonts w:cs="Tahoma"/>
          <w:b/>
          <w:bCs/>
          <w:szCs w:val="22"/>
        </w:rPr>
        <w:t>SUJETO OBLIGADO</w:t>
      </w:r>
      <w:r w:rsidR="00953430" w:rsidRPr="000B3717">
        <w:rPr>
          <w:rFonts w:cs="Tahoma"/>
          <w:szCs w:val="22"/>
        </w:rPr>
        <w:t>, mismo</w:t>
      </w:r>
      <w:r w:rsidR="005B7DDA" w:rsidRPr="000B3717">
        <w:rPr>
          <w:rFonts w:cs="Tahoma"/>
          <w:szCs w:val="22"/>
        </w:rPr>
        <w:t>s</w:t>
      </w:r>
      <w:r w:rsidR="00953430" w:rsidRPr="000B3717">
        <w:rPr>
          <w:rFonts w:cs="Tahoma"/>
          <w:szCs w:val="22"/>
        </w:rPr>
        <w:t xml:space="preserve"> que fue</w:t>
      </w:r>
      <w:r w:rsidR="005B7DDA" w:rsidRPr="000B3717">
        <w:rPr>
          <w:rFonts w:cs="Tahoma"/>
          <w:szCs w:val="22"/>
        </w:rPr>
        <w:t>ron</w:t>
      </w:r>
      <w:r w:rsidR="00953430" w:rsidRPr="000B3717">
        <w:rPr>
          <w:rFonts w:cs="Tahoma"/>
          <w:szCs w:val="22"/>
        </w:rPr>
        <w:t xml:space="preserve"> registrado</w:t>
      </w:r>
      <w:r w:rsidR="005B7DDA" w:rsidRPr="000B3717">
        <w:rPr>
          <w:rFonts w:cs="Tahoma"/>
          <w:szCs w:val="22"/>
        </w:rPr>
        <w:t>s</w:t>
      </w:r>
      <w:r w:rsidR="00953430" w:rsidRPr="000B3717">
        <w:rPr>
          <w:rFonts w:cs="Tahoma"/>
          <w:szCs w:val="22"/>
        </w:rPr>
        <w:t xml:space="preserve"> en el SAIMEX con </w:t>
      </w:r>
      <w:r w:rsidR="008C1676" w:rsidRPr="000B3717">
        <w:rPr>
          <w:rFonts w:cs="Tahoma"/>
          <w:szCs w:val="22"/>
        </w:rPr>
        <w:t>los</w:t>
      </w:r>
      <w:r w:rsidR="00953430" w:rsidRPr="000B3717">
        <w:rPr>
          <w:rFonts w:cs="Tahoma"/>
          <w:szCs w:val="22"/>
        </w:rPr>
        <w:t xml:space="preserve"> número</w:t>
      </w:r>
      <w:r w:rsidR="008C1676" w:rsidRPr="000B3717">
        <w:rPr>
          <w:rFonts w:cs="Tahoma"/>
          <w:szCs w:val="22"/>
        </w:rPr>
        <w:t>s</w:t>
      </w:r>
      <w:r w:rsidR="00953430" w:rsidRPr="000B3717">
        <w:rPr>
          <w:rFonts w:cs="Tahoma"/>
          <w:szCs w:val="22"/>
        </w:rPr>
        <w:t xml:space="preserve"> de expediente</w:t>
      </w:r>
      <w:r w:rsidR="008C1676" w:rsidRPr="000B3717">
        <w:rPr>
          <w:rFonts w:cs="Tahoma"/>
          <w:szCs w:val="22"/>
        </w:rPr>
        <w:t>s</w:t>
      </w:r>
      <w:r w:rsidR="00953430" w:rsidRPr="000B3717">
        <w:rPr>
          <w:rFonts w:cs="Tahoma"/>
          <w:szCs w:val="22"/>
        </w:rPr>
        <w:t xml:space="preserve"> </w:t>
      </w:r>
      <w:r w:rsidR="001D4224" w:rsidRPr="000B3717">
        <w:rPr>
          <w:rFonts w:cs="Tahoma"/>
          <w:b/>
          <w:bCs/>
          <w:szCs w:val="22"/>
        </w:rPr>
        <w:t>06032</w:t>
      </w:r>
      <w:r w:rsidR="004B4047" w:rsidRPr="000B3717">
        <w:rPr>
          <w:rFonts w:cs="Tahoma"/>
          <w:b/>
          <w:bCs/>
          <w:szCs w:val="22"/>
        </w:rPr>
        <w:t xml:space="preserve">/INFOEM/IP/RR/2024 </w:t>
      </w:r>
      <w:r w:rsidR="00BC5BF6" w:rsidRPr="000B3717">
        <w:rPr>
          <w:rFonts w:cs="Tahoma"/>
          <w:szCs w:val="22"/>
        </w:rPr>
        <w:t xml:space="preserve">y </w:t>
      </w:r>
      <w:r w:rsidR="001D4224" w:rsidRPr="000B3717">
        <w:rPr>
          <w:rFonts w:cs="Tahoma"/>
          <w:b/>
          <w:bCs/>
          <w:szCs w:val="22"/>
        </w:rPr>
        <w:t>06033</w:t>
      </w:r>
      <w:r w:rsidR="00BC5BF6" w:rsidRPr="000B3717">
        <w:rPr>
          <w:rFonts w:cs="Tahoma"/>
          <w:b/>
          <w:bCs/>
          <w:szCs w:val="22"/>
        </w:rPr>
        <w:t xml:space="preserve">/INFOEM/IP/RR/2024 </w:t>
      </w:r>
      <w:r w:rsidR="00953430" w:rsidRPr="000B3717">
        <w:rPr>
          <w:rFonts w:cs="Tahoma"/>
          <w:szCs w:val="22"/>
        </w:rPr>
        <w:t xml:space="preserve">y en </w:t>
      </w:r>
      <w:r w:rsidR="008E0766" w:rsidRPr="000B3717">
        <w:rPr>
          <w:rFonts w:cs="Tahoma"/>
          <w:szCs w:val="22"/>
        </w:rPr>
        <w:t>los</w:t>
      </w:r>
      <w:r w:rsidR="00953430" w:rsidRPr="000B3717">
        <w:rPr>
          <w:rFonts w:cs="Tahoma"/>
          <w:szCs w:val="22"/>
        </w:rPr>
        <w:t xml:space="preserve"> cual</w:t>
      </w:r>
      <w:r w:rsidR="008E0766" w:rsidRPr="000B3717">
        <w:rPr>
          <w:rFonts w:cs="Tahoma"/>
          <w:szCs w:val="22"/>
        </w:rPr>
        <w:t>es se</w:t>
      </w:r>
      <w:r w:rsidR="004B4047" w:rsidRPr="000B3717">
        <w:rPr>
          <w:rFonts w:cs="Tahoma"/>
          <w:szCs w:val="22"/>
        </w:rPr>
        <w:t xml:space="preserve"> manifestó </w:t>
      </w:r>
      <w:r w:rsidR="00953430" w:rsidRPr="000B3717">
        <w:rPr>
          <w:rFonts w:cs="Tahoma"/>
          <w:szCs w:val="22"/>
        </w:rPr>
        <w:t>lo siguiente</w:t>
      </w:r>
      <w:r w:rsidR="00495492" w:rsidRPr="000B3717">
        <w:rPr>
          <w:rFonts w:cs="Tahoma"/>
          <w:szCs w:val="22"/>
        </w:rPr>
        <w:t>:</w:t>
      </w:r>
    </w:p>
    <w:p w14:paraId="150B3F97" w14:textId="77777777" w:rsidR="00495492" w:rsidRPr="000B3717" w:rsidRDefault="00495492" w:rsidP="000B3717">
      <w:pPr>
        <w:autoSpaceDE w:val="0"/>
        <w:autoSpaceDN w:val="0"/>
        <w:adjustRightInd w:val="0"/>
        <w:ind w:right="-28"/>
        <w:rPr>
          <w:rFonts w:cs="Tahoma"/>
          <w:szCs w:val="22"/>
        </w:rPr>
      </w:pPr>
    </w:p>
    <w:p w14:paraId="60161CEE" w14:textId="623C6D82" w:rsidR="00BC5BF6" w:rsidRPr="000B3717" w:rsidRDefault="00BC5BF6" w:rsidP="000B3717">
      <w:pPr>
        <w:autoSpaceDE w:val="0"/>
        <w:autoSpaceDN w:val="0"/>
        <w:adjustRightInd w:val="0"/>
        <w:ind w:right="-28"/>
        <w:jc w:val="left"/>
        <w:rPr>
          <w:rFonts w:cs="Calibri"/>
          <w:b/>
          <w:szCs w:val="22"/>
        </w:rPr>
      </w:pPr>
      <w:r w:rsidRPr="000B3717">
        <w:rPr>
          <w:rFonts w:cs="Calibri"/>
          <w:b/>
          <w:szCs w:val="22"/>
        </w:rPr>
        <w:t>ACTO IMPUGNADO:</w:t>
      </w:r>
    </w:p>
    <w:p w14:paraId="0349FD99" w14:textId="77777777" w:rsidR="00BB3018" w:rsidRPr="000B3717" w:rsidRDefault="00BB3018" w:rsidP="000B3717">
      <w:pPr>
        <w:autoSpaceDE w:val="0"/>
        <w:autoSpaceDN w:val="0"/>
        <w:adjustRightInd w:val="0"/>
        <w:ind w:right="-28"/>
        <w:jc w:val="left"/>
        <w:rPr>
          <w:rFonts w:cs="Calibri"/>
          <w:b/>
          <w:szCs w:val="22"/>
        </w:rPr>
      </w:pPr>
    </w:p>
    <w:p w14:paraId="1173AE58" w14:textId="67CF415B" w:rsidR="004B4047" w:rsidRPr="000B3717" w:rsidRDefault="00BC5BF6" w:rsidP="000B3717">
      <w:pPr>
        <w:pStyle w:val="Puesto"/>
      </w:pPr>
      <w:r w:rsidRPr="000B3717">
        <w:t>“</w:t>
      </w:r>
      <w:r w:rsidR="001D4224" w:rsidRPr="000B3717">
        <w:t>No se entrega la información tal y como lo estoy solicitando</w:t>
      </w:r>
      <w:r w:rsidRPr="000B3717">
        <w:t xml:space="preserve">” </w:t>
      </w:r>
      <w:r w:rsidR="00495492" w:rsidRPr="000B3717">
        <w:t>(Sic).</w:t>
      </w:r>
    </w:p>
    <w:p w14:paraId="6B933D2C" w14:textId="77777777" w:rsidR="00495492" w:rsidRPr="000B3717" w:rsidRDefault="00495492" w:rsidP="000B3717">
      <w:pPr>
        <w:autoSpaceDE w:val="0"/>
        <w:autoSpaceDN w:val="0"/>
        <w:adjustRightInd w:val="0"/>
        <w:ind w:right="-28"/>
        <w:rPr>
          <w:rFonts w:cs="Calibri"/>
          <w:szCs w:val="22"/>
        </w:rPr>
      </w:pPr>
    </w:p>
    <w:p w14:paraId="43420571" w14:textId="77777777" w:rsidR="00BC5BF6" w:rsidRPr="000B3717" w:rsidRDefault="00BC5BF6" w:rsidP="000B3717">
      <w:pPr>
        <w:autoSpaceDE w:val="0"/>
        <w:autoSpaceDN w:val="0"/>
        <w:adjustRightInd w:val="0"/>
        <w:ind w:right="-28"/>
        <w:jc w:val="left"/>
        <w:rPr>
          <w:rFonts w:cs="Calibri"/>
          <w:b/>
          <w:szCs w:val="22"/>
        </w:rPr>
      </w:pPr>
      <w:r w:rsidRPr="000B3717">
        <w:rPr>
          <w:rFonts w:cs="Calibri"/>
          <w:b/>
          <w:szCs w:val="22"/>
        </w:rPr>
        <w:t>RAZONES O MOTIVOS DE INCONFORMIDAD:</w:t>
      </w:r>
    </w:p>
    <w:p w14:paraId="48927707" w14:textId="77777777" w:rsidR="00BB3018" w:rsidRPr="000B3717" w:rsidRDefault="00BB3018" w:rsidP="000B3717">
      <w:pPr>
        <w:autoSpaceDE w:val="0"/>
        <w:autoSpaceDN w:val="0"/>
        <w:adjustRightInd w:val="0"/>
        <w:ind w:right="-28"/>
        <w:jc w:val="left"/>
        <w:rPr>
          <w:rFonts w:cs="Calibri"/>
          <w:szCs w:val="22"/>
        </w:rPr>
      </w:pPr>
    </w:p>
    <w:p w14:paraId="30BE4B7F" w14:textId="4F8745F1" w:rsidR="00F33426" w:rsidRPr="000B3717" w:rsidRDefault="00BC5BF6" w:rsidP="000B3717">
      <w:pPr>
        <w:pStyle w:val="Puesto"/>
        <w:rPr>
          <w:rFonts w:cs="Tahoma"/>
        </w:rPr>
      </w:pPr>
      <w:r w:rsidRPr="000B3717">
        <w:t>“</w:t>
      </w:r>
      <w:r w:rsidR="001D4224" w:rsidRPr="000B3717">
        <w:t xml:space="preserve">No se hace entrega de la información tal y </w:t>
      </w:r>
      <w:proofErr w:type="spellStart"/>
      <w:r w:rsidR="001D4224" w:rsidRPr="000B3717">
        <w:t>cuál.lo</w:t>
      </w:r>
      <w:proofErr w:type="spellEnd"/>
      <w:r w:rsidR="001D4224" w:rsidRPr="000B3717">
        <w:t xml:space="preserve"> solicito en mi primer solicitud, ya que lo estoy solicitando vía </w:t>
      </w:r>
      <w:proofErr w:type="spellStart"/>
      <w:r w:rsidR="001D4224" w:rsidRPr="000B3717">
        <w:t>saimex</w:t>
      </w:r>
      <w:proofErr w:type="spellEnd"/>
      <w:r w:rsidR="001D4224" w:rsidRPr="000B3717">
        <w:t xml:space="preserve"> </w:t>
      </w:r>
      <w:proofErr w:type="spellStart"/>
      <w:r w:rsidR="001D4224" w:rsidRPr="000B3717">
        <w:t>lastima</w:t>
      </w:r>
      <w:proofErr w:type="spellEnd"/>
      <w:r w:rsidR="001D4224" w:rsidRPr="000B3717">
        <w:t xml:space="preserve"> que la titular de transparencia no sepa leer o evita entregar la información correctamente y asesora erróneamente al realizar un oficio que no tiene validez.</w:t>
      </w:r>
      <w:r w:rsidRPr="000B3717">
        <w:t>” (Sic).</w:t>
      </w:r>
    </w:p>
    <w:p w14:paraId="19A36234" w14:textId="77777777" w:rsidR="004B4047" w:rsidRPr="000B3717" w:rsidRDefault="004B4047" w:rsidP="000B3717">
      <w:pPr>
        <w:tabs>
          <w:tab w:val="left" w:pos="4667"/>
        </w:tabs>
        <w:ind w:right="822"/>
        <w:rPr>
          <w:rFonts w:cs="Tahoma"/>
          <w:b/>
          <w:bCs/>
          <w:szCs w:val="22"/>
        </w:rPr>
      </w:pPr>
    </w:p>
    <w:p w14:paraId="6804DEF1" w14:textId="2D78C906" w:rsidR="00664420" w:rsidRPr="000B3717" w:rsidRDefault="006E25BC" w:rsidP="000B3717">
      <w:pPr>
        <w:pStyle w:val="Ttulo3"/>
        <w:rPr>
          <w:szCs w:val="22"/>
        </w:rPr>
      </w:pPr>
      <w:bookmarkStart w:id="10" w:name="_Toc181272187"/>
      <w:r w:rsidRPr="000B3717">
        <w:rPr>
          <w:szCs w:val="22"/>
        </w:rPr>
        <w:lastRenderedPageBreak/>
        <w:t>b</w:t>
      </w:r>
      <w:r w:rsidR="00664420" w:rsidRPr="000B3717">
        <w:rPr>
          <w:szCs w:val="22"/>
        </w:rPr>
        <w:t>) Turno de</w:t>
      </w:r>
      <w:r w:rsidR="008E0766" w:rsidRPr="000B3717">
        <w:rPr>
          <w:szCs w:val="22"/>
        </w:rPr>
        <w:t xml:space="preserve"> </w:t>
      </w:r>
      <w:r w:rsidR="00664420" w:rsidRPr="000B3717">
        <w:rPr>
          <w:szCs w:val="22"/>
        </w:rPr>
        <w:t>l</w:t>
      </w:r>
      <w:r w:rsidR="008E0766" w:rsidRPr="000B3717">
        <w:rPr>
          <w:szCs w:val="22"/>
        </w:rPr>
        <w:t>os</w:t>
      </w:r>
      <w:r w:rsidR="00664420" w:rsidRPr="000B3717">
        <w:rPr>
          <w:szCs w:val="22"/>
        </w:rPr>
        <w:t xml:space="preserve"> Recurso</w:t>
      </w:r>
      <w:r w:rsidR="008E0766" w:rsidRPr="000B3717">
        <w:rPr>
          <w:szCs w:val="22"/>
        </w:rPr>
        <w:t>s</w:t>
      </w:r>
      <w:r w:rsidR="00664420" w:rsidRPr="000B3717">
        <w:rPr>
          <w:szCs w:val="22"/>
        </w:rPr>
        <w:t xml:space="preserve"> de Revisión</w:t>
      </w:r>
      <w:r w:rsidR="004A4FD1" w:rsidRPr="000B3717">
        <w:rPr>
          <w:szCs w:val="22"/>
        </w:rPr>
        <w:t>.</w:t>
      </w:r>
      <w:bookmarkEnd w:id="10"/>
    </w:p>
    <w:p w14:paraId="1173671B" w14:textId="565523A8" w:rsidR="00C72DAA" w:rsidRPr="000B3717" w:rsidRDefault="00C72DAA" w:rsidP="000B3717">
      <w:pPr>
        <w:rPr>
          <w:szCs w:val="22"/>
        </w:rPr>
      </w:pPr>
      <w:r w:rsidRPr="000B3717">
        <w:rPr>
          <w:szCs w:val="22"/>
        </w:rPr>
        <w:t>Con fundamento en el artículo 185, fracción I de la Ley de Transparencia y Acceso a la Información Pública del Estado de México y Municipios, el</w:t>
      </w:r>
      <w:r w:rsidRPr="000B3717">
        <w:rPr>
          <w:b/>
          <w:bCs/>
          <w:szCs w:val="22"/>
        </w:rPr>
        <w:t xml:space="preserve"> </w:t>
      </w:r>
      <w:r w:rsidR="001D4224" w:rsidRPr="000B3717">
        <w:rPr>
          <w:b/>
          <w:bCs/>
          <w:szCs w:val="22"/>
        </w:rPr>
        <w:t>seis</w:t>
      </w:r>
      <w:r w:rsidR="002352B5" w:rsidRPr="000B3717">
        <w:rPr>
          <w:rFonts w:eastAsia="Palatino Linotype" w:cs="Palatino Linotype"/>
          <w:b/>
          <w:szCs w:val="22"/>
        </w:rPr>
        <w:t xml:space="preserve"> de </w:t>
      </w:r>
      <w:r w:rsidR="001D4224" w:rsidRPr="000B3717">
        <w:rPr>
          <w:rFonts w:eastAsia="Palatino Linotype" w:cs="Palatino Linotype"/>
          <w:b/>
          <w:szCs w:val="22"/>
        </w:rPr>
        <w:t>octubre</w:t>
      </w:r>
      <w:r w:rsidR="002352B5" w:rsidRPr="000B3717">
        <w:rPr>
          <w:rFonts w:eastAsia="Palatino Linotype" w:cs="Palatino Linotype"/>
          <w:b/>
          <w:szCs w:val="22"/>
        </w:rPr>
        <w:t xml:space="preserve"> </w:t>
      </w:r>
      <w:r w:rsidRPr="000B3717">
        <w:rPr>
          <w:rFonts w:eastAsia="Palatino Linotype" w:cs="Palatino Linotype"/>
          <w:b/>
          <w:szCs w:val="22"/>
        </w:rPr>
        <w:t xml:space="preserve">de dos mil </w:t>
      </w:r>
      <w:r w:rsidR="004A4FD1" w:rsidRPr="000B3717">
        <w:rPr>
          <w:rFonts w:eastAsia="Palatino Linotype" w:cs="Palatino Linotype"/>
          <w:b/>
          <w:szCs w:val="22"/>
        </w:rPr>
        <w:t>veinticuatro</w:t>
      </w:r>
      <w:r w:rsidR="005B7DDA" w:rsidRPr="000B3717">
        <w:rPr>
          <w:szCs w:val="22"/>
        </w:rPr>
        <w:t xml:space="preserve"> se turnaron los</w:t>
      </w:r>
      <w:r w:rsidRPr="000B3717">
        <w:rPr>
          <w:szCs w:val="22"/>
        </w:rPr>
        <w:t xml:space="preserve"> recurso</w:t>
      </w:r>
      <w:r w:rsidR="005B7DDA" w:rsidRPr="000B3717">
        <w:rPr>
          <w:szCs w:val="22"/>
        </w:rPr>
        <w:t>s</w:t>
      </w:r>
      <w:r w:rsidRPr="000B3717">
        <w:rPr>
          <w:szCs w:val="22"/>
        </w:rPr>
        <w:t xml:space="preserve"> de revisión a través del</w:t>
      </w:r>
      <w:r w:rsidRPr="000B3717">
        <w:rPr>
          <w:rFonts w:eastAsia="Arial Unicode MS"/>
          <w:szCs w:val="22"/>
        </w:rPr>
        <w:t xml:space="preserve"> </w:t>
      </w:r>
      <w:r w:rsidRPr="000B3717">
        <w:rPr>
          <w:rFonts w:eastAsia="Arial Unicode MS"/>
          <w:bCs/>
          <w:szCs w:val="22"/>
        </w:rPr>
        <w:t>SAIMEX</w:t>
      </w:r>
      <w:r w:rsidRPr="000B3717">
        <w:rPr>
          <w:szCs w:val="22"/>
        </w:rPr>
        <w:t xml:space="preserve"> a la</w:t>
      </w:r>
      <w:r w:rsidR="002352B5" w:rsidRPr="000B3717">
        <w:rPr>
          <w:szCs w:val="22"/>
        </w:rPr>
        <w:t>s</w:t>
      </w:r>
      <w:r w:rsidRPr="000B3717">
        <w:rPr>
          <w:szCs w:val="22"/>
        </w:rPr>
        <w:t xml:space="preserve"> </w:t>
      </w:r>
      <w:r w:rsidRPr="000B3717">
        <w:rPr>
          <w:b/>
          <w:szCs w:val="22"/>
        </w:rPr>
        <w:t>Comisionada</w:t>
      </w:r>
      <w:r w:rsidR="00C20A78" w:rsidRPr="000B3717">
        <w:rPr>
          <w:b/>
          <w:szCs w:val="22"/>
        </w:rPr>
        <w:t>s</w:t>
      </w:r>
      <w:r w:rsidRPr="000B3717">
        <w:rPr>
          <w:b/>
          <w:szCs w:val="22"/>
        </w:rPr>
        <w:t xml:space="preserve"> Sharon Cristina Morales</w:t>
      </w:r>
      <w:r w:rsidR="001D4224" w:rsidRPr="000B3717">
        <w:rPr>
          <w:bCs/>
          <w:szCs w:val="22"/>
        </w:rPr>
        <w:t xml:space="preserve"> y </w:t>
      </w:r>
      <w:r w:rsidR="001D4224" w:rsidRPr="000B3717">
        <w:rPr>
          <w:b/>
          <w:bCs/>
          <w:szCs w:val="22"/>
        </w:rPr>
        <w:t xml:space="preserve">María del Rosario Mejía Ayala </w:t>
      </w:r>
      <w:r w:rsidR="00A21FF1" w:rsidRPr="000B3717">
        <w:rPr>
          <w:bCs/>
          <w:szCs w:val="22"/>
        </w:rPr>
        <w:t xml:space="preserve">respectivamente, </w:t>
      </w:r>
      <w:r w:rsidRPr="000B3717">
        <w:rPr>
          <w:szCs w:val="22"/>
        </w:rPr>
        <w:t xml:space="preserve">a efecto de decretar su admisión o desechamiento. </w:t>
      </w:r>
    </w:p>
    <w:p w14:paraId="18F305CB" w14:textId="77777777" w:rsidR="00664420" w:rsidRPr="000B3717" w:rsidRDefault="00664420" w:rsidP="000B3717">
      <w:pPr>
        <w:rPr>
          <w:rFonts w:eastAsia="Batang" w:cs="Tahoma"/>
          <w:bCs/>
          <w:szCs w:val="22"/>
        </w:rPr>
      </w:pPr>
    </w:p>
    <w:p w14:paraId="3E31EC2D" w14:textId="7F0DA652" w:rsidR="00664420" w:rsidRPr="000B3717" w:rsidRDefault="006E25BC" w:rsidP="000B3717">
      <w:pPr>
        <w:pStyle w:val="Ttulo3"/>
        <w:rPr>
          <w:szCs w:val="22"/>
        </w:rPr>
      </w:pPr>
      <w:bookmarkStart w:id="11" w:name="_Toc181272188"/>
      <w:r w:rsidRPr="000B3717">
        <w:rPr>
          <w:szCs w:val="22"/>
        </w:rPr>
        <w:t>c</w:t>
      </w:r>
      <w:r w:rsidR="008E0766" w:rsidRPr="000B3717">
        <w:rPr>
          <w:szCs w:val="22"/>
        </w:rPr>
        <w:t>) Admisio</w:t>
      </w:r>
      <w:r w:rsidR="00664420" w:rsidRPr="000B3717">
        <w:rPr>
          <w:szCs w:val="22"/>
        </w:rPr>
        <w:t>n</w:t>
      </w:r>
      <w:r w:rsidR="008E0766" w:rsidRPr="000B3717">
        <w:rPr>
          <w:szCs w:val="22"/>
        </w:rPr>
        <w:t>es</w:t>
      </w:r>
      <w:r w:rsidR="00664420" w:rsidRPr="000B3717">
        <w:rPr>
          <w:szCs w:val="22"/>
        </w:rPr>
        <w:t xml:space="preserve"> de</w:t>
      </w:r>
      <w:r w:rsidR="008E0766" w:rsidRPr="000B3717">
        <w:rPr>
          <w:szCs w:val="22"/>
        </w:rPr>
        <w:t xml:space="preserve"> </w:t>
      </w:r>
      <w:r w:rsidR="00664420" w:rsidRPr="000B3717">
        <w:rPr>
          <w:szCs w:val="22"/>
        </w:rPr>
        <w:t>l</w:t>
      </w:r>
      <w:r w:rsidR="008E0766" w:rsidRPr="000B3717">
        <w:rPr>
          <w:szCs w:val="22"/>
        </w:rPr>
        <w:t>os</w:t>
      </w:r>
      <w:r w:rsidR="00664420" w:rsidRPr="000B3717">
        <w:rPr>
          <w:szCs w:val="22"/>
        </w:rPr>
        <w:t xml:space="preserve"> Recurso</w:t>
      </w:r>
      <w:r w:rsidR="00A21FF1" w:rsidRPr="000B3717">
        <w:rPr>
          <w:szCs w:val="22"/>
        </w:rPr>
        <w:t>s</w:t>
      </w:r>
      <w:r w:rsidR="00664420" w:rsidRPr="000B3717">
        <w:rPr>
          <w:szCs w:val="22"/>
        </w:rPr>
        <w:t xml:space="preserve"> de Revisión</w:t>
      </w:r>
      <w:r w:rsidR="004A4FD1" w:rsidRPr="000B3717">
        <w:rPr>
          <w:szCs w:val="22"/>
        </w:rPr>
        <w:t>.</w:t>
      </w:r>
      <w:bookmarkEnd w:id="11"/>
    </w:p>
    <w:p w14:paraId="219EF1C9" w14:textId="0FA97BEE" w:rsidR="008E0766" w:rsidRPr="000B3717" w:rsidRDefault="000E09C4" w:rsidP="000B3717">
      <w:pPr>
        <w:rPr>
          <w:rFonts w:cs="Arial"/>
          <w:szCs w:val="22"/>
        </w:rPr>
      </w:pPr>
      <w:r w:rsidRPr="000B3717">
        <w:rPr>
          <w:rFonts w:cs="Arial"/>
          <w:szCs w:val="22"/>
        </w:rPr>
        <w:t xml:space="preserve">El </w:t>
      </w:r>
      <w:r w:rsidR="001D4224" w:rsidRPr="000B3717">
        <w:rPr>
          <w:rFonts w:cs="Arial"/>
          <w:b/>
          <w:szCs w:val="22"/>
        </w:rPr>
        <w:t>siete</w:t>
      </w:r>
      <w:r w:rsidR="008A5150" w:rsidRPr="000B3717">
        <w:rPr>
          <w:rFonts w:cs="Arial"/>
          <w:b/>
          <w:szCs w:val="22"/>
        </w:rPr>
        <w:t xml:space="preserve"> y </w:t>
      </w:r>
      <w:r w:rsidR="001D4224" w:rsidRPr="000B3717">
        <w:rPr>
          <w:rFonts w:cs="Arial"/>
          <w:b/>
          <w:szCs w:val="22"/>
        </w:rPr>
        <w:t>catorce</w:t>
      </w:r>
      <w:r w:rsidR="002352B5" w:rsidRPr="000B3717">
        <w:rPr>
          <w:rFonts w:cs="Arial"/>
          <w:b/>
          <w:szCs w:val="22"/>
        </w:rPr>
        <w:t xml:space="preserve"> de </w:t>
      </w:r>
      <w:r w:rsidR="001D4224" w:rsidRPr="000B3717">
        <w:rPr>
          <w:rFonts w:cs="Arial"/>
          <w:b/>
          <w:szCs w:val="22"/>
        </w:rPr>
        <w:t>octubre</w:t>
      </w:r>
      <w:r w:rsidR="002F13C2" w:rsidRPr="000B3717">
        <w:rPr>
          <w:rFonts w:cs="Arial"/>
          <w:b/>
          <w:szCs w:val="22"/>
        </w:rPr>
        <w:t xml:space="preserve"> </w:t>
      </w:r>
      <w:r w:rsidRPr="000B3717">
        <w:rPr>
          <w:rFonts w:eastAsia="Palatino Linotype" w:cs="Palatino Linotype"/>
          <w:b/>
          <w:szCs w:val="22"/>
        </w:rPr>
        <w:t xml:space="preserve">de dos mil </w:t>
      </w:r>
      <w:r w:rsidR="004A4FD1" w:rsidRPr="000B3717">
        <w:rPr>
          <w:rFonts w:eastAsia="Palatino Linotype" w:cs="Palatino Linotype"/>
          <w:b/>
          <w:szCs w:val="22"/>
        </w:rPr>
        <w:t>veinticuatro</w:t>
      </w:r>
      <w:r w:rsidRPr="000B3717">
        <w:rPr>
          <w:rFonts w:cs="Arial"/>
          <w:szCs w:val="22"/>
        </w:rPr>
        <w:t xml:space="preserve"> se acordó la admisión a trámite de</w:t>
      </w:r>
      <w:r w:rsidR="008E0766" w:rsidRPr="000B3717">
        <w:rPr>
          <w:rFonts w:cs="Arial"/>
          <w:szCs w:val="22"/>
        </w:rPr>
        <w:t xml:space="preserve"> </w:t>
      </w:r>
      <w:r w:rsidRPr="000B3717">
        <w:rPr>
          <w:rFonts w:cs="Arial"/>
          <w:szCs w:val="22"/>
        </w:rPr>
        <w:t>l</w:t>
      </w:r>
      <w:r w:rsidR="008E0766" w:rsidRPr="000B3717">
        <w:rPr>
          <w:rFonts w:cs="Arial"/>
          <w:szCs w:val="22"/>
        </w:rPr>
        <w:t>os</w:t>
      </w:r>
      <w:r w:rsidRPr="000B3717">
        <w:rPr>
          <w:rFonts w:cs="Arial"/>
          <w:szCs w:val="22"/>
        </w:rPr>
        <w:t xml:space="preserve"> Recurso</w:t>
      </w:r>
      <w:r w:rsidR="008E0766" w:rsidRPr="000B3717">
        <w:rPr>
          <w:rFonts w:cs="Arial"/>
          <w:szCs w:val="22"/>
        </w:rPr>
        <w:t>s de Revisión y se integraron</w:t>
      </w:r>
      <w:r w:rsidRPr="000B3717">
        <w:rPr>
          <w:rFonts w:cs="Arial"/>
          <w:szCs w:val="22"/>
        </w:rPr>
        <w:t xml:space="preserve"> </w:t>
      </w:r>
      <w:r w:rsidR="008E0766" w:rsidRPr="000B3717">
        <w:rPr>
          <w:rFonts w:cs="Arial"/>
          <w:szCs w:val="22"/>
        </w:rPr>
        <w:t>los</w:t>
      </w:r>
      <w:r w:rsidRPr="000B3717">
        <w:rPr>
          <w:rFonts w:cs="Arial"/>
          <w:szCs w:val="22"/>
        </w:rPr>
        <w:t xml:space="preserve"> expediente</w:t>
      </w:r>
      <w:r w:rsidR="008E0766" w:rsidRPr="000B3717">
        <w:rPr>
          <w:rFonts w:cs="Arial"/>
          <w:szCs w:val="22"/>
        </w:rPr>
        <w:t>s</w:t>
      </w:r>
      <w:r w:rsidRPr="000B3717">
        <w:rPr>
          <w:rFonts w:cs="Arial"/>
          <w:szCs w:val="22"/>
        </w:rPr>
        <w:t xml:space="preserve"> respectivo</w:t>
      </w:r>
      <w:r w:rsidR="008E0766" w:rsidRPr="000B3717">
        <w:rPr>
          <w:rFonts w:cs="Arial"/>
          <w:szCs w:val="22"/>
        </w:rPr>
        <w:t>s</w:t>
      </w:r>
      <w:r w:rsidRPr="000B3717">
        <w:rPr>
          <w:rFonts w:cs="Arial"/>
          <w:szCs w:val="22"/>
        </w:rPr>
        <w:t>, mismo</w:t>
      </w:r>
      <w:r w:rsidR="008E0766" w:rsidRPr="000B3717">
        <w:rPr>
          <w:rFonts w:cs="Arial"/>
          <w:szCs w:val="22"/>
        </w:rPr>
        <w:t>s que se pusieron</w:t>
      </w:r>
      <w:r w:rsidRPr="000B3717">
        <w:rPr>
          <w:rFonts w:cs="Arial"/>
          <w:szCs w:val="22"/>
        </w:rPr>
        <w:t xml:space="preserve"> a disposición de las partes para que, en un plazo de siete días hábiles, manifestaran lo que a su derecho conviniera, conforme a lo dispuesto por el artículo 185</w:t>
      </w:r>
      <w:r w:rsidR="00865CF4" w:rsidRPr="000B3717">
        <w:rPr>
          <w:rFonts w:cs="Arial"/>
          <w:szCs w:val="22"/>
        </w:rPr>
        <w:t>, fracción II</w:t>
      </w:r>
      <w:r w:rsidRPr="000B3717">
        <w:rPr>
          <w:rFonts w:cs="Arial"/>
          <w:szCs w:val="22"/>
        </w:rPr>
        <w:t xml:space="preserve"> de la Ley de Transparencia y Acceso a la Información Pública del Estado de México y Municipios.</w:t>
      </w:r>
    </w:p>
    <w:p w14:paraId="09B589C5" w14:textId="77777777" w:rsidR="00664420" w:rsidRPr="000B3717" w:rsidRDefault="00664420" w:rsidP="000B3717">
      <w:pPr>
        <w:rPr>
          <w:rFonts w:cs="Tahoma"/>
          <w:b/>
          <w:szCs w:val="22"/>
        </w:rPr>
      </w:pPr>
    </w:p>
    <w:p w14:paraId="35752286" w14:textId="26DF07D1" w:rsidR="00DB1C09" w:rsidRPr="000B3717" w:rsidRDefault="00A57230" w:rsidP="000B3717">
      <w:pPr>
        <w:pStyle w:val="Ttulo3"/>
        <w:rPr>
          <w:szCs w:val="22"/>
        </w:rPr>
      </w:pPr>
      <w:bookmarkStart w:id="12" w:name="_Toc181272189"/>
      <w:r w:rsidRPr="000B3717">
        <w:rPr>
          <w:szCs w:val="22"/>
        </w:rPr>
        <w:t>d</w:t>
      </w:r>
      <w:r w:rsidR="00664420" w:rsidRPr="000B3717">
        <w:rPr>
          <w:szCs w:val="22"/>
        </w:rPr>
        <w:t xml:space="preserve">) </w:t>
      </w:r>
      <w:r w:rsidR="00A1405A" w:rsidRPr="000B3717">
        <w:rPr>
          <w:szCs w:val="22"/>
        </w:rPr>
        <w:t>Manifestaciones</w:t>
      </w:r>
      <w:r w:rsidR="00865CF4" w:rsidRPr="000B3717">
        <w:rPr>
          <w:szCs w:val="22"/>
        </w:rPr>
        <w:t xml:space="preserve"> del Sujeto Obligado</w:t>
      </w:r>
      <w:r w:rsidR="004A4FD1" w:rsidRPr="000B3717">
        <w:rPr>
          <w:szCs w:val="22"/>
        </w:rPr>
        <w:t>.</w:t>
      </w:r>
      <w:bookmarkEnd w:id="12"/>
    </w:p>
    <w:p w14:paraId="00D1C97C" w14:textId="77777777" w:rsidR="001D4224" w:rsidRPr="000B3717" w:rsidRDefault="001D4224" w:rsidP="000B3717">
      <w:pPr>
        <w:rPr>
          <w:rFonts w:cs="Tahoma"/>
          <w:bCs/>
          <w:szCs w:val="22"/>
        </w:rPr>
      </w:pPr>
      <w:r w:rsidRPr="000B3717">
        <w:rPr>
          <w:rFonts w:cs="Tahoma"/>
          <w:bCs/>
          <w:szCs w:val="22"/>
        </w:rPr>
        <w:t xml:space="preserve">De las constancias que obran en los expedientes electrónicos del </w:t>
      </w:r>
      <w:r w:rsidRPr="000B3717">
        <w:rPr>
          <w:rFonts w:cs="Tahoma"/>
          <w:b/>
          <w:bCs/>
          <w:szCs w:val="22"/>
        </w:rPr>
        <w:t>SAIMEX</w:t>
      </w:r>
      <w:r w:rsidRPr="000B3717">
        <w:rPr>
          <w:rFonts w:cs="Tahoma"/>
          <w:bCs/>
          <w:szCs w:val="22"/>
        </w:rPr>
        <w:t xml:space="preserve">, se advierte que </w:t>
      </w:r>
      <w:r w:rsidRPr="000B3717">
        <w:rPr>
          <w:rFonts w:cs="Tahoma"/>
          <w:b/>
          <w:bCs/>
          <w:szCs w:val="22"/>
        </w:rPr>
        <w:t>EL SUJETO OBLIGADO</w:t>
      </w:r>
      <w:r w:rsidRPr="000B3717">
        <w:rPr>
          <w:rFonts w:cs="Tahoma"/>
          <w:bCs/>
          <w:szCs w:val="22"/>
        </w:rPr>
        <w:t xml:space="preserve"> omitió remitir sus informes justificados dentro del plazo legalmente concedido.</w:t>
      </w:r>
    </w:p>
    <w:p w14:paraId="441DC89F" w14:textId="77777777" w:rsidR="00A1405A" w:rsidRPr="000B3717" w:rsidRDefault="00A1405A" w:rsidP="000B3717">
      <w:pPr>
        <w:ind w:right="539"/>
        <w:rPr>
          <w:rFonts w:cs="Tahoma"/>
          <w:bCs/>
          <w:szCs w:val="22"/>
        </w:rPr>
      </w:pPr>
    </w:p>
    <w:p w14:paraId="755B7730" w14:textId="22EAC55C" w:rsidR="00664420" w:rsidRPr="000B3717" w:rsidRDefault="00213142" w:rsidP="000B3717">
      <w:pPr>
        <w:pStyle w:val="Ttulo3"/>
        <w:rPr>
          <w:szCs w:val="22"/>
          <w:lang w:val="es-ES"/>
        </w:rPr>
      </w:pPr>
      <w:bookmarkStart w:id="13" w:name="_Toc181272190"/>
      <w:r w:rsidRPr="000B3717">
        <w:rPr>
          <w:rFonts w:eastAsia="Calibri"/>
          <w:bCs/>
          <w:szCs w:val="22"/>
          <w:lang w:eastAsia="en-US"/>
        </w:rPr>
        <w:t>e</w:t>
      </w:r>
      <w:r w:rsidR="00664420" w:rsidRPr="000B3717">
        <w:rPr>
          <w:rFonts w:eastAsia="Calibri"/>
          <w:bCs/>
          <w:szCs w:val="22"/>
          <w:lang w:eastAsia="en-US"/>
        </w:rPr>
        <w:t>)</w:t>
      </w:r>
      <w:r w:rsidR="00664420" w:rsidRPr="000B3717">
        <w:rPr>
          <w:szCs w:val="22"/>
        </w:rPr>
        <w:t xml:space="preserve"> </w:t>
      </w:r>
      <w:r w:rsidR="00865CF4" w:rsidRPr="000B3717">
        <w:rPr>
          <w:szCs w:val="22"/>
          <w:lang w:val="es-ES"/>
        </w:rPr>
        <w:t>Manifestaciones de la Parte Recurrente</w:t>
      </w:r>
      <w:r w:rsidR="00A1405A" w:rsidRPr="000B3717">
        <w:rPr>
          <w:szCs w:val="22"/>
          <w:lang w:val="es-ES"/>
        </w:rPr>
        <w:t>.</w:t>
      </w:r>
      <w:bookmarkEnd w:id="13"/>
    </w:p>
    <w:p w14:paraId="4E8AF011" w14:textId="15C1F5A7" w:rsidR="00865CF4" w:rsidRPr="000B3717" w:rsidRDefault="00865CF4" w:rsidP="000B3717">
      <w:pPr>
        <w:rPr>
          <w:rFonts w:eastAsia="Arial Unicode MS" w:cs="Arial"/>
          <w:szCs w:val="22"/>
        </w:rPr>
      </w:pPr>
      <w:r w:rsidRPr="000B3717">
        <w:rPr>
          <w:rFonts w:cs="Tahoma"/>
          <w:b/>
          <w:szCs w:val="22"/>
        </w:rPr>
        <w:t xml:space="preserve">LA PARTE RECURRENTE </w:t>
      </w:r>
      <w:r w:rsidR="00015208" w:rsidRPr="000B3717">
        <w:rPr>
          <w:rFonts w:eastAsia="Arial Unicode MS" w:cs="Arial"/>
          <w:szCs w:val="22"/>
        </w:rPr>
        <w:t>no realizó manifestacio</w:t>
      </w:r>
      <w:r w:rsidRPr="000B3717">
        <w:rPr>
          <w:rFonts w:eastAsia="Arial Unicode MS" w:cs="Arial"/>
          <w:szCs w:val="22"/>
        </w:rPr>
        <w:t>n</w:t>
      </w:r>
      <w:r w:rsidR="00015208" w:rsidRPr="000B3717">
        <w:rPr>
          <w:rFonts w:eastAsia="Arial Unicode MS" w:cs="Arial"/>
          <w:szCs w:val="22"/>
        </w:rPr>
        <w:t>es</w:t>
      </w:r>
      <w:r w:rsidRPr="000B3717">
        <w:rPr>
          <w:rFonts w:eastAsia="Arial Unicode MS" w:cs="Arial"/>
          <w:szCs w:val="22"/>
        </w:rPr>
        <w:t xml:space="preserve"> dentro del término legalmente concedido para tal efecto, ni presentó pruebas o alegatos.</w:t>
      </w:r>
    </w:p>
    <w:p w14:paraId="6923684C" w14:textId="77777777" w:rsidR="00664420" w:rsidRPr="000B3717" w:rsidRDefault="00664420" w:rsidP="000B3717">
      <w:pPr>
        <w:rPr>
          <w:rFonts w:cs="Tahoma"/>
          <w:szCs w:val="22"/>
        </w:rPr>
      </w:pPr>
    </w:p>
    <w:p w14:paraId="1A46D23C" w14:textId="23A21445" w:rsidR="008E0766" w:rsidRPr="000B3717" w:rsidRDefault="00543E56" w:rsidP="000B3717">
      <w:pPr>
        <w:pStyle w:val="Ttulo3"/>
        <w:rPr>
          <w:szCs w:val="22"/>
        </w:rPr>
      </w:pPr>
      <w:bookmarkStart w:id="14" w:name="_Toc174008765"/>
      <w:bookmarkStart w:id="15" w:name="_Toc181272191"/>
      <w:r w:rsidRPr="000B3717">
        <w:rPr>
          <w:szCs w:val="22"/>
        </w:rPr>
        <w:lastRenderedPageBreak/>
        <w:t>f</w:t>
      </w:r>
      <w:r w:rsidR="008E0766" w:rsidRPr="000B3717">
        <w:rPr>
          <w:szCs w:val="22"/>
        </w:rPr>
        <w:t>) Acumulación de los Recursos de Revisión</w:t>
      </w:r>
      <w:bookmarkEnd w:id="14"/>
      <w:r w:rsidR="00A1405A" w:rsidRPr="000B3717">
        <w:rPr>
          <w:szCs w:val="22"/>
        </w:rPr>
        <w:t>.</w:t>
      </w:r>
      <w:bookmarkEnd w:id="15"/>
    </w:p>
    <w:p w14:paraId="64F9559F" w14:textId="2FE924D9" w:rsidR="008E0766" w:rsidRPr="000B3717" w:rsidRDefault="008E0766" w:rsidP="000B3717">
      <w:pPr>
        <w:ind w:left="-57"/>
        <w:rPr>
          <w:rFonts w:cs="Tahoma"/>
          <w:b/>
          <w:bCs/>
          <w:szCs w:val="22"/>
        </w:rPr>
      </w:pPr>
      <w:bookmarkStart w:id="16" w:name="_heading=h.3rdcrjn" w:colFirst="0" w:colLast="0"/>
      <w:bookmarkEnd w:id="16"/>
      <w:r w:rsidRPr="000B3717">
        <w:rPr>
          <w:szCs w:val="22"/>
        </w:rPr>
        <w:t xml:space="preserve">Por economía procesal y con la finalidad de evitar </w:t>
      </w:r>
      <w:r w:rsidR="000E03AE" w:rsidRPr="000B3717">
        <w:rPr>
          <w:szCs w:val="22"/>
        </w:rPr>
        <w:t xml:space="preserve">resolución contradictoria, en la </w:t>
      </w:r>
      <w:r w:rsidR="008A5150" w:rsidRPr="000B3717">
        <w:rPr>
          <w:b/>
          <w:szCs w:val="22"/>
        </w:rPr>
        <w:t xml:space="preserve">Trigésima </w:t>
      </w:r>
      <w:r w:rsidR="001D4224" w:rsidRPr="000B3717">
        <w:rPr>
          <w:b/>
          <w:szCs w:val="22"/>
        </w:rPr>
        <w:t>Séptima</w:t>
      </w:r>
      <w:r w:rsidR="00EB77F0" w:rsidRPr="000B3717">
        <w:rPr>
          <w:b/>
          <w:szCs w:val="22"/>
        </w:rPr>
        <w:t xml:space="preserve"> </w:t>
      </w:r>
      <w:r w:rsidR="000E03AE" w:rsidRPr="000B3717">
        <w:rPr>
          <w:b/>
          <w:szCs w:val="22"/>
        </w:rPr>
        <w:t>Sesión Ordinaria</w:t>
      </w:r>
      <w:r w:rsidR="00EB77F0" w:rsidRPr="000B3717">
        <w:rPr>
          <w:b/>
          <w:szCs w:val="22"/>
        </w:rPr>
        <w:t xml:space="preserve"> </w:t>
      </w:r>
      <w:r w:rsidR="00EB77F0" w:rsidRPr="000B3717">
        <w:rPr>
          <w:szCs w:val="22"/>
        </w:rPr>
        <w:t xml:space="preserve">del Pleno de </w:t>
      </w:r>
      <w:r w:rsidR="00953EF6" w:rsidRPr="000B3717">
        <w:rPr>
          <w:szCs w:val="22"/>
        </w:rPr>
        <w:t>e</w:t>
      </w:r>
      <w:r w:rsidR="00EB77F0" w:rsidRPr="000B3717">
        <w:rPr>
          <w:szCs w:val="22"/>
        </w:rPr>
        <w:t>ste Instituto</w:t>
      </w:r>
      <w:r w:rsidR="000E03AE" w:rsidRPr="000B3717">
        <w:rPr>
          <w:szCs w:val="22"/>
        </w:rPr>
        <w:t>, celebrada</w:t>
      </w:r>
      <w:r w:rsidRPr="000B3717">
        <w:rPr>
          <w:szCs w:val="22"/>
        </w:rPr>
        <w:t xml:space="preserve"> el</w:t>
      </w:r>
      <w:r w:rsidRPr="000B3717">
        <w:rPr>
          <w:b/>
          <w:szCs w:val="22"/>
        </w:rPr>
        <w:t xml:space="preserve"> </w:t>
      </w:r>
      <w:r w:rsidR="001D4224" w:rsidRPr="000B3717">
        <w:rPr>
          <w:b/>
          <w:szCs w:val="22"/>
        </w:rPr>
        <w:t>dieciséis</w:t>
      </w:r>
      <w:r w:rsidR="00FD1DDB" w:rsidRPr="000B3717">
        <w:rPr>
          <w:b/>
          <w:szCs w:val="22"/>
        </w:rPr>
        <w:t xml:space="preserve"> de </w:t>
      </w:r>
      <w:r w:rsidR="008A5150" w:rsidRPr="000B3717">
        <w:rPr>
          <w:b/>
          <w:szCs w:val="22"/>
        </w:rPr>
        <w:t>octubre</w:t>
      </w:r>
      <w:r w:rsidR="00FD1DDB" w:rsidRPr="000B3717">
        <w:rPr>
          <w:b/>
          <w:szCs w:val="22"/>
        </w:rPr>
        <w:t xml:space="preserve"> de dos mil veinticuatro, </w:t>
      </w:r>
      <w:r w:rsidRPr="000B3717">
        <w:rPr>
          <w:szCs w:val="22"/>
        </w:rPr>
        <w:t>el Pleno de este Instituto determinó acumular los Recursos de Revisión</w:t>
      </w:r>
      <w:r w:rsidRPr="000B3717">
        <w:rPr>
          <w:b/>
          <w:szCs w:val="22"/>
        </w:rPr>
        <w:t xml:space="preserve"> </w:t>
      </w:r>
      <w:r w:rsidR="001D4224" w:rsidRPr="000B3717">
        <w:rPr>
          <w:rFonts w:cs="Tahoma"/>
          <w:b/>
          <w:bCs/>
          <w:szCs w:val="22"/>
        </w:rPr>
        <w:t>06032</w:t>
      </w:r>
      <w:r w:rsidR="00D455DE" w:rsidRPr="000B3717">
        <w:rPr>
          <w:rFonts w:cs="Tahoma"/>
          <w:b/>
          <w:bCs/>
          <w:szCs w:val="22"/>
        </w:rPr>
        <w:t xml:space="preserve">/INFOEM/IP/RR/2024 </w:t>
      </w:r>
      <w:r w:rsidR="00BD792E" w:rsidRPr="000B3717">
        <w:rPr>
          <w:rFonts w:cs="Tahoma"/>
          <w:szCs w:val="22"/>
        </w:rPr>
        <w:t xml:space="preserve">y </w:t>
      </w:r>
      <w:r w:rsidR="001D4224" w:rsidRPr="000B3717">
        <w:rPr>
          <w:rFonts w:cs="Tahoma"/>
          <w:b/>
          <w:bCs/>
          <w:szCs w:val="22"/>
        </w:rPr>
        <w:t>06033</w:t>
      </w:r>
      <w:r w:rsidR="00BD792E" w:rsidRPr="000B3717">
        <w:rPr>
          <w:rFonts w:cs="Tahoma"/>
          <w:b/>
          <w:bCs/>
          <w:szCs w:val="22"/>
        </w:rPr>
        <w:t>/INFOEM/IP/RR/2024</w:t>
      </w:r>
      <w:r w:rsidRPr="000B3717">
        <w:rPr>
          <w:rFonts w:cs="Tahoma"/>
          <w:b/>
          <w:bCs/>
          <w:szCs w:val="22"/>
        </w:rPr>
        <w:t>.</w:t>
      </w:r>
    </w:p>
    <w:p w14:paraId="56C8BDC3" w14:textId="77777777" w:rsidR="00EB262C" w:rsidRPr="000B3717" w:rsidRDefault="00EB262C" w:rsidP="000B3717">
      <w:pPr>
        <w:ind w:left="-57"/>
        <w:rPr>
          <w:rFonts w:cs="Tahoma"/>
          <w:b/>
          <w:bCs/>
          <w:szCs w:val="22"/>
        </w:rPr>
      </w:pPr>
    </w:p>
    <w:p w14:paraId="0E651988" w14:textId="1301893A" w:rsidR="00664420" w:rsidRPr="000B3717" w:rsidRDefault="003D15A5" w:rsidP="000B3717">
      <w:pPr>
        <w:pStyle w:val="Ttulo3"/>
        <w:rPr>
          <w:szCs w:val="22"/>
        </w:rPr>
      </w:pPr>
      <w:bookmarkStart w:id="17" w:name="_Toc181272192"/>
      <w:r w:rsidRPr="000B3717">
        <w:rPr>
          <w:szCs w:val="22"/>
        </w:rPr>
        <w:t>g</w:t>
      </w:r>
      <w:r w:rsidR="00664420" w:rsidRPr="000B3717">
        <w:rPr>
          <w:szCs w:val="22"/>
        </w:rPr>
        <w:t>) Cierre de instrucción</w:t>
      </w:r>
      <w:r w:rsidR="006F1FEE" w:rsidRPr="000B3717">
        <w:rPr>
          <w:szCs w:val="22"/>
        </w:rPr>
        <w:t>.</w:t>
      </w:r>
      <w:bookmarkEnd w:id="17"/>
    </w:p>
    <w:p w14:paraId="79AF95DC" w14:textId="6B09F367" w:rsidR="00664420" w:rsidRPr="000B3717" w:rsidRDefault="00BF091A" w:rsidP="000B3717">
      <w:pPr>
        <w:rPr>
          <w:szCs w:val="22"/>
        </w:rPr>
      </w:pPr>
      <w:r w:rsidRPr="000B3717">
        <w:rPr>
          <w:rFonts w:cs="Tahoma"/>
          <w:szCs w:val="22"/>
        </w:rPr>
        <w:t>Al no existir diligencias pendientes por desahogar</w:t>
      </w:r>
      <w:r w:rsidRPr="000B3717">
        <w:rPr>
          <w:rFonts w:cs="Arial"/>
          <w:szCs w:val="22"/>
        </w:rPr>
        <w:t xml:space="preserve">, el </w:t>
      </w:r>
      <w:bookmarkStart w:id="18" w:name="_Hlk104892386"/>
      <w:r w:rsidR="001D4224" w:rsidRPr="000B3717">
        <w:rPr>
          <w:rFonts w:cs="Arial"/>
          <w:b/>
          <w:szCs w:val="22"/>
        </w:rPr>
        <w:t>treinta y uno</w:t>
      </w:r>
      <w:r w:rsidRPr="000B3717">
        <w:rPr>
          <w:rFonts w:cs="Arial"/>
          <w:b/>
          <w:szCs w:val="22"/>
        </w:rPr>
        <w:t xml:space="preserve"> de </w:t>
      </w:r>
      <w:bookmarkEnd w:id="18"/>
      <w:r w:rsidR="001D4224" w:rsidRPr="000B3717">
        <w:rPr>
          <w:rFonts w:cs="Arial"/>
          <w:b/>
          <w:szCs w:val="22"/>
        </w:rPr>
        <w:t>octubre</w:t>
      </w:r>
      <w:r w:rsidRPr="000B3717">
        <w:rPr>
          <w:rFonts w:cs="Arial"/>
          <w:b/>
          <w:szCs w:val="22"/>
        </w:rPr>
        <w:t xml:space="preserve"> de dos mil </w:t>
      </w:r>
      <w:r w:rsidR="001B777A" w:rsidRPr="000B3717">
        <w:rPr>
          <w:rFonts w:cs="Arial"/>
          <w:b/>
          <w:szCs w:val="22"/>
        </w:rPr>
        <w:t>veinticuatro</w:t>
      </w:r>
      <w:r w:rsidRPr="000B3717">
        <w:rPr>
          <w:rFonts w:cs="Arial"/>
          <w:szCs w:val="22"/>
        </w:rPr>
        <w:t xml:space="preserve"> la </w:t>
      </w:r>
      <w:r w:rsidRPr="000B3717">
        <w:rPr>
          <w:rFonts w:cs="Arial"/>
          <w:b/>
          <w:bCs/>
          <w:szCs w:val="22"/>
        </w:rPr>
        <w:t xml:space="preserve">Comisionada </w:t>
      </w:r>
      <w:r w:rsidRPr="000B3717">
        <w:rPr>
          <w:b/>
          <w:szCs w:val="22"/>
        </w:rPr>
        <w:t xml:space="preserve">Sharon Cristina Morales Martínez </w:t>
      </w:r>
      <w:r w:rsidRPr="000B3717">
        <w:rPr>
          <w:rFonts w:cs="Arial"/>
          <w:szCs w:val="22"/>
        </w:rPr>
        <w:t>acordó el cierre de instrucción</w:t>
      </w:r>
      <w:r w:rsidR="0011350D" w:rsidRPr="000B3717">
        <w:rPr>
          <w:rFonts w:cs="Arial"/>
          <w:szCs w:val="22"/>
        </w:rPr>
        <w:t xml:space="preserve"> y</w:t>
      </w:r>
      <w:r w:rsidRPr="000B3717">
        <w:rPr>
          <w:rFonts w:cs="Arial"/>
          <w:szCs w:val="22"/>
        </w:rPr>
        <w:t xml:space="preserve"> </w:t>
      </w:r>
      <w:r w:rsidR="0011350D" w:rsidRPr="000B3717">
        <w:rPr>
          <w:rFonts w:cs="Arial"/>
          <w:szCs w:val="22"/>
        </w:rPr>
        <w:t xml:space="preserve">la </w:t>
      </w:r>
      <w:r w:rsidRPr="000B3717">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0B3717">
        <w:rPr>
          <w:szCs w:val="22"/>
        </w:rPr>
        <w:t>.</w:t>
      </w:r>
      <w:r w:rsidR="0011350D" w:rsidRPr="000B3717">
        <w:rPr>
          <w:szCs w:val="22"/>
        </w:rPr>
        <w:t xml:space="preserve"> Dicho acuerdo </w:t>
      </w:r>
      <w:r w:rsidR="00664420" w:rsidRPr="000B3717">
        <w:rPr>
          <w:rFonts w:cs="Tahoma"/>
          <w:szCs w:val="22"/>
        </w:rPr>
        <w:t xml:space="preserve">fue notificado a las partes el mismo día a través del </w:t>
      </w:r>
      <w:r w:rsidR="00664420" w:rsidRPr="000B3717">
        <w:rPr>
          <w:rFonts w:cs="Tahoma"/>
          <w:szCs w:val="22"/>
          <w:lang w:val="es-ES"/>
        </w:rPr>
        <w:t>SAIMEX</w:t>
      </w:r>
      <w:r w:rsidR="00664420" w:rsidRPr="000B3717">
        <w:rPr>
          <w:rFonts w:cs="Tahoma"/>
          <w:szCs w:val="22"/>
        </w:rPr>
        <w:t>.</w:t>
      </w:r>
    </w:p>
    <w:p w14:paraId="741683E3" w14:textId="77777777" w:rsidR="0011350D" w:rsidRPr="000B3717" w:rsidRDefault="0011350D" w:rsidP="000B3717">
      <w:pPr>
        <w:rPr>
          <w:rFonts w:cs="Tahoma"/>
          <w:szCs w:val="22"/>
        </w:rPr>
      </w:pPr>
    </w:p>
    <w:p w14:paraId="7A9629DE" w14:textId="77777777" w:rsidR="00664420" w:rsidRPr="000B3717" w:rsidRDefault="00664420" w:rsidP="000B3717">
      <w:pPr>
        <w:pStyle w:val="Ttulo1"/>
        <w:rPr>
          <w:rFonts w:eastAsiaTheme="minorHAnsi"/>
          <w:szCs w:val="22"/>
          <w:lang w:eastAsia="en-US"/>
        </w:rPr>
      </w:pPr>
      <w:bookmarkStart w:id="19" w:name="_Toc181272193"/>
      <w:r w:rsidRPr="000B3717">
        <w:rPr>
          <w:rFonts w:eastAsiaTheme="minorHAnsi"/>
          <w:szCs w:val="22"/>
          <w:lang w:eastAsia="en-US"/>
        </w:rPr>
        <w:t>CONSIDERANDOS</w:t>
      </w:r>
      <w:bookmarkEnd w:id="19"/>
    </w:p>
    <w:p w14:paraId="6DD1243B" w14:textId="77777777" w:rsidR="00664420" w:rsidRPr="000B3717" w:rsidRDefault="00664420" w:rsidP="000B3717">
      <w:pPr>
        <w:contextualSpacing/>
        <w:jc w:val="center"/>
        <w:rPr>
          <w:rFonts w:eastAsiaTheme="minorHAnsi" w:cs="Tahoma"/>
          <w:b/>
          <w:szCs w:val="22"/>
          <w:lang w:eastAsia="en-US"/>
        </w:rPr>
      </w:pPr>
    </w:p>
    <w:p w14:paraId="0B67CB92" w14:textId="2E307D3B" w:rsidR="00664420" w:rsidRPr="000B3717" w:rsidRDefault="00664420" w:rsidP="000B3717">
      <w:pPr>
        <w:pStyle w:val="Ttulo2"/>
        <w:rPr>
          <w:rFonts w:eastAsia="Batang"/>
          <w:szCs w:val="22"/>
        </w:rPr>
      </w:pPr>
      <w:bookmarkStart w:id="20" w:name="_Toc181272194"/>
      <w:r w:rsidRPr="000B3717">
        <w:rPr>
          <w:rFonts w:eastAsia="Batang"/>
          <w:szCs w:val="22"/>
        </w:rPr>
        <w:t xml:space="preserve">PRIMERO. </w:t>
      </w:r>
      <w:r w:rsidR="00BA55A8" w:rsidRPr="000B3717">
        <w:rPr>
          <w:rFonts w:eastAsia="Batang"/>
          <w:szCs w:val="22"/>
        </w:rPr>
        <w:t>Procedibilidad</w:t>
      </w:r>
      <w:bookmarkEnd w:id="20"/>
    </w:p>
    <w:p w14:paraId="39C52BC1" w14:textId="27B89A70" w:rsidR="00BA55A8" w:rsidRPr="000B3717" w:rsidRDefault="00BA55A8" w:rsidP="000B3717">
      <w:pPr>
        <w:pStyle w:val="Ttulo3"/>
        <w:rPr>
          <w:szCs w:val="22"/>
        </w:rPr>
      </w:pPr>
      <w:bookmarkStart w:id="21" w:name="_Toc181272195"/>
      <w:r w:rsidRPr="000B3717">
        <w:rPr>
          <w:szCs w:val="22"/>
        </w:rPr>
        <w:t>a) Competencia</w:t>
      </w:r>
      <w:r w:rsidR="00150C49" w:rsidRPr="000B3717">
        <w:rPr>
          <w:szCs w:val="22"/>
        </w:rPr>
        <w:t xml:space="preserve"> del Instituto</w:t>
      </w:r>
      <w:r w:rsidR="001B777A" w:rsidRPr="000B3717">
        <w:rPr>
          <w:szCs w:val="22"/>
        </w:rPr>
        <w:t>.</w:t>
      </w:r>
      <w:bookmarkEnd w:id="21"/>
    </w:p>
    <w:p w14:paraId="56E64942" w14:textId="6572EDF7" w:rsidR="0011350D" w:rsidRPr="000B3717" w:rsidRDefault="0011350D" w:rsidP="000B3717">
      <w:pPr>
        <w:rPr>
          <w:rFonts w:cs="Arial"/>
          <w:szCs w:val="22"/>
        </w:rPr>
      </w:pPr>
      <w:r w:rsidRPr="000B3717">
        <w:rPr>
          <w:szCs w:val="22"/>
        </w:rPr>
        <w:t xml:space="preserve">Este Instituto de Transparencia, Acceso a la Información Pública y Protección de Datos Personales del Estado de México y Municipios es competente para conocer y resolver </w:t>
      </w:r>
      <w:r w:rsidR="005F65B7" w:rsidRPr="000B3717">
        <w:rPr>
          <w:szCs w:val="22"/>
        </w:rPr>
        <w:t xml:space="preserve">el </w:t>
      </w:r>
      <w:r w:rsidRPr="000B3717">
        <w:rPr>
          <w:szCs w:val="22"/>
        </w:rPr>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w:t>
      </w:r>
      <w:r w:rsidRPr="000B3717">
        <w:rPr>
          <w:szCs w:val="22"/>
        </w:rPr>
        <w:lastRenderedPageBreak/>
        <w:t>párrafo tercero y 185 de la Ley de Transparencia y Acceso a la Información Pública del Estado de México y Municipios</w:t>
      </w:r>
      <w:r w:rsidRPr="000B3717">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0B3717" w:rsidRDefault="00DB1C09" w:rsidP="000B3717">
      <w:pPr>
        <w:rPr>
          <w:rFonts w:cs="Arial"/>
          <w:szCs w:val="22"/>
        </w:rPr>
      </w:pPr>
    </w:p>
    <w:p w14:paraId="517A2DD6" w14:textId="18BD0D6C" w:rsidR="00664420" w:rsidRPr="000B3717" w:rsidRDefault="00BA55A8" w:rsidP="000B3717">
      <w:pPr>
        <w:pStyle w:val="Ttulo3"/>
        <w:rPr>
          <w:szCs w:val="22"/>
        </w:rPr>
      </w:pPr>
      <w:bookmarkStart w:id="22" w:name="_Toc181272196"/>
      <w:r w:rsidRPr="000B3717">
        <w:rPr>
          <w:szCs w:val="22"/>
        </w:rPr>
        <w:t>b)</w:t>
      </w:r>
      <w:r w:rsidR="00664420" w:rsidRPr="000B3717">
        <w:rPr>
          <w:szCs w:val="22"/>
        </w:rPr>
        <w:t xml:space="preserve"> </w:t>
      </w:r>
      <w:r w:rsidR="00D91CB4" w:rsidRPr="000B3717">
        <w:rPr>
          <w:szCs w:val="22"/>
        </w:rPr>
        <w:t>Legitimidad</w:t>
      </w:r>
      <w:r w:rsidRPr="000B3717">
        <w:rPr>
          <w:szCs w:val="22"/>
        </w:rPr>
        <w:t xml:space="preserve"> de la parte recurrente</w:t>
      </w:r>
      <w:r w:rsidR="001B777A" w:rsidRPr="000B3717">
        <w:rPr>
          <w:szCs w:val="22"/>
        </w:rPr>
        <w:t>.</w:t>
      </w:r>
      <w:bookmarkEnd w:id="22"/>
    </w:p>
    <w:p w14:paraId="26FEA382" w14:textId="0B06695C" w:rsidR="00D91CB4" w:rsidRPr="000B3717" w:rsidRDefault="00D91CB4" w:rsidP="000B3717">
      <w:pPr>
        <w:rPr>
          <w:rFonts w:cs="Arial"/>
          <w:bCs/>
          <w:szCs w:val="22"/>
        </w:rPr>
      </w:pPr>
      <w:r w:rsidRPr="000B3717">
        <w:rPr>
          <w:rFonts w:cs="Arial"/>
          <w:bCs/>
          <w:szCs w:val="22"/>
        </w:rPr>
        <w:t>El recurso de revisión fue interpuesto por parte legítima, ya que se presentó por la misma persona que formuló la solicitud de acceso a la Información Pública,</w:t>
      </w:r>
      <w:r w:rsidRPr="000B3717">
        <w:rPr>
          <w:rFonts w:cs="Arial"/>
          <w:b/>
          <w:bCs/>
          <w:szCs w:val="22"/>
        </w:rPr>
        <w:t xml:space="preserve"> </w:t>
      </w:r>
      <w:r w:rsidRPr="000B3717">
        <w:rPr>
          <w:rFonts w:cs="Arial"/>
          <w:szCs w:val="22"/>
        </w:rPr>
        <w:t>debido a que los datos de acceso</w:t>
      </w:r>
      <w:r w:rsidRPr="000B3717">
        <w:rPr>
          <w:rFonts w:cs="Arial"/>
          <w:b/>
          <w:bCs/>
          <w:szCs w:val="22"/>
        </w:rPr>
        <w:t xml:space="preserve"> </w:t>
      </w:r>
      <w:r w:rsidRPr="000B3717">
        <w:rPr>
          <w:rFonts w:cs="Arial"/>
          <w:szCs w:val="22"/>
        </w:rPr>
        <w:t>SAIMEX</w:t>
      </w:r>
      <w:r w:rsidRPr="000B3717">
        <w:rPr>
          <w:rFonts w:eastAsia="Calibri" w:cs="Arial"/>
          <w:szCs w:val="22"/>
          <w:lang w:eastAsia="en-US"/>
        </w:rPr>
        <w:t xml:space="preserve"> son personales e irrepetibles.</w:t>
      </w:r>
    </w:p>
    <w:p w14:paraId="2C367810" w14:textId="77777777" w:rsidR="00D91CB4" w:rsidRPr="000B3717" w:rsidRDefault="00D91CB4" w:rsidP="000B3717">
      <w:pPr>
        <w:rPr>
          <w:szCs w:val="22"/>
        </w:rPr>
      </w:pPr>
    </w:p>
    <w:p w14:paraId="496490FC" w14:textId="5A4EB686" w:rsidR="00D91CB4" w:rsidRPr="000B3717" w:rsidRDefault="00BA55A8" w:rsidP="000B3717">
      <w:pPr>
        <w:pStyle w:val="Ttulo3"/>
        <w:rPr>
          <w:rFonts w:eastAsia="Calibri"/>
          <w:szCs w:val="22"/>
          <w:lang w:eastAsia="es-ES_tradnl"/>
        </w:rPr>
      </w:pPr>
      <w:bookmarkStart w:id="23" w:name="_Toc181272197"/>
      <w:r w:rsidRPr="000B3717">
        <w:rPr>
          <w:rFonts w:eastAsia="Calibri"/>
          <w:szCs w:val="22"/>
          <w:lang w:eastAsia="es-ES_tradnl"/>
        </w:rPr>
        <w:t>c)</w:t>
      </w:r>
      <w:r w:rsidR="00664420" w:rsidRPr="000B3717">
        <w:rPr>
          <w:rFonts w:eastAsia="Calibri"/>
          <w:szCs w:val="22"/>
          <w:lang w:eastAsia="es-ES_tradnl"/>
        </w:rPr>
        <w:t xml:space="preserve"> </w:t>
      </w:r>
      <w:r w:rsidR="00D91CB4" w:rsidRPr="000B3717">
        <w:rPr>
          <w:rFonts w:eastAsia="Calibri"/>
          <w:szCs w:val="22"/>
          <w:lang w:eastAsia="es-ES_tradnl"/>
        </w:rPr>
        <w:t>Plazo para interponer el recurso</w:t>
      </w:r>
      <w:r w:rsidR="001B777A" w:rsidRPr="000B3717">
        <w:rPr>
          <w:rFonts w:eastAsia="Calibri"/>
          <w:szCs w:val="22"/>
          <w:lang w:eastAsia="es-ES_tradnl"/>
        </w:rPr>
        <w:t>.</w:t>
      </w:r>
      <w:bookmarkEnd w:id="23"/>
    </w:p>
    <w:p w14:paraId="106D37EE" w14:textId="53186006" w:rsidR="00D91CB4" w:rsidRPr="000B3717" w:rsidRDefault="00D91CB4" w:rsidP="000B3717">
      <w:pPr>
        <w:rPr>
          <w:rFonts w:eastAsiaTheme="minorEastAsia" w:cs="Arial"/>
          <w:szCs w:val="22"/>
          <w:lang w:val="es-ES_tradnl"/>
        </w:rPr>
      </w:pPr>
      <w:r w:rsidRPr="000B3717">
        <w:rPr>
          <w:rFonts w:cs="Arial"/>
          <w:b/>
          <w:szCs w:val="22"/>
        </w:rPr>
        <w:t>EL SUJETO OBLIGADO</w:t>
      </w:r>
      <w:r w:rsidRPr="000B3717">
        <w:rPr>
          <w:rFonts w:cs="Arial"/>
          <w:szCs w:val="22"/>
        </w:rPr>
        <w:t xml:space="preserve"> notificó la</w:t>
      </w:r>
      <w:r w:rsidR="00FC24D4" w:rsidRPr="000B3717">
        <w:rPr>
          <w:rFonts w:cs="Arial"/>
          <w:szCs w:val="22"/>
        </w:rPr>
        <w:t>s</w:t>
      </w:r>
      <w:r w:rsidRPr="000B3717">
        <w:rPr>
          <w:rFonts w:cs="Arial"/>
          <w:szCs w:val="22"/>
        </w:rPr>
        <w:t xml:space="preserve"> respuesta</w:t>
      </w:r>
      <w:r w:rsidR="00FC24D4" w:rsidRPr="000B3717">
        <w:rPr>
          <w:rFonts w:cs="Arial"/>
          <w:szCs w:val="22"/>
        </w:rPr>
        <w:t>s</w:t>
      </w:r>
      <w:r w:rsidRPr="000B3717">
        <w:rPr>
          <w:rFonts w:cs="Arial"/>
          <w:szCs w:val="22"/>
        </w:rPr>
        <w:t xml:space="preserve"> a la</w:t>
      </w:r>
      <w:r w:rsidR="00FC24D4" w:rsidRPr="000B3717">
        <w:rPr>
          <w:rFonts w:cs="Arial"/>
          <w:szCs w:val="22"/>
        </w:rPr>
        <w:t>s</w:t>
      </w:r>
      <w:r w:rsidRPr="000B3717">
        <w:rPr>
          <w:rFonts w:cs="Arial"/>
          <w:szCs w:val="22"/>
        </w:rPr>
        <w:t xml:space="preserve"> solicitud</w:t>
      </w:r>
      <w:r w:rsidR="00FC24D4" w:rsidRPr="000B3717">
        <w:rPr>
          <w:rFonts w:cs="Arial"/>
          <w:szCs w:val="22"/>
        </w:rPr>
        <w:t>es</w:t>
      </w:r>
      <w:r w:rsidRPr="000B3717">
        <w:rPr>
          <w:rFonts w:cs="Arial"/>
          <w:szCs w:val="22"/>
        </w:rPr>
        <w:t xml:space="preserve"> de acceso a la Información Pública el </w:t>
      </w:r>
      <w:r w:rsidR="001D4224" w:rsidRPr="000B3717">
        <w:rPr>
          <w:rFonts w:eastAsia="Palatino Linotype" w:cs="Palatino Linotype"/>
          <w:b/>
          <w:szCs w:val="22"/>
        </w:rPr>
        <w:t>cuatro</w:t>
      </w:r>
      <w:r w:rsidR="00FC24D4" w:rsidRPr="000B3717">
        <w:rPr>
          <w:rFonts w:eastAsia="Palatino Linotype" w:cs="Palatino Linotype"/>
          <w:b/>
          <w:szCs w:val="22"/>
        </w:rPr>
        <w:t xml:space="preserve"> </w:t>
      </w:r>
      <w:r w:rsidRPr="000B3717">
        <w:rPr>
          <w:rFonts w:eastAsia="Palatino Linotype" w:cs="Palatino Linotype"/>
          <w:b/>
          <w:szCs w:val="22"/>
        </w:rPr>
        <w:t xml:space="preserve">de </w:t>
      </w:r>
      <w:r w:rsidR="00495492" w:rsidRPr="000B3717">
        <w:rPr>
          <w:rFonts w:eastAsia="Palatino Linotype" w:cs="Palatino Linotype"/>
          <w:b/>
          <w:szCs w:val="22"/>
        </w:rPr>
        <w:t>octubre</w:t>
      </w:r>
      <w:r w:rsidRPr="000B3717">
        <w:rPr>
          <w:rFonts w:eastAsia="Palatino Linotype" w:cs="Palatino Linotype"/>
          <w:b/>
          <w:szCs w:val="22"/>
        </w:rPr>
        <w:t xml:space="preserve"> de dos mil </w:t>
      </w:r>
      <w:r w:rsidR="001B777A" w:rsidRPr="000B3717">
        <w:rPr>
          <w:rFonts w:eastAsia="Palatino Linotype" w:cs="Palatino Linotype"/>
          <w:b/>
          <w:szCs w:val="22"/>
        </w:rPr>
        <w:t>veinticuatro</w:t>
      </w:r>
      <w:r w:rsidRPr="000B3717">
        <w:rPr>
          <w:rFonts w:cs="Arial"/>
          <w:szCs w:val="22"/>
        </w:rPr>
        <w:t xml:space="preserve"> </w:t>
      </w:r>
      <w:r w:rsidR="00A53315" w:rsidRPr="000B3717">
        <w:rPr>
          <w:rFonts w:cs="Arial"/>
          <w:szCs w:val="22"/>
        </w:rPr>
        <w:t xml:space="preserve">y </w:t>
      </w:r>
      <w:r w:rsidR="00FC24D4" w:rsidRPr="000B3717">
        <w:rPr>
          <w:rFonts w:cs="Arial"/>
          <w:szCs w:val="22"/>
        </w:rPr>
        <w:t>los</w:t>
      </w:r>
      <w:r w:rsidR="00A53315" w:rsidRPr="000B3717">
        <w:rPr>
          <w:rFonts w:cs="Arial"/>
          <w:szCs w:val="22"/>
        </w:rPr>
        <w:t xml:space="preserve"> recurso</w:t>
      </w:r>
      <w:r w:rsidR="00FC24D4" w:rsidRPr="000B3717">
        <w:rPr>
          <w:rFonts w:cs="Arial"/>
          <w:szCs w:val="22"/>
        </w:rPr>
        <w:t>s</w:t>
      </w:r>
      <w:r w:rsidR="00A53315" w:rsidRPr="000B3717">
        <w:rPr>
          <w:rFonts w:cs="Arial"/>
          <w:szCs w:val="22"/>
        </w:rPr>
        <w:t xml:space="preserve"> </w:t>
      </w:r>
      <w:r w:rsidR="00A53315" w:rsidRPr="000B3717">
        <w:rPr>
          <w:rFonts w:eastAsia="Palatino Linotype" w:cs="Palatino Linotype"/>
          <w:szCs w:val="22"/>
        </w:rPr>
        <w:t>que nos ocupa</w:t>
      </w:r>
      <w:r w:rsidR="00FC24D4" w:rsidRPr="000B3717">
        <w:rPr>
          <w:rFonts w:eastAsia="Palatino Linotype" w:cs="Palatino Linotype"/>
          <w:szCs w:val="22"/>
        </w:rPr>
        <w:t>n se interpusieron</w:t>
      </w:r>
      <w:r w:rsidR="00A53315" w:rsidRPr="000B3717">
        <w:rPr>
          <w:rFonts w:eastAsia="Palatino Linotype" w:cs="Palatino Linotype"/>
          <w:szCs w:val="22"/>
        </w:rPr>
        <w:t xml:space="preserve"> el </w:t>
      </w:r>
      <w:r w:rsidR="00495492" w:rsidRPr="000B3717">
        <w:rPr>
          <w:rFonts w:eastAsia="Palatino Linotype" w:cs="Palatino Linotype"/>
          <w:b/>
          <w:szCs w:val="22"/>
        </w:rPr>
        <w:t>siete</w:t>
      </w:r>
      <w:r w:rsidR="00D455DE" w:rsidRPr="000B3717">
        <w:rPr>
          <w:rFonts w:eastAsia="Palatino Linotype" w:cs="Palatino Linotype"/>
          <w:b/>
          <w:szCs w:val="22"/>
        </w:rPr>
        <w:t xml:space="preserve"> de </w:t>
      </w:r>
      <w:r w:rsidR="00495492" w:rsidRPr="000B3717">
        <w:rPr>
          <w:rFonts w:eastAsia="Palatino Linotype" w:cs="Palatino Linotype"/>
          <w:b/>
          <w:szCs w:val="22"/>
        </w:rPr>
        <w:t>octubre</w:t>
      </w:r>
      <w:r w:rsidR="00A53315" w:rsidRPr="000B3717">
        <w:rPr>
          <w:rFonts w:eastAsia="Palatino Linotype" w:cs="Palatino Linotype"/>
          <w:b/>
          <w:szCs w:val="22"/>
        </w:rPr>
        <w:t xml:space="preserve"> de dos mil </w:t>
      </w:r>
      <w:r w:rsidR="001B777A" w:rsidRPr="000B3717">
        <w:rPr>
          <w:rFonts w:eastAsia="Palatino Linotype" w:cs="Palatino Linotype"/>
          <w:b/>
          <w:szCs w:val="22"/>
        </w:rPr>
        <w:t>veinticuatro,</w:t>
      </w:r>
      <w:r w:rsidR="00A53315" w:rsidRPr="000B3717">
        <w:rPr>
          <w:rFonts w:eastAsia="Palatino Linotype" w:cs="Palatino Linotype"/>
          <w:szCs w:val="22"/>
        </w:rPr>
        <w:t xml:space="preserve"> por lo tanto, éste se encuentra dentro del margen temporal previsto en el artículo 178 de la </w:t>
      </w:r>
      <w:r w:rsidR="00A53315" w:rsidRPr="000B3717">
        <w:rPr>
          <w:rFonts w:cs="Arial"/>
          <w:szCs w:val="22"/>
        </w:rPr>
        <w:t xml:space="preserve">Ley de Transparencia y Acceso a la Información Pública del Estado de México y Municipios, </w:t>
      </w:r>
      <w:r w:rsidR="00A53315" w:rsidRPr="000B3717">
        <w:rPr>
          <w:rFonts w:eastAsia="Calibri"/>
          <w:szCs w:val="22"/>
          <w:lang w:eastAsia="es-ES_tradnl"/>
        </w:rPr>
        <w:t xml:space="preserve">el cual </w:t>
      </w:r>
      <w:r w:rsidRPr="000B3717">
        <w:rPr>
          <w:rFonts w:cs="Arial"/>
          <w:szCs w:val="22"/>
        </w:rPr>
        <w:t xml:space="preserve">transcurrió del </w:t>
      </w:r>
      <w:r w:rsidR="00495492" w:rsidRPr="000B3717">
        <w:rPr>
          <w:rFonts w:cs="Arial"/>
          <w:b/>
          <w:szCs w:val="22"/>
        </w:rPr>
        <w:t xml:space="preserve">siete al veinticinco </w:t>
      </w:r>
      <w:r w:rsidR="005D51E9" w:rsidRPr="000B3717">
        <w:rPr>
          <w:rFonts w:cs="Arial"/>
          <w:b/>
          <w:szCs w:val="22"/>
        </w:rPr>
        <w:t xml:space="preserve">de </w:t>
      </w:r>
      <w:r w:rsidR="003815C2" w:rsidRPr="000B3717">
        <w:rPr>
          <w:rFonts w:cs="Arial"/>
          <w:b/>
          <w:szCs w:val="22"/>
        </w:rPr>
        <w:t>octubre</w:t>
      </w:r>
      <w:r w:rsidR="00FC24D4" w:rsidRPr="000B3717">
        <w:rPr>
          <w:rFonts w:cs="Arial"/>
          <w:b/>
          <w:szCs w:val="22"/>
        </w:rPr>
        <w:t xml:space="preserve"> de</w:t>
      </w:r>
      <w:r w:rsidRPr="000B3717">
        <w:rPr>
          <w:rFonts w:cs="Arial"/>
          <w:b/>
          <w:szCs w:val="22"/>
        </w:rPr>
        <w:t xml:space="preserve"> dos mil </w:t>
      </w:r>
      <w:r w:rsidR="001B777A" w:rsidRPr="000B3717">
        <w:rPr>
          <w:rFonts w:cs="Arial"/>
          <w:b/>
          <w:szCs w:val="22"/>
        </w:rPr>
        <w:t>veinticuatro,</w:t>
      </w:r>
      <w:r w:rsidRPr="000B3717">
        <w:rPr>
          <w:rFonts w:cs="Arial"/>
          <w:szCs w:val="22"/>
        </w:rPr>
        <w:t xml:space="preserve"> </w:t>
      </w:r>
      <w:r w:rsidRPr="000B3717">
        <w:rPr>
          <w:rFonts w:eastAsiaTheme="minorEastAsia" w:cs="Arial"/>
          <w:szCs w:val="22"/>
          <w:lang w:val="es-ES_tradnl"/>
        </w:rPr>
        <w:t xml:space="preserve">sin contemplar en el cómputo los días </w:t>
      </w:r>
      <w:bookmarkStart w:id="24" w:name="_Hlk62134391"/>
      <w:r w:rsidRPr="000B3717">
        <w:rPr>
          <w:rFonts w:eastAsiaTheme="minorEastAsia" w:cs="Arial"/>
          <w:szCs w:val="22"/>
          <w:lang w:val="es-ES_tradnl"/>
        </w:rPr>
        <w:t>sábados</w:t>
      </w:r>
      <w:r w:rsidR="00CB7E9A" w:rsidRPr="000B3717">
        <w:rPr>
          <w:rFonts w:eastAsiaTheme="minorEastAsia" w:cs="Arial"/>
          <w:szCs w:val="22"/>
          <w:lang w:val="es-ES_tradnl"/>
        </w:rPr>
        <w:t xml:space="preserve">, </w:t>
      </w:r>
      <w:r w:rsidRPr="000B3717">
        <w:rPr>
          <w:rFonts w:eastAsiaTheme="minorEastAsia" w:cs="Arial"/>
          <w:szCs w:val="22"/>
          <w:lang w:val="es-ES_tradnl"/>
        </w:rPr>
        <w:t>domingos</w:t>
      </w:r>
      <w:r w:rsidR="00CB7E9A" w:rsidRPr="000B3717">
        <w:rPr>
          <w:rFonts w:eastAsiaTheme="minorEastAsia" w:cs="Arial"/>
          <w:szCs w:val="22"/>
          <w:lang w:val="es-ES_tradnl"/>
        </w:rPr>
        <w:t xml:space="preserve"> y aquellos</w:t>
      </w:r>
      <w:r w:rsidRPr="000B3717">
        <w:rPr>
          <w:rFonts w:eastAsiaTheme="minorEastAsia" w:cs="Arial"/>
          <w:szCs w:val="22"/>
          <w:lang w:val="es-ES_tradnl"/>
        </w:rPr>
        <w:t xml:space="preserve"> considerados como días inhábiles</w:t>
      </w:r>
      <w:r w:rsidR="00CB7E9A" w:rsidRPr="000B3717">
        <w:rPr>
          <w:rFonts w:eastAsiaTheme="minorEastAsia" w:cs="Arial"/>
          <w:szCs w:val="22"/>
          <w:lang w:val="es-ES_tradnl"/>
        </w:rPr>
        <w:t xml:space="preserve"> </w:t>
      </w:r>
      <w:r w:rsidRPr="000B3717">
        <w:rPr>
          <w:rFonts w:eastAsiaTheme="minorEastAsia" w:cs="Arial"/>
          <w:szCs w:val="22"/>
          <w:lang w:val="es-ES_tradnl"/>
        </w:rPr>
        <w:t xml:space="preserve">en términos del </w:t>
      </w:r>
      <w:bookmarkEnd w:id="24"/>
      <w:r w:rsidRPr="000B3717">
        <w:rPr>
          <w:rFonts w:eastAsiaTheme="minorEastAsia" w:cs="Arial"/>
          <w:szCs w:val="22"/>
          <w:lang w:val="es-ES_tradnl"/>
        </w:rPr>
        <w:t>Calendario oficia</w:t>
      </w:r>
      <w:r w:rsidR="00CB7E9A" w:rsidRPr="000B3717">
        <w:rPr>
          <w:rFonts w:eastAsiaTheme="minorEastAsia" w:cs="Arial"/>
          <w:szCs w:val="22"/>
          <w:lang w:val="es-ES_tradnl"/>
        </w:rPr>
        <w:t>l en Materia de Transparencia, Acceso a la Información Pública y Protección de Datos Personales del Estado de México y Municipios, así como de labores del Instituto.</w:t>
      </w:r>
    </w:p>
    <w:p w14:paraId="49076992" w14:textId="77777777" w:rsidR="00D91CB4" w:rsidRPr="000B3717" w:rsidRDefault="00D91CB4" w:rsidP="000B3717">
      <w:pPr>
        <w:rPr>
          <w:rFonts w:eastAsia="Palatino Linotype" w:cs="Palatino Linotype"/>
          <w:szCs w:val="22"/>
        </w:rPr>
      </w:pPr>
    </w:p>
    <w:p w14:paraId="46C0EB3A" w14:textId="520AFABB" w:rsidR="00A53315" w:rsidRPr="000B3717" w:rsidRDefault="00BA55A8" w:rsidP="000B3717">
      <w:pPr>
        <w:pStyle w:val="Ttulo3"/>
        <w:rPr>
          <w:rFonts w:eastAsia="Calibri"/>
          <w:szCs w:val="22"/>
          <w:lang w:eastAsia="es-ES_tradnl"/>
        </w:rPr>
      </w:pPr>
      <w:bookmarkStart w:id="25" w:name="_Toc181272198"/>
      <w:r w:rsidRPr="000B3717">
        <w:rPr>
          <w:rFonts w:eastAsia="Calibri"/>
          <w:szCs w:val="22"/>
          <w:lang w:eastAsia="es-ES_tradnl"/>
        </w:rPr>
        <w:lastRenderedPageBreak/>
        <w:t>d)</w:t>
      </w:r>
      <w:r w:rsidR="00D91CB4" w:rsidRPr="000B3717">
        <w:rPr>
          <w:rFonts w:eastAsia="Calibri"/>
          <w:szCs w:val="22"/>
          <w:lang w:eastAsia="es-ES_tradnl"/>
        </w:rPr>
        <w:t xml:space="preserve"> </w:t>
      </w:r>
      <w:r w:rsidR="00D7596A" w:rsidRPr="000B3717">
        <w:rPr>
          <w:rFonts w:eastAsia="Calibri"/>
          <w:szCs w:val="22"/>
          <w:lang w:eastAsia="es-ES_tradnl"/>
        </w:rPr>
        <w:t>Causal</w:t>
      </w:r>
      <w:r w:rsidR="005D51E9" w:rsidRPr="000B3717">
        <w:rPr>
          <w:rFonts w:eastAsia="Calibri"/>
          <w:szCs w:val="22"/>
          <w:lang w:eastAsia="es-ES_tradnl"/>
        </w:rPr>
        <w:t>es</w:t>
      </w:r>
      <w:r w:rsidR="00D7596A" w:rsidRPr="000B3717">
        <w:rPr>
          <w:rFonts w:eastAsia="Calibri"/>
          <w:szCs w:val="22"/>
          <w:lang w:eastAsia="es-ES_tradnl"/>
        </w:rPr>
        <w:t xml:space="preserve"> de procedencia</w:t>
      </w:r>
      <w:r w:rsidR="001B777A" w:rsidRPr="000B3717">
        <w:rPr>
          <w:rFonts w:eastAsia="Calibri"/>
          <w:szCs w:val="22"/>
          <w:lang w:eastAsia="es-ES_tradnl"/>
        </w:rPr>
        <w:t>.</w:t>
      </w:r>
      <w:bookmarkEnd w:id="25"/>
    </w:p>
    <w:p w14:paraId="190404A6" w14:textId="26580E8D" w:rsidR="00BA55A8" w:rsidRPr="000B3717" w:rsidRDefault="00BA55A8" w:rsidP="000B3717">
      <w:pPr>
        <w:rPr>
          <w:szCs w:val="22"/>
        </w:rPr>
      </w:pPr>
      <w:r w:rsidRPr="000B3717">
        <w:rPr>
          <w:rFonts w:cs="Arial"/>
          <w:szCs w:val="22"/>
        </w:rPr>
        <w:t>Resulta procedente la interposición de</w:t>
      </w:r>
      <w:r w:rsidR="008E0766" w:rsidRPr="000B3717">
        <w:rPr>
          <w:rFonts w:cs="Arial"/>
          <w:szCs w:val="22"/>
        </w:rPr>
        <w:t xml:space="preserve"> </w:t>
      </w:r>
      <w:r w:rsidRPr="000B3717">
        <w:rPr>
          <w:rFonts w:cs="Arial"/>
          <w:szCs w:val="22"/>
        </w:rPr>
        <w:t>l</w:t>
      </w:r>
      <w:r w:rsidR="008E0766" w:rsidRPr="000B3717">
        <w:rPr>
          <w:rFonts w:cs="Arial"/>
          <w:szCs w:val="22"/>
        </w:rPr>
        <w:t>os</w:t>
      </w:r>
      <w:r w:rsidRPr="000B3717">
        <w:rPr>
          <w:rFonts w:cs="Arial"/>
          <w:szCs w:val="22"/>
        </w:rPr>
        <w:t xml:space="preserve"> recurso</w:t>
      </w:r>
      <w:r w:rsidR="008E0766" w:rsidRPr="000B3717">
        <w:rPr>
          <w:rFonts w:cs="Arial"/>
          <w:szCs w:val="22"/>
        </w:rPr>
        <w:t>s</w:t>
      </w:r>
      <w:r w:rsidRPr="000B3717">
        <w:rPr>
          <w:rFonts w:cs="Arial"/>
          <w:szCs w:val="22"/>
        </w:rPr>
        <w:t xml:space="preserve"> de revisión, ya que </w:t>
      </w:r>
      <w:r w:rsidRPr="000B3717">
        <w:rPr>
          <w:rFonts w:eastAsia="Calibri" w:cs="Tahoma"/>
          <w:szCs w:val="22"/>
          <w:lang w:eastAsia="es-MX"/>
        </w:rPr>
        <w:t>se actualiza la</w:t>
      </w:r>
      <w:r w:rsidR="008E0766" w:rsidRPr="000B3717">
        <w:rPr>
          <w:rFonts w:eastAsia="Calibri" w:cs="Tahoma"/>
          <w:szCs w:val="22"/>
          <w:lang w:eastAsia="es-MX"/>
        </w:rPr>
        <w:t>s</w:t>
      </w:r>
      <w:r w:rsidRPr="000B3717">
        <w:rPr>
          <w:rFonts w:eastAsia="Calibri" w:cs="Tahoma"/>
          <w:szCs w:val="22"/>
          <w:lang w:eastAsia="es-MX"/>
        </w:rPr>
        <w:t xml:space="preserve"> causal</w:t>
      </w:r>
      <w:r w:rsidR="008E0766" w:rsidRPr="000B3717">
        <w:rPr>
          <w:rFonts w:eastAsia="Calibri" w:cs="Tahoma"/>
          <w:szCs w:val="22"/>
          <w:lang w:eastAsia="es-MX"/>
        </w:rPr>
        <w:t>es</w:t>
      </w:r>
      <w:r w:rsidRPr="000B3717">
        <w:rPr>
          <w:rFonts w:eastAsia="Calibri" w:cs="Tahoma"/>
          <w:szCs w:val="22"/>
          <w:lang w:eastAsia="es-MX"/>
        </w:rPr>
        <w:t xml:space="preserve"> de procedencia señalada</w:t>
      </w:r>
      <w:r w:rsidR="008E0766" w:rsidRPr="000B3717">
        <w:rPr>
          <w:rFonts w:eastAsia="Calibri" w:cs="Tahoma"/>
          <w:szCs w:val="22"/>
          <w:lang w:eastAsia="es-MX"/>
        </w:rPr>
        <w:t>s</w:t>
      </w:r>
      <w:r w:rsidRPr="000B3717">
        <w:rPr>
          <w:rFonts w:eastAsia="Calibri" w:cs="Tahoma"/>
          <w:szCs w:val="22"/>
          <w:lang w:eastAsia="es-MX"/>
        </w:rPr>
        <w:t xml:space="preserve"> en </w:t>
      </w:r>
      <w:r w:rsidR="008E0766" w:rsidRPr="000B3717">
        <w:rPr>
          <w:rFonts w:eastAsia="Calibri" w:cs="Tahoma"/>
          <w:szCs w:val="22"/>
          <w:lang w:eastAsia="es-MX"/>
        </w:rPr>
        <w:t xml:space="preserve">el artículo 179, </w:t>
      </w:r>
      <w:r w:rsidR="00495492" w:rsidRPr="000B3717">
        <w:rPr>
          <w:rFonts w:eastAsia="Calibri" w:cs="Tahoma"/>
          <w:szCs w:val="22"/>
          <w:lang w:eastAsia="es-MX"/>
        </w:rPr>
        <w:t>fracción</w:t>
      </w:r>
      <w:r w:rsidRPr="000B3717">
        <w:rPr>
          <w:rFonts w:eastAsia="Calibri" w:cs="Tahoma"/>
          <w:szCs w:val="22"/>
          <w:lang w:eastAsia="es-MX"/>
        </w:rPr>
        <w:t xml:space="preserve"> </w:t>
      </w:r>
      <w:r w:rsidR="00B11016" w:rsidRPr="000B3717">
        <w:rPr>
          <w:rFonts w:eastAsia="Calibri" w:cs="Tahoma"/>
          <w:szCs w:val="22"/>
          <w:lang w:eastAsia="es-MX"/>
        </w:rPr>
        <w:t>I</w:t>
      </w:r>
      <w:r w:rsidR="003815C2" w:rsidRPr="000B3717">
        <w:rPr>
          <w:rFonts w:eastAsia="Calibri" w:cs="Tahoma"/>
          <w:szCs w:val="22"/>
          <w:lang w:eastAsia="es-MX"/>
        </w:rPr>
        <w:t xml:space="preserve"> </w:t>
      </w:r>
      <w:r w:rsidRPr="000B3717">
        <w:rPr>
          <w:rFonts w:cs="Arial"/>
          <w:szCs w:val="22"/>
        </w:rPr>
        <w:t xml:space="preserve">de la </w:t>
      </w:r>
      <w:r w:rsidRPr="000B3717">
        <w:rPr>
          <w:szCs w:val="22"/>
        </w:rPr>
        <w:t>Ley de Transparencia y Acceso a la Información Pública del Estado de México y Municipios.</w:t>
      </w:r>
    </w:p>
    <w:p w14:paraId="0EFF7141" w14:textId="77777777" w:rsidR="00362A11" w:rsidRPr="000B3717" w:rsidRDefault="00362A11" w:rsidP="000B3717">
      <w:pPr>
        <w:rPr>
          <w:szCs w:val="22"/>
        </w:rPr>
      </w:pPr>
    </w:p>
    <w:p w14:paraId="2284D7EB" w14:textId="3928E4AB" w:rsidR="00BA55A8" w:rsidRPr="000B3717" w:rsidRDefault="00362A11" w:rsidP="000B3717">
      <w:pPr>
        <w:pStyle w:val="Ttulo3"/>
        <w:rPr>
          <w:szCs w:val="22"/>
        </w:rPr>
      </w:pPr>
      <w:bookmarkStart w:id="26" w:name="_Toc181272199"/>
      <w:r w:rsidRPr="000B3717">
        <w:rPr>
          <w:szCs w:val="22"/>
        </w:rPr>
        <w:t>e) Requisitos formales para la interposición del recurso</w:t>
      </w:r>
      <w:r w:rsidR="001B777A" w:rsidRPr="000B3717">
        <w:rPr>
          <w:szCs w:val="22"/>
        </w:rPr>
        <w:t>.</w:t>
      </w:r>
      <w:bookmarkEnd w:id="26"/>
    </w:p>
    <w:p w14:paraId="431FDE21" w14:textId="77777777" w:rsidR="00495492" w:rsidRPr="000B3717" w:rsidRDefault="00495492" w:rsidP="000B3717">
      <w:pPr>
        <w:rPr>
          <w:rFonts w:cs="Arial"/>
          <w:lang w:val="es-ES"/>
        </w:rPr>
      </w:pPr>
      <w:bookmarkStart w:id="27" w:name="_Toc174008777"/>
      <w:r w:rsidRPr="000B3717">
        <w:rPr>
          <w:lang w:val="es-ES"/>
        </w:rPr>
        <w:t xml:space="preserve">Es importante mencionar que, de la revisión del expediente electrónico del </w:t>
      </w:r>
      <w:r w:rsidRPr="000B3717">
        <w:rPr>
          <w:bCs/>
          <w:lang w:val="es-ES"/>
        </w:rPr>
        <w:t>SAIMEX,</w:t>
      </w:r>
      <w:r w:rsidRPr="000B3717">
        <w:rPr>
          <w:lang w:val="es-ES"/>
        </w:rPr>
        <w:t xml:space="preserve"> se observa que </w:t>
      </w:r>
      <w:r w:rsidRPr="000B3717">
        <w:rPr>
          <w:b/>
          <w:bCs/>
          <w:lang w:val="es-ES"/>
        </w:rPr>
        <w:t>LA PARTE RECURRENTE</w:t>
      </w:r>
      <w:r w:rsidRPr="000B3717">
        <w:rPr>
          <w:lang w:val="es-ES"/>
        </w:rPr>
        <w:t xml:space="preserve"> no proporcionó su nombre para ser identificado, lo que en estricto sentido provoca que </w:t>
      </w:r>
      <w:r w:rsidRPr="000B3717">
        <w:rPr>
          <w:rFonts w:cs="Arial"/>
          <w:lang w:val="es-ES"/>
        </w:rPr>
        <w:t>no</w:t>
      </w:r>
      <w:r w:rsidRPr="000B3717">
        <w:rPr>
          <w:lang w:val="es-ES"/>
        </w:rPr>
        <w:t xml:space="preserve"> se colmen los requisitos establecidos en el artículo 180 de la Ley de Transparencia; sin embargo, el artículo 15 de </w:t>
      </w:r>
      <w:r w:rsidRPr="000B3717">
        <w:rPr>
          <w:rFonts w:cs="Arial"/>
          <w:lang w:val="es-ES" w:eastAsia="es-MX"/>
        </w:rPr>
        <w:t xml:space="preserve">Ley de Transparencia y Acceso a la </w:t>
      </w:r>
      <w:r w:rsidRPr="000B3717">
        <w:rPr>
          <w:rFonts w:cs="Arial"/>
          <w:lang w:val="es-ES"/>
        </w:rPr>
        <w:t>Información</w:t>
      </w:r>
      <w:r w:rsidRPr="000B3717">
        <w:rPr>
          <w:rFonts w:cs="Arial"/>
          <w:lang w:val="es-ES" w:eastAsia="es-MX"/>
        </w:rPr>
        <w:t xml:space="preserve"> Pública del Estado de México y Municipios </w:t>
      </w:r>
      <w:r w:rsidRPr="000B3717">
        <w:rPr>
          <w:rFonts w:cs="Arial"/>
          <w:iCs/>
          <w:lang w:val="es-ES"/>
        </w:rPr>
        <w:t xml:space="preserve">prevé que </w:t>
      </w:r>
      <w:r w:rsidRPr="000B3717">
        <w:rPr>
          <w:lang w:val="es-ES"/>
        </w:rPr>
        <w:t xml:space="preserve">toda persona tendrá acceso a la información </w:t>
      </w:r>
      <w:r w:rsidRPr="000B3717">
        <w:rPr>
          <w:rFonts w:cs="Arial"/>
          <w:lang w:val="es-ES"/>
        </w:rPr>
        <w:t xml:space="preserve">sin necesidad de acreditar interés alguno o justificar su utilización, de lo que se infiere que </w:t>
      </w:r>
      <w:r w:rsidRPr="000B3717">
        <w:rPr>
          <w:rFonts w:cs="Arial"/>
          <w:b/>
          <w:u w:val="single"/>
          <w:lang w:val="es-ES"/>
        </w:rPr>
        <w:t xml:space="preserve">el nombre no es un requisito </w:t>
      </w:r>
      <w:r w:rsidRPr="000B3717">
        <w:rPr>
          <w:rFonts w:cs="Arial"/>
          <w:b/>
          <w:iCs/>
          <w:u w:val="single"/>
          <w:lang w:val="es-ES"/>
        </w:rPr>
        <w:t>indispensable</w:t>
      </w:r>
      <w:r w:rsidRPr="000B3717">
        <w:rPr>
          <w:rFonts w:cs="Arial"/>
          <w:lang w:val="es-ES"/>
        </w:rPr>
        <w:t xml:space="preserve"> para que las y los ciudadanos ejerzan el derecho de acceso a la información pública. </w:t>
      </w:r>
    </w:p>
    <w:p w14:paraId="38997B0B" w14:textId="77777777" w:rsidR="00495492" w:rsidRPr="000B3717" w:rsidRDefault="00495492" w:rsidP="000B3717">
      <w:pPr>
        <w:rPr>
          <w:rFonts w:cs="Arial"/>
          <w:lang w:val="es-ES"/>
        </w:rPr>
      </w:pPr>
    </w:p>
    <w:p w14:paraId="731233C7" w14:textId="77777777" w:rsidR="00495492" w:rsidRPr="000B3717" w:rsidRDefault="00495492" w:rsidP="000B3717">
      <w:pPr>
        <w:rPr>
          <w:lang w:val="es-ES"/>
        </w:rPr>
      </w:pPr>
      <w:r w:rsidRPr="000B3717">
        <w:rPr>
          <w:rFonts w:cs="Arial"/>
          <w:lang w:val="es-ES"/>
        </w:rPr>
        <w:t>Asimismo, la Ley de la materia prevé en su artículo 155, párrafo segundo la posibilidad de que las solicitudes de información sean anónimas, al utilizar un nombre incompleto o, inclusive un seudónimo.</w:t>
      </w:r>
      <w:r w:rsidRPr="000B3717">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0B3717">
        <w:rPr>
          <w:b/>
          <w:bCs/>
          <w:lang w:val="es-ES"/>
        </w:rPr>
        <w:t>LA PARTE RECURRENTE</w:t>
      </w:r>
      <w:r w:rsidRPr="000B3717">
        <w:rPr>
          <w:rFonts w:cs="Arial"/>
          <w:b/>
          <w:lang w:val="es-ES"/>
        </w:rPr>
        <w:t>;</w:t>
      </w:r>
      <w:r w:rsidRPr="000B3717">
        <w:rPr>
          <w:lang w:val="es-ES"/>
        </w:rPr>
        <w:t xml:space="preserve"> por lo que, en el presente caso, al haber sido presentado el recurso de revisión vía </w:t>
      </w:r>
      <w:r w:rsidRPr="000B3717">
        <w:rPr>
          <w:bCs/>
          <w:lang w:val="es-ES"/>
        </w:rPr>
        <w:t>SAIMEX</w:t>
      </w:r>
      <w:r w:rsidRPr="000B3717">
        <w:rPr>
          <w:lang w:val="es-ES"/>
        </w:rPr>
        <w:t>, dicho requisito resulta innecesario.</w:t>
      </w:r>
    </w:p>
    <w:p w14:paraId="19C54100" w14:textId="77777777" w:rsidR="00926B54" w:rsidRPr="000B3717" w:rsidRDefault="00926B54" w:rsidP="000B3717">
      <w:pPr>
        <w:rPr>
          <w:szCs w:val="22"/>
        </w:rPr>
      </w:pPr>
    </w:p>
    <w:p w14:paraId="03F0E49A" w14:textId="3F5B526D" w:rsidR="008E0766" w:rsidRPr="000B3717" w:rsidRDefault="008E0766" w:rsidP="000B3717">
      <w:pPr>
        <w:pStyle w:val="Ttulo3"/>
        <w:rPr>
          <w:szCs w:val="22"/>
        </w:rPr>
      </w:pPr>
      <w:bookmarkStart w:id="28" w:name="_Toc181272200"/>
      <w:r w:rsidRPr="000B3717">
        <w:rPr>
          <w:szCs w:val="22"/>
        </w:rPr>
        <w:lastRenderedPageBreak/>
        <w:t>f) Acumulación de los Recursos de Revisión</w:t>
      </w:r>
      <w:bookmarkEnd w:id="27"/>
      <w:r w:rsidR="00926B54" w:rsidRPr="000B3717">
        <w:rPr>
          <w:szCs w:val="22"/>
        </w:rPr>
        <w:t>.</w:t>
      </w:r>
      <w:bookmarkEnd w:id="28"/>
    </w:p>
    <w:p w14:paraId="78522F63" w14:textId="5CC54CA4" w:rsidR="008E0766" w:rsidRPr="000B3717" w:rsidRDefault="008E0766" w:rsidP="000B3717">
      <w:pPr>
        <w:rPr>
          <w:szCs w:val="22"/>
        </w:rPr>
      </w:pPr>
      <w:r w:rsidRPr="000B3717">
        <w:rPr>
          <w:szCs w:val="22"/>
        </w:rPr>
        <w:t xml:space="preserve">De las constancias que obran en los expedientes acumulados, se advierte que los recursos de revisión </w:t>
      </w:r>
      <w:r w:rsidR="00495492" w:rsidRPr="000B3717">
        <w:rPr>
          <w:rFonts w:cs="Tahoma"/>
          <w:b/>
          <w:bCs/>
          <w:szCs w:val="22"/>
        </w:rPr>
        <w:t>06032</w:t>
      </w:r>
      <w:r w:rsidR="00BD792E" w:rsidRPr="000B3717">
        <w:rPr>
          <w:rFonts w:cs="Tahoma"/>
          <w:b/>
          <w:bCs/>
          <w:szCs w:val="22"/>
        </w:rPr>
        <w:t>/</w:t>
      </w:r>
      <w:r w:rsidR="00D455DE" w:rsidRPr="000B3717">
        <w:rPr>
          <w:rFonts w:cs="Tahoma"/>
          <w:b/>
          <w:bCs/>
          <w:szCs w:val="22"/>
        </w:rPr>
        <w:t xml:space="preserve">INFOEM/IP/RR/2024 </w:t>
      </w:r>
      <w:r w:rsidR="00BD792E" w:rsidRPr="000B3717">
        <w:rPr>
          <w:rFonts w:cs="Tahoma"/>
          <w:szCs w:val="22"/>
        </w:rPr>
        <w:t xml:space="preserve">y </w:t>
      </w:r>
      <w:r w:rsidR="00495492" w:rsidRPr="000B3717">
        <w:rPr>
          <w:rFonts w:cs="Tahoma"/>
          <w:b/>
          <w:bCs/>
          <w:szCs w:val="22"/>
        </w:rPr>
        <w:t>06033</w:t>
      </w:r>
      <w:r w:rsidR="00BD792E" w:rsidRPr="000B3717">
        <w:rPr>
          <w:rFonts w:cs="Tahoma"/>
          <w:b/>
          <w:bCs/>
          <w:szCs w:val="22"/>
        </w:rPr>
        <w:t>/INFOEM/IP/RR/2024</w:t>
      </w:r>
      <w:r w:rsidRPr="000B3717">
        <w:rPr>
          <w:rFonts w:cs="Tahoma"/>
          <w:b/>
          <w:bCs/>
          <w:szCs w:val="22"/>
        </w:rPr>
        <w:t>,</w:t>
      </w:r>
      <w:r w:rsidRPr="000B3717">
        <w:rPr>
          <w:b/>
          <w:szCs w:val="22"/>
        </w:rPr>
        <w:t xml:space="preserve"> </w:t>
      </w:r>
      <w:r w:rsidRPr="000B3717">
        <w:rPr>
          <w:szCs w:val="22"/>
        </w:rPr>
        <w:t xml:space="preserve">fueron presentados por la misma </w:t>
      </w:r>
      <w:r w:rsidRPr="000B3717">
        <w:rPr>
          <w:b/>
          <w:szCs w:val="22"/>
        </w:rPr>
        <w:t>PARTE RECURRENTE</w:t>
      </w:r>
      <w:r w:rsidRPr="000B3717">
        <w:rPr>
          <w:szCs w:val="22"/>
        </w:rPr>
        <w:t xml:space="preserve"> respecto de actos u omisiones similares, realizados por el mismo </w:t>
      </w:r>
      <w:r w:rsidRPr="000B3717">
        <w:rPr>
          <w:b/>
          <w:szCs w:val="22"/>
        </w:rPr>
        <w:t>SUJETO OBLIGADO</w:t>
      </w:r>
      <w:r w:rsidRPr="000B3717">
        <w:rPr>
          <w:szCs w:val="22"/>
        </w:rPr>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6E5F30E9" w14:textId="77777777" w:rsidR="00A84BB5" w:rsidRPr="000B3717" w:rsidRDefault="00A84BB5" w:rsidP="000B3717">
      <w:pPr>
        <w:rPr>
          <w:bCs/>
          <w:szCs w:val="22"/>
          <w:lang w:val="es-ES_tradnl"/>
        </w:rPr>
      </w:pPr>
    </w:p>
    <w:p w14:paraId="457548E9" w14:textId="212101EC" w:rsidR="00C71CEF" w:rsidRPr="000B3717" w:rsidRDefault="00C71CEF" w:rsidP="000B3717">
      <w:pPr>
        <w:pStyle w:val="Ttulo2"/>
        <w:rPr>
          <w:szCs w:val="22"/>
        </w:rPr>
      </w:pPr>
      <w:bookmarkStart w:id="29" w:name="_Toc181272201"/>
      <w:r w:rsidRPr="000B3717">
        <w:rPr>
          <w:szCs w:val="22"/>
        </w:rPr>
        <w:t xml:space="preserve">SEGUNDO. </w:t>
      </w:r>
      <w:r w:rsidR="00F04F85" w:rsidRPr="000B3717">
        <w:rPr>
          <w:szCs w:val="22"/>
        </w:rPr>
        <w:t>Estudio de fondo</w:t>
      </w:r>
      <w:r w:rsidR="001B777A" w:rsidRPr="000B3717">
        <w:rPr>
          <w:szCs w:val="22"/>
        </w:rPr>
        <w:t>.</w:t>
      </w:r>
      <w:bookmarkEnd w:id="29"/>
    </w:p>
    <w:p w14:paraId="2A308F59" w14:textId="3FB91307" w:rsidR="00C049E2" w:rsidRPr="000B3717" w:rsidRDefault="00C71CEF" w:rsidP="000B3717">
      <w:pPr>
        <w:pStyle w:val="Ttulo3"/>
        <w:rPr>
          <w:szCs w:val="22"/>
        </w:rPr>
      </w:pPr>
      <w:bookmarkStart w:id="30" w:name="_Toc181272202"/>
      <w:r w:rsidRPr="000B3717">
        <w:rPr>
          <w:szCs w:val="22"/>
        </w:rPr>
        <w:t>a</w:t>
      </w:r>
      <w:r w:rsidR="00C049E2" w:rsidRPr="000B3717">
        <w:rPr>
          <w:szCs w:val="22"/>
        </w:rPr>
        <w:t>) Mandato de transparencia y responsabilidad del Sujeto Obligado</w:t>
      </w:r>
      <w:r w:rsidR="00926B54" w:rsidRPr="000B3717">
        <w:rPr>
          <w:szCs w:val="22"/>
        </w:rPr>
        <w:t>.</w:t>
      </w:r>
      <w:bookmarkEnd w:id="30"/>
    </w:p>
    <w:p w14:paraId="6901A889" w14:textId="59EEDAE1" w:rsidR="00C049E2" w:rsidRPr="000B3717" w:rsidRDefault="00C049E2" w:rsidP="000B3717">
      <w:pPr>
        <w:rPr>
          <w:rFonts w:eastAsia="Palatino Linotype"/>
          <w:szCs w:val="22"/>
        </w:rPr>
      </w:pPr>
      <w:r w:rsidRPr="000B3717">
        <w:rPr>
          <w:rFonts w:eastAsia="Palatino Linotype"/>
          <w:szCs w:val="22"/>
        </w:rPr>
        <w:t xml:space="preserve">El </w:t>
      </w:r>
      <w:r w:rsidR="00717E59" w:rsidRPr="000B3717">
        <w:rPr>
          <w:rFonts w:eastAsia="Palatino Linotype"/>
          <w:szCs w:val="22"/>
        </w:rPr>
        <w:t>d</w:t>
      </w:r>
      <w:r w:rsidRPr="000B3717">
        <w:rPr>
          <w:rFonts w:eastAsia="Palatino Linotype"/>
          <w:szCs w:val="22"/>
        </w:rPr>
        <w:t xml:space="preserve">erecho de </w:t>
      </w:r>
      <w:r w:rsidR="00717E59" w:rsidRPr="000B3717">
        <w:rPr>
          <w:rFonts w:eastAsia="Palatino Linotype"/>
          <w:szCs w:val="22"/>
        </w:rPr>
        <w:t>a</w:t>
      </w:r>
      <w:r w:rsidRPr="000B3717">
        <w:rPr>
          <w:rFonts w:eastAsia="Palatino Linotype"/>
          <w:szCs w:val="22"/>
        </w:rPr>
        <w:t xml:space="preserve">cceso a la </w:t>
      </w:r>
      <w:r w:rsidR="00717E59" w:rsidRPr="000B3717">
        <w:rPr>
          <w:rFonts w:eastAsia="Palatino Linotype"/>
          <w:szCs w:val="22"/>
        </w:rPr>
        <w:t>i</w:t>
      </w:r>
      <w:r w:rsidRPr="000B3717">
        <w:rPr>
          <w:rFonts w:eastAsia="Palatino Linotype"/>
          <w:szCs w:val="22"/>
        </w:rPr>
        <w:t xml:space="preserve">nformación </w:t>
      </w:r>
      <w:r w:rsidR="00717E59" w:rsidRPr="000B3717">
        <w:rPr>
          <w:rFonts w:eastAsia="Palatino Linotype"/>
          <w:szCs w:val="22"/>
        </w:rPr>
        <w:t>p</w:t>
      </w:r>
      <w:r w:rsidRPr="000B3717">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0B3717">
        <w:rPr>
          <w:rFonts w:eastAsia="Palatino Linotype"/>
          <w:szCs w:val="22"/>
        </w:rPr>
        <w:t>:</w:t>
      </w:r>
    </w:p>
    <w:p w14:paraId="7FAB8D32" w14:textId="77777777" w:rsidR="00C049E2" w:rsidRPr="000B3717" w:rsidRDefault="00C049E2" w:rsidP="000B3717">
      <w:pPr>
        <w:rPr>
          <w:rFonts w:eastAsia="Palatino Linotype"/>
          <w:szCs w:val="22"/>
        </w:rPr>
      </w:pPr>
    </w:p>
    <w:p w14:paraId="05320813" w14:textId="77777777" w:rsidR="00C049E2" w:rsidRPr="000B3717" w:rsidRDefault="00C049E2" w:rsidP="000B3717">
      <w:pPr>
        <w:spacing w:line="240" w:lineRule="auto"/>
        <w:ind w:left="567" w:right="539"/>
        <w:rPr>
          <w:rFonts w:eastAsia="Palatino Linotype"/>
          <w:b/>
          <w:i/>
          <w:szCs w:val="22"/>
        </w:rPr>
      </w:pPr>
      <w:r w:rsidRPr="000B3717">
        <w:rPr>
          <w:rFonts w:eastAsia="Palatino Linotype"/>
          <w:b/>
          <w:i/>
          <w:szCs w:val="22"/>
        </w:rPr>
        <w:t>Constitución Política de los Estados Unidos Mexicanos</w:t>
      </w:r>
    </w:p>
    <w:p w14:paraId="6B6C67B6" w14:textId="77777777" w:rsidR="00C049E2" w:rsidRPr="000B3717" w:rsidRDefault="00C049E2" w:rsidP="000B3717">
      <w:pPr>
        <w:spacing w:line="240" w:lineRule="auto"/>
        <w:ind w:left="567" w:right="539"/>
        <w:rPr>
          <w:rFonts w:eastAsia="Palatino Linotype"/>
          <w:b/>
          <w:i/>
          <w:szCs w:val="22"/>
        </w:rPr>
      </w:pPr>
      <w:r w:rsidRPr="000B3717">
        <w:rPr>
          <w:rFonts w:eastAsia="Palatino Linotype"/>
          <w:b/>
          <w:i/>
          <w:szCs w:val="22"/>
        </w:rPr>
        <w:t>“Artículo 6.</w:t>
      </w:r>
    </w:p>
    <w:p w14:paraId="38D3B4C4" w14:textId="77777777" w:rsidR="00C049E2" w:rsidRPr="000B3717" w:rsidRDefault="00C049E2" w:rsidP="000B3717">
      <w:pPr>
        <w:spacing w:line="240" w:lineRule="auto"/>
        <w:ind w:left="567" w:right="539"/>
        <w:rPr>
          <w:rFonts w:eastAsia="Palatino Linotype"/>
          <w:i/>
          <w:szCs w:val="22"/>
        </w:rPr>
      </w:pPr>
      <w:r w:rsidRPr="000B3717">
        <w:rPr>
          <w:rFonts w:eastAsia="Palatino Linotype"/>
          <w:i/>
          <w:szCs w:val="22"/>
        </w:rPr>
        <w:t>(…)</w:t>
      </w:r>
    </w:p>
    <w:p w14:paraId="2CCAA297" w14:textId="6602827B" w:rsidR="00C049E2" w:rsidRPr="000B3717" w:rsidRDefault="00C049E2" w:rsidP="000B3717">
      <w:pPr>
        <w:spacing w:line="240" w:lineRule="auto"/>
        <w:ind w:left="567" w:right="539"/>
        <w:rPr>
          <w:rFonts w:eastAsia="Palatino Linotype"/>
          <w:i/>
          <w:szCs w:val="22"/>
        </w:rPr>
      </w:pPr>
      <w:r w:rsidRPr="000B3717">
        <w:rPr>
          <w:rFonts w:eastAsia="Palatino Linotype"/>
          <w:i/>
          <w:szCs w:val="22"/>
        </w:rPr>
        <w:t>Para efectos de lo dispuesto en el presente artículo se observará lo siguiente:</w:t>
      </w:r>
    </w:p>
    <w:p w14:paraId="74CC3718" w14:textId="77777777" w:rsidR="00C049E2" w:rsidRPr="000B3717" w:rsidRDefault="00C049E2" w:rsidP="000B3717">
      <w:pPr>
        <w:spacing w:line="240" w:lineRule="auto"/>
        <w:ind w:left="567" w:right="539"/>
        <w:rPr>
          <w:rFonts w:eastAsia="Palatino Linotype"/>
          <w:b/>
          <w:i/>
          <w:szCs w:val="22"/>
        </w:rPr>
      </w:pPr>
      <w:r w:rsidRPr="000B3717">
        <w:rPr>
          <w:rFonts w:eastAsia="Palatino Linotype"/>
          <w:b/>
          <w:i/>
          <w:szCs w:val="22"/>
        </w:rPr>
        <w:t>A</w:t>
      </w:r>
      <w:r w:rsidRPr="000B3717">
        <w:rPr>
          <w:rFonts w:eastAsia="Palatino Linotype"/>
          <w:i/>
          <w:szCs w:val="22"/>
        </w:rPr>
        <w:t xml:space="preserve">. </w:t>
      </w:r>
      <w:r w:rsidRPr="000B3717">
        <w:rPr>
          <w:rFonts w:eastAsia="Palatino Linotype"/>
          <w:b/>
          <w:i/>
          <w:szCs w:val="22"/>
        </w:rPr>
        <w:t>Para el ejercicio del derecho de acceso a la información</w:t>
      </w:r>
      <w:r w:rsidRPr="000B3717">
        <w:rPr>
          <w:rFonts w:eastAsia="Palatino Linotype"/>
          <w:i/>
          <w:szCs w:val="22"/>
        </w:rPr>
        <w:t xml:space="preserve">, la Federación y </w:t>
      </w:r>
      <w:r w:rsidRPr="000B3717">
        <w:rPr>
          <w:rFonts w:eastAsia="Palatino Linotype"/>
          <w:b/>
          <w:i/>
          <w:szCs w:val="22"/>
        </w:rPr>
        <w:t>las entidades federativas, en el ámbito de sus respectivas competencias, se regirán por los siguientes principios y bases:</w:t>
      </w:r>
    </w:p>
    <w:p w14:paraId="596A956B" w14:textId="77777777" w:rsidR="00C049E2" w:rsidRPr="000B3717" w:rsidRDefault="00C049E2" w:rsidP="000B3717">
      <w:pPr>
        <w:spacing w:line="240" w:lineRule="auto"/>
        <w:ind w:left="567" w:right="539"/>
        <w:rPr>
          <w:rFonts w:eastAsia="Palatino Linotype"/>
          <w:i/>
          <w:szCs w:val="22"/>
        </w:rPr>
      </w:pPr>
      <w:r w:rsidRPr="000B3717">
        <w:rPr>
          <w:rFonts w:eastAsia="Palatino Linotype"/>
          <w:b/>
          <w:i/>
          <w:szCs w:val="22"/>
        </w:rPr>
        <w:t xml:space="preserve">I. </w:t>
      </w:r>
      <w:r w:rsidRPr="000B3717">
        <w:rPr>
          <w:rFonts w:eastAsia="Palatino Linotype"/>
          <w:b/>
          <w:i/>
          <w:szCs w:val="22"/>
        </w:rPr>
        <w:tab/>
        <w:t>Toda la información en posesión de cualquier</w:t>
      </w:r>
      <w:r w:rsidRPr="000B3717">
        <w:rPr>
          <w:rFonts w:eastAsia="Palatino Linotype"/>
          <w:i/>
          <w:szCs w:val="22"/>
        </w:rPr>
        <w:t xml:space="preserve"> </w:t>
      </w:r>
      <w:r w:rsidRPr="000B3717">
        <w:rPr>
          <w:rFonts w:eastAsia="Palatino Linotype"/>
          <w:b/>
          <w:i/>
          <w:szCs w:val="22"/>
        </w:rPr>
        <w:t>autoridad</w:t>
      </w:r>
      <w:r w:rsidRPr="000B3717">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B3717">
        <w:rPr>
          <w:rFonts w:eastAsia="Palatino Linotype"/>
          <w:b/>
          <w:i/>
          <w:szCs w:val="22"/>
        </w:rPr>
        <w:t>municipal</w:t>
      </w:r>
      <w:r w:rsidRPr="000B3717">
        <w:rPr>
          <w:rFonts w:eastAsia="Palatino Linotype"/>
          <w:i/>
          <w:szCs w:val="22"/>
        </w:rPr>
        <w:t xml:space="preserve">, </w:t>
      </w:r>
      <w:r w:rsidRPr="000B3717">
        <w:rPr>
          <w:rFonts w:eastAsia="Palatino Linotype"/>
          <w:b/>
          <w:i/>
          <w:szCs w:val="22"/>
        </w:rPr>
        <w:t>es pública</w:t>
      </w:r>
      <w:r w:rsidRPr="000B3717">
        <w:rPr>
          <w:rFonts w:eastAsia="Palatino Linotype"/>
          <w:i/>
          <w:szCs w:val="22"/>
        </w:rPr>
        <w:t xml:space="preserve"> y sólo podrá ser reservada temporalmente por razones de interés público y seguridad nacional, en los términos que fijen las leyes. </w:t>
      </w:r>
      <w:r w:rsidRPr="000B3717">
        <w:rPr>
          <w:rFonts w:eastAsia="Palatino Linotype"/>
          <w:b/>
          <w:i/>
          <w:szCs w:val="22"/>
        </w:rPr>
        <w:t xml:space="preserve">En la </w:t>
      </w:r>
      <w:r w:rsidRPr="000B3717">
        <w:rPr>
          <w:rFonts w:eastAsia="Palatino Linotype"/>
          <w:b/>
          <w:i/>
          <w:szCs w:val="22"/>
        </w:rPr>
        <w:lastRenderedPageBreak/>
        <w:t>interpretación de este derecho deberá prevalecer el principio de máxima publicidad. Los sujetos obligados deberán documentar todo acto que derive del ejercicio de sus facultades, competencias o funciones</w:t>
      </w:r>
      <w:r w:rsidRPr="000B3717">
        <w:rPr>
          <w:rFonts w:eastAsia="Palatino Linotype"/>
          <w:i/>
          <w:szCs w:val="22"/>
        </w:rPr>
        <w:t>, la ley determinará los supuestos específicos bajo los cuales procederá la declaración de inexistencia de la información.”</w:t>
      </w:r>
    </w:p>
    <w:p w14:paraId="68F313E4" w14:textId="77777777" w:rsidR="00C049E2" w:rsidRPr="000B3717" w:rsidRDefault="00C049E2" w:rsidP="000B3717">
      <w:pPr>
        <w:spacing w:line="240" w:lineRule="auto"/>
        <w:ind w:left="567" w:right="539"/>
        <w:rPr>
          <w:rFonts w:eastAsia="Palatino Linotype"/>
          <w:b/>
          <w:i/>
          <w:szCs w:val="22"/>
        </w:rPr>
      </w:pPr>
    </w:p>
    <w:p w14:paraId="504F12DB" w14:textId="77777777" w:rsidR="00C049E2" w:rsidRPr="000B3717" w:rsidRDefault="00C049E2" w:rsidP="000B3717">
      <w:pPr>
        <w:spacing w:line="240" w:lineRule="auto"/>
        <w:ind w:left="567" w:right="539"/>
        <w:rPr>
          <w:rFonts w:eastAsia="Palatino Linotype"/>
          <w:b/>
          <w:i/>
          <w:szCs w:val="22"/>
        </w:rPr>
      </w:pPr>
      <w:r w:rsidRPr="000B3717">
        <w:rPr>
          <w:rFonts w:eastAsia="Palatino Linotype"/>
          <w:b/>
          <w:i/>
          <w:szCs w:val="22"/>
        </w:rPr>
        <w:t>Constitución Política del Estado Libre y Soberano de México</w:t>
      </w:r>
    </w:p>
    <w:p w14:paraId="04932D29" w14:textId="77777777" w:rsidR="00C049E2" w:rsidRPr="000B3717" w:rsidRDefault="00C049E2" w:rsidP="000B3717">
      <w:pPr>
        <w:spacing w:line="240" w:lineRule="auto"/>
        <w:ind w:left="567" w:right="539"/>
        <w:rPr>
          <w:rFonts w:eastAsia="Palatino Linotype"/>
          <w:i/>
          <w:szCs w:val="22"/>
        </w:rPr>
      </w:pPr>
      <w:r w:rsidRPr="000B3717">
        <w:rPr>
          <w:rFonts w:eastAsia="Palatino Linotype"/>
          <w:b/>
          <w:i/>
          <w:szCs w:val="22"/>
        </w:rPr>
        <w:t>“Artículo 5</w:t>
      </w:r>
      <w:r w:rsidRPr="000B3717">
        <w:rPr>
          <w:rFonts w:eastAsia="Palatino Linotype"/>
          <w:i/>
          <w:szCs w:val="22"/>
        </w:rPr>
        <w:t xml:space="preserve">.- </w:t>
      </w:r>
    </w:p>
    <w:p w14:paraId="1D3829F4" w14:textId="77777777" w:rsidR="00C049E2" w:rsidRPr="000B3717" w:rsidRDefault="00C049E2" w:rsidP="000B3717">
      <w:pPr>
        <w:spacing w:line="240" w:lineRule="auto"/>
        <w:ind w:left="567" w:right="539"/>
        <w:rPr>
          <w:rFonts w:eastAsia="Palatino Linotype"/>
          <w:i/>
          <w:szCs w:val="22"/>
        </w:rPr>
      </w:pPr>
      <w:r w:rsidRPr="000B3717">
        <w:rPr>
          <w:rFonts w:eastAsia="Palatino Linotype"/>
          <w:i/>
          <w:szCs w:val="22"/>
        </w:rPr>
        <w:t>(…)</w:t>
      </w:r>
    </w:p>
    <w:p w14:paraId="0EAE47FD" w14:textId="77777777" w:rsidR="00C049E2" w:rsidRPr="000B3717" w:rsidRDefault="00C049E2" w:rsidP="000B3717">
      <w:pPr>
        <w:spacing w:line="240" w:lineRule="auto"/>
        <w:ind w:left="567" w:right="539"/>
        <w:rPr>
          <w:rFonts w:eastAsia="Palatino Linotype"/>
          <w:i/>
          <w:szCs w:val="22"/>
        </w:rPr>
      </w:pPr>
      <w:r w:rsidRPr="000B3717">
        <w:rPr>
          <w:rFonts w:eastAsia="Palatino Linotype"/>
          <w:b/>
          <w:i/>
          <w:szCs w:val="22"/>
        </w:rPr>
        <w:t>El derecho a la información será garantizado por el Estado. La ley establecerá las previsiones que permitan asegurar la protección, el respeto y la difusión de este derecho</w:t>
      </w:r>
      <w:r w:rsidRPr="000B3717">
        <w:rPr>
          <w:rFonts w:eastAsia="Palatino Linotype"/>
          <w:i/>
          <w:szCs w:val="22"/>
        </w:rPr>
        <w:t>.</w:t>
      </w:r>
    </w:p>
    <w:p w14:paraId="4F0C804A" w14:textId="77777777" w:rsidR="00C049E2" w:rsidRPr="000B3717" w:rsidRDefault="00C049E2" w:rsidP="000B3717">
      <w:pPr>
        <w:spacing w:line="240" w:lineRule="auto"/>
        <w:ind w:left="567" w:right="539"/>
        <w:rPr>
          <w:rFonts w:eastAsia="Palatino Linotype"/>
          <w:i/>
          <w:szCs w:val="22"/>
        </w:rPr>
      </w:pPr>
      <w:r w:rsidRPr="000B3717">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0B3717" w:rsidRDefault="00C049E2" w:rsidP="000B3717">
      <w:pPr>
        <w:spacing w:line="240" w:lineRule="auto"/>
        <w:ind w:left="567" w:right="539"/>
        <w:rPr>
          <w:rFonts w:eastAsia="Palatino Linotype"/>
          <w:i/>
          <w:szCs w:val="22"/>
        </w:rPr>
      </w:pPr>
      <w:r w:rsidRPr="000B3717">
        <w:rPr>
          <w:rFonts w:eastAsia="Palatino Linotype"/>
          <w:b/>
          <w:i/>
          <w:szCs w:val="22"/>
        </w:rPr>
        <w:t>Este derecho se regirá por los principios y bases siguientes</w:t>
      </w:r>
      <w:r w:rsidRPr="000B3717">
        <w:rPr>
          <w:rFonts w:eastAsia="Palatino Linotype"/>
          <w:i/>
          <w:szCs w:val="22"/>
        </w:rPr>
        <w:t>:</w:t>
      </w:r>
    </w:p>
    <w:p w14:paraId="4A3E8CBA" w14:textId="77777777" w:rsidR="00C049E2" w:rsidRPr="000B3717" w:rsidRDefault="00C049E2" w:rsidP="000B3717">
      <w:pPr>
        <w:spacing w:line="240" w:lineRule="auto"/>
        <w:ind w:left="567" w:right="539"/>
        <w:rPr>
          <w:rFonts w:eastAsia="Palatino Linotype"/>
          <w:i/>
          <w:szCs w:val="22"/>
        </w:rPr>
      </w:pPr>
      <w:r w:rsidRPr="000B3717">
        <w:rPr>
          <w:rFonts w:eastAsia="Palatino Linotype"/>
          <w:b/>
          <w:i/>
          <w:szCs w:val="22"/>
        </w:rPr>
        <w:t>I. Toda la información en posesión de cualquier autoridad, entidad, órgano y organismos de los</w:t>
      </w:r>
      <w:r w:rsidRPr="000B3717">
        <w:rPr>
          <w:rFonts w:eastAsia="Palatino Linotype"/>
          <w:i/>
          <w:szCs w:val="22"/>
        </w:rPr>
        <w:t xml:space="preserve"> Poderes Ejecutivo, Legislativo y Judicial, órganos autónomos, partidos políticos, fideicomisos y fondos públicos estatales y </w:t>
      </w:r>
      <w:r w:rsidRPr="000B3717">
        <w:rPr>
          <w:rFonts w:eastAsia="Palatino Linotype"/>
          <w:b/>
          <w:i/>
          <w:szCs w:val="22"/>
        </w:rPr>
        <w:t>municipales</w:t>
      </w:r>
      <w:r w:rsidRPr="000B3717">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B3717">
        <w:rPr>
          <w:rFonts w:eastAsia="Palatino Linotype"/>
          <w:b/>
          <w:i/>
          <w:szCs w:val="22"/>
        </w:rPr>
        <w:t>es pública</w:t>
      </w:r>
      <w:r w:rsidRPr="000B3717">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0B3717">
        <w:rPr>
          <w:rFonts w:eastAsia="Palatino Linotype"/>
          <w:b/>
          <w:i/>
          <w:szCs w:val="22"/>
        </w:rPr>
        <w:t>En la interpretación de este derecho deberá prevalecer el principio de máxima publicidad</w:t>
      </w:r>
      <w:r w:rsidRPr="000B3717">
        <w:rPr>
          <w:rFonts w:eastAsia="Palatino Linotype"/>
          <w:i/>
          <w:szCs w:val="22"/>
        </w:rPr>
        <w:t xml:space="preserve">. </w:t>
      </w:r>
      <w:r w:rsidRPr="000B3717">
        <w:rPr>
          <w:rFonts w:eastAsia="Palatino Linotype"/>
          <w:b/>
          <w:i/>
          <w:szCs w:val="22"/>
        </w:rPr>
        <w:t>Los sujetos obligados deberán documentar todo acto que derive del ejercicio de sus facultades, competencias o funciones</w:t>
      </w:r>
      <w:r w:rsidRPr="000B3717">
        <w:rPr>
          <w:rFonts w:eastAsia="Palatino Linotype"/>
          <w:i/>
          <w:szCs w:val="22"/>
        </w:rPr>
        <w:t>, la ley determinará los supuestos específicos bajo los cuales procederá la declaración de inexistencia de la información.”</w:t>
      </w:r>
    </w:p>
    <w:p w14:paraId="5CA98E37" w14:textId="77777777" w:rsidR="00C049E2" w:rsidRPr="000B3717" w:rsidRDefault="00C049E2" w:rsidP="000B3717">
      <w:pPr>
        <w:rPr>
          <w:rFonts w:eastAsia="Palatino Linotype"/>
          <w:b/>
          <w:i/>
          <w:szCs w:val="22"/>
        </w:rPr>
      </w:pPr>
    </w:p>
    <w:p w14:paraId="6FC1BB3B" w14:textId="3BF4A33D" w:rsidR="00C049E2" w:rsidRPr="000B3717" w:rsidRDefault="00717E59" w:rsidP="000B3717">
      <w:pPr>
        <w:rPr>
          <w:rFonts w:eastAsia="Palatino Linotype"/>
          <w:i/>
          <w:szCs w:val="22"/>
        </w:rPr>
      </w:pPr>
      <w:r w:rsidRPr="000B3717">
        <w:rPr>
          <w:rFonts w:eastAsia="Palatino Linotype"/>
          <w:szCs w:val="22"/>
        </w:rPr>
        <w:t xml:space="preserve">Asimismo, </w:t>
      </w:r>
      <w:r w:rsidR="00C049E2" w:rsidRPr="000B3717">
        <w:rPr>
          <w:rFonts w:eastAsia="Palatino Linotype"/>
          <w:szCs w:val="22"/>
        </w:rPr>
        <w:t>el artículo 150 de la Ley de Transparencia y Acceso a la Información Pública del Estado de México y Municipios</w:t>
      </w:r>
      <w:r w:rsidR="00057B2D" w:rsidRPr="000B3717">
        <w:rPr>
          <w:rFonts w:eastAsia="Palatino Linotype"/>
          <w:szCs w:val="22"/>
        </w:rPr>
        <w:t xml:space="preserve"> </w:t>
      </w:r>
      <w:r w:rsidR="00E9335C" w:rsidRPr="000B3717">
        <w:rPr>
          <w:rFonts w:eastAsia="Palatino Linotype"/>
          <w:szCs w:val="22"/>
        </w:rPr>
        <w:t xml:space="preserve">indica </w:t>
      </w:r>
      <w:r w:rsidR="00057B2D" w:rsidRPr="000B3717">
        <w:rPr>
          <w:rFonts w:eastAsia="Palatino Linotype"/>
          <w:szCs w:val="22"/>
        </w:rPr>
        <w:t>que</w:t>
      </w:r>
      <w:r w:rsidR="00C049E2" w:rsidRPr="000B3717">
        <w:rPr>
          <w:rFonts w:eastAsia="Palatino Linotype"/>
          <w:szCs w:val="22"/>
        </w:rPr>
        <w:t xml:space="preserve"> la solicitud es la garantía primaria del Derecho de Acceso a la Información, además, establece que se regirá </w:t>
      </w:r>
      <w:r w:rsidR="00C049E2" w:rsidRPr="000B3717">
        <w:rPr>
          <w:rFonts w:eastAsia="Palatino Linotype"/>
          <w:i/>
          <w:szCs w:val="22"/>
        </w:rPr>
        <w:t>por los principios de simplicidad, rapidez</w:t>
      </w:r>
      <w:r w:rsidR="005F65B7" w:rsidRPr="000B3717">
        <w:rPr>
          <w:rFonts w:eastAsia="Palatino Linotype"/>
          <w:i/>
          <w:szCs w:val="22"/>
        </w:rPr>
        <w:t>,</w:t>
      </w:r>
      <w:r w:rsidR="00C049E2" w:rsidRPr="000B3717">
        <w:rPr>
          <w:rFonts w:eastAsia="Palatino Linotype"/>
          <w:i/>
          <w:szCs w:val="22"/>
        </w:rPr>
        <w:t xml:space="preserve"> gratuidad del procedimiento, auxilio y orientación a los particulare</w:t>
      </w:r>
      <w:r w:rsidR="001A58B3" w:rsidRPr="000B3717">
        <w:rPr>
          <w:rFonts w:eastAsia="Palatino Linotype"/>
          <w:i/>
          <w:szCs w:val="22"/>
        </w:rPr>
        <w:t>s.</w:t>
      </w:r>
    </w:p>
    <w:p w14:paraId="033466A6" w14:textId="77777777" w:rsidR="001A58B3" w:rsidRPr="000B3717" w:rsidRDefault="001A58B3" w:rsidP="000B3717">
      <w:pPr>
        <w:rPr>
          <w:rFonts w:eastAsia="Palatino Linotype"/>
          <w:i/>
          <w:szCs w:val="22"/>
        </w:rPr>
      </w:pPr>
    </w:p>
    <w:p w14:paraId="04ADA10B" w14:textId="574A944A" w:rsidR="001A58B3" w:rsidRPr="000B3717" w:rsidRDefault="00233F17" w:rsidP="000B3717">
      <w:pPr>
        <w:rPr>
          <w:rFonts w:eastAsia="Palatino Linotype" w:cs="Palatino Linotype"/>
          <w:i/>
          <w:szCs w:val="22"/>
        </w:rPr>
      </w:pPr>
      <w:r w:rsidRPr="000B3717">
        <w:rPr>
          <w:rFonts w:eastAsia="Palatino Linotype" w:cs="Palatino Linotype"/>
          <w:szCs w:val="22"/>
        </w:rPr>
        <w:lastRenderedPageBreak/>
        <w:t xml:space="preserve">Por su parte, el artículo 4 de </w:t>
      </w:r>
      <w:r w:rsidR="001A58B3" w:rsidRPr="000B3717">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0B3717">
        <w:rPr>
          <w:rFonts w:eastAsia="Palatino Linotype" w:cs="Palatino Linotype"/>
          <w:szCs w:val="22"/>
        </w:rPr>
        <w:t>.</w:t>
      </w:r>
    </w:p>
    <w:p w14:paraId="1407DBB8" w14:textId="77777777" w:rsidR="001A58B3" w:rsidRPr="000B3717" w:rsidRDefault="001A58B3" w:rsidP="000B3717">
      <w:pPr>
        <w:rPr>
          <w:rFonts w:eastAsia="Palatino Linotype" w:cs="Palatino Linotype"/>
          <w:szCs w:val="22"/>
        </w:rPr>
      </w:pPr>
    </w:p>
    <w:p w14:paraId="7552AA79" w14:textId="5C52E4A4" w:rsidR="001A58B3" w:rsidRPr="000B3717" w:rsidRDefault="001A58B3" w:rsidP="000B3717">
      <w:pPr>
        <w:rPr>
          <w:rFonts w:eastAsia="Palatino Linotype" w:cs="Palatino Linotype"/>
          <w:szCs w:val="22"/>
        </w:rPr>
      </w:pPr>
      <w:r w:rsidRPr="000B3717">
        <w:rPr>
          <w:rFonts w:eastAsia="Palatino Linotype" w:cs="Palatino Linotype"/>
          <w:szCs w:val="22"/>
        </w:rPr>
        <w:t xml:space="preserve">Esto es, que los Sujetos Obligados </w:t>
      </w:r>
      <w:r w:rsidR="00FA5957" w:rsidRPr="000B3717">
        <w:rPr>
          <w:rFonts w:eastAsia="Palatino Linotype" w:cs="Palatino Linotype"/>
          <w:szCs w:val="22"/>
        </w:rPr>
        <w:t>deben</w:t>
      </w:r>
      <w:r w:rsidRPr="000B3717">
        <w:rPr>
          <w:rFonts w:eastAsia="Palatino Linotype" w:cs="Palatino Linotype"/>
          <w:szCs w:val="22"/>
        </w:rPr>
        <w:t xml:space="preserve"> atender las solicitudes de acceso a la información pública que se les </w:t>
      </w:r>
      <w:r w:rsidR="00FA5957" w:rsidRPr="000B3717">
        <w:rPr>
          <w:rFonts w:eastAsia="Palatino Linotype" w:cs="Palatino Linotype"/>
          <w:szCs w:val="22"/>
        </w:rPr>
        <w:t>sean realizadas,</w:t>
      </w:r>
      <w:r w:rsidRPr="000B3717">
        <w:rPr>
          <w:rFonts w:eastAsia="Palatino Linotype" w:cs="Palatino Linotype"/>
          <w:szCs w:val="22"/>
        </w:rPr>
        <w:t xml:space="preserve"> y proporcionar la información pública que obre en su poder</w:t>
      </w:r>
      <w:r w:rsidR="00FA5957" w:rsidRPr="000B3717">
        <w:rPr>
          <w:rFonts w:eastAsia="Palatino Linotype" w:cs="Palatino Linotype"/>
          <w:szCs w:val="22"/>
        </w:rPr>
        <w:t>,</w:t>
      </w:r>
      <w:r w:rsidRPr="000B3717">
        <w:rPr>
          <w:rFonts w:eastAsia="Palatino Linotype" w:cs="Palatino Linotype"/>
          <w:szCs w:val="22"/>
        </w:rPr>
        <w:t xml:space="preserve"> conforme </w:t>
      </w:r>
      <w:r w:rsidR="00FA5957" w:rsidRPr="000B3717">
        <w:rPr>
          <w:rFonts w:eastAsia="Palatino Linotype" w:cs="Palatino Linotype"/>
          <w:szCs w:val="22"/>
        </w:rPr>
        <w:t>a</w:t>
      </w:r>
      <w:r w:rsidRPr="000B3717">
        <w:rPr>
          <w:rFonts w:eastAsia="Palatino Linotype" w:cs="Palatino Linotype"/>
          <w:szCs w:val="22"/>
        </w:rPr>
        <w:t xml:space="preserve">l estado </w:t>
      </w:r>
      <w:r w:rsidR="00FA5957" w:rsidRPr="000B3717">
        <w:rPr>
          <w:rFonts w:eastAsia="Palatino Linotype" w:cs="Palatino Linotype"/>
          <w:szCs w:val="22"/>
        </w:rPr>
        <w:t xml:space="preserve">en </w:t>
      </w:r>
      <w:r w:rsidRPr="000B3717">
        <w:rPr>
          <w:rFonts w:eastAsia="Palatino Linotype" w:cs="Palatino Linotype"/>
          <w:szCs w:val="22"/>
        </w:rPr>
        <w:t>que se encuentr</w:t>
      </w:r>
      <w:r w:rsidR="00FA5957" w:rsidRPr="000B3717">
        <w:rPr>
          <w:rFonts w:eastAsia="Palatino Linotype" w:cs="Palatino Linotype"/>
          <w:szCs w:val="22"/>
        </w:rPr>
        <w:t>e, sin que sea necesario</w:t>
      </w:r>
      <w:r w:rsidRPr="000B3717">
        <w:rPr>
          <w:rFonts w:eastAsia="Palatino Linotype" w:cs="Palatino Linotype"/>
          <w:szCs w:val="22"/>
        </w:rPr>
        <w:t xml:space="preserve"> </w:t>
      </w:r>
      <w:r w:rsidR="00FA5957" w:rsidRPr="000B3717">
        <w:rPr>
          <w:rFonts w:eastAsia="Palatino Linotype" w:cs="Palatino Linotype"/>
          <w:szCs w:val="22"/>
        </w:rPr>
        <w:t>procesar</w:t>
      </w:r>
      <w:r w:rsidRPr="000B3717">
        <w:rPr>
          <w:rFonts w:eastAsia="Palatino Linotype" w:cs="Palatino Linotype"/>
          <w:szCs w:val="22"/>
        </w:rPr>
        <w:t xml:space="preserve"> la misma, ni presentarla conforme al interés del solicitante; </w:t>
      </w:r>
      <w:r w:rsidR="00FA5957" w:rsidRPr="000B3717">
        <w:rPr>
          <w:rFonts w:eastAsia="Palatino Linotype" w:cs="Palatino Linotype"/>
          <w:szCs w:val="22"/>
        </w:rPr>
        <w:t>tal y como</w:t>
      </w:r>
      <w:r w:rsidRPr="000B3717">
        <w:rPr>
          <w:rFonts w:eastAsia="Palatino Linotype" w:cs="Palatino Linotype"/>
          <w:szCs w:val="22"/>
        </w:rPr>
        <w:t xml:space="preserve"> lo establece el artículo 12 de la Ley de Transparencia y Acceso a la Información Pública del Estado de México y Municipios</w:t>
      </w:r>
      <w:r w:rsidR="00970EB3" w:rsidRPr="000B3717">
        <w:rPr>
          <w:rFonts w:eastAsia="Palatino Linotype" w:cs="Palatino Linotype"/>
          <w:szCs w:val="22"/>
        </w:rPr>
        <w:t>.</w:t>
      </w:r>
    </w:p>
    <w:p w14:paraId="73245195" w14:textId="77777777" w:rsidR="00970EB3" w:rsidRPr="000B3717" w:rsidRDefault="00970EB3" w:rsidP="000B3717">
      <w:pPr>
        <w:rPr>
          <w:rFonts w:eastAsia="Palatino Linotype" w:cs="Palatino Linotype"/>
          <w:szCs w:val="22"/>
        </w:rPr>
      </w:pPr>
    </w:p>
    <w:p w14:paraId="7F62D4DF" w14:textId="775730E1" w:rsidR="001A58B3" w:rsidRPr="000B3717" w:rsidRDefault="001A58B3" w:rsidP="000B3717">
      <w:pPr>
        <w:rPr>
          <w:rFonts w:eastAsia="Palatino Linotype" w:cs="Palatino Linotype"/>
          <w:szCs w:val="22"/>
        </w:rPr>
      </w:pPr>
      <w:r w:rsidRPr="000B3717">
        <w:rPr>
          <w:rFonts w:eastAsia="Palatino Linotype" w:cs="Palatino Linotype"/>
          <w:szCs w:val="22"/>
        </w:rPr>
        <w:t>Es decir, que todo sujeto obligado que genere, recopile, administre, procese, archive, posea o conserven, son responsables de la misma</w:t>
      </w:r>
      <w:r w:rsidR="00970EB3" w:rsidRPr="000B3717">
        <w:rPr>
          <w:rFonts w:eastAsia="Palatino Linotype" w:cs="Palatino Linotype"/>
          <w:szCs w:val="22"/>
        </w:rPr>
        <w:t>,</w:t>
      </w:r>
      <w:r w:rsidRPr="000B3717">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0B3717">
        <w:rPr>
          <w:rFonts w:eastAsia="Palatino Linotype" w:cs="Palatino Linotype"/>
          <w:szCs w:val="22"/>
        </w:rPr>
        <w:t>o</w:t>
      </w:r>
      <w:r w:rsidRPr="000B3717">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0B3717" w:rsidRDefault="001A58B3" w:rsidP="000B3717">
      <w:pPr>
        <w:rPr>
          <w:rFonts w:eastAsia="Palatino Linotype" w:cs="Palatino Linotype"/>
          <w:szCs w:val="22"/>
        </w:rPr>
      </w:pPr>
    </w:p>
    <w:p w14:paraId="04E42DFE" w14:textId="573F1198" w:rsidR="001A58B3" w:rsidRPr="000B3717" w:rsidRDefault="001A58B3" w:rsidP="000B3717">
      <w:pPr>
        <w:rPr>
          <w:rFonts w:eastAsia="Palatino Linotype" w:cs="Palatino Linotype"/>
          <w:szCs w:val="22"/>
        </w:rPr>
      </w:pPr>
      <w:r w:rsidRPr="000B3717">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0B3717">
        <w:rPr>
          <w:rFonts w:eastAsia="Palatino Linotype" w:cs="Palatino Linotype"/>
          <w:szCs w:val="22"/>
        </w:rPr>
        <w:t>, s</w:t>
      </w:r>
      <w:r w:rsidRPr="000B3717">
        <w:rPr>
          <w:rFonts w:eastAsia="Palatino Linotype" w:cs="Palatino Linotype"/>
          <w:szCs w:val="22"/>
        </w:rPr>
        <w:t xml:space="preserve">iempre y cuando no se trate de información reservada o </w:t>
      </w:r>
      <w:r w:rsidR="00331F35" w:rsidRPr="000B3717">
        <w:rPr>
          <w:rFonts w:eastAsia="Palatino Linotype" w:cs="Palatino Linotype"/>
          <w:szCs w:val="22"/>
        </w:rPr>
        <w:t>confidencial.</w:t>
      </w:r>
    </w:p>
    <w:p w14:paraId="40C5219F" w14:textId="77777777" w:rsidR="001A58B3" w:rsidRPr="000B3717" w:rsidRDefault="001A58B3" w:rsidP="000B3717">
      <w:pPr>
        <w:rPr>
          <w:rFonts w:eastAsia="Palatino Linotype" w:cs="Palatino Linotype"/>
          <w:szCs w:val="22"/>
        </w:rPr>
      </w:pPr>
    </w:p>
    <w:p w14:paraId="2E629608" w14:textId="01727E15" w:rsidR="00C049E2" w:rsidRPr="000B3717" w:rsidRDefault="006067C7" w:rsidP="000B3717">
      <w:pPr>
        <w:rPr>
          <w:rFonts w:eastAsia="Palatino Linotype"/>
          <w:szCs w:val="22"/>
        </w:rPr>
      </w:pPr>
      <w:bookmarkStart w:id="31" w:name="_heading=h.2s8eyo1" w:colFirst="0" w:colLast="0"/>
      <w:bookmarkEnd w:id="31"/>
      <w:r w:rsidRPr="000B3717">
        <w:rPr>
          <w:rFonts w:eastAsia="Palatino Linotype"/>
          <w:szCs w:val="22"/>
        </w:rPr>
        <w:t>Con base en lo anterior</w:t>
      </w:r>
      <w:r w:rsidR="00B22A80" w:rsidRPr="000B3717">
        <w:rPr>
          <w:rFonts w:eastAsia="Palatino Linotype"/>
          <w:szCs w:val="22"/>
        </w:rPr>
        <w:t>, se considera que</w:t>
      </w:r>
      <w:r w:rsidR="00C049E2" w:rsidRPr="000B3717">
        <w:rPr>
          <w:rFonts w:eastAsia="Palatino Linotype"/>
          <w:szCs w:val="22"/>
        </w:rPr>
        <w:t xml:space="preserve"> </w:t>
      </w:r>
      <w:r w:rsidR="00B22A80" w:rsidRPr="000B3717">
        <w:rPr>
          <w:rFonts w:eastAsia="Palatino Linotype"/>
          <w:b/>
          <w:bCs/>
          <w:szCs w:val="22"/>
        </w:rPr>
        <w:t>EL</w:t>
      </w:r>
      <w:r w:rsidR="00C049E2" w:rsidRPr="000B3717">
        <w:rPr>
          <w:rFonts w:eastAsia="Palatino Linotype"/>
          <w:szCs w:val="22"/>
        </w:rPr>
        <w:t xml:space="preserve"> </w:t>
      </w:r>
      <w:r w:rsidR="00C049E2" w:rsidRPr="000B3717">
        <w:rPr>
          <w:rFonts w:eastAsia="Palatino Linotype"/>
          <w:b/>
          <w:szCs w:val="22"/>
        </w:rPr>
        <w:t>SUJETO OBLIGADO</w:t>
      </w:r>
      <w:r w:rsidR="00C049E2" w:rsidRPr="000B3717">
        <w:rPr>
          <w:rFonts w:eastAsia="Palatino Linotype"/>
          <w:szCs w:val="22"/>
        </w:rPr>
        <w:t xml:space="preserve"> </w:t>
      </w:r>
      <w:r w:rsidR="00B22A80" w:rsidRPr="000B3717">
        <w:rPr>
          <w:rFonts w:eastAsia="Palatino Linotype"/>
          <w:szCs w:val="22"/>
        </w:rPr>
        <w:t xml:space="preserve">se </w:t>
      </w:r>
      <w:r w:rsidR="00717E59" w:rsidRPr="000B3717">
        <w:rPr>
          <w:rFonts w:eastAsia="Palatino Linotype"/>
          <w:szCs w:val="22"/>
        </w:rPr>
        <w:t>encontraba</w:t>
      </w:r>
      <w:r w:rsidR="00B22A80" w:rsidRPr="000B3717">
        <w:rPr>
          <w:rFonts w:eastAsia="Palatino Linotype"/>
          <w:szCs w:val="22"/>
        </w:rPr>
        <w:t xml:space="preserve"> compelido a</w:t>
      </w:r>
      <w:r w:rsidR="00C049E2" w:rsidRPr="000B3717">
        <w:rPr>
          <w:rFonts w:eastAsia="Palatino Linotype"/>
          <w:szCs w:val="22"/>
        </w:rPr>
        <w:t xml:space="preserve"> atender la solicitud de acceso a la información </w:t>
      </w:r>
      <w:r w:rsidR="00B22A80" w:rsidRPr="000B3717">
        <w:rPr>
          <w:rFonts w:eastAsia="Palatino Linotype"/>
          <w:szCs w:val="22"/>
        </w:rPr>
        <w:t xml:space="preserve">realizada por </w:t>
      </w:r>
      <w:r w:rsidR="00B22A80" w:rsidRPr="000B3717">
        <w:rPr>
          <w:rFonts w:eastAsia="Palatino Linotype"/>
          <w:b/>
          <w:bCs/>
          <w:szCs w:val="22"/>
        </w:rPr>
        <w:t>LA PARTE RECURRENTE</w:t>
      </w:r>
      <w:r w:rsidR="00331F35" w:rsidRPr="000B3717">
        <w:rPr>
          <w:rFonts w:eastAsia="Palatino Linotype"/>
          <w:szCs w:val="22"/>
        </w:rPr>
        <w:t>.</w:t>
      </w:r>
    </w:p>
    <w:p w14:paraId="1611F147" w14:textId="77777777" w:rsidR="00BD5A7C" w:rsidRPr="000B3717" w:rsidRDefault="00BD5A7C" w:rsidP="000B3717">
      <w:pPr>
        <w:rPr>
          <w:rFonts w:eastAsia="Palatino Linotype"/>
          <w:szCs w:val="22"/>
        </w:rPr>
      </w:pPr>
    </w:p>
    <w:p w14:paraId="51A0E8B4" w14:textId="68A3EEF1" w:rsidR="00664420" w:rsidRPr="000B3717" w:rsidRDefault="00C71CEF" w:rsidP="000B3717">
      <w:pPr>
        <w:pStyle w:val="Ttulo3"/>
        <w:rPr>
          <w:rFonts w:eastAsia="Calibri"/>
          <w:szCs w:val="22"/>
          <w:lang w:eastAsia="es-ES_tradnl"/>
        </w:rPr>
      </w:pPr>
      <w:bookmarkStart w:id="32" w:name="_Toc181272203"/>
      <w:r w:rsidRPr="000B3717">
        <w:rPr>
          <w:rFonts w:eastAsia="Calibri"/>
          <w:szCs w:val="22"/>
          <w:lang w:eastAsia="es-ES_tradnl"/>
        </w:rPr>
        <w:t>b)</w:t>
      </w:r>
      <w:r w:rsidR="00A53315" w:rsidRPr="000B3717">
        <w:rPr>
          <w:rFonts w:eastAsia="Calibri"/>
          <w:szCs w:val="22"/>
          <w:lang w:eastAsia="es-ES_tradnl"/>
        </w:rPr>
        <w:t xml:space="preserve"> </w:t>
      </w:r>
      <w:r w:rsidR="00A21A20" w:rsidRPr="000B3717">
        <w:rPr>
          <w:rFonts w:eastAsia="Calibri"/>
          <w:szCs w:val="22"/>
          <w:lang w:eastAsia="es-ES_tradnl"/>
        </w:rPr>
        <w:t>Controversia a resolver</w:t>
      </w:r>
      <w:r w:rsidR="00507B2E" w:rsidRPr="000B3717">
        <w:rPr>
          <w:rFonts w:eastAsia="Calibri"/>
          <w:szCs w:val="22"/>
          <w:lang w:eastAsia="es-ES_tradnl"/>
        </w:rPr>
        <w:t>.</w:t>
      </w:r>
      <w:bookmarkEnd w:id="32"/>
    </w:p>
    <w:p w14:paraId="5DAE2A65" w14:textId="322AFA9F" w:rsidR="00664420" w:rsidRPr="000B3717" w:rsidRDefault="00664420" w:rsidP="000B3717">
      <w:pPr>
        <w:tabs>
          <w:tab w:val="left" w:pos="2834"/>
          <w:tab w:val="right" w:pos="8838"/>
        </w:tabs>
        <w:ind w:left="-108" w:right="-105"/>
        <w:rPr>
          <w:rFonts w:eastAsia="Calibri"/>
          <w:szCs w:val="22"/>
          <w:lang w:eastAsia="es-ES_tradnl"/>
        </w:rPr>
      </w:pPr>
      <w:r w:rsidRPr="000B3717">
        <w:rPr>
          <w:rFonts w:eastAsia="Calibri"/>
          <w:szCs w:val="22"/>
          <w:lang w:eastAsia="es-ES_tradnl"/>
        </w:rPr>
        <w:t xml:space="preserve">Con el objeto de ilustrar la controversia planteada, resulta conveniente precisar que, una vez realizado el estudio de las constancias que integran el expediente en que se actúa, se </w:t>
      </w:r>
      <w:r w:rsidR="003959B2" w:rsidRPr="000B3717">
        <w:rPr>
          <w:rFonts w:eastAsia="Calibri"/>
          <w:szCs w:val="22"/>
          <w:lang w:eastAsia="es-ES_tradnl"/>
        </w:rPr>
        <w:t>entiende</w:t>
      </w:r>
      <w:r w:rsidR="008E17B8" w:rsidRPr="000B3717">
        <w:rPr>
          <w:rFonts w:eastAsia="Calibri"/>
          <w:szCs w:val="22"/>
          <w:lang w:eastAsia="es-ES_tradnl"/>
        </w:rPr>
        <w:t xml:space="preserve"> que</w:t>
      </w:r>
      <w:r w:rsidRPr="000B3717">
        <w:rPr>
          <w:rFonts w:eastAsia="Calibri"/>
          <w:szCs w:val="22"/>
          <w:lang w:eastAsia="es-ES_tradnl"/>
        </w:rPr>
        <w:t xml:space="preserve"> </w:t>
      </w:r>
      <w:r w:rsidR="005D5A50" w:rsidRPr="000B3717">
        <w:rPr>
          <w:rFonts w:eastAsia="Calibri"/>
          <w:b/>
          <w:bCs/>
          <w:szCs w:val="22"/>
          <w:lang w:eastAsia="es-ES_tradnl"/>
        </w:rPr>
        <w:t>LA PARTE RECURRENTE</w:t>
      </w:r>
      <w:r w:rsidRPr="000B3717">
        <w:rPr>
          <w:rFonts w:eastAsia="Calibri"/>
          <w:szCs w:val="22"/>
          <w:lang w:eastAsia="es-ES_tradnl"/>
        </w:rPr>
        <w:t xml:space="preserve"> </w:t>
      </w:r>
      <w:r w:rsidR="008E17B8" w:rsidRPr="000B3717">
        <w:rPr>
          <w:rFonts w:eastAsia="Calibri"/>
          <w:szCs w:val="22"/>
          <w:lang w:eastAsia="es-ES_tradnl"/>
        </w:rPr>
        <w:t xml:space="preserve">requirió </w:t>
      </w:r>
      <w:r w:rsidRPr="000B3717">
        <w:rPr>
          <w:rFonts w:eastAsia="Calibri"/>
          <w:szCs w:val="22"/>
          <w:lang w:eastAsia="es-ES_tradnl"/>
        </w:rPr>
        <w:t>lo siguiente:</w:t>
      </w:r>
    </w:p>
    <w:p w14:paraId="0BD9FB1D" w14:textId="3296DEEE" w:rsidR="00495492" w:rsidRPr="000B3717" w:rsidRDefault="00495492" w:rsidP="000B3717">
      <w:pPr>
        <w:rPr>
          <w:rFonts w:eastAsia="Calibri"/>
          <w:szCs w:val="22"/>
          <w:lang w:eastAsia="es-ES_tradnl"/>
        </w:rPr>
      </w:pPr>
    </w:p>
    <w:p w14:paraId="2BDBD3BC" w14:textId="29CB7C66" w:rsidR="00495492" w:rsidRPr="000B3717" w:rsidRDefault="00495492" w:rsidP="000B3717">
      <w:pPr>
        <w:pStyle w:val="Prrafodelista"/>
        <w:numPr>
          <w:ilvl w:val="0"/>
          <w:numId w:val="11"/>
        </w:numPr>
        <w:rPr>
          <w:szCs w:val="22"/>
        </w:rPr>
      </w:pPr>
      <w:r w:rsidRPr="000B3717">
        <w:rPr>
          <w:szCs w:val="22"/>
        </w:rPr>
        <w:t xml:space="preserve">El procedimiento de adquisición de </w:t>
      </w:r>
      <w:r w:rsidR="00C23ADF" w:rsidRPr="000B3717">
        <w:rPr>
          <w:szCs w:val="22"/>
        </w:rPr>
        <w:t xml:space="preserve">la </w:t>
      </w:r>
      <w:r w:rsidRPr="000B3717">
        <w:rPr>
          <w:szCs w:val="22"/>
        </w:rPr>
        <w:t>papelería utiliza</w:t>
      </w:r>
      <w:r w:rsidR="00C23ADF" w:rsidRPr="000B3717">
        <w:rPr>
          <w:szCs w:val="22"/>
        </w:rPr>
        <w:t>da</w:t>
      </w:r>
      <w:r w:rsidRPr="000B3717">
        <w:rPr>
          <w:szCs w:val="22"/>
        </w:rPr>
        <w:t xml:space="preserve"> en el municipio </w:t>
      </w:r>
      <w:r w:rsidR="00C23ADF" w:rsidRPr="000B3717">
        <w:rPr>
          <w:szCs w:val="22"/>
        </w:rPr>
        <w:t>de la administración</w:t>
      </w:r>
      <w:r w:rsidRPr="000B3717">
        <w:rPr>
          <w:szCs w:val="22"/>
        </w:rPr>
        <w:t xml:space="preserve"> </w:t>
      </w:r>
      <w:r w:rsidR="00C23ADF" w:rsidRPr="000B3717">
        <w:rPr>
          <w:szCs w:val="22"/>
        </w:rPr>
        <w:t>2022 a 2024.</w:t>
      </w:r>
    </w:p>
    <w:p w14:paraId="71A4ECEF" w14:textId="77777777" w:rsidR="00B82493" w:rsidRPr="000B3717" w:rsidRDefault="00B82493" w:rsidP="000B3717">
      <w:pPr>
        <w:rPr>
          <w:rFonts w:eastAsia="Calibri"/>
          <w:szCs w:val="22"/>
          <w:lang w:eastAsia="es-ES_tradnl"/>
        </w:rPr>
      </w:pPr>
    </w:p>
    <w:p w14:paraId="40BA0A32" w14:textId="3154BD20" w:rsidR="00FA2A21" w:rsidRPr="000B3717" w:rsidRDefault="00D35405" w:rsidP="000B3717">
      <w:pPr>
        <w:ind w:left="28"/>
        <w:rPr>
          <w:rFonts w:eastAsiaTheme="minorHAnsi" w:cs="Tahoma"/>
          <w:bCs/>
          <w:iCs/>
          <w:szCs w:val="22"/>
          <w:lang w:eastAsia="en-US"/>
        </w:rPr>
      </w:pPr>
      <w:r w:rsidRPr="000B3717">
        <w:rPr>
          <w:rFonts w:eastAsiaTheme="minorHAnsi" w:cs="Tahoma"/>
          <w:bCs/>
          <w:iCs/>
          <w:szCs w:val="22"/>
          <w:lang w:eastAsia="en-US"/>
        </w:rPr>
        <w:t xml:space="preserve">En respuesta, </w:t>
      </w:r>
      <w:r w:rsidRPr="000B3717">
        <w:rPr>
          <w:rFonts w:eastAsiaTheme="minorHAnsi" w:cs="Tahoma"/>
          <w:b/>
          <w:bCs/>
          <w:iCs/>
          <w:szCs w:val="22"/>
          <w:lang w:eastAsia="en-US"/>
        </w:rPr>
        <w:t xml:space="preserve">EL SUJTEO OBLIGADO </w:t>
      </w:r>
      <w:r w:rsidRPr="000B3717">
        <w:rPr>
          <w:rFonts w:eastAsiaTheme="minorHAnsi" w:cs="Tahoma"/>
          <w:bCs/>
          <w:iCs/>
          <w:szCs w:val="22"/>
          <w:lang w:eastAsia="en-US"/>
        </w:rPr>
        <w:t xml:space="preserve">se pronunció por conducto </w:t>
      </w:r>
      <w:r w:rsidR="00C23ADF" w:rsidRPr="000B3717">
        <w:rPr>
          <w:rFonts w:eastAsiaTheme="minorHAnsi" w:cs="Tahoma"/>
          <w:bCs/>
          <w:iCs/>
          <w:szCs w:val="22"/>
          <w:lang w:eastAsia="en-US"/>
        </w:rPr>
        <w:t>de la Directora de la Unidad de Transparencia, quien señaló que al momento emitir su respuesta la solicitud seguía en trámite.</w:t>
      </w:r>
    </w:p>
    <w:p w14:paraId="7C38B139" w14:textId="77777777" w:rsidR="001B5588" w:rsidRPr="000B3717" w:rsidRDefault="001B5588" w:rsidP="000B3717">
      <w:pPr>
        <w:tabs>
          <w:tab w:val="left" w:pos="4962"/>
        </w:tabs>
        <w:contextualSpacing/>
        <w:rPr>
          <w:rFonts w:cs="Calibri"/>
          <w:szCs w:val="22"/>
        </w:rPr>
      </w:pPr>
    </w:p>
    <w:p w14:paraId="341E4590" w14:textId="33983168" w:rsidR="00AA02C6" w:rsidRPr="000B3717" w:rsidRDefault="00CF7586" w:rsidP="000B3717">
      <w:pPr>
        <w:tabs>
          <w:tab w:val="left" w:pos="4962"/>
        </w:tabs>
        <w:contextualSpacing/>
        <w:rPr>
          <w:rFonts w:eastAsiaTheme="minorHAnsi" w:cs="Tahoma"/>
          <w:bCs/>
          <w:iCs/>
          <w:szCs w:val="22"/>
          <w:lang w:eastAsia="en-US"/>
        </w:rPr>
      </w:pPr>
      <w:r w:rsidRPr="000B3717">
        <w:rPr>
          <w:rFonts w:eastAsiaTheme="minorHAnsi" w:cs="Tahoma"/>
          <w:bCs/>
          <w:iCs/>
          <w:szCs w:val="22"/>
          <w:lang w:eastAsia="en-US"/>
        </w:rPr>
        <w:t>Ahora bien, en la interposición de</w:t>
      </w:r>
      <w:r w:rsidR="00012D84" w:rsidRPr="000B3717">
        <w:rPr>
          <w:rFonts w:eastAsiaTheme="minorHAnsi" w:cs="Tahoma"/>
          <w:bCs/>
          <w:iCs/>
          <w:szCs w:val="22"/>
          <w:lang w:eastAsia="en-US"/>
        </w:rPr>
        <w:t xml:space="preserve"> </w:t>
      </w:r>
      <w:r w:rsidRPr="000B3717">
        <w:rPr>
          <w:rFonts w:eastAsiaTheme="minorHAnsi" w:cs="Tahoma"/>
          <w:bCs/>
          <w:iCs/>
          <w:szCs w:val="22"/>
          <w:lang w:eastAsia="en-US"/>
        </w:rPr>
        <w:t>l</w:t>
      </w:r>
      <w:r w:rsidR="00012D84" w:rsidRPr="000B3717">
        <w:rPr>
          <w:rFonts w:eastAsiaTheme="minorHAnsi" w:cs="Tahoma"/>
          <w:bCs/>
          <w:iCs/>
          <w:szCs w:val="22"/>
          <w:lang w:eastAsia="en-US"/>
        </w:rPr>
        <w:t>os</w:t>
      </w:r>
      <w:r w:rsidRPr="000B3717">
        <w:rPr>
          <w:rFonts w:eastAsiaTheme="minorHAnsi" w:cs="Tahoma"/>
          <w:bCs/>
          <w:iCs/>
          <w:szCs w:val="22"/>
          <w:lang w:eastAsia="en-US"/>
        </w:rPr>
        <w:t xml:space="preserve"> recurso</w:t>
      </w:r>
      <w:r w:rsidR="00012D84" w:rsidRPr="000B3717">
        <w:rPr>
          <w:rFonts w:eastAsiaTheme="minorHAnsi" w:cs="Tahoma"/>
          <w:bCs/>
          <w:iCs/>
          <w:szCs w:val="22"/>
          <w:lang w:eastAsia="en-US"/>
        </w:rPr>
        <w:t>s de revisión</w:t>
      </w:r>
      <w:r w:rsidRPr="000B3717">
        <w:rPr>
          <w:rFonts w:eastAsiaTheme="minorHAnsi" w:cs="Tahoma"/>
          <w:bCs/>
          <w:iCs/>
          <w:szCs w:val="22"/>
          <w:lang w:eastAsia="en-US"/>
        </w:rPr>
        <w:t xml:space="preserve"> </w:t>
      </w:r>
      <w:r w:rsidRPr="000B3717">
        <w:rPr>
          <w:rFonts w:eastAsiaTheme="minorHAnsi" w:cs="Tahoma"/>
          <w:b/>
          <w:iCs/>
          <w:szCs w:val="22"/>
          <w:lang w:eastAsia="en-US"/>
        </w:rPr>
        <w:t>LA PARTE RECURRENTE</w:t>
      </w:r>
      <w:r w:rsidR="00C23ADF" w:rsidRPr="000B3717">
        <w:rPr>
          <w:rFonts w:eastAsiaTheme="minorHAnsi" w:cs="Tahoma"/>
          <w:bCs/>
          <w:iCs/>
          <w:szCs w:val="22"/>
          <w:lang w:eastAsia="en-US"/>
        </w:rPr>
        <w:t xml:space="preserve"> se inconformó sobre la negativa a la información solicitada; p</w:t>
      </w:r>
      <w:r w:rsidR="00C158A8" w:rsidRPr="000B3717">
        <w:rPr>
          <w:rFonts w:eastAsiaTheme="minorHAnsi" w:cs="Tahoma"/>
          <w:bCs/>
          <w:iCs/>
          <w:szCs w:val="22"/>
          <w:lang w:eastAsia="en-US"/>
        </w:rPr>
        <w:t xml:space="preserve">or </w:t>
      </w:r>
      <w:r w:rsidRPr="000B3717">
        <w:rPr>
          <w:rFonts w:eastAsiaTheme="minorHAnsi" w:cs="Tahoma"/>
          <w:bCs/>
          <w:iCs/>
          <w:szCs w:val="22"/>
          <w:lang w:eastAsia="en-US"/>
        </w:rPr>
        <w:t xml:space="preserve">lo cual, el estudio </w:t>
      </w:r>
      <w:r w:rsidR="00B11016" w:rsidRPr="000B3717">
        <w:rPr>
          <w:rFonts w:eastAsiaTheme="minorHAnsi" w:cs="Tahoma"/>
          <w:bCs/>
          <w:iCs/>
          <w:szCs w:val="22"/>
          <w:lang w:eastAsia="en-US"/>
        </w:rPr>
        <w:t xml:space="preserve">se centrará en determinar </w:t>
      </w:r>
      <w:r w:rsidR="00C23ADF" w:rsidRPr="000B3717">
        <w:rPr>
          <w:rFonts w:eastAsiaTheme="minorHAnsi" w:cs="Tahoma"/>
          <w:bCs/>
          <w:iCs/>
          <w:szCs w:val="22"/>
          <w:lang w:eastAsia="en-US"/>
        </w:rPr>
        <w:t xml:space="preserve">las atribuciones del </w:t>
      </w:r>
      <w:r w:rsidR="00C23ADF" w:rsidRPr="000B3717">
        <w:rPr>
          <w:rFonts w:eastAsiaTheme="minorHAnsi" w:cs="Tahoma"/>
          <w:b/>
          <w:bCs/>
          <w:iCs/>
          <w:szCs w:val="22"/>
          <w:lang w:eastAsia="en-US"/>
        </w:rPr>
        <w:t xml:space="preserve">SUJETO OBLIGADO </w:t>
      </w:r>
      <w:r w:rsidR="00C23ADF" w:rsidRPr="000B3717">
        <w:rPr>
          <w:rFonts w:eastAsiaTheme="minorHAnsi" w:cs="Tahoma"/>
          <w:bCs/>
          <w:iCs/>
          <w:szCs w:val="22"/>
          <w:lang w:eastAsia="en-US"/>
        </w:rPr>
        <w:t>para proporcionar las documentales requeridas.</w:t>
      </w:r>
    </w:p>
    <w:p w14:paraId="52E417A5" w14:textId="77777777" w:rsidR="00AA02C6" w:rsidRPr="000B3717" w:rsidRDefault="00AA02C6" w:rsidP="000B3717">
      <w:pPr>
        <w:tabs>
          <w:tab w:val="left" w:pos="4962"/>
        </w:tabs>
        <w:contextualSpacing/>
        <w:rPr>
          <w:rFonts w:eastAsiaTheme="minorHAnsi" w:cs="Tahoma"/>
          <w:bCs/>
          <w:iCs/>
          <w:szCs w:val="22"/>
          <w:lang w:eastAsia="en-US"/>
        </w:rPr>
      </w:pPr>
    </w:p>
    <w:p w14:paraId="434CF46F" w14:textId="77777777" w:rsidR="00021A01" w:rsidRPr="000B3717" w:rsidRDefault="002F1878" w:rsidP="000B3717">
      <w:pPr>
        <w:tabs>
          <w:tab w:val="left" w:pos="4962"/>
        </w:tabs>
        <w:contextualSpacing/>
        <w:rPr>
          <w:rFonts w:eastAsiaTheme="minorHAnsi" w:cs="Tahoma"/>
          <w:bCs/>
          <w:iCs/>
          <w:szCs w:val="22"/>
          <w:lang w:eastAsia="en-US"/>
        </w:rPr>
      </w:pPr>
      <w:r w:rsidRPr="000B3717">
        <w:rPr>
          <w:rFonts w:eastAsiaTheme="minorHAnsi" w:cs="Tahoma"/>
          <w:bCs/>
          <w:iCs/>
          <w:szCs w:val="22"/>
          <w:lang w:eastAsia="en-US"/>
        </w:rPr>
        <w:t>No pasa desapercibido</w:t>
      </w:r>
      <w:r w:rsidR="00C23ADF" w:rsidRPr="000B3717">
        <w:rPr>
          <w:rFonts w:eastAsiaTheme="minorHAnsi" w:cs="Tahoma"/>
          <w:bCs/>
          <w:iCs/>
          <w:szCs w:val="22"/>
          <w:lang w:eastAsia="en-US"/>
        </w:rPr>
        <w:t xml:space="preserve"> señalar</w:t>
      </w:r>
      <w:r w:rsidRPr="000B3717">
        <w:rPr>
          <w:rFonts w:eastAsiaTheme="minorHAnsi" w:cs="Tahoma"/>
          <w:bCs/>
          <w:iCs/>
          <w:szCs w:val="22"/>
          <w:lang w:eastAsia="en-US"/>
        </w:rPr>
        <w:t xml:space="preserve"> que</w:t>
      </w:r>
      <w:r w:rsidR="003959B2" w:rsidRPr="000B3717">
        <w:rPr>
          <w:rFonts w:eastAsiaTheme="minorHAnsi" w:cs="Tahoma"/>
          <w:bCs/>
          <w:iCs/>
          <w:szCs w:val="22"/>
          <w:lang w:eastAsia="en-US"/>
        </w:rPr>
        <w:t>,</w:t>
      </w:r>
      <w:r w:rsidR="00C23ADF" w:rsidRPr="000B3717">
        <w:rPr>
          <w:rFonts w:eastAsiaTheme="minorHAnsi" w:cs="Tahoma"/>
          <w:bCs/>
          <w:iCs/>
          <w:szCs w:val="22"/>
          <w:lang w:eastAsia="en-US"/>
        </w:rPr>
        <w:t xml:space="preserve"> </w:t>
      </w:r>
      <w:r w:rsidR="00AF48AA" w:rsidRPr="000B3717">
        <w:rPr>
          <w:rFonts w:eastAsiaTheme="minorHAnsi" w:cs="Tahoma"/>
          <w:b/>
          <w:bCs/>
          <w:iCs/>
          <w:szCs w:val="22"/>
          <w:lang w:eastAsia="en-US"/>
        </w:rPr>
        <w:t>EL SUJETO OBLIGADO</w:t>
      </w:r>
      <w:r w:rsidR="00200DB2" w:rsidRPr="000B3717">
        <w:rPr>
          <w:rFonts w:eastAsiaTheme="minorHAnsi" w:cs="Tahoma"/>
          <w:bCs/>
          <w:iCs/>
          <w:szCs w:val="22"/>
          <w:lang w:eastAsia="en-US"/>
        </w:rPr>
        <w:t xml:space="preserve">, </w:t>
      </w:r>
      <w:r w:rsidR="00C23ADF" w:rsidRPr="000B3717">
        <w:rPr>
          <w:rFonts w:eastAsiaTheme="minorHAnsi" w:cs="Tahoma"/>
          <w:bCs/>
          <w:iCs/>
          <w:szCs w:val="22"/>
          <w:lang w:eastAsia="en-US"/>
        </w:rPr>
        <w:t xml:space="preserve">omitió rendir su informe justificado; así como </w:t>
      </w:r>
      <w:r w:rsidR="00C23ADF" w:rsidRPr="000B3717">
        <w:rPr>
          <w:rFonts w:eastAsiaTheme="minorHAnsi" w:cs="Tahoma"/>
          <w:b/>
          <w:bCs/>
          <w:iCs/>
          <w:szCs w:val="22"/>
          <w:lang w:eastAsia="en-US"/>
        </w:rPr>
        <w:t xml:space="preserve">LA PARTE RECURRENTE </w:t>
      </w:r>
      <w:r w:rsidR="00C23ADF" w:rsidRPr="000B3717">
        <w:rPr>
          <w:rFonts w:eastAsiaTheme="minorHAnsi" w:cs="Tahoma"/>
          <w:bCs/>
          <w:iCs/>
          <w:szCs w:val="22"/>
          <w:lang w:eastAsia="en-US"/>
        </w:rPr>
        <w:t xml:space="preserve">omitió </w:t>
      </w:r>
      <w:r w:rsidR="00021A01" w:rsidRPr="000B3717">
        <w:rPr>
          <w:rFonts w:eastAsiaTheme="minorHAnsi" w:cs="Tahoma"/>
          <w:bCs/>
          <w:iCs/>
          <w:szCs w:val="22"/>
          <w:lang w:eastAsia="en-US"/>
        </w:rPr>
        <w:t>proporcionar pruebas o alegatos conforme a su derecho en la etapa procesal oportuna.</w:t>
      </w:r>
    </w:p>
    <w:p w14:paraId="54282DD8" w14:textId="77777777" w:rsidR="00AF48AA" w:rsidRPr="000B3717" w:rsidRDefault="00AF48AA" w:rsidP="000B3717">
      <w:pPr>
        <w:tabs>
          <w:tab w:val="left" w:pos="4962"/>
        </w:tabs>
        <w:contextualSpacing/>
        <w:rPr>
          <w:rFonts w:eastAsiaTheme="minorHAnsi" w:cs="Tahoma"/>
          <w:bCs/>
          <w:iCs/>
          <w:szCs w:val="22"/>
          <w:lang w:eastAsia="en-US"/>
        </w:rPr>
      </w:pPr>
    </w:p>
    <w:p w14:paraId="414FD2D5" w14:textId="5B7192AA" w:rsidR="00664420" w:rsidRPr="000B3717" w:rsidRDefault="00A21A20" w:rsidP="000B3717">
      <w:pPr>
        <w:pStyle w:val="Ttulo3"/>
        <w:rPr>
          <w:szCs w:val="22"/>
        </w:rPr>
      </w:pPr>
      <w:bookmarkStart w:id="33" w:name="_Toc181272204"/>
      <w:r w:rsidRPr="000B3717">
        <w:rPr>
          <w:szCs w:val="22"/>
        </w:rPr>
        <w:lastRenderedPageBreak/>
        <w:t>c)</w:t>
      </w:r>
      <w:r w:rsidR="00664420" w:rsidRPr="000B3717">
        <w:rPr>
          <w:szCs w:val="22"/>
        </w:rPr>
        <w:t xml:space="preserve"> </w:t>
      </w:r>
      <w:r w:rsidRPr="000B3717">
        <w:rPr>
          <w:szCs w:val="22"/>
        </w:rPr>
        <w:t>Estudio de la controversia</w:t>
      </w:r>
      <w:r w:rsidR="0029336C" w:rsidRPr="000B3717">
        <w:rPr>
          <w:szCs w:val="22"/>
        </w:rPr>
        <w:t>.</w:t>
      </w:r>
      <w:bookmarkEnd w:id="33"/>
    </w:p>
    <w:p w14:paraId="01DBEF6A" w14:textId="196DA00D" w:rsidR="00E7268D" w:rsidRPr="000B3717" w:rsidRDefault="00E7268D" w:rsidP="000B3717">
      <w:pPr>
        <w:spacing w:before="240" w:after="240"/>
        <w:rPr>
          <w:rFonts w:eastAsia="Palatino Linotype" w:cs="Palatino Linotype"/>
          <w:szCs w:val="22"/>
        </w:rPr>
      </w:pPr>
      <w:r w:rsidRPr="000B3717">
        <w:rPr>
          <w:rFonts w:eastAsia="Palatino Linotype" w:cs="Palatino Linotype"/>
          <w:szCs w:val="22"/>
        </w:rPr>
        <w:t xml:space="preserve">Una vez expuestas las posturas de las partes, resulta importante señalar que en una aproximación inicial a las respuestas proporcionadas, se observa que el </w:t>
      </w:r>
      <w:r w:rsidRPr="000B3717">
        <w:rPr>
          <w:rFonts w:eastAsia="Palatino Linotype" w:cs="Palatino Linotype"/>
          <w:b/>
          <w:szCs w:val="22"/>
        </w:rPr>
        <w:t>Sujeto Obligado</w:t>
      </w:r>
      <w:r w:rsidRPr="000B3717">
        <w:rPr>
          <w:rFonts w:eastAsia="Palatino Linotype" w:cs="Palatino Linotype"/>
          <w:szCs w:val="22"/>
        </w:rPr>
        <w:t xml:space="preserve"> manifestó que hasta el momento las solicitudes presentadas se encontraban en trámite, sin embargo, es necesario hacer de su conocimiento que</w:t>
      </w:r>
      <w:r w:rsidR="00BE3505" w:rsidRPr="000B3717">
        <w:rPr>
          <w:rFonts w:eastAsia="Palatino Linotype" w:cs="Palatino Linotype"/>
          <w:szCs w:val="22"/>
        </w:rPr>
        <w:t>,</w:t>
      </w:r>
      <w:r w:rsidRPr="000B3717">
        <w:rPr>
          <w:rFonts w:eastAsia="Palatino Linotype" w:cs="Palatino Linotype"/>
          <w:szCs w:val="22"/>
        </w:rPr>
        <w:t xml:space="preserve"> de conformidad con el artículo 163 de la Ley de Transparencia y Acceso a la Información Pública del Estado de México y Municipios, los sujetos obligados cuentan con un plazo de quince días hábiles para otorgar respuesta a las solicitudes de información que los particulares presenten, por consiguiente, si tomamos en cuenta que las solicitudes ingresaron el </w:t>
      </w:r>
      <w:r w:rsidRPr="000B3717">
        <w:rPr>
          <w:rFonts w:eastAsia="Palatino Linotype" w:cs="Palatino Linotype"/>
          <w:b/>
          <w:szCs w:val="22"/>
        </w:rPr>
        <w:t xml:space="preserve">once de septiembre de dos mil veinticuatro, </w:t>
      </w:r>
      <w:r w:rsidRPr="000B3717">
        <w:rPr>
          <w:rFonts w:eastAsia="Palatino Linotype" w:cs="Palatino Linotype"/>
          <w:szCs w:val="22"/>
        </w:rPr>
        <w:t xml:space="preserve">el plazo para otorgar respuesta feneció el </w:t>
      </w:r>
      <w:r w:rsidRPr="000B3717">
        <w:rPr>
          <w:rFonts w:eastAsia="Palatino Linotype" w:cs="Palatino Linotype"/>
          <w:b/>
          <w:szCs w:val="22"/>
        </w:rPr>
        <w:t>cuatro de octubre de dos mil veinticuatro</w:t>
      </w:r>
      <w:r w:rsidRPr="000B3717">
        <w:rPr>
          <w:rFonts w:eastAsia="Palatino Linotype" w:cs="Palatino Linotype"/>
          <w:szCs w:val="22"/>
        </w:rPr>
        <w:t xml:space="preserve">, por lo tanto, </w:t>
      </w:r>
      <w:r w:rsidRPr="000B3717">
        <w:rPr>
          <w:rFonts w:eastAsia="Palatino Linotype" w:cs="Palatino Linotype"/>
          <w:b/>
          <w:szCs w:val="22"/>
        </w:rPr>
        <w:t>no es posible argumentar que a esa fecha aún se encontraba en trámite, salvo que se hubiere presentado una prórroga</w:t>
      </w:r>
      <w:r w:rsidRPr="000B3717">
        <w:rPr>
          <w:rFonts w:eastAsia="Palatino Linotype" w:cs="Palatino Linotype"/>
          <w:szCs w:val="22"/>
        </w:rPr>
        <w:t xml:space="preserve"> conforme a lo estipulado en el segundo párrafo del artículo 163 de la multicitada legislación en materia de transparencia, </w:t>
      </w:r>
      <w:r w:rsidRPr="000B3717">
        <w:rPr>
          <w:rFonts w:eastAsia="Palatino Linotype" w:cs="Palatino Linotype"/>
          <w:b/>
          <w:szCs w:val="22"/>
        </w:rPr>
        <w:t>circunstancia que en los asuntos que nos ocupan no se materializó</w:t>
      </w:r>
      <w:r w:rsidR="00BE3505" w:rsidRPr="000B3717">
        <w:rPr>
          <w:rFonts w:eastAsia="Palatino Linotype" w:cs="Palatino Linotype"/>
          <w:b/>
          <w:szCs w:val="22"/>
        </w:rPr>
        <w:t>,</w:t>
      </w:r>
      <w:r w:rsidRPr="000B3717">
        <w:rPr>
          <w:rFonts w:eastAsia="Palatino Linotype" w:cs="Palatino Linotype"/>
          <w:szCs w:val="22"/>
        </w:rPr>
        <w:t xml:space="preserve"> pues de las constancias que conforman los expedientes electrónicos del SAIMEX, no se aprecia que el </w:t>
      </w:r>
      <w:r w:rsidRPr="000B3717">
        <w:rPr>
          <w:rFonts w:eastAsia="Palatino Linotype" w:cs="Palatino Linotype"/>
          <w:b/>
          <w:szCs w:val="22"/>
        </w:rPr>
        <w:t>Sujeto Obligado</w:t>
      </w:r>
      <w:r w:rsidRPr="000B3717">
        <w:rPr>
          <w:rFonts w:eastAsia="Palatino Linotype" w:cs="Palatino Linotype"/>
          <w:szCs w:val="22"/>
        </w:rPr>
        <w:t xml:space="preserve"> hubiere hecho valer tales supuestos por medio de su Comité de Transparencia, luego entonces, se insiste que </w:t>
      </w:r>
      <w:r w:rsidRPr="000B3717">
        <w:rPr>
          <w:rFonts w:eastAsia="Palatino Linotype" w:cs="Palatino Linotype"/>
          <w:b/>
          <w:szCs w:val="22"/>
          <w:u w:val="single"/>
        </w:rPr>
        <w:t>no es posible expresar que las solicitudes se encontraban en trámite cuando los plazos para otorgar respuesta o solicitar una prórroga para continuar con la tramitación de las solicitudes no se hicieron valer en los términos procesales oportunos</w:t>
      </w:r>
      <w:r w:rsidRPr="000B3717">
        <w:rPr>
          <w:rFonts w:eastAsia="Palatino Linotype" w:cs="Palatino Linotype"/>
          <w:szCs w:val="22"/>
        </w:rPr>
        <w:t>.</w:t>
      </w:r>
    </w:p>
    <w:p w14:paraId="77A7F7D7" w14:textId="77777777" w:rsidR="00E7268D" w:rsidRPr="000B3717" w:rsidRDefault="00E7268D" w:rsidP="000B3717"/>
    <w:p w14:paraId="5884E50F" w14:textId="452A8111" w:rsidR="00B77464" w:rsidRPr="000B3717" w:rsidRDefault="00B77464" w:rsidP="000B3717">
      <w:r w:rsidRPr="000B3717">
        <w:t>La adquisición de bienes y servicios por parte de los municipios del Estado de México es un proceso esencial que asegura la correcta utilización de los recursos públicos y el cumplimiento de las necesidades de los Sujetos Obligados. Este procedimiento está guiado por la Ley de Contratación Pública del Estado de México y</w:t>
      </w:r>
      <w:r w:rsidR="00C00423" w:rsidRPr="000B3717">
        <w:t xml:space="preserve"> Municipios</w:t>
      </w:r>
      <w:r w:rsidRPr="000B3717">
        <w:t xml:space="preserve">, que establece un marco normativo </w:t>
      </w:r>
      <w:r w:rsidR="00C00423" w:rsidRPr="000B3717">
        <w:lastRenderedPageBreak/>
        <w:t>específico para</w:t>
      </w:r>
      <w:r w:rsidRPr="000B3717">
        <w:t xml:space="preserve"> garantizar la transparencia, la competitividad y la rendición de cuentas</w:t>
      </w:r>
      <w:r w:rsidR="00C00423" w:rsidRPr="000B3717">
        <w:t xml:space="preserve"> cuyo objeto primordial es regular los actos relativos a la planeación, programación, presupuestación, ejecución y control de la adquisición, enajenación y arrendamiento de bienes, y la contratación de servicios de cualquier naturaleza</w:t>
      </w:r>
      <w:r w:rsidRPr="000B3717">
        <w:t>.</w:t>
      </w:r>
    </w:p>
    <w:p w14:paraId="7D5467E2" w14:textId="77777777" w:rsidR="00B77464" w:rsidRPr="000B3717" w:rsidRDefault="00B77464" w:rsidP="000B3717"/>
    <w:p w14:paraId="0AA64F02" w14:textId="313944D5" w:rsidR="00C00423" w:rsidRPr="000B3717" w:rsidRDefault="00C00423" w:rsidP="000B3717">
      <w:r w:rsidRPr="000B3717">
        <w:t>Las adquisiciones, arrendamientos y servicios se adjudicarán a través de licitaciones públicas, mediante convocatoria pública o bien mediante las excepciones al procedimiento de licitación, que son a través de invitación restringida o adjudicación directa</w:t>
      </w:r>
    </w:p>
    <w:p w14:paraId="2931AD6F" w14:textId="77777777" w:rsidR="00C00423" w:rsidRPr="000B3717" w:rsidRDefault="00C00423" w:rsidP="000B3717"/>
    <w:p w14:paraId="2A223779" w14:textId="798079B5" w:rsidR="00B77464" w:rsidRPr="000B3717" w:rsidRDefault="00B77464" w:rsidP="000B3717">
      <w:r w:rsidRPr="000B3717">
        <w:t>El proceso</w:t>
      </w:r>
      <w:r w:rsidR="00C00423" w:rsidRPr="000B3717">
        <w:t xml:space="preserve"> de las licitaciones públicas</w:t>
      </w:r>
      <w:r w:rsidRPr="000B3717">
        <w:t xml:space="preserve"> inicia </w:t>
      </w:r>
      <w:r w:rsidR="00C00423" w:rsidRPr="000B3717">
        <w:t xml:space="preserve">esencialmente </w:t>
      </w:r>
      <w:r w:rsidRPr="000B3717">
        <w:t xml:space="preserve">con la planificación, donde </w:t>
      </w:r>
      <w:r w:rsidR="00C00423" w:rsidRPr="000B3717">
        <w:t>para el caso de las entidades municipales deberán</w:t>
      </w:r>
      <w:r w:rsidRPr="000B3717">
        <w:t xml:space="preserve"> identificar sus necesidades y establecer un presupuesto adecuado</w:t>
      </w:r>
      <w:r w:rsidR="00C00423" w:rsidRPr="000B3717">
        <w:t xml:space="preserve"> para el ejercicio de contratación según sea la exigencia</w:t>
      </w:r>
      <w:r w:rsidRPr="000B3717">
        <w:t>. Posteriormente, se lleva a cabo la convocatoria y la publicación de las licitaciones, permitiendo así la participación de proveedore</w:t>
      </w:r>
      <w:r w:rsidR="000A0898" w:rsidRPr="000B3717">
        <w:t>s y fomentando la competencia; l</w:t>
      </w:r>
      <w:r w:rsidRPr="000B3717">
        <w:t>a evaluación de propuestas es un paso crítico, en el que se analizan no solo los aspectos técnicos y económicos, sino también la experienci</w:t>
      </w:r>
      <w:r w:rsidR="000A0898" w:rsidRPr="000B3717">
        <w:t>a y capacidad de los licitantes a través de un criterio de evaluación con el fin de determinar si se cumplen con los requerimientos de las autoridades.</w:t>
      </w:r>
    </w:p>
    <w:p w14:paraId="50CA10AF" w14:textId="77777777" w:rsidR="000A0898" w:rsidRPr="000B3717" w:rsidRDefault="000A0898" w:rsidP="000B3717"/>
    <w:p w14:paraId="72EEF432" w14:textId="66D788DB" w:rsidR="000A0898" w:rsidRPr="000B3717" w:rsidRDefault="000A0898" w:rsidP="000B3717">
      <w:r w:rsidRPr="000B3717">
        <w:t>El comité de adquisiciones y servicios realiza un análisis y evaluación de las propuestas, mediante la verificación del cumplimiento de la información y de la documentación solicitada en las bases de la licitación.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w:t>
      </w:r>
    </w:p>
    <w:p w14:paraId="7DB6E5DC" w14:textId="77777777" w:rsidR="00B77464" w:rsidRPr="000B3717" w:rsidRDefault="00B77464" w:rsidP="000B3717"/>
    <w:p w14:paraId="6C9D1F02" w14:textId="6847DE48" w:rsidR="00B77464" w:rsidRPr="000B3717" w:rsidRDefault="000A0898" w:rsidP="000B3717">
      <w:r w:rsidRPr="000B3717">
        <w:t>Al tomar una decisión de selección sobre las personas participantes, las autoridades emiten un fallo con base en el dictamen de adjudicación el cual surte efectos a partir de su emisión, dotando de responsabilidades y obligaciones a las partes involucradas.</w:t>
      </w:r>
    </w:p>
    <w:p w14:paraId="28276D5D" w14:textId="77777777" w:rsidR="000A0898" w:rsidRPr="000B3717" w:rsidRDefault="000A0898" w:rsidP="000B3717"/>
    <w:p w14:paraId="0B9B5045" w14:textId="1FEC16BC" w:rsidR="000A0898" w:rsidRPr="000B3717" w:rsidRDefault="000A0898" w:rsidP="000B3717">
      <w:r w:rsidRPr="000B3717">
        <w:t xml:space="preserve">Dicho procedimiento se encuentra contemplado de manera detallada en el artículo 35 de la Ley de Contratación Pública </w:t>
      </w:r>
      <w:r w:rsidR="00966C28" w:rsidRPr="000B3717">
        <w:t>del Estado de México y Municipios.</w:t>
      </w:r>
    </w:p>
    <w:p w14:paraId="3F31009D" w14:textId="77777777" w:rsidR="00966C28" w:rsidRPr="000B3717" w:rsidRDefault="00966C28" w:rsidP="000B3717"/>
    <w:p w14:paraId="1849629D" w14:textId="77777777" w:rsidR="00966C28" w:rsidRPr="000B3717" w:rsidRDefault="00966C28" w:rsidP="000B3717">
      <w:r w:rsidRPr="000B3717">
        <w:t xml:space="preserve">Por otra parte, respecto a las excepciones de a las licitaciones públicas, la Ley en comento señala que, el proceso de invitación restringida se da cuando se declarare desierto un procedimiento de licitación pública o bien cuando el importe de la operación no exceda de los montos establecidos por el Presupuesto de Egresos del Gobierno del Estado de México del ejercicio correspondiente. </w:t>
      </w:r>
    </w:p>
    <w:p w14:paraId="360869D0" w14:textId="77777777" w:rsidR="00966C28" w:rsidRPr="000B3717" w:rsidRDefault="00966C28" w:rsidP="000B3717"/>
    <w:p w14:paraId="55F16A77" w14:textId="5258DC4D" w:rsidR="00966C28" w:rsidRPr="000B3717" w:rsidRDefault="00966C28" w:rsidP="000B3717">
      <w:r w:rsidRPr="000B3717">
        <w:t>El procedimiento de invitación restringida se desarrollará en los términos de la licitación pública, a excepción de la publicación de la convocatoria</w:t>
      </w:r>
    </w:p>
    <w:p w14:paraId="62BB73C1" w14:textId="77777777" w:rsidR="00B77464" w:rsidRPr="000B3717" w:rsidRDefault="00B77464" w:rsidP="000B3717"/>
    <w:p w14:paraId="3B08C50A" w14:textId="762F5B3E" w:rsidR="00B77464" w:rsidRPr="000B3717" w:rsidRDefault="00966C28" w:rsidP="000B3717">
      <w:r w:rsidRPr="000B3717">
        <w:t xml:space="preserve">Luego, respecto la adjudicación directa, la normatividad de la materia en su artículo 48 establece los supuestos en los que para el caso que nos ocupa, el ayuntamiento puede acudir a este supuesto, dentro de los cuales se encuentran escenarios o </w:t>
      </w:r>
      <w:r w:rsidR="003E278F" w:rsidRPr="000B3717">
        <w:t>circunstancias específicas, como lo son, la urgencia de adquirir un bien o servicio; que la adquisición solo pueda llevarse por una sola persona al tratarse de derechos de autor o exclusivos; que pueda comprometerse información confidencial, entre otros.</w:t>
      </w:r>
    </w:p>
    <w:p w14:paraId="5A7BDAE3" w14:textId="77777777" w:rsidR="00B77464" w:rsidRPr="000B3717" w:rsidRDefault="00B77464" w:rsidP="000B3717"/>
    <w:p w14:paraId="46F7A8E2" w14:textId="77777777" w:rsidR="00754C6A" w:rsidRPr="000B3717" w:rsidRDefault="00754C6A" w:rsidP="000B3717">
      <w:r w:rsidRPr="000B3717">
        <w:lastRenderedPageBreak/>
        <w:t xml:space="preserve">Por otra parte, es necesario señalar que </w:t>
      </w:r>
      <w:r w:rsidRPr="000B3717">
        <w:rPr>
          <w:rFonts w:eastAsia="Arial Unicode MS"/>
          <w:lang w:val="es-ES_tradnl"/>
        </w:rPr>
        <w:t>la Constitución Política del Estado Libre y Soberano de México</w:t>
      </w:r>
      <w:r w:rsidRPr="000B3717">
        <w:t xml:space="preserve"> en su artículo 129 señala que los recursos económicos del Estado, de los Municipios, así como de los organismos autónomos, se administrarán con eficiencia, eficacia y honradez, para cumplir con los objetivos y programas a los que estén destinados. </w:t>
      </w:r>
    </w:p>
    <w:p w14:paraId="2616B9A6" w14:textId="77777777" w:rsidR="00754C6A" w:rsidRPr="000B3717" w:rsidRDefault="00754C6A" w:rsidP="000B3717"/>
    <w:p w14:paraId="50DCDD16" w14:textId="77777777" w:rsidR="00754C6A" w:rsidRPr="000B3717" w:rsidRDefault="00754C6A" w:rsidP="000B3717">
      <w:r w:rsidRPr="000B3717">
        <w:t>Asimismo, señala que todos los pagos se harán mediante orden escrita en la que se expresará la partida del presupuesto a cargo de la cual se realicen.</w:t>
      </w:r>
    </w:p>
    <w:p w14:paraId="441A6F48" w14:textId="77777777" w:rsidR="00754C6A" w:rsidRPr="000B3717" w:rsidRDefault="00754C6A" w:rsidP="000B3717"/>
    <w:p w14:paraId="452BF246" w14:textId="77777777" w:rsidR="00754C6A" w:rsidRPr="000B3717" w:rsidRDefault="00754C6A" w:rsidP="000B3717">
      <w:r w:rsidRPr="000B3717">
        <w:t>Por otra parte, es conveniente citar los artículos 31, fracción XVIII y 95, fracciones I y IV de la Ley Orgánica Municipal del Estado de México, que establecen:</w:t>
      </w:r>
    </w:p>
    <w:p w14:paraId="41FA4E75" w14:textId="77777777" w:rsidR="00754C6A" w:rsidRPr="000B3717" w:rsidRDefault="00754C6A" w:rsidP="000B3717">
      <w:pPr>
        <w:ind w:left="851" w:right="901"/>
        <w:rPr>
          <w:rFonts w:cs="Arial"/>
          <w:i/>
          <w:szCs w:val="22"/>
          <w:lang w:eastAsia="es-MX"/>
        </w:rPr>
      </w:pPr>
    </w:p>
    <w:p w14:paraId="3AA0AEFA" w14:textId="77777777" w:rsidR="00754C6A" w:rsidRPr="000B3717" w:rsidRDefault="00754C6A" w:rsidP="000B3717">
      <w:pPr>
        <w:pStyle w:val="Puesto"/>
        <w:rPr>
          <w:lang w:eastAsia="es-MX"/>
        </w:rPr>
      </w:pPr>
      <w:r w:rsidRPr="000B3717">
        <w:rPr>
          <w:lang w:eastAsia="es-MX"/>
        </w:rPr>
        <w:t>“</w:t>
      </w:r>
      <w:r w:rsidRPr="000B3717">
        <w:rPr>
          <w:b/>
          <w:lang w:eastAsia="es-MX"/>
        </w:rPr>
        <w:t>Artículo 31.-</w:t>
      </w:r>
      <w:r w:rsidRPr="000B3717">
        <w:rPr>
          <w:lang w:eastAsia="es-MX"/>
        </w:rPr>
        <w:t xml:space="preserve"> Son atribuciones de los ayuntamientos:</w:t>
      </w:r>
    </w:p>
    <w:p w14:paraId="416589CE" w14:textId="77777777" w:rsidR="00754C6A" w:rsidRPr="000B3717" w:rsidRDefault="00754C6A" w:rsidP="000B3717">
      <w:pPr>
        <w:pStyle w:val="Puesto"/>
        <w:rPr>
          <w:lang w:eastAsia="es-MX"/>
        </w:rPr>
      </w:pPr>
      <w:r w:rsidRPr="000B3717">
        <w:rPr>
          <w:lang w:eastAsia="es-MX"/>
        </w:rPr>
        <w:t>…</w:t>
      </w:r>
    </w:p>
    <w:p w14:paraId="6F648DA2" w14:textId="77777777" w:rsidR="00754C6A" w:rsidRPr="000B3717" w:rsidRDefault="00754C6A" w:rsidP="000B3717">
      <w:pPr>
        <w:pStyle w:val="Puesto"/>
        <w:rPr>
          <w:lang w:eastAsia="es-MX"/>
        </w:rPr>
      </w:pPr>
      <w:r w:rsidRPr="000B3717">
        <w:rPr>
          <w:b/>
          <w:lang w:eastAsia="es-MX"/>
        </w:rPr>
        <w:t>XVIII.</w:t>
      </w:r>
      <w:r w:rsidRPr="000B3717">
        <w:rPr>
          <w:lang w:eastAsia="es-MX"/>
        </w:rPr>
        <w:t xml:space="preserve"> </w:t>
      </w:r>
      <w:r w:rsidRPr="000B3717">
        <w:rPr>
          <w:b/>
          <w:lang w:eastAsia="es-MX"/>
        </w:rPr>
        <w:t>Administrar su hacienda</w:t>
      </w:r>
      <w:r w:rsidRPr="000B3717">
        <w:rPr>
          <w:lang w:eastAsia="es-MX"/>
        </w:rPr>
        <w:t xml:space="preserve"> en términos de ley, y controlar a través del presidente y síndico la aplicación del presupuesto de egresos del municipio;</w:t>
      </w:r>
    </w:p>
    <w:p w14:paraId="7F9A6BF8" w14:textId="77777777" w:rsidR="00754C6A" w:rsidRPr="000B3717" w:rsidRDefault="00754C6A" w:rsidP="000B3717">
      <w:pPr>
        <w:pStyle w:val="Puesto"/>
        <w:rPr>
          <w:lang w:eastAsia="es-MX"/>
        </w:rPr>
      </w:pPr>
      <w:r w:rsidRPr="000B3717">
        <w:rPr>
          <w:lang w:eastAsia="es-MX"/>
        </w:rPr>
        <w:t>…</w:t>
      </w:r>
    </w:p>
    <w:p w14:paraId="622D0D7E" w14:textId="77777777" w:rsidR="00754C6A" w:rsidRPr="000B3717" w:rsidRDefault="00754C6A" w:rsidP="000B3717">
      <w:pPr>
        <w:pStyle w:val="Puesto"/>
        <w:rPr>
          <w:lang w:eastAsia="es-MX"/>
        </w:rPr>
      </w:pPr>
      <w:r w:rsidRPr="000B3717">
        <w:rPr>
          <w:b/>
          <w:lang w:eastAsia="es-MX"/>
        </w:rPr>
        <w:t>Artículo 95.-</w:t>
      </w:r>
      <w:r w:rsidRPr="000B3717">
        <w:rPr>
          <w:lang w:eastAsia="es-MX"/>
        </w:rPr>
        <w:t xml:space="preserve"> Son atribuciones del tesorero municipal:</w:t>
      </w:r>
    </w:p>
    <w:p w14:paraId="756B731C" w14:textId="77777777" w:rsidR="00754C6A" w:rsidRPr="000B3717" w:rsidRDefault="00754C6A" w:rsidP="000B3717">
      <w:pPr>
        <w:pStyle w:val="Puesto"/>
        <w:rPr>
          <w:lang w:eastAsia="es-MX"/>
        </w:rPr>
      </w:pPr>
      <w:r w:rsidRPr="000B3717">
        <w:rPr>
          <w:b/>
          <w:lang w:eastAsia="es-MX"/>
        </w:rPr>
        <w:t>I.</w:t>
      </w:r>
      <w:r w:rsidRPr="000B3717">
        <w:rPr>
          <w:lang w:eastAsia="es-MX"/>
        </w:rPr>
        <w:t xml:space="preserve"> </w:t>
      </w:r>
      <w:r w:rsidRPr="000B3717">
        <w:rPr>
          <w:b/>
          <w:lang w:eastAsia="es-MX"/>
        </w:rPr>
        <w:t>Administrar la hacienda pública municipal</w:t>
      </w:r>
      <w:r w:rsidRPr="000B3717">
        <w:rPr>
          <w:lang w:eastAsia="es-MX"/>
        </w:rPr>
        <w:t>, de conformidad con las disposiciones legales aplicables;</w:t>
      </w:r>
    </w:p>
    <w:p w14:paraId="362BFF4B" w14:textId="77777777" w:rsidR="00754C6A" w:rsidRPr="000B3717" w:rsidRDefault="00754C6A" w:rsidP="000B3717">
      <w:pPr>
        <w:pStyle w:val="Puesto"/>
        <w:rPr>
          <w:lang w:eastAsia="es-MX"/>
        </w:rPr>
      </w:pPr>
      <w:r w:rsidRPr="000B3717">
        <w:rPr>
          <w:lang w:eastAsia="es-MX"/>
        </w:rPr>
        <w:t>…</w:t>
      </w:r>
    </w:p>
    <w:p w14:paraId="50EDBF7B" w14:textId="77777777" w:rsidR="00754C6A" w:rsidRPr="000B3717" w:rsidRDefault="00754C6A" w:rsidP="000B3717">
      <w:pPr>
        <w:pStyle w:val="Puesto"/>
      </w:pPr>
      <w:r w:rsidRPr="000B3717">
        <w:rPr>
          <w:b/>
          <w:lang w:eastAsia="es-MX"/>
        </w:rPr>
        <w:t>IV.</w:t>
      </w:r>
      <w:r w:rsidRPr="000B3717">
        <w:rPr>
          <w:lang w:eastAsia="es-MX"/>
        </w:rPr>
        <w:t xml:space="preserve"> </w:t>
      </w:r>
      <w:r w:rsidRPr="000B3717">
        <w:rPr>
          <w:b/>
          <w:lang w:eastAsia="es-MX"/>
        </w:rPr>
        <w:t>Llevar los registros contables, financieros y administrativos</w:t>
      </w:r>
      <w:r w:rsidRPr="000B3717">
        <w:rPr>
          <w:lang w:eastAsia="es-MX"/>
        </w:rPr>
        <w:t xml:space="preserve"> de los ingresos, </w:t>
      </w:r>
      <w:r w:rsidRPr="000B3717">
        <w:rPr>
          <w:b/>
          <w:lang w:eastAsia="es-MX"/>
        </w:rPr>
        <w:t>egresos</w:t>
      </w:r>
      <w:r w:rsidRPr="000B3717">
        <w:rPr>
          <w:lang w:eastAsia="es-MX"/>
        </w:rPr>
        <w:t>, e inventarios;</w:t>
      </w:r>
      <w:r w:rsidRPr="000B3717">
        <w:t>”</w:t>
      </w:r>
    </w:p>
    <w:p w14:paraId="4BD7A65A" w14:textId="77777777" w:rsidR="00754C6A" w:rsidRPr="000B3717" w:rsidRDefault="00754C6A" w:rsidP="000B3717">
      <w:pPr>
        <w:pStyle w:val="Puesto"/>
      </w:pPr>
      <w:r w:rsidRPr="000B3717">
        <w:t>(Énfasis añadido)</w:t>
      </w:r>
    </w:p>
    <w:p w14:paraId="2B15AE47" w14:textId="77777777" w:rsidR="00754C6A" w:rsidRPr="000B3717" w:rsidRDefault="00754C6A" w:rsidP="000B3717">
      <w:pPr>
        <w:ind w:left="851" w:right="901"/>
        <w:rPr>
          <w:rFonts w:cs="Arial"/>
          <w:i/>
        </w:rPr>
      </w:pPr>
    </w:p>
    <w:p w14:paraId="79CB9CA0" w14:textId="77777777" w:rsidR="00754C6A" w:rsidRPr="000B3717" w:rsidRDefault="00754C6A" w:rsidP="000B3717">
      <w:pPr>
        <w:rPr>
          <w:rFonts w:cs="Arial"/>
          <w:lang w:eastAsia="es-MX"/>
        </w:rPr>
      </w:pPr>
      <w:r w:rsidRPr="000B3717">
        <w:rPr>
          <w:rFonts w:cs="Arial"/>
          <w:lang w:eastAsia="es-MX"/>
        </w:rPr>
        <w:t>De lo anterior, se advierte que los Ayuntamientos tienen la atribución de administrar libremente su hacienda y controlar la aplicación del presupuesto de egresos aprobado por dicho cuerpo colegiado, siendo atribución del Tesorero Municipal la de llevar los registros contables, financieros y administrativos de los ingresos, egresos e inventarios.</w:t>
      </w:r>
    </w:p>
    <w:p w14:paraId="3539BC2F" w14:textId="77777777" w:rsidR="00754C6A" w:rsidRPr="000B3717" w:rsidRDefault="00754C6A" w:rsidP="000B3717">
      <w:pPr>
        <w:rPr>
          <w:rFonts w:cs="Arial"/>
          <w:lang w:eastAsia="es-MX"/>
        </w:rPr>
      </w:pPr>
    </w:p>
    <w:p w14:paraId="1344A73B" w14:textId="77777777" w:rsidR="00754C6A" w:rsidRPr="000B3717" w:rsidRDefault="00754C6A" w:rsidP="000B3717">
      <w:pPr>
        <w:rPr>
          <w:rFonts w:cs="Arial"/>
          <w:lang w:eastAsia="es-MX"/>
        </w:rPr>
      </w:pPr>
      <w:r w:rsidRPr="000B3717">
        <w:rPr>
          <w:rFonts w:cs="Arial"/>
          <w:lang w:eastAsia="es-MX"/>
        </w:rPr>
        <w:lastRenderedPageBreak/>
        <w:t>Al respecto, los artículos 342, 343, 344 y 345, del Código Financiero del Estado de México y Municipios, disponen el sistema y las políticas que deben seguirse para llevar el registro contable y presupuestal de las operaciones financieras que llevan a cabo los Municipios del Estado de México, en los siguientes términos:</w:t>
      </w:r>
    </w:p>
    <w:p w14:paraId="4BD034B6" w14:textId="77777777" w:rsidR="00754C6A" w:rsidRPr="000B3717" w:rsidRDefault="00754C6A" w:rsidP="000B3717">
      <w:pPr>
        <w:rPr>
          <w:rFonts w:cs="Arial"/>
          <w:lang w:eastAsia="es-MX"/>
        </w:rPr>
      </w:pPr>
    </w:p>
    <w:p w14:paraId="0D82FF64" w14:textId="77777777" w:rsidR="00754C6A" w:rsidRPr="000B3717" w:rsidRDefault="00754C6A" w:rsidP="000B3717">
      <w:pPr>
        <w:pStyle w:val="Puesto"/>
        <w:rPr>
          <w:rFonts w:eastAsia="Arial Unicode MS"/>
        </w:rPr>
      </w:pPr>
      <w:r w:rsidRPr="000B3717">
        <w:rPr>
          <w:rFonts w:eastAsia="Arial Unicode MS"/>
        </w:rPr>
        <w:t>“</w:t>
      </w:r>
      <w:r w:rsidRPr="000B3717">
        <w:rPr>
          <w:rFonts w:eastAsia="Arial Unicode MS"/>
          <w:b/>
        </w:rPr>
        <w:t>Artículo 342.-</w:t>
      </w:r>
      <w:r w:rsidRPr="000B3717">
        <w:rPr>
          <w:rFonts w:eastAsia="Arial Unicode MS"/>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758C4790" w14:textId="77777777" w:rsidR="00754C6A" w:rsidRPr="000B3717" w:rsidRDefault="00754C6A" w:rsidP="000B3717">
      <w:pPr>
        <w:pStyle w:val="Puesto"/>
        <w:rPr>
          <w:rFonts w:eastAsia="Arial Unicode MS"/>
          <w:b/>
        </w:rPr>
      </w:pPr>
      <w:r w:rsidRPr="000B3717">
        <w:rPr>
          <w:rFonts w:eastAsia="Arial Unicode MS"/>
          <w:b/>
        </w:rPr>
        <w:t xml:space="preserve">En el caso de los municipios, el registro a que se refiere el párrafo anterior, se realizará conforme al sistema y a las </w:t>
      </w:r>
      <w:r w:rsidRPr="000B3717">
        <w:rPr>
          <w:rFonts w:eastAsia="Arial Unicode MS"/>
        </w:rPr>
        <w:t>disposiciones</w:t>
      </w:r>
      <w:r w:rsidRPr="000B3717">
        <w:rPr>
          <w:rFonts w:eastAsia="Arial Unicode MS"/>
          <w:b/>
        </w:rPr>
        <w:t xml:space="preserve"> en materia de planeación, programación, presupuestación, evaluación y contabilidad gubernamental, que se aprueben en el marco del Sistema de Coordinación Hacendaria del Estado de México. </w:t>
      </w:r>
    </w:p>
    <w:p w14:paraId="6A939B04" w14:textId="77777777" w:rsidR="00754C6A" w:rsidRPr="000B3717" w:rsidRDefault="00754C6A" w:rsidP="000B3717">
      <w:pPr>
        <w:pStyle w:val="Puesto"/>
        <w:rPr>
          <w:rFonts w:eastAsia="Arial Unicode MS"/>
        </w:rPr>
      </w:pPr>
      <w:r w:rsidRPr="000B3717">
        <w:rPr>
          <w:rFonts w:eastAsia="Arial Unicode MS"/>
          <w:b/>
        </w:rPr>
        <w:t>Artículo 343.-</w:t>
      </w:r>
      <w:r w:rsidRPr="000B3717">
        <w:rPr>
          <w:rFonts w:eastAsia="Arial Unicode MS"/>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3BAECB36" w14:textId="77777777" w:rsidR="00754C6A" w:rsidRPr="000B3717" w:rsidRDefault="00754C6A" w:rsidP="000B3717">
      <w:pPr>
        <w:pStyle w:val="Puesto"/>
        <w:rPr>
          <w:rFonts w:eastAsia="Arial Unicode MS"/>
        </w:rPr>
      </w:pPr>
      <w:r w:rsidRPr="000B3717">
        <w:rPr>
          <w:rFonts w:eastAsia="Arial Unicode MS"/>
        </w:rPr>
        <w:t xml:space="preserve">El sistema de contabilidad sobre base acumulativa total se sustentará en los postulados básicos y el marco conceptual de la contabilidad gubernamental. </w:t>
      </w:r>
    </w:p>
    <w:p w14:paraId="672CB1BF" w14:textId="77777777" w:rsidR="00754C6A" w:rsidRPr="000B3717" w:rsidRDefault="00754C6A" w:rsidP="000B3717">
      <w:pPr>
        <w:pStyle w:val="Puesto"/>
        <w:rPr>
          <w:rFonts w:eastAsia="Arial Unicode MS"/>
        </w:rPr>
      </w:pPr>
      <w:r w:rsidRPr="000B3717">
        <w:rPr>
          <w:rFonts w:eastAsia="Arial Unicode MS"/>
          <w:b/>
        </w:rPr>
        <w:t xml:space="preserve">Artículo 344.- </w:t>
      </w:r>
      <w:r w:rsidRPr="000B3717">
        <w:rPr>
          <w:rFonts w:eastAsia="Arial Unicode MS"/>
        </w:rPr>
        <w:t xml:space="preserve">Las Dependencias, Entidades Públicas y unidades administrativas registrarán contablemente el efecto patrimonial y presupuestal de las operaciones financieras que realicen, </w:t>
      </w:r>
      <w:r w:rsidRPr="000B3717">
        <w:rPr>
          <w:rFonts w:eastAsia="Arial Unicode MS"/>
          <w:b/>
        </w:rPr>
        <w:t>en el momento en que ocurran</w:t>
      </w:r>
      <w:r w:rsidRPr="000B3717">
        <w:rPr>
          <w:rFonts w:eastAsia="Arial Unicode MS"/>
        </w:rPr>
        <w:t xml:space="preserve">, con base en el sistema y políticas de registro establecidas, en el caso de los Municipios se hará por la Tesorería. </w:t>
      </w:r>
    </w:p>
    <w:p w14:paraId="38ABE732" w14:textId="77777777" w:rsidR="00754C6A" w:rsidRPr="000B3717" w:rsidRDefault="00754C6A" w:rsidP="000B3717">
      <w:pPr>
        <w:pStyle w:val="Puesto"/>
        <w:rPr>
          <w:rFonts w:eastAsia="Arial Unicode MS"/>
        </w:rPr>
      </w:pPr>
      <w:r w:rsidRPr="000B3717">
        <w:rPr>
          <w:rFonts w:eastAsia="Arial Unicode MS"/>
        </w:rPr>
        <w:t xml:space="preserve">Derogado. </w:t>
      </w:r>
    </w:p>
    <w:p w14:paraId="35D137D7" w14:textId="77777777" w:rsidR="00754C6A" w:rsidRPr="000B3717" w:rsidRDefault="00754C6A" w:rsidP="000B3717">
      <w:pPr>
        <w:pStyle w:val="Puesto"/>
        <w:rPr>
          <w:rFonts w:eastAsia="Arial Unicode MS"/>
          <w:b/>
        </w:rPr>
      </w:pPr>
      <w:r w:rsidRPr="000B3717">
        <w:rPr>
          <w:rFonts w:eastAsia="Arial Unicode MS"/>
          <w:b/>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14:paraId="3658024E" w14:textId="77777777" w:rsidR="00754C6A" w:rsidRPr="000B3717" w:rsidRDefault="00754C6A" w:rsidP="000B3717">
      <w:pPr>
        <w:pStyle w:val="Puesto"/>
        <w:rPr>
          <w:rFonts w:eastAsia="Arial Unicode MS"/>
        </w:rPr>
      </w:pPr>
      <w:r w:rsidRPr="000B3717">
        <w:rPr>
          <w:rFonts w:eastAsia="Arial Unicode MS"/>
        </w:rPr>
        <w:t xml:space="preserve">Tratándose de documentos de carácter histórico, se estará a lo dispuesto por la legislación de la materia. </w:t>
      </w:r>
    </w:p>
    <w:p w14:paraId="3A04A468" w14:textId="77777777" w:rsidR="00754C6A" w:rsidRPr="000B3717" w:rsidRDefault="00754C6A" w:rsidP="000B3717">
      <w:pPr>
        <w:pStyle w:val="Puesto"/>
        <w:rPr>
          <w:rFonts w:eastAsia="Arial Unicode MS"/>
        </w:rPr>
      </w:pPr>
      <w:r w:rsidRPr="000B3717">
        <w:rPr>
          <w:rFonts w:eastAsia="Arial Unicode MS"/>
          <w:b/>
        </w:rPr>
        <w:lastRenderedPageBreak/>
        <w:t xml:space="preserve">Artículo 345.- </w:t>
      </w:r>
      <w:r w:rsidRPr="000B3717">
        <w:rPr>
          <w:rFonts w:eastAsia="Arial Unicode MS"/>
        </w:rPr>
        <w:t>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w:t>
      </w:r>
    </w:p>
    <w:p w14:paraId="5F240F88" w14:textId="77777777" w:rsidR="00754C6A" w:rsidRPr="000B3717" w:rsidRDefault="00754C6A" w:rsidP="000B3717">
      <w:pPr>
        <w:pStyle w:val="Puesto"/>
      </w:pPr>
      <w:r w:rsidRPr="000B3717">
        <w:rPr>
          <w:rFonts w:eastAsia="Arial Unicode MS" w:cs="Arial"/>
        </w:rPr>
        <w:t xml:space="preserve">El plazo señalado en el </w:t>
      </w:r>
      <w:r w:rsidRPr="000B3717">
        <w:rPr>
          <w:rStyle w:val="PuestoCar"/>
        </w:rPr>
        <w:t>párrafo anterior, empezará a contar a partir de la publicación en el Periódico Oficial, del de</w:t>
      </w:r>
      <w:r w:rsidRPr="000B3717">
        <w:rPr>
          <w:rFonts w:eastAsia="Arial Unicode MS" w:cs="Arial"/>
        </w:rPr>
        <w:t>creto correspondiente.</w:t>
      </w:r>
      <w:r w:rsidRPr="000B3717">
        <w:t>”</w:t>
      </w:r>
    </w:p>
    <w:p w14:paraId="0574C7E0" w14:textId="77777777" w:rsidR="00754C6A" w:rsidRPr="000B3717" w:rsidRDefault="00754C6A" w:rsidP="000B3717">
      <w:pPr>
        <w:pStyle w:val="Puesto"/>
        <w:rPr>
          <w:rFonts w:eastAsia="Arial Unicode MS" w:cs="Arial"/>
        </w:rPr>
      </w:pPr>
      <w:r w:rsidRPr="000B3717">
        <w:rPr>
          <w:rFonts w:eastAsia="Arial Unicode MS" w:cs="Arial"/>
        </w:rPr>
        <w:t>(Énfasis añadido)</w:t>
      </w:r>
    </w:p>
    <w:p w14:paraId="6C248C54" w14:textId="77777777" w:rsidR="00754C6A" w:rsidRPr="000B3717" w:rsidRDefault="00754C6A" w:rsidP="000B3717">
      <w:pPr>
        <w:pStyle w:val="Puesto"/>
        <w:rPr>
          <w:rFonts w:eastAsia="Arial Unicode MS" w:cs="Arial"/>
        </w:rPr>
      </w:pPr>
    </w:p>
    <w:p w14:paraId="512855F2" w14:textId="77777777" w:rsidR="00754C6A" w:rsidRPr="000B3717" w:rsidRDefault="00754C6A" w:rsidP="000B3717">
      <w:pPr>
        <w:rPr>
          <w:rFonts w:cs="Arial"/>
          <w:lang w:eastAsia="es-MX"/>
        </w:rPr>
      </w:pPr>
      <w:r w:rsidRPr="000B3717">
        <w:rPr>
          <w:rFonts w:cs="Arial"/>
          <w:lang w:eastAsia="es-MX"/>
        </w:rPr>
        <w:t>De una interpretación sistemática de los artículos transcritos se desprende, primeramente, que el registro contable del efecto patrimonial y presupuestal de las operaciones financieras que realice el Municipio se hace conforme al sistema y a las disposiciones que se aprueben en materia de planeación, programación, presupuestación, evaluación y contabilidad gubernamental.</w:t>
      </w:r>
    </w:p>
    <w:p w14:paraId="13760041" w14:textId="77777777" w:rsidR="00754C6A" w:rsidRPr="000B3717" w:rsidRDefault="00754C6A" w:rsidP="000B3717">
      <w:pPr>
        <w:rPr>
          <w:rFonts w:cs="Arial"/>
          <w:lang w:eastAsia="es-MX"/>
        </w:rPr>
      </w:pPr>
    </w:p>
    <w:p w14:paraId="30F48133" w14:textId="77777777" w:rsidR="00754C6A" w:rsidRPr="000B3717" w:rsidRDefault="00754C6A" w:rsidP="000B3717">
      <w:pPr>
        <w:rPr>
          <w:rFonts w:cs="Arial"/>
          <w:lang w:eastAsia="es-MX"/>
        </w:rPr>
      </w:pPr>
      <w:r w:rsidRPr="000B3717">
        <w:rPr>
          <w:rFonts w:cs="Arial"/>
          <w:lang w:eastAsia="es-MX"/>
        </w:rPr>
        <w:t>Asimismo, se establece que el sistema de contabilidad sobre base acumulativa total se sustentará en los principios de contabilidad gubernamental.</w:t>
      </w:r>
    </w:p>
    <w:p w14:paraId="2F0D5539" w14:textId="77777777" w:rsidR="00754C6A" w:rsidRPr="000B3717" w:rsidRDefault="00754C6A" w:rsidP="000B3717">
      <w:pPr>
        <w:rPr>
          <w:rFonts w:cs="Arial"/>
          <w:lang w:eastAsia="es-MX"/>
        </w:rPr>
      </w:pPr>
    </w:p>
    <w:p w14:paraId="2D8B416D" w14:textId="77777777" w:rsidR="00754C6A" w:rsidRPr="000B3717" w:rsidRDefault="00754C6A" w:rsidP="000B3717">
      <w:pPr>
        <w:rPr>
          <w:rFonts w:cs="Arial"/>
          <w:b/>
          <w:lang w:eastAsia="es-MX"/>
        </w:rPr>
      </w:pPr>
      <w:r w:rsidRPr="000B3717">
        <w:rPr>
          <w:rFonts w:cs="Arial"/>
          <w:lang w:eastAsia="es-MX"/>
        </w:rPr>
        <w:t xml:space="preserve">Igualmente, los preceptos legales citados señalan que en el caso de los Municipios es la Tesorería Municipal la unidad administrativa que registra contablemente el efecto patrimonial y presupuestal de las operaciones financieras que realizan, en </w:t>
      </w:r>
      <w:r w:rsidRPr="000B3717">
        <w:rPr>
          <w:rFonts w:cs="Arial"/>
          <w:b/>
          <w:lang w:eastAsia="es-MX"/>
        </w:rPr>
        <w:t>el momento en que ocurran, con base en el sistema y políticas de registro establecidas</w:t>
      </w:r>
      <w:r w:rsidRPr="000B3717">
        <w:rPr>
          <w:rFonts w:cs="Arial"/>
          <w:lang w:eastAsia="es-MX"/>
        </w:rPr>
        <w:t>.</w:t>
      </w:r>
    </w:p>
    <w:p w14:paraId="5259C4A5" w14:textId="77777777" w:rsidR="00754C6A" w:rsidRPr="000B3717" w:rsidRDefault="00754C6A" w:rsidP="000B3717">
      <w:pPr>
        <w:rPr>
          <w:rFonts w:cs="Arial"/>
          <w:lang w:eastAsia="es-MX"/>
        </w:rPr>
      </w:pPr>
    </w:p>
    <w:p w14:paraId="58D9C3CF" w14:textId="77777777" w:rsidR="00754C6A" w:rsidRPr="000B3717" w:rsidRDefault="00754C6A" w:rsidP="000B3717">
      <w:pPr>
        <w:rPr>
          <w:rFonts w:cs="Arial"/>
          <w:lang w:eastAsia="es-MX"/>
        </w:rPr>
      </w:pPr>
      <w:r w:rsidRPr="000B3717">
        <w:rPr>
          <w:rFonts w:cs="Arial"/>
          <w:lang w:eastAsia="es-MX"/>
        </w:rPr>
        <w:t xml:space="preserve">Cabe destacar, que el ordenamiento legal en cita establece que todo registro contable y presupuestal deberá estar soportado con los documentos comprobatorios originales, los que deberán permanecer en custodia y conservación de la Tesorería Municipal, en el caso de los municipios, y a disposición del Órgano Superior de Fiscalización del Estado de México y de </w:t>
      </w:r>
      <w:r w:rsidRPr="000B3717">
        <w:rPr>
          <w:rFonts w:cs="Arial"/>
          <w:lang w:eastAsia="es-MX"/>
        </w:rPr>
        <w:lastRenderedPageBreak/>
        <w:t>los Órganos de Control Interno, por un término de cinco años contados a partir del ejercicio presupuestal siguiente al que corresponda.</w:t>
      </w:r>
    </w:p>
    <w:p w14:paraId="7F7BAD73" w14:textId="77777777" w:rsidR="00754C6A" w:rsidRPr="000B3717" w:rsidRDefault="00754C6A" w:rsidP="000B3717">
      <w:pPr>
        <w:rPr>
          <w:rFonts w:cs="Arial"/>
        </w:rPr>
      </w:pPr>
      <w:r w:rsidRPr="000B3717">
        <w:rPr>
          <w:rFonts w:cs="Arial"/>
          <w:lang w:eastAsia="es-MX"/>
        </w:rPr>
        <w:t xml:space="preserve">Asimismo, es importante destacar que la información requerida por el particular se encuentra </w:t>
      </w:r>
      <w:r w:rsidRPr="000B3717">
        <w:rPr>
          <w:rFonts w:cs="Arial"/>
        </w:rPr>
        <w:t>considerada como una de las obligaciones de transparencias comunes que l</w:t>
      </w:r>
      <w:r w:rsidRPr="000B3717">
        <w:t xml:space="preserve">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w:t>
      </w:r>
      <w:r w:rsidRPr="000B3717">
        <w:rPr>
          <w:rFonts w:cs="Arial"/>
        </w:rPr>
        <w:t>el artículo 92 de la de la Ley de Transparencia y Acceso a la Información Pública del Estado de México y Municipios, en su fracción XXIX, dispone lo siguiente:</w:t>
      </w:r>
    </w:p>
    <w:p w14:paraId="46BA1B33" w14:textId="77777777" w:rsidR="00754C6A" w:rsidRPr="000B3717" w:rsidRDefault="00754C6A" w:rsidP="000B3717">
      <w:pPr>
        <w:rPr>
          <w:rFonts w:cs="Arial"/>
        </w:rPr>
      </w:pPr>
    </w:p>
    <w:p w14:paraId="6CB24845" w14:textId="77777777" w:rsidR="00754C6A" w:rsidRPr="000B3717" w:rsidRDefault="00754C6A" w:rsidP="000B3717">
      <w:pPr>
        <w:pStyle w:val="Puesto"/>
      </w:pPr>
      <w:r w:rsidRPr="000B3717">
        <w:rPr>
          <w:b/>
          <w:bCs/>
        </w:rPr>
        <w:t>“Artículo 92. </w:t>
      </w:r>
      <w:r w:rsidRPr="000B3717">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E8B699E" w14:textId="77777777" w:rsidR="00754C6A" w:rsidRPr="000B3717" w:rsidRDefault="00754C6A" w:rsidP="000B3717">
      <w:pPr>
        <w:pStyle w:val="Puesto"/>
      </w:pPr>
      <w:r w:rsidRPr="000B3717">
        <w:t>(…)</w:t>
      </w:r>
    </w:p>
    <w:p w14:paraId="155F9144" w14:textId="77777777" w:rsidR="00754C6A" w:rsidRPr="000B3717" w:rsidRDefault="00754C6A" w:rsidP="000B3717">
      <w:pPr>
        <w:pStyle w:val="Puesto"/>
      </w:pPr>
      <w:r w:rsidRPr="000B3717">
        <w:rPr>
          <w:b/>
          <w:bCs/>
        </w:rPr>
        <w:t>XXIX. </w:t>
      </w:r>
      <w:r w:rsidRPr="000B3717">
        <w:t xml:space="preserve">La </w:t>
      </w:r>
      <w:r w:rsidRPr="000B3717">
        <w:rPr>
          <w:b/>
        </w:rPr>
        <w:t>información sobre los procesos y resultados sobre procedimientos de adjudicación directa, invitación restringida y licitación de cualquier naturaleza, </w:t>
      </w:r>
      <w:r w:rsidRPr="000B3717">
        <w:rPr>
          <w:b/>
          <w:bCs/>
        </w:rPr>
        <w:t>incluyendo la versión pública del expediente respectivo y de los contratos</w:t>
      </w:r>
      <w:r w:rsidRPr="000B3717">
        <w:rPr>
          <w:b/>
        </w:rPr>
        <w:t> celebrados</w:t>
      </w:r>
      <w:r w:rsidRPr="000B3717">
        <w:t>, que deberán contener, por los menos, lo siguiente:</w:t>
      </w:r>
    </w:p>
    <w:p w14:paraId="0E54A065" w14:textId="77777777" w:rsidR="00754C6A" w:rsidRPr="000B3717" w:rsidRDefault="00754C6A" w:rsidP="000B3717">
      <w:pPr>
        <w:pStyle w:val="Puesto"/>
      </w:pPr>
      <w:r w:rsidRPr="000B3717">
        <w:rPr>
          <w:b/>
          <w:bCs/>
        </w:rPr>
        <w:t>a) </w:t>
      </w:r>
      <w:r w:rsidRPr="000B3717">
        <w:t>De licitaciones públicas o procedimientos de invitación restringida:</w:t>
      </w:r>
    </w:p>
    <w:p w14:paraId="5F99E921" w14:textId="77777777" w:rsidR="00754C6A" w:rsidRPr="000B3717" w:rsidRDefault="00754C6A" w:rsidP="000B3717">
      <w:pPr>
        <w:pStyle w:val="Puesto"/>
      </w:pPr>
      <w:r w:rsidRPr="000B3717">
        <w:rPr>
          <w:b/>
          <w:bCs/>
        </w:rPr>
        <w:t>1)</w:t>
      </w:r>
      <w:r w:rsidRPr="000B3717">
        <w:t> La convocatoria o invitación emitida, así como los fundamentos legales aplicados para llevarla a cabo;</w:t>
      </w:r>
    </w:p>
    <w:p w14:paraId="2E9177CC" w14:textId="77777777" w:rsidR="00754C6A" w:rsidRPr="000B3717" w:rsidRDefault="00754C6A" w:rsidP="000B3717">
      <w:pPr>
        <w:pStyle w:val="Puesto"/>
      </w:pPr>
      <w:r w:rsidRPr="000B3717">
        <w:rPr>
          <w:b/>
          <w:bCs/>
        </w:rPr>
        <w:t>2) </w:t>
      </w:r>
      <w:r w:rsidRPr="000B3717">
        <w:t>Los nombres de los participantes o invitados;</w:t>
      </w:r>
    </w:p>
    <w:p w14:paraId="1DAD9AAA" w14:textId="77777777" w:rsidR="00754C6A" w:rsidRPr="000B3717" w:rsidRDefault="00754C6A" w:rsidP="000B3717">
      <w:pPr>
        <w:pStyle w:val="Puesto"/>
      </w:pPr>
      <w:r w:rsidRPr="000B3717">
        <w:rPr>
          <w:b/>
          <w:bCs/>
        </w:rPr>
        <w:t>3)</w:t>
      </w:r>
      <w:r w:rsidRPr="000B3717">
        <w:t> El nombre del ganador y las razones que lo justifican;</w:t>
      </w:r>
    </w:p>
    <w:p w14:paraId="28131F29" w14:textId="77777777" w:rsidR="00754C6A" w:rsidRPr="000B3717" w:rsidRDefault="00754C6A" w:rsidP="000B3717">
      <w:pPr>
        <w:pStyle w:val="Puesto"/>
      </w:pPr>
      <w:r w:rsidRPr="000B3717">
        <w:rPr>
          <w:b/>
          <w:bCs/>
        </w:rPr>
        <w:t>4) </w:t>
      </w:r>
      <w:r w:rsidRPr="000B3717">
        <w:t>El área solicitante y la responsable de su ejecución;</w:t>
      </w:r>
    </w:p>
    <w:p w14:paraId="009F329A" w14:textId="77777777" w:rsidR="00754C6A" w:rsidRPr="000B3717" w:rsidRDefault="00754C6A" w:rsidP="000B3717">
      <w:pPr>
        <w:pStyle w:val="Puesto"/>
      </w:pPr>
      <w:r w:rsidRPr="000B3717">
        <w:rPr>
          <w:b/>
          <w:bCs/>
        </w:rPr>
        <w:t>5) </w:t>
      </w:r>
      <w:r w:rsidRPr="000B3717">
        <w:t>Las convocatorias e invitaciones emitidas;</w:t>
      </w:r>
    </w:p>
    <w:p w14:paraId="7664F517" w14:textId="77777777" w:rsidR="00754C6A" w:rsidRPr="000B3717" w:rsidRDefault="00754C6A" w:rsidP="000B3717">
      <w:pPr>
        <w:pStyle w:val="Puesto"/>
      </w:pPr>
      <w:r w:rsidRPr="000B3717">
        <w:rPr>
          <w:b/>
          <w:bCs/>
        </w:rPr>
        <w:t>6)</w:t>
      </w:r>
      <w:r w:rsidRPr="000B3717">
        <w:t> Los dictámenes y fallo de adjudicación;</w:t>
      </w:r>
    </w:p>
    <w:p w14:paraId="1A1B6793" w14:textId="77777777" w:rsidR="00754C6A" w:rsidRPr="000B3717" w:rsidRDefault="00754C6A" w:rsidP="000B3717">
      <w:pPr>
        <w:pStyle w:val="Puesto"/>
        <w:rPr>
          <w:b/>
        </w:rPr>
      </w:pPr>
      <w:r w:rsidRPr="000B3717">
        <w:rPr>
          <w:b/>
          <w:bCs/>
        </w:rPr>
        <w:t>7)</w:t>
      </w:r>
      <w:r w:rsidRPr="000B3717">
        <w:rPr>
          <w:bCs/>
        </w:rPr>
        <w:t> </w:t>
      </w:r>
      <w:r w:rsidRPr="000B3717">
        <w:rPr>
          <w:b/>
          <w:bCs/>
        </w:rPr>
        <w:t>El contrato y, en su caso, sus anexos;</w:t>
      </w:r>
    </w:p>
    <w:p w14:paraId="286126EE" w14:textId="77777777" w:rsidR="00754C6A" w:rsidRPr="000B3717" w:rsidRDefault="00754C6A" w:rsidP="000B3717">
      <w:pPr>
        <w:pStyle w:val="Puesto"/>
      </w:pPr>
      <w:r w:rsidRPr="000B3717">
        <w:rPr>
          <w:b/>
          <w:bCs/>
        </w:rPr>
        <w:t>8) </w:t>
      </w:r>
      <w:r w:rsidRPr="000B3717">
        <w:t>Los mecanismos de vigilancia y supervisión, incluyendo en su caso, los estudios de impacto urbano y ambiental, según corresponda;</w:t>
      </w:r>
    </w:p>
    <w:p w14:paraId="321F389A" w14:textId="77777777" w:rsidR="00754C6A" w:rsidRPr="000B3717" w:rsidRDefault="00754C6A" w:rsidP="000B3717">
      <w:pPr>
        <w:pStyle w:val="Puesto"/>
      </w:pPr>
      <w:r w:rsidRPr="000B3717">
        <w:rPr>
          <w:b/>
          <w:bCs/>
        </w:rPr>
        <w:lastRenderedPageBreak/>
        <w:t>9) </w:t>
      </w:r>
      <w:r w:rsidRPr="000B3717">
        <w:t>La partida presupuestal, de conformidad con el clasificador por objeto del gasto, en el caso de ser aplicable;</w:t>
      </w:r>
    </w:p>
    <w:p w14:paraId="72CB3200" w14:textId="77777777" w:rsidR="00754C6A" w:rsidRPr="000B3717" w:rsidRDefault="00754C6A" w:rsidP="000B3717">
      <w:pPr>
        <w:pStyle w:val="Puesto"/>
      </w:pPr>
      <w:r w:rsidRPr="000B3717">
        <w:rPr>
          <w:b/>
          <w:bCs/>
        </w:rPr>
        <w:t>10) </w:t>
      </w:r>
      <w:r w:rsidRPr="000B3717">
        <w:t>Origen de los recursos especificando si son federales, estatales o municipales, así como el tipo de fondo de participación o aportación respectiva;</w:t>
      </w:r>
    </w:p>
    <w:p w14:paraId="784A23D5" w14:textId="77777777" w:rsidR="00754C6A" w:rsidRPr="000B3717" w:rsidRDefault="00754C6A" w:rsidP="000B3717">
      <w:pPr>
        <w:pStyle w:val="Puesto"/>
      </w:pPr>
      <w:r w:rsidRPr="000B3717">
        <w:rPr>
          <w:b/>
          <w:bCs/>
        </w:rPr>
        <w:t>11) </w:t>
      </w:r>
      <w:r w:rsidRPr="000B3717">
        <w:t>Los convenios modificatorios que, en su caso, sean firmados, precisando el objeto y la fecha de celebración;</w:t>
      </w:r>
    </w:p>
    <w:p w14:paraId="4F4D89B4" w14:textId="77777777" w:rsidR="00754C6A" w:rsidRPr="000B3717" w:rsidRDefault="00754C6A" w:rsidP="000B3717">
      <w:pPr>
        <w:pStyle w:val="Puesto"/>
      </w:pPr>
      <w:r w:rsidRPr="000B3717">
        <w:rPr>
          <w:b/>
          <w:bCs/>
        </w:rPr>
        <w:t>12) </w:t>
      </w:r>
      <w:r w:rsidRPr="000B3717">
        <w:t>Los informes de avance físico y financiero sobre las obras o servicios contratados;</w:t>
      </w:r>
    </w:p>
    <w:p w14:paraId="6CA8AACF" w14:textId="77777777" w:rsidR="00754C6A" w:rsidRPr="000B3717" w:rsidRDefault="00754C6A" w:rsidP="000B3717">
      <w:pPr>
        <w:pStyle w:val="Puesto"/>
      </w:pPr>
      <w:r w:rsidRPr="000B3717">
        <w:rPr>
          <w:b/>
          <w:bCs/>
        </w:rPr>
        <w:t>13) </w:t>
      </w:r>
      <w:r w:rsidRPr="000B3717">
        <w:t>El convenio de terminación; y</w:t>
      </w:r>
    </w:p>
    <w:p w14:paraId="1DADC109" w14:textId="77777777" w:rsidR="00754C6A" w:rsidRPr="000B3717" w:rsidRDefault="00754C6A" w:rsidP="000B3717">
      <w:pPr>
        <w:pStyle w:val="Puesto"/>
      </w:pPr>
      <w:r w:rsidRPr="000B3717">
        <w:rPr>
          <w:b/>
          <w:bCs/>
        </w:rPr>
        <w:t>14) </w:t>
      </w:r>
      <w:r w:rsidRPr="000B3717">
        <w:t>El finiquito.</w:t>
      </w:r>
    </w:p>
    <w:p w14:paraId="2DD3373C" w14:textId="77777777" w:rsidR="00754C6A" w:rsidRPr="000B3717" w:rsidRDefault="00754C6A" w:rsidP="000B3717">
      <w:pPr>
        <w:pStyle w:val="Puesto"/>
      </w:pPr>
      <w:r w:rsidRPr="000B3717">
        <w:rPr>
          <w:b/>
          <w:bCs/>
        </w:rPr>
        <w:t>b) </w:t>
      </w:r>
      <w:r w:rsidRPr="000B3717">
        <w:t>De las adjudicaciones directas:</w:t>
      </w:r>
    </w:p>
    <w:p w14:paraId="1AFABEC8" w14:textId="77777777" w:rsidR="00754C6A" w:rsidRPr="000B3717" w:rsidRDefault="00754C6A" w:rsidP="000B3717">
      <w:pPr>
        <w:pStyle w:val="Puesto"/>
      </w:pPr>
      <w:r w:rsidRPr="000B3717">
        <w:rPr>
          <w:b/>
          <w:bCs/>
        </w:rPr>
        <w:t>1) </w:t>
      </w:r>
      <w:r w:rsidRPr="000B3717">
        <w:t>La propuesta enviada por el participante;</w:t>
      </w:r>
    </w:p>
    <w:p w14:paraId="2075CB29" w14:textId="77777777" w:rsidR="00754C6A" w:rsidRPr="000B3717" w:rsidRDefault="00754C6A" w:rsidP="000B3717">
      <w:pPr>
        <w:pStyle w:val="Puesto"/>
      </w:pPr>
      <w:r w:rsidRPr="000B3717">
        <w:rPr>
          <w:b/>
          <w:bCs/>
        </w:rPr>
        <w:t>2) </w:t>
      </w:r>
      <w:r w:rsidRPr="000B3717">
        <w:t>Los motivos y fundamentos legales aplicados para llevarla a cabo;</w:t>
      </w:r>
    </w:p>
    <w:p w14:paraId="61FFA8D4" w14:textId="77777777" w:rsidR="00754C6A" w:rsidRPr="000B3717" w:rsidRDefault="00754C6A" w:rsidP="000B3717">
      <w:pPr>
        <w:pStyle w:val="Puesto"/>
      </w:pPr>
      <w:r w:rsidRPr="000B3717">
        <w:rPr>
          <w:b/>
          <w:bCs/>
        </w:rPr>
        <w:t>3) </w:t>
      </w:r>
      <w:r w:rsidRPr="000B3717">
        <w:t>La autorización del ejercicio de la opción;</w:t>
      </w:r>
    </w:p>
    <w:p w14:paraId="27FCAB0D" w14:textId="77777777" w:rsidR="00754C6A" w:rsidRPr="000B3717" w:rsidRDefault="00754C6A" w:rsidP="000B3717">
      <w:pPr>
        <w:pStyle w:val="Puesto"/>
      </w:pPr>
      <w:r w:rsidRPr="000B3717">
        <w:rPr>
          <w:b/>
          <w:bCs/>
        </w:rPr>
        <w:t>4) </w:t>
      </w:r>
      <w:r w:rsidRPr="000B3717">
        <w:t>En su caso, las cotizaciones consideradas, especificando los nombres de los proveedores y sus montos;</w:t>
      </w:r>
    </w:p>
    <w:p w14:paraId="233AE9FE" w14:textId="77777777" w:rsidR="00754C6A" w:rsidRPr="000B3717" w:rsidRDefault="00754C6A" w:rsidP="000B3717">
      <w:pPr>
        <w:pStyle w:val="Puesto"/>
      </w:pPr>
      <w:r w:rsidRPr="000B3717">
        <w:rPr>
          <w:b/>
          <w:bCs/>
        </w:rPr>
        <w:t>5) </w:t>
      </w:r>
      <w:r w:rsidRPr="000B3717">
        <w:t>El nombre de la persona física o jurídica colectiva adjudicada;</w:t>
      </w:r>
    </w:p>
    <w:p w14:paraId="262F67B4" w14:textId="77777777" w:rsidR="00754C6A" w:rsidRPr="000B3717" w:rsidRDefault="00754C6A" w:rsidP="000B3717">
      <w:pPr>
        <w:pStyle w:val="Puesto"/>
      </w:pPr>
      <w:r w:rsidRPr="000B3717">
        <w:rPr>
          <w:b/>
          <w:bCs/>
        </w:rPr>
        <w:t>6) </w:t>
      </w:r>
      <w:r w:rsidRPr="000B3717">
        <w:t>La unidad administrativa solicitante y la responsable de su ejecución;</w:t>
      </w:r>
    </w:p>
    <w:p w14:paraId="03AA213D" w14:textId="77777777" w:rsidR="00754C6A" w:rsidRPr="000B3717" w:rsidRDefault="00754C6A" w:rsidP="000B3717">
      <w:pPr>
        <w:pStyle w:val="Puesto"/>
        <w:rPr>
          <w:b/>
        </w:rPr>
      </w:pPr>
      <w:r w:rsidRPr="000B3717">
        <w:rPr>
          <w:b/>
          <w:bCs/>
        </w:rPr>
        <w:t>7)</w:t>
      </w:r>
      <w:r w:rsidRPr="000B3717">
        <w:rPr>
          <w:bCs/>
        </w:rPr>
        <w:t> </w:t>
      </w:r>
      <w:r w:rsidRPr="000B3717">
        <w:rPr>
          <w:b/>
          <w:bCs/>
        </w:rPr>
        <w:t>El número, fecha, el monto del contrato y el plazo de entrega o de ejecución de los servicios u obra;</w:t>
      </w:r>
    </w:p>
    <w:p w14:paraId="30C9C128" w14:textId="77777777" w:rsidR="00754C6A" w:rsidRPr="000B3717" w:rsidRDefault="00754C6A" w:rsidP="000B3717">
      <w:pPr>
        <w:pStyle w:val="Puesto"/>
      </w:pPr>
      <w:r w:rsidRPr="000B3717">
        <w:rPr>
          <w:b/>
          <w:bCs/>
        </w:rPr>
        <w:t>8) </w:t>
      </w:r>
      <w:r w:rsidRPr="000B3717">
        <w:t>Los mecanismos de vigilancia y supervisión, incluyendo, en su caso, los estudios de impacto urbano y ambiental, según corresponda;</w:t>
      </w:r>
    </w:p>
    <w:p w14:paraId="4703E483" w14:textId="77777777" w:rsidR="00754C6A" w:rsidRPr="000B3717" w:rsidRDefault="00754C6A" w:rsidP="000B3717">
      <w:pPr>
        <w:pStyle w:val="Puesto"/>
      </w:pPr>
      <w:r w:rsidRPr="000B3717">
        <w:rPr>
          <w:b/>
          <w:bCs/>
        </w:rPr>
        <w:t>9) </w:t>
      </w:r>
      <w:r w:rsidRPr="000B3717">
        <w:t>Los informes de avance sobre las obras o servicios contratados;</w:t>
      </w:r>
    </w:p>
    <w:p w14:paraId="7B624C47" w14:textId="77777777" w:rsidR="00754C6A" w:rsidRPr="000B3717" w:rsidRDefault="00754C6A" w:rsidP="000B3717">
      <w:pPr>
        <w:pStyle w:val="Puesto"/>
      </w:pPr>
      <w:r w:rsidRPr="000B3717">
        <w:rPr>
          <w:b/>
          <w:bCs/>
        </w:rPr>
        <w:t>10) </w:t>
      </w:r>
      <w:r w:rsidRPr="000B3717">
        <w:t>El convenio de terminación; y</w:t>
      </w:r>
    </w:p>
    <w:p w14:paraId="05154612" w14:textId="77777777" w:rsidR="00754C6A" w:rsidRPr="000B3717" w:rsidRDefault="00754C6A" w:rsidP="000B3717">
      <w:pPr>
        <w:pStyle w:val="Puesto"/>
        <w:rPr>
          <w:b/>
        </w:rPr>
      </w:pPr>
      <w:r w:rsidRPr="000B3717">
        <w:rPr>
          <w:b/>
          <w:bCs/>
        </w:rPr>
        <w:t>11) </w:t>
      </w:r>
      <w:r w:rsidRPr="000B3717">
        <w:t>El finiquito.</w:t>
      </w:r>
      <w:r w:rsidRPr="000B3717">
        <w:rPr>
          <w:b/>
        </w:rPr>
        <w:t>”</w:t>
      </w:r>
    </w:p>
    <w:p w14:paraId="1C2DC0D6" w14:textId="77777777" w:rsidR="00754C6A" w:rsidRPr="000B3717" w:rsidRDefault="00754C6A" w:rsidP="000B3717">
      <w:pPr>
        <w:ind w:left="851" w:right="850"/>
        <w:rPr>
          <w:rFonts w:cs="Arial"/>
          <w:szCs w:val="22"/>
        </w:rPr>
      </w:pPr>
    </w:p>
    <w:p w14:paraId="224B903C" w14:textId="77777777" w:rsidR="00754C6A" w:rsidRPr="000B3717" w:rsidRDefault="00754C6A" w:rsidP="000B3717">
      <w:pPr>
        <w:rPr>
          <w:rFonts w:cs="Arial"/>
          <w:szCs w:val="28"/>
        </w:rPr>
      </w:pPr>
      <w:r w:rsidRPr="000B3717">
        <w:rPr>
          <w:rFonts w:cs="Arial"/>
        </w:rPr>
        <w:t>De lo anterior, se desprende que 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w:t>
      </w:r>
      <w:r w:rsidRPr="000B3717">
        <w:rPr>
          <w:rFonts w:cs="Arial"/>
          <w:szCs w:val="28"/>
        </w:rPr>
        <w:t>.</w:t>
      </w:r>
    </w:p>
    <w:p w14:paraId="47E91401" w14:textId="77777777" w:rsidR="00754C6A" w:rsidRPr="000B3717" w:rsidRDefault="00754C6A" w:rsidP="000B3717">
      <w:pPr>
        <w:rPr>
          <w:szCs w:val="22"/>
        </w:rPr>
      </w:pPr>
    </w:p>
    <w:p w14:paraId="5CC0801F" w14:textId="5F7A56F5" w:rsidR="003E0723" w:rsidRPr="000B3717" w:rsidRDefault="00172C82" w:rsidP="000B3717">
      <w:pPr>
        <w:rPr>
          <w:rFonts w:eastAsia="Calibri"/>
          <w:lang w:eastAsia="en-US"/>
        </w:rPr>
      </w:pPr>
      <w:r w:rsidRPr="000B3717">
        <w:rPr>
          <w:szCs w:val="22"/>
        </w:rPr>
        <w:t xml:space="preserve">Así las cosas, este Instituto estima prudente ordenar al </w:t>
      </w:r>
      <w:r w:rsidRPr="000B3717">
        <w:rPr>
          <w:b/>
          <w:szCs w:val="22"/>
        </w:rPr>
        <w:t xml:space="preserve">SUJETO OBLIGADO </w:t>
      </w:r>
      <w:r w:rsidRPr="000B3717">
        <w:rPr>
          <w:szCs w:val="22"/>
        </w:rPr>
        <w:t>que haga entrega d</w:t>
      </w:r>
      <w:r w:rsidR="00DA0AF8" w:rsidRPr="000B3717">
        <w:rPr>
          <w:szCs w:val="22"/>
        </w:rPr>
        <w:t>el documento</w:t>
      </w:r>
      <w:r w:rsidR="00D81B72" w:rsidRPr="000B3717">
        <w:rPr>
          <w:szCs w:val="22"/>
        </w:rPr>
        <w:t xml:space="preserve"> o documentos</w:t>
      </w:r>
      <w:r w:rsidR="009C4EA5" w:rsidRPr="000B3717">
        <w:rPr>
          <w:szCs w:val="22"/>
        </w:rPr>
        <w:t xml:space="preserve"> </w:t>
      </w:r>
      <w:r w:rsidR="00D81B72" w:rsidRPr="000B3717">
        <w:rPr>
          <w:szCs w:val="22"/>
        </w:rPr>
        <w:t>que den cuenta del o los procedimientos de adqui</w:t>
      </w:r>
      <w:r w:rsidR="003E0723" w:rsidRPr="000B3717">
        <w:rPr>
          <w:szCs w:val="22"/>
        </w:rPr>
        <w:t xml:space="preserve">sición </w:t>
      </w:r>
      <w:r w:rsidR="003E0723" w:rsidRPr="000B3717">
        <w:rPr>
          <w:szCs w:val="22"/>
        </w:rPr>
        <w:lastRenderedPageBreak/>
        <w:t xml:space="preserve">de papelería </w:t>
      </w:r>
      <w:r w:rsidR="003E0723" w:rsidRPr="000B3717">
        <w:rPr>
          <w:rFonts w:eastAsia="Calibri"/>
          <w:lang w:eastAsia="en-US"/>
        </w:rPr>
        <w:t>del 01 de enero de 2022 al 11 de septiembre de 2024, en el que se incluya el o los contrato y gastos realizados.</w:t>
      </w:r>
    </w:p>
    <w:p w14:paraId="21CD63CC" w14:textId="77777777" w:rsidR="003E0723" w:rsidRPr="000B3717" w:rsidRDefault="003E0723" w:rsidP="000B3717">
      <w:pPr>
        <w:rPr>
          <w:rFonts w:eastAsia="Calibri"/>
          <w:lang w:eastAsia="en-US"/>
        </w:rPr>
      </w:pPr>
    </w:p>
    <w:p w14:paraId="3D9D75E4" w14:textId="0DDF7E9C" w:rsidR="003E0723" w:rsidRPr="000B3717" w:rsidRDefault="003E0723" w:rsidP="000B3717">
      <w:pPr>
        <w:rPr>
          <w:rFonts w:eastAsia="Palatino Linotype" w:cs="Palatino Linotype"/>
        </w:rPr>
      </w:pPr>
      <w:r w:rsidRPr="000B3717">
        <w:rPr>
          <w:lang w:eastAsia="es-MX"/>
        </w:rPr>
        <w:t xml:space="preserve">Lo anterior es así, pues si bien el particular </w:t>
      </w:r>
      <w:r w:rsidRPr="000B3717">
        <w:rPr>
          <w:rFonts w:eastAsia="Palatino Linotype" w:cs="Palatino Linotype"/>
        </w:rPr>
        <w:t>indicó que requería la información de la administración 2022-2024; este Órgano Garante determina que procederá la entrega a la fecha de presentación  de la solicitud, ello en razón de que e</w:t>
      </w:r>
      <w:r w:rsidRPr="000B3717">
        <w:t xml:space="preserve">l derecho de acceso a la información pública estriba respecto de aquellos soportes documentales generados, poseídos o administrados por </w:t>
      </w:r>
      <w:r w:rsidRPr="000B3717">
        <w:rPr>
          <w:b/>
        </w:rPr>
        <w:t xml:space="preserve">EL SUJETO OBLIGADO, </w:t>
      </w:r>
      <w:r w:rsidRPr="000B3717">
        <w:t>que se encuentren disponibles al momento de ejercer dicha prerrogativa</w:t>
      </w:r>
      <w:r w:rsidRPr="000B3717">
        <w:rPr>
          <w:rFonts w:eastAsia="Palatino Linotype" w:cs="Palatino Linotype"/>
        </w:rPr>
        <w:t xml:space="preserve">. </w:t>
      </w:r>
    </w:p>
    <w:p w14:paraId="14560092" w14:textId="77777777" w:rsidR="004F4371" w:rsidRPr="000B3717" w:rsidRDefault="004F4371" w:rsidP="000B3717">
      <w:pPr>
        <w:rPr>
          <w:rFonts w:eastAsia="Palatino Linotype" w:cs="Palatino Linotype"/>
        </w:rPr>
      </w:pPr>
    </w:p>
    <w:p w14:paraId="4260945D" w14:textId="56CAB35D" w:rsidR="004F4371" w:rsidRPr="000B3717" w:rsidRDefault="004F4371" w:rsidP="000B3717">
      <w:pPr>
        <w:rPr>
          <w:rFonts w:eastAsia="Palatino Linotype" w:cs="Palatino Linotype"/>
        </w:rPr>
      </w:pPr>
      <w:r w:rsidRPr="000B3717">
        <w:rPr>
          <w:rFonts w:eastAsia="Palatino Linotype" w:cs="Palatino Linotype"/>
        </w:rPr>
        <w:t>Por otra parte, no pasa desapercibido que la unidad administrativa que pudiera contar con las documentales que se ordenan</w:t>
      </w:r>
      <w:r w:rsidR="00BE3505" w:rsidRPr="000B3717">
        <w:rPr>
          <w:rFonts w:eastAsia="Palatino Linotype" w:cs="Palatino Linotype"/>
        </w:rPr>
        <w:t xml:space="preserve"> es</w:t>
      </w:r>
      <w:r w:rsidR="002B2551" w:rsidRPr="000B3717">
        <w:rPr>
          <w:rFonts w:eastAsia="Palatino Linotype" w:cs="Palatino Linotype"/>
        </w:rPr>
        <w:t>, de manera enunciativa</w:t>
      </w:r>
      <w:r w:rsidR="00BE3505" w:rsidRPr="000B3717">
        <w:rPr>
          <w:rFonts w:eastAsia="Palatino Linotype" w:cs="Palatino Linotype"/>
        </w:rPr>
        <w:t>,</w:t>
      </w:r>
      <w:r w:rsidR="002B2551" w:rsidRPr="000B3717">
        <w:rPr>
          <w:rFonts w:eastAsia="Palatino Linotype" w:cs="Palatino Linotype"/>
        </w:rPr>
        <w:t xml:space="preserve"> m</w:t>
      </w:r>
      <w:r w:rsidR="00BE3505" w:rsidRPr="000B3717">
        <w:rPr>
          <w:rFonts w:eastAsia="Palatino Linotype" w:cs="Palatino Linotype"/>
        </w:rPr>
        <w:t>a</w:t>
      </w:r>
      <w:r w:rsidR="002B2551" w:rsidRPr="000B3717">
        <w:rPr>
          <w:rFonts w:eastAsia="Palatino Linotype" w:cs="Palatino Linotype"/>
        </w:rPr>
        <w:t>s no limitativa</w:t>
      </w:r>
      <w:r w:rsidR="00BE3505" w:rsidRPr="000B3717">
        <w:rPr>
          <w:rFonts w:eastAsia="Palatino Linotype" w:cs="Palatino Linotype"/>
        </w:rPr>
        <w:t>,</w:t>
      </w:r>
      <w:r w:rsidR="002B2551" w:rsidRPr="000B3717">
        <w:rPr>
          <w:rFonts w:eastAsia="Palatino Linotype" w:cs="Palatino Linotype"/>
        </w:rPr>
        <w:t xml:space="preserve"> la Tesorería Municipal y Dirección de Administración, conforme a lo establecido en el artículo 136 y 143 inciso a del Bando Municipal de Tezoyuca.</w:t>
      </w:r>
    </w:p>
    <w:p w14:paraId="1845821E" w14:textId="77777777" w:rsidR="003E0723" w:rsidRPr="000B3717" w:rsidRDefault="003E0723" w:rsidP="000B3717">
      <w:pPr>
        <w:rPr>
          <w:szCs w:val="22"/>
        </w:rPr>
      </w:pPr>
    </w:p>
    <w:p w14:paraId="3BF735E4" w14:textId="0BD91F38" w:rsidR="00C656A8" w:rsidRPr="000B3717" w:rsidRDefault="00C656A8" w:rsidP="000B3717">
      <w:pPr>
        <w:rPr>
          <w:iCs/>
        </w:rPr>
      </w:pPr>
      <w:r w:rsidRPr="000B3717">
        <w:t xml:space="preserve">Finalmente, no se omite mencionar que dentro de las razones o motivos del particular se advierte una serie de manifestaciones subjetivas, por lo que se estima necesario apuntar que, de las constancias que integran el expediente electrónico del </w:t>
      </w:r>
      <w:r w:rsidRPr="000B3717">
        <w:rPr>
          <w:b/>
          <w:bCs/>
        </w:rPr>
        <w:t>SAIMEX</w:t>
      </w:r>
      <w:r w:rsidRPr="000B3717">
        <w:t xml:space="preserve"> no se advirtió prueba alguna que sustentara su dicho; por ello, estas manifestaciones, se declaran inatendibles por este Órgano Garante, puesto que constituyen un Derecho a la Libre Expresión, debido a que es inviolable la libertad de difundir opiniones, información e ideas, a través de cualquier medio, aunado a que nos encontramos ante la presencia de manifestaciones subjetivas.</w:t>
      </w:r>
    </w:p>
    <w:p w14:paraId="15DB376F" w14:textId="77777777" w:rsidR="00C656A8" w:rsidRPr="000B3717" w:rsidRDefault="00C656A8" w:rsidP="000B3717"/>
    <w:p w14:paraId="15EA5B5E" w14:textId="77777777" w:rsidR="00C656A8" w:rsidRPr="000B3717" w:rsidRDefault="00C656A8" w:rsidP="000B3717">
      <w:r w:rsidRPr="000B3717">
        <w:t xml:space="preserve">Así, de conformidad con el artículo 7 Constitucional, ninguna ley ni autoridad puede establecer la previa censura, ni coartar la libertad de difusión, que no tiene más límites que </w:t>
      </w:r>
      <w:r w:rsidRPr="000B3717">
        <w:lastRenderedPageBreak/>
        <w:t>ataque a la moral, la vida privada o los derechos de terceros, provoque algún delito, o perturbe el orden público; por lo que, al constituir manifestaciones inherentes a la Libre Expresión, se reitera que no constituye un derecho de acceso a la información, o bien, relativo a datos personales; por lo que, este Instituto declara como inatendibles las manifestaciones mencionadas en líneas precedentes; máxime que, de conformidad con el artículo 36 de la Ley de Transparencia y Acceso a la Información del Estado de México y Municipios este Órgano Garante no está facultado para pronunciarse al respecto.</w:t>
      </w:r>
    </w:p>
    <w:p w14:paraId="5ABFE7E9" w14:textId="77777777" w:rsidR="00C656A8" w:rsidRPr="000B3717" w:rsidRDefault="00C656A8" w:rsidP="000B3717"/>
    <w:p w14:paraId="0F30A96B" w14:textId="77777777" w:rsidR="00C656A8" w:rsidRPr="000B3717" w:rsidRDefault="00C656A8" w:rsidP="000B3717">
      <w:r w:rsidRPr="000B3717">
        <w:t>Al respecto conviene mencionar la siguiente tesis de La Suprema Corte de Justicia de la Nación: </w:t>
      </w:r>
    </w:p>
    <w:p w14:paraId="58E02431" w14:textId="77777777" w:rsidR="00C656A8" w:rsidRPr="000B3717" w:rsidRDefault="00C656A8" w:rsidP="000B3717">
      <w:pPr>
        <w:pStyle w:val="NormalWeb"/>
        <w:spacing w:before="0" w:beforeAutospacing="0" w:after="0" w:afterAutospacing="0" w:line="360" w:lineRule="auto"/>
        <w:jc w:val="both"/>
        <w:rPr>
          <w:rFonts w:ascii="Palatino Linotype" w:hAnsi="Palatino Linotype"/>
        </w:rPr>
      </w:pPr>
    </w:p>
    <w:p w14:paraId="29D96017" w14:textId="77777777" w:rsidR="00C656A8" w:rsidRPr="000B3717" w:rsidRDefault="00C656A8" w:rsidP="000B3717">
      <w:pPr>
        <w:pStyle w:val="Puesto"/>
        <w:rPr>
          <w:b/>
        </w:rPr>
      </w:pPr>
      <w:r w:rsidRPr="000B3717">
        <w:t>“</w:t>
      </w:r>
      <w:r w:rsidRPr="000B3717">
        <w:rPr>
          <w:b/>
        </w:rPr>
        <w:t>RESPONSABILIDAD POR EXPRESIONES QUE ATENTAN CONTRA EL HONOR DE SERVIDORES PÚBLICOS Y SIMILARES. DEMOSTRACIÓN DE SU CERTEZA EN EJERCICIO DE LOS DERECHOS A LA INFORMACIÓN Y A LA LIBERTAD DE EXPRESIÓN.</w:t>
      </w:r>
    </w:p>
    <w:p w14:paraId="1D653916" w14:textId="524A520B" w:rsidR="00C656A8" w:rsidRPr="000B3717" w:rsidRDefault="00C656A8" w:rsidP="000B3717">
      <w:pPr>
        <w:pStyle w:val="Puesto"/>
      </w:pPr>
      <w:r w:rsidRPr="000B3717">
        <w:t xml:space="preserve">En la tesis aislada de rubro: "LIBERTAD DE EXPRESIÓN Y DERECHO A LA INFORMACIÓN. LA RESPONSABILIDAD POR INVASIONES AL HONOR DE FUNCIONARIOS U OTRAS PERSONAS CON RESPONSABILIDADES PÚBLICAS SÓLO PUEDE DARSE BAJO CIERTAS CONDICIONES, MÁS ESTRICTAS QUE LAS QUE SE APLICAN EN EL CASO DE EXPRESIONES O INFORMACIONES REFERIDAS A CIUDADANOS PARTICULARES." (IUS 165763); la Primera Sala de la Suprema Corte de Justicia de la Nación expuso que quien se expresa debe siempre poder bloquear una imputación de responsabilidad ulterior probando que los hechos a los que se refiere son ciertos, pero que de manera complementaria no podía ser obligado a demostrar su certeza para evitar la responsabilidad cuando se le demanda, lo cual se denominó doble juego de la </w:t>
      </w:r>
      <w:proofErr w:type="spellStart"/>
      <w:r w:rsidRPr="000B3717">
        <w:t>exceptio</w:t>
      </w:r>
      <w:proofErr w:type="spellEnd"/>
      <w:r w:rsidRPr="000B3717">
        <w:t xml:space="preserve"> </w:t>
      </w:r>
      <w:proofErr w:type="spellStart"/>
      <w:r w:rsidRPr="000B3717">
        <w:t>veritatis</w:t>
      </w:r>
      <w:proofErr w:type="spellEnd"/>
      <w:r w:rsidRPr="000B3717">
        <w:t xml:space="preserve">. De lo anterior deriva incertidumbre en saber cuándo se debe obligar al emisor de información acreditar la veracidad de ésta y cuando no, precisamente por tratarse de un doble juego. Por ende, en ejercicio del control de convencionalidad previsto en los artículos 1o. y 133 del Pacto Federal, se debe atender a lo dispuesto en el precepto 13 de la Convención Americana sobre Derechos Humanos, y a su interpretación consignada en la Declaración de Principios sobre Libertad de Expresión elaborada por la Relatoría Especial constituida dentro de la Organización de Estados Americanos (aprobada </w:t>
      </w:r>
      <w:r w:rsidRPr="000B3717">
        <w:lastRenderedPageBreak/>
        <w:t>por la Comisión Interamericana de Derechos Humanos en octubre de 2000). Esto, pues de acuerdo al principio séptimo de dicha declaración se tiene que la información abarca incluso aquella que se denomina "errónea", "no oportuna" o "incompleta". Por ende, al igual que los juicios de valor, se estima innecesario exigir la comprobación de hechos concretos vertidos por el informador, porque sobre ellos pueden existir interpretaciones distintas e implicar su censura casi automática, lo que anularía prácticamente todo el debate político y el intercambio de ideas como método indudable para la búsqueda de la verdad y el fortalecimiento de sistemas democráticos. Máxime que no sería lícito invocar el derecho de la sociedad a estar informada verazmente para fundamentar un régimen de censura previa supuestamente destinado a eliminar las informaciones que serían falsas a criterio del censor. Consecuentemente, es indispensable tomar en consideración este criterio al aplicar el segundo párrafo del artículo 25 de la Ley de Responsabilidad Civil para la Protección del Derecho a la Vida Privada, el Honor y la Propia Imagen en el Distrito Federal.”</w:t>
      </w:r>
    </w:p>
    <w:p w14:paraId="4F4BD37D" w14:textId="77777777" w:rsidR="00C656A8" w:rsidRPr="000B3717" w:rsidRDefault="00C656A8" w:rsidP="000B3717">
      <w:pPr>
        <w:rPr>
          <w:b/>
          <w:szCs w:val="22"/>
        </w:rPr>
      </w:pPr>
    </w:p>
    <w:p w14:paraId="0A348AE7" w14:textId="77777777" w:rsidR="009C4EA5" w:rsidRPr="000B3717" w:rsidRDefault="009C4EA5" w:rsidP="000B3717">
      <w:pPr>
        <w:pStyle w:val="Ttulo3"/>
      </w:pPr>
      <w:bookmarkStart w:id="34" w:name="_Toc165402882"/>
      <w:bookmarkStart w:id="35" w:name="_Toc180602468"/>
      <w:bookmarkStart w:id="36" w:name="_Toc180660319"/>
      <w:bookmarkStart w:id="37" w:name="_Toc181272205"/>
      <w:r w:rsidRPr="000B3717">
        <w:t>d) Versión pública</w:t>
      </w:r>
      <w:bookmarkEnd w:id="34"/>
      <w:bookmarkEnd w:id="35"/>
      <w:r w:rsidRPr="000B3717">
        <w:t>.</w:t>
      </w:r>
      <w:bookmarkEnd w:id="36"/>
      <w:bookmarkEnd w:id="37"/>
    </w:p>
    <w:p w14:paraId="1CC174BF" w14:textId="77777777" w:rsidR="009C4EA5" w:rsidRPr="000B3717" w:rsidRDefault="009C4EA5" w:rsidP="000B3717">
      <w:pPr>
        <w:rPr>
          <w:bCs/>
        </w:rPr>
      </w:pPr>
      <w:r w:rsidRPr="000B3717">
        <w:t xml:space="preserve">Para el caso de que el o los documentos de los cuales se ordena su entrega contengan datos personales susceptibles de ser testados, deberán ser entregados en </w:t>
      </w:r>
      <w:r w:rsidRPr="000B3717">
        <w:rPr>
          <w:b/>
        </w:rPr>
        <w:t>versión pública</w:t>
      </w:r>
      <w:r w:rsidRPr="000B3717">
        <w:t>, pues el</w:t>
      </w:r>
      <w:r w:rsidRPr="000B3717">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4A87909" w14:textId="77777777" w:rsidR="009C4EA5" w:rsidRPr="000B3717" w:rsidRDefault="009C4EA5" w:rsidP="000B3717">
      <w:pPr>
        <w:rPr>
          <w:rFonts w:eastAsia="Calibri"/>
          <w:bCs/>
          <w:lang w:eastAsia="en-US"/>
        </w:rPr>
      </w:pPr>
    </w:p>
    <w:p w14:paraId="0E382A36" w14:textId="77777777" w:rsidR="009C4EA5" w:rsidRPr="000B3717" w:rsidRDefault="009C4EA5" w:rsidP="000B3717">
      <w:pPr>
        <w:rPr>
          <w:bCs/>
        </w:rPr>
      </w:pPr>
      <w:r w:rsidRPr="000B3717">
        <w:rPr>
          <w:bCs/>
        </w:rPr>
        <w:t>A este respecto, los artículos 3, fracciones IX, XX, XXI y XLV; 51 y 52 de la Ley de Transparencia y Acceso a la Información Pública del Estado de México y Municipios establecen:</w:t>
      </w:r>
    </w:p>
    <w:p w14:paraId="1BB8083A" w14:textId="77777777" w:rsidR="009C4EA5" w:rsidRPr="000B3717" w:rsidRDefault="009C4EA5" w:rsidP="000B3717"/>
    <w:p w14:paraId="7E204BCB" w14:textId="77777777" w:rsidR="009C4EA5" w:rsidRPr="000B3717" w:rsidRDefault="009C4EA5" w:rsidP="000B3717">
      <w:pPr>
        <w:pStyle w:val="Puesto"/>
      </w:pPr>
      <w:r w:rsidRPr="000B3717">
        <w:rPr>
          <w:b/>
          <w:bCs/>
          <w:noProof/>
        </w:rPr>
        <w:lastRenderedPageBreak/>
        <w:t>“</w:t>
      </w:r>
      <w:r w:rsidRPr="000B3717">
        <w:rPr>
          <w:b/>
          <w:bCs/>
        </w:rPr>
        <w:t xml:space="preserve">Artículo 3. </w:t>
      </w:r>
      <w:r w:rsidRPr="000B3717">
        <w:t xml:space="preserve">Para los efectos de la presente Ley se entenderá por: </w:t>
      </w:r>
    </w:p>
    <w:p w14:paraId="3808A9D3" w14:textId="77777777" w:rsidR="009C4EA5" w:rsidRPr="000B3717" w:rsidRDefault="009C4EA5" w:rsidP="000B3717">
      <w:pPr>
        <w:pStyle w:val="Puesto"/>
      </w:pPr>
      <w:r w:rsidRPr="000B3717">
        <w:rPr>
          <w:b/>
        </w:rPr>
        <w:t>IX.</w:t>
      </w:r>
      <w:r w:rsidRPr="000B3717">
        <w:t xml:space="preserve"> </w:t>
      </w:r>
      <w:r w:rsidRPr="000B3717">
        <w:rPr>
          <w:b/>
        </w:rPr>
        <w:t xml:space="preserve">Datos personales: </w:t>
      </w:r>
      <w:r w:rsidRPr="000B3717">
        <w:t xml:space="preserve">La información concerniente a una persona, identificada o identificable según lo dispuesto por la Ley de Protección de Datos Personales del Estado de México; </w:t>
      </w:r>
    </w:p>
    <w:p w14:paraId="3F67DFE4" w14:textId="77777777" w:rsidR="009C4EA5" w:rsidRPr="000B3717" w:rsidRDefault="009C4EA5" w:rsidP="000B3717"/>
    <w:p w14:paraId="0F04F84F" w14:textId="77777777" w:rsidR="009C4EA5" w:rsidRPr="000B3717" w:rsidRDefault="009C4EA5" w:rsidP="000B3717">
      <w:pPr>
        <w:pStyle w:val="Puesto"/>
      </w:pPr>
      <w:r w:rsidRPr="000B3717">
        <w:rPr>
          <w:b/>
        </w:rPr>
        <w:t>XX.</w:t>
      </w:r>
      <w:r w:rsidRPr="000B3717">
        <w:t xml:space="preserve"> </w:t>
      </w:r>
      <w:r w:rsidRPr="000B3717">
        <w:rPr>
          <w:b/>
        </w:rPr>
        <w:t>Información clasificada:</w:t>
      </w:r>
      <w:r w:rsidRPr="000B3717">
        <w:t xml:space="preserve"> Aquella considerada por la presente Ley como reservada o confidencial; </w:t>
      </w:r>
    </w:p>
    <w:p w14:paraId="4CB6B74E" w14:textId="77777777" w:rsidR="009C4EA5" w:rsidRPr="000B3717" w:rsidRDefault="009C4EA5" w:rsidP="000B3717"/>
    <w:p w14:paraId="18A3058D" w14:textId="77777777" w:rsidR="009C4EA5" w:rsidRPr="000B3717" w:rsidRDefault="009C4EA5" w:rsidP="000B3717">
      <w:pPr>
        <w:pStyle w:val="Puesto"/>
      </w:pPr>
      <w:r w:rsidRPr="000B3717">
        <w:rPr>
          <w:b/>
        </w:rPr>
        <w:t>XXI.</w:t>
      </w:r>
      <w:r w:rsidRPr="000B3717">
        <w:t xml:space="preserve"> </w:t>
      </w:r>
      <w:r w:rsidRPr="000B3717">
        <w:rPr>
          <w:b/>
        </w:rPr>
        <w:t>Información confidencial</w:t>
      </w:r>
      <w:r w:rsidRPr="000B3717">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118C060" w14:textId="77777777" w:rsidR="009C4EA5" w:rsidRPr="000B3717" w:rsidRDefault="009C4EA5" w:rsidP="000B3717"/>
    <w:p w14:paraId="6D98E7A8" w14:textId="77777777" w:rsidR="009C4EA5" w:rsidRPr="000B3717" w:rsidRDefault="009C4EA5" w:rsidP="000B3717">
      <w:pPr>
        <w:pStyle w:val="Puesto"/>
      </w:pPr>
      <w:r w:rsidRPr="000B3717">
        <w:rPr>
          <w:b/>
        </w:rPr>
        <w:t>XLV. Versión pública:</w:t>
      </w:r>
      <w:r w:rsidRPr="000B3717">
        <w:t xml:space="preserve"> Documento en el que se elimine, suprime o borra la información clasificada como reservada o confidencial para permitir su acceso. </w:t>
      </w:r>
    </w:p>
    <w:p w14:paraId="1DFC0E7F" w14:textId="77777777" w:rsidR="009C4EA5" w:rsidRPr="000B3717" w:rsidRDefault="009C4EA5" w:rsidP="000B3717"/>
    <w:p w14:paraId="69C4D85B" w14:textId="77777777" w:rsidR="009C4EA5" w:rsidRPr="000B3717" w:rsidRDefault="009C4EA5" w:rsidP="000B3717">
      <w:pPr>
        <w:pStyle w:val="Puesto"/>
      </w:pPr>
      <w:r w:rsidRPr="000B3717">
        <w:rPr>
          <w:b/>
        </w:rPr>
        <w:t>Artículo 51.</w:t>
      </w:r>
      <w:r w:rsidRPr="000B3717">
        <w:t xml:space="preserve"> Los sujetos obligados designaran a un responsable para atender la Unidad de Transparencia, quien fungirá como enlace entre éstos y los solicitantes. Dicha Unidad será la encargada de tramitar internamente la solicitud de información </w:t>
      </w:r>
      <w:r w:rsidRPr="000B3717">
        <w:rPr>
          <w:b/>
        </w:rPr>
        <w:t xml:space="preserve">y tendrá la responsabilidad de verificar en cada caso que la misma no sea confidencial o reservada. </w:t>
      </w:r>
      <w:r w:rsidRPr="000B3717">
        <w:t>Dicha Unidad contará con las facultades internas necesarias para gestionar la atención a las solicitudes de información en los términos de la Ley General y la presente Ley.</w:t>
      </w:r>
    </w:p>
    <w:p w14:paraId="3FACFA11" w14:textId="77777777" w:rsidR="009C4EA5" w:rsidRPr="000B3717" w:rsidRDefault="009C4EA5" w:rsidP="000B3717"/>
    <w:p w14:paraId="6A02444D" w14:textId="77777777" w:rsidR="009C4EA5" w:rsidRPr="000B3717" w:rsidRDefault="009C4EA5" w:rsidP="000B3717">
      <w:pPr>
        <w:pStyle w:val="Puesto"/>
      </w:pPr>
      <w:r w:rsidRPr="000B3717">
        <w:rPr>
          <w:b/>
        </w:rPr>
        <w:t>Artículo 52.</w:t>
      </w:r>
      <w:r w:rsidRPr="000B3717">
        <w:t xml:space="preserve"> Las solicitudes de acceso a la información y las respuestas que se les dé, incluyendo, en su caso, </w:t>
      </w:r>
      <w:r w:rsidRPr="000B3717">
        <w:rPr>
          <w:u w:val="single"/>
        </w:rPr>
        <w:t>la información entregada, así como las resoluciones a los recursos que en su caso se promuevan serán públicas, y de ser el caso que contenga datos personales que deban ser protegidos se podrá dar su acceso en su versión pública</w:t>
      </w:r>
      <w:r w:rsidRPr="000B3717">
        <w:t>, siempre y cuando la resolución de referencia se someta a un proceso de disociación, es decir, no haga identificable al titular de tales datos personales.</w:t>
      </w:r>
      <w:r w:rsidRPr="000B3717">
        <w:rPr>
          <w:bCs/>
          <w:noProof/>
        </w:rPr>
        <w:t xml:space="preserve">” </w:t>
      </w:r>
      <w:r w:rsidRPr="000B3717">
        <w:rPr>
          <w:i w:val="0"/>
          <w:iCs/>
          <w:szCs w:val="22"/>
        </w:rPr>
        <w:t>(Énfasis añadido)</w:t>
      </w:r>
    </w:p>
    <w:p w14:paraId="74032DEA" w14:textId="77777777" w:rsidR="009C4EA5" w:rsidRPr="000B3717" w:rsidRDefault="009C4EA5" w:rsidP="000B3717"/>
    <w:p w14:paraId="39055215" w14:textId="77777777" w:rsidR="009C4EA5" w:rsidRPr="000B3717" w:rsidRDefault="009C4EA5" w:rsidP="000B3717">
      <w:r w:rsidRPr="000B3717">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w:t>
      </w:r>
      <w:r w:rsidRPr="000B3717">
        <w:lastRenderedPageBreak/>
        <w:t xml:space="preserve">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1C2AD502" w14:textId="77777777" w:rsidR="009C4EA5" w:rsidRPr="000B3717" w:rsidRDefault="009C4EA5" w:rsidP="000B3717"/>
    <w:p w14:paraId="323A7E5A" w14:textId="77777777" w:rsidR="009C4EA5" w:rsidRPr="000B3717" w:rsidRDefault="009C4EA5" w:rsidP="000B3717">
      <w:pPr>
        <w:pStyle w:val="Puesto"/>
        <w:rPr>
          <w:rFonts w:eastAsia="Arial Unicode MS"/>
        </w:rPr>
      </w:pPr>
      <w:r w:rsidRPr="000B3717">
        <w:rPr>
          <w:rFonts w:eastAsia="Arial Unicode MS"/>
          <w:b/>
        </w:rPr>
        <w:t>“Artículo 22.</w:t>
      </w:r>
      <w:r w:rsidRPr="000B3717">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090E0742" w14:textId="77777777" w:rsidR="009C4EA5" w:rsidRPr="000B3717" w:rsidRDefault="009C4EA5" w:rsidP="000B3717">
      <w:pPr>
        <w:rPr>
          <w:rFonts w:eastAsia="Arial Unicode MS"/>
        </w:rPr>
      </w:pPr>
    </w:p>
    <w:p w14:paraId="7A392A2B" w14:textId="77777777" w:rsidR="009C4EA5" w:rsidRPr="000B3717" w:rsidRDefault="009C4EA5" w:rsidP="000B3717">
      <w:pPr>
        <w:pStyle w:val="Puesto"/>
        <w:rPr>
          <w:rFonts w:eastAsia="Arial Unicode MS"/>
        </w:rPr>
      </w:pPr>
      <w:r w:rsidRPr="000B3717">
        <w:rPr>
          <w:rFonts w:eastAsia="Arial Unicode MS"/>
          <w:b/>
        </w:rPr>
        <w:t>Artículo 38.</w:t>
      </w:r>
      <w:r w:rsidRPr="000B3717">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B3717">
        <w:rPr>
          <w:rFonts w:eastAsia="Arial Unicode MS"/>
          <w:b/>
        </w:rPr>
        <w:t>”</w:t>
      </w:r>
      <w:r w:rsidRPr="000B3717">
        <w:rPr>
          <w:rFonts w:eastAsia="Arial Unicode MS"/>
        </w:rPr>
        <w:t xml:space="preserve"> </w:t>
      </w:r>
    </w:p>
    <w:p w14:paraId="7E13A07D" w14:textId="77777777" w:rsidR="009C4EA5" w:rsidRPr="000B3717" w:rsidRDefault="009C4EA5" w:rsidP="000B3717">
      <w:pPr>
        <w:rPr>
          <w:rFonts w:eastAsia="Arial Unicode MS"/>
          <w:i/>
          <w:szCs w:val="22"/>
        </w:rPr>
      </w:pPr>
    </w:p>
    <w:p w14:paraId="5200D8C4" w14:textId="77777777" w:rsidR="009C4EA5" w:rsidRPr="000B3717" w:rsidRDefault="009C4EA5" w:rsidP="000B3717">
      <w:r w:rsidRPr="000B3717">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588ACB3" w14:textId="77777777" w:rsidR="009C4EA5" w:rsidRPr="000B3717" w:rsidRDefault="009C4EA5" w:rsidP="000B3717"/>
    <w:p w14:paraId="67560C2B" w14:textId="77777777" w:rsidR="009C4EA5" w:rsidRPr="000B3717" w:rsidRDefault="009C4EA5" w:rsidP="000B3717">
      <w:r w:rsidRPr="000B3717">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0B3717">
        <w:lastRenderedPageBreak/>
        <w:t>información confidencial</w:t>
      </w:r>
      <w:r w:rsidRPr="000B3717">
        <w:rPr>
          <w:rFonts w:eastAsia="Arial Unicode MS"/>
        </w:rPr>
        <w:t xml:space="preserve"> que debe ser protegida por </w:t>
      </w:r>
      <w:r w:rsidRPr="000B3717">
        <w:rPr>
          <w:rFonts w:eastAsia="Arial Unicode MS"/>
          <w:b/>
        </w:rPr>
        <w:t>EL SUJETO OBLIGADO,</w:t>
      </w:r>
      <w:r w:rsidRPr="000B3717">
        <w:rPr>
          <w:rFonts w:eastAsia="Arial Unicode MS"/>
        </w:rPr>
        <w:t xml:space="preserve"> por lo </w:t>
      </w:r>
      <w:r w:rsidRPr="000B3717">
        <w:t>que, todo dato personal susceptible de clasificación debe ser protegido.</w:t>
      </w:r>
    </w:p>
    <w:p w14:paraId="6B1DAFDA" w14:textId="77777777" w:rsidR="009C4EA5" w:rsidRPr="000B3717" w:rsidRDefault="009C4EA5" w:rsidP="000B3717"/>
    <w:p w14:paraId="6CF01D0D" w14:textId="77777777" w:rsidR="009C4EA5" w:rsidRPr="000B3717" w:rsidRDefault="009C4EA5" w:rsidP="000B3717">
      <w:r w:rsidRPr="000B3717">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2977A6D" w14:textId="77777777" w:rsidR="009C4EA5" w:rsidRPr="000B3717" w:rsidRDefault="009C4EA5" w:rsidP="000B3717"/>
    <w:p w14:paraId="1840876F" w14:textId="77777777" w:rsidR="009C4EA5" w:rsidRPr="000B3717" w:rsidRDefault="009C4EA5" w:rsidP="000B3717">
      <w:r w:rsidRPr="000B3717">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E986D03" w14:textId="77777777" w:rsidR="009C4EA5" w:rsidRPr="000B3717" w:rsidRDefault="009C4EA5" w:rsidP="000B3717"/>
    <w:p w14:paraId="389AF511" w14:textId="77777777" w:rsidR="009C4EA5" w:rsidRPr="000B3717" w:rsidRDefault="009C4EA5" w:rsidP="000B3717">
      <w:pPr>
        <w:jc w:val="center"/>
        <w:rPr>
          <w:b/>
          <w:i/>
          <w:szCs w:val="22"/>
        </w:rPr>
      </w:pPr>
      <w:r w:rsidRPr="000B3717">
        <w:rPr>
          <w:b/>
          <w:i/>
          <w:szCs w:val="22"/>
          <w:lang w:val="es-ES_tradnl"/>
        </w:rPr>
        <w:t>Ley de Transparencia y Acceso a la Información Pública del Estado de México y Municipios</w:t>
      </w:r>
    </w:p>
    <w:p w14:paraId="2BB85316" w14:textId="77777777" w:rsidR="009C4EA5" w:rsidRPr="000B3717" w:rsidRDefault="009C4EA5" w:rsidP="000B3717"/>
    <w:p w14:paraId="59583886" w14:textId="77777777" w:rsidR="009C4EA5" w:rsidRPr="000B3717" w:rsidRDefault="009C4EA5" w:rsidP="000B3717">
      <w:pPr>
        <w:pStyle w:val="Puesto"/>
      </w:pPr>
      <w:r w:rsidRPr="000B3717">
        <w:rPr>
          <w:b/>
        </w:rPr>
        <w:t xml:space="preserve">“Artículo 49. </w:t>
      </w:r>
      <w:r w:rsidRPr="000B3717">
        <w:t>Los Comités de Transparencia tendrán las siguientes atribuciones:</w:t>
      </w:r>
    </w:p>
    <w:p w14:paraId="287D5C1A" w14:textId="77777777" w:rsidR="009C4EA5" w:rsidRPr="000B3717" w:rsidRDefault="009C4EA5" w:rsidP="000B3717">
      <w:pPr>
        <w:pStyle w:val="Puesto"/>
      </w:pPr>
      <w:r w:rsidRPr="000B3717">
        <w:rPr>
          <w:b/>
        </w:rPr>
        <w:t>VIII.</w:t>
      </w:r>
      <w:r w:rsidRPr="000B3717">
        <w:t xml:space="preserve"> Aprobar, modificar o revocar la clasificación de la información;</w:t>
      </w:r>
    </w:p>
    <w:p w14:paraId="6C4308BD" w14:textId="77777777" w:rsidR="009C4EA5" w:rsidRPr="000B3717" w:rsidRDefault="009C4EA5" w:rsidP="000B3717"/>
    <w:p w14:paraId="62B33CCF" w14:textId="77777777" w:rsidR="009C4EA5" w:rsidRPr="000B3717" w:rsidRDefault="009C4EA5" w:rsidP="000B3717">
      <w:pPr>
        <w:pStyle w:val="Puesto"/>
      </w:pPr>
      <w:r w:rsidRPr="000B3717">
        <w:rPr>
          <w:b/>
        </w:rPr>
        <w:t>Artículo 132.</w:t>
      </w:r>
      <w:r w:rsidRPr="000B3717">
        <w:t xml:space="preserve"> La clasificación de la información se llevará a cabo en el momento en que:</w:t>
      </w:r>
    </w:p>
    <w:p w14:paraId="1130BEAC" w14:textId="77777777" w:rsidR="009C4EA5" w:rsidRPr="000B3717" w:rsidRDefault="009C4EA5" w:rsidP="000B3717">
      <w:pPr>
        <w:pStyle w:val="Puesto"/>
      </w:pPr>
      <w:r w:rsidRPr="000B3717">
        <w:rPr>
          <w:b/>
        </w:rPr>
        <w:t>I.</w:t>
      </w:r>
      <w:r w:rsidRPr="000B3717">
        <w:t xml:space="preserve"> Se reciba una solicitud de acceso a la información;</w:t>
      </w:r>
    </w:p>
    <w:p w14:paraId="160F8E6D" w14:textId="77777777" w:rsidR="009C4EA5" w:rsidRPr="000B3717" w:rsidRDefault="009C4EA5" w:rsidP="000B3717">
      <w:pPr>
        <w:pStyle w:val="Puesto"/>
      </w:pPr>
      <w:r w:rsidRPr="000B3717">
        <w:rPr>
          <w:b/>
        </w:rPr>
        <w:t>II.</w:t>
      </w:r>
      <w:r w:rsidRPr="000B3717">
        <w:t xml:space="preserve"> Se determine mediante resolución de autoridad competente; o</w:t>
      </w:r>
    </w:p>
    <w:p w14:paraId="6DD79914" w14:textId="77777777" w:rsidR="009C4EA5" w:rsidRPr="000B3717" w:rsidRDefault="009C4EA5" w:rsidP="000B3717">
      <w:pPr>
        <w:pStyle w:val="Puesto"/>
        <w:rPr>
          <w:b/>
        </w:rPr>
      </w:pPr>
      <w:r w:rsidRPr="000B3717">
        <w:rPr>
          <w:b/>
          <w:bCs/>
        </w:rPr>
        <w:t>III.</w:t>
      </w:r>
      <w:r w:rsidRPr="000B3717">
        <w:t xml:space="preserve"> Se generen versiones públicas para dar cumplimiento a las obligaciones de transparencia previstas en esta Ley.</w:t>
      </w:r>
      <w:r w:rsidRPr="000B3717">
        <w:rPr>
          <w:b/>
        </w:rPr>
        <w:t>”</w:t>
      </w:r>
    </w:p>
    <w:p w14:paraId="031877ED" w14:textId="77777777" w:rsidR="009C4EA5" w:rsidRPr="000B3717" w:rsidRDefault="009C4EA5" w:rsidP="000B3717"/>
    <w:p w14:paraId="5CBD62B0" w14:textId="77777777" w:rsidR="009C4EA5" w:rsidRPr="000B3717" w:rsidRDefault="009C4EA5" w:rsidP="000B3717">
      <w:pPr>
        <w:pStyle w:val="Puesto"/>
      </w:pPr>
      <w:r w:rsidRPr="000B3717">
        <w:rPr>
          <w:b/>
        </w:rPr>
        <w:lastRenderedPageBreak/>
        <w:t>“Segundo. -</w:t>
      </w:r>
      <w:r w:rsidRPr="000B3717">
        <w:t xml:space="preserve"> Para efectos de los presentes Lineamientos Generales, se entenderá por:</w:t>
      </w:r>
    </w:p>
    <w:p w14:paraId="687FDE7E" w14:textId="77777777" w:rsidR="009C4EA5" w:rsidRPr="000B3717" w:rsidRDefault="009C4EA5" w:rsidP="000B3717">
      <w:pPr>
        <w:pStyle w:val="Puesto"/>
      </w:pPr>
      <w:r w:rsidRPr="000B3717">
        <w:rPr>
          <w:b/>
        </w:rPr>
        <w:t>XVIII.</w:t>
      </w:r>
      <w:r w:rsidRPr="000B3717">
        <w:t xml:space="preserve">  </w:t>
      </w:r>
      <w:r w:rsidRPr="000B3717">
        <w:rPr>
          <w:b/>
        </w:rPr>
        <w:t>Versión pública:</w:t>
      </w:r>
      <w:r w:rsidRPr="000B3717">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C876F7A" w14:textId="77777777" w:rsidR="009C4EA5" w:rsidRPr="000B3717" w:rsidRDefault="009C4EA5" w:rsidP="000B3717">
      <w:pPr>
        <w:pStyle w:val="Puesto"/>
      </w:pPr>
    </w:p>
    <w:p w14:paraId="42CC5DC8" w14:textId="77777777" w:rsidR="009C4EA5" w:rsidRPr="000B3717" w:rsidRDefault="009C4EA5" w:rsidP="000B3717">
      <w:pPr>
        <w:pStyle w:val="Puesto"/>
        <w:rPr>
          <w:b/>
          <w:lang w:val="es-ES_tradnl" w:eastAsia="es-MX"/>
        </w:rPr>
      </w:pPr>
      <w:r w:rsidRPr="000B3717">
        <w:rPr>
          <w:b/>
          <w:lang w:val="es-ES_tradnl" w:eastAsia="es-MX"/>
        </w:rPr>
        <w:t xml:space="preserve">Lineamientos Generales en materia de Clasificación y Desclasificación de la </w:t>
      </w:r>
      <w:r w:rsidRPr="000B3717">
        <w:rPr>
          <w:b/>
          <w:lang w:val="es-ES_tradnl"/>
        </w:rPr>
        <w:t>Información</w:t>
      </w:r>
    </w:p>
    <w:p w14:paraId="35369FEB" w14:textId="77777777" w:rsidR="009C4EA5" w:rsidRPr="000B3717" w:rsidRDefault="009C4EA5" w:rsidP="000B3717">
      <w:pPr>
        <w:pStyle w:val="Puesto"/>
      </w:pPr>
    </w:p>
    <w:p w14:paraId="0BA1C12F" w14:textId="77777777" w:rsidR="009C4EA5" w:rsidRPr="000B3717" w:rsidRDefault="009C4EA5" w:rsidP="000B3717">
      <w:pPr>
        <w:pStyle w:val="Puesto"/>
      </w:pPr>
      <w:r w:rsidRPr="000B3717">
        <w:rPr>
          <w:b/>
        </w:rPr>
        <w:t>Cuarto.</w:t>
      </w:r>
      <w:r w:rsidRPr="000B3717">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77CCE23" w14:textId="77777777" w:rsidR="009C4EA5" w:rsidRPr="000B3717" w:rsidRDefault="009C4EA5" w:rsidP="000B3717">
      <w:pPr>
        <w:pStyle w:val="Puesto"/>
      </w:pPr>
      <w:r w:rsidRPr="000B3717">
        <w:t>Los sujetos obligados deberán aplicar, de manera estricta, las excepciones al derecho de acceso a la información y sólo podrán invocarlas cuando acrediten su procedencia.</w:t>
      </w:r>
    </w:p>
    <w:p w14:paraId="69FCF90B" w14:textId="77777777" w:rsidR="009C4EA5" w:rsidRPr="000B3717" w:rsidRDefault="009C4EA5" w:rsidP="000B3717"/>
    <w:p w14:paraId="28EAFD27" w14:textId="77777777" w:rsidR="009C4EA5" w:rsidRPr="000B3717" w:rsidRDefault="009C4EA5" w:rsidP="000B3717">
      <w:pPr>
        <w:pStyle w:val="Puesto"/>
      </w:pPr>
      <w:r w:rsidRPr="000B3717">
        <w:rPr>
          <w:b/>
        </w:rPr>
        <w:t>Quinto.</w:t>
      </w:r>
      <w:r w:rsidRPr="000B3717">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9FE990F" w14:textId="77777777" w:rsidR="009C4EA5" w:rsidRPr="000B3717" w:rsidRDefault="009C4EA5" w:rsidP="000B3717"/>
    <w:p w14:paraId="1742B0C4" w14:textId="77777777" w:rsidR="009C4EA5" w:rsidRPr="000B3717" w:rsidRDefault="009C4EA5" w:rsidP="000B3717">
      <w:pPr>
        <w:pStyle w:val="Puesto"/>
      </w:pPr>
      <w:r w:rsidRPr="000B3717">
        <w:rPr>
          <w:b/>
        </w:rPr>
        <w:t>Sexto.</w:t>
      </w:r>
      <w:r w:rsidRPr="000B3717">
        <w:t xml:space="preserve"> Se deroga.</w:t>
      </w:r>
    </w:p>
    <w:p w14:paraId="7483FA49" w14:textId="77777777" w:rsidR="009C4EA5" w:rsidRPr="000B3717" w:rsidRDefault="009C4EA5" w:rsidP="000B3717"/>
    <w:p w14:paraId="0625AD5F" w14:textId="77777777" w:rsidR="009C4EA5" w:rsidRPr="000B3717" w:rsidRDefault="009C4EA5" w:rsidP="000B3717">
      <w:pPr>
        <w:pStyle w:val="Puesto"/>
      </w:pPr>
      <w:r w:rsidRPr="000B3717">
        <w:rPr>
          <w:b/>
        </w:rPr>
        <w:t>Séptimo.</w:t>
      </w:r>
      <w:r w:rsidRPr="000B3717">
        <w:t xml:space="preserve"> La clasificación de la información se llevará a cabo en el momento en que:</w:t>
      </w:r>
    </w:p>
    <w:p w14:paraId="6E78C9E2" w14:textId="77777777" w:rsidR="009C4EA5" w:rsidRPr="000B3717" w:rsidRDefault="009C4EA5" w:rsidP="000B3717">
      <w:pPr>
        <w:pStyle w:val="Puesto"/>
      </w:pPr>
      <w:r w:rsidRPr="000B3717">
        <w:rPr>
          <w:b/>
        </w:rPr>
        <w:t>I.</w:t>
      </w:r>
      <w:r w:rsidRPr="000B3717">
        <w:t xml:space="preserve">        Se reciba una solicitud de acceso a la información;</w:t>
      </w:r>
    </w:p>
    <w:p w14:paraId="2AE5E208" w14:textId="77777777" w:rsidR="009C4EA5" w:rsidRPr="000B3717" w:rsidRDefault="009C4EA5" w:rsidP="000B3717">
      <w:pPr>
        <w:pStyle w:val="Puesto"/>
      </w:pPr>
      <w:r w:rsidRPr="000B3717">
        <w:rPr>
          <w:b/>
        </w:rPr>
        <w:t>II.</w:t>
      </w:r>
      <w:r w:rsidRPr="000B3717">
        <w:t xml:space="preserve">       Se determine mediante resolución del Comité de Transparencia, el órgano garante competente, o en cumplimiento a una sentencia del Poder Judicial; o</w:t>
      </w:r>
    </w:p>
    <w:p w14:paraId="501D1B5B" w14:textId="77777777" w:rsidR="009C4EA5" w:rsidRPr="000B3717" w:rsidRDefault="009C4EA5" w:rsidP="000B3717">
      <w:pPr>
        <w:pStyle w:val="Puesto"/>
      </w:pPr>
      <w:r w:rsidRPr="000B3717">
        <w:rPr>
          <w:b/>
        </w:rPr>
        <w:t>III.</w:t>
      </w:r>
      <w:r w:rsidRPr="000B3717">
        <w:t xml:space="preserve">      Se generen versiones públicas para dar cumplimiento a las obligaciones de transparencia previstas en la Ley General, la Ley Federal y las correspondientes de las entidades federativas.</w:t>
      </w:r>
    </w:p>
    <w:p w14:paraId="07AF52B8" w14:textId="77777777" w:rsidR="009C4EA5" w:rsidRPr="000B3717" w:rsidRDefault="009C4EA5" w:rsidP="000B3717">
      <w:pPr>
        <w:pStyle w:val="Puesto"/>
      </w:pPr>
      <w:r w:rsidRPr="000B3717">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6C051C75" w14:textId="77777777" w:rsidR="009C4EA5" w:rsidRPr="000B3717" w:rsidRDefault="009C4EA5" w:rsidP="000B3717"/>
    <w:p w14:paraId="1B219683" w14:textId="77777777" w:rsidR="009C4EA5" w:rsidRPr="000B3717" w:rsidRDefault="009C4EA5" w:rsidP="000B3717">
      <w:pPr>
        <w:pStyle w:val="Puesto"/>
      </w:pPr>
      <w:r w:rsidRPr="000B3717">
        <w:rPr>
          <w:b/>
        </w:rPr>
        <w:t>Octavo.</w:t>
      </w:r>
      <w:r w:rsidRPr="000B3717">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297E98B" w14:textId="77777777" w:rsidR="009C4EA5" w:rsidRPr="000B3717" w:rsidRDefault="009C4EA5" w:rsidP="000B3717">
      <w:pPr>
        <w:pStyle w:val="Puesto"/>
      </w:pPr>
      <w:r w:rsidRPr="000B3717">
        <w:t>Para motivar la clasificación se deberán señalar las razones o circunstancias especiales que lo llevaron a concluir que el caso particular se ajusta al supuesto previsto por la norma legal invocada como fundamento.</w:t>
      </w:r>
    </w:p>
    <w:p w14:paraId="48E75E0D" w14:textId="77777777" w:rsidR="009C4EA5" w:rsidRPr="000B3717" w:rsidRDefault="009C4EA5" w:rsidP="000B3717">
      <w:pPr>
        <w:pStyle w:val="Puesto"/>
      </w:pPr>
      <w:r w:rsidRPr="000B3717">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F0FE991" w14:textId="77777777" w:rsidR="009C4EA5" w:rsidRPr="000B3717" w:rsidRDefault="009C4EA5" w:rsidP="000B3717"/>
    <w:p w14:paraId="50805F81" w14:textId="77777777" w:rsidR="009C4EA5" w:rsidRPr="000B3717" w:rsidRDefault="009C4EA5" w:rsidP="000B3717">
      <w:pPr>
        <w:pStyle w:val="Puesto"/>
      </w:pPr>
      <w:r w:rsidRPr="000B3717">
        <w:rPr>
          <w:b/>
        </w:rPr>
        <w:t>Noveno.</w:t>
      </w:r>
      <w:r w:rsidRPr="000B3717">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7DCAD34" w14:textId="77777777" w:rsidR="009C4EA5" w:rsidRPr="000B3717" w:rsidRDefault="009C4EA5" w:rsidP="000B3717"/>
    <w:p w14:paraId="17ED9FD3" w14:textId="77777777" w:rsidR="009C4EA5" w:rsidRPr="000B3717" w:rsidRDefault="009C4EA5" w:rsidP="000B3717">
      <w:pPr>
        <w:pStyle w:val="Puesto"/>
      </w:pPr>
      <w:r w:rsidRPr="000B3717">
        <w:rPr>
          <w:b/>
        </w:rPr>
        <w:t>Décimo.</w:t>
      </w:r>
      <w:r w:rsidRPr="000B3717">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21925C4" w14:textId="77777777" w:rsidR="009C4EA5" w:rsidRPr="000B3717" w:rsidRDefault="009C4EA5" w:rsidP="000B3717">
      <w:pPr>
        <w:pStyle w:val="Puesto"/>
      </w:pPr>
      <w:r w:rsidRPr="000B3717">
        <w:t>En ausencia de los titulares de las áreas, la información será clasificada o desclasificada por la persona que lo supla, en términos de la normativa que rija la actuación del sujeto obligado.</w:t>
      </w:r>
    </w:p>
    <w:p w14:paraId="69CA87F3" w14:textId="77777777" w:rsidR="009C4EA5" w:rsidRPr="000B3717" w:rsidRDefault="009C4EA5" w:rsidP="000B3717">
      <w:pPr>
        <w:pStyle w:val="Puesto"/>
        <w:rPr>
          <w:b/>
        </w:rPr>
      </w:pPr>
      <w:r w:rsidRPr="000B3717">
        <w:rPr>
          <w:b/>
        </w:rPr>
        <w:t>Décimo primero.</w:t>
      </w:r>
      <w:r w:rsidRPr="000B3717">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B3717">
        <w:rPr>
          <w:b/>
        </w:rPr>
        <w:t>”</w:t>
      </w:r>
    </w:p>
    <w:p w14:paraId="19CE5484" w14:textId="77777777" w:rsidR="009C4EA5" w:rsidRPr="000B3717" w:rsidRDefault="009C4EA5" w:rsidP="000B3717"/>
    <w:p w14:paraId="2E0375DF" w14:textId="77777777" w:rsidR="00D275FC" w:rsidRPr="000B3717" w:rsidRDefault="00D275FC" w:rsidP="000B3717">
      <w:pPr>
        <w:rPr>
          <w:lang w:eastAsia="es-CO"/>
        </w:rPr>
      </w:pPr>
      <w:r w:rsidRPr="000B3717">
        <w:rPr>
          <w:lang w:eastAsia="es-CO"/>
        </w:rPr>
        <w:lastRenderedPageBreak/>
        <w:t>Es importante señalar que, para el caso en concreto, se deben tomar en consideración los siguientes criterios orientativos respecto a la información que debe ser, o no, clasificada como confidencial:</w:t>
      </w:r>
    </w:p>
    <w:p w14:paraId="025ED5F8" w14:textId="77777777" w:rsidR="00D275FC" w:rsidRPr="000B3717" w:rsidRDefault="00D275FC" w:rsidP="000B3717"/>
    <w:p w14:paraId="6DF6D1E3" w14:textId="77777777" w:rsidR="00D275FC" w:rsidRPr="000B3717" w:rsidRDefault="00D275FC" w:rsidP="000B3717">
      <w:pPr>
        <w:pStyle w:val="Prrafodelista"/>
        <w:numPr>
          <w:ilvl w:val="0"/>
          <w:numId w:val="13"/>
        </w:numPr>
        <w:contextualSpacing w:val="0"/>
        <w:rPr>
          <w:rFonts w:cs="Tahoma"/>
          <w:bCs/>
        </w:rPr>
      </w:pPr>
      <w:r w:rsidRPr="000B3717">
        <w:rPr>
          <w:rFonts w:cs="Tahoma"/>
          <w:bCs/>
        </w:rPr>
        <w:t>Número de Factura.</w:t>
      </w:r>
    </w:p>
    <w:p w14:paraId="30DEDB31" w14:textId="77777777" w:rsidR="00D275FC" w:rsidRPr="000B3717" w:rsidRDefault="00D275FC" w:rsidP="000B3717">
      <w:pPr>
        <w:pStyle w:val="Prrafodelista"/>
        <w:numPr>
          <w:ilvl w:val="0"/>
          <w:numId w:val="13"/>
        </w:numPr>
        <w:contextualSpacing w:val="0"/>
        <w:rPr>
          <w:rFonts w:cs="Tahoma"/>
          <w:bCs/>
        </w:rPr>
      </w:pPr>
      <w:r w:rsidRPr="000B3717">
        <w:rPr>
          <w:rFonts w:cs="Tahoma"/>
          <w:bCs/>
        </w:rPr>
        <w:t>Nombre del Proveedor.</w:t>
      </w:r>
    </w:p>
    <w:p w14:paraId="708BA5AA" w14:textId="77777777" w:rsidR="00D275FC" w:rsidRPr="000B3717" w:rsidRDefault="00D275FC" w:rsidP="000B3717">
      <w:pPr>
        <w:pStyle w:val="Prrafodelista"/>
        <w:numPr>
          <w:ilvl w:val="0"/>
          <w:numId w:val="13"/>
        </w:numPr>
        <w:contextualSpacing w:val="0"/>
        <w:rPr>
          <w:rFonts w:cs="Tahoma"/>
          <w:bCs/>
        </w:rPr>
      </w:pPr>
      <w:r w:rsidRPr="000B3717">
        <w:rPr>
          <w:rFonts w:cs="Tahoma"/>
          <w:bCs/>
        </w:rPr>
        <w:t>Número de cuenta bancaria.</w:t>
      </w:r>
    </w:p>
    <w:p w14:paraId="385F53CF" w14:textId="77777777" w:rsidR="00D275FC" w:rsidRPr="000B3717" w:rsidRDefault="00D275FC" w:rsidP="000B3717">
      <w:pPr>
        <w:pStyle w:val="Prrafodelista"/>
        <w:numPr>
          <w:ilvl w:val="0"/>
          <w:numId w:val="13"/>
        </w:numPr>
        <w:contextualSpacing w:val="0"/>
        <w:rPr>
          <w:rFonts w:cs="Tahoma"/>
          <w:bCs/>
        </w:rPr>
      </w:pPr>
      <w:r w:rsidRPr="000B3717">
        <w:rPr>
          <w:rFonts w:cs="Tahoma"/>
          <w:bCs/>
        </w:rPr>
        <w:t>RFC.</w:t>
      </w:r>
    </w:p>
    <w:p w14:paraId="3C1EF927" w14:textId="77777777" w:rsidR="00D275FC" w:rsidRPr="000B3717" w:rsidRDefault="00D275FC" w:rsidP="000B3717">
      <w:pPr>
        <w:pStyle w:val="Prrafodelista"/>
        <w:numPr>
          <w:ilvl w:val="0"/>
          <w:numId w:val="13"/>
        </w:numPr>
        <w:contextualSpacing w:val="0"/>
        <w:rPr>
          <w:rFonts w:cs="Tahoma"/>
          <w:bCs/>
        </w:rPr>
      </w:pPr>
      <w:r w:rsidRPr="000B3717">
        <w:rPr>
          <w:rFonts w:cs="Tahoma"/>
          <w:bCs/>
        </w:rPr>
        <w:t>Domicilio.</w:t>
      </w:r>
    </w:p>
    <w:p w14:paraId="0B49158D" w14:textId="77777777" w:rsidR="00D275FC" w:rsidRPr="000B3717" w:rsidRDefault="00D275FC" w:rsidP="000B3717">
      <w:pPr>
        <w:pStyle w:val="Prrafodelista"/>
        <w:numPr>
          <w:ilvl w:val="0"/>
          <w:numId w:val="13"/>
        </w:numPr>
        <w:contextualSpacing w:val="0"/>
        <w:rPr>
          <w:rFonts w:cs="Tahoma"/>
          <w:bCs/>
        </w:rPr>
      </w:pPr>
      <w:r w:rsidRPr="000B3717">
        <w:rPr>
          <w:rFonts w:cs="Tahoma"/>
          <w:bCs/>
        </w:rPr>
        <w:t>Clave de elector.</w:t>
      </w:r>
    </w:p>
    <w:p w14:paraId="0DCC8789" w14:textId="77777777" w:rsidR="00D275FC" w:rsidRPr="000B3717" w:rsidRDefault="00D275FC" w:rsidP="000B3717">
      <w:pPr>
        <w:pStyle w:val="Prrafodelista"/>
        <w:numPr>
          <w:ilvl w:val="0"/>
          <w:numId w:val="13"/>
        </w:numPr>
        <w:contextualSpacing w:val="0"/>
        <w:rPr>
          <w:rFonts w:cs="Tahoma"/>
          <w:bCs/>
        </w:rPr>
      </w:pPr>
      <w:r w:rsidRPr="000B3717">
        <w:rPr>
          <w:rFonts w:cs="Tahoma"/>
          <w:bCs/>
        </w:rPr>
        <w:t>Clave SAT.</w:t>
      </w:r>
    </w:p>
    <w:p w14:paraId="7A7846EB" w14:textId="77777777" w:rsidR="00D275FC" w:rsidRPr="000B3717" w:rsidRDefault="00D275FC" w:rsidP="000B3717">
      <w:pPr>
        <w:pStyle w:val="Prrafodelista"/>
        <w:numPr>
          <w:ilvl w:val="0"/>
          <w:numId w:val="13"/>
        </w:numPr>
        <w:contextualSpacing w:val="0"/>
        <w:rPr>
          <w:rFonts w:cs="Tahoma"/>
          <w:bCs/>
        </w:rPr>
      </w:pPr>
      <w:r w:rsidRPr="000B3717">
        <w:rPr>
          <w:rFonts w:cs="Tahoma"/>
          <w:bCs/>
        </w:rPr>
        <w:t xml:space="preserve">Firma. </w:t>
      </w:r>
    </w:p>
    <w:p w14:paraId="73458F64" w14:textId="77777777" w:rsidR="00D275FC" w:rsidRPr="000B3717" w:rsidRDefault="00D275FC" w:rsidP="000B3717">
      <w:pPr>
        <w:pStyle w:val="Prrafodelista"/>
        <w:numPr>
          <w:ilvl w:val="0"/>
          <w:numId w:val="13"/>
        </w:numPr>
        <w:contextualSpacing w:val="0"/>
        <w:rPr>
          <w:rFonts w:cs="Tahoma"/>
          <w:bCs/>
        </w:rPr>
      </w:pPr>
      <w:r w:rsidRPr="000B3717">
        <w:rPr>
          <w:rFonts w:cs="Tahoma"/>
          <w:bCs/>
        </w:rPr>
        <w:t>Folio fiscal.</w:t>
      </w:r>
    </w:p>
    <w:p w14:paraId="4E9AF06E" w14:textId="77777777" w:rsidR="00D275FC" w:rsidRPr="000B3717" w:rsidRDefault="00D275FC" w:rsidP="000B3717">
      <w:pPr>
        <w:pStyle w:val="Prrafodelista"/>
        <w:numPr>
          <w:ilvl w:val="0"/>
          <w:numId w:val="13"/>
        </w:numPr>
        <w:contextualSpacing w:val="0"/>
        <w:rPr>
          <w:rFonts w:cs="Tahoma"/>
          <w:bCs/>
        </w:rPr>
      </w:pPr>
      <w:r w:rsidRPr="000B3717">
        <w:rPr>
          <w:rFonts w:cs="Tahoma"/>
          <w:bCs/>
        </w:rPr>
        <w:t>Cuenta Bancaria.</w:t>
      </w:r>
    </w:p>
    <w:p w14:paraId="2906849A" w14:textId="77777777" w:rsidR="00D275FC" w:rsidRPr="000B3717" w:rsidRDefault="00D275FC" w:rsidP="000B3717">
      <w:pPr>
        <w:pStyle w:val="Prrafodelista"/>
        <w:numPr>
          <w:ilvl w:val="0"/>
          <w:numId w:val="13"/>
        </w:numPr>
        <w:contextualSpacing w:val="0"/>
        <w:rPr>
          <w:rFonts w:cs="Tahoma"/>
          <w:bCs/>
        </w:rPr>
      </w:pPr>
      <w:r w:rsidRPr="000B3717">
        <w:rPr>
          <w:rFonts w:cs="Tahoma"/>
          <w:bCs/>
        </w:rPr>
        <w:t>Número certificado del emisor.</w:t>
      </w:r>
    </w:p>
    <w:p w14:paraId="7A19DD36" w14:textId="77777777" w:rsidR="00D275FC" w:rsidRPr="000B3717" w:rsidRDefault="00D275FC" w:rsidP="000B3717">
      <w:pPr>
        <w:pStyle w:val="Prrafodelista"/>
        <w:numPr>
          <w:ilvl w:val="0"/>
          <w:numId w:val="13"/>
        </w:numPr>
        <w:contextualSpacing w:val="0"/>
        <w:rPr>
          <w:rFonts w:cs="Tahoma"/>
          <w:bCs/>
        </w:rPr>
      </w:pPr>
      <w:r w:rsidRPr="000B3717">
        <w:rPr>
          <w:rFonts w:cs="Tahoma"/>
          <w:bCs/>
        </w:rPr>
        <w:t>Número certificado del SAT.</w:t>
      </w:r>
    </w:p>
    <w:p w14:paraId="4D485594" w14:textId="77777777" w:rsidR="00D275FC" w:rsidRPr="000B3717" w:rsidRDefault="00D275FC" w:rsidP="000B3717">
      <w:pPr>
        <w:pStyle w:val="Prrafodelista"/>
        <w:numPr>
          <w:ilvl w:val="0"/>
          <w:numId w:val="13"/>
        </w:numPr>
        <w:contextualSpacing w:val="0"/>
        <w:rPr>
          <w:rFonts w:cs="Tahoma"/>
          <w:bCs/>
        </w:rPr>
      </w:pPr>
      <w:r w:rsidRPr="000B3717">
        <w:rPr>
          <w:rFonts w:cs="Tahoma"/>
          <w:bCs/>
        </w:rPr>
        <w:t>Sello digital del SAT.</w:t>
      </w:r>
    </w:p>
    <w:p w14:paraId="6B07FD6F" w14:textId="77777777" w:rsidR="00D275FC" w:rsidRPr="000B3717" w:rsidRDefault="00D275FC" w:rsidP="000B3717">
      <w:pPr>
        <w:pStyle w:val="Prrafodelista"/>
        <w:numPr>
          <w:ilvl w:val="0"/>
          <w:numId w:val="13"/>
        </w:numPr>
        <w:contextualSpacing w:val="0"/>
        <w:rPr>
          <w:rFonts w:cs="Tahoma"/>
          <w:bCs/>
        </w:rPr>
      </w:pPr>
      <w:r w:rsidRPr="000B3717">
        <w:rPr>
          <w:rFonts w:cs="Tahoma"/>
          <w:bCs/>
        </w:rPr>
        <w:t>Cadena original del complemento de certificación digital del SAT.</w:t>
      </w:r>
    </w:p>
    <w:p w14:paraId="2C927008" w14:textId="77777777" w:rsidR="00D275FC" w:rsidRPr="000B3717" w:rsidRDefault="00D275FC" w:rsidP="000B3717">
      <w:pPr>
        <w:pStyle w:val="Prrafodelista"/>
        <w:numPr>
          <w:ilvl w:val="0"/>
          <w:numId w:val="13"/>
        </w:numPr>
        <w:contextualSpacing w:val="0"/>
        <w:rPr>
          <w:rFonts w:cs="Tahoma"/>
          <w:bCs/>
        </w:rPr>
      </w:pPr>
      <w:r w:rsidRPr="000B3717">
        <w:rPr>
          <w:rFonts w:cs="Tahoma"/>
          <w:bCs/>
        </w:rPr>
        <w:t>Código QR.</w:t>
      </w:r>
    </w:p>
    <w:p w14:paraId="08E09B2E" w14:textId="77777777" w:rsidR="00D275FC" w:rsidRPr="000B3717" w:rsidRDefault="00D275FC" w:rsidP="000B3717">
      <w:pPr>
        <w:rPr>
          <w:rFonts w:cs="Tahoma"/>
          <w:bCs/>
        </w:rPr>
      </w:pPr>
    </w:p>
    <w:p w14:paraId="2BADF700" w14:textId="77777777" w:rsidR="00D275FC" w:rsidRPr="000B3717" w:rsidRDefault="00D275FC" w:rsidP="000B3717">
      <w:pPr>
        <w:rPr>
          <w:rFonts w:cs="Tahoma"/>
          <w:bCs/>
        </w:rPr>
      </w:pPr>
      <w:r w:rsidRPr="000B3717">
        <w:rPr>
          <w:rFonts w:cs="Tahoma"/>
          <w:b/>
          <w:bCs/>
        </w:rPr>
        <w:t xml:space="preserve">Nombre del Proveedor. </w:t>
      </w:r>
      <w:r w:rsidRPr="000B3717">
        <w:rPr>
          <w:rFonts w:cs="Tahoma"/>
          <w:bCs/>
        </w:rPr>
        <w:t xml:space="preserve">Constituye un dato estrictamente público, toda vez que representa directamente el destino de los recursos públicos erogados para la contratación de un servicio, </w:t>
      </w:r>
      <w:r w:rsidRPr="000B3717">
        <w:rPr>
          <w:rFonts w:cs="Tahoma"/>
          <w:bCs/>
        </w:rPr>
        <w:lastRenderedPageBreak/>
        <w:t>asimismo, forma parte de las obligaciones de transparencia comunes, previsto específicamente en el artículo 92, fracción XXXVI de la Ley de Transparencia local</w:t>
      </w:r>
      <w:r w:rsidRPr="000B3717">
        <w:rPr>
          <w:rStyle w:val="Refdenotaalpie"/>
          <w:rFonts w:cs="Tahoma"/>
          <w:bCs/>
        </w:rPr>
        <w:footnoteReference w:id="2"/>
      </w:r>
      <w:r w:rsidRPr="000B3717">
        <w:rPr>
          <w:rFonts w:cs="Tahoma"/>
          <w:bCs/>
        </w:rPr>
        <w:t>.</w:t>
      </w:r>
    </w:p>
    <w:p w14:paraId="4BE972D2" w14:textId="77777777" w:rsidR="00D275FC" w:rsidRPr="000B3717" w:rsidRDefault="00D275FC" w:rsidP="000B3717">
      <w:pPr>
        <w:rPr>
          <w:rFonts w:cs="Tahoma"/>
          <w:bCs/>
        </w:rPr>
      </w:pPr>
    </w:p>
    <w:p w14:paraId="55E6C87E" w14:textId="77777777" w:rsidR="00D275FC" w:rsidRPr="000B3717" w:rsidRDefault="00D275FC" w:rsidP="000B3717">
      <w:pPr>
        <w:rPr>
          <w:rFonts w:cs="Tahoma"/>
          <w:bCs/>
        </w:rPr>
      </w:pPr>
      <w:r w:rsidRPr="000B3717">
        <w:rPr>
          <w:rFonts w:cs="Tahoma"/>
          <w:b/>
          <w:bCs/>
        </w:rPr>
        <w:t>Firma.</w:t>
      </w:r>
      <w:r w:rsidRPr="000B3717">
        <w:rPr>
          <w:rFonts w:cs="Tahoma"/>
          <w:bCs/>
        </w:rPr>
        <w:t xml:space="preserve"> Corresponde a una expresión gráfica de su voluntad</w:t>
      </w:r>
      <w:r w:rsidRPr="000B3717">
        <w:rPr>
          <w:rStyle w:val="Refdenotaalpie"/>
          <w:rFonts w:cs="Tahoma"/>
          <w:bCs/>
        </w:rPr>
        <w:footnoteReference w:id="3"/>
      </w:r>
      <w:r w:rsidRPr="000B3717">
        <w:rPr>
          <w:rFonts w:cs="Tahoma"/>
          <w:bCs/>
        </w:rPr>
        <w:t xml:space="preserve"> , la cual incide en la vida privada de las personas, por lo que debe estimarse efectivamente como un dato personal susceptible de ser clasificado.</w:t>
      </w:r>
    </w:p>
    <w:p w14:paraId="11A65A53" w14:textId="77777777" w:rsidR="00D275FC" w:rsidRPr="000B3717" w:rsidRDefault="00D275FC" w:rsidP="000B3717">
      <w:pPr>
        <w:rPr>
          <w:rFonts w:cs="Tahoma"/>
          <w:bCs/>
        </w:rPr>
      </w:pPr>
    </w:p>
    <w:p w14:paraId="35E3DFBF" w14:textId="77777777" w:rsidR="00D275FC" w:rsidRPr="000B3717" w:rsidRDefault="00D275FC" w:rsidP="000B3717">
      <w:pPr>
        <w:rPr>
          <w:rFonts w:cs="Tahoma"/>
          <w:b/>
          <w:bCs/>
        </w:rPr>
      </w:pPr>
      <w:r w:rsidRPr="000B3717">
        <w:rPr>
          <w:rFonts w:cs="Tahoma"/>
          <w:b/>
          <w:bCs/>
        </w:rPr>
        <w:t xml:space="preserve">Registro Federal de Contribuyentes (RFC) de personas físicas proveedores o contratistas. </w:t>
      </w:r>
      <w:r w:rsidRPr="000B3717">
        <w:rPr>
          <w:rFonts w:cs="Tahoma"/>
          <w:bCs/>
        </w:rPr>
        <w:t>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w:t>
      </w:r>
    </w:p>
    <w:p w14:paraId="020B61B5" w14:textId="77777777" w:rsidR="00D275FC" w:rsidRPr="000B3717" w:rsidRDefault="00D275FC" w:rsidP="000B3717">
      <w:pPr>
        <w:rPr>
          <w:rFonts w:cs="Tahoma"/>
          <w:bCs/>
        </w:rPr>
      </w:pPr>
    </w:p>
    <w:p w14:paraId="09AFFC87" w14:textId="77777777" w:rsidR="00D275FC" w:rsidRPr="000B3717" w:rsidRDefault="00D275FC" w:rsidP="000B3717">
      <w:pPr>
        <w:rPr>
          <w:rFonts w:cs="Tahoma"/>
          <w:bCs/>
        </w:rPr>
      </w:pPr>
      <w:r w:rsidRPr="000B3717">
        <w:rPr>
          <w:rFonts w:cs="Tahoma"/>
          <w:b/>
          <w:bCs/>
        </w:rPr>
        <w:t>Domicilio</w:t>
      </w:r>
      <w:r w:rsidRPr="000B3717">
        <w:rPr>
          <w:rFonts w:cs="Tahoma"/>
          <w:bCs/>
        </w:rPr>
        <w:t>. Respecto a este dato personal, resulta conveniente señalar que el artículo 29, párrafo primero, del Código Civil del Estado de México es el lugar de residencia habitual de la persona; y en esa lógica el domicilio ubica en el espacio físico a la persona con su entorno habitacional, lo que fácilmente le identifica, por ello, comprende un dato personal que versa sobre la vida privada. En esas condiciones, este Instituto estima que el domicilio de una persona física es información de carácter confidencial, por lo cual debe confirmarse la clasificación de ese dato.</w:t>
      </w:r>
    </w:p>
    <w:p w14:paraId="3F777B1F" w14:textId="77777777" w:rsidR="00D275FC" w:rsidRPr="000B3717" w:rsidRDefault="00D275FC" w:rsidP="000B3717">
      <w:pPr>
        <w:rPr>
          <w:rFonts w:cs="Tahoma"/>
          <w:bCs/>
        </w:rPr>
      </w:pPr>
    </w:p>
    <w:p w14:paraId="65BB27F2" w14:textId="77777777" w:rsidR="00D275FC" w:rsidRPr="000B3717" w:rsidRDefault="00D275FC" w:rsidP="000B3717">
      <w:pPr>
        <w:rPr>
          <w:rFonts w:cs="Tahoma"/>
          <w:bCs/>
        </w:rPr>
      </w:pPr>
      <w:r w:rsidRPr="000B3717">
        <w:rPr>
          <w:rFonts w:cs="Tahoma"/>
          <w:b/>
          <w:bCs/>
        </w:rPr>
        <w:t>Clave de elector</w:t>
      </w:r>
      <w:r w:rsidRPr="000B3717">
        <w:rPr>
          <w:rFonts w:cs="Tahoma"/>
          <w:bCs/>
        </w:rPr>
        <w:t xml:space="preserve">. Se compone de 18 caracteres, mismos que hacen identificable a una persona física, toda vez que se conforma por las primeras letras de los apellidos, año, mes, día, sexo, clave del estado en donde nació su titular, así como una homoclave interna de registro. Por tanto, al ser datos que constituyen información que hace identificable a una persona física, resulta procedente su clasificación </w:t>
      </w:r>
      <w:proofErr w:type="gramStart"/>
      <w:r w:rsidRPr="000B3717">
        <w:rPr>
          <w:rFonts w:cs="Tahoma"/>
          <w:bCs/>
        </w:rPr>
        <w:t>atento</w:t>
      </w:r>
      <w:proofErr w:type="gramEnd"/>
      <w:r w:rsidRPr="000B3717">
        <w:rPr>
          <w:rFonts w:cs="Tahoma"/>
          <w:bCs/>
        </w:rPr>
        <w:t xml:space="preserve"> a lo dispuesto por el artículo 143, fracción I de la Ley de Transparencia local.</w:t>
      </w:r>
    </w:p>
    <w:p w14:paraId="57F85BB5" w14:textId="77777777" w:rsidR="00D275FC" w:rsidRPr="000B3717" w:rsidRDefault="00D275FC" w:rsidP="000B3717">
      <w:pPr>
        <w:rPr>
          <w:rFonts w:cs="Tahoma"/>
          <w:bCs/>
        </w:rPr>
      </w:pPr>
    </w:p>
    <w:p w14:paraId="6DE32510" w14:textId="77777777" w:rsidR="00D275FC" w:rsidRPr="000B3717" w:rsidRDefault="00D275FC" w:rsidP="000B3717">
      <w:pPr>
        <w:tabs>
          <w:tab w:val="left" w:pos="284"/>
        </w:tabs>
        <w:spacing w:before="240" w:after="240"/>
        <w:contextualSpacing/>
        <w:rPr>
          <w:rFonts w:eastAsia="Calibri"/>
        </w:rPr>
      </w:pPr>
      <w:r w:rsidRPr="000B3717">
        <w:rPr>
          <w:rFonts w:eastAsia="Calibri"/>
          <w:b/>
        </w:rPr>
        <w:t>Cuentas bancarias y claves interbancarias.</w:t>
      </w:r>
      <w:r w:rsidRPr="000B3717">
        <w:rPr>
          <w:rFonts w:eastAsia="Calibri"/>
        </w:rPr>
        <w:t xml:space="preserve"> Es de precisar que dicha información es confidencial únicamente; por lo que, concierne a los particulares, y no así para los sujetos obligados que prevé el artículo 23, de la Ley de Transparencia y Acceso a la Información Pública del Estado de México y Municipios, toda vez que su publicidad abona a la transparencia y a la rendición de cuentas.</w:t>
      </w:r>
    </w:p>
    <w:p w14:paraId="3E11CFBF" w14:textId="77777777" w:rsidR="00D275FC" w:rsidRPr="000B3717" w:rsidRDefault="00D275FC" w:rsidP="000B3717">
      <w:pPr>
        <w:tabs>
          <w:tab w:val="left" w:pos="284"/>
        </w:tabs>
        <w:spacing w:before="240" w:after="240"/>
        <w:contextualSpacing/>
        <w:rPr>
          <w:rFonts w:eastAsia="Calibri"/>
        </w:rPr>
      </w:pPr>
    </w:p>
    <w:p w14:paraId="4C5BB2D2" w14:textId="77777777" w:rsidR="00D275FC" w:rsidRPr="000B3717" w:rsidRDefault="00D275FC" w:rsidP="000B3717">
      <w:pPr>
        <w:tabs>
          <w:tab w:val="left" w:pos="284"/>
        </w:tabs>
        <w:spacing w:before="240" w:after="240"/>
        <w:contextualSpacing/>
        <w:rPr>
          <w:rFonts w:eastAsia="Calibri"/>
        </w:rPr>
      </w:pPr>
      <w:r w:rsidRPr="000B3717">
        <w:rPr>
          <w:rFonts w:eastAsia="Calibri"/>
        </w:rPr>
        <w:t xml:space="preserve">En este sentido, es importante precisar que de acuerdo al criterio 11/17 emitido por el INAI, las cuentas bancarias y/o clave interbancaria de los Sujetos Obligados es información de carácter público. </w:t>
      </w:r>
    </w:p>
    <w:p w14:paraId="74E7F35C" w14:textId="77777777" w:rsidR="00D275FC" w:rsidRPr="000B3717" w:rsidRDefault="00D275FC" w:rsidP="000B3717">
      <w:pPr>
        <w:tabs>
          <w:tab w:val="left" w:pos="284"/>
        </w:tabs>
        <w:spacing w:before="240" w:after="240"/>
        <w:contextualSpacing/>
        <w:rPr>
          <w:rFonts w:eastAsia="Calibri"/>
        </w:rPr>
      </w:pPr>
    </w:p>
    <w:p w14:paraId="016FFECC" w14:textId="77777777" w:rsidR="00D275FC" w:rsidRPr="000B3717" w:rsidRDefault="00D275FC" w:rsidP="000B3717">
      <w:pPr>
        <w:tabs>
          <w:tab w:val="left" w:pos="8222"/>
        </w:tabs>
        <w:spacing w:before="100" w:beforeAutospacing="1" w:after="100" w:afterAutospacing="1"/>
        <w:ind w:left="1134" w:right="1183"/>
        <w:contextualSpacing/>
        <w:jc w:val="center"/>
        <w:rPr>
          <w:rFonts w:cs="Arial"/>
          <w:b/>
        </w:rPr>
      </w:pPr>
      <w:r w:rsidRPr="000B3717">
        <w:rPr>
          <w:rFonts w:cs="Arial"/>
        </w:rPr>
        <w:t>“</w:t>
      </w:r>
      <w:r w:rsidRPr="000B3717">
        <w:rPr>
          <w:rFonts w:cs="Arial"/>
          <w:b/>
        </w:rPr>
        <w:t>Criterio 11/17</w:t>
      </w:r>
    </w:p>
    <w:p w14:paraId="408E7AA7" w14:textId="77777777" w:rsidR="00D275FC" w:rsidRPr="000B3717" w:rsidRDefault="00D275FC" w:rsidP="000B3717">
      <w:pPr>
        <w:tabs>
          <w:tab w:val="left" w:pos="8222"/>
        </w:tabs>
        <w:spacing w:before="100" w:beforeAutospacing="1" w:after="100" w:afterAutospacing="1" w:line="276" w:lineRule="auto"/>
        <w:ind w:left="1134" w:right="1183"/>
        <w:contextualSpacing/>
        <w:rPr>
          <w:i/>
        </w:rPr>
      </w:pPr>
      <w:r w:rsidRPr="000B3717">
        <w:rPr>
          <w:b/>
          <w:i/>
        </w:rPr>
        <w:t>Cuentas bancarias y/o CLABE interbancaria de sujetos obligados que reciben y/o transfieren recursos públicos, son información pública.</w:t>
      </w:r>
      <w:r w:rsidRPr="000B3717">
        <w:rPr>
          <w:i/>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35042865" w14:textId="77777777" w:rsidR="00D275FC" w:rsidRPr="000B3717" w:rsidRDefault="00D275FC" w:rsidP="000B3717">
      <w:pPr>
        <w:tabs>
          <w:tab w:val="left" w:pos="8222"/>
        </w:tabs>
        <w:spacing w:before="100" w:beforeAutospacing="1" w:after="100" w:afterAutospacing="1"/>
        <w:ind w:left="851" w:right="902"/>
        <w:contextualSpacing/>
        <w:rPr>
          <w:i/>
        </w:rPr>
      </w:pPr>
    </w:p>
    <w:p w14:paraId="7B8E73D1" w14:textId="77777777" w:rsidR="00D275FC" w:rsidRPr="000B3717" w:rsidRDefault="00D275FC" w:rsidP="000B3717">
      <w:pPr>
        <w:tabs>
          <w:tab w:val="left" w:pos="284"/>
        </w:tabs>
        <w:spacing w:before="240" w:after="240"/>
        <w:contextualSpacing/>
        <w:rPr>
          <w:rFonts w:eastAsia="Calibri"/>
        </w:rPr>
      </w:pPr>
      <w:r w:rsidRPr="000B3717">
        <w:rPr>
          <w:rFonts w:eastAsia="Calibri"/>
        </w:rPr>
        <w:t>Caso contrario a los particulares, como lo refiere el criterio 10/17 emitido por el INAI, que es del tenor literal siguiente:</w:t>
      </w:r>
    </w:p>
    <w:p w14:paraId="22FE23EB" w14:textId="77777777" w:rsidR="00D275FC" w:rsidRPr="000B3717" w:rsidRDefault="00D275FC" w:rsidP="000B3717">
      <w:pPr>
        <w:tabs>
          <w:tab w:val="left" w:pos="284"/>
        </w:tabs>
        <w:spacing w:before="240" w:after="240"/>
        <w:contextualSpacing/>
        <w:rPr>
          <w:rFonts w:eastAsia="Calibri"/>
        </w:rPr>
      </w:pPr>
    </w:p>
    <w:p w14:paraId="0AB4C61E" w14:textId="77777777" w:rsidR="00D275FC" w:rsidRPr="000B3717" w:rsidRDefault="00D275FC" w:rsidP="000B3717">
      <w:pPr>
        <w:spacing w:before="100" w:beforeAutospacing="1" w:after="100" w:afterAutospacing="1" w:line="276" w:lineRule="auto"/>
        <w:ind w:left="1134" w:right="1325"/>
        <w:contextualSpacing/>
        <w:rPr>
          <w:rFonts w:cs="Arial"/>
          <w:i/>
          <w:lang w:val="es-ES_tradnl"/>
        </w:rPr>
      </w:pPr>
      <w:r w:rsidRPr="000B3717">
        <w:rPr>
          <w:rFonts w:cs="Arial"/>
          <w:b/>
          <w:i/>
          <w:lang w:val="es-ES_tradnl"/>
        </w:rPr>
        <w:t>Cuentas bancarias y/o CLABE interbancaria de personas físicas y morales privadas. El número de cuenta bancaria y/o CLABE interbancaria de particulares es información confidencial</w:t>
      </w:r>
      <w:r w:rsidRPr="000B3717">
        <w:rPr>
          <w:rFonts w:cs="Arial"/>
          <w:i/>
          <w:lang w:val="es-ES_tradnl"/>
        </w:rPr>
        <w:t xml:space="preserve">,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 </w:t>
      </w:r>
    </w:p>
    <w:p w14:paraId="542114E9" w14:textId="77777777" w:rsidR="00D275FC" w:rsidRPr="000B3717" w:rsidRDefault="00D275FC" w:rsidP="000B3717">
      <w:pPr>
        <w:spacing w:before="100" w:beforeAutospacing="1" w:after="100" w:afterAutospacing="1"/>
        <w:ind w:left="1134" w:right="1325" w:hanging="283"/>
        <w:contextualSpacing/>
        <w:rPr>
          <w:rFonts w:cs="Arial"/>
          <w:i/>
          <w:lang w:val="es-ES_tradnl"/>
        </w:rPr>
      </w:pPr>
    </w:p>
    <w:p w14:paraId="142C0856" w14:textId="5ECCE286" w:rsidR="00D275FC" w:rsidRPr="000B3717" w:rsidRDefault="00D275FC" w:rsidP="000B3717">
      <w:pPr>
        <w:tabs>
          <w:tab w:val="left" w:pos="284"/>
        </w:tabs>
        <w:spacing w:before="240"/>
        <w:contextualSpacing/>
        <w:rPr>
          <w:rFonts w:eastAsia="Calibri"/>
        </w:rPr>
      </w:pPr>
      <w:r w:rsidRPr="000B3717">
        <w:rPr>
          <w:rFonts w:eastAsia="Calibri"/>
        </w:rPr>
        <w:t xml:space="preserve">En ese sentido, </w:t>
      </w:r>
      <w:r w:rsidRPr="000B3717">
        <w:rPr>
          <w:rFonts w:eastAsia="Calibri"/>
          <w:b/>
        </w:rPr>
        <w:t>referente al QR, folio fiscal, número de serie del certificado del emisor, sello digital Comprobante Fiscal Digital por Internet (CFDI), sello digital del SAT, Cadena Original del SAT, número de serie del certificado del SAT,</w:t>
      </w:r>
      <w:r w:rsidRPr="000B3717">
        <w:rPr>
          <w:rFonts w:eastAsia="Calibri"/>
        </w:rPr>
        <w:t xml:space="preserve"> es preciso </w:t>
      </w:r>
      <w:r w:rsidR="008401A5" w:rsidRPr="000B3717">
        <w:rPr>
          <w:rFonts w:eastAsia="Calibri"/>
        </w:rPr>
        <w:t>señalar</w:t>
      </w:r>
      <w:r w:rsidRPr="000B3717">
        <w:rPr>
          <w:rFonts w:eastAsia="Calibri"/>
        </w:rPr>
        <w:t xml:space="preserve"> que si de la secuencia de números y letras, se advierte el Registro Federal de Contribuyentes o una Clave Única de Registro de Población, que pueda hacer identificable al titular del dato personal, no puede tenerse como dato personal y por ende es información considerada confidencial. Por el </w:t>
      </w:r>
      <w:r w:rsidRPr="000B3717">
        <w:rPr>
          <w:rFonts w:eastAsia="Calibri"/>
        </w:rPr>
        <w:lastRenderedPageBreak/>
        <w:t>contrario, debe considerarse que esta información incluida en los documentos fiscales, constituyen un elemento adicional que permite a cualquier persona verificar la legitimidad del documento, por sí solos no contienen datos personales susceptibles de clasificación, ya que no hacen identificable al titular, pues dichos datos sólo son de utilidad de manera directa a la Secretaría de Hacienda y Crédito Público y si bien, en un momento dichas cadenas derivan información personal de los contribuyentes, esta se encuentra encriptada como se verá a continuación.</w:t>
      </w:r>
    </w:p>
    <w:p w14:paraId="78488EF9" w14:textId="77777777" w:rsidR="00D275FC" w:rsidRPr="000B3717" w:rsidRDefault="00D275FC" w:rsidP="000B3717">
      <w:pPr>
        <w:tabs>
          <w:tab w:val="left" w:pos="284"/>
        </w:tabs>
        <w:contextualSpacing/>
        <w:rPr>
          <w:rFonts w:eastAsia="Calibri"/>
        </w:rPr>
      </w:pPr>
    </w:p>
    <w:p w14:paraId="12A1EE74" w14:textId="77777777" w:rsidR="00D275FC" w:rsidRPr="000B3717" w:rsidRDefault="00D275FC" w:rsidP="000B3717">
      <w:pPr>
        <w:spacing w:after="100" w:afterAutospacing="1"/>
        <w:rPr>
          <w:rFonts w:eastAsia="Calibri" w:cs="Tahoma"/>
          <w:b/>
          <w:bCs/>
          <w:lang w:eastAsia="en-US"/>
        </w:rPr>
      </w:pPr>
      <w:r w:rsidRPr="000B3717">
        <w:rPr>
          <w:rFonts w:eastAsia="Calibri" w:cs="Tahoma"/>
          <w:b/>
          <w:bCs/>
          <w:lang w:eastAsia="en-US"/>
        </w:rPr>
        <w:t xml:space="preserve">• Código Bidimensional o QR. </w:t>
      </w:r>
    </w:p>
    <w:p w14:paraId="6945A5B0" w14:textId="77777777" w:rsidR="00D275FC" w:rsidRPr="000B3717" w:rsidRDefault="00D275FC" w:rsidP="000B3717">
      <w:pPr>
        <w:tabs>
          <w:tab w:val="left" w:pos="284"/>
        </w:tabs>
        <w:spacing w:before="240" w:after="240"/>
        <w:contextualSpacing/>
        <w:rPr>
          <w:rFonts w:eastAsia="Calibri"/>
        </w:rPr>
      </w:pPr>
      <w:r w:rsidRPr="000B3717">
        <w:rPr>
          <w:rFonts w:eastAsia="Calibri"/>
        </w:rPr>
        <w:t xml:space="preserve">En principio, resulta necesario señalar que los comprobantes fiscales digitales por Internet, deben de incluir un código bidimensional conforme al formato QR </w:t>
      </w:r>
      <w:proofErr w:type="spellStart"/>
      <w:r w:rsidRPr="000B3717">
        <w:rPr>
          <w:rFonts w:eastAsia="Calibri"/>
        </w:rPr>
        <w:t>Code</w:t>
      </w:r>
      <w:proofErr w:type="spellEnd"/>
      <w:r w:rsidRPr="000B3717">
        <w:rPr>
          <w:rFonts w:eastAsia="Calibri"/>
        </w:rPr>
        <w:t xml:space="preserve"> (Quick Response </w:t>
      </w:r>
      <w:proofErr w:type="spellStart"/>
      <w:r w:rsidRPr="000B3717">
        <w:rPr>
          <w:rFonts w:eastAsia="Calibri"/>
        </w:rPr>
        <w:t>Code</w:t>
      </w:r>
      <w:proofErr w:type="spellEnd"/>
      <w:r w:rsidRPr="000B3717">
        <w:rPr>
          <w:rFonts w:eastAsia="Calibri"/>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4" w:history="1">
        <w:r w:rsidRPr="000B3717">
          <w:rPr>
            <w:rFonts w:eastAsia="Calibri"/>
          </w:rPr>
          <w:t>http://dof.gob.mx/nota_detalle.php?codigo=5492254&amp;fecha=28/07/2017</w:t>
        </w:r>
      </w:hyperlink>
      <w:r w:rsidRPr="000B3717">
        <w:rPr>
          <w:rFonts w:eastAsia="Calibri"/>
        </w:rPr>
        <w:t xml:space="preserve">. Incluso con la captura de dicho código, a través de la aplicación móvil del Servicio de Administración Tributaria, permite el acceso al Registro Federal de Contribuyentes, como del Sujeto Obligado, como del proveedor, persona física o moral. </w:t>
      </w:r>
    </w:p>
    <w:p w14:paraId="2FF25111" w14:textId="77777777" w:rsidR="00D275FC" w:rsidRPr="000B3717" w:rsidRDefault="00D275FC" w:rsidP="000B3717">
      <w:pPr>
        <w:tabs>
          <w:tab w:val="left" w:pos="284"/>
        </w:tabs>
        <w:spacing w:before="240" w:after="240"/>
        <w:contextualSpacing/>
        <w:rPr>
          <w:rFonts w:eastAsia="Calibri"/>
        </w:rPr>
      </w:pPr>
    </w:p>
    <w:p w14:paraId="7E1CC3E0" w14:textId="77777777" w:rsidR="00D275FC" w:rsidRPr="000B3717" w:rsidRDefault="00D275FC" w:rsidP="000B3717">
      <w:pPr>
        <w:tabs>
          <w:tab w:val="left" w:pos="284"/>
        </w:tabs>
        <w:spacing w:before="240" w:after="240"/>
        <w:contextualSpacing/>
        <w:rPr>
          <w:rFonts w:eastAsia="Calibri"/>
        </w:rPr>
      </w:pPr>
      <w:r w:rsidRPr="000B3717">
        <w:rPr>
          <w:rFonts w:eastAsia="Calibri"/>
        </w:rPr>
        <w:t>En ese orden de ideas, toda vez que el código bidimensional sólo permite el acceso al Registro Federal de Contribuyentes del proveedor y del Sujeto Obligado, los cuales guardan la naturaleza pública, se considera que no se actualiza la causal de clasificación prevista en el artículo 143, fracción I de la Ley de la materia, toda vez que únicamente da cuenta de datos que como se analizó en párrafos anteriores, no son susceptibles a testar.</w:t>
      </w:r>
    </w:p>
    <w:p w14:paraId="30936C40" w14:textId="77777777" w:rsidR="00D275FC" w:rsidRPr="000B3717" w:rsidRDefault="00D275FC" w:rsidP="000B3717">
      <w:pPr>
        <w:tabs>
          <w:tab w:val="left" w:pos="284"/>
        </w:tabs>
        <w:spacing w:before="240" w:after="240"/>
        <w:contextualSpacing/>
        <w:rPr>
          <w:rFonts w:eastAsia="Calibri"/>
        </w:rPr>
      </w:pPr>
    </w:p>
    <w:p w14:paraId="22ACA11A" w14:textId="77777777" w:rsidR="00D275FC" w:rsidRPr="000B3717" w:rsidRDefault="00D275FC" w:rsidP="000B3717">
      <w:pPr>
        <w:numPr>
          <w:ilvl w:val="0"/>
          <w:numId w:val="12"/>
        </w:numPr>
        <w:spacing w:before="100" w:beforeAutospacing="1" w:after="100" w:afterAutospacing="1" w:line="240" w:lineRule="auto"/>
        <w:ind w:right="-91"/>
        <w:contextualSpacing/>
        <w:rPr>
          <w:rFonts w:eastAsia="Calibri" w:cs="Tahoma"/>
          <w:b/>
          <w:bCs/>
          <w:lang w:val="es-ES" w:eastAsia="en-US"/>
        </w:rPr>
      </w:pPr>
      <w:r w:rsidRPr="000B3717">
        <w:rPr>
          <w:rFonts w:eastAsia="Calibri" w:cs="Tahoma"/>
          <w:b/>
          <w:bCs/>
          <w:lang w:val="es-ES" w:eastAsia="en-US"/>
        </w:rPr>
        <w:lastRenderedPageBreak/>
        <w:t>Folio Fiscal/ número de factura.</w:t>
      </w:r>
    </w:p>
    <w:p w14:paraId="53AD31B8" w14:textId="77777777" w:rsidR="00D275FC" w:rsidRPr="000B3717" w:rsidRDefault="00D275FC" w:rsidP="000B3717">
      <w:pPr>
        <w:spacing w:before="100" w:beforeAutospacing="1" w:after="100" w:afterAutospacing="1"/>
        <w:ind w:left="720" w:right="-91"/>
        <w:contextualSpacing/>
        <w:rPr>
          <w:rFonts w:eastAsia="Calibri" w:cs="Tahoma"/>
          <w:b/>
          <w:bCs/>
          <w:lang w:val="es-ES" w:eastAsia="en-US"/>
        </w:rPr>
      </w:pPr>
    </w:p>
    <w:p w14:paraId="3659406D" w14:textId="77777777" w:rsidR="00D275FC" w:rsidRPr="000B3717" w:rsidRDefault="00D275FC" w:rsidP="000B3717">
      <w:pPr>
        <w:tabs>
          <w:tab w:val="left" w:pos="284"/>
        </w:tabs>
        <w:spacing w:before="240" w:after="240"/>
        <w:contextualSpacing/>
        <w:rPr>
          <w:rFonts w:eastAsia="Calibri"/>
        </w:rPr>
      </w:pPr>
      <w:r w:rsidRPr="000B3717">
        <w:rPr>
          <w:rFonts w:eastAsia="Calibri"/>
        </w:rPr>
        <w:t>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1909749C" w14:textId="77777777" w:rsidR="00D275FC" w:rsidRPr="000B3717" w:rsidRDefault="00D275FC" w:rsidP="000B3717">
      <w:pPr>
        <w:tabs>
          <w:tab w:val="left" w:pos="284"/>
        </w:tabs>
        <w:spacing w:before="240" w:after="240"/>
        <w:contextualSpacing/>
        <w:rPr>
          <w:rFonts w:eastAsia="Calibri"/>
        </w:rPr>
      </w:pPr>
    </w:p>
    <w:p w14:paraId="1ACB4470" w14:textId="77777777" w:rsidR="00D275FC" w:rsidRPr="000B3717" w:rsidRDefault="00D275FC" w:rsidP="000B3717">
      <w:pPr>
        <w:jc w:val="center"/>
        <w:rPr>
          <w:rFonts w:eastAsia="Calibri" w:cs="Tahoma"/>
          <w:bCs/>
          <w:lang w:val="es-ES" w:eastAsia="en-US"/>
        </w:rPr>
      </w:pPr>
      <w:r w:rsidRPr="000B3717">
        <w:rPr>
          <w:noProof/>
          <w:lang w:eastAsia="es-MX"/>
        </w:rPr>
        <w:drawing>
          <wp:inline distT="0" distB="0" distL="0" distR="0" wp14:anchorId="4F9E41CF" wp14:editId="054F7D77">
            <wp:extent cx="4667250" cy="1333500"/>
            <wp:effectExtent l="0" t="0" r="0"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5">
                      <a:extLst>
                        <a:ext uri="{28A0092B-C50C-407E-A947-70E740481C1C}">
                          <a14:useLocalDpi xmlns:a14="http://schemas.microsoft.com/office/drawing/2010/main" val="0"/>
                        </a:ext>
                      </a:extLst>
                    </a:blip>
                    <a:srcRect b="32787"/>
                    <a:stretch>
                      <a:fillRect/>
                    </a:stretch>
                  </pic:blipFill>
                  <pic:spPr bwMode="auto">
                    <a:xfrm>
                      <a:off x="0" y="0"/>
                      <a:ext cx="4667250" cy="1333500"/>
                    </a:xfrm>
                    <a:prstGeom prst="rect">
                      <a:avLst/>
                    </a:prstGeom>
                    <a:noFill/>
                    <a:ln>
                      <a:noFill/>
                    </a:ln>
                  </pic:spPr>
                </pic:pic>
              </a:graphicData>
            </a:graphic>
          </wp:inline>
        </w:drawing>
      </w:r>
    </w:p>
    <w:p w14:paraId="030D4645" w14:textId="77777777" w:rsidR="00D275FC" w:rsidRPr="000B3717" w:rsidRDefault="00D275FC" w:rsidP="000B3717">
      <w:pPr>
        <w:jc w:val="center"/>
        <w:rPr>
          <w:rFonts w:eastAsia="Calibri" w:cs="Tahoma"/>
          <w:bCs/>
          <w:lang w:val="es-ES" w:eastAsia="en-US"/>
        </w:rPr>
      </w:pPr>
    </w:p>
    <w:p w14:paraId="2F4D86C8" w14:textId="77777777" w:rsidR="00D275FC" w:rsidRPr="000B3717" w:rsidRDefault="00D275FC" w:rsidP="000B3717">
      <w:pPr>
        <w:tabs>
          <w:tab w:val="left" w:pos="284"/>
        </w:tabs>
        <w:spacing w:before="240" w:after="240"/>
        <w:contextualSpacing/>
        <w:rPr>
          <w:rFonts w:eastAsia="Calibri"/>
        </w:rPr>
      </w:pPr>
      <w:r w:rsidRPr="000B3717">
        <w:rPr>
          <w:rFonts w:eastAsia="Calibri"/>
        </w:rPr>
        <w:t>En ese contexto,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no se actualiza la clasificación, en términos del artículo 143, fracción I de la Ley de la materia.</w:t>
      </w:r>
    </w:p>
    <w:p w14:paraId="4C386599" w14:textId="77777777" w:rsidR="00D275FC" w:rsidRPr="000B3717" w:rsidRDefault="00D275FC" w:rsidP="000B3717">
      <w:pPr>
        <w:tabs>
          <w:tab w:val="left" w:pos="284"/>
        </w:tabs>
        <w:spacing w:before="240" w:after="240"/>
        <w:contextualSpacing/>
        <w:rPr>
          <w:rFonts w:eastAsia="Calibri"/>
        </w:rPr>
      </w:pPr>
    </w:p>
    <w:p w14:paraId="2A9E7F3E" w14:textId="77777777" w:rsidR="00D275FC" w:rsidRPr="000B3717" w:rsidRDefault="00D275FC" w:rsidP="000B3717">
      <w:pPr>
        <w:numPr>
          <w:ilvl w:val="0"/>
          <w:numId w:val="12"/>
        </w:numPr>
        <w:spacing w:before="100" w:beforeAutospacing="1" w:after="100" w:afterAutospacing="1" w:line="240" w:lineRule="auto"/>
        <w:ind w:right="-91"/>
        <w:contextualSpacing/>
        <w:rPr>
          <w:rFonts w:eastAsia="Calibri" w:cs="Tahoma"/>
          <w:b/>
          <w:bCs/>
          <w:lang w:val="es-ES" w:eastAsia="en-US"/>
        </w:rPr>
      </w:pPr>
      <w:r w:rsidRPr="000B3717">
        <w:rPr>
          <w:rFonts w:eastAsia="Calibri" w:cs="Tahoma"/>
          <w:b/>
          <w:bCs/>
          <w:lang w:val="es-ES" w:eastAsia="en-US"/>
        </w:rPr>
        <w:t>Cadenas originales y sellos.</w:t>
      </w:r>
    </w:p>
    <w:p w14:paraId="1D842D24" w14:textId="77777777" w:rsidR="00D275FC" w:rsidRPr="000B3717" w:rsidRDefault="00D275FC" w:rsidP="000B3717">
      <w:pPr>
        <w:spacing w:before="100" w:beforeAutospacing="1" w:after="100" w:afterAutospacing="1"/>
        <w:ind w:left="720" w:right="-91"/>
        <w:contextualSpacing/>
        <w:rPr>
          <w:rFonts w:eastAsia="Calibri" w:cs="Tahoma"/>
          <w:b/>
          <w:bCs/>
          <w:lang w:val="es-ES" w:eastAsia="en-US"/>
        </w:rPr>
      </w:pPr>
    </w:p>
    <w:p w14:paraId="72C479B8" w14:textId="77777777" w:rsidR="00D275FC" w:rsidRPr="000B3717" w:rsidRDefault="00D275FC" w:rsidP="000B3717">
      <w:pPr>
        <w:tabs>
          <w:tab w:val="left" w:pos="284"/>
        </w:tabs>
        <w:spacing w:before="240" w:after="240"/>
        <w:contextualSpacing/>
        <w:rPr>
          <w:rFonts w:eastAsia="Calibri"/>
        </w:rPr>
      </w:pPr>
      <w:r w:rsidRPr="000B3717">
        <w:rPr>
          <w:rFonts w:eastAsia="Calibri"/>
        </w:rPr>
        <w:t xml:space="preserve">Las cadenas originales y sellos que se agregan a las facturas, tienen una secuencia de generación, determinados con base en el ANEXO 20 de la Segunda Resolución de </w:t>
      </w:r>
      <w:r w:rsidRPr="000B3717">
        <w:rPr>
          <w:rFonts w:eastAsia="Calibri"/>
        </w:rPr>
        <w:lastRenderedPageBreak/>
        <w:t>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767E7829" w14:textId="77777777" w:rsidR="00D275FC" w:rsidRPr="000B3717" w:rsidRDefault="00D275FC" w:rsidP="000B3717">
      <w:pPr>
        <w:spacing w:before="100" w:beforeAutospacing="1" w:after="100" w:afterAutospacing="1"/>
        <w:ind w:left="851" w:right="992"/>
        <w:rPr>
          <w:rFonts w:eastAsia="Calibri" w:cs="Tahoma"/>
          <w:bCs/>
          <w:i/>
          <w:lang w:val="es-ES" w:eastAsia="en-US"/>
        </w:rPr>
      </w:pPr>
      <w:r w:rsidRPr="000B3717">
        <w:rPr>
          <w:rFonts w:eastAsia="Calibri" w:cs="Tahoma"/>
          <w:bCs/>
          <w:i/>
          <w:lang w:val="es-ES" w:eastAsia="en-US"/>
        </w:rPr>
        <w:t>“Elementos utilizados en la generación de Sellos Digitales:</w:t>
      </w:r>
    </w:p>
    <w:p w14:paraId="6CD4A185" w14:textId="77777777" w:rsidR="00D275FC" w:rsidRPr="000B3717" w:rsidRDefault="00D275FC" w:rsidP="000B3717">
      <w:pPr>
        <w:spacing w:before="100" w:beforeAutospacing="1" w:after="100" w:afterAutospacing="1"/>
        <w:ind w:left="851" w:right="992"/>
        <w:rPr>
          <w:rFonts w:eastAsia="Calibri" w:cs="Tahoma"/>
          <w:bCs/>
          <w:i/>
          <w:lang w:val="es-ES" w:eastAsia="en-US"/>
        </w:rPr>
      </w:pPr>
      <w:r w:rsidRPr="000B3717">
        <w:rPr>
          <w:rFonts w:eastAsia="Calibri" w:cs="Tahoma"/>
          <w:bCs/>
          <w:i/>
          <w:lang w:val="es-ES" w:eastAsia="en-US"/>
        </w:rPr>
        <w:t>•</w:t>
      </w:r>
      <w:r w:rsidRPr="000B3717">
        <w:rPr>
          <w:rFonts w:eastAsia="Calibri" w:cs="Tahoma"/>
          <w:bCs/>
          <w:i/>
          <w:lang w:val="es-ES" w:eastAsia="en-US"/>
        </w:rPr>
        <w:tab/>
        <w:t>Cadena Original, el elemento a sellar, en este caso de un comprobante fiscal digital a través de Internet.</w:t>
      </w:r>
    </w:p>
    <w:p w14:paraId="3445696C" w14:textId="77777777" w:rsidR="00D275FC" w:rsidRPr="000B3717" w:rsidRDefault="00D275FC" w:rsidP="000B3717">
      <w:pPr>
        <w:spacing w:before="100" w:beforeAutospacing="1" w:after="100" w:afterAutospacing="1"/>
        <w:ind w:left="851" w:right="992"/>
        <w:rPr>
          <w:rFonts w:eastAsia="Calibri" w:cs="Tahoma"/>
          <w:bCs/>
          <w:i/>
          <w:lang w:val="es-ES" w:eastAsia="en-US"/>
        </w:rPr>
      </w:pPr>
      <w:r w:rsidRPr="000B3717">
        <w:rPr>
          <w:rFonts w:eastAsia="Calibri" w:cs="Tahoma"/>
          <w:bCs/>
          <w:i/>
          <w:lang w:val="es-ES" w:eastAsia="en-US"/>
        </w:rPr>
        <w:t>•</w:t>
      </w:r>
      <w:r w:rsidRPr="000B3717">
        <w:rPr>
          <w:rFonts w:eastAsia="Calibri" w:cs="Tahoma"/>
          <w:bCs/>
          <w:i/>
          <w:lang w:val="es-ES" w:eastAsia="en-US"/>
        </w:rPr>
        <w:tab/>
        <w:t>Certificado de Sello Digital y su correspondiente clave privada.</w:t>
      </w:r>
    </w:p>
    <w:p w14:paraId="65EA22AF" w14:textId="77777777" w:rsidR="00D275FC" w:rsidRPr="000B3717" w:rsidRDefault="00D275FC" w:rsidP="000B3717">
      <w:pPr>
        <w:spacing w:before="100" w:beforeAutospacing="1" w:after="100" w:afterAutospacing="1"/>
        <w:ind w:left="851" w:right="992"/>
        <w:rPr>
          <w:rFonts w:eastAsia="Calibri" w:cs="Tahoma"/>
          <w:bCs/>
          <w:i/>
          <w:lang w:val="es-ES" w:eastAsia="en-US"/>
        </w:rPr>
      </w:pPr>
      <w:r w:rsidRPr="000B3717">
        <w:rPr>
          <w:rFonts w:eastAsia="Calibri" w:cs="Tahoma"/>
          <w:bCs/>
          <w:i/>
          <w:lang w:val="es-ES" w:eastAsia="en-US"/>
        </w:rPr>
        <w:t>•</w:t>
      </w:r>
      <w:r w:rsidRPr="000B3717">
        <w:rPr>
          <w:rFonts w:eastAsia="Calibri" w:cs="Tahoma"/>
          <w:bCs/>
          <w:i/>
          <w:lang w:val="es-ES" w:eastAsia="en-US"/>
        </w:rPr>
        <w:tab/>
        <w:t>Algoritmos de criptografía de clave pública para firma electrónica avanzada.</w:t>
      </w:r>
    </w:p>
    <w:p w14:paraId="6241743B" w14:textId="77777777" w:rsidR="00D275FC" w:rsidRPr="000B3717" w:rsidRDefault="00D275FC" w:rsidP="000B3717">
      <w:pPr>
        <w:spacing w:before="100" w:beforeAutospacing="1" w:after="100" w:afterAutospacing="1"/>
        <w:ind w:left="851" w:right="992"/>
        <w:rPr>
          <w:rFonts w:eastAsia="Calibri" w:cs="Tahoma"/>
          <w:bCs/>
          <w:i/>
          <w:lang w:val="es-ES" w:eastAsia="en-US"/>
        </w:rPr>
      </w:pPr>
      <w:r w:rsidRPr="000B3717">
        <w:rPr>
          <w:rFonts w:eastAsia="Calibri" w:cs="Tahoma"/>
          <w:bCs/>
          <w:i/>
          <w:lang w:val="es-ES" w:eastAsia="en-US"/>
        </w:rPr>
        <w:t>•</w:t>
      </w:r>
      <w:r w:rsidRPr="000B3717">
        <w:rPr>
          <w:rFonts w:eastAsia="Calibri" w:cs="Tahoma"/>
          <w:bCs/>
          <w:i/>
          <w:lang w:val="es-ES" w:eastAsia="en-US"/>
        </w:rPr>
        <w:tab/>
        <w:t>Especificaciones de conversión de la firma electrónica avanzada a Base 64.</w:t>
      </w:r>
    </w:p>
    <w:p w14:paraId="0414E16A" w14:textId="77777777" w:rsidR="00D275FC" w:rsidRPr="000B3717" w:rsidRDefault="00D275FC" w:rsidP="000B3717">
      <w:pPr>
        <w:spacing w:before="100" w:beforeAutospacing="1" w:after="100" w:afterAutospacing="1"/>
        <w:ind w:left="851" w:right="992"/>
        <w:rPr>
          <w:rFonts w:eastAsia="Calibri" w:cs="Tahoma"/>
          <w:bCs/>
          <w:i/>
          <w:lang w:val="es-ES" w:eastAsia="en-US"/>
        </w:rPr>
      </w:pPr>
      <w:r w:rsidRPr="000B3717">
        <w:rPr>
          <w:rFonts w:eastAsia="Calibri" w:cs="Tahoma"/>
          <w:bCs/>
          <w:i/>
          <w:lang w:val="es-ES" w:eastAsia="en-US"/>
        </w:rPr>
        <w:t>Para la generación de sellos digitales se utiliza criptografía de clave pública aplicada a una cadena original.</w:t>
      </w:r>
    </w:p>
    <w:p w14:paraId="30185B27" w14:textId="77777777" w:rsidR="00D275FC" w:rsidRPr="000B3717" w:rsidRDefault="00D275FC" w:rsidP="000B3717">
      <w:pPr>
        <w:spacing w:before="100" w:beforeAutospacing="1" w:after="100" w:afterAutospacing="1"/>
        <w:ind w:left="851" w:right="992"/>
        <w:rPr>
          <w:rFonts w:eastAsia="Calibri" w:cs="Tahoma"/>
          <w:bCs/>
          <w:i/>
          <w:lang w:val="es-ES" w:eastAsia="en-US"/>
        </w:rPr>
      </w:pPr>
      <w:r w:rsidRPr="000B3717">
        <w:rPr>
          <w:rFonts w:eastAsia="Calibri" w:cs="Tahoma"/>
          <w:bCs/>
          <w:i/>
          <w:lang w:val="es-ES" w:eastAsia="en-US"/>
        </w:rPr>
        <w:t>Criptografía de la Clave Pública</w:t>
      </w:r>
    </w:p>
    <w:p w14:paraId="316DB120" w14:textId="77777777" w:rsidR="00D275FC" w:rsidRPr="000B3717" w:rsidRDefault="00D275FC" w:rsidP="000B3717">
      <w:pPr>
        <w:spacing w:before="100" w:beforeAutospacing="1" w:after="100" w:afterAutospacing="1"/>
        <w:ind w:left="851" w:right="992"/>
        <w:rPr>
          <w:rFonts w:eastAsia="Calibri" w:cs="Tahoma"/>
          <w:bCs/>
          <w:i/>
          <w:lang w:val="es-ES" w:eastAsia="en-US"/>
        </w:rPr>
      </w:pPr>
      <w:r w:rsidRPr="000B3717">
        <w:rPr>
          <w:rFonts w:eastAsia="Calibri" w:cs="Tahoma"/>
          <w:bCs/>
          <w:i/>
          <w:lang w:val="es-ES" w:eastAsia="en-US"/>
        </w:rPr>
        <w:t xml:space="preserve">La criptografía de Clave Pública se basa en la generación de una pareja de números muy grandes relacionados íntimamente entre sí, de tal manera que una operación de </w:t>
      </w:r>
      <w:proofErr w:type="spellStart"/>
      <w:r w:rsidRPr="000B3717">
        <w:rPr>
          <w:rFonts w:eastAsia="Calibri" w:cs="Tahoma"/>
          <w:bCs/>
          <w:i/>
          <w:lang w:val="es-ES" w:eastAsia="en-US"/>
        </w:rPr>
        <w:t>encripción</w:t>
      </w:r>
      <w:proofErr w:type="spellEnd"/>
      <w:r w:rsidRPr="000B3717">
        <w:rPr>
          <w:rFonts w:eastAsia="Calibri" w:cs="Tahoma"/>
          <w:bCs/>
          <w:i/>
          <w:lang w:val="es-ES" w:eastAsia="en-US"/>
        </w:rPr>
        <w:t xml:space="preserve"> sobre un mensaje tomando como clave de </w:t>
      </w:r>
      <w:proofErr w:type="spellStart"/>
      <w:r w:rsidRPr="000B3717">
        <w:rPr>
          <w:rFonts w:eastAsia="Calibri" w:cs="Tahoma"/>
          <w:bCs/>
          <w:i/>
          <w:lang w:val="es-ES" w:eastAsia="en-US"/>
        </w:rPr>
        <w:t>encripción</w:t>
      </w:r>
      <w:proofErr w:type="spellEnd"/>
      <w:r w:rsidRPr="000B3717">
        <w:rPr>
          <w:rFonts w:eastAsia="Calibri" w:cs="Tahoma"/>
          <w:bCs/>
          <w:i/>
          <w:lang w:val="es-ES" w:eastAsia="en-US"/>
        </w:rPr>
        <w:t xml:space="preserve"> a uno de los dos números, produce un mensaje alterado en su significado que solo puede ser devuelto a su estado original mediante la operación de </w:t>
      </w:r>
      <w:proofErr w:type="spellStart"/>
      <w:r w:rsidRPr="000B3717">
        <w:rPr>
          <w:rFonts w:eastAsia="Calibri" w:cs="Tahoma"/>
          <w:bCs/>
          <w:i/>
          <w:lang w:val="es-ES" w:eastAsia="en-US"/>
        </w:rPr>
        <w:t>desencripción</w:t>
      </w:r>
      <w:proofErr w:type="spellEnd"/>
      <w:r w:rsidRPr="000B3717">
        <w:rPr>
          <w:rFonts w:eastAsia="Calibri" w:cs="Tahoma"/>
          <w:bCs/>
          <w:i/>
          <w:lang w:val="es-ES" w:eastAsia="en-US"/>
        </w:rPr>
        <w:t xml:space="preserve"> correspondiente tomando como clave de </w:t>
      </w:r>
      <w:proofErr w:type="spellStart"/>
      <w:r w:rsidRPr="000B3717">
        <w:rPr>
          <w:rFonts w:eastAsia="Calibri" w:cs="Tahoma"/>
          <w:bCs/>
          <w:i/>
          <w:lang w:val="es-ES" w:eastAsia="en-US"/>
        </w:rPr>
        <w:t>desencripción</w:t>
      </w:r>
      <w:proofErr w:type="spellEnd"/>
      <w:r w:rsidRPr="000B3717">
        <w:rPr>
          <w:rFonts w:eastAsia="Calibri" w:cs="Tahoma"/>
          <w:bCs/>
          <w:i/>
          <w:lang w:val="es-ES" w:eastAsia="en-US"/>
        </w:rPr>
        <w:t xml:space="preserve"> al otro número de la pareja.”</w:t>
      </w:r>
    </w:p>
    <w:p w14:paraId="5830D6D0" w14:textId="77777777" w:rsidR="00D275FC" w:rsidRPr="000B3717" w:rsidRDefault="00D275FC" w:rsidP="000B3717">
      <w:pPr>
        <w:spacing w:before="100" w:beforeAutospacing="1"/>
        <w:rPr>
          <w:rFonts w:eastAsia="Calibri"/>
        </w:rPr>
      </w:pPr>
    </w:p>
    <w:p w14:paraId="64ADE09F" w14:textId="77777777" w:rsidR="00D275FC" w:rsidRPr="000B3717" w:rsidRDefault="00D275FC" w:rsidP="000B3717">
      <w:pPr>
        <w:rPr>
          <w:rFonts w:eastAsia="Calibri" w:cs="Tahoma"/>
          <w:bCs/>
          <w:i/>
          <w:lang w:val="es-ES" w:eastAsia="en-US"/>
        </w:rPr>
      </w:pPr>
      <w:r w:rsidRPr="000B3717">
        <w:rPr>
          <w:rFonts w:eastAsia="Calibri"/>
        </w:rPr>
        <w:lastRenderedPageBreak/>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7D8F25A6" w14:textId="77777777" w:rsidR="00D275FC" w:rsidRPr="000B3717" w:rsidRDefault="00D275FC" w:rsidP="000B3717">
      <w:pPr>
        <w:tabs>
          <w:tab w:val="left" w:pos="284"/>
        </w:tabs>
        <w:spacing w:before="240" w:after="240"/>
        <w:contextualSpacing/>
        <w:rPr>
          <w:rFonts w:eastAsia="Calibri"/>
        </w:rPr>
      </w:pPr>
    </w:p>
    <w:p w14:paraId="77A4551A" w14:textId="77777777" w:rsidR="00D275FC" w:rsidRPr="000B3717" w:rsidRDefault="00D275FC" w:rsidP="000B3717">
      <w:pPr>
        <w:numPr>
          <w:ilvl w:val="0"/>
          <w:numId w:val="12"/>
        </w:numPr>
        <w:spacing w:before="100" w:beforeAutospacing="1" w:after="100" w:afterAutospacing="1" w:line="240" w:lineRule="auto"/>
        <w:contextualSpacing/>
        <w:rPr>
          <w:rFonts w:eastAsia="Calibri" w:cs="Tahoma"/>
          <w:b/>
          <w:bCs/>
          <w:lang w:val="es-ES" w:eastAsia="en-US"/>
        </w:rPr>
      </w:pPr>
      <w:r w:rsidRPr="000B3717">
        <w:rPr>
          <w:rFonts w:eastAsia="Calibri" w:cs="Tahoma"/>
          <w:b/>
          <w:bCs/>
          <w:lang w:val="es-ES" w:eastAsia="en-US"/>
        </w:rPr>
        <w:t xml:space="preserve">Número de serie del emisor y/o CSD y </w:t>
      </w:r>
      <w:r w:rsidRPr="000B3717">
        <w:rPr>
          <w:b/>
          <w:noProof/>
        </w:rPr>
        <w:t>número de certificado del SAT</w:t>
      </w:r>
    </w:p>
    <w:p w14:paraId="7661B3C3" w14:textId="77777777" w:rsidR="00D275FC" w:rsidRPr="000B3717" w:rsidRDefault="00D275FC" w:rsidP="000B3717">
      <w:pPr>
        <w:tabs>
          <w:tab w:val="left" w:pos="284"/>
        </w:tabs>
        <w:spacing w:before="240" w:after="240"/>
        <w:contextualSpacing/>
        <w:rPr>
          <w:rFonts w:eastAsia="Calibri" w:cs="Tahoma"/>
          <w:b/>
          <w:bCs/>
          <w:lang w:val="es-ES" w:eastAsia="en-US"/>
        </w:rPr>
      </w:pPr>
    </w:p>
    <w:p w14:paraId="1D3A40A5" w14:textId="77777777" w:rsidR="00D275FC" w:rsidRPr="000B3717" w:rsidRDefault="00D275FC" w:rsidP="000B3717">
      <w:pPr>
        <w:tabs>
          <w:tab w:val="left" w:pos="284"/>
        </w:tabs>
        <w:spacing w:before="240" w:after="240"/>
        <w:contextualSpacing/>
        <w:rPr>
          <w:rFonts w:eastAsia="Calibri"/>
        </w:rPr>
      </w:pPr>
      <w:r w:rsidRPr="000B3717">
        <w:rPr>
          <w:rFonts w:eastAsia="Calibri"/>
        </w:rPr>
        <w:t xml:space="preserve">Por otra parte, por lo que hace al número de serie de los certificados de Sello Digitales del emisor y del Servicio de Administración Tributaria,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en la página </w:t>
      </w:r>
      <w:hyperlink r:id="rId16" w:history="1">
        <w:r w:rsidRPr="000B3717">
          <w:rPr>
            <w:rFonts w:eastAsia="Calibri"/>
          </w:rPr>
          <w:t>https://portalanterior.ine.mx/archivos2/tutoriales/sistemas/ApoyoInstitucional/SIF/docs/candidatos/folioFiscalFactura.pdf</w:t>
        </w:r>
      </w:hyperlink>
      <w:r w:rsidRPr="000B3717">
        <w:rPr>
          <w:rFonts w:eastAsia="Calibri"/>
        </w:rPr>
        <w:t>, en la cual se advierte que únicamente se encuentra conformado por números, se muestra a continuación:</w:t>
      </w:r>
    </w:p>
    <w:p w14:paraId="5ECEB6B5" w14:textId="77777777" w:rsidR="00D275FC" w:rsidRPr="000B3717" w:rsidRDefault="00D275FC" w:rsidP="000B3717">
      <w:pPr>
        <w:tabs>
          <w:tab w:val="left" w:pos="284"/>
        </w:tabs>
        <w:spacing w:before="240" w:after="240"/>
        <w:contextualSpacing/>
        <w:rPr>
          <w:rFonts w:eastAsia="Calibri"/>
        </w:rPr>
      </w:pPr>
    </w:p>
    <w:p w14:paraId="3B442382" w14:textId="77777777" w:rsidR="00D275FC" w:rsidRPr="000B3717" w:rsidRDefault="00D275FC" w:rsidP="000B3717">
      <w:pPr>
        <w:spacing w:before="100" w:beforeAutospacing="1" w:after="100" w:afterAutospacing="1"/>
        <w:jc w:val="center"/>
        <w:rPr>
          <w:rFonts w:eastAsia="Calibri" w:cs="Tahoma"/>
          <w:bCs/>
          <w:lang w:val="es-ES" w:eastAsia="en-US"/>
        </w:rPr>
      </w:pPr>
      <w:r w:rsidRPr="000B3717">
        <w:rPr>
          <w:noProof/>
          <w:lang w:eastAsia="es-MX"/>
        </w:rPr>
        <mc:AlternateContent>
          <mc:Choice Requires="wps">
            <w:drawing>
              <wp:anchor distT="0" distB="0" distL="114300" distR="114300" simplePos="0" relativeHeight="251659264" behindDoc="0" locked="0" layoutInCell="1" allowOverlap="1" wp14:anchorId="558CFAD9" wp14:editId="1C802EA7">
                <wp:simplePos x="0" y="0"/>
                <wp:positionH relativeFrom="column">
                  <wp:posOffset>315595</wp:posOffset>
                </wp:positionH>
                <wp:positionV relativeFrom="paragraph">
                  <wp:posOffset>837565</wp:posOffset>
                </wp:positionV>
                <wp:extent cx="3457575" cy="219075"/>
                <wp:effectExtent l="19050" t="19050" r="28575" b="28575"/>
                <wp:wrapNone/>
                <wp:docPr id="36" name="Rectángulo 3"/>
                <wp:cNvGraphicFramePr/>
                <a:graphic xmlns:a="http://schemas.openxmlformats.org/drawingml/2006/main">
                  <a:graphicData uri="http://schemas.microsoft.com/office/word/2010/wordprocessingShape">
                    <wps:wsp>
                      <wps:cNvSpPr/>
                      <wps:spPr>
                        <a:xfrm>
                          <a:off x="0" y="0"/>
                          <a:ext cx="3457575" cy="219075"/>
                        </a:xfrm>
                        <a:prstGeom prst="rect">
                          <a:avLst/>
                        </a:prstGeom>
                        <a:noFill/>
                        <a:ln w="285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2FEB2B" id="Rectángulo 3" o:spid="_x0000_s1026" style="position:absolute;margin-left:24.85pt;margin-top:65.95pt;width:272.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" filled="f" strokecolor="windowText" strokeweight="2.25pt"/>
            </w:pict>
          </mc:Fallback>
        </mc:AlternateContent>
      </w:r>
      <w:r w:rsidRPr="000B3717">
        <w:rPr>
          <w:noProof/>
          <w:lang w:eastAsia="es-MX"/>
        </w:rPr>
        <w:drawing>
          <wp:inline distT="0" distB="0" distL="0" distR="0" wp14:anchorId="7C8A6BA5" wp14:editId="655094DF">
            <wp:extent cx="5191125" cy="1009650"/>
            <wp:effectExtent l="0" t="0" r="9525" b="0"/>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91125" cy="1009650"/>
                    </a:xfrm>
                    <a:prstGeom prst="rect">
                      <a:avLst/>
                    </a:prstGeom>
                    <a:noFill/>
                    <a:ln>
                      <a:noFill/>
                    </a:ln>
                  </pic:spPr>
                </pic:pic>
              </a:graphicData>
            </a:graphic>
          </wp:inline>
        </w:drawing>
      </w:r>
    </w:p>
    <w:p w14:paraId="4012FF54" w14:textId="77777777" w:rsidR="00D275FC" w:rsidRPr="000B3717" w:rsidRDefault="00D275FC" w:rsidP="000B3717">
      <w:pPr>
        <w:spacing w:before="100" w:beforeAutospacing="1"/>
        <w:jc w:val="center"/>
        <w:rPr>
          <w:rFonts w:eastAsia="Calibri" w:cs="Tahoma"/>
          <w:bCs/>
          <w:lang w:val="es-ES" w:eastAsia="en-US"/>
        </w:rPr>
      </w:pPr>
    </w:p>
    <w:p w14:paraId="532FDB24" w14:textId="432DBA49" w:rsidR="00D275FC" w:rsidRPr="000B3717" w:rsidRDefault="00D275FC" w:rsidP="000B3717">
      <w:pPr>
        <w:tabs>
          <w:tab w:val="left" w:pos="284"/>
        </w:tabs>
        <w:spacing w:after="240"/>
        <w:contextualSpacing/>
        <w:rPr>
          <w:rFonts w:eastAsia="Calibri"/>
        </w:rPr>
      </w:pPr>
      <w:r w:rsidRPr="000B3717">
        <w:rPr>
          <w:rFonts w:eastAsia="Calibri"/>
        </w:rPr>
        <w:t xml:space="preserve">Como se logra observar, los números de serie del certificado de sello digital no contiene datos personales y con dichos dígitos tampoco se puede obtener información de carácter </w:t>
      </w:r>
      <w:r w:rsidRPr="000B3717">
        <w:rPr>
          <w:rFonts w:eastAsia="Calibri"/>
        </w:rPr>
        <w:lastRenderedPageBreak/>
        <w:t>confidencial, por lo que, tampoco actualizan la causal de clasificación, establecida en el artículo 143, fracción I, de la Ley de Transparencia y Acceso a la Información Pública del Estado de México y Municipios. Máxime que permite corroborar la legitimidad a los CDFI, pues amparan la utilización de los certificados de sellos digitales válidos.</w:t>
      </w:r>
    </w:p>
    <w:p w14:paraId="0B434039" w14:textId="77777777" w:rsidR="00D275FC" w:rsidRPr="000B3717" w:rsidRDefault="00D275FC" w:rsidP="000B3717"/>
    <w:p w14:paraId="222DB858" w14:textId="7BE645C8" w:rsidR="009C4EA5" w:rsidRPr="000B3717" w:rsidRDefault="009C4EA5" w:rsidP="000B3717">
      <w:pPr>
        <w:rPr>
          <w:lang w:eastAsia="es-CO"/>
        </w:rPr>
      </w:pPr>
      <w:r w:rsidRPr="000B3717">
        <w:t xml:space="preserve">Consecuentemente, se destaca que la versión pública que elabore </w:t>
      </w:r>
      <w:r w:rsidRPr="000B3717">
        <w:rPr>
          <w:b/>
        </w:rPr>
        <w:t>EL SUJETO OBLIGADO</w:t>
      </w:r>
      <w:r w:rsidRPr="000B3717">
        <w:t xml:space="preserve"> debe cumplir con las formalidades exigidas en la Ley, por lo que para tal efecto emitirá el </w:t>
      </w:r>
      <w:r w:rsidRPr="000B3717">
        <w:rPr>
          <w:b/>
        </w:rPr>
        <w:t>Acuerdo del Comité de Transparencia</w:t>
      </w:r>
      <w:r w:rsidRPr="000B3717">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0B3717">
        <w:rPr>
          <w:lang w:eastAsia="es-CO"/>
        </w:rPr>
        <w:t xml:space="preserve">,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w:t>
      </w:r>
      <w:r w:rsidR="00D81B72" w:rsidRPr="000B3717">
        <w:rPr>
          <w:lang w:eastAsia="es-CO"/>
        </w:rPr>
        <w:t>la información del solicitante.</w:t>
      </w:r>
    </w:p>
    <w:p w14:paraId="3EEA7B04" w14:textId="77777777" w:rsidR="009C4EA5" w:rsidRPr="000B3717" w:rsidRDefault="009C4EA5" w:rsidP="000B3717">
      <w:pPr>
        <w:rPr>
          <w:b/>
          <w:szCs w:val="22"/>
        </w:rPr>
      </w:pPr>
    </w:p>
    <w:p w14:paraId="76B33E02" w14:textId="12C010C3" w:rsidR="000432B6" w:rsidRPr="000B3717" w:rsidRDefault="00245E4A" w:rsidP="000B3717">
      <w:pPr>
        <w:pStyle w:val="Ttulo3"/>
        <w:spacing w:line="360" w:lineRule="auto"/>
        <w:rPr>
          <w:szCs w:val="22"/>
        </w:rPr>
      </w:pPr>
      <w:bookmarkStart w:id="38" w:name="_heading=h.1pxezwc" w:colFirst="0" w:colLast="0"/>
      <w:bookmarkStart w:id="39" w:name="_Toc178852878"/>
      <w:bookmarkStart w:id="40" w:name="_Toc181272206"/>
      <w:bookmarkEnd w:id="38"/>
      <w:r w:rsidRPr="000B3717">
        <w:rPr>
          <w:szCs w:val="22"/>
        </w:rPr>
        <w:t>e</w:t>
      </w:r>
      <w:r w:rsidR="000432B6" w:rsidRPr="000B3717">
        <w:rPr>
          <w:szCs w:val="22"/>
        </w:rPr>
        <w:t>) Conclusión.</w:t>
      </w:r>
      <w:bookmarkEnd w:id="39"/>
      <w:bookmarkEnd w:id="40"/>
    </w:p>
    <w:p w14:paraId="555ECDD5" w14:textId="44CD07AB" w:rsidR="000432B6" w:rsidRPr="000B3717" w:rsidRDefault="000432B6" w:rsidP="000B3717">
      <w:pPr>
        <w:widowControl w:val="0"/>
        <w:tabs>
          <w:tab w:val="left" w:pos="1701"/>
          <w:tab w:val="left" w:pos="1843"/>
        </w:tabs>
        <w:rPr>
          <w:szCs w:val="22"/>
        </w:rPr>
      </w:pPr>
      <w:r w:rsidRPr="000B3717">
        <w:rPr>
          <w:szCs w:val="22"/>
        </w:rPr>
        <w:t xml:space="preserve">En razón de lo anteriormente expuesto, </w:t>
      </w:r>
      <w:r w:rsidR="000F3B25" w:rsidRPr="000B3717">
        <w:rPr>
          <w:szCs w:val="22"/>
        </w:rPr>
        <w:t>este</w:t>
      </w:r>
      <w:r w:rsidRPr="000B3717">
        <w:rPr>
          <w:szCs w:val="22"/>
        </w:rPr>
        <w:t xml:space="preserve"> Instituto estima que las razones o motivos de inconformidad hechos valer por </w:t>
      </w:r>
      <w:r w:rsidRPr="000B3717">
        <w:rPr>
          <w:b/>
          <w:szCs w:val="22"/>
        </w:rPr>
        <w:t>EL RECURRENTE</w:t>
      </w:r>
      <w:r w:rsidRPr="000B3717">
        <w:rPr>
          <w:szCs w:val="22"/>
        </w:rPr>
        <w:t xml:space="preserve"> devienen </w:t>
      </w:r>
      <w:r w:rsidR="009C4EA5" w:rsidRPr="000B3717">
        <w:rPr>
          <w:b/>
          <w:szCs w:val="22"/>
        </w:rPr>
        <w:t>fundadas</w:t>
      </w:r>
      <w:r w:rsidRPr="000B3717">
        <w:rPr>
          <w:szCs w:val="22"/>
        </w:rPr>
        <w:t xml:space="preserve">; motivo por el cual, este Órgano Garante determina </w:t>
      </w:r>
      <w:r w:rsidR="00D81B72" w:rsidRPr="000B3717">
        <w:rPr>
          <w:b/>
          <w:szCs w:val="22"/>
        </w:rPr>
        <w:t>REVOCAR</w:t>
      </w:r>
      <w:r w:rsidRPr="000B3717">
        <w:rPr>
          <w:b/>
          <w:szCs w:val="22"/>
        </w:rPr>
        <w:t xml:space="preserve"> </w:t>
      </w:r>
      <w:r w:rsidRPr="000B3717">
        <w:rPr>
          <w:szCs w:val="22"/>
        </w:rPr>
        <w:t>la</w:t>
      </w:r>
      <w:r w:rsidR="003D15A5" w:rsidRPr="000B3717">
        <w:rPr>
          <w:szCs w:val="22"/>
        </w:rPr>
        <w:t>s</w:t>
      </w:r>
      <w:r w:rsidRPr="000B3717">
        <w:rPr>
          <w:szCs w:val="22"/>
        </w:rPr>
        <w:t xml:space="preserve"> respuesta</w:t>
      </w:r>
      <w:r w:rsidR="003D15A5" w:rsidRPr="000B3717">
        <w:rPr>
          <w:szCs w:val="22"/>
        </w:rPr>
        <w:t>s</w:t>
      </w:r>
      <w:r w:rsidRPr="000B3717">
        <w:rPr>
          <w:szCs w:val="22"/>
        </w:rPr>
        <w:t xml:space="preserve"> otorgada</w:t>
      </w:r>
      <w:r w:rsidR="003D15A5" w:rsidRPr="000B3717">
        <w:rPr>
          <w:szCs w:val="22"/>
        </w:rPr>
        <w:t>s</w:t>
      </w:r>
      <w:r w:rsidRPr="000B3717">
        <w:rPr>
          <w:szCs w:val="22"/>
        </w:rPr>
        <w:t xml:space="preserve"> por </w:t>
      </w:r>
      <w:r w:rsidRPr="000B3717">
        <w:rPr>
          <w:b/>
          <w:szCs w:val="22"/>
        </w:rPr>
        <w:t xml:space="preserve">EL SUJETO OBLIGADO, </w:t>
      </w:r>
      <w:r w:rsidRPr="000B3717">
        <w:rPr>
          <w:szCs w:val="22"/>
        </w:rPr>
        <w:t>en términos del artículo 186, fracción II de la Ley de Transparencia y Acceso a la Información Pública del Estado de México y Municipios por las razones expuestas en el presente considerando.</w:t>
      </w:r>
    </w:p>
    <w:p w14:paraId="19E29F0D" w14:textId="77777777" w:rsidR="000432B6" w:rsidRPr="000B3717" w:rsidRDefault="000432B6" w:rsidP="000B3717">
      <w:pPr>
        <w:ind w:right="-93"/>
        <w:rPr>
          <w:szCs w:val="22"/>
        </w:rPr>
      </w:pPr>
      <w:r w:rsidRPr="000B3717">
        <w:rPr>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FDDAD36" w14:textId="77777777" w:rsidR="000B3717" w:rsidRPr="000B3717" w:rsidRDefault="000B3717" w:rsidP="000B3717">
      <w:pPr>
        <w:rPr>
          <w:szCs w:val="22"/>
        </w:rPr>
      </w:pPr>
    </w:p>
    <w:p w14:paraId="5EEF601D" w14:textId="1D2E74F9" w:rsidR="000432B6" w:rsidRPr="000B3717" w:rsidRDefault="000432B6" w:rsidP="000B3717">
      <w:pPr>
        <w:pStyle w:val="Ttulo1"/>
        <w:rPr>
          <w:szCs w:val="22"/>
        </w:rPr>
      </w:pPr>
      <w:bookmarkStart w:id="41" w:name="_Toc178852879"/>
      <w:bookmarkStart w:id="42" w:name="_Toc181272207"/>
      <w:r w:rsidRPr="000B3717">
        <w:rPr>
          <w:szCs w:val="22"/>
        </w:rPr>
        <w:t>RESUELVE</w:t>
      </w:r>
      <w:bookmarkEnd w:id="41"/>
      <w:bookmarkEnd w:id="42"/>
    </w:p>
    <w:p w14:paraId="20471513" w14:textId="77777777" w:rsidR="000432B6" w:rsidRPr="000B3717" w:rsidRDefault="000432B6" w:rsidP="000B3717">
      <w:pPr>
        <w:ind w:right="113"/>
        <w:rPr>
          <w:b/>
          <w:szCs w:val="22"/>
        </w:rPr>
      </w:pPr>
    </w:p>
    <w:p w14:paraId="1B85066B" w14:textId="09D652AD" w:rsidR="003D15A5" w:rsidRPr="000B3717" w:rsidRDefault="000432B6" w:rsidP="000B3717">
      <w:pPr>
        <w:widowControl w:val="0"/>
        <w:rPr>
          <w:szCs w:val="22"/>
        </w:rPr>
      </w:pPr>
      <w:r w:rsidRPr="000B3717">
        <w:rPr>
          <w:b/>
          <w:szCs w:val="22"/>
        </w:rPr>
        <w:t>PRIMERO.</w:t>
      </w:r>
      <w:r w:rsidRPr="000B3717">
        <w:rPr>
          <w:szCs w:val="22"/>
        </w:rPr>
        <w:t xml:space="preserve"> Se </w:t>
      </w:r>
      <w:r w:rsidR="00D81B72" w:rsidRPr="000B3717">
        <w:rPr>
          <w:b/>
          <w:szCs w:val="22"/>
        </w:rPr>
        <w:t>REVOCA</w:t>
      </w:r>
      <w:r w:rsidRPr="000B3717">
        <w:rPr>
          <w:szCs w:val="22"/>
        </w:rPr>
        <w:t xml:space="preserve"> la respuesta entregada por el </w:t>
      </w:r>
      <w:r w:rsidRPr="000B3717">
        <w:rPr>
          <w:b/>
          <w:szCs w:val="22"/>
        </w:rPr>
        <w:t>SUJETO OBLIGADO</w:t>
      </w:r>
      <w:r w:rsidRPr="000B3717">
        <w:rPr>
          <w:szCs w:val="22"/>
        </w:rPr>
        <w:t xml:space="preserve"> en la</w:t>
      </w:r>
      <w:r w:rsidR="003D15A5" w:rsidRPr="000B3717">
        <w:rPr>
          <w:szCs w:val="22"/>
        </w:rPr>
        <w:t>s</w:t>
      </w:r>
      <w:r w:rsidRPr="000B3717">
        <w:rPr>
          <w:szCs w:val="22"/>
        </w:rPr>
        <w:t xml:space="preserve"> solicitud</w:t>
      </w:r>
      <w:r w:rsidR="003D15A5" w:rsidRPr="000B3717">
        <w:rPr>
          <w:szCs w:val="22"/>
        </w:rPr>
        <w:t>es</w:t>
      </w:r>
      <w:r w:rsidRPr="000B3717">
        <w:rPr>
          <w:szCs w:val="22"/>
        </w:rPr>
        <w:t xml:space="preserve"> de información </w:t>
      </w:r>
      <w:r w:rsidR="00C033D2" w:rsidRPr="000B3717">
        <w:rPr>
          <w:b/>
          <w:szCs w:val="22"/>
        </w:rPr>
        <w:t>00088</w:t>
      </w:r>
      <w:r w:rsidR="00D81B72" w:rsidRPr="000B3717">
        <w:rPr>
          <w:b/>
          <w:szCs w:val="22"/>
        </w:rPr>
        <w:t>/TEZOYUCA/IP/2024</w:t>
      </w:r>
      <w:r w:rsidR="003D15A5" w:rsidRPr="000B3717">
        <w:rPr>
          <w:b/>
          <w:szCs w:val="22"/>
        </w:rPr>
        <w:t xml:space="preserve"> y </w:t>
      </w:r>
      <w:r w:rsidR="00D81B72" w:rsidRPr="000B3717">
        <w:rPr>
          <w:rFonts w:cs="Tahoma"/>
          <w:b/>
          <w:bCs/>
          <w:szCs w:val="22"/>
        </w:rPr>
        <w:t>0008</w:t>
      </w:r>
      <w:r w:rsidR="00C033D2" w:rsidRPr="000B3717">
        <w:rPr>
          <w:rFonts w:cs="Tahoma"/>
          <w:b/>
          <w:bCs/>
          <w:szCs w:val="22"/>
        </w:rPr>
        <w:t>9</w:t>
      </w:r>
      <w:r w:rsidR="00D81B72" w:rsidRPr="000B3717">
        <w:rPr>
          <w:rFonts w:cs="Tahoma"/>
          <w:b/>
          <w:bCs/>
          <w:szCs w:val="22"/>
        </w:rPr>
        <w:t>/TEZOYUCA/IP/2024</w:t>
      </w:r>
      <w:r w:rsidRPr="000B3717">
        <w:rPr>
          <w:szCs w:val="22"/>
        </w:rPr>
        <w:t xml:space="preserve">, por resultar </w:t>
      </w:r>
      <w:r w:rsidR="009C4EA5" w:rsidRPr="000B3717">
        <w:rPr>
          <w:b/>
          <w:szCs w:val="22"/>
        </w:rPr>
        <w:t>PARCIALMENTE</w:t>
      </w:r>
      <w:r w:rsidR="009C4EA5" w:rsidRPr="000B3717">
        <w:rPr>
          <w:szCs w:val="22"/>
        </w:rPr>
        <w:t xml:space="preserve"> </w:t>
      </w:r>
      <w:r w:rsidRPr="000B3717">
        <w:rPr>
          <w:b/>
          <w:szCs w:val="22"/>
        </w:rPr>
        <w:t>INFUNDADAS</w:t>
      </w:r>
      <w:r w:rsidRPr="000B3717">
        <w:rPr>
          <w:szCs w:val="22"/>
        </w:rPr>
        <w:t xml:space="preserve"> las razones o motivos de inconformidad hechos valer por </w:t>
      </w:r>
      <w:r w:rsidRPr="000B3717">
        <w:rPr>
          <w:b/>
          <w:szCs w:val="22"/>
        </w:rPr>
        <w:t>LA PARTE RECURRENTE</w:t>
      </w:r>
      <w:r w:rsidRPr="000B3717">
        <w:rPr>
          <w:szCs w:val="22"/>
        </w:rPr>
        <w:t xml:space="preserve"> en el Recurso de Revisión </w:t>
      </w:r>
      <w:r w:rsidR="003D15A5" w:rsidRPr="000B3717">
        <w:rPr>
          <w:b/>
          <w:szCs w:val="22"/>
        </w:rPr>
        <w:t>0</w:t>
      </w:r>
      <w:r w:rsidR="00D81B72" w:rsidRPr="000B3717">
        <w:rPr>
          <w:b/>
          <w:szCs w:val="22"/>
        </w:rPr>
        <w:t>6032</w:t>
      </w:r>
      <w:r w:rsidRPr="000B3717">
        <w:rPr>
          <w:b/>
          <w:szCs w:val="22"/>
        </w:rPr>
        <w:t>/INFOEM/IP/RR/2024</w:t>
      </w:r>
      <w:r w:rsidR="003D15A5" w:rsidRPr="000B3717">
        <w:rPr>
          <w:b/>
          <w:szCs w:val="22"/>
        </w:rPr>
        <w:t xml:space="preserve"> </w:t>
      </w:r>
      <w:r w:rsidR="003D15A5" w:rsidRPr="000B3717">
        <w:rPr>
          <w:szCs w:val="22"/>
        </w:rPr>
        <w:t>y</w:t>
      </w:r>
      <w:r w:rsidR="00D81B72" w:rsidRPr="000B3717">
        <w:rPr>
          <w:b/>
          <w:szCs w:val="22"/>
        </w:rPr>
        <w:t xml:space="preserve"> 06033</w:t>
      </w:r>
      <w:r w:rsidR="003D15A5" w:rsidRPr="000B3717">
        <w:rPr>
          <w:b/>
          <w:szCs w:val="22"/>
        </w:rPr>
        <w:t>/INFOEM/IP/RR/2024</w:t>
      </w:r>
      <w:r w:rsidRPr="000B3717">
        <w:rPr>
          <w:b/>
          <w:szCs w:val="22"/>
        </w:rPr>
        <w:t xml:space="preserve"> </w:t>
      </w:r>
      <w:r w:rsidRPr="000B3717">
        <w:rPr>
          <w:szCs w:val="22"/>
        </w:rPr>
        <w:t xml:space="preserve">en términos del considerando </w:t>
      </w:r>
      <w:r w:rsidRPr="000B3717">
        <w:rPr>
          <w:b/>
          <w:szCs w:val="22"/>
        </w:rPr>
        <w:t>SEGUNDO</w:t>
      </w:r>
      <w:r w:rsidR="003D15A5" w:rsidRPr="000B3717">
        <w:rPr>
          <w:szCs w:val="22"/>
        </w:rPr>
        <w:t xml:space="preserve"> de la presente Resolución.</w:t>
      </w:r>
    </w:p>
    <w:p w14:paraId="5953F117" w14:textId="77777777" w:rsidR="003D15A5" w:rsidRPr="000B3717" w:rsidRDefault="003D15A5" w:rsidP="000B3717">
      <w:pPr>
        <w:widowControl w:val="0"/>
        <w:rPr>
          <w:szCs w:val="22"/>
        </w:rPr>
      </w:pPr>
    </w:p>
    <w:p w14:paraId="665BF280" w14:textId="2532BEFA" w:rsidR="009C4EA5" w:rsidRPr="000B3717" w:rsidRDefault="009C4EA5" w:rsidP="000B3717">
      <w:pPr>
        <w:ind w:right="-93"/>
      </w:pPr>
      <w:r w:rsidRPr="000B3717">
        <w:rPr>
          <w:b/>
        </w:rPr>
        <w:t>SEGUNDO.</w:t>
      </w:r>
      <w:r w:rsidRPr="000B3717">
        <w:t xml:space="preserve"> Se </w:t>
      </w:r>
      <w:r w:rsidRPr="000B3717">
        <w:rPr>
          <w:b/>
        </w:rPr>
        <w:t xml:space="preserve">ORDENA </w:t>
      </w:r>
      <w:r w:rsidRPr="000B3717">
        <w:t xml:space="preserve">al </w:t>
      </w:r>
      <w:r w:rsidRPr="000B3717">
        <w:rPr>
          <w:b/>
        </w:rPr>
        <w:t>SUJETO OBLIGADO</w:t>
      </w:r>
      <w:r w:rsidRPr="000B3717">
        <w:t xml:space="preserve">, a efecto de que, entregue a través del </w:t>
      </w:r>
      <w:r w:rsidRPr="000B3717">
        <w:rPr>
          <w:b/>
        </w:rPr>
        <w:t>SAIMEX</w:t>
      </w:r>
      <w:r w:rsidRPr="000B3717">
        <w:t>,</w:t>
      </w:r>
      <w:r w:rsidR="00C033D2" w:rsidRPr="000B3717">
        <w:t xml:space="preserve"> de ser procedente en </w:t>
      </w:r>
      <w:r w:rsidR="00C033D2" w:rsidRPr="000B3717">
        <w:rPr>
          <w:b/>
        </w:rPr>
        <w:t xml:space="preserve">versión pública </w:t>
      </w:r>
      <w:r w:rsidR="00C033D2" w:rsidRPr="000B3717">
        <w:t xml:space="preserve">los documentos donde conste </w:t>
      </w:r>
      <w:r w:rsidRPr="000B3717">
        <w:t>lo siguiente:</w:t>
      </w:r>
    </w:p>
    <w:p w14:paraId="4D95F866" w14:textId="77777777" w:rsidR="009C4EA5" w:rsidRPr="000B3717" w:rsidRDefault="009C4EA5" w:rsidP="000B3717">
      <w:pPr>
        <w:ind w:right="-93"/>
        <w:rPr>
          <w:b/>
        </w:rPr>
      </w:pPr>
    </w:p>
    <w:p w14:paraId="7C794CA4" w14:textId="29A709C6" w:rsidR="00CE7A13" w:rsidRPr="000B3717" w:rsidRDefault="00C033D2" w:rsidP="000B3717">
      <w:pPr>
        <w:pStyle w:val="Puesto"/>
        <w:ind w:left="851" w:right="822"/>
        <w:rPr>
          <w:bCs/>
          <w:iCs/>
        </w:rPr>
      </w:pPr>
      <w:r w:rsidRPr="000B3717">
        <w:rPr>
          <w:rFonts w:eastAsia="Calibri"/>
          <w:lang w:eastAsia="en-US"/>
        </w:rPr>
        <w:t xml:space="preserve">El o los </w:t>
      </w:r>
      <w:r w:rsidR="00D81B72" w:rsidRPr="000B3717">
        <w:rPr>
          <w:rFonts w:eastAsia="Calibri"/>
          <w:lang w:eastAsia="en-US"/>
        </w:rPr>
        <w:t>procedimiento</w:t>
      </w:r>
      <w:r w:rsidRPr="000B3717">
        <w:rPr>
          <w:rFonts w:eastAsia="Calibri"/>
          <w:lang w:eastAsia="en-US"/>
        </w:rPr>
        <w:t>s</w:t>
      </w:r>
      <w:r w:rsidR="00D81B72" w:rsidRPr="000B3717">
        <w:rPr>
          <w:rFonts w:eastAsia="Calibri"/>
          <w:lang w:eastAsia="en-US"/>
        </w:rPr>
        <w:t xml:space="preserve"> de adquisición de papelería del </w:t>
      </w:r>
      <w:r w:rsidRPr="000B3717">
        <w:rPr>
          <w:rFonts w:eastAsia="Calibri"/>
          <w:lang w:eastAsia="en-US"/>
        </w:rPr>
        <w:t xml:space="preserve">01 de enero de </w:t>
      </w:r>
      <w:r w:rsidR="00D81B72" w:rsidRPr="000B3717">
        <w:rPr>
          <w:rFonts w:eastAsia="Calibri"/>
          <w:lang w:eastAsia="en-US"/>
        </w:rPr>
        <w:t>2022</w:t>
      </w:r>
      <w:r w:rsidR="00C656A8" w:rsidRPr="000B3717">
        <w:rPr>
          <w:rFonts w:eastAsia="Calibri"/>
          <w:lang w:eastAsia="en-US"/>
        </w:rPr>
        <w:t xml:space="preserve"> al </w:t>
      </w:r>
      <w:r w:rsidRPr="000B3717">
        <w:rPr>
          <w:rFonts w:eastAsia="Calibri"/>
          <w:lang w:eastAsia="en-US"/>
        </w:rPr>
        <w:t xml:space="preserve">11 </w:t>
      </w:r>
      <w:r w:rsidR="00C656A8" w:rsidRPr="000B3717">
        <w:rPr>
          <w:rFonts w:eastAsia="Calibri"/>
          <w:lang w:eastAsia="en-US"/>
        </w:rPr>
        <w:t>de septiembre de 2024</w:t>
      </w:r>
      <w:r w:rsidRPr="000B3717">
        <w:rPr>
          <w:rFonts w:eastAsia="Calibri"/>
          <w:lang w:eastAsia="en-US"/>
        </w:rPr>
        <w:t>, en el que se incluya el o los contrato y gastos realizados</w:t>
      </w:r>
      <w:r w:rsidR="009C4EA5" w:rsidRPr="000B3717">
        <w:rPr>
          <w:rFonts w:eastAsia="Palatino Linotype" w:cs="Palatino Linotype"/>
          <w:bCs/>
          <w:iCs/>
        </w:rPr>
        <w:t>.</w:t>
      </w:r>
    </w:p>
    <w:p w14:paraId="45853D5D" w14:textId="77777777" w:rsidR="009C4EA5" w:rsidRPr="000B3717" w:rsidRDefault="009C4EA5" w:rsidP="000B3717">
      <w:pPr>
        <w:pStyle w:val="Puesto"/>
        <w:ind w:left="851" w:right="822"/>
        <w:rPr>
          <w:rFonts w:eastAsia="Calibri"/>
          <w:bCs/>
          <w:iCs/>
          <w:lang w:eastAsia="en-US"/>
        </w:rPr>
      </w:pPr>
    </w:p>
    <w:p w14:paraId="5B9C6EE0" w14:textId="77777777" w:rsidR="00C033D2" w:rsidRDefault="00C033D2" w:rsidP="000B3717">
      <w:pPr>
        <w:spacing w:line="240" w:lineRule="auto"/>
        <w:ind w:left="851" w:right="822"/>
        <w:rPr>
          <w:rFonts w:eastAsia="Calibri" w:cs="Tahoma"/>
          <w:bCs/>
          <w:i/>
          <w:szCs w:val="22"/>
          <w:lang w:eastAsia="en-US"/>
        </w:rPr>
      </w:pPr>
      <w:r w:rsidRPr="000B3717">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56EA622" w14:textId="77777777" w:rsidR="008C440D" w:rsidRPr="000B3717" w:rsidRDefault="008C440D" w:rsidP="000B3717">
      <w:pPr>
        <w:spacing w:line="240" w:lineRule="auto"/>
        <w:ind w:left="851" w:right="822"/>
        <w:rPr>
          <w:rFonts w:eastAsia="Calibri" w:cs="Tahoma"/>
          <w:bCs/>
          <w:i/>
          <w:szCs w:val="22"/>
          <w:lang w:eastAsia="en-US"/>
        </w:rPr>
      </w:pPr>
    </w:p>
    <w:p w14:paraId="059CC3BB" w14:textId="77777777" w:rsidR="009C4EA5" w:rsidRPr="000B3717" w:rsidRDefault="009C4EA5" w:rsidP="000B3717">
      <w:r w:rsidRPr="000B3717">
        <w:rPr>
          <w:b/>
          <w:bCs/>
        </w:rPr>
        <w:t>TERCERO.</w:t>
      </w:r>
      <w:r w:rsidRPr="000B3717">
        <w:t xml:space="preserve"> </w:t>
      </w:r>
      <w:r w:rsidRPr="000B3717">
        <w:rPr>
          <w:rFonts w:eastAsia="Palatino Linotype" w:cs="Palatino Linotype"/>
          <w:b/>
          <w:lang w:eastAsia="es-MX"/>
        </w:rPr>
        <w:t xml:space="preserve">Notifíquese </w:t>
      </w:r>
      <w:r w:rsidRPr="000B3717">
        <w:rPr>
          <w:szCs w:val="17"/>
          <w:lang w:eastAsia="es-ES_tradnl"/>
        </w:rPr>
        <w:t xml:space="preserve">vía </w:t>
      </w:r>
      <w:r w:rsidRPr="000B3717">
        <w:rPr>
          <w:rFonts w:cs="Arial"/>
        </w:rPr>
        <w:t>Sistema de Acceso a la Información Mexiquense (</w:t>
      </w:r>
      <w:r w:rsidRPr="000B3717">
        <w:rPr>
          <w:rFonts w:cs="Arial"/>
          <w:b/>
          <w:bCs/>
        </w:rPr>
        <w:t>SAIMEX)</w:t>
      </w:r>
      <w:r w:rsidRPr="000B3717">
        <w:rPr>
          <w:shd w:val="clear" w:color="auto" w:fill="FFFFFF"/>
        </w:rPr>
        <w:t xml:space="preserve"> la presente resolución al Titular de la Unidad de Transparencia del Sujeto Obligado, para que </w:t>
      </w:r>
      <w:r w:rsidRPr="000B3717">
        <w:rPr>
          <w:shd w:val="clear" w:color="auto" w:fill="FFFFFF"/>
        </w:rPr>
        <w:lastRenderedPageBreak/>
        <w:t>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A0D7F40" w14:textId="77777777" w:rsidR="009C4EA5" w:rsidRPr="000B3717" w:rsidRDefault="009C4EA5" w:rsidP="000B3717"/>
    <w:p w14:paraId="22D79B6F" w14:textId="77777777" w:rsidR="009C4EA5" w:rsidRPr="000B3717" w:rsidRDefault="009C4EA5" w:rsidP="000B3717">
      <w:pPr>
        <w:rPr>
          <w:b/>
        </w:rPr>
      </w:pPr>
      <w:r w:rsidRPr="000B3717">
        <w:rPr>
          <w:b/>
        </w:rPr>
        <w:t>CUARTO.</w:t>
      </w:r>
      <w:r w:rsidRPr="000B3717">
        <w:t xml:space="preserve"> Notifíquese a </w:t>
      </w:r>
      <w:r w:rsidRPr="000B3717">
        <w:rPr>
          <w:b/>
        </w:rPr>
        <w:t>LA PARTE RECURRENTE</w:t>
      </w:r>
      <w:r w:rsidRPr="000B3717">
        <w:t xml:space="preserve"> la presente resolución vía Sistema de Acceso a la Información Mexiquense </w:t>
      </w:r>
      <w:r w:rsidRPr="000B3717">
        <w:rPr>
          <w:b/>
        </w:rPr>
        <w:t>(SAIMEX).</w:t>
      </w:r>
    </w:p>
    <w:p w14:paraId="4472BB5A" w14:textId="77777777" w:rsidR="009C4EA5" w:rsidRPr="000B3717" w:rsidRDefault="009C4EA5" w:rsidP="000B3717"/>
    <w:p w14:paraId="18F67797" w14:textId="77777777" w:rsidR="00DA0AF8" w:rsidRPr="000B3717" w:rsidRDefault="00DA0AF8" w:rsidP="000B3717">
      <w:r w:rsidRPr="000B3717">
        <w:rPr>
          <w:b/>
        </w:rPr>
        <w:t>QUINTO</w:t>
      </w:r>
      <w:r w:rsidRPr="000B3717">
        <w:t xml:space="preserve">. Hágase del conocimiento a </w:t>
      </w:r>
      <w:r w:rsidRPr="000B3717">
        <w:rPr>
          <w:b/>
        </w:rPr>
        <w:t>LA PARTE RECURRENTE</w:t>
      </w:r>
      <w:r w:rsidRPr="000B3717">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640CBEB" w14:textId="77777777" w:rsidR="009C4EA5" w:rsidRPr="000B3717" w:rsidRDefault="009C4EA5" w:rsidP="000B3717"/>
    <w:p w14:paraId="0EDBE8A4" w14:textId="77777777" w:rsidR="009C4EA5" w:rsidRDefault="009C4EA5" w:rsidP="000B3717">
      <w:r w:rsidRPr="000B3717">
        <w:rPr>
          <w:b/>
        </w:rPr>
        <w:t>SEXTO.</w:t>
      </w:r>
      <w:r w:rsidRPr="000B3717">
        <w:t xml:space="preserve"> De conformidad con el artículo 198 de la Ley de Transparencia y Acceso a la Información Pública del Estado de México y Municipios, el </w:t>
      </w:r>
      <w:r w:rsidRPr="000B3717">
        <w:rPr>
          <w:b/>
        </w:rPr>
        <w:t>SUJETO OBLIGADO</w:t>
      </w:r>
      <w:r w:rsidRPr="000B3717">
        <w:t xml:space="preserve"> podrá solicitar una ampliación de plazo de manera fundada y motivada, para el cumplimiento de la presente resolución.</w:t>
      </w:r>
    </w:p>
    <w:p w14:paraId="165726C6" w14:textId="77777777" w:rsidR="00ED50D7" w:rsidRDefault="00ED50D7" w:rsidP="000B3717"/>
    <w:p w14:paraId="28773E1E" w14:textId="77777777" w:rsidR="00ED50D7" w:rsidRPr="000B3717" w:rsidRDefault="00ED50D7" w:rsidP="000B3717">
      <w:bookmarkStart w:id="43" w:name="_GoBack"/>
      <w:bookmarkEnd w:id="43"/>
    </w:p>
    <w:p w14:paraId="631A936E" w14:textId="77777777" w:rsidR="00993CB2" w:rsidRPr="000B3717" w:rsidRDefault="00993CB2" w:rsidP="000B3717">
      <w:pPr>
        <w:rPr>
          <w:rFonts w:eastAsia="Calibri"/>
          <w:szCs w:val="22"/>
          <w:lang w:eastAsia="es-ES_tradnl"/>
        </w:rPr>
      </w:pPr>
    </w:p>
    <w:p w14:paraId="521432EE" w14:textId="7181E1A1" w:rsidR="000E03AE" w:rsidRPr="000B3717" w:rsidRDefault="000E03AE" w:rsidP="000B3717">
      <w:pPr>
        <w:rPr>
          <w:rFonts w:eastAsia="Palatino Linotype" w:cs="Palatino Linotype"/>
          <w:szCs w:val="22"/>
        </w:rPr>
      </w:pPr>
      <w:r w:rsidRPr="000B3717">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3D15A5" w:rsidRPr="000B3717">
        <w:rPr>
          <w:rFonts w:eastAsia="Palatino Linotype" w:cs="Palatino Linotype"/>
          <w:szCs w:val="22"/>
        </w:rPr>
        <w:t>OCTAVA</w:t>
      </w:r>
      <w:r w:rsidRPr="000B3717">
        <w:rPr>
          <w:rFonts w:eastAsia="Palatino Linotype" w:cs="Palatino Linotype"/>
          <w:szCs w:val="22"/>
        </w:rPr>
        <w:t xml:space="preserve"> SESIÓN ORDINARIA, CELEBRADA EL </w:t>
      </w:r>
      <w:r w:rsidR="00480DD5" w:rsidRPr="000B3717">
        <w:rPr>
          <w:rFonts w:eastAsia="Palatino Linotype" w:cs="Palatino Linotype"/>
          <w:szCs w:val="22"/>
        </w:rPr>
        <w:t>SEIS</w:t>
      </w:r>
      <w:r w:rsidRPr="000B3717">
        <w:rPr>
          <w:rFonts w:eastAsia="Palatino Linotype" w:cs="Palatino Linotype"/>
          <w:szCs w:val="22"/>
        </w:rPr>
        <w:t xml:space="preserve"> DE </w:t>
      </w:r>
      <w:r w:rsidR="00480DD5" w:rsidRPr="000B3717">
        <w:rPr>
          <w:rFonts w:eastAsia="Palatino Linotype" w:cs="Palatino Linotype"/>
          <w:szCs w:val="22"/>
        </w:rPr>
        <w:t>NOVIEMBRE</w:t>
      </w:r>
      <w:r w:rsidRPr="000B3717">
        <w:rPr>
          <w:rFonts w:eastAsia="Palatino Linotype" w:cs="Palatino Linotype"/>
          <w:szCs w:val="22"/>
        </w:rPr>
        <w:t xml:space="preserve"> DE DOS MIL VEINTICUATRO ANTE EL SECRETARIO TÉCNICO DEL PLENO, ALEXIS TAPIA RAMÍREZ.</w:t>
      </w:r>
    </w:p>
    <w:p w14:paraId="6BF2B1BF" w14:textId="77777777" w:rsidR="000E03AE" w:rsidRPr="000B3717" w:rsidRDefault="000E03AE" w:rsidP="000B3717">
      <w:pPr>
        <w:tabs>
          <w:tab w:val="left" w:pos="2325"/>
        </w:tabs>
        <w:rPr>
          <w:szCs w:val="22"/>
        </w:rPr>
      </w:pPr>
      <w:r w:rsidRPr="000B3717">
        <w:rPr>
          <w:sz w:val="14"/>
          <w:szCs w:val="22"/>
        </w:rPr>
        <w:t>SCMM/AGZ/DEMF/DLM</w:t>
      </w:r>
    </w:p>
    <w:p w14:paraId="2E89CBD2" w14:textId="0262A4E0" w:rsidR="006642A9" w:rsidRPr="000B3717" w:rsidRDefault="006642A9" w:rsidP="000B3717">
      <w:pPr>
        <w:spacing w:after="160" w:line="259" w:lineRule="auto"/>
        <w:jc w:val="left"/>
        <w:rPr>
          <w:szCs w:val="22"/>
        </w:rPr>
      </w:pPr>
      <w:r w:rsidRPr="000B3717">
        <w:rPr>
          <w:szCs w:val="22"/>
        </w:rPr>
        <w:br w:type="page"/>
      </w:r>
    </w:p>
    <w:p w14:paraId="1D5BE478" w14:textId="77777777" w:rsidR="00BA3C86" w:rsidRPr="000B3717" w:rsidRDefault="00BA3C86" w:rsidP="000B3717">
      <w:pPr>
        <w:tabs>
          <w:tab w:val="left" w:pos="2325"/>
        </w:tabs>
        <w:rPr>
          <w:szCs w:val="22"/>
        </w:rPr>
      </w:pPr>
    </w:p>
    <w:p w14:paraId="775D1253" w14:textId="77777777" w:rsidR="00BA3C86" w:rsidRPr="000B3717" w:rsidRDefault="00BA3C86" w:rsidP="000B3717">
      <w:pPr>
        <w:tabs>
          <w:tab w:val="left" w:pos="2325"/>
        </w:tabs>
        <w:rPr>
          <w:szCs w:val="22"/>
        </w:rPr>
      </w:pPr>
    </w:p>
    <w:p w14:paraId="4894EE97" w14:textId="77777777" w:rsidR="00BA3C86" w:rsidRPr="000B3717" w:rsidRDefault="00BA3C86" w:rsidP="000B3717">
      <w:pPr>
        <w:tabs>
          <w:tab w:val="left" w:pos="2325"/>
        </w:tabs>
        <w:rPr>
          <w:szCs w:val="22"/>
        </w:rPr>
      </w:pPr>
    </w:p>
    <w:p w14:paraId="1491FB30" w14:textId="77777777" w:rsidR="00BA3C86" w:rsidRPr="000B3717" w:rsidRDefault="00BA3C86" w:rsidP="000B3717">
      <w:pPr>
        <w:tabs>
          <w:tab w:val="left" w:pos="2325"/>
        </w:tabs>
        <w:rPr>
          <w:szCs w:val="22"/>
        </w:rPr>
      </w:pPr>
    </w:p>
    <w:p w14:paraId="3F5E1C3B" w14:textId="77777777" w:rsidR="00BA3C86" w:rsidRPr="000B3717" w:rsidRDefault="00BA3C86" w:rsidP="000B3717">
      <w:pPr>
        <w:tabs>
          <w:tab w:val="left" w:pos="2325"/>
        </w:tabs>
        <w:rPr>
          <w:szCs w:val="22"/>
        </w:rPr>
      </w:pPr>
    </w:p>
    <w:p w14:paraId="186DDB54" w14:textId="77777777" w:rsidR="00BA3C86" w:rsidRPr="000B3717" w:rsidRDefault="00BA3C86" w:rsidP="000B3717">
      <w:pPr>
        <w:tabs>
          <w:tab w:val="left" w:pos="2325"/>
        </w:tabs>
        <w:rPr>
          <w:szCs w:val="22"/>
        </w:rPr>
      </w:pPr>
    </w:p>
    <w:p w14:paraId="5B4ADFF3" w14:textId="77777777" w:rsidR="00A131AC" w:rsidRPr="000B3717" w:rsidRDefault="00A131AC" w:rsidP="000B3717">
      <w:pPr>
        <w:ind w:left="851" w:right="680"/>
        <w:rPr>
          <w:szCs w:val="22"/>
        </w:rPr>
      </w:pPr>
    </w:p>
    <w:p w14:paraId="283AF49D" w14:textId="77777777" w:rsidR="00B8016C" w:rsidRPr="000B3717" w:rsidRDefault="00B8016C" w:rsidP="000B3717">
      <w:pPr>
        <w:ind w:left="851" w:right="680"/>
        <w:rPr>
          <w:szCs w:val="22"/>
        </w:rPr>
      </w:pPr>
    </w:p>
    <w:p w14:paraId="03CB514E" w14:textId="77777777" w:rsidR="00B8016C" w:rsidRPr="000B3717" w:rsidRDefault="00B8016C" w:rsidP="000B3717">
      <w:pPr>
        <w:ind w:left="851" w:right="680"/>
        <w:rPr>
          <w:szCs w:val="22"/>
        </w:rPr>
      </w:pPr>
    </w:p>
    <w:p w14:paraId="14FE9AB0" w14:textId="77777777" w:rsidR="00B8016C" w:rsidRPr="000B3717" w:rsidRDefault="00B8016C" w:rsidP="000B3717">
      <w:pPr>
        <w:ind w:left="851" w:right="680"/>
        <w:rPr>
          <w:szCs w:val="22"/>
        </w:rPr>
      </w:pPr>
    </w:p>
    <w:p w14:paraId="1FA53A94" w14:textId="77777777" w:rsidR="00B8016C" w:rsidRPr="000B3717" w:rsidRDefault="00B8016C" w:rsidP="000B3717">
      <w:pPr>
        <w:ind w:left="851" w:right="680"/>
        <w:rPr>
          <w:szCs w:val="22"/>
        </w:rPr>
      </w:pPr>
    </w:p>
    <w:p w14:paraId="3FBCD74C" w14:textId="77777777" w:rsidR="00B8016C" w:rsidRPr="000B3717" w:rsidRDefault="00B8016C" w:rsidP="000B3717">
      <w:pPr>
        <w:ind w:left="851" w:right="680"/>
        <w:rPr>
          <w:szCs w:val="22"/>
        </w:rPr>
      </w:pPr>
    </w:p>
    <w:p w14:paraId="6B953E77" w14:textId="77777777" w:rsidR="00B8016C" w:rsidRPr="000B3717" w:rsidRDefault="00B8016C" w:rsidP="000B3717">
      <w:pPr>
        <w:ind w:left="851" w:right="680"/>
        <w:rPr>
          <w:szCs w:val="22"/>
        </w:rPr>
      </w:pPr>
    </w:p>
    <w:p w14:paraId="6D36B8DE" w14:textId="77777777" w:rsidR="00B8016C" w:rsidRPr="000B3717" w:rsidRDefault="00B8016C" w:rsidP="000B3717">
      <w:pPr>
        <w:ind w:left="851" w:right="680"/>
        <w:rPr>
          <w:szCs w:val="22"/>
        </w:rPr>
      </w:pPr>
    </w:p>
    <w:sectPr w:rsidR="00B8016C" w:rsidRPr="000B3717"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7E910" w14:textId="77777777" w:rsidR="002B2551" w:rsidRDefault="002B2551" w:rsidP="00664420">
      <w:pPr>
        <w:spacing w:line="240" w:lineRule="auto"/>
      </w:pPr>
      <w:r>
        <w:separator/>
      </w:r>
    </w:p>
  </w:endnote>
  <w:endnote w:type="continuationSeparator" w:id="0">
    <w:p w14:paraId="162A9BFF" w14:textId="77777777" w:rsidR="002B2551" w:rsidRDefault="002B255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B2551" w:rsidRDefault="002B2551">
    <w:pPr>
      <w:tabs>
        <w:tab w:val="center" w:pos="4550"/>
        <w:tab w:val="left" w:pos="5818"/>
      </w:tabs>
      <w:ind w:right="260"/>
      <w:jc w:val="right"/>
      <w:rPr>
        <w:color w:val="071320" w:themeColor="text2" w:themeShade="80"/>
        <w:sz w:val="24"/>
        <w:szCs w:val="24"/>
      </w:rPr>
    </w:pPr>
  </w:p>
  <w:p w14:paraId="1BCA7F23" w14:textId="77777777" w:rsidR="002B2551" w:rsidRDefault="002B255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B2551" w:rsidRDefault="002B2551">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ED50D7" w:rsidRPr="00ED50D7">
      <w:rPr>
        <w:noProof/>
        <w:color w:val="0A1D30" w:themeColor="text2" w:themeShade="BF"/>
        <w:sz w:val="24"/>
        <w:szCs w:val="24"/>
        <w:lang w:val="es-ES"/>
      </w:rPr>
      <w:t>38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ED50D7" w:rsidRPr="00ED50D7">
      <w:rPr>
        <w:noProof/>
        <w:color w:val="0A1D30" w:themeColor="text2" w:themeShade="BF"/>
        <w:sz w:val="24"/>
        <w:szCs w:val="24"/>
        <w:lang w:val="es-ES"/>
      </w:rPr>
      <w:t>42</w:t>
    </w:r>
    <w:r>
      <w:rPr>
        <w:color w:val="0A1D30" w:themeColor="text2" w:themeShade="BF"/>
        <w:sz w:val="24"/>
        <w:szCs w:val="24"/>
      </w:rPr>
      <w:fldChar w:fldCharType="end"/>
    </w:r>
  </w:p>
  <w:p w14:paraId="310E15C0" w14:textId="77777777" w:rsidR="002B2551" w:rsidRDefault="002B25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A999A" w14:textId="77777777" w:rsidR="002B2551" w:rsidRDefault="002B2551" w:rsidP="00664420">
      <w:pPr>
        <w:spacing w:line="240" w:lineRule="auto"/>
      </w:pPr>
      <w:r>
        <w:separator/>
      </w:r>
    </w:p>
  </w:footnote>
  <w:footnote w:type="continuationSeparator" w:id="0">
    <w:p w14:paraId="51EDB179" w14:textId="77777777" w:rsidR="002B2551" w:rsidRDefault="002B2551" w:rsidP="00664420">
      <w:pPr>
        <w:spacing w:line="240" w:lineRule="auto"/>
      </w:pPr>
      <w:r>
        <w:continuationSeparator/>
      </w:r>
    </w:p>
  </w:footnote>
  <w:footnote w:id="1">
    <w:p w14:paraId="596A3BCD" w14:textId="32C7CD7D" w:rsidR="002B2551" w:rsidRPr="003005FD" w:rsidRDefault="002B2551" w:rsidP="00495492">
      <w:pPr>
        <w:pStyle w:val="Textonotapie"/>
      </w:pPr>
      <w:r>
        <w:rPr>
          <w:rStyle w:val="Refdenotaalpie"/>
        </w:rPr>
        <w:footnoteRef/>
      </w:r>
      <w:r>
        <w:t xml:space="preserve"> </w:t>
      </w:r>
      <w:r w:rsidRPr="003005FD">
        <w:t xml:space="preserve">Si bien, se registró el </w:t>
      </w:r>
      <w:r>
        <w:t>seis de octubre del dos mil veinticuatro</w:t>
      </w:r>
      <w:r w:rsidRPr="003005FD">
        <w:t>,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p w14:paraId="1FA586BF" w14:textId="2371A240" w:rsidR="002B2551" w:rsidRDefault="002B2551">
      <w:pPr>
        <w:pStyle w:val="Textonotapie"/>
      </w:pPr>
    </w:p>
  </w:footnote>
  <w:footnote w:id="2">
    <w:p w14:paraId="5F6C19A2" w14:textId="77777777" w:rsidR="002B2551" w:rsidRPr="00156A0D" w:rsidRDefault="002B2551" w:rsidP="00D275FC">
      <w:pPr>
        <w:pStyle w:val="Textonotapie"/>
        <w:rPr>
          <w:i/>
        </w:rPr>
      </w:pPr>
      <w:r>
        <w:rPr>
          <w:rStyle w:val="Refdenotaalpie"/>
        </w:rPr>
        <w:footnoteRef/>
      </w:r>
      <w:r>
        <w:t xml:space="preserve"> </w:t>
      </w:r>
      <w:r w:rsidRPr="00156A0D">
        <w:rPr>
          <w:i/>
        </w:rPr>
        <w:t>“</w:t>
      </w:r>
      <w:r w:rsidRPr="00156A0D">
        <w:rPr>
          <w:b/>
          <w:i/>
        </w:rPr>
        <w:t>Artículo 92</w:t>
      </w:r>
      <w:r w:rsidRPr="00156A0D">
        <w:rPr>
          <w:i/>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12047E6" w14:textId="77777777" w:rsidR="002B2551" w:rsidRPr="00156A0D" w:rsidRDefault="002B2551" w:rsidP="00D275FC">
      <w:pPr>
        <w:pStyle w:val="Textonotapie"/>
        <w:rPr>
          <w:i/>
        </w:rPr>
      </w:pPr>
      <w:r w:rsidRPr="00156A0D">
        <w:rPr>
          <w:i/>
        </w:rPr>
        <w:t>(…)</w:t>
      </w:r>
    </w:p>
    <w:p w14:paraId="5E73198B" w14:textId="77777777" w:rsidR="002B2551" w:rsidRDefault="002B2551" w:rsidP="00D275FC">
      <w:pPr>
        <w:pStyle w:val="Textonotapie"/>
      </w:pPr>
      <w:r w:rsidRPr="00156A0D">
        <w:rPr>
          <w:b/>
          <w:i/>
        </w:rPr>
        <w:t>XXXVI</w:t>
      </w:r>
      <w:r w:rsidRPr="00156A0D">
        <w:rPr>
          <w:i/>
        </w:rPr>
        <w:t>. Padrón de proveedores y contratistas;”</w:t>
      </w:r>
    </w:p>
  </w:footnote>
  <w:footnote w:id="3">
    <w:p w14:paraId="00A7E548" w14:textId="77777777" w:rsidR="002B2551" w:rsidRPr="00E74B83" w:rsidRDefault="002B2551" w:rsidP="00D275FC">
      <w:pPr>
        <w:pStyle w:val="Textonotapie"/>
        <w:spacing w:line="276" w:lineRule="auto"/>
        <w:rPr>
          <w:i/>
        </w:rPr>
      </w:pPr>
      <w:r w:rsidRPr="00E74B83">
        <w:rPr>
          <w:rStyle w:val="Refdenotaalpie"/>
          <w:i/>
        </w:rPr>
        <w:footnoteRef/>
      </w:r>
      <w:r w:rsidRPr="00E74B83">
        <w:rPr>
          <w:i/>
        </w:rPr>
        <w:t xml:space="preserve"> </w:t>
      </w:r>
      <w:r>
        <w:rPr>
          <w:i/>
        </w:rPr>
        <w:t>“</w:t>
      </w:r>
      <w:r w:rsidRPr="00E74B83">
        <w:rPr>
          <w:b/>
          <w:i/>
        </w:rPr>
        <w:t>RECURSO DE RECLAMACIÓN. LA FALTA DE FIRMA AUTÓGRAFA EN EL ESCRITO RELATIVO TRAE COMO CONSECUENCIA SU DESECHAMIENTO</w:t>
      </w:r>
      <w:r w:rsidRPr="00E74B83">
        <w:rPr>
          <w:i/>
        </w:rPr>
        <w:t xml:space="preserve">. Conforme al artículo 4o. de la Ley de Amparo, el juicio de garantías únicamente puede promoverse por la parte a quien perjudique el acto reclamado, pudiendo hacerlo por sí, por su representante, por su defensor, si se trata de un acto que corresponda a una causa criminal, o por medio de algún pariente o persona extraña en los casos en que la ley lo permita expresamente. Por otra parte, la </w:t>
      </w:r>
      <w:r w:rsidRPr="00E74B83">
        <w:rPr>
          <w:b/>
          <w:i/>
          <w:u w:val="single"/>
        </w:rPr>
        <w:t>firma autógrafa imprime la expresión de la voluntad a toda promoción o acto, es decir, constituye la base para tener por cierta la manifestación de voluntad del promovente</w:t>
      </w:r>
      <w:r w:rsidRPr="00E74B83">
        <w:rPr>
          <w:i/>
        </w:rPr>
        <w:t xml:space="preserve">, en virtud de que la finalidad de asentarla es vincular al autor con el acto jurídico contenido en el ocurso. Por tanto, si el escrito de un recurso sin firma o huella digital es un simple papel en el que no se incorpora la voluntad del recurrente de presentarlo, resulta evidente que la falta de firma autógrafa en el recurso de reclamación trae como consecuencia su desechamiento, por incumplimiento de un requisito esencial de validez de la promoción. Época: Novena Época. Registro: 166575. Instancia: Primera Sala. Tipo de Tesis: Aislada. Fuente: Semanario Judicial de la Federación y su Gaceta. Tomo XXX, Agosto de 2009. Materia(s): Común. Tesis: 1a. CV/2009. Página: 70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B2551" w:rsidRPr="00330DA7" w14:paraId="070A4B18" w14:textId="77777777" w:rsidTr="003F35FD">
      <w:trPr>
        <w:trHeight w:val="144"/>
        <w:jc w:val="right"/>
      </w:trPr>
      <w:tc>
        <w:tcPr>
          <w:tcW w:w="2727" w:type="dxa"/>
        </w:tcPr>
        <w:p w14:paraId="62B7493A" w14:textId="77777777" w:rsidR="002B2551" w:rsidRPr="00330DA7" w:rsidRDefault="002B2551"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28ED585" w:rsidR="002B2551" w:rsidRPr="00A90C72" w:rsidRDefault="002B2551" w:rsidP="00DB6004">
          <w:pPr>
            <w:tabs>
              <w:tab w:val="right" w:pos="8838"/>
            </w:tabs>
            <w:ind w:left="-74" w:right="-105"/>
            <w:rPr>
              <w:rFonts w:eastAsia="Calibri" w:cs="Tahoma"/>
              <w:szCs w:val="22"/>
              <w:lang w:eastAsia="en-US"/>
            </w:rPr>
          </w:pPr>
          <w:r>
            <w:rPr>
              <w:rFonts w:eastAsia="Calibri" w:cs="Tahoma"/>
              <w:szCs w:val="22"/>
              <w:lang w:eastAsia="en-US"/>
            </w:rPr>
            <w:t>06032/</w:t>
          </w:r>
          <w:r w:rsidRPr="00A90C72">
            <w:rPr>
              <w:rFonts w:eastAsia="Calibri" w:cs="Tahoma"/>
              <w:szCs w:val="22"/>
              <w:lang w:eastAsia="en-US"/>
            </w:rPr>
            <w:t>INFOEM/IP/RR</w:t>
          </w:r>
          <w:r>
            <w:rPr>
              <w:rFonts w:eastAsia="Calibri" w:cs="Tahoma"/>
              <w:szCs w:val="22"/>
              <w:lang w:eastAsia="en-US"/>
            </w:rPr>
            <w:t>/2024 y acumulado</w:t>
          </w:r>
        </w:p>
      </w:tc>
    </w:tr>
    <w:tr w:rsidR="002B2551" w:rsidRPr="00330DA7" w14:paraId="4521E058" w14:textId="77777777" w:rsidTr="003F35FD">
      <w:trPr>
        <w:trHeight w:val="283"/>
        <w:jc w:val="right"/>
      </w:trPr>
      <w:tc>
        <w:tcPr>
          <w:tcW w:w="2727" w:type="dxa"/>
        </w:tcPr>
        <w:p w14:paraId="0B68C086" w14:textId="77777777" w:rsidR="002B2551" w:rsidRPr="00330DA7" w:rsidRDefault="002B2551"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9143F06" w:rsidR="002B2551" w:rsidRPr="00952DD0" w:rsidRDefault="002B2551" w:rsidP="003F35FD">
          <w:pPr>
            <w:tabs>
              <w:tab w:val="left" w:pos="2834"/>
              <w:tab w:val="right" w:pos="8838"/>
            </w:tabs>
            <w:ind w:left="-108" w:right="-105"/>
            <w:rPr>
              <w:rFonts w:eastAsia="Calibri" w:cs="Tahoma"/>
              <w:szCs w:val="22"/>
              <w:lang w:eastAsia="en-US"/>
            </w:rPr>
          </w:pPr>
          <w:r w:rsidRPr="001D4224">
            <w:rPr>
              <w:rFonts w:eastAsia="Calibri" w:cs="Tahoma"/>
              <w:szCs w:val="22"/>
              <w:lang w:eastAsia="en-US"/>
            </w:rPr>
            <w:t>Ayuntamiento de Tezoyuca</w:t>
          </w:r>
        </w:p>
      </w:tc>
    </w:tr>
    <w:tr w:rsidR="002B2551" w:rsidRPr="00330DA7" w14:paraId="6331D9B6" w14:textId="77777777" w:rsidTr="003F35FD">
      <w:trPr>
        <w:trHeight w:val="283"/>
        <w:jc w:val="right"/>
      </w:trPr>
      <w:tc>
        <w:tcPr>
          <w:tcW w:w="2727" w:type="dxa"/>
        </w:tcPr>
        <w:p w14:paraId="3FA86BAE" w14:textId="2A92F133" w:rsidR="002B2551" w:rsidRPr="00330DA7" w:rsidRDefault="002B2551"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2B2551" w:rsidRPr="00EA66FC" w:rsidRDefault="002B2551"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B2551" w:rsidRPr="00443C6B" w:rsidRDefault="002B255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B2551" w:rsidRPr="00330DA7" w14:paraId="29CFF901" w14:textId="77777777" w:rsidTr="00DB6004">
      <w:trPr>
        <w:trHeight w:val="1435"/>
      </w:trPr>
      <w:tc>
        <w:tcPr>
          <w:tcW w:w="283" w:type="dxa"/>
          <w:shd w:val="clear" w:color="auto" w:fill="auto"/>
        </w:tcPr>
        <w:p w14:paraId="046B9F8F" w14:textId="77777777" w:rsidR="002B2551" w:rsidRPr="00330DA7" w:rsidRDefault="002B2551" w:rsidP="00DB600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B2551" w:rsidRPr="00330DA7" w14:paraId="04F272D2" w14:textId="77777777" w:rsidTr="00DB6004">
            <w:trPr>
              <w:trHeight w:val="144"/>
            </w:trPr>
            <w:tc>
              <w:tcPr>
                <w:tcW w:w="2727" w:type="dxa"/>
              </w:tcPr>
              <w:p w14:paraId="2FD4DBF6" w14:textId="77777777" w:rsidR="002B2551" w:rsidRPr="00330DA7" w:rsidRDefault="002B2551" w:rsidP="00DB600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94729FE" w:rsidR="002B2551" w:rsidRPr="00A90C72" w:rsidRDefault="002B2551" w:rsidP="00BB3018">
                <w:pPr>
                  <w:tabs>
                    <w:tab w:val="right" w:pos="8838"/>
                  </w:tabs>
                  <w:ind w:left="-74" w:right="-105"/>
                  <w:rPr>
                    <w:rFonts w:eastAsia="Calibri" w:cs="Tahoma"/>
                    <w:szCs w:val="22"/>
                    <w:lang w:eastAsia="en-US"/>
                  </w:rPr>
                </w:pPr>
                <w:r>
                  <w:rPr>
                    <w:rFonts w:eastAsia="Calibri" w:cs="Tahoma"/>
                    <w:szCs w:val="22"/>
                    <w:lang w:eastAsia="en-US"/>
                  </w:rPr>
                  <w:t>06032/</w:t>
                </w:r>
                <w:r w:rsidRPr="00A90C72">
                  <w:rPr>
                    <w:rFonts w:eastAsia="Calibri" w:cs="Tahoma"/>
                    <w:szCs w:val="22"/>
                    <w:lang w:eastAsia="en-US"/>
                  </w:rPr>
                  <w:t>INFOEM/IP/RR</w:t>
                </w:r>
                <w:r>
                  <w:rPr>
                    <w:rFonts w:eastAsia="Calibri" w:cs="Tahoma"/>
                    <w:szCs w:val="22"/>
                    <w:lang w:eastAsia="en-US"/>
                  </w:rPr>
                  <w:t>/2024 y acumulado</w:t>
                </w:r>
              </w:p>
            </w:tc>
            <w:tc>
              <w:tcPr>
                <w:tcW w:w="3402" w:type="dxa"/>
              </w:tcPr>
              <w:p w14:paraId="71DEA1CF" w14:textId="77777777" w:rsidR="002B2551" w:rsidRDefault="002B2551" w:rsidP="00DB6004">
                <w:pPr>
                  <w:tabs>
                    <w:tab w:val="right" w:pos="8838"/>
                  </w:tabs>
                  <w:ind w:left="-74" w:right="-105"/>
                  <w:rPr>
                    <w:rFonts w:eastAsia="Calibri" w:cs="Tahoma"/>
                    <w:szCs w:val="22"/>
                    <w:lang w:eastAsia="en-US"/>
                  </w:rPr>
                </w:pPr>
              </w:p>
            </w:tc>
          </w:tr>
          <w:tr w:rsidR="002B2551" w:rsidRPr="00330DA7" w14:paraId="05C58951" w14:textId="77777777" w:rsidTr="00DB6004">
            <w:trPr>
              <w:trHeight w:val="144"/>
            </w:trPr>
            <w:tc>
              <w:tcPr>
                <w:tcW w:w="2727" w:type="dxa"/>
              </w:tcPr>
              <w:p w14:paraId="642B9610" w14:textId="77777777" w:rsidR="002B2551" w:rsidRPr="00330DA7" w:rsidRDefault="002B2551" w:rsidP="00DB600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4FE031CC" w:rsidR="002B2551" w:rsidRPr="005F19B1" w:rsidRDefault="002B2551" w:rsidP="004D3411">
                <w:pPr>
                  <w:tabs>
                    <w:tab w:val="left" w:pos="3122"/>
                    <w:tab w:val="right" w:pos="8838"/>
                  </w:tabs>
                  <w:ind w:right="-105"/>
                  <w:rPr>
                    <w:rFonts w:eastAsia="Calibri" w:cs="Tahoma"/>
                    <w:szCs w:val="22"/>
                    <w:lang w:eastAsia="en-US"/>
                  </w:rPr>
                </w:pPr>
              </w:p>
            </w:tc>
            <w:tc>
              <w:tcPr>
                <w:tcW w:w="3402" w:type="dxa"/>
              </w:tcPr>
              <w:p w14:paraId="73F47F53" w14:textId="77777777" w:rsidR="002B2551" w:rsidRPr="005F19B1" w:rsidRDefault="002B2551" w:rsidP="00DB6004">
                <w:pPr>
                  <w:tabs>
                    <w:tab w:val="left" w:pos="3122"/>
                    <w:tab w:val="right" w:pos="8838"/>
                  </w:tabs>
                  <w:ind w:left="-105" w:right="-105"/>
                  <w:rPr>
                    <w:rFonts w:eastAsia="Calibri" w:cs="Tahoma"/>
                    <w:szCs w:val="22"/>
                    <w:lang w:eastAsia="en-US"/>
                  </w:rPr>
                </w:pPr>
              </w:p>
            </w:tc>
          </w:tr>
          <w:bookmarkEnd w:id="1"/>
          <w:tr w:rsidR="002B2551" w:rsidRPr="00330DA7" w14:paraId="00E6CDC1" w14:textId="77777777" w:rsidTr="00DB6004">
            <w:trPr>
              <w:trHeight w:val="283"/>
            </w:trPr>
            <w:tc>
              <w:tcPr>
                <w:tcW w:w="2727" w:type="dxa"/>
              </w:tcPr>
              <w:p w14:paraId="0631AD24" w14:textId="77777777" w:rsidR="002B2551" w:rsidRPr="008401A5" w:rsidRDefault="002B2551" w:rsidP="00DB6004">
                <w:pPr>
                  <w:tabs>
                    <w:tab w:val="right" w:pos="8838"/>
                  </w:tabs>
                  <w:ind w:left="-74" w:right="-105"/>
                  <w:rPr>
                    <w:rFonts w:eastAsia="Calibri" w:cs="Tahoma"/>
                    <w:b/>
                    <w:szCs w:val="22"/>
                    <w:lang w:eastAsia="en-US"/>
                  </w:rPr>
                </w:pPr>
                <w:r w:rsidRPr="008401A5">
                  <w:rPr>
                    <w:rFonts w:eastAsia="Calibri" w:cs="Tahoma"/>
                    <w:b/>
                    <w:szCs w:val="22"/>
                    <w:lang w:eastAsia="en-US"/>
                  </w:rPr>
                  <w:t>Sujeto Obligado:</w:t>
                </w:r>
              </w:p>
            </w:tc>
            <w:tc>
              <w:tcPr>
                <w:tcW w:w="3402" w:type="dxa"/>
              </w:tcPr>
              <w:p w14:paraId="3ACBE0D8" w14:textId="0B1520D1" w:rsidR="002B2551" w:rsidRPr="008401A5" w:rsidRDefault="002B2551" w:rsidP="00DB6004">
                <w:pPr>
                  <w:tabs>
                    <w:tab w:val="left" w:pos="2834"/>
                    <w:tab w:val="right" w:pos="8838"/>
                  </w:tabs>
                  <w:ind w:left="-108" w:right="-105"/>
                  <w:rPr>
                    <w:rFonts w:eastAsia="Calibri" w:cs="Tahoma"/>
                    <w:szCs w:val="22"/>
                    <w:lang w:eastAsia="en-US"/>
                  </w:rPr>
                </w:pPr>
                <w:r w:rsidRPr="008401A5">
                  <w:rPr>
                    <w:rFonts w:eastAsia="Calibri" w:cs="Tahoma"/>
                    <w:szCs w:val="22"/>
                    <w:lang w:eastAsia="en-US"/>
                  </w:rPr>
                  <w:t>Ayuntamiento de Tezoyuca</w:t>
                </w:r>
              </w:p>
            </w:tc>
            <w:tc>
              <w:tcPr>
                <w:tcW w:w="3402" w:type="dxa"/>
              </w:tcPr>
              <w:p w14:paraId="3A7DA319" w14:textId="77777777" w:rsidR="002B2551" w:rsidRPr="00A90C72" w:rsidRDefault="002B2551" w:rsidP="00DB6004">
                <w:pPr>
                  <w:tabs>
                    <w:tab w:val="left" w:pos="2834"/>
                    <w:tab w:val="right" w:pos="8838"/>
                  </w:tabs>
                  <w:ind w:left="-108" w:right="-105"/>
                  <w:rPr>
                    <w:rFonts w:eastAsia="Calibri" w:cs="Tahoma"/>
                    <w:szCs w:val="22"/>
                    <w:lang w:eastAsia="en-US"/>
                  </w:rPr>
                </w:pPr>
              </w:p>
            </w:tc>
          </w:tr>
          <w:tr w:rsidR="002B2551" w:rsidRPr="00330DA7" w14:paraId="0F6CD8D2" w14:textId="77777777" w:rsidTr="00DB6004">
            <w:trPr>
              <w:trHeight w:val="283"/>
            </w:trPr>
            <w:tc>
              <w:tcPr>
                <w:tcW w:w="2727" w:type="dxa"/>
              </w:tcPr>
              <w:p w14:paraId="31700628" w14:textId="41E81ADF" w:rsidR="002B2551" w:rsidRPr="00330DA7" w:rsidRDefault="002B2551" w:rsidP="00DB6004">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2B2551" w:rsidRPr="00EA66FC" w:rsidRDefault="002B2551" w:rsidP="00DB600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B2551" w:rsidRPr="00330DA7" w:rsidRDefault="002B2551" w:rsidP="00DB6004">
                <w:pPr>
                  <w:tabs>
                    <w:tab w:val="right" w:pos="8838"/>
                  </w:tabs>
                  <w:ind w:left="-108" w:right="-105"/>
                  <w:rPr>
                    <w:rFonts w:eastAsia="Calibri" w:cs="Tahoma"/>
                    <w:szCs w:val="22"/>
                    <w:lang w:eastAsia="en-US"/>
                  </w:rPr>
                </w:pPr>
              </w:p>
            </w:tc>
          </w:tr>
        </w:tbl>
        <w:p w14:paraId="5DC6AC61" w14:textId="77777777" w:rsidR="002B2551" w:rsidRPr="00330DA7" w:rsidRDefault="002B2551" w:rsidP="00DB6004">
          <w:pPr>
            <w:tabs>
              <w:tab w:val="right" w:pos="8838"/>
            </w:tabs>
            <w:ind w:left="-28"/>
            <w:rPr>
              <w:rFonts w:ascii="Arial" w:eastAsia="Calibri" w:hAnsi="Arial" w:cs="Arial"/>
              <w:b/>
              <w:szCs w:val="22"/>
              <w:lang w:eastAsia="en-US"/>
            </w:rPr>
          </w:pPr>
        </w:p>
      </w:tc>
    </w:tr>
  </w:tbl>
  <w:p w14:paraId="2A906731" w14:textId="77777777" w:rsidR="002B2551" w:rsidRPr="00765661" w:rsidRDefault="00ED50D7" w:rsidP="00DB600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1025" type="#_x0000_t75" alt="" style="position:absolute;left:0;text-align:left;margin-left:-94.4pt;margin-top:-168.8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6709F"/>
    <w:multiLevelType w:val="hybridMultilevel"/>
    <w:tmpl w:val="B45CB6D0"/>
    <w:lvl w:ilvl="0" w:tplc="AC90B6A6">
      <w:start w:val="1"/>
      <w:numFmt w:val="decimal"/>
      <w:lvlText w:val="%1."/>
      <w:lvlJc w:val="left"/>
      <w:pPr>
        <w:ind w:left="388" w:hanging="360"/>
      </w:pPr>
      <w:rPr>
        <w:rFonts w:hint="default"/>
      </w:rPr>
    </w:lvl>
    <w:lvl w:ilvl="1" w:tplc="080A0019" w:tentative="1">
      <w:start w:val="1"/>
      <w:numFmt w:val="lowerLetter"/>
      <w:lvlText w:val="%2."/>
      <w:lvlJc w:val="left"/>
      <w:pPr>
        <w:ind w:left="1108" w:hanging="360"/>
      </w:pPr>
    </w:lvl>
    <w:lvl w:ilvl="2" w:tplc="080A001B" w:tentative="1">
      <w:start w:val="1"/>
      <w:numFmt w:val="lowerRoman"/>
      <w:lvlText w:val="%3."/>
      <w:lvlJc w:val="right"/>
      <w:pPr>
        <w:ind w:left="1828" w:hanging="180"/>
      </w:pPr>
    </w:lvl>
    <w:lvl w:ilvl="3" w:tplc="080A000F" w:tentative="1">
      <w:start w:val="1"/>
      <w:numFmt w:val="decimal"/>
      <w:lvlText w:val="%4."/>
      <w:lvlJc w:val="left"/>
      <w:pPr>
        <w:ind w:left="2548" w:hanging="360"/>
      </w:pPr>
    </w:lvl>
    <w:lvl w:ilvl="4" w:tplc="080A0019" w:tentative="1">
      <w:start w:val="1"/>
      <w:numFmt w:val="lowerLetter"/>
      <w:lvlText w:val="%5."/>
      <w:lvlJc w:val="left"/>
      <w:pPr>
        <w:ind w:left="3268" w:hanging="360"/>
      </w:pPr>
    </w:lvl>
    <w:lvl w:ilvl="5" w:tplc="080A001B" w:tentative="1">
      <w:start w:val="1"/>
      <w:numFmt w:val="lowerRoman"/>
      <w:lvlText w:val="%6."/>
      <w:lvlJc w:val="right"/>
      <w:pPr>
        <w:ind w:left="3988" w:hanging="180"/>
      </w:pPr>
    </w:lvl>
    <w:lvl w:ilvl="6" w:tplc="080A000F" w:tentative="1">
      <w:start w:val="1"/>
      <w:numFmt w:val="decimal"/>
      <w:lvlText w:val="%7."/>
      <w:lvlJc w:val="left"/>
      <w:pPr>
        <w:ind w:left="4708" w:hanging="360"/>
      </w:pPr>
    </w:lvl>
    <w:lvl w:ilvl="7" w:tplc="080A0019" w:tentative="1">
      <w:start w:val="1"/>
      <w:numFmt w:val="lowerLetter"/>
      <w:lvlText w:val="%8."/>
      <w:lvlJc w:val="left"/>
      <w:pPr>
        <w:ind w:left="5428" w:hanging="360"/>
      </w:pPr>
    </w:lvl>
    <w:lvl w:ilvl="8" w:tplc="080A001B" w:tentative="1">
      <w:start w:val="1"/>
      <w:numFmt w:val="lowerRoman"/>
      <w:lvlText w:val="%9."/>
      <w:lvlJc w:val="right"/>
      <w:pPr>
        <w:ind w:left="6148" w:hanging="180"/>
      </w:pPr>
    </w:lvl>
  </w:abstractNum>
  <w:abstractNum w:abstractNumId="1" w15:restartNumberingAfterBreak="0">
    <w:nsid w:val="215A41C5"/>
    <w:multiLevelType w:val="hybridMultilevel"/>
    <w:tmpl w:val="CA9E9CD2"/>
    <w:lvl w:ilvl="0" w:tplc="764499E8">
      <w:start w:val="1"/>
      <w:numFmt w:val="bullet"/>
      <w:lvlText w:val="-"/>
      <w:lvlJc w:val="left"/>
      <w:pPr>
        <w:ind w:left="388" w:hanging="360"/>
      </w:pPr>
      <w:rPr>
        <w:rFonts w:ascii="Palatino Linotype" w:eastAsiaTheme="minorHAnsi" w:hAnsi="Palatino Linotype" w:cs="Tahoma" w:hint="default"/>
        <w:b w:val="0"/>
        <w:i w:val="0"/>
        <w:color w:val="000000" w:themeColor="text1"/>
      </w:rPr>
    </w:lvl>
    <w:lvl w:ilvl="1" w:tplc="080A0003" w:tentative="1">
      <w:start w:val="1"/>
      <w:numFmt w:val="bullet"/>
      <w:lvlText w:val="o"/>
      <w:lvlJc w:val="left"/>
      <w:pPr>
        <w:ind w:left="1108" w:hanging="360"/>
      </w:pPr>
      <w:rPr>
        <w:rFonts w:ascii="Courier New" w:hAnsi="Courier New" w:cs="Courier New" w:hint="default"/>
      </w:rPr>
    </w:lvl>
    <w:lvl w:ilvl="2" w:tplc="080A0005" w:tentative="1">
      <w:start w:val="1"/>
      <w:numFmt w:val="bullet"/>
      <w:lvlText w:val=""/>
      <w:lvlJc w:val="left"/>
      <w:pPr>
        <w:ind w:left="1828" w:hanging="360"/>
      </w:pPr>
      <w:rPr>
        <w:rFonts w:ascii="Wingdings" w:hAnsi="Wingdings" w:hint="default"/>
      </w:rPr>
    </w:lvl>
    <w:lvl w:ilvl="3" w:tplc="080A0001" w:tentative="1">
      <w:start w:val="1"/>
      <w:numFmt w:val="bullet"/>
      <w:lvlText w:val=""/>
      <w:lvlJc w:val="left"/>
      <w:pPr>
        <w:ind w:left="2548" w:hanging="360"/>
      </w:pPr>
      <w:rPr>
        <w:rFonts w:ascii="Symbol" w:hAnsi="Symbol" w:hint="default"/>
      </w:rPr>
    </w:lvl>
    <w:lvl w:ilvl="4" w:tplc="080A0003" w:tentative="1">
      <w:start w:val="1"/>
      <w:numFmt w:val="bullet"/>
      <w:lvlText w:val="o"/>
      <w:lvlJc w:val="left"/>
      <w:pPr>
        <w:ind w:left="3268" w:hanging="360"/>
      </w:pPr>
      <w:rPr>
        <w:rFonts w:ascii="Courier New" w:hAnsi="Courier New" w:cs="Courier New" w:hint="default"/>
      </w:rPr>
    </w:lvl>
    <w:lvl w:ilvl="5" w:tplc="080A0005" w:tentative="1">
      <w:start w:val="1"/>
      <w:numFmt w:val="bullet"/>
      <w:lvlText w:val=""/>
      <w:lvlJc w:val="left"/>
      <w:pPr>
        <w:ind w:left="3988" w:hanging="360"/>
      </w:pPr>
      <w:rPr>
        <w:rFonts w:ascii="Wingdings" w:hAnsi="Wingdings" w:hint="default"/>
      </w:rPr>
    </w:lvl>
    <w:lvl w:ilvl="6" w:tplc="080A0001" w:tentative="1">
      <w:start w:val="1"/>
      <w:numFmt w:val="bullet"/>
      <w:lvlText w:val=""/>
      <w:lvlJc w:val="left"/>
      <w:pPr>
        <w:ind w:left="4708" w:hanging="360"/>
      </w:pPr>
      <w:rPr>
        <w:rFonts w:ascii="Symbol" w:hAnsi="Symbol" w:hint="default"/>
      </w:rPr>
    </w:lvl>
    <w:lvl w:ilvl="7" w:tplc="080A0003" w:tentative="1">
      <w:start w:val="1"/>
      <w:numFmt w:val="bullet"/>
      <w:lvlText w:val="o"/>
      <w:lvlJc w:val="left"/>
      <w:pPr>
        <w:ind w:left="5428" w:hanging="360"/>
      </w:pPr>
      <w:rPr>
        <w:rFonts w:ascii="Courier New" w:hAnsi="Courier New" w:cs="Courier New" w:hint="default"/>
      </w:rPr>
    </w:lvl>
    <w:lvl w:ilvl="8" w:tplc="080A0005" w:tentative="1">
      <w:start w:val="1"/>
      <w:numFmt w:val="bullet"/>
      <w:lvlText w:val=""/>
      <w:lvlJc w:val="left"/>
      <w:pPr>
        <w:ind w:left="6148" w:hanging="360"/>
      </w:pPr>
      <w:rPr>
        <w:rFonts w:ascii="Wingdings" w:hAnsi="Wingdings" w:hint="default"/>
      </w:rPr>
    </w:lvl>
  </w:abstractNum>
  <w:abstractNum w:abstractNumId="2" w15:restartNumberingAfterBreak="0">
    <w:nsid w:val="2A0D7CCA"/>
    <w:multiLevelType w:val="hybridMultilevel"/>
    <w:tmpl w:val="51546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8C20F6"/>
    <w:multiLevelType w:val="hybridMultilevel"/>
    <w:tmpl w:val="9B42E17E"/>
    <w:lvl w:ilvl="0" w:tplc="07D4A536">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4" w15:restartNumberingAfterBreak="0">
    <w:nsid w:val="358C0BDF"/>
    <w:multiLevelType w:val="hybridMultilevel"/>
    <w:tmpl w:val="20E40B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F263B0"/>
    <w:multiLevelType w:val="hybridMultilevel"/>
    <w:tmpl w:val="22E89E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6941B4"/>
    <w:multiLevelType w:val="hybridMultilevel"/>
    <w:tmpl w:val="A99A0CD8"/>
    <w:lvl w:ilvl="0" w:tplc="0BCE4AB0">
      <w:start w:val="1"/>
      <w:numFmt w:val="decimal"/>
      <w:lvlText w:val="%1."/>
      <w:lvlJc w:val="left"/>
      <w:pPr>
        <w:ind w:left="252" w:hanging="360"/>
      </w:pPr>
      <w:rPr>
        <w:rFonts w:hint="default"/>
        <w:b/>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7"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5FA21212"/>
    <w:multiLevelType w:val="hybridMultilevel"/>
    <w:tmpl w:val="C7F0E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FC377D3"/>
    <w:multiLevelType w:val="hybridMultilevel"/>
    <w:tmpl w:val="D35C0D76"/>
    <w:lvl w:ilvl="0" w:tplc="73C61256">
      <w:start w:val="1"/>
      <w:numFmt w:val="decimal"/>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0" w15:restartNumberingAfterBreak="0">
    <w:nsid w:val="60F15717"/>
    <w:multiLevelType w:val="hybridMultilevel"/>
    <w:tmpl w:val="5C1E3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9DE7F22"/>
    <w:multiLevelType w:val="hybridMultilevel"/>
    <w:tmpl w:val="8314202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AAE36ED"/>
    <w:multiLevelType w:val="hybridMultilevel"/>
    <w:tmpl w:val="4718B578"/>
    <w:lvl w:ilvl="0" w:tplc="080A000D">
      <w:start w:val="1"/>
      <w:numFmt w:val="bullet"/>
      <w:lvlText w:val=""/>
      <w:lvlJc w:val="left"/>
      <w:pPr>
        <w:ind w:left="612" w:hanging="360"/>
      </w:pPr>
      <w:rPr>
        <w:rFonts w:ascii="Wingdings" w:hAnsi="Wingdings" w:hint="default"/>
      </w:rPr>
    </w:lvl>
    <w:lvl w:ilvl="1" w:tplc="080A0003" w:tentative="1">
      <w:start w:val="1"/>
      <w:numFmt w:val="bullet"/>
      <w:lvlText w:val="o"/>
      <w:lvlJc w:val="left"/>
      <w:pPr>
        <w:ind w:left="1332" w:hanging="360"/>
      </w:pPr>
      <w:rPr>
        <w:rFonts w:ascii="Courier New" w:hAnsi="Courier New" w:cs="Courier New" w:hint="default"/>
      </w:rPr>
    </w:lvl>
    <w:lvl w:ilvl="2" w:tplc="080A0005" w:tentative="1">
      <w:start w:val="1"/>
      <w:numFmt w:val="bullet"/>
      <w:lvlText w:val=""/>
      <w:lvlJc w:val="left"/>
      <w:pPr>
        <w:ind w:left="2052" w:hanging="360"/>
      </w:pPr>
      <w:rPr>
        <w:rFonts w:ascii="Wingdings" w:hAnsi="Wingdings" w:hint="default"/>
      </w:rPr>
    </w:lvl>
    <w:lvl w:ilvl="3" w:tplc="080A0001" w:tentative="1">
      <w:start w:val="1"/>
      <w:numFmt w:val="bullet"/>
      <w:lvlText w:val=""/>
      <w:lvlJc w:val="left"/>
      <w:pPr>
        <w:ind w:left="2772" w:hanging="360"/>
      </w:pPr>
      <w:rPr>
        <w:rFonts w:ascii="Symbol" w:hAnsi="Symbol" w:hint="default"/>
      </w:rPr>
    </w:lvl>
    <w:lvl w:ilvl="4" w:tplc="080A0003" w:tentative="1">
      <w:start w:val="1"/>
      <w:numFmt w:val="bullet"/>
      <w:lvlText w:val="o"/>
      <w:lvlJc w:val="left"/>
      <w:pPr>
        <w:ind w:left="3492" w:hanging="360"/>
      </w:pPr>
      <w:rPr>
        <w:rFonts w:ascii="Courier New" w:hAnsi="Courier New" w:cs="Courier New" w:hint="default"/>
      </w:rPr>
    </w:lvl>
    <w:lvl w:ilvl="5" w:tplc="080A0005" w:tentative="1">
      <w:start w:val="1"/>
      <w:numFmt w:val="bullet"/>
      <w:lvlText w:val=""/>
      <w:lvlJc w:val="left"/>
      <w:pPr>
        <w:ind w:left="4212" w:hanging="360"/>
      </w:pPr>
      <w:rPr>
        <w:rFonts w:ascii="Wingdings" w:hAnsi="Wingdings" w:hint="default"/>
      </w:rPr>
    </w:lvl>
    <w:lvl w:ilvl="6" w:tplc="080A0001" w:tentative="1">
      <w:start w:val="1"/>
      <w:numFmt w:val="bullet"/>
      <w:lvlText w:val=""/>
      <w:lvlJc w:val="left"/>
      <w:pPr>
        <w:ind w:left="4932" w:hanging="360"/>
      </w:pPr>
      <w:rPr>
        <w:rFonts w:ascii="Symbol" w:hAnsi="Symbol" w:hint="default"/>
      </w:rPr>
    </w:lvl>
    <w:lvl w:ilvl="7" w:tplc="080A0003" w:tentative="1">
      <w:start w:val="1"/>
      <w:numFmt w:val="bullet"/>
      <w:lvlText w:val="o"/>
      <w:lvlJc w:val="left"/>
      <w:pPr>
        <w:ind w:left="5652" w:hanging="360"/>
      </w:pPr>
      <w:rPr>
        <w:rFonts w:ascii="Courier New" w:hAnsi="Courier New" w:cs="Courier New" w:hint="default"/>
      </w:rPr>
    </w:lvl>
    <w:lvl w:ilvl="8" w:tplc="080A0005" w:tentative="1">
      <w:start w:val="1"/>
      <w:numFmt w:val="bullet"/>
      <w:lvlText w:val=""/>
      <w:lvlJc w:val="left"/>
      <w:pPr>
        <w:ind w:left="6372"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1"/>
  </w:num>
  <w:num w:numId="6">
    <w:abstractNumId w:val="12"/>
  </w:num>
  <w:num w:numId="7">
    <w:abstractNumId w:val="11"/>
  </w:num>
  <w:num w:numId="8">
    <w:abstractNumId w:val="8"/>
  </w:num>
  <w:num w:numId="9">
    <w:abstractNumId w:val="5"/>
  </w:num>
  <w:num w:numId="10">
    <w:abstractNumId w:val="10"/>
  </w:num>
  <w:num w:numId="11">
    <w:abstractNumId w:val="0"/>
  </w:num>
  <w:num w:numId="12">
    <w:abstractNumId w:val="7"/>
  </w:num>
  <w:num w:numId="1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mailMerge>
    <w:mainDocumentType w:val="mailingLabels"/>
    <w:dataType w:val="textFile"/>
    <w:activeRecord w:val="-1"/>
  </w:mailMerg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2D84"/>
    <w:rsid w:val="00015208"/>
    <w:rsid w:val="000169E2"/>
    <w:rsid w:val="00021A01"/>
    <w:rsid w:val="00025464"/>
    <w:rsid w:val="000318BC"/>
    <w:rsid w:val="00033E42"/>
    <w:rsid w:val="000432B6"/>
    <w:rsid w:val="0005650F"/>
    <w:rsid w:val="00057B2D"/>
    <w:rsid w:val="00073B84"/>
    <w:rsid w:val="0007738C"/>
    <w:rsid w:val="00080071"/>
    <w:rsid w:val="00086B8E"/>
    <w:rsid w:val="0009002D"/>
    <w:rsid w:val="000978F2"/>
    <w:rsid w:val="000A0898"/>
    <w:rsid w:val="000B3717"/>
    <w:rsid w:val="000B3CAE"/>
    <w:rsid w:val="000C2AA2"/>
    <w:rsid w:val="000C6C4B"/>
    <w:rsid w:val="000D0D67"/>
    <w:rsid w:val="000D21BB"/>
    <w:rsid w:val="000D5D8A"/>
    <w:rsid w:val="000E03AE"/>
    <w:rsid w:val="000E09C4"/>
    <w:rsid w:val="000E2BA7"/>
    <w:rsid w:val="000E301F"/>
    <w:rsid w:val="000F17BC"/>
    <w:rsid w:val="000F200C"/>
    <w:rsid w:val="000F3B25"/>
    <w:rsid w:val="000F699F"/>
    <w:rsid w:val="000F6F5E"/>
    <w:rsid w:val="00113060"/>
    <w:rsid w:val="0011350D"/>
    <w:rsid w:val="001218CA"/>
    <w:rsid w:val="0012653A"/>
    <w:rsid w:val="00141876"/>
    <w:rsid w:val="0014207B"/>
    <w:rsid w:val="00150C49"/>
    <w:rsid w:val="00160C7E"/>
    <w:rsid w:val="0016371B"/>
    <w:rsid w:val="00166E6E"/>
    <w:rsid w:val="00171216"/>
    <w:rsid w:val="00171D9C"/>
    <w:rsid w:val="00172C82"/>
    <w:rsid w:val="0017786B"/>
    <w:rsid w:val="00184503"/>
    <w:rsid w:val="00195748"/>
    <w:rsid w:val="001A58B3"/>
    <w:rsid w:val="001B4FF2"/>
    <w:rsid w:val="001B5588"/>
    <w:rsid w:val="001B6006"/>
    <w:rsid w:val="001B777A"/>
    <w:rsid w:val="001C379F"/>
    <w:rsid w:val="001C411D"/>
    <w:rsid w:val="001C48E7"/>
    <w:rsid w:val="001C5C6F"/>
    <w:rsid w:val="001C7688"/>
    <w:rsid w:val="001D4224"/>
    <w:rsid w:val="001E1ACD"/>
    <w:rsid w:val="001F3515"/>
    <w:rsid w:val="001F438C"/>
    <w:rsid w:val="00200DB2"/>
    <w:rsid w:val="002129F3"/>
    <w:rsid w:val="00213142"/>
    <w:rsid w:val="00224543"/>
    <w:rsid w:val="0022753A"/>
    <w:rsid w:val="00233005"/>
    <w:rsid w:val="00233F17"/>
    <w:rsid w:val="002352B5"/>
    <w:rsid w:val="00245E4A"/>
    <w:rsid w:val="00256353"/>
    <w:rsid w:val="00262FF5"/>
    <w:rsid w:val="00277160"/>
    <w:rsid w:val="00277E93"/>
    <w:rsid w:val="002857F5"/>
    <w:rsid w:val="00290FCA"/>
    <w:rsid w:val="00292286"/>
    <w:rsid w:val="0029336C"/>
    <w:rsid w:val="002953E7"/>
    <w:rsid w:val="002A127C"/>
    <w:rsid w:val="002A2C68"/>
    <w:rsid w:val="002A3601"/>
    <w:rsid w:val="002A37A0"/>
    <w:rsid w:val="002B14FB"/>
    <w:rsid w:val="002B2078"/>
    <w:rsid w:val="002B2551"/>
    <w:rsid w:val="002B7C6F"/>
    <w:rsid w:val="002D111C"/>
    <w:rsid w:val="002D7BCC"/>
    <w:rsid w:val="002E026D"/>
    <w:rsid w:val="002E12E4"/>
    <w:rsid w:val="002E36AB"/>
    <w:rsid w:val="002E61F8"/>
    <w:rsid w:val="002F13C2"/>
    <w:rsid w:val="002F1878"/>
    <w:rsid w:val="00302209"/>
    <w:rsid w:val="00302476"/>
    <w:rsid w:val="00324215"/>
    <w:rsid w:val="00324BDD"/>
    <w:rsid w:val="00326E80"/>
    <w:rsid w:val="00331F35"/>
    <w:rsid w:val="003334A5"/>
    <w:rsid w:val="003355C3"/>
    <w:rsid w:val="00335CDF"/>
    <w:rsid w:val="003368DB"/>
    <w:rsid w:val="0034579B"/>
    <w:rsid w:val="00354474"/>
    <w:rsid w:val="00362A11"/>
    <w:rsid w:val="00371920"/>
    <w:rsid w:val="003815C2"/>
    <w:rsid w:val="00393980"/>
    <w:rsid w:val="003959B2"/>
    <w:rsid w:val="003A40C1"/>
    <w:rsid w:val="003B47E7"/>
    <w:rsid w:val="003B5D3E"/>
    <w:rsid w:val="003C0D71"/>
    <w:rsid w:val="003C132C"/>
    <w:rsid w:val="003D15A5"/>
    <w:rsid w:val="003D3941"/>
    <w:rsid w:val="003E0723"/>
    <w:rsid w:val="003E278F"/>
    <w:rsid w:val="003E6CE9"/>
    <w:rsid w:val="003E7EFE"/>
    <w:rsid w:val="003F01B8"/>
    <w:rsid w:val="003F35FD"/>
    <w:rsid w:val="003F54D8"/>
    <w:rsid w:val="0040238C"/>
    <w:rsid w:val="00412D96"/>
    <w:rsid w:val="0041385B"/>
    <w:rsid w:val="00424882"/>
    <w:rsid w:val="0042646E"/>
    <w:rsid w:val="00437D10"/>
    <w:rsid w:val="00441BFA"/>
    <w:rsid w:val="004420BD"/>
    <w:rsid w:val="00444101"/>
    <w:rsid w:val="004502AA"/>
    <w:rsid w:val="00454FBD"/>
    <w:rsid w:val="00463888"/>
    <w:rsid w:val="00480DD5"/>
    <w:rsid w:val="00482979"/>
    <w:rsid w:val="00491DFF"/>
    <w:rsid w:val="00495492"/>
    <w:rsid w:val="004A4FD1"/>
    <w:rsid w:val="004B4047"/>
    <w:rsid w:val="004B69F4"/>
    <w:rsid w:val="004C383A"/>
    <w:rsid w:val="004C6675"/>
    <w:rsid w:val="004C6BC2"/>
    <w:rsid w:val="004D3411"/>
    <w:rsid w:val="004D69A6"/>
    <w:rsid w:val="004D7CD8"/>
    <w:rsid w:val="004D7D89"/>
    <w:rsid w:val="004E5068"/>
    <w:rsid w:val="004F4371"/>
    <w:rsid w:val="004F7A00"/>
    <w:rsid w:val="00507B2E"/>
    <w:rsid w:val="00517287"/>
    <w:rsid w:val="005211CF"/>
    <w:rsid w:val="00523F48"/>
    <w:rsid w:val="00526543"/>
    <w:rsid w:val="00534BC4"/>
    <w:rsid w:val="005365FA"/>
    <w:rsid w:val="00542C3F"/>
    <w:rsid w:val="00543E56"/>
    <w:rsid w:val="00551512"/>
    <w:rsid w:val="00564742"/>
    <w:rsid w:val="005671B4"/>
    <w:rsid w:val="00571DAB"/>
    <w:rsid w:val="005723CB"/>
    <w:rsid w:val="0057303D"/>
    <w:rsid w:val="00575400"/>
    <w:rsid w:val="00596665"/>
    <w:rsid w:val="005A060B"/>
    <w:rsid w:val="005A3ED9"/>
    <w:rsid w:val="005A4CD5"/>
    <w:rsid w:val="005B18AF"/>
    <w:rsid w:val="005B329D"/>
    <w:rsid w:val="005B7DDA"/>
    <w:rsid w:val="005D1A4A"/>
    <w:rsid w:val="005D51E9"/>
    <w:rsid w:val="005D5A50"/>
    <w:rsid w:val="005E2E07"/>
    <w:rsid w:val="005E61B9"/>
    <w:rsid w:val="005E7FE0"/>
    <w:rsid w:val="005F0237"/>
    <w:rsid w:val="005F5301"/>
    <w:rsid w:val="005F65B7"/>
    <w:rsid w:val="006067C7"/>
    <w:rsid w:val="0061197D"/>
    <w:rsid w:val="006159AD"/>
    <w:rsid w:val="00637ADE"/>
    <w:rsid w:val="006411FA"/>
    <w:rsid w:val="0064125A"/>
    <w:rsid w:val="00646436"/>
    <w:rsid w:val="00646593"/>
    <w:rsid w:val="00652474"/>
    <w:rsid w:val="006642A9"/>
    <w:rsid w:val="00664420"/>
    <w:rsid w:val="00680994"/>
    <w:rsid w:val="006A3961"/>
    <w:rsid w:val="006A646A"/>
    <w:rsid w:val="006B10B0"/>
    <w:rsid w:val="006B7BDA"/>
    <w:rsid w:val="006D451D"/>
    <w:rsid w:val="006E0BED"/>
    <w:rsid w:val="006E25BC"/>
    <w:rsid w:val="006E6BBC"/>
    <w:rsid w:val="006F1FEE"/>
    <w:rsid w:val="006F7768"/>
    <w:rsid w:val="007038F7"/>
    <w:rsid w:val="00703EED"/>
    <w:rsid w:val="00704C76"/>
    <w:rsid w:val="00717E59"/>
    <w:rsid w:val="00720857"/>
    <w:rsid w:val="0072263E"/>
    <w:rsid w:val="00722A66"/>
    <w:rsid w:val="00724762"/>
    <w:rsid w:val="0072571E"/>
    <w:rsid w:val="00752412"/>
    <w:rsid w:val="00754C6A"/>
    <w:rsid w:val="00775BFC"/>
    <w:rsid w:val="007803DA"/>
    <w:rsid w:val="00781217"/>
    <w:rsid w:val="007A2EBC"/>
    <w:rsid w:val="007A3459"/>
    <w:rsid w:val="007A381A"/>
    <w:rsid w:val="007B4355"/>
    <w:rsid w:val="007B49FA"/>
    <w:rsid w:val="007B6074"/>
    <w:rsid w:val="007B763C"/>
    <w:rsid w:val="007C65D0"/>
    <w:rsid w:val="007D1C55"/>
    <w:rsid w:val="007D317F"/>
    <w:rsid w:val="007D4082"/>
    <w:rsid w:val="007D7135"/>
    <w:rsid w:val="007E02CE"/>
    <w:rsid w:val="007E10BB"/>
    <w:rsid w:val="007E5CEB"/>
    <w:rsid w:val="007F032D"/>
    <w:rsid w:val="007F4A35"/>
    <w:rsid w:val="007F5D06"/>
    <w:rsid w:val="007F7A66"/>
    <w:rsid w:val="00804544"/>
    <w:rsid w:val="00804A94"/>
    <w:rsid w:val="00805A6E"/>
    <w:rsid w:val="008401A5"/>
    <w:rsid w:val="00841A69"/>
    <w:rsid w:val="008476AD"/>
    <w:rsid w:val="00852628"/>
    <w:rsid w:val="00861542"/>
    <w:rsid w:val="00862D50"/>
    <w:rsid w:val="00865CF4"/>
    <w:rsid w:val="00871A57"/>
    <w:rsid w:val="00876B54"/>
    <w:rsid w:val="00876DBC"/>
    <w:rsid w:val="00884FA9"/>
    <w:rsid w:val="00891B79"/>
    <w:rsid w:val="008A5150"/>
    <w:rsid w:val="008A6003"/>
    <w:rsid w:val="008A6F88"/>
    <w:rsid w:val="008B1E16"/>
    <w:rsid w:val="008B54A7"/>
    <w:rsid w:val="008C1676"/>
    <w:rsid w:val="008C440D"/>
    <w:rsid w:val="008C51A1"/>
    <w:rsid w:val="008C7C24"/>
    <w:rsid w:val="008D5B9F"/>
    <w:rsid w:val="008E0766"/>
    <w:rsid w:val="008E0778"/>
    <w:rsid w:val="008E1316"/>
    <w:rsid w:val="008E17B8"/>
    <w:rsid w:val="008E5069"/>
    <w:rsid w:val="008F1DB1"/>
    <w:rsid w:val="008F595C"/>
    <w:rsid w:val="009056BE"/>
    <w:rsid w:val="00910FD2"/>
    <w:rsid w:val="00911907"/>
    <w:rsid w:val="00913FF3"/>
    <w:rsid w:val="00926880"/>
    <w:rsid w:val="00926B54"/>
    <w:rsid w:val="00930CF8"/>
    <w:rsid w:val="00931437"/>
    <w:rsid w:val="0093350B"/>
    <w:rsid w:val="00947134"/>
    <w:rsid w:val="00953430"/>
    <w:rsid w:val="00953EF6"/>
    <w:rsid w:val="00955190"/>
    <w:rsid w:val="00966C28"/>
    <w:rsid w:val="00970E07"/>
    <w:rsid w:val="00970EB3"/>
    <w:rsid w:val="00972ECA"/>
    <w:rsid w:val="009766AA"/>
    <w:rsid w:val="00977152"/>
    <w:rsid w:val="00980BB8"/>
    <w:rsid w:val="0098599B"/>
    <w:rsid w:val="00986D2B"/>
    <w:rsid w:val="00987423"/>
    <w:rsid w:val="00993CB2"/>
    <w:rsid w:val="009A03B4"/>
    <w:rsid w:val="009A2D78"/>
    <w:rsid w:val="009A4AF4"/>
    <w:rsid w:val="009A4E20"/>
    <w:rsid w:val="009A7C10"/>
    <w:rsid w:val="009B2945"/>
    <w:rsid w:val="009C4EA5"/>
    <w:rsid w:val="009C4F06"/>
    <w:rsid w:val="009D009D"/>
    <w:rsid w:val="009D38CA"/>
    <w:rsid w:val="009D47ED"/>
    <w:rsid w:val="009E0035"/>
    <w:rsid w:val="009E2DEE"/>
    <w:rsid w:val="009E73D1"/>
    <w:rsid w:val="009F2D06"/>
    <w:rsid w:val="009F797C"/>
    <w:rsid w:val="00A0307E"/>
    <w:rsid w:val="00A033D4"/>
    <w:rsid w:val="00A11569"/>
    <w:rsid w:val="00A131AC"/>
    <w:rsid w:val="00A1405A"/>
    <w:rsid w:val="00A16D85"/>
    <w:rsid w:val="00A17071"/>
    <w:rsid w:val="00A21A20"/>
    <w:rsid w:val="00A21FF1"/>
    <w:rsid w:val="00A32231"/>
    <w:rsid w:val="00A36A99"/>
    <w:rsid w:val="00A45F98"/>
    <w:rsid w:val="00A53315"/>
    <w:rsid w:val="00A57230"/>
    <w:rsid w:val="00A61853"/>
    <w:rsid w:val="00A70EF0"/>
    <w:rsid w:val="00A7290A"/>
    <w:rsid w:val="00A73ACA"/>
    <w:rsid w:val="00A84BB5"/>
    <w:rsid w:val="00A9208D"/>
    <w:rsid w:val="00A94088"/>
    <w:rsid w:val="00AA02C6"/>
    <w:rsid w:val="00AA27F9"/>
    <w:rsid w:val="00AA6EA9"/>
    <w:rsid w:val="00AC2DB8"/>
    <w:rsid w:val="00AC3CA0"/>
    <w:rsid w:val="00AC5873"/>
    <w:rsid w:val="00AD1D93"/>
    <w:rsid w:val="00AD5B02"/>
    <w:rsid w:val="00AE3DA7"/>
    <w:rsid w:val="00AE73F0"/>
    <w:rsid w:val="00AF03C4"/>
    <w:rsid w:val="00AF48AA"/>
    <w:rsid w:val="00AF4F45"/>
    <w:rsid w:val="00AF7207"/>
    <w:rsid w:val="00B11016"/>
    <w:rsid w:val="00B16971"/>
    <w:rsid w:val="00B22A80"/>
    <w:rsid w:val="00B22EAC"/>
    <w:rsid w:val="00B328F3"/>
    <w:rsid w:val="00B352EB"/>
    <w:rsid w:val="00B35E28"/>
    <w:rsid w:val="00B42ED1"/>
    <w:rsid w:val="00B746A2"/>
    <w:rsid w:val="00B75C74"/>
    <w:rsid w:val="00B77464"/>
    <w:rsid w:val="00B8016C"/>
    <w:rsid w:val="00B813E4"/>
    <w:rsid w:val="00B82493"/>
    <w:rsid w:val="00B83213"/>
    <w:rsid w:val="00B95741"/>
    <w:rsid w:val="00BA3C86"/>
    <w:rsid w:val="00BA55A8"/>
    <w:rsid w:val="00BB1A35"/>
    <w:rsid w:val="00BB2ABF"/>
    <w:rsid w:val="00BB3018"/>
    <w:rsid w:val="00BB64F4"/>
    <w:rsid w:val="00BB7F6C"/>
    <w:rsid w:val="00BC130F"/>
    <w:rsid w:val="00BC5BB6"/>
    <w:rsid w:val="00BC5BF6"/>
    <w:rsid w:val="00BC791A"/>
    <w:rsid w:val="00BD2CB6"/>
    <w:rsid w:val="00BD3F4F"/>
    <w:rsid w:val="00BD4989"/>
    <w:rsid w:val="00BD5A7C"/>
    <w:rsid w:val="00BD7500"/>
    <w:rsid w:val="00BD792E"/>
    <w:rsid w:val="00BE3505"/>
    <w:rsid w:val="00BE7A1B"/>
    <w:rsid w:val="00BF0221"/>
    <w:rsid w:val="00BF091A"/>
    <w:rsid w:val="00BF4EAD"/>
    <w:rsid w:val="00C00423"/>
    <w:rsid w:val="00C02465"/>
    <w:rsid w:val="00C033D2"/>
    <w:rsid w:val="00C049E2"/>
    <w:rsid w:val="00C0510E"/>
    <w:rsid w:val="00C05CDC"/>
    <w:rsid w:val="00C05DAD"/>
    <w:rsid w:val="00C10275"/>
    <w:rsid w:val="00C10F9B"/>
    <w:rsid w:val="00C12EB7"/>
    <w:rsid w:val="00C158A8"/>
    <w:rsid w:val="00C20A30"/>
    <w:rsid w:val="00C20A78"/>
    <w:rsid w:val="00C23ADF"/>
    <w:rsid w:val="00C2631E"/>
    <w:rsid w:val="00C3649E"/>
    <w:rsid w:val="00C36795"/>
    <w:rsid w:val="00C43BC1"/>
    <w:rsid w:val="00C4421E"/>
    <w:rsid w:val="00C461EC"/>
    <w:rsid w:val="00C507D4"/>
    <w:rsid w:val="00C656A8"/>
    <w:rsid w:val="00C71CEF"/>
    <w:rsid w:val="00C72DAA"/>
    <w:rsid w:val="00C73E2C"/>
    <w:rsid w:val="00C80B14"/>
    <w:rsid w:val="00C858ED"/>
    <w:rsid w:val="00C95D0A"/>
    <w:rsid w:val="00CA0416"/>
    <w:rsid w:val="00CA1D08"/>
    <w:rsid w:val="00CB14D8"/>
    <w:rsid w:val="00CB7E9A"/>
    <w:rsid w:val="00CC2598"/>
    <w:rsid w:val="00CC761E"/>
    <w:rsid w:val="00CD0B92"/>
    <w:rsid w:val="00CE29D3"/>
    <w:rsid w:val="00CE7A13"/>
    <w:rsid w:val="00CF2D8B"/>
    <w:rsid w:val="00CF440A"/>
    <w:rsid w:val="00CF7586"/>
    <w:rsid w:val="00D036D3"/>
    <w:rsid w:val="00D07619"/>
    <w:rsid w:val="00D13408"/>
    <w:rsid w:val="00D138E1"/>
    <w:rsid w:val="00D20E78"/>
    <w:rsid w:val="00D275FC"/>
    <w:rsid w:val="00D2790D"/>
    <w:rsid w:val="00D35405"/>
    <w:rsid w:val="00D455DE"/>
    <w:rsid w:val="00D51ECD"/>
    <w:rsid w:val="00D6170E"/>
    <w:rsid w:val="00D67166"/>
    <w:rsid w:val="00D72EA8"/>
    <w:rsid w:val="00D7596A"/>
    <w:rsid w:val="00D76084"/>
    <w:rsid w:val="00D76152"/>
    <w:rsid w:val="00D81B72"/>
    <w:rsid w:val="00D91CB4"/>
    <w:rsid w:val="00DA0AF8"/>
    <w:rsid w:val="00DA7A5B"/>
    <w:rsid w:val="00DB1C09"/>
    <w:rsid w:val="00DB6004"/>
    <w:rsid w:val="00DC0B76"/>
    <w:rsid w:val="00DC6F7D"/>
    <w:rsid w:val="00DD1221"/>
    <w:rsid w:val="00DD3012"/>
    <w:rsid w:val="00DE1133"/>
    <w:rsid w:val="00DF4258"/>
    <w:rsid w:val="00E00B5F"/>
    <w:rsid w:val="00E01754"/>
    <w:rsid w:val="00E07263"/>
    <w:rsid w:val="00E16BF5"/>
    <w:rsid w:val="00E220C2"/>
    <w:rsid w:val="00E35C0F"/>
    <w:rsid w:val="00E37A3F"/>
    <w:rsid w:val="00E37D3C"/>
    <w:rsid w:val="00E62E6A"/>
    <w:rsid w:val="00E6475E"/>
    <w:rsid w:val="00E70AF0"/>
    <w:rsid w:val="00E71D5E"/>
    <w:rsid w:val="00E7268D"/>
    <w:rsid w:val="00E74D1F"/>
    <w:rsid w:val="00E83EF5"/>
    <w:rsid w:val="00E9335C"/>
    <w:rsid w:val="00EA361F"/>
    <w:rsid w:val="00EB262C"/>
    <w:rsid w:val="00EB6157"/>
    <w:rsid w:val="00EB77F0"/>
    <w:rsid w:val="00EC45E2"/>
    <w:rsid w:val="00ED1C1E"/>
    <w:rsid w:val="00ED2ED2"/>
    <w:rsid w:val="00ED4C1D"/>
    <w:rsid w:val="00ED50D7"/>
    <w:rsid w:val="00ED6786"/>
    <w:rsid w:val="00ED6CBD"/>
    <w:rsid w:val="00EE0DBB"/>
    <w:rsid w:val="00EE1C5D"/>
    <w:rsid w:val="00EE2AF2"/>
    <w:rsid w:val="00EE7417"/>
    <w:rsid w:val="00EF16D7"/>
    <w:rsid w:val="00F04F85"/>
    <w:rsid w:val="00F069E3"/>
    <w:rsid w:val="00F07EE6"/>
    <w:rsid w:val="00F130F4"/>
    <w:rsid w:val="00F16D76"/>
    <w:rsid w:val="00F3205F"/>
    <w:rsid w:val="00F33426"/>
    <w:rsid w:val="00F33CC8"/>
    <w:rsid w:val="00F4481C"/>
    <w:rsid w:val="00F51A4F"/>
    <w:rsid w:val="00F5313F"/>
    <w:rsid w:val="00F701EF"/>
    <w:rsid w:val="00F75D23"/>
    <w:rsid w:val="00F90936"/>
    <w:rsid w:val="00F9111A"/>
    <w:rsid w:val="00FA2A21"/>
    <w:rsid w:val="00FA3644"/>
    <w:rsid w:val="00FA5957"/>
    <w:rsid w:val="00FC0F67"/>
    <w:rsid w:val="00FC23B8"/>
    <w:rsid w:val="00FC24D4"/>
    <w:rsid w:val="00FC3CE0"/>
    <w:rsid w:val="00FC3FCC"/>
    <w:rsid w:val="00FD06A8"/>
    <w:rsid w:val="00FD1DDB"/>
    <w:rsid w:val="00FE1818"/>
    <w:rsid w:val="00FE65CE"/>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1197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1197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61197D"/>
    <w:rPr>
      <w:vertAlign w:val="superscript"/>
    </w:rPr>
  </w:style>
  <w:style w:type="character" w:styleId="Hipervnculovisitado">
    <w:name w:val="FollowedHyperlink"/>
    <w:basedOn w:val="Fuentedeprrafopredeter"/>
    <w:uiPriority w:val="99"/>
    <w:semiHidden/>
    <w:unhideWhenUsed/>
    <w:rsid w:val="00977152"/>
    <w:rPr>
      <w:color w:val="96607D" w:themeColor="followedHyperlink"/>
      <w:u w:val="single"/>
    </w:rPr>
  </w:style>
  <w:style w:type="character" w:customStyle="1" w:styleId="SinespaciadoCar">
    <w:name w:val="Sin espaciado Car"/>
    <w:aliases w:val="Francesa Car,INAI Car"/>
    <w:link w:val="Sinespaciado"/>
    <w:uiPriority w:val="1"/>
    <w:locked/>
    <w:rsid w:val="00B813E4"/>
    <w:rPr>
      <w:rFonts w:ascii="Palatino Linotype" w:eastAsia="Times New Roman" w:hAnsi="Palatino Linotype" w:cs="Times New Roman"/>
      <w:kern w:val="0"/>
      <w:szCs w:val="20"/>
      <w:lang w:eastAsia="es-ES"/>
      <w14:ligatures w14:val="none"/>
    </w:rPr>
  </w:style>
  <w:style w:type="table" w:customStyle="1" w:styleId="Tablaconcuadrcula30">
    <w:name w:val="Tabla con cuadrícula30"/>
    <w:basedOn w:val="Tablanormal"/>
    <w:next w:val="Tablaconcuadrcula"/>
    <w:uiPriority w:val="39"/>
    <w:qFormat/>
    <w:rsid w:val="000F6F5E"/>
    <w:pPr>
      <w:spacing w:after="0" w:line="240" w:lineRule="auto"/>
    </w:pPr>
    <w:rPr>
      <w:rFonts w:eastAsiaTheme="minorEastAsia"/>
      <w:kern w:val="0"/>
      <w:sz w:val="24"/>
      <w:szCs w:val="24"/>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656A8"/>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51589">
      <w:bodyDiv w:val="1"/>
      <w:marLeft w:val="0"/>
      <w:marRight w:val="0"/>
      <w:marTop w:val="0"/>
      <w:marBottom w:val="0"/>
      <w:divBdr>
        <w:top w:val="none" w:sz="0" w:space="0" w:color="auto"/>
        <w:left w:val="none" w:sz="0" w:space="0" w:color="auto"/>
        <w:bottom w:val="none" w:sz="0" w:space="0" w:color="auto"/>
        <w:right w:val="none" w:sz="0" w:space="0" w:color="auto"/>
      </w:divBdr>
    </w:div>
    <w:div w:id="1892615218">
      <w:bodyDiv w:val="1"/>
      <w:marLeft w:val="0"/>
      <w:marRight w:val="0"/>
      <w:marTop w:val="0"/>
      <w:marBottom w:val="0"/>
      <w:divBdr>
        <w:top w:val="none" w:sz="0" w:space="0" w:color="auto"/>
        <w:left w:val="none" w:sz="0" w:space="0" w:color="auto"/>
        <w:bottom w:val="none" w:sz="0" w:space="0" w:color="auto"/>
        <w:right w:val="none" w:sz="0" w:space="0" w:color="auto"/>
      </w:divBdr>
    </w:div>
    <w:div w:id="20018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portalanterior.ine.mx/archivos2/tutoriales/sistemas/ApoyoInstitucional/SIF/docs/candidatos/folioFiscalFactur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f.gob.mx/nota_detalle.php?codigo=5492254&amp;fecha=28/07/2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www.w3.org/XML/1998/namespace"/>
    <ds:schemaRef ds:uri="http://schemas.microsoft.com/office/2006/documentManagement/types"/>
    <ds:schemaRef ds:uri="76b08bab-a17d-419c-8fa8-b7b9c3c33fde"/>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73A12696-8054-47E0-9AD1-D01C9666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42</Pages>
  <Words>10475</Words>
  <Characters>57614</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2024-11-07T18:19:00Z</cp:lastPrinted>
  <dcterms:created xsi:type="dcterms:W3CDTF">2024-11-04T23:59:00Z</dcterms:created>
  <dcterms:modified xsi:type="dcterms:W3CDTF">2024-11-07T18:19:00Z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