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2566BB30"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B2669">
        <w:rPr>
          <w:rFonts w:ascii="Palatino Linotype" w:eastAsia="Times New Roman" w:hAnsi="Palatino Linotype" w:cs="Arial"/>
          <w:color w:val="000000"/>
          <w:sz w:val="24"/>
          <w:szCs w:val="24"/>
          <w:lang w:eastAsia="es-MX"/>
        </w:rPr>
        <w:t xml:space="preserve">nueve de octubre de dos mil veinticuatro. </w:t>
      </w:r>
      <w:r w:rsidR="009237DE">
        <w:rPr>
          <w:rFonts w:ascii="Palatino Linotype" w:eastAsia="Times New Roman" w:hAnsi="Palatino Linotype" w:cs="Arial"/>
          <w:color w:val="000000"/>
          <w:sz w:val="24"/>
          <w:szCs w:val="24"/>
          <w:lang w:eastAsia="es-MX"/>
        </w:rPr>
        <w:t xml:space="preserve"> </w:t>
      </w:r>
      <w:r w:rsidR="00711390">
        <w:rPr>
          <w:rFonts w:ascii="Palatino Linotype" w:eastAsia="Times New Roman" w:hAnsi="Palatino Linotype" w:cs="Arial"/>
          <w:color w:val="000000"/>
          <w:sz w:val="24"/>
          <w:szCs w:val="24"/>
          <w:lang w:eastAsia="es-MX"/>
        </w:rPr>
        <w:t xml:space="preserve"> </w:t>
      </w:r>
    </w:p>
    <w:p w14:paraId="4309DA66" w14:textId="51777011" w:rsidR="00FB2669" w:rsidRPr="00FB2669" w:rsidRDefault="00B433C9" w:rsidP="00224749">
      <w:pPr>
        <w:tabs>
          <w:tab w:val="left" w:pos="1701"/>
        </w:tabs>
        <w:spacing w:after="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711390">
        <w:rPr>
          <w:rFonts w:ascii="Palatino Linotype" w:hAnsi="Palatino Linotype" w:cs="Arial"/>
          <w:b/>
          <w:bCs/>
          <w:sz w:val="24"/>
        </w:rPr>
        <w:t>0</w:t>
      </w:r>
      <w:r w:rsidR="00FB2669">
        <w:rPr>
          <w:rFonts w:ascii="Palatino Linotype" w:hAnsi="Palatino Linotype" w:cs="Arial"/>
          <w:b/>
          <w:bCs/>
          <w:sz w:val="24"/>
        </w:rPr>
        <w:t xml:space="preserve">3815/INFOEM/IP/RR/2024, </w:t>
      </w:r>
      <w:r w:rsidR="00FB2669">
        <w:rPr>
          <w:rFonts w:ascii="Palatino Linotype" w:hAnsi="Palatino Linotype" w:cs="Arial"/>
          <w:sz w:val="24"/>
        </w:rPr>
        <w:t xml:space="preserve">interpuesto por el </w:t>
      </w:r>
      <w:r w:rsidR="00FB2669">
        <w:rPr>
          <w:rFonts w:ascii="Palatino Linotype" w:hAnsi="Palatino Linotype" w:cs="Arial"/>
          <w:b/>
          <w:bCs/>
          <w:sz w:val="24"/>
        </w:rPr>
        <w:t xml:space="preserve">C. </w:t>
      </w:r>
      <w:r w:rsidR="00EA63C2">
        <w:rPr>
          <w:rFonts w:ascii="Palatino Linotype" w:hAnsi="Palatino Linotype" w:cs="Arial"/>
          <w:b/>
          <w:bCs/>
          <w:sz w:val="24"/>
        </w:rPr>
        <w:t>XXXXXXXXXXXXXXXX</w:t>
      </w:r>
      <w:r w:rsidR="00FB2669">
        <w:rPr>
          <w:rFonts w:ascii="Palatino Linotype" w:hAnsi="Palatino Linotype" w:cs="Arial"/>
          <w:b/>
          <w:bCs/>
          <w:sz w:val="24"/>
        </w:rPr>
        <w:t xml:space="preserve">, </w:t>
      </w:r>
      <w:r w:rsidR="00A339E6">
        <w:rPr>
          <w:rFonts w:ascii="Palatino Linotype" w:hAnsi="Palatino Linotype" w:cs="Arial"/>
          <w:sz w:val="24"/>
        </w:rPr>
        <w:t xml:space="preserve">en lo sucesivo </w:t>
      </w:r>
      <w:r w:rsidR="00A339E6">
        <w:rPr>
          <w:rFonts w:ascii="Palatino Linotype" w:hAnsi="Palatino Linotype" w:cs="Arial"/>
          <w:b/>
          <w:sz w:val="24"/>
        </w:rPr>
        <w:t xml:space="preserve">El Recurrente, </w:t>
      </w:r>
      <w:r w:rsidR="00A339E6">
        <w:rPr>
          <w:rFonts w:ascii="Palatino Linotype" w:hAnsi="Palatino Linotype" w:cs="Arial"/>
          <w:sz w:val="24"/>
        </w:rPr>
        <w:t xml:space="preserve">en contra de la respuesta del </w:t>
      </w:r>
      <w:r w:rsidR="00FB2669">
        <w:rPr>
          <w:rFonts w:ascii="Palatino Linotype" w:hAnsi="Palatino Linotype" w:cs="Arial"/>
          <w:b/>
          <w:bCs/>
          <w:sz w:val="24"/>
        </w:rPr>
        <w:t xml:space="preserve">Ayuntamiento de Naucalpan de Juárez, </w:t>
      </w:r>
      <w:r w:rsidR="00FB2669">
        <w:rPr>
          <w:rFonts w:ascii="Palatino Linotype" w:hAnsi="Palatino Linotype" w:cs="Arial"/>
          <w:sz w:val="24"/>
        </w:rPr>
        <w:t xml:space="preserve">en lo subsecuente </w:t>
      </w:r>
      <w:r w:rsidR="00FB2669">
        <w:rPr>
          <w:rFonts w:ascii="Palatino Linotype" w:hAnsi="Palatino Linotype" w:cs="Arial"/>
          <w:b/>
          <w:bCs/>
          <w:sz w:val="24"/>
        </w:rPr>
        <w:t xml:space="preserve">El Sujeto Obligado, </w:t>
      </w:r>
      <w:r w:rsidR="00FB2669">
        <w:rPr>
          <w:rFonts w:ascii="Palatino Linotype" w:hAnsi="Palatino Linotype" w:cs="Arial"/>
          <w:sz w:val="24"/>
        </w:rPr>
        <w:t xml:space="preserve">se procede a dictar la presente resolución. </w:t>
      </w:r>
    </w:p>
    <w:p w14:paraId="1DC6FD47" w14:textId="77777777" w:rsidR="00206AF1" w:rsidRDefault="00206AF1" w:rsidP="00224749">
      <w:pPr>
        <w:tabs>
          <w:tab w:val="left" w:pos="1701"/>
        </w:tabs>
        <w:spacing w:after="0" w:line="360" w:lineRule="auto"/>
        <w:jc w:val="both"/>
        <w:rPr>
          <w:rFonts w:ascii="Palatino Linotype" w:hAnsi="Palatino Linotype" w:cs="Arial"/>
          <w:b/>
          <w:sz w:val="24"/>
        </w:rPr>
      </w:pPr>
    </w:p>
    <w:p w14:paraId="4094D3E4" w14:textId="77777777" w:rsidR="00B433C9" w:rsidRPr="00F205B9" w:rsidRDefault="00B433C9" w:rsidP="00224749">
      <w:pPr>
        <w:spacing w:after="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BC85B09" w14:textId="176578E6" w:rsidR="00FB2669"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FB2669">
        <w:rPr>
          <w:rFonts w:ascii="Palatino Linotype" w:hAnsi="Palatino Linotype" w:cs="Arial"/>
          <w:b/>
          <w:bCs/>
          <w:sz w:val="24"/>
        </w:rPr>
        <w:t xml:space="preserve">nueve de mayo de dos mil veinticuatro, El Recurrente, </w:t>
      </w:r>
      <w:r w:rsidR="009237DE">
        <w:rPr>
          <w:rFonts w:ascii="Palatino Linotype" w:hAnsi="Palatino Linotype" w:cs="Arial"/>
          <w:sz w:val="24"/>
        </w:rPr>
        <w:t xml:space="preserve">presentó a través del Sistema de Acceso a la Información Mexiquense </w:t>
      </w:r>
      <w:r w:rsidR="009237DE">
        <w:rPr>
          <w:rFonts w:ascii="Palatino Linotype" w:hAnsi="Palatino Linotype" w:cs="Arial"/>
          <w:b/>
          <w:sz w:val="24"/>
        </w:rPr>
        <w:t xml:space="preserve">(SAIMEX) </w:t>
      </w:r>
      <w:r w:rsidR="009237DE">
        <w:rPr>
          <w:rFonts w:ascii="Palatino Linotype" w:hAnsi="Palatino Linotype" w:cs="Arial"/>
          <w:sz w:val="24"/>
        </w:rPr>
        <w:t xml:space="preserve">ante </w:t>
      </w:r>
      <w:r w:rsidR="009237DE">
        <w:rPr>
          <w:rFonts w:ascii="Palatino Linotype" w:hAnsi="Palatino Linotype" w:cs="Arial"/>
          <w:b/>
          <w:sz w:val="24"/>
        </w:rPr>
        <w:t>El Sujeto Obligado</w:t>
      </w:r>
      <w:r w:rsidR="009237DE">
        <w:rPr>
          <w:rFonts w:ascii="Palatino Linotype" w:hAnsi="Palatino Linotype" w:cs="Arial"/>
          <w:sz w:val="24"/>
        </w:rPr>
        <w:t xml:space="preserve">, solicitud de acceso a la información pública, registrada bajo el número de expediente </w:t>
      </w:r>
      <w:r w:rsidR="00FB2669">
        <w:rPr>
          <w:rFonts w:ascii="Palatino Linotype" w:hAnsi="Palatino Linotype" w:cs="Arial"/>
          <w:b/>
          <w:bCs/>
          <w:sz w:val="24"/>
        </w:rPr>
        <w:t xml:space="preserve">00378/NAUCALPA/IP/2024, </w:t>
      </w:r>
      <w:r w:rsidR="00FB2669">
        <w:rPr>
          <w:rFonts w:ascii="Palatino Linotype" w:hAnsi="Palatino Linotype" w:cs="Arial"/>
          <w:sz w:val="24"/>
        </w:rPr>
        <w:t>mediante la cual solicitó información en el tenor siguiente:</w:t>
      </w:r>
    </w:p>
    <w:p w14:paraId="4F8A70E6" w14:textId="10C25B38" w:rsidR="00FB2669" w:rsidRPr="00FB2669" w:rsidRDefault="00FB2669" w:rsidP="00FB2669">
      <w:pPr>
        <w:pStyle w:val="Citas"/>
      </w:pPr>
      <w:r>
        <w:t>“</w:t>
      </w:r>
      <w:r w:rsidRPr="00FB2669">
        <w:t xml:space="preserve">Por medio de la presente vengo a solicitar información pública al Catastro Municipal de Naucalpan de Juárez y/o al H. Ayuntamiento de Naucalpan de Juárez, México, </w:t>
      </w:r>
      <w:r w:rsidRPr="001F7844">
        <w:t xml:space="preserve">RELACIONADA CON LA DOCUMENTACIÓN QUE SE EXHIBIÓ PARA SOLICITAR CUALQUIERA DE LOS SERVICIOS CATASTRALES QUE PRESTA EL AYUNTAMIENTO, ES DECIR, CUANDO </w:t>
      </w:r>
      <w:r w:rsidRPr="001F7844">
        <w:lastRenderedPageBreak/>
        <w:t xml:space="preserve">SE AUTORICE POR AUTORIDAD COMPETENTE UNA FUSIÓN, SUBDIVISIÓN, LOTIFICACIÓN, RELOTIFICACIÓN, CONJUNTO URBANO, AFECTACIÓN O MODIFICACIÓN DE LINDEROS; UN CAMBIO DE USO DE SUELO; O SE MODIFIQUE LA SUPERFICIE DE TERRENO O CONSTRUCCIÓN CUALQUIERA QUE SEA LA CAUSA; POR LO QUE SOLICITÓ COPIA DE DICHAS AUTORIZACIONES, ASÍ MISMO, SOLICITO EL DOCUMENTO DONDE CONSTE LA COMPROBACIÓN DE QUE LA DOCUMENTACIÓN PRESENTADA SEA LA CORRECTA Y NECESARIA PARA PROCEDER AL TRÁMITE, ASÍ COMO CUÁL FUE EL PROCEDIMIENTO QUE SE SIGUIÓ PARA LA ASIGNACIÓN DE LA CLAVE CATASTRAL PARA CONDOMINIO PARA EL PREDIO Y/O CONDOMINIO HORIZONTAL UBICADO EN AVENIDA </w:t>
      </w:r>
      <w:r w:rsidR="00EA63C2">
        <w:t>XXXXXXXXXXXXXXXX</w:t>
      </w:r>
      <w:r w:rsidRPr="001F7844">
        <w:t xml:space="preserve"> </w:t>
      </w:r>
      <w:r w:rsidR="00EA63C2">
        <w:t>XXXXXXXXXXXXXXXXXXXXXXXXXXXXXXXXXXXXXXXXXXXXXX</w:t>
      </w:r>
      <w:r w:rsidRPr="001F7844">
        <w:t xml:space="preserve">, </w:t>
      </w:r>
      <w:r w:rsidR="00EA63C2">
        <w:t>XXXXXXXXXXXXXXXXXXXXXXXXXXXXXXXX</w:t>
      </w:r>
      <w:r w:rsidRPr="001F7844">
        <w:t xml:space="preserve">, NAUCALPAN DE JUÁREZ, ESTADO DE MÉXICO, </w:t>
      </w:r>
      <w:r w:rsidR="00EA63C2">
        <w:t>XXXXXX</w:t>
      </w:r>
      <w:r w:rsidRPr="001F7844">
        <w:t>,</w:t>
      </w:r>
      <w:r w:rsidRPr="00FB2669">
        <w:t xml:space="preserve"> siendo que un predio se constituye en condominio cuando cumple con las condiciones y características establecidas en el Código Administrativo del Estado de México y en la Ley que Regula el Régimen de Propiedad en Condominio en el Estado de México. Está conformado por unidades que cuentan con partes privativas y partes comunes, según lo establecido en el "Manual Catastral del Estado de México" y que a la letra dice así: ACGC014. Los servicios catastrales que presta el ayuntamiento son: • Inscripción de inmuebles en el padrón catastral municipal. • Registro de altas, bajas y modificaciones de construcciones. • Actualización del padrón catastral derivada de subdivisión, fusión, lotificación, relotificación, conjuntos urbanos, afectaciones y modificación de linderos, previa autorización emitida por la autoridad competente. • Actualización al padrón catastral derivada de cambios técnicos y administrativos. • Asignación, </w:t>
      </w:r>
      <w:r w:rsidRPr="00FB2669">
        <w:lastRenderedPageBreak/>
        <w:t xml:space="preserve">baja y reasignación de clave catastral. • Certificaciones de clave catastral, clave y valor catastral y plano manzanero. • Constancia de identificación catastral. • Levantamiento topográfico catastral, en los casos previstos por las disposiciones jurídicas aplicables. • Verificación de linderos. ACGC016.- Para la atención de los servicios indicados en los incisos primero, tercero, cuarto y quinto de la política ACGC014, relacionados con los supuestos establecidos en el artículo 175 del Código Financiero del Estado de México y Municipios, es decir, cuando se adquiera </w:t>
      </w:r>
      <w:proofErr w:type="spellStart"/>
      <w:r w:rsidRPr="00FB2669">
        <w:t>uninmueble</w:t>
      </w:r>
      <w:proofErr w:type="spellEnd"/>
      <w:r w:rsidRPr="00FB2669">
        <w:t xml:space="preserve"> por primera vez; se autorice por autoridad competente una fusión, subdivisión, lotificación, relotificación, conjunto urbano, afectación o modificación de linderos; un cambio de uso de suelo; o se modifique la superficie de terreno o construcción cualquiera que sea la causa; es procedente la actualización de los datos técnicos, administrativos y el valor catastral; y en su caso asignar claves catastrales; para tal efecto, dentro de los treinta días siguientes a la fecha en que se haya otorgado la autorización correspondiente, los propietarios o poseedores de esos inmuebles deberán presentar ante el catastro de los ayuntamientos las manifestaciones catastrales en los formatos autorizados anexando los documentos y planos necesarios, según sea el caso, así como un avalúo catastral practicado y emitido por el IGECEM o por especialista en valuación inmobiliaria con registro vigente expedido por el propio Instituto que servirá de soporte técnico del servicio requerido. CÓDIGO FINANCIERO DEL ESTADO DE MÉXICO Y MUNICIPIOS, CAPÍTULO TERCERO  DE LA INSCRIPCIÓN Y ACTUALIZACIÓN DE INMUEBLES Artículo 175.-  Los propietarios o poseedores de inmuebles, independientemente del régimen jurídico de propiedad, ubicados en territorio del Estado, incluyendo las Dependencias y Entidades Públicas, están obligados a inscribirlos ante la unidad de catastro municipal correspondiente, mediante manifestación catastral que presenten de acuerdo con lo dispuesto en el </w:t>
      </w:r>
      <w:r w:rsidRPr="00FB2669">
        <w:lastRenderedPageBreak/>
        <w:t>Reglamento de este Título y al procedimiento establecido en el Manual Catastral, en los formatos y modalidades autorizados por el IGECEM, precisando las superficies del terreno y de la construcción, su ubicación y uso de suelo, si es a título de propietario o poseedor y demás datos solicitados, exhibiendo la documentación requerida para estos efectos</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485D56E7" w14:textId="77777777" w:rsidR="007008AB" w:rsidRDefault="007008AB" w:rsidP="00B433C9">
      <w:pPr>
        <w:spacing w:before="240" w:line="360" w:lineRule="auto"/>
        <w:jc w:val="both"/>
        <w:rPr>
          <w:rFonts w:ascii="Palatino Linotype" w:hAnsi="Palatino Linotype" w:cs="Arial"/>
          <w:sz w:val="24"/>
        </w:rPr>
      </w:pPr>
    </w:p>
    <w:p w14:paraId="361EA2CA" w14:textId="77777777" w:rsidR="0078588E" w:rsidRDefault="0078588E" w:rsidP="0078588E">
      <w:pPr>
        <w:spacing w:before="240" w:line="360" w:lineRule="auto"/>
        <w:jc w:val="both"/>
        <w:rPr>
          <w:rFonts w:ascii="Palatino Linotype" w:hAnsi="Palatino Linotype" w:cs="Arial"/>
          <w:b/>
          <w:sz w:val="28"/>
        </w:rPr>
      </w:pPr>
      <w:r>
        <w:rPr>
          <w:rFonts w:ascii="Palatino Linotype" w:hAnsi="Palatino Linotype" w:cs="Arial"/>
          <w:b/>
          <w:sz w:val="28"/>
          <w:lang w:val="es-ES_tradnl"/>
        </w:rPr>
        <w:t xml:space="preserve">SEGUNDO. </w:t>
      </w:r>
      <w:r>
        <w:rPr>
          <w:rFonts w:ascii="Palatino Linotype" w:hAnsi="Palatino Linotype" w:cs="Arial"/>
          <w:b/>
          <w:sz w:val="28"/>
        </w:rPr>
        <w:t xml:space="preserve">De la prórroga del Sujeto Obligado. </w:t>
      </w:r>
    </w:p>
    <w:p w14:paraId="5057FB8B" w14:textId="73AC52C1" w:rsidR="0078588E" w:rsidRDefault="0078588E" w:rsidP="0078588E">
      <w:pPr>
        <w:spacing w:before="240" w:line="360" w:lineRule="auto"/>
        <w:jc w:val="both"/>
        <w:rPr>
          <w:rFonts w:ascii="Palatino Linotype" w:hAnsi="Palatino Linotype" w:cs="Arial"/>
          <w:b/>
          <w:bCs/>
          <w:sz w:val="24"/>
          <w:szCs w:val="24"/>
        </w:rPr>
      </w:pPr>
      <w:r>
        <w:rPr>
          <w:rFonts w:ascii="Palatino Linotype" w:hAnsi="Palatino Linotype" w:cs="Arial"/>
          <w:sz w:val="24"/>
          <w:szCs w:val="24"/>
        </w:rPr>
        <w:t xml:space="preserve">De las constancias que obran en 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Pr>
          <w:rFonts w:ascii="Palatino Linotype" w:hAnsi="Palatino Linotype" w:cs="Arial"/>
          <w:b/>
          <w:bCs/>
          <w:sz w:val="24"/>
          <w:szCs w:val="24"/>
        </w:rPr>
        <w:t xml:space="preserve">treinta de mayo de dos mil veinticuatro, El Sujeto Obligado </w:t>
      </w:r>
      <w:r w:rsidRPr="008146ED">
        <w:rPr>
          <w:rFonts w:ascii="Palatino Linotype" w:hAnsi="Palatino Linotype" w:cs="Arial"/>
          <w:sz w:val="24"/>
          <w:szCs w:val="24"/>
        </w:rPr>
        <w:t>s</w:t>
      </w:r>
      <w:r>
        <w:rPr>
          <w:rFonts w:ascii="Palatino Linotype" w:hAnsi="Palatino Linotype" w:cs="Arial"/>
          <w:sz w:val="24"/>
          <w:szCs w:val="24"/>
        </w:rPr>
        <w:t xml:space="preserve">olicitó prórroga de siete días para recabar la información solicitada y dar cumplimiento a lo requerido por </w:t>
      </w:r>
      <w:r>
        <w:rPr>
          <w:rFonts w:ascii="Palatino Linotype" w:hAnsi="Palatino Linotype" w:cs="Arial"/>
          <w:b/>
          <w:bCs/>
          <w:sz w:val="24"/>
          <w:szCs w:val="24"/>
        </w:rPr>
        <w:t xml:space="preserve">La Recurrente, </w:t>
      </w:r>
      <w:r>
        <w:rPr>
          <w:rFonts w:ascii="Palatino Linotype" w:hAnsi="Palatino Linotype" w:cs="Arial"/>
          <w:sz w:val="24"/>
          <w:szCs w:val="24"/>
        </w:rPr>
        <w:t>advirtiendo que dicha prórroga</w:t>
      </w:r>
      <w:r>
        <w:rPr>
          <w:rFonts w:ascii="Palatino Linotype" w:hAnsi="Palatino Linotype" w:cs="Arial"/>
          <w:b/>
          <w:bCs/>
          <w:sz w:val="24"/>
          <w:szCs w:val="24"/>
        </w:rPr>
        <w:t xml:space="preserve"> </w:t>
      </w:r>
      <w:r w:rsidRPr="0078588E">
        <w:rPr>
          <w:rFonts w:ascii="Palatino Linotype" w:hAnsi="Palatino Linotype" w:cs="Arial"/>
          <w:b/>
          <w:bCs/>
          <w:sz w:val="24"/>
          <w:szCs w:val="24"/>
        </w:rPr>
        <w:t>NO</w:t>
      </w:r>
      <w:r>
        <w:rPr>
          <w:rFonts w:ascii="Palatino Linotype" w:hAnsi="Palatino Linotype" w:cs="Arial"/>
          <w:sz w:val="24"/>
          <w:szCs w:val="24"/>
        </w:rPr>
        <w:t xml:space="preserve"> cumple con lo </w:t>
      </w:r>
      <w:r>
        <w:rPr>
          <w:rFonts w:ascii="Palatino Linotype" w:hAnsi="Palatino Linotype"/>
          <w:sz w:val="24"/>
          <w:szCs w:val="24"/>
        </w:rPr>
        <w:t xml:space="preserve">establecido en el artículo 49, fracción II, así como en el artículo 163 segundo párrafo, de la </w:t>
      </w:r>
      <w:r>
        <w:rPr>
          <w:rFonts w:ascii="Palatino Linotype" w:hAnsi="Palatino Linotype" w:cs="Arial"/>
          <w:sz w:val="24"/>
          <w:szCs w:val="24"/>
        </w:rPr>
        <w:t>Ley de Transparencia y Acceso a la Información Pública del Estado de México y Municipios.</w:t>
      </w:r>
    </w:p>
    <w:p w14:paraId="43E1FF31" w14:textId="77777777" w:rsidR="0078588E" w:rsidRDefault="0078588E" w:rsidP="00B433C9">
      <w:pPr>
        <w:spacing w:before="240" w:line="360" w:lineRule="auto"/>
        <w:jc w:val="both"/>
        <w:rPr>
          <w:rFonts w:ascii="Palatino Linotype" w:hAnsi="Palatino Linotype" w:cs="Arial"/>
          <w:sz w:val="24"/>
        </w:rPr>
      </w:pPr>
    </w:p>
    <w:p w14:paraId="2745D23E" w14:textId="2E382C48" w:rsidR="00B433C9" w:rsidRDefault="0078588E"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6AD691AC" w14:textId="03A6188C" w:rsidR="0078588E"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711390">
        <w:rPr>
          <w:rFonts w:ascii="Palatino Linotype" w:hAnsi="Palatino Linotype" w:cs="Arial"/>
          <w:sz w:val="24"/>
          <w:szCs w:val="24"/>
        </w:rPr>
        <w:t xml:space="preserve"> </w:t>
      </w:r>
      <w:r w:rsidR="0078588E">
        <w:rPr>
          <w:rFonts w:ascii="Palatino Linotype" w:hAnsi="Palatino Linotype" w:cs="Arial"/>
          <w:b/>
          <w:bCs/>
          <w:sz w:val="24"/>
          <w:szCs w:val="24"/>
        </w:rPr>
        <w:t xml:space="preserve">diez de junio de los corrientes, El Sujeto Obligado </w:t>
      </w:r>
      <w:r w:rsidR="0078588E">
        <w:rPr>
          <w:rFonts w:ascii="Palatino Linotype" w:hAnsi="Palatino Linotype" w:cs="Arial"/>
          <w:sz w:val="24"/>
          <w:szCs w:val="24"/>
        </w:rPr>
        <w:t>dio respuesta a la solicitud de información en los siguientes términos:</w:t>
      </w:r>
    </w:p>
    <w:p w14:paraId="5BA6BEC6" w14:textId="1DDA62BA" w:rsidR="0078588E" w:rsidRDefault="0078588E" w:rsidP="0078588E">
      <w:pPr>
        <w:pStyle w:val="Citas"/>
      </w:pPr>
      <w:r>
        <w:lastRenderedPageBreak/>
        <w:t>“</w:t>
      </w:r>
      <w:r w:rsidRPr="0078588E">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51913F12" w14:textId="2DE50D32" w:rsidR="0078588E" w:rsidRPr="0078588E" w:rsidRDefault="0078588E" w:rsidP="0078588E">
      <w:pPr>
        <w:pStyle w:val="Citas"/>
        <w:rPr>
          <w:b/>
          <w:bCs/>
        </w:rPr>
      </w:pPr>
      <w:r w:rsidRPr="0078588E">
        <w:t xml:space="preserve">Naucalpan de Juárez, Estado de México a 27 de mayo del 2024. Número de oficio: DGDU/SJ-III/1113/2024. Asunto: Respuesta solicitud SAIMEX 00378/NAUCALPA/IP/2024. ESTIMADA (O) PERSONA SOLICITANTE. PRESENTE. En términos de lo dispuesto por los artículos 6 y 116 fracción VIII de la Constitución Política de los Estados Unidos Mexicanos; 5 de la Constitución Política del Estado Libre y Soberano de México; 2, 31 fracción XLVI, 86 y 96 Bis fracción XXVI de la Ley Orgánica Municipal del Estado de México; 1.5 fracción VIII del Código Administrativo del Estado de México; 1, 2, 3, 20, 23 del Reglamento Orgánico de la Administración Pública Municipal de Naucalpan de Juárez, Estado de México. Asimismo, y con fundamento en el artículo 59 de la Ley de Transparencia y Acceso a la Información Pública del Estado de México y Municipios, me permito referirme a la Solicitud de Información bajo el número de folio 00378/NAUCALPA/IP/2024, ingresada a través del Sistema de Acceso a la Información Mexiquense (SAIMEX) en el que medularmente solicita lo siguiente: “Por medio de la presente vengo a solicitar información pública al Catastro Municipal de Naucalpan de Juárez y/o al H. Ayuntamiento de Naucalpan de Juárez, México, relacionada con la documentación que se exhibió para solicitar cualquiera de los servicios catastrales que presta el ayuntamiento, es decir, cuando se autorice por autoridad competente una fusión, subdivisión, lotificación, </w:t>
      </w:r>
      <w:proofErr w:type="spellStart"/>
      <w:r w:rsidRPr="0078588E">
        <w:t>relotificación</w:t>
      </w:r>
      <w:proofErr w:type="spellEnd"/>
      <w:r w:rsidRPr="0078588E">
        <w:t xml:space="preserve">, conjunto urbano, afectación o modificación de linderos; un cambio de uso de suelo; o se modifique la superficie de terreno o construcción cualquiera que sea la causa; por lo </w:t>
      </w:r>
      <w:r w:rsidRPr="0078588E">
        <w:lastRenderedPageBreak/>
        <w:t xml:space="preserve">que solicitó copia de dichas autorizaciones, así mismo, solicito el documento donde conste la comprobación de que la documentación presentada sea la correcta y necesaria para proceder al trámite, así como cuál fue el procedimiento que se siguió para la asignación de la clave catastral para CONDOMINIO para el predio y/o condominio horizontal ubicado en avenida </w:t>
      </w:r>
      <w:r w:rsidR="00EA63C2">
        <w:t>XXXXXXXXXXXXXXXXXXXXX</w:t>
      </w:r>
      <w:r w:rsidRPr="0078588E">
        <w:t xml:space="preserve">, </w:t>
      </w:r>
      <w:r w:rsidR="00EA63C2">
        <w:t>XXXXXXXXXXXXXXXXXXXXXXXXXXXXXXXXXXXXXXXXXXXXXXXXXXXXX</w:t>
      </w:r>
      <w:r w:rsidRPr="0078588E">
        <w:t xml:space="preserve">, Naucalpan de Juárez, Estado de México, C.P. </w:t>
      </w:r>
      <w:r w:rsidR="00EA63C2">
        <w:t>XXX</w:t>
      </w:r>
      <w:r w:rsidRPr="0078588E">
        <w:t xml:space="preserve">, siendo que un predio se constituye en condominio cuando cumple con las condiciones y características establecidas en el Código Administrativo del Estado de México y en la Ley que Regula el Régimen de Propiedad en Condominio en el Estado de México. Está conformado por unidades que cuentan con partes privativas y partes comunes, según lo establecido en el "Manual Catastral del Estado de México" y que a la letra dice así: ACGC014. Los servicios catastrales que presta el ayuntamiento son: • Inscripción de inmuebles en el padrón catastral municipal. • Registro de altas, bajas y modificaciones de construcciones. • Actualización del padrón catastral derivada de subdivisión, fusión, lotificación, relotificación, conjuntos urbanos, afectaciones y modificación de linderos, previa autorización emitida por la autoridad competente. • Actualización al padrón catastral derivada de cambios técnicos y administrativos. • Asignación, baja y reasignación de clave catastral. • Certificaciones de clave catastral, clave y valor catastral y plano manzanero. • Constancia de identificación catastral. • Levantamiento topográfico catastral, en los casos previstos por las disposiciones jurídicas aplicables. • Verificación de linderos. ACGC016.- Para la atención de los servicios indicados en los incisos primero, tercero, cuarto y quinto de la política ACGC014, relacionados con los supuestos establecidos en el artículo 175 del Código Financiero del Estado de México y Municipios, es decir, cuando se adquiera </w:t>
      </w:r>
      <w:proofErr w:type="spellStart"/>
      <w:r w:rsidRPr="0078588E">
        <w:t>uninmueble</w:t>
      </w:r>
      <w:proofErr w:type="spellEnd"/>
      <w:r w:rsidRPr="0078588E">
        <w:t xml:space="preserve"> por primera vez; se autorice por autoridad competente una </w:t>
      </w:r>
      <w:r w:rsidRPr="0078588E">
        <w:lastRenderedPageBreak/>
        <w:t xml:space="preserve">fusión, subdivisión, lotificación, relotificación, conjunto urbano, afectación o modificación de linderos; un cambio de uso de suelo; o se modifique la superficie de terreno o construcción cualquiera que sea la causa; es procedente la actualización de los datos técnicos, administrativos y el valor catastral; y en su caso asignar claves catastrales; para tal efecto, dentro de los treinta días siguientes a la fecha en que se haya otorgado la autorización correspondiente, los propietarios o poseedores de esos inmuebles deberán presentar ante el catastro de los ayuntamientos las manifestaciones catastrales en los formatos autorizados anexando los documentos y planos necesarios, según sea el caso, así como un avalúo catastral practicado y emitido por el IGECEM o por especialista en valuación inmobiliaria con registro vigente expedido por el propio Instituto que servirá de soporte técnico del servicio requerido. CÓDIGO FINANCIERO DEL ESTADO DE MÉXICO Y MUNICIPIOS, CAPÍTULO TERCERO DE LA INSCRIPCIÓN Y ACTUALIZACIÓN DE INMUEBLES Artículo 175.- Los propietarios o poseedores de inmuebles, independientemente del régimen jurídico de propiedad, ubicados en territorio del Estado, incluyendo las Dependencias y Entidades Públicas, están obligados a inscribirlos ante la unidad de catastro municipal correspondiente, mediante manifestación catastral que presenten de acuerdo con lo dispuesto en el Reglamento de este Título y al procedimiento establecido en el Manual Catastral, en los formatos y modalidades autorizados por el IGECEM, precisando las superficies del terreno y de la construcción, su ubicación y uso de suelo, si es a título de propietario o poseedor y demás datos solicitados, exhibiendo la documentación requerida para estos efectos.” (Sic). Al respecto le informo que esta Dirección General de Desarrollo Urbano, no cuenta con las atribuciones para prestar servicios catastrales, por lo que no se cuenta con la “documentación que se exhibió para solicitar cualquiera de los servicios catastrales”, es decir que al tratarse de los </w:t>
      </w:r>
      <w:r w:rsidRPr="0078588E">
        <w:lastRenderedPageBreak/>
        <w:t>documentos que obran en los expedientes que pudiera la Tesorería del Municipio de Naucalpan de Juárez, esta Dirección General de Desarrollo Urbano resulta incompetente para atender la solicitud referida. Lo anterior de conformidad con el artículo 12, de la Ley de Transparencia y Acceso a la Información Pública del Estado de México y Municipios vigente. Sin otro particular, quedo de usted para cualquier duda o aclaración. ATENTAMENTE LIC. MANUEL JAVIER ARCOS SUBDIRECTOR JURÍDICO ADSCRITO A LA DIRECCIÓN GENERAL DE DESARROLLO URBANO. AJOM En atención a la Solicitud de Acceso a la Información, ingresada mediante el Sistema de Acceso a la Información Mexiquense (SAIMEX) con el número de folio 00378/NAUCALPA/IP/2024, se informa lo siguiente</w:t>
      </w:r>
      <w:r>
        <w:t xml:space="preserve">” </w:t>
      </w:r>
      <w:r>
        <w:rPr>
          <w:b/>
          <w:bCs/>
        </w:rPr>
        <w:t>(Sic)</w:t>
      </w:r>
    </w:p>
    <w:p w14:paraId="3159DFCB" w14:textId="14668098" w:rsidR="0078588E" w:rsidRPr="0078588E" w:rsidRDefault="007008AB" w:rsidP="007008AB">
      <w:pPr>
        <w:pStyle w:val="Citas"/>
        <w:tabs>
          <w:tab w:val="left" w:pos="7938"/>
        </w:tabs>
        <w:ind w:left="0" w:right="0"/>
        <w:rPr>
          <w:i w:val="0"/>
          <w:sz w:val="24"/>
          <w:szCs w:val="24"/>
        </w:rPr>
      </w:pPr>
      <w:r>
        <w:rPr>
          <w:i w:val="0"/>
          <w:sz w:val="24"/>
          <w:szCs w:val="24"/>
        </w:rPr>
        <w:t xml:space="preserve">De manera complementaria, </w:t>
      </w:r>
      <w:r>
        <w:rPr>
          <w:b/>
          <w:i w:val="0"/>
          <w:sz w:val="24"/>
          <w:szCs w:val="24"/>
        </w:rPr>
        <w:t xml:space="preserve">El Sujeto Obligado </w:t>
      </w:r>
      <w:r>
        <w:rPr>
          <w:i w:val="0"/>
          <w:sz w:val="24"/>
          <w:szCs w:val="24"/>
        </w:rPr>
        <w:t xml:space="preserve">remitió </w:t>
      </w:r>
      <w:r w:rsidR="0078588E">
        <w:rPr>
          <w:i w:val="0"/>
          <w:sz w:val="24"/>
          <w:szCs w:val="24"/>
        </w:rPr>
        <w:t xml:space="preserve">los documentos electrónicos </w:t>
      </w:r>
      <w:r w:rsidR="0078588E">
        <w:rPr>
          <w:b/>
          <w:bCs/>
          <w:i w:val="0"/>
          <w:sz w:val="24"/>
          <w:szCs w:val="24"/>
        </w:rPr>
        <w:t xml:space="preserve">“RS378.pdf” </w:t>
      </w:r>
      <w:r w:rsidR="0078588E">
        <w:rPr>
          <w:i w:val="0"/>
          <w:sz w:val="24"/>
          <w:szCs w:val="24"/>
        </w:rPr>
        <w:t xml:space="preserve">y </w:t>
      </w:r>
      <w:r w:rsidR="0078588E">
        <w:rPr>
          <w:b/>
          <w:bCs/>
          <w:i w:val="0"/>
          <w:sz w:val="24"/>
          <w:szCs w:val="24"/>
        </w:rPr>
        <w:t xml:space="preserve">“SAIMEX 00378-2024.pdf”, </w:t>
      </w:r>
      <w:r w:rsidR="0078588E">
        <w:rPr>
          <w:i w:val="0"/>
          <w:sz w:val="24"/>
          <w:szCs w:val="24"/>
        </w:rPr>
        <w:t xml:space="preserve">cuyo contenido será abordado en el apartado estimado conducente. </w:t>
      </w:r>
    </w:p>
    <w:p w14:paraId="0EC116D0" w14:textId="77777777" w:rsidR="007008AB" w:rsidRPr="007008AB" w:rsidRDefault="007008AB" w:rsidP="00B433C9">
      <w:pPr>
        <w:spacing w:before="240" w:line="360" w:lineRule="auto"/>
        <w:jc w:val="both"/>
        <w:rPr>
          <w:rFonts w:ascii="Palatino Linotype" w:hAnsi="Palatino Linotype" w:cs="Arial"/>
          <w:sz w:val="24"/>
          <w:szCs w:val="24"/>
        </w:rPr>
      </w:pPr>
    </w:p>
    <w:p w14:paraId="259B6E09" w14:textId="739A9640" w:rsidR="00B433C9" w:rsidRDefault="0078588E" w:rsidP="00B433C9">
      <w:pPr>
        <w:spacing w:before="240" w:line="360" w:lineRule="auto"/>
        <w:jc w:val="both"/>
        <w:rPr>
          <w:rFonts w:ascii="Palatino Linotype" w:hAnsi="Palatino Linotype" w:cs="Arial"/>
          <w:b/>
          <w:sz w:val="28"/>
        </w:rPr>
      </w:pPr>
      <w:r>
        <w:rPr>
          <w:rFonts w:ascii="Palatino Linotype" w:hAnsi="Palatino Linotype" w:cs="Arial"/>
          <w:b/>
          <w:sz w:val="28"/>
        </w:rPr>
        <w:t>CUARTO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1AA742A7" w14:textId="267C5B18" w:rsidR="0078588E" w:rsidRPr="0078588E"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78588E">
        <w:rPr>
          <w:rFonts w:ascii="Palatino Linotype" w:hAnsi="Palatino Linotype" w:cs="Arial"/>
          <w:b/>
          <w:bCs/>
          <w:sz w:val="24"/>
          <w:szCs w:val="24"/>
        </w:rPr>
        <w:t xml:space="preserve">veintiuno de junio del presente, </w:t>
      </w:r>
      <w:r w:rsidR="0078588E">
        <w:rPr>
          <w:rFonts w:ascii="Palatino Linotype" w:hAnsi="Palatino Linotype" w:cs="Arial"/>
          <w:sz w:val="24"/>
          <w:szCs w:val="24"/>
        </w:rPr>
        <w:t xml:space="preserve">el cual fue registrado en el sistema electrónico con el expediente </w:t>
      </w:r>
      <w:r w:rsidR="0078588E">
        <w:rPr>
          <w:rFonts w:ascii="Palatino Linotype" w:hAnsi="Palatino Linotype" w:cs="Arial"/>
          <w:b/>
          <w:bCs/>
          <w:sz w:val="24"/>
          <w:szCs w:val="24"/>
        </w:rPr>
        <w:t xml:space="preserve">03815/INFOEM/IP/RR/2024, </w:t>
      </w:r>
      <w:r w:rsidR="0078588E">
        <w:rPr>
          <w:rFonts w:ascii="Palatino Linotype" w:hAnsi="Palatino Linotype" w:cs="Arial"/>
          <w:sz w:val="24"/>
          <w:szCs w:val="24"/>
        </w:rPr>
        <w:t xml:space="preserve">en </w:t>
      </w:r>
      <w:proofErr w:type="spellStart"/>
      <w:r w:rsidR="0078588E">
        <w:rPr>
          <w:rFonts w:ascii="Palatino Linotype" w:hAnsi="Palatino Linotype" w:cs="Arial"/>
          <w:sz w:val="24"/>
          <w:szCs w:val="24"/>
        </w:rPr>
        <w:t>e</w:t>
      </w:r>
      <w:proofErr w:type="spellEnd"/>
      <w:r w:rsidR="0078588E">
        <w:rPr>
          <w:rFonts w:ascii="Palatino Linotype" w:hAnsi="Palatino Linotype" w:cs="Arial"/>
          <w:sz w:val="24"/>
          <w:szCs w:val="24"/>
        </w:rPr>
        <w:t xml:space="preserve"> cual arguye las siguientes manifestaciones: </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613A05DC" w:rsidR="00B433C9" w:rsidRPr="00712E3A" w:rsidRDefault="00B433C9" w:rsidP="005C57BA">
      <w:pPr>
        <w:pStyle w:val="Citas"/>
        <w:tabs>
          <w:tab w:val="left" w:pos="3750"/>
        </w:tabs>
        <w:rPr>
          <w:b/>
        </w:rPr>
      </w:pPr>
      <w:r w:rsidRPr="005F36AE">
        <w:lastRenderedPageBreak/>
        <w:t>“</w:t>
      </w:r>
      <w:r w:rsidR="001D0CC8" w:rsidRPr="001D0CC8">
        <w:t xml:space="preserve">EL SUJETO OBLIGADO NO ENTREGÓ LA SOLICITUD DE INFORMACIÓN PÚBLICA SOLICITADA POR EL SUSCRITO, toda vez que en fecha 10 de junio del 2024 esta fue </w:t>
      </w:r>
      <w:proofErr w:type="spellStart"/>
      <w:r w:rsidR="001D0CC8" w:rsidRPr="001D0CC8">
        <w:t>fue</w:t>
      </w:r>
      <w:proofErr w:type="spellEnd"/>
      <w:r w:rsidR="001D0CC8" w:rsidRPr="001D0CC8">
        <w:t xml:space="preserve"> clasificada como información reservada mediante acuerdo CT/NAU/ACTA-EXT-0024/2024/00150/, SIN DAR MOTIVO O RAZÓN DEL CRITERIO QUE EL SUJETO OBLIGADO UTILIZÓ PARA RESERVAR, SIN fundar y motivar, a través de la aplicación de la prueba de daño, A PESAR DE QUE DICHA SOLICITUD DE INFORMACIÓN ES DE INTERÉS PÚBLICO</w:t>
      </w:r>
      <w:r w:rsidRPr="005F36AE">
        <w:t>”</w:t>
      </w:r>
      <w:r w:rsidRPr="003838B4">
        <w:t xml:space="preserve"> </w:t>
      </w:r>
      <w:r w:rsidR="005F36AE">
        <w:rPr>
          <w:b/>
        </w:rPr>
        <w:t>(Sic)</w:t>
      </w:r>
      <w:r w:rsidR="005C57BA">
        <w:rPr>
          <w:b/>
        </w:rPr>
        <w:tab/>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4A6573DD" w:rsidR="00B433C9" w:rsidRPr="00712E3A" w:rsidRDefault="00B433C9" w:rsidP="005F36AE">
      <w:pPr>
        <w:pStyle w:val="Citas"/>
      </w:pPr>
      <w:r w:rsidRPr="00DF17F2">
        <w:t>“</w:t>
      </w:r>
      <w:r w:rsidR="001D0CC8" w:rsidRPr="001D0CC8">
        <w:t xml:space="preserve">Por medio del presente escrito vengo a presentar mi inconformidad con la respuesta de solicitud de información pública dada al de la voz por parte del Sujeto Obligado toda vez que no responde a la misma, hecho que acredito mediante OFICIO No.: TM/CJ/M/1254/2024., ASUNTO: RESPUESTA SAIMEX, FOLIO: 00378/NAUCALPA/IP/2024 de fecha 10 de junio del 2024, mismo que exhibo como archivo adjunto uno (1), reservando la información, siendo Responsabilidad del sujetos obligado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 esto sin pasar por alto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w:t>
      </w:r>
      <w:r w:rsidR="001D0CC8" w:rsidRPr="001D0CC8">
        <w:lastRenderedPageBreak/>
        <w:t xml:space="preserve">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la Ley. Los sujetos obligados deben poner en práctica, políticas y programas de acceso a la información que se apeguen a criterios de publicidad, veracidad, oportunidad, precisión y suficiencia en beneficio de los solicitantes. Toda persona tiene derecho de acceso a la información, sin discriminación, por motivo alguno, que menoscabe o anule la transparencia o acceso a la información pública en posesión del  sujeto obligado, así mismo, no hace mención si aplico la prueba de daño, mismo que debe precisar las razones objetivas por las que la apertura de la información generaría una afectación, La carga de la prueba para justificar toda negativa de acceso a la información, por actualizarse cualquiera de los supuestos de clasificación previstos en esta Ley corresponderá al sujeto obligado; en tal caso deberá fundar y motivar debidamente la clasificación de la información, de conformidad con lo previsto en la Ley. La información solicitada mediante la solicitud de información con NÚMERO DE  FOLIO: 00378/NAUCALPA/IP/2024 , misma que exhibo como archivo adjunto dos (2), versa sobre  la documentación que se exhibió para solicitar cualquiera de los servicios catastrales que presta el ayuntamiento así como cuál fue el procedimiento que se siguió para la asignación de la clave catastral para CONDOMINIO para el predio y/o condominio horizontal ubicado en avenida </w:t>
      </w:r>
      <w:r w:rsidR="00EA63C2">
        <w:t>XXXXXXXXXXXXXXXXXXXXXXXXXXXXXXXXXXXXXXXXXXXXXX</w:t>
      </w:r>
      <w:r w:rsidR="001D0CC8" w:rsidRPr="001D0CC8">
        <w:t xml:space="preserve"> </w:t>
      </w:r>
      <w:r w:rsidR="00EA63C2">
        <w:t>XXXXXXXXXXXXXXXXXXXXXXXXXXXXXXX</w:t>
      </w:r>
      <w:r w:rsidR="001D0CC8" w:rsidRPr="001D0CC8">
        <w:t xml:space="preserve">, Naucalpan de Juárez, Estado de México, C.P. </w:t>
      </w:r>
      <w:r w:rsidR="00EA63C2">
        <w:t>XXX</w:t>
      </w:r>
      <w:r w:rsidR="001D0CC8" w:rsidRPr="001D0CC8">
        <w:t xml:space="preserve">, siendo dicha información de naturaleza publica, pues </w:t>
      </w:r>
      <w:r w:rsidR="001D0CC8" w:rsidRPr="001D0CC8">
        <w:lastRenderedPageBreak/>
        <w:t xml:space="preserve">con dicho dato se acredita que la actividad concedida se llevará a cabo en el inmueble de registro, para la cual se expidió, está debidamente registrado, aunado al hecho, de que ayuda a identificar la correcta ubicación del mismo; por lo que, no resulta procedente la clasificación, en términos del artículo 143, fracción I de la Ley de Transparencia y Acceso a la Información Pública del Estado de México y Municipios, de conformidad con el artículo 179, fracción I, del Código Financiero del Estado de México y Municipios,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posiciones identifican el número de lote o predio. Conforme a lo descrito, la clave catastral hace identificable un inmueble y sólo cuando se acompaña del nombre del titular, es dable afirmar que corresponde a información que hace identificable a una persona; sin embargo, en la solicitud de acceso a la información que nos ocupa, es importante dejar claro que en las licencias y permisos de construcción, la clave catastral, si bien puede corresponderá un dato personal, con dicho dato se acredita que el inmueble donde se realizan actividades de mejoras o de construcción, está debidamente registrado, y ayuda a identificar el domicilio particular o parte del patrimonio donde se realiza la actividad. En ese contexto, la publicidad de la clave catastral tiene que ver con la importancia de entregar todos los datos indispensables para poder corroborar tanto su legalidad como el hecho de que corresponde al inmueble donde se autorizó para llevar a cabo una actividad. Este documento, permite verificar que se cumple con las licencias y permisos necesarios, sin que se excedan los límites del permiso autorizado para desempeñar la actividad, por lo que, cualquier persona tiene derecho a ver la versión de las licencias y </w:t>
      </w:r>
      <w:r w:rsidR="001D0CC8" w:rsidRPr="001D0CC8">
        <w:lastRenderedPageBreak/>
        <w:t xml:space="preserve">permisos,  dicha información pública que el que suscribe solicitó se encuentra dentro de las obligaciones de transparencia del Sujeto Obligado, de acuerdo con lo señalado en el artículo 92, fracción XXXII, de la Ley de Transparencia y Acceso a la Información Pública del Estado de México y Municipios, que se transcribe a continuación: 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I a XXXI, 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de lo anterior, resulta importante destacar que es obligación del Sujeto Obligado, hacer pública la información solicitada por el suscrito; esto quiere decir que, por lo menos para el cumplimiento de las obligaciones establecidas en la Ley de Transparencia y Acceso a la Información Pública del Estado de México y Municipios, el Sujeto Obligado debe tener los documentos que son interés del Particular, 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w:t>
      </w:r>
      <w:r w:rsidR="001D0CC8" w:rsidRPr="001D0CC8">
        <w:lastRenderedPageBreak/>
        <w:t xml:space="preserve">XLIII/2010, emitida por la Primera Sala de la Suprema Corte de Justicia de la Nación, publicada en el Semanario Judicial de la Federación y su Gaceta, Tomo XXXI, página 928, de marzo de 2010, Novena Época, materia constitucional. el artículo 184 de la Ley de Transparencia y Acceso a la Información Pública del Estado de México y Municipios prevé que cuando exista una colisión de derechos, se debe aplicar una prueba de interés público con base en elementos de idoneidad, necesidad y proporcionalidad. Para estos efectos, se entenderá por: - Idoneidad: La legitimidad del derecho adoptado como preferente, que sea el adecuado para el logro de un fin constitucionalmente válido o apto para conseguir el fin pretendido; - Necesidad: La falta de un medio alternativo menos lesivo a la apertura de la información, para satisfacer el interés público, y - Proporcionalidad: El equilibrio entre perjuicio y beneficio a favor del interés público, a fin de que la decisión tomada represente un beneficio mayor al perjuicio que podría causar a la población. En ese orden de ideas, resulta procedente analizar cada uno de los elementos referidos, partiendo de que, en el caso concreto, se estima como preferente el derecho de acceso a la información, bajo las consideraciones que se verterán a continuación. Sin embargo, existen dos fines válidos para otorgar la información solicitada así como la clave catastral en la licencia de construcción; los cuales, consisten en transparentar la ubicación del inmueble destinado para llevar a cabo la construcción de diferentes tipos de obras privadas, que pueden llevarse a cabo dentro del territorio municipal. b) Necesidad: Por otra parte, este Instituto observa que también se actualiza el principio de necesidad, ya que no existe un medio menos oneroso para lograr el fin válido, pues se estima necesaria la difusión de la información requerida, pues los fines de las actividades a la construcción, remodelación, reparación y/o modificación de una obra, aunque sea de propiedad particular, puede beneficiar o afectar a un tercero. c) Proporcionalidad en sentido </w:t>
      </w:r>
      <w:r w:rsidR="001D0CC8" w:rsidRPr="001D0CC8">
        <w:lastRenderedPageBreak/>
        <w:t>estricto: El sacrificio de la protección de la clave catastral en licencias de construcción así como en los permisos y autorizaciones que se solicitan, es proporcional debido a que no se trata de interferir de manera arbitraria en la vida privada del particular, pues como ya se refirió el destino que tiene un bien inmueble impacta en la colectividad, por lo que, para este tipo de licencias, permisos y autorizaciones al existir interés público debe prevalecer la publicidad del nombre.  Fundo y motivo mi petición en lo establecido en los artículos 1,3 fracción XXII,  XXIV, XXXIII, XLI, XLV, 4, 8, 9, 11, 12, 13, 15,16,19, 23 fracción IV, XI, 24 fracción XI, XIX, XXIV, 122, 123, 126, 127, 128, 129 al 140 de la LEY DE TRANSPARENCIA Y ACCESO A LA INFORMACIÓN PÚBLICA DEL ESTADO DE MEXICO</w:t>
      </w:r>
      <w:r w:rsidRPr="00DF17F2">
        <w:t>”</w:t>
      </w:r>
      <w:r w:rsidRPr="00711390">
        <w:t xml:space="preserve"> </w:t>
      </w:r>
      <w:r w:rsidR="005F36AE">
        <w:rPr>
          <w:b/>
        </w:rPr>
        <w:t>(Sic)</w:t>
      </w:r>
    </w:p>
    <w:p w14:paraId="34675EE2" w14:textId="6792D958" w:rsidR="003838B4" w:rsidRPr="001D0CC8" w:rsidRDefault="001D0CC8" w:rsidP="001D0CC8">
      <w:pPr>
        <w:spacing w:line="360" w:lineRule="auto"/>
        <w:ind w:right="851"/>
        <w:jc w:val="both"/>
        <w:rPr>
          <w:rFonts w:ascii="Palatino Linotype" w:hAnsi="Palatino Linotype" w:cs="Arial"/>
          <w:iCs/>
          <w:sz w:val="24"/>
          <w:szCs w:val="24"/>
        </w:rPr>
      </w:pPr>
      <w:r>
        <w:rPr>
          <w:rFonts w:ascii="Palatino Linotype" w:hAnsi="Palatino Linotype" w:cs="Arial"/>
          <w:iCs/>
          <w:sz w:val="24"/>
          <w:szCs w:val="24"/>
        </w:rPr>
        <w:t xml:space="preserve">De forma complementaria, el ahora </w:t>
      </w:r>
      <w:r>
        <w:rPr>
          <w:rFonts w:ascii="Palatino Linotype" w:hAnsi="Palatino Linotype" w:cs="Arial"/>
          <w:b/>
          <w:bCs/>
          <w:iCs/>
          <w:sz w:val="24"/>
          <w:szCs w:val="24"/>
        </w:rPr>
        <w:t xml:space="preserve">Recurrente </w:t>
      </w:r>
      <w:r>
        <w:rPr>
          <w:rFonts w:ascii="Palatino Linotype" w:hAnsi="Palatino Linotype" w:cs="Arial"/>
          <w:iCs/>
          <w:sz w:val="24"/>
          <w:szCs w:val="24"/>
        </w:rPr>
        <w:t xml:space="preserve">adjuntó los documentos electrónicos </w:t>
      </w:r>
      <w:r>
        <w:rPr>
          <w:rFonts w:ascii="Palatino Linotype" w:hAnsi="Palatino Linotype" w:cs="Arial"/>
          <w:b/>
          <w:bCs/>
          <w:iCs/>
          <w:sz w:val="24"/>
          <w:szCs w:val="24"/>
        </w:rPr>
        <w:t xml:space="preserve">“597969.pdf” </w:t>
      </w:r>
      <w:r>
        <w:rPr>
          <w:rFonts w:ascii="Palatino Linotype" w:hAnsi="Palatino Linotype" w:cs="Arial"/>
          <w:iCs/>
          <w:sz w:val="24"/>
          <w:szCs w:val="24"/>
        </w:rPr>
        <w:t xml:space="preserve">y </w:t>
      </w:r>
      <w:r>
        <w:rPr>
          <w:rFonts w:ascii="Palatino Linotype" w:hAnsi="Palatino Linotype" w:cs="Arial"/>
          <w:b/>
          <w:bCs/>
          <w:iCs/>
          <w:sz w:val="24"/>
          <w:szCs w:val="24"/>
        </w:rPr>
        <w:t xml:space="preserve">“SAIMEX 00378-2024.pdf”, </w:t>
      </w:r>
      <w:r>
        <w:rPr>
          <w:rFonts w:ascii="Palatino Linotype" w:hAnsi="Palatino Linotype" w:cs="Arial"/>
          <w:iCs/>
          <w:sz w:val="24"/>
          <w:szCs w:val="24"/>
        </w:rPr>
        <w:t xml:space="preserve">cuyo contenido será materia de análisis en párrafos subsecuentes. </w:t>
      </w:r>
    </w:p>
    <w:p w14:paraId="74DA9619" w14:textId="77777777" w:rsidR="001D0CC8" w:rsidRDefault="001D0CC8" w:rsidP="001D0CC8">
      <w:pPr>
        <w:spacing w:line="360" w:lineRule="auto"/>
        <w:ind w:right="851"/>
        <w:jc w:val="both"/>
        <w:rPr>
          <w:rFonts w:ascii="Palatino Linotype" w:hAnsi="Palatino Linotype" w:cs="Arial"/>
          <w:i/>
        </w:rPr>
      </w:pPr>
    </w:p>
    <w:p w14:paraId="454F7370" w14:textId="5980A34E" w:rsidR="00B433C9" w:rsidRDefault="001D0CC8" w:rsidP="00B433C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40C6E7A" w14:textId="112C8EBE"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0112B7">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7E4FA1">
        <w:rPr>
          <w:rFonts w:ascii="Palatino Linotype" w:hAnsi="Palatino Linotype" w:cs="Arial"/>
          <w:sz w:val="24"/>
          <w:szCs w:val="24"/>
        </w:rPr>
        <w:t xml:space="preserve"> </w:t>
      </w:r>
      <w:r w:rsidR="001D0CC8">
        <w:rPr>
          <w:rFonts w:ascii="Palatino Linotype" w:hAnsi="Palatino Linotype" w:cs="Arial"/>
          <w:b/>
          <w:bCs/>
          <w:sz w:val="24"/>
          <w:szCs w:val="24"/>
        </w:rPr>
        <w:t>veinticinco de junio de los corrientes</w:t>
      </w:r>
      <w:r w:rsidR="005F36AE">
        <w:rPr>
          <w:rFonts w:ascii="Palatino Linotype" w:hAnsi="Palatino Linotype" w:cs="Arial"/>
          <w:sz w:val="24"/>
          <w:szCs w:val="24"/>
        </w:rPr>
        <w:t xml:space="preserve">, </w:t>
      </w:r>
      <w:r w:rsidR="00712E3A">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46D7D0B5" w:rsidR="00B433C9" w:rsidRDefault="00F25E46"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lastRenderedPageBreak/>
        <w:t>SEXTO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69FE0831" w14:textId="058CBB7C" w:rsidR="001D0CC8" w:rsidRPr="001D0CC8" w:rsidRDefault="00193C4E" w:rsidP="00193C4E">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sidR="001D0CC8">
        <w:rPr>
          <w:rFonts w:ascii="Palatino Linotype" w:hAnsi="Palatino Linotype" w:cs="Arial"/>
          <w:sz w:val="24"/>
          <w:szCs w:val="24"/>
        </w:rPr>
        <w:t xml:space="preserve">fue omiso en rendir su informe justificado.  </w:t>
      </w:r>
    </w:p>
    <w:p w14:paraId="33337428" w14:textId="77777777" w:rsidR="001D0CC8" w:rsidRDefault="001D0CC8" w:rsidP="00193C4E">
      <w:pPr>
        <w:spacing w:after="0" w:line="360" w:lineRule="auto"/>
        <w:jc w:val="both"/>
        <w:rPr>
          <w:rFonts w:ascii="Palatino Linotype" w:hAnsi="Palatino Linotype" w:cs="Arial"/>
          <w:sz w:val="24"/>
          <w:szCs w:val="24"/>
        </w:rPr>
      </w:pPr>
    </w:p>
    <w:p w14:paraId="4870AEC7" w14:textId="06EF5A02" w:rsidR="00193C4E" w:rsidRDefault="00193C4E" w:rsidP="00193C4E">
      <w:pPr>
        <w:spacing w:after="0" w:line="360" w:lineRule="auto"/>
        <w:jc w:val="both"/>
        <w:rPr>
          <w:rFonts w:ascii="Palatino Linotype" w:hAnsi="Palatino Linotype" w:cs="Arial"/>
          <w:sz w:val="24"/>
          <w:szCs w:val="24"/>
        </w:rPr>
      </w:pPr>
      <w:r>
        <w:rPr>
          <w:rFonts w:ascii="Palatino Linotype" w:hAnsi="Palatino Linotype" w:cs="Arial"/>
          <w:sz w:val="24"/>
          <w:szCs w:val="24"/>
        </w:rPr>
        <w:t>Por lo cual se decretó cierre de instrucción con fecha</w:t>
      </w:r>
      <w:r w:rsidR="001D0CC8">
        <w:rPr>
          <w:rFonts w:ascii="Palatino Linotype" w:hAnsi="Palatino Linotype" w:cs="Arial"/>
          <w:sz w:val="24"/>
          <w:szCs w:val="24"/>
        </w:rPr>
        <w:t xml:space="preserve"> </w:t>
      </w:r>
      <w:r w:rsidR="001D0CC8">
        <w:rPr>
          <w:rFonts w:ascii="Palatino Linotype" w:hAnsi="Palatino Linotype" w:cs="Arial"/>
          <w:b/>
          <w:bCs/>
          <w:sz w:val="24"/>
          <w:szCs w:val="24"/>
        </w:rPr>
        <w:t xml:space="preserve">nueve de julio de dos mil veinticuatro,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460F2CAE" w14:textId="77777777" w:rsidR="001D0CC8" w:rsidRDefault="001D0CC8" w:rsidP="001D0CC8">
      <w:pPr>
        <w:spacing w:after="0" w:line="360" w:lineRule="auto"/>
        <w:jc w:val="both"/>
        <w:rPr>
          <w:rFonts w:ascii="Palatino Linotype" w:hAnsi="Palatino Linotype" w:cs="Arial"/>
          <w:sz w:val="24"/>
          <w:szCs w:val="24"/>
        </w:rPr>
      </w:pPr>
    </w:p>
    <w:p w14:paraId="69BBF683" w14:textId="055AEFCE" w:rsidR="001D0CC8" w:rsidRDefault="001D0CC8" w:rsidP="001D0CC8">
      <w:pPr>
        <w:spacing w:after="0" w:line="360" w:lineRule="auto"/>
        <w:jc w:val="both"/>
        <w:rPr>
          <w:rFonts w:ascii="Palatino Linotype" w:hAnsi="Palatino Linotype" w:cs="Arial"/>
          <w:sz w:val="24"/>
          <w:szCs w:val="24"/>
        </w:rPr>
      </w:pPr>
      <w:r w:rsidRPr="0076590D">
        <w:rPr>
          <w:rFonts w:ascii="Palatino Linotype" w:hAnsi="Palatino Linotype" w:cs="Arial"/>
          <w:sz w:val="24"/>
          <w:szCs w:val="24"/>
        </w:rPr>
        <w:t xml:space="preserve">De las constancias que integran el expediente electrónico, se advierte que han transcurrido los términos de Ley, para la emisión de la resolución en el presente recurso de revisión, por lo que </w:t>
      </w:r>
      <w:r w:rsidRPr="00DE6A66">
        <w:rPr>
          <w:rFonts w:ascii="Palatino Linotype" w:hAnsi="Palatino Linotype" w:cs="Arial"/>
          <w:sz w:val="24"/>
          <w:szCs w:val="24"/>
        </w:rPr>
        <w:t xml:space="preserve">en fecha </w:t>
      </w:r>
      <w:r>
        <w:rPr>
          <w:rFonts w:ascii="Palatino Linotype" w:hAnsi="Palatino Linotype" w:cs="Arial"/>
          <w:b/>
          <w:bCs/>
          <w:sz w:val="24"/>
          <w:szCs w:val="24"/>
        </w:rPr>
        <w:t xml:space="preserve">diecinueve de agosto de dos mil veinticuatro, </w:t>
      </w:r>
    </w:p>
    <w:p w14:paraId="1C3F11E8" w14:textId="6756BB43" w:rsidR="001D0CC8" w:rsidRDefault="001D0CC8" w:rsidP="001D0CC8">
      <w:pPr>
        <w:spacing w:after="0" w:line="360" w:lineRule="auto"/>
        <w:jc w:val="both"/>
        <w:rPr>
          <w:rFonts w:ascii="Palatino Linotype" w:hAnsi="Palatino Linotype" w:cs="Arial"/>
          <w:sz w:val="24"/>
          <w:szCs w:val="24"/>
        </w:rPr>
      </w:pPr>
      <w:r w:rsidRPr="0076590D">
        <w:rPr>
          <w:rFonts w:ascii="Palatino Linotype" w:hAnsi="Palatino Linotype" w:cs="Arial"/>
          <w:sz w:val="24"/>
          <w:szCs w:val="24"/>
        </w:rPr>
        <w:t>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3A9EBDA2" w14:textId="77777777" w:rsidR="001D0CC8" w:rsidRPr="0076590D" w:rsidRDefault="001D0CC8" w:rsidP="001D0CC8">
      <w:pPr>
        <w:spacing w:after="0" w:line="360" w:lineRule="auto"/>
        <w:jc w:val="both"/>
        <w:rPr>
          <w:rFonts w:ascii="Palatino Linotype" w:hAnsi="Palatino Linotype" w:cs="Arial"/>
          <w:sz w:val="24"/>
          <w:szCs w:val="24"/>
        </w:rPr>
      </w:pPr>
    </w:p>
    <w:p w14:paraId="76DDCD36"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Este organismo garante no pasa por alto justificar</w:t>
      </w:r>
      <w:r>
        <w:rPr>
          <w:rFonts w:ascii="Palatino Linotype" w:eastAsia="Times New Roman" w:hAnsi="Palatino Linotype" w:cs="Arial"/>
          <w:sz w:val="24"/>
          <w:szCs w:val="24"/>
          <w:lang w:val="es-ES" w:eastAsia="es-ES"/>
        </w:rPr>
        <w:t>,</w:t>
      </w:r>
      <w:r w:rsidRPr="0076590D">
        <w:rPr>
          <w:rFonts w:ascii="Palatino Linotype" w:eastAsia="Times New Roman" w:hAnsi="Palatino Linotype" w:cs="Arial"/>
          <w:sz w:val="24"/>
          <w:szCs w:val="24"/>
          <w:lang w:val="es-ES" w:eastAsia="es-ES"/>
        </w:rPr>
        <w:t xml:space="preserve"> que el plazo para emitir resolución en el presente asunto encuentra justificación en el alto número de recursos de revisión recibidos</w:t>
      </w:r>
      <w:r>
        <w:rPr>
          <w:rFonts w:ascii="Palatino Linotype" w:eastAsia="Times New Roman" w:hAnsi="Palatino Linotype" w:cs="Arial"/>
          <w:sz w:val="24"/>
          <w:szCs w:val="24"/>
          <w:lang w:val="es-ES" w:eastAsia="es-ES"/>
        </w:rPr>
        <w:t xml:space="preserve">, que </w:t>
      </w:r>
      <w:r w:rsidRPr="0076590D">
        <w:rPr>
          <w:rFonts w:ascii="Palatino Linotype" w:eastAsia="Times New Roman" w:hAnsi="Palatino Linotype" w:cs="Arial"/>
          <w:sz w:val="24"/>
          <w:szCs w:val="24"/>
          <w:lang w:val="es-ES" w:eastAsia="es-ES"/>
        </w:rPr>
        <w:t>se ha incrementado aproximadamente un 400%, circunstancia atípica que ha rebasado las capacidades técnicas y humanas del personal encargado de la proyección de las resoluciones a dichos medios de impugnación.</w:t>
      </w:r>
    </w:p>
    <w:p w14:paraId="361676E5"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p>
    <w:p w14:paraId="16DC06C9"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1FD0D76"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p>
    <w:p w14:paraId="33FA2370"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E2E42AD" w14:textId="77777777" w:rsidR="001D0CC8" w:rsidRDefault="001D0CC8" w:rsidP="001D0CC8">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FC0A928"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p>
    <w:p w14:paraId="4D265A38"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535FE564"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 xml:space="preserve"> </w:t>
      </w:r>
    </w:p>
    <w:p w14:paraId="20F01F5F" w14:textId="77777777" w:rsidR="001D0CC8" w:rsidRPr="0076590D" w:rsidRDefault="001D0CC8" w:rsidP="001D0CC8">
      <w:pPr>
        <w:spacing w:after="0" w:line="360" w:lineRule="auto"/>
        <w:ind w:left="993" w:right="49" w:hanging="426"/>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b/>
          <w:sz w:val="24"/>
          <w:szCs w:val="24"/>
          <w:lang w:val="es-ES" w:eastAsia="es-ES"/>
        </w:rPr>
        <w:lastRenderedPageBreak/>
        <w:t xml:space="preserve">a) </w:t>
      </w:r>
      <w:r w:rsidRPr="0076590D">
        <w:rPr>
          <w:rFonts w:ascii="Palatino Linotype" w:eastAsia="Times New Roman" w:hAnsi="Palatino Linotype" w:cs="Arial"/>
          <w:b/>
          <w:sz w:val="24"/>
          <w:szCs w:val="24"/>
          <w:lang w:val="es-ES" w:eastAsia="es-ES"/>
        </w:rPr>
        <w:tab/>
        <w:t>Complejidad del asunto:</w:t>
      </w:r>
      <w:r w:rsidRPr="0076590D">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36F04486" w14:textId="77777777" w:rsidR="001D0CC8" w:rsidRPr="0076590D" w:rsidRDefault="001D0CC8" w:rsidP="001D0CC8">
      <w:pPr>
        <w:spacing w:after="0" w:line="360" w:lineRule="auto"/>
        <w:ind w:left="993" w:right="49" w:hanging="426"/>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b/>
          <w:sz w:val="24"/>
          <w:szCs w:val="24"/>
          <w:lang w:val="es-ES" w:eastAsia="es-ES"/>
        </w:rPr>
        <w:t xml:space="preserve">b) </w:t>
      </w:r>
      <w:r w:rsidRPr="0076590D">
        <w:rPr>
          <w:rFonts w:ascii="Palatino Linotype" w:eastAsia="Times New Roman" w:hAnsi="Palatino Linotype" w:cs="Arial"/>
          <w:b/>
          <w:sz w:val="24"/>
          <w:szCs w:val="24"/>
          <w:lang w:val="es-ES" w:eastAsia="es-ES"/>
        </w:rPr>
        <w:tab/>
        <w:t>Actividad Procesal del interesado:</w:t>
      </w:r>
      <w:r w:rsidRPr="0076590D">
        <w:rPr>
          <w:rFonts w:ascii="Palatino Linotype" w:eastAsia="Times New Roman" w:hAnsi="Palatino Linotype" w:cs="Arial"/>
          <w:sz w:val="24"/>
          <w:szCs w:val="24"/>
          <w:lang w:val="es-ES" w:eastAsia="es-ES"/>
        </w:rPr>
        <w:t xml:space="preserve"> Acciones u omisiones del interesado.</w:t>
      </w:r>
    </w:p>
    <w:p w14:paraId="3A818752" w14:textId="77777777" w:rsidR="001D0CC8" w:rsidRPr="0076590D" w:rsidRDefault="001D0CC8" w:rsidP="001D0CC8">
      <w:pPr>
        <w:spacing w:after="0" w:line="360" w:lineRule="auto"/>
        <w:ind w:left="993" w:right="49" w:hanging="426"/>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b/>
          <w:sz w:val="24"/>
          <w:szCs w:val="24"/>
          <w:lang w:val="es-ES" w:eastAsia="es-ES"/>
        </w:rPr>
        <w:t xml:space="preserve">c) </w:t>
      </w:r>
      <w:r w:rsidRPr="0076590D">
        <w:rPr>
          <w:rFonts w:ascii="Palatino Linotype" w:eastAsia="Times New Roman" w:hAnsi="Palatino Linotype" w:cs="Arial"/>
          <w:b/>
          <w:sz w:val="24"/>
          <w:szCs w:val="24"/>
          <w:lang w:val="es-ES" w:eastAsia="es-ES"/>
        </w:rPr>
        <w:tab/>
        <w:t>Conducta de la Autoridad:</w:t>
      </w:r>
      <w:r w:rsidRPr="0076590D">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163128F0" w14:textId="77777777" w:rsidR="001D0CC8" w:rsidRPr="0076590D" w:rsidRDefault="001D0CC8" w:rsidP="001D0CC8">
      <w:pPr>
        <w:spacing w:after="0" w:line="360" w:lineRule="auto"/>
        <w:ind w:left="993" w:right="49" w:hanging="426"/>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b/>
          <w:sz w:val="24"/>
          <w:szCs w:val="24"/>
          <w:lang w:val="es-ES" w:eastAsia="es-ES"/>
        </w:rPr>
        <w:t xml:space="preserve">d) </w:t>
      </w:r>
      <w:r w:rsidRPr="0076590D">
        <w:rPr>
          <w:rFonts w:ascii="Palatino Linotype" w:eastAsia="Times New Roman" w:hAnsi="Palatino Linotype" w:cs="Arial"/>
          <w:b/>
          <w:sz w:val="24"/>
          <w:szCs w:val="24"/>
          <w:lang w:val="es-ES" w:eastAsia="es-ES"/>
        </w:rPr>
        <w:tab/>
        <w:t>La afectación generada en la situación jurídica de la persona involucrada en el proceso:</w:t>
      </w:r>
      <w:r w:rsidRPr="0076590D">
        <w:rPr>
          <w:rFonts w:ascii="Palatino Linotype" w:eastAsia="Times New Roman" w:hAnsi="Palatino Linotype" w:cs="Arial"/>
          <w:sz w:val="24"/>
          <w:szCs w:val="24"/>
          <w:lang w:val="es-ES" w:eastAsia="es-ES"/>
        </w:rPr>
        <w:t xml:space="preserve"> Violación a sus derechos humanos.</w:t>
      </w:r>
    </w:p>
    <w:p w14:paraId="76FC31FC"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p>
    <w:p w14:paraId="44169698" w14:textId="77777777" w:rsidR="001D0CC8" w:rsidRDefault="001D0CC8" w:rsidP="001D0CC8">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9C1D69"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p>
    <w:p w14:paraId="4D2116F7"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B4BAA6F"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D630D4"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p>
    <w:p w14:paraId="241BF9F4" w14:textId="77777777" w:rsidR="001D0CC8" w:rsidRDefault="001D0CC8" w:rsidP="001D0CC8">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6050BD50"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p>
    <w:p w14:paraId="147B7E55" w14:textId="77777777" w:rsidR="001D0CC8" w:rsidRDefault="001D0CC8" w:rsidP="001D0CC8">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w:t>
      </w:r>
      <w:r w:rsidRPr="00944A61">
        <w:rPr>
          <w:rFonts w:ascii="Palatino Linotype" w:eastAsia="Times New Roman" w:hAnsi="Palatino Linotype" w:cs="Arial"/>
          <w:b/>
          <w:sz w:val="24"/>
          <w:szCs w:val="24"/>
          <w:lang w:val="es-ES" w:eastAsia="es-ES"/>
        </w:rPr>
        <w:t>PLAZO RAZONABLE PARA RESOLVER. DIMENSIÓN Y EFECTOS DE ESTE CONCEPTO CUANDO SE ADUCE EXCESIVA CARGA DE TRABAJO</w:t>
      </w:r>
      <w:r w:rsidRPr="0076590D">
        <w:rPr>
          <w:rFonts w:ascii="Palatino Linotype" w:eastAsia="Times New Roman" w:hAnsi="Palatino Linotype" w:cs="Arial"/>
          <w:sz w:val="24"/>
          <w:szCs w:val="24"/>
          <w:lang w:val="es-ES" w:eastAsia="es-ES"/>
        </w:rPr>
        <w:t>.” consultable en el Seminario Judicial de la Federación y su gaceta, con el registro digital 2002351.</w:t>
      </w:r>
    </w:p>
    <w:p w14:paraId="60AA354E"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w:t>
      </w:r>
      <w:r w:rsidRPr="00944A61">
        <w:rPr>
          <w:rFonts w:ascii="Palatino Linotype" w:eastAsia="Times New Roman" w:hAnsi="Palatino Linotype" w:cs="Arial"/>
          <w:b/>
          <w:sz w:val="24"/>
          <w:szCs w:val="24"/>
          <w:lang w:val="es-ES" w:eastAsia="es-ES"/>
        </w:rPr>
        <w:t>PLAZO RAZONABLE PARA RESOLVER. CONCEPTO Y ELEMENTOS QUE LO INTEGRAN A LA LUZ DEL DERECHO INTERNACIONAL DE LOS DERECHOS HUMANOS.</w:t>
      </w:r>
      <w:r w:rsidRPr="0076590D">
        <w:rPr>
          <w:rFonts w:ascii="Palatino Linotype" w:eastAsia="Times New Roman" w:hAnsi="Palatino Linotype" w:cs="Arial"/>
          <w:sz w:val="24"/>
          <w:szCs w:val="24"/>
          <w:lang w:val="es-ES" w:eastAsia="es-ES"/>
        </w:rPr>
        <w:t>”, visible en el Seminario Judicial de la Federación y su gaceta, con el registro digital 2002350.</w:t>
      </w:r>
    </w:p>
    <w:p w14:paraId="7CCBD48A" w14:textId="77777777" w:rsidR="001D0CC8" w:rsidRPr="0076590D" w:rsidRDefault="001D0CC8" w:rsidP="001D0CC8">
      <w:pPr>
        <w:spacing w:after="0" w:line="360" w:lineRule="auto"/>
        <w:ind w:right="49"/>
        <w:jc w:val="both"/>
        <w:rPr>
          <w:rFonts w:ascii="Palatino Linotype" w:eastAsia="Times New Roman" w:hAnsi="Palatino Linotype" w:cs="Arial"/>
          <w:sz w:val="24"/>
          <w:szCs w:val="24"/>
          <w:lang w:val="es-ES" w:eastAsia="es-ES"/>
        </w:rPr>
      </w:pPr>
    </w:p>
    <w:p w14:paraId="32A59EDB" w14:textId="77777777" w:rsidR="001D0CC8" w:rsidRDefault="001D0CC8" w:rsidP="001D0CC8">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7C24396A" w14:textId="77777777" w:rsidR="001D0CC8" w:rsidRPr="001D0CC8" w:rsidRDefault="001D0CC8" w:rsidP="00193C4E">
      <w:pPr>
        <w:spacing w:before="240" w:line="360" w:lineRule="auto"/>
        <w:jc w:val="both"/>
        <w:rPr>
          <w:rFonts w:ascii="Palatino Linotype" w:hAnsi="Palatino Linotype" w:cs="Arial"/>
          <w:sz w:val="24"/>
          <w:szCs w:val="24"/>
          <w:lang w:val="es-ES"/>
        </w:rPr>
      </w:pPr>
    </w:p>
    <w:p w14:paraId="528DBAF8"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47F2BACE" w14:textId="77777777" w:rsidR="001D0CC8" w:rsidRDefault="001D0CC8" w:rsidP="001D0CC8">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Pr>
          <w:rFonts w:ascii="Palatino Linotype" w:hAnsi="Palatino Linotype" w:cs="Arial"/>
          <w:bCs/>
        </w:rPr>
        <w:t>la</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BB383EC" w14:textId="77777777" w:rsidR="001D0CC8" w:rsidRDefault="001D0CC8" w:rsidP="0069482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45411A9" w14:textId="1CDFAB18"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A780738"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685C023" w14:textId="77777777" w:rsidR="001D0CC8" w:rsidRPr="007822E6" w:rsidRDefault="001D0CC8" w:rsidP="001D0CC8">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7428CCDD" w14:textId="77777777" w:rsidR="001D0CC8" w:rsidRPr="007822E6" w:rsidRDefault="001D0CC8" w:rsidP="001D0CC8">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C48256E" w14:textId="77777777" w:rsidR="001D0CC8" w:rsidRPr="007822E6" w:rsidRDefault="001D0CC8" w:rsidP="001D0CC8">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7822E6">
        <w:rPr>
          <w:rFonts w:ascii="Palatino Linotype" w:hAnsi="Palatino Linotype" w:cs="Arial"/>
          <w:lang w:val="es-MX"/>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092DB2F9" w14:textId="77777777" w:rsidR="001D0CC8" w:rsidRDefault="001D0CC8" w:rsidP="008F5D20">
      <w:pPr>
        <w:pStyle w:val="Prrafodelista"/>
        <w:autoSpaceDE w:val="0"/>
        <w:autoSpaceDN w:val="0"/>
        <w:adjustRightInd w:val="0"/>
        <w:spacing w:line="360" w:lineRule="auto"/>
        <w:ind w:left="0"/>
        <w:jc w:val="both"/>
        <w:rPr>
          <w:rFonts w:ascii="Palatino Linotype" w:hAnsi="Palatino Linotype" w:cs="Arial"/>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lastRenderedPageBreak/>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77777777"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B0BE49E" w14:textId="77777777" w:rsidR="00F25E46" w:rsidRDefault="00F25E46" w:rsidP="008F5D20">
      <w:pPr>
        <w:spacing w:before="240" w:line="360" w:lineRule="auto"/>
        <w:ind w:left="851" w:right="851"/>
        <w:jc w:val="both"/>
        <w:rPr>
          <w:rFonts w:ascii="Palatino Linotype" w:eastAsia="Times New Roman" w:hAnsi="Palatino Linotype" w:cs="Arial"/>
          <w:b/>
          <w:i/>
          <w:lang w:eastAsia="es-ES"/>
        </w:rPr>
      </w:pPr>
    </w:p>
    <w:p w14:paraId="1B4DF417" w14:textId="3980F5CF" w:rsidR="001D0CC8"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w:t>
      </w:r>
      <w:r w:rsidR="00423398">
        <w:rPr>
          <w:rFonts w:ascii="Palatino Linotype" w:hAnsi="Palatino Linotype"/>
          <w:sz w:val="24"/>
          <w:szCs w:val="24"/>
        </w:rPr>
        <w:t>respecto de</w:t>
      </w:r>
      <w:r w:rsidRPr="00A279CF">
        <w:rPr>
          <w:rFonts w:ascii="Palatino Linotype" w:hAnsi="Palatino Linotype"/>
          <w:sz w:val="24"/>
          <w:szCs w:val="24"/>
        </w:rPr>
        <w:t xml:space="preserve"> la solicitud de información</w:t>
      </w:r>
      <w:r w:rsidR="00EC15E7">
        <w:rPr>
          <w:rFonts w:ascii="Palatino Linotype" w:hAnsi="Palatino Linotype"/>
          <w:sz w:val="24"/>
          <w:szCs w:val="24"/>
        </w:rPr>
        <w:t xml:space="preserve"> </w:t>
      </w:r>
      <w:r w:rsidR="001D0CC8">
        <w:rPr>
          <w:rFonts w:ascii="Palatino Linotype" w:hAnsi="Palatino Linotype"/>
          <w:b/>
          <w:bCs/>
          <w:sz w:val="24"/>
          <w:szCs w:val="24"/>
        </w:rPr>
        <w:t>00378/NAUCALPA/IP/2024</w:t>
      </w:r>
      <w:r w:rsidR="00423398">
        <w:rPr>
          <w:rFonts w:ascii="Palatino Linotype" w:hAnsi="Palatino Linotype"/>
          <w:b/>
          <w:bCs/>
          <w:sz w:val="24"/>
          <w:szCs w:val="24"/>
        </w:rPr>
        <w:t xml:space="preserve">, </w:t>
      </w:r>
      <w:r w:rsidR="00423398">
        <w:rPr>
          <w:rFonts w:ascii="Palatino Linotype" w:hAnsi="Palatino Linotype"/>
          <w:sz w:val="24"/>
          <w:szCs w:val="24"/>
        </w:rPr>
        <w:t xml:space="preserve">se desprenden las siguientes consideraciones: </w:t>
      </w:r>
    </w:p>
    <w:p w14:paraId="06478D89" w14:textId="77777777" w:rsidR="00127FE0" w:rsidRPr="006C0923" w:rsidRDefault="00127FE0" w:rsidP="00127FE0">
      <w:pPr>
        <w:pStyle w:val="Prrafodelista"/>
        <w:numPr>
          <w:ilvl w:val="0"/>
          <w:numId w:val="14"/>
        </w:numPr>
        <w:autoSpaceDE w:val="0"/>
        <w:autoSpaceDN w:val="0"/>
        <w:adjustRightInd w:val="0"/>
        <w:spacing w:before="240" w:line="360" w:lineRule="auto"/>
        <w:jc w:val="both"/>
        <w:rPr>
          <w:rFonts w:ascii="Palatino Linotype" w:hAnsi="Palatino Linotype" w:cs="Arial"/>
          <w:lang w:val="es-MX"/>
        </w:rPr>
      </w:pPr>
      <w:r w:rsidRPr="006C092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6C0923">
        <w:rPr>
          <w:rFonts w:ascii="Palatino Linotype" w:hAnsi="Palatino Linotype" w:cs="Arial"/>
          <w:b/>
          <w:bCs/>
          <w:lang w:val="es-MX"/>
        </w:rPr>
        <w:t xml:space="preserve">Sujetos Obligados. </w:t>
      </w:r>
    </w:p>
    <w:p w14:paraId="0880C6BC" w14:textId="0E207F57" w:rsidR="00F25E46" w:rsidRPr="00F25E46" w:rsidRDefault="00127FE0" w:rsidP="00000047">
      <w:pPr>
        <w:pStyle w:val="Prrafodelista"/>
        <w:numPr>
          <w:ilvl w:val="0"/>
          <w:numId w:val="13"/>
        </w:numPr>
        <w:autoSpaceDE w:val="0"/>
        <w:autoSpaceDN w:val="0"/>
        <w:adjustRightInd w:val="0"/>
        <w:spacing w:before="240" w:line="360" w:lineRule="auto"/>
        <w:jc w:val="both"/>
        <w:rPr>
          <w:rFonts w:ascii="Palatino Linotype" w:hAnsi="Palatino Linotype"/>
        </w:rPr>
      </w:pPr>
      <w:r w:rsidRPr="00F25E46">
        <w:rPr>
          <w:rFonts w:ascii="Palatino Linotype" w:hAnsi="Palatino Linotype" w:cs="Arial"/>
          <w:lang w:val="es-MX"/>
        </w:rPr>
        <w:t xml:space="preserve">Que, de una interpretación literal a la solicitud de información, se advierte que fueron formulados </w:t>
      </w:r>
      <w:r w:rsidRPr="00F25E46">
        <w:rPr>
          <w:rFonts w:ascii="Palatino Linotype" w:hAnsi="Palatino Linotype" w:cs="Arial"/>
          <w:b/>
          <w:bCs/>
          <w:lang w:val="es-MX"/>
        </w:rPr>
        <w:t xml:space="preserve">4 -requerimientos-, </w:t>
      </w:r>
      <w:r w:rsidRPr="00F25E46">
        <w:rPr>
          <w:rFonts w:ascii="Palatino Linotype" w:hAnsi="Palatino Linotype" w:cs="Arial"/>
          <w:lang w:val="es-MX"/>
        </w:rPr>
        <w:t xml:space="preserve">precisando que </w:t>
      </w:r>
      <w:r w:rsidR="0061310F" w:rsidRPr="00F25E46">
        <w:rPr>
          <w:rFonts w:ascii="Palatino Linotype" w:hAnsi="Palatino Linotype" w:cs="Arial"/>
          <w:lang w:val="es-MX"/>
        </w:rPr>
        <w:t xml:space="preserve">no fue señalado un parámetro de inicio y conclusión para efectos de búsqueda de la información, debiendo de ser fijados del nueve de mayo de dos mil veintitrés al </w:t>
      </w:r>
      <w:r w:rsidR="00184899" w:rsidRPr="00F25E46">
        <w:rPr>
          <w:rFonts w:ascii="Palatino Linotype" w:hAnsi="Palatino Linotype" w:cs="Arial"/>
          <w:lang w:val="es-MX"/>
        </w:rPr>
        <w:t xml:space="preserve">nueve de mayo de dos mil veinticuatro. </w:t>
      </w:r>
      <w:r w:rsidR="00F25E46" w:rsidRPr="00F25E46">
        <w:rPr>
          <w:rFonts w:ascii="Palatino Linotype" w:hAnsi="Palatino Linotype" w:cs="Arial"/>
        </w:rPr>
        <w:t xml:space="preserve">En puntual observancia al criterio </w:t>
      </w:r>
      <w:r w:rsidR="00F25E46" w:rsidRPr="00F25E46">
        <w:rPr>
          <w:rFonts w:ascii="Palatino Linotype" w:hAnsi="Palatino Linotype"/>
          <w:b/>
        </w:rPr>
        <w:t xml:space="preserve">3/19 </w:t>
      </w:r>
      <w:r w:rsidR="00F25E46" w:rsidRPr="00F25E46">
        <w:rPr>
          <w:rFonts w:ascii="Palatino Linotype" w:hAnsi="Palatino Linotype"/>
        </w:rPr>
        <w:t xml:space="preserve">emitido </w:t>
      </w:r>
      <w:r w:rsidR="00F25E46" w:rsidRPr="00F25E46">
        <w:rPr>
          <w:rFonts w:ascii="Palatino Linotype" w:hAnsi="Palatino Linotype"/>
        </w:rPr>
        <w:lastRenderedPageBreak/>
        <w:t xml:space="preserve">por el Instituto Nacional de Transparencia, Acceso a la Información y Protección de Datos Personales, que dispone a la literalidad lo siguiente: </w:t>
      </w:r>
    </w:p>
    <w:p w14:paraId="4F54DF4E" w14:textId="77777777" w:rsidR="00F25E46" w:rsidRPr="00AE6205" w:rsidRDefault="00F25E46" w:rsidP="00F25E46">
      <w:pPr>
        <w:pStyle w:val="Citas"/>
        <w:ind w:left="720"/>
        <w:jc w:val="center"/>
        <w:rPr>
          <w:b/>
          <w:bCs/>
        </w:rPr>
      </w:pPr>
      <w:r w:rsidRPr="00AE6205">
        <w:rPr>
          <w:b/>
          <w:bCs/>
        </w:rPr>
        <w:t>“PERIODO DE BÚSQUEDA DE LA INFORMACIÓN.</w:t>
      </w:r>
    </w:p>
    <w:p w14:paraId="06079858" w14:textId="77777777" w:rsidR="00F25E46" w:rsidRPr="00846137" w:rsidRDefault="00F25E46" w:rsidP="00F25E46">
      <w:pPr>
        <w:pStyle w:val="Citas"/>
        <w:ind w:left="720"/>
      </w:pPr>
      <w:r w:rsidRPr="00846137">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6C6C15BF" w14:textId="77777777" w:rsidR="00F25E46" w:rsidRPr="00846137" w:rsidRDefault="00F25E46" w:rsidP="00F25E46">
      <w:pPr>
        <w:pStyle w:val="Citas"/>
        <w:ind w:left="720"/>
      </w:pPr>
      <w:r w:rsidRPr="00846137">
        <w:rPr>
          <w:b/>
          <w:spacing w:val="-1"/>
        </w:rPr>
        <w:t>R</w:t>
      </w:r>
      <w:r w:rsidRPr="00846137">
        <w:rPr>
          <w:b/>
        </w:rPr>
        <w:t>e</w:t>
      </w:r>
      <w:r w:rsidRPr="00846137">
        <w:rPr>
          <w:b/>
          <w:spacing w:val="-1"/>
        </w:rPr>
        <w:t>s</w:t>
      </w:r>
      <w:r w:rsidRPr="00846137">
        <w:rPr>
          <w:b/>
        </w:rPr>
        <w:t>olucion</w:t>
      </w:r>
      <w:r w:rsidRPr="00846137">
        <w:rPr>
          <w:b/>
          <w:spacing w:val="-1"/>
        </w:rPr>
        <w:t>es</w:t>
      </w:r>
    </w:p>
    <w:p w14:paraId="098B3FEB" w14:textId="77777777" w:rsidR="00F25E46" w:rsidRPr="00846137" w:rsidRDefault="00F25E46" w:rsidP="00F25E46">
      <w:pPr>
        <w:pStyle w:val="Citas"/>
        <w:numPr>
          <w:ilvl w:val="0"/>
          <w:numId w:val="13"/>
        </w:numPr>
        <w:rPr>
          <w:rFonts w:eastAsia="Symbol"/>
        </w:rPr>
      </w:pPr>
      <w:r w:rsidRPr="00846137">
        <w:rPr>
          <w:b/>
          <w:spacing w:val="-1"/>
        </w:rPr>
        <w:t>R</w:t>
      </w:r>
      <w:r w:rsidRPr="00846137">
        <w:rPr>
          <w:b/>
          <w:spacing w:val="3"/>
        </w:rPr>
        <w:t>R</w:t>
      </w:r>
      <w:r w:rsidRPr="00846137">
        <w:rPr>
          <w:b/>
        </w:rPr>
        <w:t>A</w:t>
      </w:r>
      <w:r w:rsidRPr="00846137">
        <w:rPr>
          <w:b/>
          <w:spacing w:val="5"/>
        </w:rPr>
        <w:t xml:space="preserve"> 0022</w:t>
      </w:r>
      <w:r w:rsidRPr="00846137">
        <w:rPr>
          <w:b/>
          <w:spacing w:val="-1"/>
        </w:rPr>
        <w:t>/17</w:t>
      </w:r>
      <w:r w:rsidRPr="00846137">
        <w:rPr>
          <w:b/>
        </w:rPr>
        <w:t>.</w:t>
      </w:r>
      <w:r w:rsidRPr="00846137">
        <w:rPr>
          <w:b/>
          <w:spacing w:val="15"/>
        </w:rPr>
        <w:t xml:space="preserve"> </w:t>
      </w:r>
      <w:r w:rsidRPr="00846137">
        <w:rPr>
          <w:spacing w:val="-1"/>
        </w:rPr>
        <w:t>Instituto Mexicano de la Propiedad Industrial</w:t>
      </w:r>
      <w:r w:rsidRPr="00846137">
        <w:t>.</w:t>
      </w:r>
      <w:r w:rsidRPr="00846137">
        <w:rPr>
          <w:spacing w:val="4"/>
        </w:rPr>
        <w:t xml:space="preserve"> 16 de febrero de 2017. Por unanimidad. </w:t>
      </w:r>
      <w:r w:rsidRPr="00846137">
        <w:rPr>
          <w:spacing w:val="-1"/>
        </w:rPr>
        <w:t>C</w:t>
      </w:r>
      <w:r w:rsidRPr="00846137">
        <w:t>omis</w:t>
      </w:r>
      <w:r w:rsidRPr="00846137">
        <w:rPr>
          <w:spacing w:val="-2"/>
        </w:rPr>
        <w:t>i</w:t>
      </w:r>
      <w:r w:rsidRPr="00846137">
        <w:t>o</w:t>
      </w:r>
      <w:r w:rsidRPr="00846137">
        <w:rPr>
          <w:spacing w:val="1"/>
        </w:rPr>
        <w:t>n</w:t>
      </w:r>
      <w:r w:rsidRPr="00846137">
        <w:t>a</w:t>
      </w:r>
      <w:r w:rsidRPr="00846137">
        <w:rPr>
          <w:spacing w:val="-1"/>
        </w:rPr>
        <w:t>d</w:t>
      </w:r>
      <w:r w:rsidRPr="00846137">
        <w:t>o</w:t>
      </w:r>
      <w:r w:rsidRPr="00846137">
        <w:rPr>
          <w:spacing w:val="3"/>
        </w:rPr>
        <w:t xml:space="preserve"> </w:t>
      </w:r>
      <w:r w:rsidRPr="00846137">
        <w:rPr>
          <w:spacing w:val="-1"/>
        </w:rPr>
        <w:t>P</w:t>
      </w:r>
      <w:r w:rsidRPr="00846137">
        <w:t>o</w:t>
      </w:r>
      <w:r w:rsidRPr="00846137">
        <w:rPr>
          <w:spacing w:val="-1"/>
        </w:rPr>
        <w:t>n</w:t>
      </w:r>
      <w:r w:rsidRPr="00846137">
        <w:t>e</w:t>
      </w:r>
      <w:r w:rsidRPr="00846137">
        <w:rPr>
          <w:spacing w:val="-1"/>
        </w:rPr>
        <w:t>n</w:t>
      </w:r>
      <w:r w:rsidRPr="00846137">
        <w:rPr>
          <w:spacing w:val="1"/>
        </w:rPr>
        <w:t>t</w:t>
      </w:r>
      <w:r w:rsidRPr="00846137">
        <w:t>e Francisco Javier Acuña Llamas.</w:t>
      </w:r>
    </w:p>
    <w:p w14:paraId="3E1FD3D7" w14:textId="77777777" w:rsidR="00F25E46" w:rsidRPr="00846137" w:rsidRDefault="00605391" w:rsidP="00F25E46">
      <w:pPr>
        <w:pStyle w:val="Citas"/>
        <w:numPr>
          <w:ilvl w:val="0"/>
          <w:numId w:val="13"/>
        </w:numPr>
        <w:rPr>
          <w:rFonts w:eastAsia="Symbol"/>
        </w:rPr>
      </w:pPr>
      <w:hyperlink r:id="rId8" w:history="1">
        <w:r w:rsidR="00F25E46" w:rsidRPr="00337C57">
          <w:rPr>
            <w:rStyle w:val="Hipervnculo"/>
            <w:rFonts w:eastAsia="Symbol"/>
          </w:rPr>
          <w:t>http://consultas.ifai.org.mx/descargar.php?r=./pdf/resoluciones/2017/&amp;a=RRA%2022.pdf</w:t>
        </w:r>
      </w:hyperlink>
      <w:r w:rsidR="00F25E46" w:rsidRPr="00846137">
        <w:rPr>
          <w:rFonts w:eastAsia="Symbol"/>
        </w:rPr>
        <w:t xml:space="preserve"> </w:t>
      </w:r>
    </w:p>
    <w:p w14:paraId="660EC528" w14:textId="77777777" w:rsidR="00F25E46" w:rsidRPr="00846137" w:rsidRDefault="00F25E46" w:rsidP="00F25E46">
      <w:pPr>
        <w:pStyle w:val="Citas"/>
        <w:numPr>
          <w:ilvl w:val="0"/>
          <w:numId w:val="13"/>
        </w:numPr>
        <w:rPr>
          <w:b/>
          <w:spacing w:val="-1"/>
        </w:rPr>
      </w:pPr>
      <w:r w:rsidRPr="00846137">
        <w:rPr>
          <w:b/>
          <w:spacing w:val="-1"/>
        </w:rPr>
        <w:t>R</w:t>
      </w:r>
      <w:r w:rsidRPr="00846137">
        <w:rPr>
          <w:b/>
          <w:spacing w:val="3"/>
        </w:rPr>
        <w:t>R</w:t>
      </w:r>
      <w:r w:rsidRPr="00846137">
        <w:rPr>
          <w:b/>
        </w:rPr>
        <w:t>A</w:t>
      </w:r>
      <w:r w:rsidRPr="00846137">
        <w:rPr>
          <w:b/>
          <w:spacing w:val="43"/>
        </w:rPr>
        <w:t xml:space="preserve"> </w:t>
      </w:r>
      <w:r w:rsidRPr="00846137">
        <w:rPr>
          <w:b/>
          <w:spacing w:val="5"/>
        </w:rPr>
        <w:t>2536</w:t>
      </w:r>
      <w:r w:rsidRPr="00846137">
        <w:rPr>
          <w:b/>
          <w:spacing w:val="1"/>
        </w:rPr>
        <w:t>/</w:t>
      </w:r>
      <w:r w:rsidRPr="00846137">
        <w:rPr>
          <w:b/>
        </w:rPr>
        <w:t xml:space="preserve">17. </w:t>
      </w:r>
      <w:r w:rsidRPr="00846137">
        <w:rPr>
          <w:spacing w:val="-1"/>
        </w:rPr>
        <w:t>Secretaría de Gobernación</w:t>
      </w:r>
      <w:r w:rsidRPr="00846137">
        <w:t>. 07 de junio de 2017. Por unanimidad. Comisionada Ponente Areli Cano Guadiana.</w:t>
      </w:r>
      <w:r w:rsidRPr="00846137">
        <w:rPr>
          <w:spacing w:val="-1"/>
          <w:position w:val="5"/>
        </w:rPr>
        <w:t xml:space="preserve"> </w:t>
      </w:r>
    </w:p>
    <w:p w14:paraId="5FAE7881" w14:textId="77777777" w:rsidR="00F25E46" w:rsidRPr="00846137" w:rsidRDefault="00605391" w:rsidP="00F25E46">
      <w:pPr>
        <w:pStyle w:val="Citas"/>
        <w:numPr>
          <w:ilvl w:val="0"/>
          <w:numId w:val="13"/>
        </w:numPr>
        <w:rPr>
          <w:spacing w:val="-1"/>
        </w:rPr>
      </w:pPr>
      <w:hyperlink r:id="rId9" w:history="1">
        <w:r w:rsidR="00F25E46" w:rsidRPr="00337C57">
          <w:rPr>
            <w:rStyle w:val="Hipervnculo"/>
            <w:rFonts w:eastAsia="Arial"/>
            <w:spacing w:val="-1"/>
          </w:rPr>
          <w:t>http://consultas.ifai.org.mx/descargar.php?r=./pdf/resoluciones/2017/&amp;a=RRA%202536.pdf</w:t>
        </w:r>
      </w:hyperlink>
      <w:r w:rsidR="00F25E46" w:rsidRPr="00846137">
        <w:rPr>
          <w:spacing w:val="-1"/>
        </w:rPr>
        <w:t xml:space="preserve"> </w:t>
      </w:r>
    </w:p>
    <w:p w14:paraId="4351D90F" w14:textId="77777777" w:rsidR="00F25E46" w:rsidRPr="00846137" w:rsidRDefault="00F25E46" w:rsidP="00F25E46">
      <w:pPr>
        <w:pStyle w:val="Citas"/>
        <w:numPr>
          <w:ilvl w:val="0"/>
          <w:numId w:val="13"/>
        </w:numPr>
        <w:rPr>
          <w:bCs/>
        </w:rPr>
      </w:pPr>
      <w:r w:rsidRPr="00846137">
        <w:rPr>
          <w:b/>
          <w:spacing w:val="-1"/>
          <w:position w:val="-1"/>
        </w:rPr>
        <w:t>R</w:t>
      </w:r>
      <w:r w:rsidRPr="00846137">
        <w:rPr>
          <w:b/>
          <w:spacing w:val="3"/>
          <w:position w:val="-1"/>
        </w:rPr>
        <w:t>R</w:t>
      </w:r>
      <w:r w:rsidRPr="00846137">
        <w:rPr>
          <w:b/>
          <w:position w:val="-1"/>
        </w:rPr>
        <w:t xml:space="preserve">A </w:t>
      </w:r>
      <w:r w:rsidRPr="00846137">
        <w:rPr>
          <w:b/>
          <w:spacing w:val="-1"/>
          <w:position w:val="-1"/>
        </w:rPr>
        <w:t>3482/17</w:t>
      </w:r>
      <w:r w:rsidRPr="00846137">
        <w:rPr>
          <w:b/>
          <w:position w:val="-1"/>
        </w:rPr>
        <w:t xml:space="preserve">. </w:t>
      </w:r>
      <w:r w:rsidRPr="00846137">
        <w:rPr>
          <w:spacing w:val="-1"/>
          <w:position w:val="-1"/>
        </w:rPr>
        <w:t>Secretaría de Comunicaciones y Transportes</w:t>
      </w:r>
      <w:r w:rsidRPr="00846137">
        <w:rPr>
          <w:position w:val="-1"/>
        </w:rPr>
        <w:t>. 02 de agosto de 2017. Por unanimidad. Comisionado Ponente Oscar Mauricio Guerra Ford</w:t>
      </w:r>
      <w:r w:rsidRPr="00846137">
        <w:rPr>
          <w:bCs/>
        </w:rPr>
        <w:t>.</w:t>
      </w:r>
    </w:p>
    <w:p w14:paraId="3600F961" w14:textId="77777777" w:rsidR="00F25E46" w:rsidRPr="00F25E46" w:rsidRDefault="00605391" w:rsidP="00F25E46">
      <w:pPr>
        <w:pStyle w:val="Citas"/>
        <w:numPr>
          <w:ilvl w:val="0"/>
          <w:numId w:val="13"/>
        </w:numPr>
        <w:rPr>
          <w:rStyle w:val="Hipervnculo"/>
          <w:b/>
          <w:bCs/>
          <w:color w:val="auto"/>
          <w:u w:val="none"/>
          <w:lang w:val="en-US"/>
        </w:rPr>
      </w:pPr>
      <w:hyperlink r:id="rId10" w:history="1">
        <w:r w:rsidR="00F25E46" w:rsidRPr="00F25E46">
          <w:rPr>
            <w:rStyle w:val="Hipervnculo"/>
            <w:bCs/>
            <w:lang w:val="en-US"/>
          </w:rPr>
          <w:t>http://consultas.ifai.org.mx/descargar.php?r=./pdf/resoluciones/2017/&amp;a=RRA%203482.pdf</w:t>
        </w:r>
      </w:hyperlink>
      <w:r w:rsidR="00F25E46" w:rsidRPr="00F25E46">
        <w:rPr>
          <w:rStyle w:val="Hipervnculo"/>
          <w:bCs/>
          <w:lang w:val="en-US"/>
        </w:rPr>
        <w:t xml:space="preserve">” </w:t>
      </w:r>
      <w:r w:rsidR="00F25E46" w:rsidRPr="00F25E46">
        <w:rPr>
          <w:rStyle w:val="Hipervnculo"/>
          <w:b/>
          <w:bCs/>
          <w:color w:val="auto"/>
          <w:u w:val="none"/>
          <w:lang w:val="en-US"/>
        </w:rPr>
        <w:t>[Sic]</w:t>
      </w:r>
    </w:p>
    <w:p w14:paraId="590DB1CB" w14:textId="2649FA4E" w:rsidR="00127FE0" w:rsidRPr="00127FE0" w:rsidRDefault="00184899" w:rsidP="00127FE0">
      <w:pPr>
        <w:pStyle w:val="Prrafodelista"/>
        <w:numPr>
          <w:ilvl w:val="0"/>
          <w:numId w:val="13"/>
        </w:numPr>
        <w:autoSpaceDE w:val="0"/>
        <w:autoSpaceDN w:val="0"/>
        <w:adjustRightInd w:val="0"/>
        <w:spacing w:before="240" w:line="360" w:lineRule="auto"/>
        <w:jc w:val="both"/>
        <w:rPr>
          <w:rFonts w:ascii="Palatino Linotype" w:hAnsi="Palatino Linotype"/>
          <w:color w:val="000000"/>
          <w:lang w:val="es-MX"/>
        </w:rPr>
      </w:pPr>
      <w:r>
        <w:rPr>
          <w:rFonts w:ascii="Palatino Linotype" w:hAnsi="Palatino Linotype"/>
          <w:color w:val="000000"/>
          <w:lang w:val="es-MX"/>
        </w:rPr>
        <w:lastRenderedPageBreak/>
        <w:t xml:space="preserve">Que el requerimiento relativo a </w:t>
      </w:r>
      <w:r>
        <w:rPr>
          <w:rFonts w:ascii="Palatino Linotype" w:hAnsi="Palatino Linotype"/>
          <w:i/>
          <w:iCs/>
          <w:color w:val="000000"/>
          <w:lang w:val="es-MX"/>
        </w:rPr>
        <w:t xml:space="preserve">“solicito el documento donde conste la comprobación de que la documentación presentada sea la correcta y necesaria para proceder al trámite” </w:t>
      </w:r>
      <w:r>
        <w:rPr>
          <w:rFonts w:ascii="Palatino Linotype" w:hAnsi="Palatino Linotype"/>
          <w:color w:val="000000"/>
          <w:lang w:val="es-MX"/>
        </w:rPr>
        <w:t xml:space="preserve">se encuentra inmerso en </w:t>
      </w:r>
      <w:r>
        <w:rPr>
          <w:rFonts w:ascii="Palatino Linotype" w:hAnsi="Palatino Linotype"/>
          <w:i/>
          <w:iCs/>
          <w:color w:val="000000"/>
          <w:lang w:val="es-MX"/>
        </w:rPr>
        <w:t>“por lo que solicitó copia de dichas autorizaciones”</w:t>
      </w:r>
      <w:r>
        <w:rPr>
          <w:rFonts w:ascii="Palatino Linotype" w:hAnsi="Palatino Linotype"/>
          <w:color w:val="000000"/>
          <w:lang w:val="es-MX"/>
        </w:rPr>
        <w:t xml:space="preserve">, por ello, se abordarán de forma sintetizada. </w:t>
      </w:r>
    </w:p>
    <w:p w14:paraId="67510785" w14:textId="71909E62" w:rsidR="00184899" w:rsidRPr="003A665D" w:rsidRDefault="00184899" w:rsidP="00184899">
      <w:pPr>
        <w:pStyle w:val="Prrafodelista"/>
        <w:numPr>
          <w:ilvl w:val="0"/>
          <w:numId w:val="13"/>
        </w:numPr>
        <w:autoSpaceDE w:val="0"/>
        <w:autoSpaceDN w:val="0"/>
        <w:adjustRightInd w:val="0"/>
        <w:spacing w:before="240" w:line="360" w:lineRule="auto"/>
        <w:jc w:val="both"/>
        <w:rPr>
          <w:rFonts w:ascii="Palatino Linotype" w:hAnsi="Palatino Linotype"/>
        </w:rPr>
      </w:pPr>
      <w:r w:rsidRPr="003A665D">
        <w:rPr>
          <w:rFonts w:ascii="Palatino Linotype" w:hAnsi="Palatino Linotype" w:cs="Arial"/>
          <w:lang w:val="es-MX"/>
        </w:rPr>
        <w:t xml:space="preserve">Por otra parte, </w:t>
      </w:r>
      <w:r w:rsidRPr="003A665D">
        <w:rPr>
          <w:rFonts w:ascii="Palatino Linotype" w:hAnsi="Palatino Linotype" w:cs="Arial"/>
        </w:rPr>
        <w:t xml:space="preserve">resulta oportuno destacar que cuando los particulares no identifican de forma precisa el documento requerido, bastará con que </w:t>
      </w:r>
      <w:r w:rsidRPr="003A665D">
        <w:rPr>
          <w:rFonts w:ascii="Palatino Linotype" w:hAnsi="Palatino Linotype"/>
        </w:rPr>
        <w:t xml:space="preserve">se remita cualquiera que refleje la información requerida. Al respecto, cobra relevancia el criterio emitido por el Órgano Garante Nacional con número </w:t>
      </w:r>
      <w:r w:rsidRPr="003A665D">
        <w:rPr>
          <w:rFonts w:ascii="Palatino Linotype" w:hAnsi="Palatino Linotype"/>
          <w:b/>
          <w:bCs/>
        </w:rPr>
        <w:t xml:space="preserve">16/17 </w:t>
      </w:r>
      <w:r w:rsidRPr="003A665D">
        <w:rPr>
          <w:rFonts w:ascii="Palatino Linotype" w:hAnsi="Palatino Linotype"/>
        </w:rPr>
        <w:t>cuyo rubro y texto disponen a la literalidad lo siguiente:</w:t>
      </w:r>
    </w:p>
    <w:p w14:paraId="2A9A57A7" w14:textId="77777777" w:rsidR="00184899" w:rsidRPr="00AB5B4A" w:rsidRDefault="00184899" w:rsidP="00184899">
      <w:pPr>
        <w:pStyle w:val="Citas"/>
        <w:jc w:val="center"/>
        <w:rPr>
          <w:b/>
          <w:bCs/>
          <w:sz w:val="24"/>
          <w:szCs w:val="24"/>
        </w:rPr>
      </w:pPr>
      <w:r w:rsidRPr="00AB5B4A">
        <w:rPr>
          <w:b/>
          <w:bCs/>
          <w:sz w:val="24"/>
          <w:szCs w:val="24"/>
        </w:rPr>
        <w:t>“EXPRESIÓN DOCUMENTAL.</w:t>
      </w:r>
    </w:p>
    <w:p w14:paraId="7E216F71" w14:textId="77777777" w:rsidR="00184899" w:rsidRPr="00AB5B4A" w:rsidRDefault="00184899" w:rsidP="00184899">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63BD30B8" w14:textId="77777777" w:rsidR="00184899" w:rsidRPr="00AB5B4A" w:rsidRDefault="00184899" w:rsidP="00184899">
      <w:pPr>
        <w:pStyle w:val="Citas"/>
        <w:rPr>
          <w:b/>
        </w:rPr>
      </w:pPr>
      <w:r w:rsidRPr="00AB5B4A">
        <w:rPr>
          <w:b/>
        </w:rPr>
        <w:t>Precedentes:</w:t>
      </w:r>
    </w:p>
    <w:p w14:paraId="6C02E79F" w14:textId="77777777" w:rsidR="00184899" w:rsidRPr="00AB5B4A" w:rsidRDefault="00184899" w:rsidP="00184899">
      <w:pPr>
        <w:pStyle w:val="Citas"/>
        <w:numPr>
          <w:ilvl w:val="0"/>
          <w:numId w:val="15"/>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467CA45D" w14:textId="77777777" w:rsidR="00184899" w:rsidRPr="00AB5B4A" w:rsidRDefault="00184899" w:rsidP="00184899">
      <w:pPr>
        <w:pStyle w:val="Citas"/>
        <w:numPr>
          <w:ilvl w:val="0"/>
          <w:numId w:val="15"/>
        </w:numPr>
        <w:rPr>
          <w:color w:val="000000"/>
        </w:rPr>
      </w:pPr>
      <w:r w:rsidRPr="00AB5B4A">
        <w:lastRenderedPageBreak/>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36BA6950" w14:textId="77777777" w:rsidR="00184899" w:rsidRPr="00AB5B4A" w:rsidRDefault="00184899" w:rsidP="00184899">
      <w:pPr>
        <w:pStyle w:val="Citas"/>
        <w:numPr>
          <w:ilvl w:val="0"/>
          <w:numId w:val="15"/>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7F2CB7A4" w14:textId="77777777" w:rsidR="00127FE0" w:rsidRDefault="00127FE0" w:rsidP="00184899">
      <w:pPr>
        <w:autoSpaceDE w:val="0"/>
        <w:autoSpaceDN w:val="0"/>
        <w:adjustRightInd w:val="0"/>
        <w:spacing w:before="240" w:line="360" w:lineRule="auto"/>
        <w:jc w:val="both"/>
        <w:rPr>
          <w:rFonts w:ascii="Palatino Linotype" w:hAnsi="Palatino Linotype"/>
          <w:color w:val="000000"/>
        </w:rPr>
      </w:pPr>
    </w:p>
    <w:p w14:paraId="7A1B91EC" w14:textId="77777777" w:rsidR="00184899" w:rsidRPr="0051062B" w:rsidRDefault="00184899" w:rsidP="00184899">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0EBA0E63" w14:textId="77777777" w:rsidR="00184899" w:rsidRPr="0051062B" w:rsidRDefault="00184899" w:rsidP="00184899">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2C6A4FD" w14:textId="77777777" w:rsidR="00184899" w:rsidRPr="0051062B" w:rsidRDefault="00184899" w:rsidP="00184899">
      <w:pPr>
        <w:pStyle w:val="Citas"/>
        <w:rPr>
          <w:b/>
        </w:rPr>
      </w:pPr>
      <w:r w:rsidRPr="0051062B">
        <w:rPr>
          <w:b/>
        </w:rPr>
        <w:t xml:space="preserve">Artículo 181. … </w:t>
      </w:r>
    </w:p>
    <w:p w14:paraId="69B43A26" w14:textId="77777777" w:rsidR="00184899" w:rsidRDefault="00184899" w:rsidP="00184899">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1189B8AE" w14:textId="77777777" w:rsidR="00184899" w:rsidRDefault="00184899" w:rsidP="00184899">
      <w:pPr>
        <w:autoSpaceDE w:val="0"/>
        <w:autoSpaceDN w:val="0"/>
        <w:adjustRightInd w:val="0"/>
        <w:spacing w:before="240" w:line="360" w:lineRule="auto"/>
        <w:jc w:val="both"/>
        <w:rPr>
          <w:rFonts w:ascii="Palatino Linotype" w:hAnsi="Palatino Linotype"/>
          <w:color w:val="000000"/>
        </w:rPr>
      </w:pPr>
    </w:p>
    <w:p w14:paraId="2783CA34" w14:textId="77777777" w:rsidR="00184899" w:rsidRDefault="00184899" w:rsidP="00184899">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la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a través del </w:t>
      </w:r>
      <w:r>
        <w:rPr>
          <w:rFonts w:ascii="Palatino Linotype" w:hAnsi="Palatino Linotype"/>
          <w:b/>
          <w:bCs/>
          <w:sz w:val="24"/>
          <w:szCs w:val="24"/>
        </w:rPr>
        <w:t xml:space="preserve">SAIMEX, </w:t>
      </w:r>
      <w:r>
        <w:rPr>
          <w:rFonts w:ascii="Palatino Linotype" w:hAnsi="Palatino Linotype"/>
          <w:sz w:val="24"/>
          <w:szCs w:val="24"/>
        </w:rPr>
        <w:t>la siguiente información:</w:t>
      </w:r>
    </w:p>
    <w:p w14:paraId="24CCB5AE" w14:textId="70486471" w:rsidR="001D0CC8" w:rsidRPr="001D0CC8" w:rsidRDefault="001D0CC8" w:rsidP="00D870AC">
      <w:pPr>
        <w:spacing w:before="240" w:line="360" w:lineRule="auto"/>
        <w:jc w:val="both"/>
        <w:rPr>
          <w:rFonts w:ascii="Palatino Linotype" w:hAnsi="Palatino Linotype"/>
          <w:b/>
          <w:bCs/>
          <w:sz w:val="24"/>
          <w:szCs w:val="24"/>
        </w:rPr>
      </w:pPr>
      <w:r w:rsidRPr="001D0CC8">
        <w:rPr>
          <w:rFonts w:ascii="Palatino Linotype" w:hAnsi="Palatino Linotype"/>
          <w:b/>
          <w:bCs/>
          <w:sz w:val="24"/>
          <w:szCs w:val="24"/>
        </w:rPr>
        <w:t>Respecto del condominio y/o condominio horizontal referido en la solicitud de información 00378/NAUCALPA/IP/2024</w:t>
      </w:r>
      <w:r>
        <w:rPr>
          <w:rFonts w:ascii="Palatino Linotype" w:hAnsi="Palatino Linotype"/>
          <w:b/>
          <w:bCs/>
          <w:sz w:val="24"/>
          <w:szCs w:val="24"/>
        </w:rPr>
        <w:t xml:space="preserve">: </w:t>
      </w:r>
    </w:p>
    <w:p w14:paraId="608A2EE9" w14:textId="4121A71A" w:rsidR="001D0CC8" w:rsidRDefault="00423398" w:rsidP="001D0CC8">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exhibidos para solicitar los servicios catastrales prestados por el Ayuntamiento de Naucalpan de Juárez (fusión, </w:t>
      </w:r>
      <w:r w:rsidRPr="001D0CC8">
        <w:rPr>
          <w:rFonts w:ascii="Palatino Linotype" w:hAnsi="Palatino Linotype"/>
        </w:rPr>
        <w:t>subdivisión, lotificación, relotificación, conjunto urbano, afectación o modificación de linderos</w:t>
      </w:r>
      <w:r>
        <w:rPr>
          <w:rFonts w:ascii="Palatino Linotype" w:hAnsi="Palatino Linotype"/>
        </w:rPr>
        <w:t>,</w:t>
      </w:r>
      <w:r w:rsidRPr="001D0CC8">
        <w:rPr>
          <w:rFonts w:ascii="Palatino Linotype" w:hAnsi="Palatino Linotype"/>
        </w:rPr>
        <w:t xml:space="preserve"> cambio de uso de suelo; </w:t>
      </w:r>
      <w:r>
        <w:rPr>
          <w:rFonts w:ascii="Palatino Linotype" w:hAnsi="Palatino Linotype"/>
        </w:rPr>
        <w:t xml:space="preserve">modificación de superficie de terreno o </w:t>
      </w:r>
      <w:r w:rsidR="00127FE0">
        <w:rPr>
          <w:rFonts w:ascii="Palatino Linotype" w:hAnsi="Palatino Linotype"/>
        </w:rPr>
        <w:t xml:space="preserve">construcción, </w:t>
      </w:r>
      <w:r w:rsidR="00127FE0" w:rsidRPr="001D0CC8">
        <w:rPr>
          <w:rFonts w:ascii="Palatino Linotype" w:hAnsi="Palatino Linotype"/>
        </w:rPr>
        <w:t>otros</w:t>
      </w:r>
      <w:r>
        <w:rPr>
          <w:rFonts w:ascii="Palatino Linotype" w:hAnsi="Palatino Linotype"/>
        </w:rPr>
        <w:t>)</w:t>
      </w:r>
      <w:r w:rsidR="00184899">
        <w:rPr>
          <w:rFonts w:ascii="Palatino Linotype" w:hAnsi="Palatino Linotype"/>
        </w:rPr>
        <w:t xml:space="preserve">, del periodo comprendido del nueve de mayo de dos mil veintitrés al nueve de mayo de dos mil veinticuatro. </w:t>
      </w:r>
    </w:p>
    <w:p w14:paraId="592FBB44" w14:textId="125B6AB2" w:rsidR="00423398" w:rsidRDefault="00423398" w:rsidP="00423398">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consten las autorizaciones de servicios catastrales prestados por el Ayuntamiento de Naucalpan de Juárez (fusión, </w:t>
      </w:r>
      <w:r w:rsidRPr="001D0CC8">
        <w:rPr>
          <w:rFonts w:ascii="Palatino Linotype" w:hAnsi="Palatino Linotype"/>
        </w:rPr>
        <w:t>subdivisión, lotificación, relotificación, conjunto urbano, afectación o modificación de linderos</w:t>
      </w:r>
      <w:r>
        <w:rPr>
          <w:rFonts w:ascii="Palatino Linotype" w:hAnsi="Palatino Linotype"/>
        </w:rPr>
        <w:t>,</w:t>
      </w:r>
      <w:r w:rsidRPr="001D0CC8">
        <w:rPr>
          <w:rFonts w:ascii="Palatino Linotype" w:hAnsi="Palatino Linotype"/>
        </w:rPr>
        <w:t xml:space="preserve"> cambio de uso de suelo; </w:t>
      </w:r>
      <w:r>
        <w:rPr>
          <w:rFonts w:ascii="Palatino Linotype" w:hAnsi="Palatino Linotype"/>
        </w:rPr>
        <w:t xml:space="preserve">modificación de superficie de terreno o </w:t>
      </w:r>
      <w:r w:rsidR="00127FE0">
        <w:rPr>
          <w:rFonts w:ascii="Palatino Linotype" w:hAnsi="Palatino Linotype"/>
        </w:rPr>
        <w:t xml:space="preserve">construcción, </w:t>
      </w:r>
      <w:r w:rsidR="00127FE0" w:rsidRPr="001D0CC8">
        <w:rPr>
          <w:rFonts w:ascii="Palatino Linotype" w:hAnsi="Palatino Linotype"/>
        </w:rPr>
        <w:t>otros</w:t>
      </w:r>
      <w:r>
        <w:rPr>
          <w:rFonts w:ascii="Palatino Linotype" w:hAnsi="Palatino Linotype"/>
        </w:rPr>
        <w:t>)</w:t>
      </w:r>
      <w:r w:rsidR="00184899">
        <w:rPr>
          <w:rFonts w:ascii="Palatino Linotype" w:hAnsi="Palatino Linotype"/>
        </w:rPr>
        <w:t xml:space="preserve">, del periodo comprendido del nueve de mayo de dos mil veintitrés al nueve de mayo de dos mil veinticuatro. </w:t>
      </w:r>
    </w:p>
    <w:p w14:paraId="0DD36C80" w14:textId="607A5F21" w:rsidR="00423398" w:rsidRPr="001D0CC8" w:rsidRDefault="00423398" w:rsidP="001D0CC8">
      <w:pPr>
        <w:pStyle w:val="Prrafodelista"/>
        <w:numPr>
          <w:ilvl w:val="0"/>
          <w:numId w:val="12"/>
        </w:numPr>
        <w:spacing w:before="240" w:line="360" w:lineRule="auto"/>
        <w:jc w:val="both"/>
        <w:rPr>
          <w:rFonts w:ascii="Palatino Linotype" w:hAnsi="Palatino Linotype"/>
        </w:rPr>
      </w:pPr>
      <w:r>
        <w:rPr>
          <w:rFonts w:ascii="Palatino Linotype" w:hAnsi="Palatino Linotype"/>
        </w:rPr>
        <w:t xml:space="preserve">El o los documentos donde conste </w:t>
      </w:r>
      <w:r w:rsidR="00127FE0">
        <w:rPr>
          <w:rFonts w:ascii="Palatino Linotype" w:hAnsi="Palatino Linotype"/>
        </w:rPr>
        <w:t xml:space="preserve">el procedimiento que se siguió para la asignación de la clave catastral para condominio y/o condominio horizontal, </w:t>
      </w:r>
      <w:r>
        <w:rPr>
          <w:rFonts w:ascii="Palatino Linotype" w:hAnsi="Palatino Linotype"/>
        </w:rPr>
        <w:t xml:space="preserve"> </w:t>
      </w:r>
      <w:r w:rsidR="00184899">
        <w:rPr>
          <w:rFonts w:ascii="Palatino Linotype" w:hAnsi="Palatino Linotype"/>
        </w:rPr>
        <w:t xml:space="preserve">del periodo comprendido del nueve de mayo de dos mil veintitrés al nueve de mayo de dos mil veinticuatro. </w:t>
      </w:r>
    </w:p>
    <w:p w14:paraId="26E6B7F7" w14:textId="77777777" w:rsidR="0079773D" w:rsidRDefault="0079773D" w:rsidP="00592264">
      <w:pPr>
        <w:spacing w:after="0" w:line="360" w:lineRule="auto"/>
        <w:jc w:val="both"/>
        <w:rPr>
          <w:rFonts w:ascii="Palatino Linotype" w:hAnsi="Palatino Linotype"/>
          <w:bCs/>
          <w:sz w:val="24"/>
          <w:szCs w:val="24"/>
        </w:rPr>
      </w:pPr>
    </w:p>
    <w:p w14:paraId="50465EAF" w14:textId="77777777" w:rsidR="00592264" w:rsidRDefault="002522E9" w:rsidP="00592264">
      <w:pPr>
        <w:spacing w:after="0" w:line="360" w:lineRule="auto"/>
        <w:jc w:val="both"/>
        <w:rPr>
          <w:rFonts w:ascii="Palatino Linotype" w:hAnsi="Palatino Linotype"/>
          <w:sz w:val="24"/>
          <w:szCs w:val="24"/>
        </w:rPr>
      </w:pPr>
      <w:r w:rsidRPr="00592264">
        <w:rPr>
          <w:rFonts w:ascii="Palatino Linotype" w:hAnsi="Palatino Linotype"/>
          <w:bCs/>
          <w:sz w:val="24"/>
          <w:szCs w:val="24"/>
        </w:rPr>
        <w:lastRenderedPageBreak/>
        <w:t xml:space="preserve">En este tenor, en alusión a los requerimientos formulados por el particular, resulta oportuno </w:t>
      </w:r>
      <w:r w:rsidR="00592264">
        <w:rPr>
          <w:rFonts w:ascii="Palatino Linotype" w:hAnsi="Palatino Linotype"/>
          <w:bCs/>
          <w:sz w:val="24"/>
          <w:szCs w:val="24"/>
        </w:rPr>
        <w:t xml:space="preserve">delimitar las fronteras conceptuales de los predios, entendidos estos como </w:t>
      </w:r>
      <w:r w:rsidR="00592264">
        <w:rPr>
          <w:rFonts w:ascii="Palatino Linotype" w:hAnsi="Palatino Linotype"/>
          <w:sz w:val="24"/>
          <w:szCs w:val="24"/>
        </w:rPr>
        <w:t xml:space="preserve">al inmueble urbano o rustico con o sin construcciones, integrante de una manzana catastral, cuyos linderos forman un polígono cerrado. </w:t>
      </w:r>
    </w:p>
    <w:p w14:paraId="7FE33503" w14:textId="77777777" w:rsidR="00592264" w:rsidRDefault="00592264" w:rsidP="00592264">
      <w:pPr>
        <w:spacing w:after="0" w:line="360" w:lineRule="auto"/>
        <w:jc w:val="both"/>
        <w:rPr>
          <w:rFonts w:ascii="Palatino Linotype" w:hAnsi="Palatino Linotype"/>
          <w:bCs/>
          <w:sz w:val="24"/>
          <w:szCs w:val="24"/>
        </w:rPr>
      </w:pPr>
    </w:p>
    <w:p w14:paraId="5F02E526" w14:textId="6623F133" w:rsidR="00592264" w:rsidRDefault="00592264" w:rsidP="00592264">
      <w:pPr>
        <w:spacing w:after="0" w:line="360" w:lineRule="auto"/>
        <w:jc w:val="both"/>
        <w:rPr>
          <w:rFonts w:ascii="Palatino Linotype" w:hAnsi="Palatino Linotype"/>
          <w:bCs/>
          <w:sz w:val="24"/>
          <w:szCs w:val="24"/>
        </w:rPr>
      </w:pPr>
      <w:r>
        <w:rPr>
          <w:rFonts w:ascii="Palatino Linotype" w:hAnsi="Palatino Linotype"/>
          <w:bCs/>
          <w:sz w:val="24"/>
          <w:szCs w:val="24"/>
        </w:rPr>
        <w:t xml:space="preserve">Ahora bien, resulta oportuno referir que </w:t>
      </w:r>
      <w:r w:rsidR="0079773D">
        <w:rPr>
          <w:rFonts w:ascii="Palatino Linotype" w:hAnsi="Palatino Linotype"/>
          <w:bCs/>
          <w:sz w:val="24"/>
          <w:szCs w:val="24"/>
        </w:rPr>
        <w:t xml:space="preserve">los predios </w:t>
      </w:r>
      <w:r>
        <w:rPr>
          <w:rFonts w:ascii="Palatino Linotype" w:hAnsi="Palatino Linotype"/>
          <w:bCs/>
          <w:sz w:val="24"/>
          <w:szCs w:val="24"/>
        </w:rPr>
        <w:t xml:space="preserve">son susceptibles de sujetarse a diversos trámites tales como: </w:t>
      </w:r>
    </w:p>
    <w:p w14:paraId="2E25F457" w14:textId="5B902A2A" w:rsidR="00592264" w:rsidRDefault="00592264" w:rsidP="00B45DC1">
      <w:pPr>
        <w:pStyle w:val="Prrafodelista"/>
        <w:numPr>
          <w:ilvl w:val="0"/>
          <w:numId w:val="6"/>
        </w:numPr>
        <w:spacing w:line="360" w:lineRule="auto"/>
        <w:jc w:val="both"/>
        <w:rPr>
          <w:rFonts w:ascii="Palatino Linotype" w:hAnsi="Palatino Linotype"/>
          <w:bCs/>
        </w:rPr>
      </w:pPr>
      <w:r w:rsidRPr="00E750DF">
        <w:rPr>
          <w:rFonts w:ascii="Palatino Linotype" w:hAnsi="Palatino Linotype"/>
          <w:b/>
          <w:bCs/>
        </w:rPr>
        <w:t>Fusión</w:t>
      </w:r>
      <w:r w:rsidR="0079773D" w:rsidRPr="00E750DF">
        <w:rPr>
          <w:rFonts w:ascii="Palatino Linotype" w:hAnsi="Palatino Linotype"/>
          <w:b/>
          <w:bCs/>
        </w:rPr>
        <w:t xml:space="preserve"> de predios</w:t>
      </w:r>
      <w:r w:rsidRPr="00E750DF">
        <w:rPr>
          <w:rFonts w:ascii="Palatino Linotype" w:hAnsi="Palatino Linotype"/>
          <w:b/>
          <w:bCs/>
        </w:rPr>
        <w:t>:</w:t>
      </w:r>
      <w:r>
        <w:rPr>
          <w:rFonts w:ascii="Palatino Linotype" w:hAnsi="Palatino Linotype"/>
          <w:bCs/>
        </w:rPr>
        <w:t xml:space="preserve"> Autorización que consiste en la unión de dos o más predios o lotes contiguos, con usos </w:t>
      </w:r>
      <w:r w:rsidR="0079773D">
        <w:rPr>
          <w:rFonts w:ascii="Palatino Linotype" w:hAnsi="Palatino Linotype"/>
          <w:bCs/>
        </w:rPr>
        <w:t xml:space="preserve">compatibles, con el fin de constituir una unidad de propiedad. </w:t>
      </w:r>
    </w:p>
    <w:p w14:paraId="44AE7436" w14:textId="1E756EE8" w:rsidR="0079773D" w:rsidRDefault="0079773D" w:rsidP="00B45DC1">
      <w:pPr>
        <w:pStyle w:val="Prrafodelista"/>
        <w:numPr>
          <w:ilvl w:val="0"/>
          <w:numId w:val="6"/>
        </w:numPr>
        <w:spacing w:line="360" w:lineRule="auto"/>
        <w:jc w:val="both"/>
        <w:rPr>
          <w:rFonts w:ascii="Palatino Linotype" w:hAnsi="Palatino Linotype"/>
          <w:bCs/>
        </w:rPr>
      </w:pPr>
      <w:r w:rsidRPr="00E750DF">
        <w:rPr>
          <w:rFonts w:ascii="Palatino Linotype" w:hAnsi="Palatino Linotype"/>
          <w:b/>
          <w:bCs/>
        </w:rPr>
        <w:t>Relotificación de predios:</w:t>
      </w:r>
      <w:r>
        <w:rPr>
          <w:rFonts w:ascii="Palatino Linotype" w:hAnsi="Palatino Linotype"/>
          <w:bCs/>
        </w:rPr>
        <w:t xml:space="preserve"> Acto por el cual a dos o más lotes o áreas privativas, según corresponda, se le modifican las dimensiones o las ubicaciones originalmente establecidas en la autorización del conjunto urbano, subdivisión o condominio, sin que incremente el área vendible ni el número de viviendas o lotes. </w:t>
      </w:r>
    </w:p>
    <w:p w14:paraId="02AB3355" w14:textId="77777777" w:rsidR="00E750DF" w:rsidRDefault="0079773D" w:rsidP="00B45DC1">
      <w:pPr>
        <w:pStyle w:val="Prrafodelista"/>
        <w:numPr>
          <w:ilvl w:val="0"/>
          <w:numId w:val="6"/>
        </w:numPr>
        <w:spacing w:line="360" w:lineRule="auto"/>
        <w:jc w:val="both"/>
        <w:rPr>
          <w:rFonts w:ascii="Palatino Linotype" w:hAnsi="Palatino Linotype"/>
          <w:bCs/>
        </w:rPr>
      </w:pPr>
      <w:r w:rsidRPr="00E750DF">
        <w:rPr>
          <w:rFonts w:ascii="Palatino Linotype" w:hAnsi="Palatino Linotype"/>
          <w:b/>
          <w:bCs/>
        </w:rPr>
        <w:t>Lotificación en condominio:</w:t>
      </w:r>
      <w:r>
        <w:rPr>
          <w:rFonts w:ascii="Palatino Linotype" w:hAnsi="Palatino Linotype"/>
          <w:bCs/>
        </w:rPr>
        <w:t xml:space="preserve"> Modalidad en la ejecución del desarrollo urbano, que tiene por objeto estructurar u ordenar, como una unidad espacial integral, las áreas privativas y comunes, la zonificación y normas de uso y aprovechamiento del suelo, la ubicación de edificios, las obras de urbanización, las obras de infraestructura primaria en su caso, así como la imagen urbana de un predio o lote. </w:t>
      </w:r>
    </w:p>
    <w:p w14:paraId="2340A94A" w14:textId="7CDD073C" w:rsidR="00E750DF" w:rsidRPr="00E750DF" w:rsidRDefault="00E750DF" w:rsidP="00B45DC1">
      <w:pPr>
        <w:pStyle w:val="Prrafodelista"/>
        <w:numPr>
          <w:ilvl w:val="0"/>
          <w:numId w:val="6"/>
        </w:numPr>
        <w:spacing w:line="360" w:lineRule="auto"/>
        <w:jc w:val="both"/>
        <w:rPr>
          <w:rFonts w:ascii="Palatino Linotype" w:hAnsi="Palatino Linotype"/>
          <w:b/>
          <w:bCs/>
          <w:u w:val="single"/>
        </w:rPr>
      </w:pPr>
      <w:r w:rsidRPr="00184899">
        <w:rPr>
          <w:rFonts w:ascii="Palatino Linotype" w:hAnsi="Palatino Linotype"/>
          <w:b/>
          <w:bCs/>
        </w:rPr>
        <w:t>Subdivisión de predios:</w:t>
      </w:r>
      <w:r w:rsidRPr="00E750DF">
        <w:rPr>
          <w:rFonts w:ascii="Palatino Linotype" w:hAnsi="Palatino Linotype"/>
          <w:b/>
          <w:bCs/>
          <w:u w:val="single"/>
        </w:rPr>
        <w:t xml:space="preserve"> </w:t>
      </w:r>
      <w:r w:rsidRPr="00184899">
        <w:rPr>
          <w:rFonts w:ascii="Palatino Linotype" w:hAnsi="Palatino Linotype"/>
        </w:rPr>
        <w:t xml:space="preserve">Consiste en el acto por el que se fracciona un predio en lotes, con el fin de que estos constituyan unidades de propiedad </w:t>
      </w:r>
      <w:r w:rsidRPr="00184899">
        <w:rPr>
          <w:rFonts w:ascii="Palatino Linotype" w:hAnsi="Palatino Linotype"/>
        </w:rPr>
        <w:lastRenderedPageBreak/>
        <w:t>independientes. Su procedencia se sujeta a que los lotes resultantes tengan frente a vía pública los servicios públicos municipales de suministro de agua potable y drenaje.</w:t>
      </w:r>
      <w:r w:rsidRPr="00E750DF">
        <w:rPr>
          <w:rFonts w:ascii="Palatino Linotype" w:hAnsi="Palatino Linotype"/>
          <w:b/>
          <w:bCs/>
          <w:u w:val="single"/>
        </w:rPr>
        <w:t xml:space="preserve"> </w:t>
      </w:r>
    </w:p>
    <w:p w14:paraId="11A63362" w14:textId="1E7DCF8E" w:rsidR="0079773D" w:rsidRPr="00592264" w:rsidRDefault="0079773D" w:rsidP="00E750DF">
      <w:pPr>
        <w:pStyle w:val="Prrafodelista"/>
        <w:spacing w:line="360" w:lineRule="auto"/>
        <w:ind w:left="720"/>
        <w:jc w:val="both"/>
        <w:rPr>
          <w:rFonts w:ascii="Palatino Linotype" w:hAnsi="Palatino Linotype"/>
          <w:bCs/>
        </w:rPr>
      </w:pPr>
    </w:p>
    <w:p w14:paraId="58A75DA4" w14:textId="77777777" w:rsidR="00592264" w:rsidRDefault="00592264" w:rsidP="00592264">
      <w:pPr>
        <w:spacing w:after="0" w:line="360" w:lineRule="auto"/>
        <w:jc w:val="both"/>
        <w:rPr>
          <w:rFonts w:ascii="Palatino Linotype" w:hAnsi="Palatino Linotype"/>
          <w:sz w:val="24"/>
          <w:szCs w:val="24"/>
        </w:rPr>
      </w:pPr>
    </w:p>
    <w:p w14:paraId="7284F9A9" w14:textId="43CBD77D" w:rsidR="00592264" w:rsidRDefault="002176DF" w:rsidP="00592264">
      <w:pPr>
        <w:spacing w:after="0" w:line="360" w:lineRule="auto"/>
        <w:jc w:val="both"/>
        <w:rPr>
          <w:rFonts w:ascii="Palatino Linotype" w:hAnsi="Palatino Linotype"/>
          <w:sz w:val="24"/>
          <w:szCs w:val="24"/>
        </w:rPr>
      </w:pPr>
      <w:r>
        <w:rPr>
          <w:rFonts w:ascii="Palatino Linotype" w:hAnsi="Palatino Linotype"/>
          <w:sz w:val="24"/>
          <w:szCs w:val="24"/>
        </w:rPr>
        <w:t xml:space="preserve">Ahora bien, con relación a la clave catastral, resulta oportuno traer a colación los numerales 171, 175 Bis, 177 y 179, fracción I del Código Financiero del Estado de México y Municipios, porciones normativas que disponen a la literalidad lo siguiente: </w:t>
      </w:r>
    </w:p>
    <w:p w14:paraId="6ED5CA33" w14:textId="7361CC54" w:rsidR="002176DF" w:rsidRPr="002176DF" w:rsidRDefault="002176DF" w:rsidP="002176DF">
      <w:pPr>
        <w:pStyle w:val="Citas"/>
      </w:pPr>
      <w:r>
        <w:t xml:space="preserve">“Artículo 171.- </w:t>
      </w:r>
      <w:r w:rsidRPr="002176DF">
        <w:rPr>
          <w:b/>
          <w:u w:val="single"/>
        </w:rPr>
        <w:t>Los Ayuntamientos</w:t>
      </w:r>
      <w:r w:rsidRPr="002176DF">
        <w:rPr>
          <w:u w:val="single"/>
        </w:rPr>
        <w:t>,</w:t>
      </w:r>
      <w:r>
        <w:t xml:space="preserve"> además de las atribuciones que este Código y otros ordenamientos les confieran </w:t>
      </w:r>
      <w:r w:rsidRPr="002176DF">
        <w:t>en materia catastral, tendrán las facultades y obligaciones siguientes:</w:t>
      </w:r>
    </w:p>
    <w:p w14:paraId="1ABAFCEB" w14:textId="77777777" w:rsidR="002176DF" w:rsidRDefault="002176DF" w:rsidP="002176DF">
      <w:pPr>
        <w:pStyle w:val="Citas"/>
        <w:rPr>
          <w:sz w:val="24"/>
          <w:szCs w:val="24"/>
        </w:rPr>
      </w:pPr>
      <w:r>
        <w:rPr>
          <w:sz w:val="24"/>
          <w:szCs w:val="24"/>
        </w:rPr>
        <w:t>(…)</w:t>
      </w:r>
    </w:p>
    <w:p w14:paraId="1285768D" w14:textId="77777777" w:rsidR="002176DF" w:rsidRDefault="002176DF" w:rsidP="002176DF">
      <w:pPr>
        <w:pStyle w:val="Citas"/>
      </w:pPr>
      <w:r>
        <w:t>III. Recibir las manifestaciones catastrales de los propietarios o poseedores de inmuebles, para efectos de su inscripción o actualización en el padrón catastral municipal.</w:t>
      </w:r>
    </w:p>
    <w:p w14:paraId="09E8B93E" w14:textId="77777777" w:rsidR="002176DF" w:rsidRDefault="002176DF" w:rsidP="002176DF">
      <w:pPr>
        <w:pStyle w:val="Citas"/>
      </w:pPr>
      <w:r w:rsidRPr="002176DF">
        <w:rPr>
          <w:bCs/>
        </w:rPr>
        <w:t>Artículo 175 Bis</w:t>
      </w:r>
      <w:r w:rsidRPr="002176DF">
        <w:t xml:space="preserve">.- Cuando se modifique la superficie de terreno o de construcción, cualquiera que sea la causa, los propietarios o poseedores de esos inmuebles deberán declarar ante la autoridad catastral municipal dichas modificaciones, mediante manifestación catastral que presenten en los formatos autorizados. </w:t>
      </w:r>
    </w:p>
    <w:p w14:paraId="52B67392" w14:textId="77777777" w:rsidR="002176DF" w:rsidRPr="002176DF" w:rsidRDefault="002176DF" w:rsidP="002176DF">
      <w:pPr>
        <w:pStyle w:val="Citas"/>
        <w:rPr>
          <w:b/>
          <w:u w:val="single"/>
        </w:rPr>
      </w:pPr>
      <w:r w:rsidRPr="002176DF">
        <w:rPr>
          <w:b/>
          <w:u w:val="single"/>
        </w:rPr>
        <w:t xml:space="preserve">Cuando se fusione, subdivida, lotifique, </w:t>
      </w:r>
      <w:proofErr w:type="spellStart"/>
      <w:r w:rsidRPr="002176DF">
        <w:rPr>
          <w:b/>
          <w:u w:val="single"/>
        </w:rPr>
        <w:t>relotifique</w:t>
      </w:r>
      <w:proofErr w:type="spellEnd"/>
      <w:r w:rsidRPr="002176DF">
        <w:rPr>
          <w:b/>
          <w:u w:val="single"/>
        </w:rPr>
        <w:t xml:space="preserve">, o se produzca una lotificación en condominio o conjunto urbano de un inmueble, mediante autorización que emita la autoridad competente, es necesario actualizar los </w:t>
      </w:r>
      <w:r w:rsidRPr="002176DF">
        <w:rPr>
          <w:b/>
          <w:u w:val="single"/>
        </w:rPr>
        <w:lastRenderedPageBreak/>
        <w:t xml:space="preserve">datos técnicos, administrativos y el valor en el padrón catastral municipal y en su caso, asignar claves e inscribirlos; para tal efecto, los propietarios deberán declarar ante el Ayuntamiento, las modificaciones generadas, mediante manifestación catastral que presenten dentro de los treinta días siguientes a la fecha en que se haya otorgado la autorización correspondiente. </w:t>
      </w:r>
    </w:p>
    <w:p w14:paraId="2521B506" w14:textId="3C7C8E9E" w:rsidR="002176DF" w:rsidRDefault="002176DF" w:rsidP="002176DF">
      <w:pPr>
        <w:pStyle w:val="Citas"/>
      </w:pPr>
      <w:r>
        <w:t>En el caso de lotificaciones en condominio y conjuntos urbanos, previamente a la autorización correspondiente, se requiere un avalúo catastral del inmueble o inmuebles que conforman el proyecto que será practicado y emitido por el IGECEM o por especialista en valuación inmobiliaria con registro vigente expedido por el propio Instituto, como soporte técnico a los requerimientos señalados en el Manual Catastral.</w:t>
      </w:r>
    </w:p>
    <w:p w14:paraId="192A6AB1" w14:textId="77777777" w:rsidR="002176DF" w:rsidRDefault="002176DF" w:rsidP="002176DF">
      <w:pPr>
        <w:pStyle w:val="Citas"/>
      </w:pPr>
      <w:r w:rsidRPr="001367D4">
        <w:rPr>
          <w:b/>
          <w:bCs/>
        </w:rPr>
        <w:t>Artículo 177.-</w:t>
      </w:r>
      <w:r>
        <w:t xml:space="preserve"> La autoridad catastral municipal está facultada para constatar la veracidad de los datos declarados en la manifestación catastral por los propietarios o poseedores de inmuebles, mediante la realización de los estudios técnicos catastrales que sean necesarios. Cuando no fuese presentada la manifestación, y hayan sido detectadas modificaciones en los inmuebles, la autoridad catastral municipal podrá requerir a los propietarios o poseedores que proporcionen los datos, documentos e informes de los inmuebles; y realizar levantamientos topográficos, investigaciones en campo y demás actividades catastrales.</w:t>
      </w:r>
    </w:p>
    <w:p w14:paraId="0B4BD508" w14:textId="77777777" w:rsidR="002176DF" w:rsidRDefault="002176DF" w:rsidP="002176DF">
      <w:pPr>
        <w:pStyle w:val="Citas"/>
      </w:pPr>
      <w:r w:rsidRPr="001367D4">
        <w:rPr>
          <w:b/>
          <w:bCs/>
        </w:rPr>
        <w:t>Artículo 179.-</w:t>
      </w:r>
      <w:r>
        <w:t xml:space="preserve"> En términos de este capítulo, en lo sucesivo, salvo mención expresa, se entenderá por: </w:t>
      </w:r>
    </w:p>
    <w:p w14:paraId="77384761" w14:textId="77777777" w:rsidR="002176DF" w:rsidRDefault="002176DF" w:rsidP="002176DF">
      <w:pPr>
        <w:pStyle w:val="Citas"/>
      </w:pPr>
      <w:r w:rsidRPr="001367D4">
        <w:rPr>
          <w:b/>
          <w:bCs/>
        </w:rPr>
        <w:lastRenderedPageBreak/>
        <w:t>I. Clave catastral.-</w:t>
      </w:r>
      <w:r>
        <w:t xml:space="preserve">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14:paraId="1178106E" w14:textId="53D0BDBE" w:rsidR="002176DF" w:rsidRPr="002176DF" w:rsidRDefault="002176DF" w:rsidP="002176DF">
      <w:pPr>
        <w:pStyle w:val="Citas"/>
        <w:rPr>
          <w:b/>
        </w:rPr>
      </w:pPr>
      <w:r>
        <w:t xml:space="preserve">(…)” </w:t>
      </w:r>
      <w:r>
        <w:rPr>
          <w:b/>
        </w:rPr>
        <w:t xml:space="preserve">(Sic) </w:t>
      </w:r>
    </w:p>
    <w:p w14:paraId="13845D97" w14:textId="77777777" w:rsidR="00592264" w:rsidRDefault="00592264" w:rsidP="00592264">
      <w:pPr>
        <w:spacing w:after="0" w:line="360" w:lineRule="auto"/>
        <w:jc w:val="both"/>
        <w:rPr>
          <w:rFonts w:ascii="Palatino Linotype" w:hAnsi="Palatino Linotype"/>
          <w:sz w:val="24"/>
          <w:szCs w:val="24"/>
        </w:rPr>
      </w:pPr>
    </w:p>
    <w:p w14:paraId="25A9E29C" w14:textId="77777777" w:rsidR="00184899" w:rsidRDefault="002176DF" w:rsidP="0059226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Conforme a lo anterior se precisa que la clave catastral es el código alfanumérico único e irrepetible que se asigna con el propósito de localización geográfica, identificación, inscripción, control y registro de los inmuebles, por lo que cuando se modifique la superficie de terreno o de construcción, cualquiera que sea la causa, los propietarios o poseedores de esos inmuebles deberán declarar ante la autoridad catastral municipal dichas modificaciones, como es en el caso particular de la subdivisión, lotificación, relotificación mismo que da origen a </w:t>
      </w:r>
      <w:r>
        <w:rPr>
          <w:rFonts w:ascii="Palatino Linotype" w:eastAsia="Palatino Linotype" w:hAnsi="Palatino Linotype" w:cs="Palatino Linotype"/>
          <w:color w:val="000000"/>
          <w:sz w:val="24"/>
          <w:szCs w:val="24"/>
        </w:rPr>
        <w:t>la actualización del padrón catastral</w:t>
      </w:r>
      <w:r>
        <w:rPr>
          <w:rFonts w:ascii="Palatino Linotype" w:eastAsia="Palatino Linotype" w:hAnsi="Palatino Linotype" w:cs="Palatino Linotype"/>
          <w:sz w:val="24"/>
          <w:szCs w:val="24"/>
        </w:rPr>
        <w:t xml:space="preserve">, por lo que dicho servicio </w:t>
      </w:r>
      <w:r>
        <w:rPr>
          <w:rFonts w:ascii="Palatino Linotype" w:eastAsia="Palatino Linotype" w:hAnsi="Palatino Linotype" w:cs="Palatino Linotype"/>
          <w:color w:val="000000"/>
          <w:sz w:val="24"/>
          <w:szCs w:val="24"/>
        </w:rPr>
        <w:t xml:space="preserve">catastral lo presta el Ayuntamiento de </w:t>
      </w:r>
      <w:r w:rsidR="00184899">
        <w:rPr>
          <w:rFonts w:ascii="Palatino Linotype" w:eastAsia="Palatino Linotype" w:hAnsi="Palatino Linotype" w:cs="Palatino Linotype"/>
          <w:color w:val="000000"/>
          <w:sz w:val="24"/>
          <w:szCs w:val="24"/>
        </w:rPr>
        <w:t xml:space="preserve">Naucalpan de Juárez. </w:t>
      </w:r>
    </w:p>
    <w:p w14:paraId="2CBECD84" w14:textId="09BFFF18" w:rsidR="00592264" w:rsidRDefault="002176DF" w:rsidP="0059226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p>
    <w:p w14:paraId="390F1320" w14:textId="77777777" w:rsidR="00184899" w:rsidRDefault="00184899" w:rsidP="00184899">
      <w:pPr>
        <w:spacing w:after="0" w:line="360" w:lineRule="auto"/>
        <w:jc w:val="both"/>
        <w:rPr>
          <w:rFonts w:ascii="Palatino Linotype" w:hAnsi="Palatino Linotype" w:cs="Arial"/>
          <w:noProof/>
          <w:color w:val="000000"/>
          <w:sz w:val="24"/>
          <w:lang w:eastAsia="es-MX"/>
        </w:rPr>
      </w:pPr>
      <w:r>
        <w:rPr>
          <w:rFonts w:ascii="Palatino Linotype" w:eastAsia="Palatino Linotype" w:hAnsi="Palatino Linotype" w:cs="Palatino Linotype"/>
          <w:color w:val="000000"/>
          <w:sz w:val="24"/>
          <w:szCs w:val="24"/>
        </w:rPr>
        <w:t xml:space="preserve">Ahora bien, a efecto de </w:t>
      </w:r>
      <w:r>
        <w:rPr>
          <w:rFonts w:ascii="Palatino Linotype" w:hAnsi="Palatino Linotype" w:cs="Arial"/>
          <w:sz w:val="24"/>
          <w:szCs w:val="24"/>
        </w:rPr>
        <w:t xml:space="preserve">identificar las unidades administrativas competentes se traen a colación los </w:t>
      </w:r>
      <w:r>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25D9070" w14:textId="77777777" w:rsidR="00184899" w:rsidRPr="009535E0" w:rsidRDefault="00184899" w:rsidP="00184899">
      <w:pPr>
        <w:tabs>
          <w:tab w:val="left" w:pos="709"/>
        </w:tabs>
        <w:spacing w:before="240" w:line="360" w:lineRule="auto"/>
        <w:ind w:left="851" w:right="851"/>
        <w:jc w:val="both"/>
        <w:rPr>
          <w:rFonts w:ascii="Palatino Linotype" w:hAnsi="Palatino Linotype"/>
          <w:i/>
        </w:rPr>
      </w:pPr>
      <w:r>
        <w:rPr>
          <w:rFonts w:ascii="Palatino Linotype" w:hAnsi="Palatino Linotype"/>
          <w:i/>
        </w:rPr>
        <w:lastRenderedPageBreak/>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2A7ADC0D" w14:textId="77777777" w:rsidR="00184899" w:rsidRPr="009535E0" w:rsidRDefault="00184899" w:rsidP="00184899">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46589D83" w14:textId="77777777" w:rsidR="00184899" w:rsidRPr="009535E0" w:rsidRDefault="00184899" w:rsidP="00184899">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9F8CAC" w14:textId="08A6D939" w:rsidR="00184899" w:rsidRPr="00A94BBE" w:rsidRDefault="00184899" w:rsidP="00184899">
      <w:pPr>
        <w:pStyle w:val="INFOEM"/>
        <w:rPr>
          <w:b/>
        </w:rPr>
      </w:pPr>
      <w: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 </w:t>
      </w:r>
      <w:r>
        <w:rPr>
          <w:b/>
        </w:rPr>
        <w:t xml:space="preserve">[Sic] </w:t>
      </w:r>
    </w:p>
    <w:p w14:paraId="13E47369" w14:textId="77777777" w:rsidR="00184899" w:rsidRDefault="00184899" w:rsidP="00184899">
      <w:pPr>
        <w:pStyle w:val="Sinespaciado"/>
        <w:spacing w:line="360" w:lineRule="auto"/>
        <w:jc w:val="both"/>
        <w:rPr>
          <w:rFonts w:ascii="Palatino Linotype" w:hAnsi="Palatino Linotype"/>
        </w:rPr>
      </w:pPr>
    </w:p>
    <w:p w14:paraId="375386E4" w14:textId="11DDCF3B" w:rsidR="00184899" w:rsidRDefault="00F25E46" w:rsidP="00184899">
      <w:pPr>
        <w:spacing w:after="0" w:line="360" w:lineRule="auto"/>
        <w:jc w:val="both"/>
        <w:rPr>
          <w:rFonts w:ascii="Palatino Linotype" w:hAnsi="Palatino Linotype"/>
          <w:b/>
          <w:bCs/>
          <w:iCs/>
          <w:sz w:val="24"/>
        </w:rPr>
      </w:pPr>
      <w:r>
        <w:rPr>
          <w:rFonts w:ascii="Palatino Linotype" w:hAnsi="Palatino Linotype"/>
          <w:iCs/>
          <w:noProof/>
          <w:sz w:val="24"/>
          <w:lang w:eastAsia="es-MX"/>
        </w:rPr>
        <mc:AlternateContent>
          <mc:Choice Requires="wps">
            <w:drawing>
              <wp:anchor distT="0" distB="0" distL="114300" distR="114300" simplePos="0" relativeHeight="251833341" behindDoc="0" locked="0" layoutInCell="1" allowOverlap="1" wp14:anchorId="7C69E66A" wp14:editId="0563C7A7">
                <wp:simplePos x="0" y="0"/>
                <wp:positionH relativeFrom="column">
                  <wp:posOffset>-121845</wp:posOffset>
                </wp:positionH>
                <wp:positionV relativeFrom="paragraph">
                  <wp:posOffset>723925</wp:posOffset>
                </wp:positionV>
                <wp:extent cx="6269127" cy="1609344"/>
                <wp:effectExtent l="0" t="0" r="36830" b="29210"/>
                <wp:wrapNone/>
                <wp:docPr id="196701323" name="Straight Connector 1"/>
                <wp:cNvGraphicFramePr/>
                <a:graphic xmlns:a="http://schemas.openxmlformats.org/drawingml/2006/main">
                  <a:graphicData uri="http://schemas.microsoft.com/office/word/2010/wordprocessingShape">
                    <wps:wsp>
                      <wps:cNvCnPr/>
                      <wps:spPr>
                        <a:xfrm>
                          <a:off x="0" y="0"/>
                          <a:ext cx="6269127" cy="16093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BE936C" id="Straight Connector 1" o:spid="_x0000_s1026" style="position:absolute;z-index:251833341;visibility:visible;mso-wrap-style:square;mso-wrap-distance-left:9pt;mso-wrap-distance-top:0;mso-wrap-distance-right:9pt;mso-wrap-distance-bottom:0;mso-position-horizontal:absolute;mso-position-horizontal-relative:text;mso-position-vertical:absolute;mso-position-vertical-relative:text" from="-9.6pt,57pt" to="484.05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" strokecolor="#5b9bd5 [3204]" strokeweight=".5pt">
                <v:stroke joinstyle="miter"/>
              </v:line>
            </w:pict>
          </mc:Fallback>
        </mc:AlternateContent>
      </w:r>
      <w:r w:rsidR="00184899" w:rsidRPr="00184899">
        <w:rPr>
          <w:rFonts w:ascii="Palatino Linotype" w:hAnsi="Palatino Linotype"/>
          <w:iCs/>
          <w:sz w:val="24"/>
        </w:rPr>
        <w:t xml:space="preserve">Resulta oportuno traer a colación las siguientes imágenes ilustrativas, correspondientes al organigrama del </w:t>
      </w:r>
      <w:r w:rsidR="00184899" w:rsidRPr="00184899">
        <w:rPr>
          <w:rFonts w:ascii="Palatino Linotype" w:hAnsi="Palatino Linotype"/>
          <w:b/>
          <w:bCs/>
          <w:iCs/>
          <w:sz w:val="24"/>
        </w:rPr>
        <w:t>Sujeto Obligado</w:t>
      </w:r>
      <w:r w:rsidR="00184899">
        <w:rPr>
          <w:rFonts w:ascii="Palatino Linotype" w:hAnsi="Palatino Linotype"/>
          <w:b/>
          <w:bCs/>
          <w:iCs/>
          <w:sz w:val="24"/>
        </w:rPr>
        <w:t xml:space="preserve">: </w:t>
      </w:r>
    </w:p>
    <w:p w14:paraId="1EED0ADE" w14:textId="47B0DB4A" w:rsidR="00184899" w:rsidRDefault="00184899" w:rsidP="00184899">
      <w:pPr>
        <w:spacing w:after="0" w:line="360" w:lineRule="auto"/>
        <w:jc w:val="both"/>
        <w:rPr>
          <w:rFonts w:ascii="Palatino Linotype" w:hAnsi="Palatino Linotype"/>
          <w:b/>
          <w:bCs/>
          <w:iCs/>
          <w:sz w:val="24"/>
        </w:rPr>
      </w:pPr>
    </w:p>
    <w:p w14:paraId="0ED0EFBF" w14:textId="07DFF22B" w:rsidR="00184899" w:rsidRDefault="00184899" w:rsidP="00184899">
      <w:pPr>
        <w:spacing w:after="0" w:line="360" w:lineRule="auto"/>
        <w:jc w:val="both"/>
        <w:rPr>
          <w:rFonts w:ascii="Palatino Linotype" w:hAnsi="Palatino Linotype"/>
          <w:b/>
          <w:bCs/>
          <w:iCs/>
          <w:sz w:val="24"/>
        </w:rPr>
      </w:pPr>
    </w:p>
    <w:p w14:paraId="4D93AFB3" w14:textId="50D3DFB4" w:rsidR="00184899" w:rsidRDefault="00184899" w:rsidP="00184899">
      <w:pPr>
        <w:spacing w:after="0" w:line="360" w:lineRule="auto"/>
        <w:jc w:val="both"/>
        <w:rPr>
          <w:rFonts w:ascii="Palatino Linotype" w:hAnsi="Palatino Linotype"/>
          <w:b/>
          <w:bCs/>
          <w:iCs/>
          <w:sz w:val="24"/>
        </w:rPr>
      </w:pPr>
    </w:p>
    <w:p w14:paraId="5F9FF543" w14:textId="2519CC53" w:rsidR="00184899" w:rsidRDefault="00184899" w:rsidP="00184899">
      <w:pPr>
        <w:spacing w:after="0" w:line="360" w:lineRule="auto"/>
        <w:jc w:val="both"/>
        <w:rPr>
          <w:rFonts w:ascii="Palatino Linotype" w:hAnsi="Palatino Linotype"/>
          <w:b/>
          <w:bCs/>
          <w:iCs/>
          <w:sz w:val="24"/>
        </w:rPr>
      </w:pPr>
    </w:p>
    <w:p w14:paraId="54D0CC8A" w14:textId="7E459286" w:rsidR="00184899" w:rsidRPr="00184899" w:rsidRDefault="00184899" w:rsidP="00184899">
      <w:pPr>
        <w:spacing w:after="0" w:line="360" w:lineRule="auto"/>
        <w:jc w:val="both"/>
        <w:rPr>
          <w:rFonts w:ascii="Palatino Linotype" w:eastAsia="Palatino Linotype" w:hAnsi="Palatino Linotype" w:cs="Palatino Linotype"/>
          <w:color w:val="000000"/>
          <w:sz w:val="24"/>
          <w:szCs w:val="24"/>
        </w:rPr>
      </w:pPr>
    </w:p>
    <w:p w14:paraId="5A0CD288" w14:textId="3C6168F2" w:rsidR="00184899" w:rsidRDefault="00E55F14" w:rsidP="0059226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lang w:eastAsia="es-MX"/>
        </w:rPr>
        <w:lastRenderedPageBreak/>
        <w:drawing>
          <wp:anchor distT="0" distB="0" distL="114300" distR="114300" simplePos="0" relativeHeight="251839485" behindDoc="0" locked="0" layoutInCell="1" allowOverlap="1" wp14:anchorId="6257CE3C" wp14:editId="3218DA47">
            <wp:simplePos x="0" y="0"/>
            <wp:positionH relativeFrom="page">
              <wp:posOffset>1106170</wp:posOffset>
            </wp:positionH>
            <wp:positionV relativeFrom="paragraph">
              <wp:posOffset>3811905</wp:posOffset>
            </wp:positionV>
            <wp:extent cx="5756910" cy="3425825"/>
            <wp:effectExtent l="19050" t="19050" r="15240" b="22225"/>
            <wp:wrapThrough wrapText="bothSides">
              <wp:wrapPolygon edited="0">
                <wp:start x="-71" y="-120"/>
                <wp:lineTo x="-71" y="21620"/>
                <wp:lineTo x="21586" y="21620"/>
                <wp:lineTo x="21586" y="-120"/>
                <wp:lineTo x="-71" y="-120"/>
              </wp:wrapPolygon>
            </wp:wrapThrough>
            <wp:docPr id="64222185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21858" name="Picture 4"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3425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C0D39">
        <w:rPr>
          <w:rFonts w:ascii="Palatino Linotype" w:hAnsi="Palatino Linotype"/>
          <w:b/>
          <w:bCs/>
          <w:iCs/>
          <w:noProof/>
          <w:sz w:val="24"/>
          <w:lang w:eastAsia="es-MX"/>
        </w:rPr>
        <w:drawing>
          <wp:anchor distT="0" distB="0" distL="114300" distR="114300" simplePos="0" relativeHeight="251838461" behindDoc="1" locked="0" layoutInCell="1" allowOverlap="1" wp14:anchorId="63300F58" wp14:editId="3A09CF7A">
            <wp:simplePos x="0" y="0"/>
            <wp:positionH relativeFrom="margin">
              <wp:align>right</wp:align>
            </wp:positionH>
            <wp:positionV relativeFrom="paragraph">
              <wp:posOffset>19050</wp:posOffset>
            </wp:positionV>
            <wp:extent cx="5756910" cy="3429000"/>
            <wp:effectExtent l="19050" t="19050" r="15240" b="19050"/>
            <wp:wrapThrough wrapText="bothSides">
              <wp:wrapPolygon edited="0">
                <wp:start x="-71" y="-120"/>
                <wp:lineTo x="-71" y="21600"/>
                <wp:lineTo x="21586" y="21600"/>
                <wp:lineTo x="21586" y="-120"/>
                <wp:lineTo x="-71" y="-120"/>
              </wp:wrapPolygon>
            </wp:wrapThrough>
            <wp:docPr id="116255642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6427" name="Picture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3429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DB8FAC" w14:textId="4CD2C2BE" w:rsidR="00C30EF1" w:rsidRDefault="00E55F14" w:rsidP="00FC3FC2">
      <w:pPr>
        <w:pStyle w:val="Sinespaciado"/>
        <w:spacing w:line="360" w:lineRule="auto"/>
        <w:jc w:val="both"/>
        <w:rPr>
          <w:rFonts w:ascii="Palatino Linotype" w:hAnsi="Palatino Linotype" w:cs="Arial"/>
        </w:rPr>
      </w:pPr>
      <w:r>
        <w:rPr>
          <w:rFonts w:ascii="Palatino Linotype" w:eastAsia="Palatino Linotype" w:hAnsi="Palatino Linotype" w:cs="Palatino Linotype"/>
          <w:noProof/>
          <w:color w:val="000000"/>
          <w:lang w:eastAsia="es-MX"/>
        </w:rPr>
        <w:lastRenderedPageBreak/>
        <w:drawing>
          <wp:anchor distT="0" distB="0" distL="114300" distR="114300" simplePos="0" relativeHeight="251835389" behindDoc="0" locked="0" layoutInCell="1" allowOverlap="1" wp14:anchorId="0AC05A3B" wp14:editId="11589501">
            <wp:simplePos x="0" y="0"/>
            <wp:positionH relativeFrom="page">
              <wp:posOffset>2251075</wp:posOffset>
            </wp:positionH>
            <wp:positionV relativeFrom="paragraph">
              <wp:posOffset>28575</wp:posOffset>
            </wp:positionV>
            <wp:extent cx="3269615" cy="541020"/>
            <wp:effectExtent l="19050" t="19050" r="26035" b="11430"/>
            <wp:wrapThrough wrapText="bothSides">
              <wp:wrapPolygon edited="0">
                <wp:start x="-126" y="-761"/>
                <wp:lineTo x="-126" y="21296"/>
                <wp:lineTo x="21646" y="21296"/>
                <wp:lineTo x="21646" y="-761"/>
                <wp:lineTo x="-126" y="-761"/>
              </wp:wrapPolygon>
            </wp:wrapThrough>
            <wp:docPr id="1773647336" name="Picture 6" descr="A black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47336" name="Picture 6" descr="A black and blu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9615" cy="541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12B2788" w14:textId="1A78D80B" w:rsidR="00F25E46" w:rsidRDefault="00F25E46" w:rsidP="00FC3FC2">
      <w:pPr>
        <w:pStyle w:val="Sinespaciado"/>
        <w:spacing w:line="360" w:lineRule="auto"/>
        <w:jc w:val="both"/>
        <w:rPr>
          <w:rFonts w:ascii="Palatino Linotype" w:hAnsi="Palatino Linotype" w:cs="Arial"/>
        </w:rPr>
      </w:pPr>
    </w:p>
    <w:p w14:paraId="39C19525" w14:textId="4C85C00D" w:rsidR="00F25E46" w:rsidRDefault="00E55F14" w:rsidP="00FC3FC2">
      <w:pPr>
        <w:pStyle w:val="Sinespaciado"/>
        <w:spacing w:line="360" w:lineRule="auto"/>
        <w:jc w:val="both"/>
        <w:rPr>
          <w:rFonts w:ascii="Palatino Linotype" w:hAnsi="Palatino Linotype" w:cs="Arial"/>
        </w:rPr>
      </w:pPr>
      <w:r>
        <w:rPr>
          <w:rFonts w:ascii="Palatino Linotype" w:eastAsia="Palatino Linotype" w:hAnsi="Palatino Linotype" w:cs="Palatino Linotype"/>
          <w:noProof/>
          <w:color w:val="000000"/>
          <w:lang w:eastAsia="es-MX"/>
        </w:rPr>
        <w:drawing>
          <wp:anchor distT="0" distB="0" distL="114300" distR="114300" simplePos="0" relativeHeight="251836413" behindDoc="0" locked="0" layoutInCell="1" allowOverlap="1" wp14:anchorId="3DCF4A21" wp14:editId="4EE9B698">
            <wp:simplePos x="0" y="0"/>
            <wp:positionH relativeFrom="page">
              <wp:posOffset>1756410</wp:posOffset>
            </wp:positionH>
            <wp:positionV relativeFrom="paragraph">
              <wp:posOffset>170706</wp:posOffset>
            </wp:positionV>
            <wp:extent cx="4008755" cy="533400"/>
            <wp:effectExtent l="19050" t="19050" r="10795" b="19050"/>
            <wp:wrapThrough wrapText="bothSides">
              <wp:wrapPolygon edited="0">
                <wp:start x="-103" y="-771"/>
                <wp:lineTo x="-103" y="21600"/>
                <wp:lineTo x="21556" y="21600"/>
                <wp:lineTo x="21556" y="-771"/>
                <wp:lineTo x="-103" y="-771"/>
              </wp:wrapPolygon>
            </wp:wrapThrough>
            <wp:docPr id="1933889642" name="Picture 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89642" name="Picture 7" descr="A black and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8755" cy="533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5BF9FF" w14:textId="77777777" w:rsidR="00F25E46" w:rsidRDefault="00F25E46" w:rsidP="00FC3FC2">
      <w:pPr>
        <w:pStyle w:val="Sinespaciado"/>
        <w:spacing w:line="360" w:lineRule="auto"/>
        <w:jc w:val="both"/>
        <w:rPr>
          <w:rFonts w:ascii="Palatino Linotype" w:hAnsi="Palatino Linotype" w:cs="Arial"/>
        </w:rPr>
      </w:pPr>
    </w:p>
    <w:p w14:paraId="24BBF1AA" w14:textId="77777777" w:rsidR="00F25E46" w:rsidRDefault="00F25E46" w:rsidP="00FC3FC2">
      <w:pPr>
        <w:pStyle w:val="Sinespaciado"/>
        <w:spacing w:line="360" w:lineRule="auto"/>
        <w:jc w:val="both"/>
        <w:rPr>
          <w:rFonts w:ascii="Palatino Linotype" w:hAnsi="Palatino Linotype" w:cs="Arial"/>
        </w:rPr>
      </w:pPr>
    </w:p>
    <w:p w14:paraId="2DFEB2E0" w14:textId="77777777" w:rsidR="002C0D39" w:rsidRDefault="002C0D39" w:rsidP="00FC3FC2">
      <w:pPr>
        <w:pStyle w:val="Sinespaciado"/>
        <w:spacing w:line="360" w:lineRule="auto"/>
        <w:jc w:val="both"/>
        <w:rPr>
          <w:rFonts w:ascii="Palatino Linotype" w:hAnsi="Palatino Linotype" w:cs="Arial"/>
        </w:rPr>
      </w:pPr>
    </w:p>
    <w:p w14:paraId="581F1EBA" w14:textId="00AAA814" w:rsidR="003A7CBB" w:rsidRDefault="009B0094" w:rsidP="00FC3FC2">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se auxilia de diversas Direcciones, Subdirecciones, Departamentos y Unidades Administrativas para cumplir con sus fines y objetivos, resultando</w:t>
      </w:r>
      <w:r w:rsidR="000B1702">
        <w:rPr>
          <w:rFonts w:ascii="Palatino Linotype" w:hAnsi="Palatino Linotype" w:cs="Arial"/>
        </w:rPr>
        <w:t xml:space="preserve"> de nuestro más amplio interés </w:t>
      </w:r>
      <w:r w:rsidR="00E07E60">
        <w:rPr>
          <w:rFonts w:ascii="Palatino Linotype" w:hAnsi="Palatino Linotype" w:cs="Arial"/>
        </w:rPr>
        <w:t xml:space="preserve">la </w:t>
      </w:r>
      <w:r w:rsidR="003A7CBB">
        <w:rPr>
          <w:rFonts w:ascii="Palatino Linotype" w:hAnsi="Palatino Linotype" w:cs="Arial"/>
        </w:rPr>
        <w:t xml:space="preserve">Tesorería Municipal, así como </w:t>
      </w:r>
      <w:r w:rsidR="0034005B">
        <w:rPr>
          <w:rFonts w:ascii="Palatino Linotype" w:hAnsi="Palatino Linotype" w:cs="Arial"/>
        </w:rPr>
        <w:t>el Departamento</w:t>
      </w:r>
      <w:r w:rsidR="003A7CBB">
        <w:rPr>
          <w:rFonts w:ascii="Palatino Linotype" w:hAnsi="Palatino Linotype" w:cs="Arial"/>
        </w:rPr>
        <w:t xml:space="preserve"> de Catastro. </w:t>
      </w:r>
    </w:p>
    <w:p w14:paraId="51940F09" w14:textId="77777777" w:rsidR="002C0D39" w:rsidRDefault="002C0D39" w:rsidP="00FC3FC2">
      <w:pPr>
        <w:pStyle w:val="Sinespaciado"/>
        <w:spacing w:line="360" w:lineRule="auto"/>
        <w:jc w:val="both"/>
        <w:rPr>
          <w:rFonts w:ascii="Palatino Linotype" w:hAnsi="Palatino Linotype" w:cs="Arial"/>
        </w:rPr>
      </w:pPr>
    </w:p>
    <w:p w14:paraId="567EF001" w14:textId="42B09AF5" w:rsidR="00A7648E" w:rsidRDefault="00C30EF1" w:rsidP="00FC3FC2">
      <w:pPr>
        <w:pStyle w:val="Sinespaciado"/>
        <w:spacing w:line="360" w:lineRule="auto"/>
        <w:jc w:val="both"/>
        <w:rPr>
          <w:rFonts w:ascii="Palatino Linotype" w:hAnsi="Palatino Linotype" w:cs="Arial"/>
        </w:rPr>
      </w:pPr>
      <w:r>
        <w:rPr>
          <w:rFonts w:ascii="Palatino Linotype" w:hAnsi="Palatino Linotype" w:cs="Arial"/>
        </w:rPr>
        <w:t xml:space="preserve">En este sentido, resulta oportuno traer a colación el artículo 95, fracciones I, II y IV de la Ley Orgánica Municipal del Estado de México; </w:t>
      </w:r>
      <w:r w:rsidR="005C6C03">
        <w:rPr>
          <w:rFonts w:ascii="Palatino Linotype" w:hAnsi="Palatino Linotype" w:cs="Arial"/>
        </w:rPr>
        <w:t xml:space="preserve">apartado </w:t>
      </w:r>
      <w:r w:rsidR="00A7648E">
        <w:rPr>
          <w:rFonts w:ascii="Palatino Linotype" w:hAnsi="Palatino Linotype" w:cs="Arial"/>
        </w:rPr>
        <w:t xml:space="preserve">correspondiente al </w:t>
      </w:r>
      <w:r w:rsidR="005C6C03">
        <w:rPr>
          <w:rFonts w:ascii="Palatino Linotype" w:hAnsi="Palatino Linotype" w:cs="Arial"/>
        </w:rPr>
        <w:t>“Departamento de catastro” del Manual de organización de la tesorería municipal</w:t>
      </w:r>
      <w:r w:rsidR="00A7648E">
        <w:rPr>
          <w:rFonts w:ascii="Palatino Linotype" w:hAnsi="Palatino Linotype" w:cs="Arial"/>
        </w:rPr>
        <w:t xml:space="preserve">; así como los apartados </w:t>
      </w:r>
      <w:r w:rsidR="00A7648E" w:rsidRPr="00A7648E">
        <w:rPr>
          <w:rFonts w:ascii="Palatino Linotype" w:hAnsi="Palatino Linotype" w:cs="Arial"/>
        </w:rPr>
        <w:t>ACGC014</w:t>
      </w:r>
      <w:r w:rsidR="00A7648E">
        <w:rPr>
          <w:rFonts w:ascii="Palatino Linotype" w:hAnsi="Palatino Linotype" w:cs="Arial"/>
        </w:rPr>
        <w:t xml:space="preserve"> y </w:t>
      </w:r>
      <w:r w:rsidR="00A7648E" w:rsidRPr="00A7648E">
        <w:rPr>
          <w:rFonts w:ascii="Palatino Linotype" w:hAnsi="Palatino Linotype" w:cs="Arial"/>
        </w:rPr>
        <w:t>ACGC01</w:t>
      </w:r>
      <w:r w:rsidR="00A7648E">
        <w:rPr>
          <w:rFonts w:ascii="Palatino Linotype" w:hAnsi="Palatino Linotype" w:cs="Arial"/>
        </w:rPr>
        <w:t xml:space="preserve">6 del Manual catastral del Estado de México; </w:t>
      </w:r>
    </w:p>
    <w:p w14:paraId="39887698" w14:textId="4D371DCC" w:rsidR="005C6C03" w:rsidRDefault="005C6C03" w:rsidP="00FC3FC2">
      <w:pPr>
        <w:pStyle w:val="Sinespaciado"/>
        <w:spacing w:line="360" w:lineRule="auto"/>
        <w:jc w:val="both"/>
        <w:rPr>
          <w:rFonts w:ascii="Palatino Linotype" w:hAnsi="Palatino Linotype" w:cs="Arial"/>
        </w:rPr>
      </w:pPr>
      <w:r>
        <w:rPr>
          <w:rFonts w:ascii="Palatino Linotype" w:hAnsi="Palatino Linotype" w:cs="Arial"/>
        </w:rPr>
        <w:t xml:space="preserve">porciones normativas que disponen a la literalidad lo siguiente: </w:t>
      </w:r>
    </w:p>
    <w:p w14:paraId="467E9AF9" w14:textId="7FBD52DD" w:rsidR="003A7CBB" w:rsidRPr="00541A81" w:rsidRDefault="00541A81" w:rsidP="002B5479">
      <w:pPr>
        <w:pStyle w:val="Citas"/>
        <w:jc w:val="center"/>
        <w:rPr>
          <w:b/>
          <w:i w:val="0"/>
          <w:iCs/>
        </w:rPr>
      </w:pPr>
      <w:r w:rsidRPr="00541A81">
        <w:rPr>
          <w:b/>
          <w:i w:val="0"/>
          <w:iCs/>
        </w:rPr>
        <w:t>L</w:t>
      </w:r>
      <w:r w:rsidR="00C30EF1" w:rsidRPr="00541A81">
        <w:rPr>
          <w:b/>
          <w:i w:val="0"/>
          <w:iCs/>
        </w:rPr>
        <w:t>EY ORGÁNICA MUNICIPAL DEL ESTADO DE MÉXICO</w:t>
      </w:r>
    </w:p>
    <w:p w14:paraId="2FC298F7" w14:textId="2AD0B4BA" w:rsidR="00C30EF1" w:rsidRDefault="002B5479" w:rsidP="00C30EF1">
      <w:pPr>
        <w:pStyle w:val="Citas"/>
      </w:pPr>
      <w:r>
        <w:t>“</w:t>
      </w:r>
      <w:r w:rsidR="00C30EF1">
        <w:t>Artículo 95.- Son atribuciones del tesorero municipal:</w:t>
      </w:r>
    </w:p>
    <w:p w14:paraId="19B3003F" w14:textId="77777777" w:rsidR="00C30EF1" w:rsidRDefault="00C30EF1" w:rsidP="00C30EF1">
      <w:pPr>
        <w:pStyle w:val="Citas"/>
      </w:pPr>
      <w:r>
        <w:t>I. Administrar la hacienda pública municipal, de conformidad con las disposiciones legales aplicables;</w:t>
      </w:r>
    </w:p>
    <w:p w14:paraId="4CAFB02C" w14:textId="031D35C0" w:rsidR="00C30EF1" w:rsidRDefault="00C30EF1" w:rsidP="00C30EF1">
      <w:pPr>
        <w:pStyle w:val="Citas"/>
      </w:pPr>
      <w:r>
        <w:t xml:space="preserve"> II. Determinar, liquidar, recaudar, fiscalizar y administrar las contribuciones en los términos de los ordenamientos jurídicos aplicables y, en su caso, aplicar el </w:t>
      </w:r>
      <w:r>
        <w:lastRenderedPageBreak/>
        <w:t>procedimiento administrativo de ejecución en términos de las disposiciones aplicables;</w:t>
      </w:r>
    </w:p>
    <w:p w14:paraId="59DB6E32" w14:textId="403D925E" w:rsidR="00C30EF1" w:rsidRDefault="00C30EF1" w:rsidP="00C30EF1">
      <w:pPr>
        <w:pStyle w:val="Citas"/>
      </w:pPr>
      <w:r>
        <w:t>(…)</w:t>
      </w:r>
    </w:p>
    <w:p w14:paraId="15250155" w14:textId="3E9DF4B3" w:rsidR="00C30EF1" w:rsidRDefault="00C30EF1" w:rsidP="00C30EF1">
      <w:pPr>
        <w:pStyle w:val="Citas"/>
      </w:pPr>
      <w:r>
        <w:t>IV. Llevar los registros contables, financieros y administrativos de los ingresos, egresos, e inventarios;</w:t>
      </w:r>
    </w:p>
    <w:p w14:paraId="5B67CD6F" w14:textId="3259F20A" w:rsidR="00C30EF1" w:rsidRPr="002B5479" w:rsidRDefault="00C30EF1" w:rsidP="00C30EF1">
      <w:pPr>
        <w:pStyle w:val="Citas"/>
        <w:rPr>
          <w:b/>
        </w:rPr>
      </w:pPr>
      <w:r>
        <w:t>(…)</w:t>
      </w:r>
      <w:r w:rsidR="002B5479">
        <w:t xml:space="preserve">” </w:t>
      </w:r>
      <w:r w:rsidR="002B5479">
        <w:rPr>
          <w:b/>
        </w:rPr>
        <w:t>(Sic)</w:t>
      </w:r>
    </w:p>
    <w:p w14:paraId="6980C98C" w14:textId="77777777" w:rsidR="00E05062" w:rsidRDefault="00E05062" w:rsidP="00FC3FC2">
      <w:pPr>
        <w:pStyle w:val="Sinespaciado"/>
        <w:spacing w:line="360" w:lineRule="auto"/>
        <w:jc w:val="both"/>
      </w:pPr>
    </w:p>
    <w:p w14:paraId="79E100F4" w14:textId="6E9DD964" w:rsidR="005C6C03" w:rsidRPr="00541A81" w:rsidRDefault="005C6C03" w:rsidP="005C6C03">
      <w:pPr>
        <w:pStyle w:val="Citas"/>
        <w:jc w:val="center"/>
        <w:rPr>
          <w:b/>
          <w:bCs/>
          <w:i w:val="0"/>
          <w:iCs/>
        </w:rPr>
      </w:pPr>
      <w:r w:rsidRPr="00541A81">
        <w:rPr>
          <w:b/>
          <w:bCs/>
          <w:i w:val="0"/>
          <w:iCs/>
        </w:rPr>
        <w:t>MANUAL DE ORGANIZACIÓN DE LA TESORERÍA MUNICIPAL</w:t>
      </w:r>
    </w:p>
    <w:p w14:paraId="2345F361" w14:textId="7DE46514" w:rsidR="005C6C03" w:rsidRDefault="00541A81" w:rsidP="005C6C03">
      <w:pPr>
        <w:pStyle w:val="Citas"/>
      </w:pPr>
      <w:r>
        <w:t>“</w:t>
      </w:r>
      <w:r w:rsidR="005C6C03" w:rsidRPr="005C6C03">
        <w:t xml:space="preserve">DEPARTAMENTO DE CATASTRO </w:t>
      </w:r>
    </w:p>
    <w:p w14:paraId="276B1274" w14:textId="655FB23E" w:rsidR="005C6C03" w:rsidRPr="005C6C03" w:rsidRDefault="005C6C03" w:rsidP="005C6C03">
      <w:pPr>
        <w:pStyle w:val="Citas"/>
      </w:pPr>
      <w:r w:rsidRPr="005C6C03">
        <w:t xml:space="preserve">OBJETIVO Integrar el padrón catastral de los inmuebles ubicados en el Municipio y supervisar que se mantenga actualizado conforme a las normas, políticas y procedimientos técnicos metodológicos y administrativos establecidos por las instituciones que regulan la materia, a fin de contar con una base confiable para la determinación de impuestos aplicables por el uso habitacional o comercial que aplica para cada inmueble. </w:t>
      </w:r>
    </w:p>
    <w:p w14:paraId="254192E2" w14:textId="77777777" w:rsidR="005C6C03" w:rsidRPr="005C6C03" w:rsidRDefault="005C6C03" w:rsidP="005C6C03">
      <w:pPr>
        <w:pStyle w:val="Citas"/>
      </w:pPr>
      <w:r w:rsidRPr="005C6C03">
        <w:t xml:space="preserve">FUNCIONES </w:t>
      </w:r>
    </w:p>
    <w:p w14:paraId="7ED8CBE7" w14:textId="77777777" w:rsidR="005C6C03" w:rsidRPr="005C6C03" w:rsidRDefault="005C6C03" w:rsidP="005C6C03">
      <w:pPr>
        <w:pStyle w:val="Citas"/>
      </w:pPr>
      <w:r w:rsidRPr="005C6C03">
        <w:sym w:font="Symbol" w:char="F0B7"/>
      </w:r>
      <w:r w:rsidRPr="005C6C03">
        <w:t xml:space="preserve"> Planear, coordinar, administrar y evaluar los programas que se elaboren en materia catastral; </w:t>
      </w:r>
    </w:p>
    <w:p w14:paraId="29AB8BA2" w14:textId="77777777" w:rsidR="005C6C03" w:rsidRPr="005C6C03" w:rsidRDefault="005C6C03" w:rsidP="005C6C03">
      <w:pPr>
        <w:pStyle w:val="Citas"/>
      </w:pPr>
      <w:r w:rsidRPr="005C6C03">
        <w:lastRenderedPageBreak/>
        <w:sym w:font="Symbol" w:char="F0B7"/>
      </w:r>
      <w:r w:rsidRPr="005C6C03">
        <w:t xml:space="preserve"> Definir y ejecutar las normas técnicas y administrativas para la identificación, registro, valuación, reevaluación de los inmuebles ubicados en el territorio del municipio; </w:t>
      </w:r>
    </w:p>
    <w:p w14:paraId="07A8750B" w14:textId="77777777" w:rsidR="005C6C03" w:rsidRPr="005C6C03" w:rsidRDefault="005C6C03" w:rsidP="005C6C03">
      <w:pPr>
        <w:pStyle w:val="Citas"/>
      </w:pPr>
      <w:r w:rsidRPr="005C6C03">
        <w:sym w:font="Symbol" w:char="F0B7"/>
      </w:r>
      <w:r w:rsidRPr="005C6C03">
        <w:t xml:space="preserve"> Formular los proyectos de zonificación catastral y valores unitarios de suelo y construcción; </w:t>
      </w:r>
    </w:p>
    <w:p w14:paraId="3E74F704" w14:textId="77777777" w:rsidR="005C6C03" w:rsidRPr="00541A81" w:rsidRDefault="005C6C03" w:rsidP="005C6C03">
      <w:pPr>
        <w:pStyle w:val="Citas"/>
        <w:rPr>
          <w:b/>
          <w:bCs/>
          <w:u w:val="single"/>
        </w:rPr>
      </w:pPr>
      <w:r w:rsidRPr="00541A81">
        <w:rPr>
          <w:b/>
          <w:bCs/>
          <w:u w:val="single"/>
        </w:rPr>
        <w:sym w:font="Symbol" w:char="F0B7"/>
      </w:r>
      <w:r w:rsidRPr="00541A81">
        <w:rPr>
          <w:b/>
          <w:bCs/>
          <w:u w:val="single"/>
        </w:rPr>
        <w:t xml:space="preserve"> Integrar, clasificar y ordenar la información catastral del municipio; </w:t>
      </w:r>
    </w:p>
    <w:p w14:paraId="593E9B73" w14:textId="77777777" w:rsidR="005C6C03" w:rsidRPr="005C6C03" w:rsidRDefault="005C6C03" w:rsidP="005C6C03">
      <w:pPr>
        <w:pStyle w:val="Citas"/>
      </w:pPr>
      <w:r w:rsidRPr="005C6C03">
        <w:sym w:font="Symbol" w:char="F0B7"/>
      </w:r>
      <w:r w:rsidRPr="005C6C03">
        <w:t xml:space="preserve"> Elaborar y mantener actualizada la cartografía del municipio; </w:t>
      </w:r>
    </w:p>
    <w:p w14:paraId="1A606EE1" w14:textId="008A6B2F" w:rsidR="005C6C03" w:rsidRPr="00541A81" w:rsidRDefault="005C6C03" w:rsidP="005C6C03">
      <w:pPr>
        <w:pStyle w:val="Citas"/>
        <w:rPr>
          <w:b/>
          <w:bCs/>
          <w:u w:val="single"/>
        </w:rPr>
      </w:pPr>
      <w:r w:rsidRPr="00541A81">
        <w:rPr>
          <w:b/>
          <w:bCs/>
          <w:u w:val="single"/>
        </w:rPr>
        <w:sym w:font="Symbol" w:char="F0B7"/>
      </w:r>
      <w:r w:rsidRPr="00541A81">
        <w:rPr>
          <w:b/>
          <w:bCs/>
          <w:u w:val="single"/>
        </w:rPr>
        <w:t xml:space="preserve"> Inscribir los inmuebles en el padrón catastral y mantenerlo actualizado: </w:t>
      </w:r>
    </w:p>
    <w:p w14:paraId="5FCED01B" w14:textId="77777777" w:rsidR="005C6C03" w:rsidRPr="005C6C03" w:rsidRDefault="005C6C03" w:rsidP="005C6C03">
      <w:pPr>
        <w:pStyle w:val="Citas"/>
      </w:pPr>
      <w:r w:rsidRPr="005C6C03">
        <w:sym w:font="Symbol" w:char="F0B7"/>
      </w:r>
      <w:r w:rsidRPr="005C6C03">
        <w:t xml:space="preserve"> Determinar el valor catastral correspondiente a cada inmueble y mantenerlo actualizado con base en los valores unitarios de suelo y construcción que se fijen de acuerdo con las leyes y reglamentos vigentes; </w:t>
      </w:r>
    </w:p>
    <w:p w14:paraId="0C7464C1" w14:textId="77777777" w:rsidR="005C6C03" w:rsidRPr="005C6C03" w:rsidRDefault="005C6C03" w:rsidP="005C6C03">
      <w:pPr>
        <w:pStyle w:val="Citas"/>
      </w:pPr>
      <w:r w:rsidRPr="005C6C03">
        <w:sym w:font="Symbol" w:char="F0B7"/>
      </w:r>
      <w:r w:rsidRPr="005C6C03">
        <w:t xml:space="preserve"> Ordenar visitas de verificación a los predios para determinar o confirmar si sus características han sido modificadas; </w:t>
      </w:r>
    </w:p>
    <w:p w14:paraId="790FAE25" w14:textId="77777777" w:rsidR="005C6C03" w:rsidRPr="005C6C03" w:rsidRDefault="005C6C03" w:rsidP="005C6C03">
      <w:pPr>
        <w:pStyle w:val="Citas"/>
      </w:pPr>
      <w:r w:rsidRPr="005C6C03">
        <w:sym w:font="Symbol" w:char="F0B7"/>
      </w:r>
      <w:r w:rsidRPr="005C6C03">
        <w:t xml:space="preserve"> Realizar las actividades correspondientes al levantamiento topográfico, actualización de cartografías y procedimientos de la información; </w:t>
      </w:r>
    </w:p>
    <w:p w14:paraId="219D8778" w14:textId="77777777" w:rsidR="005C6C03" w:rsidRPr="005C6C03" w:rsidRDefault="005C6C03" w:rsidP="005C6C03">
      <w:pPr>
        <w:pStyle w:val="Citas"/>
      </w:pPr>
      <w:r w:rsidRPr="005C6C03">
        <w:sym w:font="Symbol" w:char="F0B7"/>
      </w:r>
      <w:r w:rsidRPr="005C6C03">
        <w:t xml:space="preserve"> Brindar asesoría en materia del catastro a los propietarios y/o poseedores de inmuebles que así lo soliciten; </w:t>
      </w:r>
    </w:p>
    <w:p w14:paraId="71C4C574" w14:textId="77777777" w:rsidR="005C6C03" w:rsidRPr="005C6C03" w:rsidRDefault="005C6C03" w:rsidP="005C6C03">
      <w:pPr>
        <w:pStyle w:val="Citas"/>
      </w:pPr>
      <w:r w:rsidRPr="005C6C03">
        <w:sym w:font="Symbol" w:char="F0B7"/>
      </w:r>
      <w:r w:rsidRPr="005C6C03">
        <w:t xml:space="preserve"> Resguardar y controlar los archivos cartográficos y alfanuméricos del catastro Municipal; y </w:t>
      </w:r>
    </w:p>
    <w:p w14:paraId="39A50C19" w14:textId="3362D652" w:rsidR="005C6C03" w:rsidRPr="005C6C03" w:rsidRDefault="005C6C03" w:rsidP="005C6C03">
      <w:pPr>
        <w:pStyle w:val="Citas"/>
      </w:pPr>
      <w:r w:rsidRPr="005C6C03">
        <w:sym w:font="Symbol" w:char="F0B7"/>
      </w:r>
      <w:r w:rsidRPr="005C6C03">
        <w:t xml:space="preserve"> Expedir las certificaciones de clave y valor catastral que soliciten los interesados.</w:t>
      </w:r>
    </w:p>
    <w:p w14:paraId="5E79294B" w14:textId="77777777" w:rsidR="005C6C03" w:rsidRDefault="005C6C03" w:rsidP="00FC3FC2">
      <w:pPr>
        <w:pStyle w:val="Sinespaciado"/>
        <w:spacing w:line="360" w:lineRule="auto"/>
        <w:jc w:val="both"/>
      </w:pPr>
    </w:p>
    <w:p w14:paraId="64D3304D" w14:textId="54783AF6" w:rsidR="00AF15FF" w:rsidRPr="00A7648E" w:rsidRDefault="00A7648E" w:rsidP="00A7648E">
      <w:pPr>
        <w:pStyle w:val="Citas"/>
        <w:jc w:val="center"/>
        <w:rPr>
          <w:b/>
          <w:bCs/>
          <w:i w:val="0"/>
          <w:iCs/>
        </w:rPr>
      </w:pPr>
      <w:r w:rsidRPr="00A7648E">
        <w:rPr>
          <w:b/>
          <w:bCs/>
          <w:i w:val="0"/>
          <w:iCs/>
        </w:rPr>
        <w:t>MANUAL CATASTRAL DEL ESTADO DE MÉXICO</w:t>
      </w:r>
    </w:p>
    <w:p w14:paraId="08F09E09" w14:textId="7DF85767" w:rsidR="00AF15FF" w:rsidRDefault="00A7648E" w:rsidP="00AF15FF">
      <w:pPr>
        <w:pStyle w:val="Citas"/>
      </w:pPr>
      <w:r>
        <w:t>“</w:t>
      </w:r>
      <w:r w:rsidR="00AF15FF" w:rsidRPr="00AF15FF">
        <w:t>ACGC014. Los servicios catastrales que presta el ayuntamiento son:</w:t>
      </w:r>
    </w:p>
    <w:p w14:paraId="130ABF21" w14:textId="77777777" w:rsidR="00AF15FF" w:rsidRDefault="00AF15FF" w:rsidP="00AF15FF">
      <w:pPr>
        <w:pStyle w:val="Citas"/>
      </w:pPr>
      <w:r w:rsidRPr="00AF15FF">
        <w:t xml:space="preserve"> I. Trámites: </w:t>
      </w:r>
    </w:p>
    <w:p w14:paraId="713C5D20" w14:textId="77777777" w:rsidR="00AF15FF" w:rsidRDefault="00AF15FF" w:rsidP="00AF15FF">
      <w:pPr>
        <w:pStyle w:val="Citas"/>
      </w:pPr>
      <w:r w:rsidRPr="00AF15FF">
        <w:t xml:space="preserve">a) Inscripción de inmuebles en el padrón catastral municipal. </w:t>
      </w:r>
    </w:p>
    <w:p w14:paraId="6FB3E7B1" w14:textId="77777777" w:rsidR="00AF15FF" w:rsidRDefault="00AF15FF" w:rsidP="00AF15FF">
      <w:pPr>
        <w:pStyle w:val="Citas"/>
      </w:pPr>
      <w:r w:rsidRPr="00AF15FF">
        <w:t xml:space="preserve">b) Registro de altas, bajas y modificaciones de construcciones. </w:t>
      </w:r>
    </w:p>
    <w:p w14:paraId="34A9D981" w14:textId="77777777" w:rsidR="00AF15FF" w:rsidRDefault="00AF15FF" w:rsidP="00AF15FF">
      <w:pPr>
        <w:pStyle w:val="Citas"/>
      </w:pPr>
      <w:r w:rsidRPr="00AF15FF">
        <w:t xml:space="preserve">c) Actualización del padrón catastral derivada de subdivisión, fusión, lotificación, relotificación, conjuntos urbanos, afectaciones y modificación de linderos, previa autorización emitida por la autoridad competente. </w:t>
      </w:r>
    </w:p>
    <w:p w14:paraId="634DF5C6" w14:textId="77777777" w:rsidR="00AF15FF" w:rsidRDefault="00AF15FF" w:rsidP="00AF15FF">
      <w:pPr>
        <w:pStyle w:val="Citas"/>
      </w:pPr>
      <w:r w:rsidRPr="00AF15FF">
        <w:t xml:space="preserve">d) Actualización al padrón catastral municipal derivada de cambios técnicos y administrativos y </w:t>
      </w:r>
    </w:p>
    <w:p w14:paraId="1EF49140" w14:textId="77777777" w:rsidR="00AF15FF" w:rsidRDefault="00AF15FF" w:rsidP="00AF15FF">
      <w:pPr>
        <w:pStyle w:val="Citas"/>
      </w:pPr>
      <w:r w:rsidRPr="00AF15FF">
        <w:t xml:space="preserve">e) Asignación, baja y reasignación de clave catastral. </w:t>
      </w:r>
    </w:p>
    <w:p w14:paraId="51F0B6F6" w14:textId="77777777" w:rsidR="00AF15FF" w:rsidRDefault="00AF15FF" w:rsidP="00AF15FF">
      <w:pPr>
        <w:pStyle w:val="Citas"/>
      </w:pPr>
      <w:r w:rsidRPr="00AF15FF">
        <w:t xml:space="preserve">II. Servicios: </w:t>
      </w:r>
    </w:p>
    <w:p w14:paraId="321E75C6" w14:textId="77777777" w:rsidR="00AF15FF" w:rsidRDefault="00AF15FF" w:rsidP="00AF15FF">
      <w:pPr>
        <w:pStyle w:val="Citas"/>
      </w:pPr>
      <w:r w:rsidRPr="00AF15FF">
        <w:t xml:space="preserve">a) Certificaciones de clave catastral, clave y valor catastral y plano manzanero. </w:t>
      </w:r>
    </w:p>
    <w:p w14:paraId="699191A7" w14:textId="77777777" w:rsidR="00AF15FF" w:rsidRDefault="00AF15FF" w:rsidP="00AF15FF">
      <w:pPr>
        <w:pStyle w:val="Citas"/>
      </w:pPr>
      <w:r w:rsidRPr="00AF15FF">
        <w:t xml:space="preserve">b) Constancia de identificación catastral. </w:t>
      </w:r>
    </w:p>
    <w:p w14:paraId="233531FC" w14:textId="77777777" w:rsidR="00AF15FF" w:rsidRDefault="00AF15FF" w:rsidP="00AF15FF">
      <w:pPr>
        <w:pStyle w:val="Citas"/>
      </w:pPr>
      <w:r w:rsidRPr="00AF15FF">
        <w:t xml:space="preserve">c) Levantamiento topográfico catastral, en los casos previstos por las disposiciones jurídicas aplicables. </w:t>
      </w:r>
    </w:p>
    <w:p w14:paraId="758CCE5D" w14:textId="77777777" w:rsidR="00AF15FF" w:rsidRDefault="00AF15FF" w:rsidP="00AF15FF">
      <w:pPr>
        <w:pStyle w:val="Citas"/>
      </w:pPr>
      <w:r w:rsidRPr="00AF15FF">
        <w:t xml:space="preserve">d) Verificación de linderos. </w:t>
      </w:r>
    </w:p>
    <w:p w14:paraId="6212B8A5" w14:textId="29A7BCAF" w:rsidR="00AF15FF" w:rsidRPr="00A7648E" w:rsidRDefault="00AF15FF" w:rsidP="00AF15FF">
      <w:pPr>
        <w:pStyle w:val="Citas"/>
        <w:rPr>
          <w:b/>
          <w:bCs/>
        </w:rPr>
      </w:pPr>
      <w:r w:rsidRPr="00AF15FF">
        <w:lastRenderedPageBreak/>
        <w:t>ACGC016.- Para la atención de los trámites indicados en el numeral I de la política ACGC014, relacionados con los supuestos establecidos en el artículo 175 del Código Financiero del Estado de México y Municipios, en aquellos supuestos en que se adquiera un inmueble por primera vez; se autorice por autoridad competente ya sea una fusión, subdivisión, lotificación, relotificación, conjunto urbano, afectación o modificación de linderos; un cambio de uso de suelo; o bien se modifique la superficie de terreno o construcción cualquiera que sea la causa; es procedente la actualización de los datos técnicos, administrativos y el valor catastral según corresponda y en su caso asignar claves catastrales; para tal efecto, dentro de los treinta días siguientes a la fecha en que se haya otorgado la autorización correspondiente, los propietarios o poseedores de dichos inmuebles deberán presentar ante la unidad de catastro municipal, las manifestaciones catastrales en los formatos autorizados al efecto, anexando los documentos y planos necesarios, según sea el caso, así como un avalúo catastral practicado y emitido por el IGECEM o por especialista en valuación inmobiliaria con registro vigente expedido por el propio Instituto; lo cual servirá de soporte técnico del servicio requerido.</w:t>
      </w:r>
      <w:r w:rsidR="00A7648E">
        <w:t xml:space="preserve">” </w:t>
      </w:r>
      <w:r w:rsidR="00A7648E">
        <w:rPr>
          <w:b/>
          <w:bCs/>
        </w:rPr>
        <w:t>(Sic)</w:t>
      </w:r>
    </w:p>
    <w:p w14:paraId="75F4E47D" w14:textId="77777777" w:rsidR="00AF15FF" w:rsidRDefault="00AF15FF" w:rsidP="00FC3FC2">
      <w:pPr>
        <w:pStyle w:val="Sinespaciado"/>
        <w:spacing w:line="360" w:lineRule="auto"/>
        <w:jc w:val="both"/>
      </w:pPr>
    </w:p>
    <w:p w14:paraId="0B931ADE" w14:textId="77777777" w:rsidR="00AF15FF" w:rsidRDefault="00AF15FF" w:rsidP="00FC3FC2">
      <w:pPr>
        <w:pStyle w:val="Sinespaciado"/>
        <w:spacing w:line="360" w:lineRule="auto"/>
        <w:jc w:val="both"/>
      </w:pPr>
    </w:p>
    <w:p w14:paraId="372B667D" w14:textId="43F16E9A" w:rsidR="00320070" w:rsidRDefault="00320070" w:rsidP="00320070">
      <w:pPr>
        <w:spacing w:after="240" w:line="360" w:lineRule="auto"/>
        <w:jc w:val="both"/>
        <w:rPr>
          <w:rFonts w:ascii="Palatino Linotype" w:hAnsi="Palatino Linotype"/>
          <w:sz w:val="24"/>
          <w:szCs w:val="24"/>
        </w:rPr>
      </w:pPr>
      <w:r w:rsidRPr="009A7912">
        <w:rPr>
          <w:rFonts w:ascii="Palatino Linotype" w:hAnsi="Palatino Linotype" w:cs="Arial"/>
          <w:sz w:val="24"/>
          <w:szCs w:val="24"/>
        </w:rPr>
        <w:t xml:space="preserve">Bajo este contexto, a toda luz se desprende que la tesorería municipal </w:t>
      </w:r>
      <w:r w:rsidR="00A7648E">
        <w:rPr>
          <w:rFonts w:ascii="Palatino Linotype" w:hAnsi="Palatino Linotype" w:cs="Arial"/>
          <w:sz w:val="24"/>
          <w:szCs w:val="24"/>
        </w:rPr>
        <w:t xml:space="preserve">y su departamento de catastro </w:t>
      </w:r>
      <w:r w:rsidRPr="009A7912">
        <w:rPr>
          <w:rFonts w:ascii="Palatino Linotype" w:hAnsi="Palatino Linotype"/>
          <w:sz w:val="24"/>
          <w:szCs w:val="24"/>
        </w:rPr>
        <w:t>se encarga</w:t>
      </w:r>
      <w:r w:rsidR="00A7648E">
        <w:rPr>
          <w:rFonts w:ascii="Palatino Linotype" w:hAnsi="Palatino Linotype"/>
          <w:sz w:val="24"/>
          <w:szCs w:val="24"/>
        </w:rPr>
        <w:t>n</w:t>
      </w:r>
      <w:r w:rsidRPr="009A7912">
        <w:rPr>
          <w:rFonts w:ascii="Palatino Linotype" w:hAnsi="Palatino Linotype"/>
          <w:sz w:val="24"/>
          <w:szCs w:val="24"/>
        </w:rPr>
        <w:t xml:space="preserve"> de</w:t>
      </w:r>
      <w:r>
        <w:rPr>
          <w:rFonts w:ascii="Palatino Linotype" w:hAnsi="Palatino Linotype"/>
          <w:sz w:val="24"/>
          <w:szCs w:val="24"/>
        </w:rPr>
        <w:t>:</w:t>
      </w:r>
    </w:p>
    <w:p w14:paraId="170796BD" w14:textId="77777777" w:rsidR="00320070" w:rsidRDefault="00320070" w:rsidP="00320070">
      <w:pPr>
        <w:pStyle w:val="Prrafodelista"/>
        <w:numPr>
          <w:ilvl w:val="0"/>
          <w:numId w:val="19"/>
        </w:numPr>
        <w:spacing w:after="240" w:line="360" w:lineRule="auto"/>
        <w:jc w:val="both"/>
        <w:rPr>
          <w:rFonts w:ascii="Palatino Linotype" w:hAnsi="Palatino Linotype"/>
        </w:rPr>
      </w:pPr>
      <w:r>
        <w:rPr>
          <w:rFonts w:ascii="Palatino Linotype" w:hAnsi="Palatino Linotype"/>
        </w:rPr>
        <w:t>Recaudar de los impuestos y demás contribuciones de los particulares</w:t>
      </w:r>
    </w:p>
    <w:p w14:paraId="192E9586" w14:textId="77777777" w:rsidR="00320070" w:rsidRDefault="00320070" w:rsidP="00320070">
      <w:pPr>
        <w:pStyle w:val="Prrafodelista"/>
        <w:numPr>
          <w:ilvl w:val="0"/>
          <w:numId w:val="19"/>
        </w:numPr>
        <w:spacing w:after="240" w:line="360" w:lineRule="auto"/>
        <w:jc w:val="both"/>
        <w:rPr>
          <w:rFonts w:ascii="Palatino Linotype" w:hAnsi="Palatino Linotype"/>
        </w:rPr>
      </w:pPr>
      <w:r>
        <w:rPr>
          <w:rFonts w:ascii="Palatino Linotype" w:hAnsi="Palatino Linotype"/>
        </w:rPr>
        <w:t>Administrar registros contables, financieros y administrativos de los ingresos y egresos del municipio.</w:t>
      </w:r>
    </w:p>
    <w:p w14:paraId="2B2AE662" w14:textId="77777777" w:rsidR="00320070" w:rsidRDefault="00320070" w:rsidP="00320070">
      <w:pPr>
        <w:pStyle w:val="Prrafodelista"/>
        <w:numPr>
          <w:ilvl w:val="0"/>
          <w:numId w:val="19"/>
        </w:numPr>
        <w:spacing w:after="240" w:line="360" w:lineRule="auto"/>
        <w:jc w:val="both"/>
        <w:rPr>
          <w:rFonts w:ascii="Palatino Linotype" w:hAnsi="Palatino Linotype"/>
        </w:rPr>
      </w:pPr>
      <w:r>
        <w:rPr>
          <w:rFonts w:ascii="Palatino Linotype" w:hAnsi="Palatino Linotype"/>
        </w:rPr>
        <w:lastRenderedPageBreak/>
        <w:t xml:space="preserve">Elaborar el anteproyecto del presupuesto de egresos. </w:t>
      </w:r>
    </w:p>
    <w:p w14:paraId="27D519FD" w14:textId="77777777" w:rsidR="00320070" w:rsidRPr="00146D0B" w:rsidRDefault="00320070" w:rsidP="00320070">
      <w:pPr>
        <w:pStyle w:val="Prrafodelista"/>
        <w:numPr>
          <w:ilvl w:val="0"/>
          <w:numId w:val="19"/>
        </w:numPr>
        <w:spacing w:after="240" w:line="360" w:lineRule="auto"/>
        <w:jc w:val="both"/>
        <w:rPr>
          <w:rFonts w:ascii="Palatino Linotype" w:hAnsi="Palatino Linotype"/>
          <w:b/>
          <w:bCs/>
          <w:u w:val="single"/>
        </w:rPr>
      </w:pPr>
      <w:r w:rsidRPr="00146D0B">
        <w:rPr>
          <w:rFonts w:ascii="Palatino Linotype" w:hAnsi="Palatino Linotype"/>
          <w:b/>
          <w:bCs/>
          <w:u w:val="single"/>
        </w:rPr>
        <w:t xml:space="preserve">Controlar, coordinar y supervisar las funciones de catastro municipal. </w:t>
      </w:r>
    </w:p>
    <w:p w14:paraId="3552D754" w14:textId="77777777" w:rsidR="00320070" w:rsidRPr="00976313" w:rsidRDefault="00320070" w:rsidP="00320070">
      <w:pPr>
        <w:pStyle w:val="Prrafodelista"/>
        <w:spacing w:line="360" w:lineRule="auto"/>
        <w:ind w:left="720"/>
        <w:jc w:val="both"/>
        <w:rPr>
          <w:rFonts w:ascii="Palatino Linotype" w:hAnsi="Palatino Linotype"/>
          <w:bCs/>
        </w:rPr>
      </w:pPr>
    </w:p>
    <w:p w14:paraId="461B71E1" w14:textId="77777777" w:rsidR="00320070" w:rsidRPr="00A342AD" w:rsidRDefault="00320070" w:rsidP="00320070">
      <w:pPr>
        <w:widowControl w:val="0"/>
        <w:spacing w:after="0" w:line="360" w:lineRule="auto"/>
        <w:jc w:val="both"/>
        <w:rPr>
          <w:rFonts w:ascii="Palatino Linotype" w:hAnsi="Palatino Linotype"/>
          <w:sz w:val="24"/>
          <w:szCs w:val="24"/>
        </w:rPr>
      </w:pPr>
      <w:r w:rsidRPr="00A342AD">
        <w:rPr>
          <w:rFonts w:ascii="Palatino Linotype" w:hAnsi="Palatino Linotype"/>
          <w:sz w:val="24"/>
          <w:szCs w:val="24"/>
        </w:rPr>
        <w:t>Por otra parte, con relación a la problemática expuesta, resulta conveniente contextualizar el padrón catastral municipal. Para tal efecto, se refiere que el Código Financiero del Estado de México, en su artículo 168, define al Catastro, como el sistema de información territorial, cuyo propósito es integrar, conservar y mantener actualizados el padrón catastral estatal y los padrones municipales de la Entidad; además, que  el padrón catastral es el inventario analítico que contiene los datos técnicos y administrativos de los inmuebles y está conformado por el conjunto de registros geográficos, gráficos, estadísticos, alfanuméricos y elementos y características resultantes de las actividades catastrales.</w:t>
      </w:r>
    </w:p>
    <w:p w14:paraId="25EC9FB4" w14:textId="77777777" w:rsidR="00320070" w:rsidRPr="00A342AD" w:rsidRDefault="00320070" w:rsidP="00320070">
      <w:pPr>
        <w:widowControl w:val="0"/>
        <w:spacing w:after="0" w:line="360" w:lineRule="auto"/>
        <w:jc w:val="both"/>
        <w:rPr>
          <w:rFonts w:ascii="Palatino Linotype" w:hAnsi="Palatino Linotype"/>
          <w:color w:val="FF0000"/>
          <w:sz w:val="24"/>
          <w:szCs w:val="24"/>
        </w:rPr>
      </w:pPr>
    </w:p>
    <w:p w14:paraId="01B78380" w14:textId="77777777" w:rsidR="00320070" w:rsidRPr="00A342AD" w:rsidRDefault="00320070" w:rsidP="00320070">
      <w:pPr>
        <w:widowControl w:val="0"/>
        <w:spacing w:after="0" w:line="360" w:lineRule="auto"/>
        <w:jc w:val="both"/>
        <w:rPr>
          <w:rFonts w:ascii="Palatino Linotype" w:hAnsi="Palatino Linotype"/>
          <w:sz w:val="24"/>
          <w:szCs w:val="24"/>
        </w:rPr>
      </w:pPr>
      <w:r w:rsidRPr="00A342AD">
        <w:rPr>
          <w:rFonts w:ascii="Palatino Linotype" w:hAnsi="Palatino Linotype"/>
          <w:sz w:val="24"/>
          <w:szCs w:val="24"/>
        </w:rPr>
        <w:t>En ese orden de ideas, el artículo 169 del Código mencionado, refiere que son autoridades en materia de catastro, entre otros, el Ayuntamiento y el servidor público designado como Titular del área del Catastro Municipal.</w:t>
      </w:r>
    </w:p>
    <w:p w14:paraId="783C876F" w14:textId="77777777" w:rsidR="00320070" w:rsidRPr="00A342AD" w:rsidRDefault="00320070" w:rsidP="00320070">
      <w:pPr>
        <w:widowControl w:val="0"/>
        <w:spacing w:after="0" w:line="360" w:lineRule="auto"/>
        <w:jc w:val="both"/>
        <w:rPr>
          <w:rFonts w:ascii="Palatino Linotype" w:hAnsi="Palatino Linotype"/>
          <w:color w:val="FF0000"/>
          <w:sz w:val="24"/>
          <w:szCs w:val="24"/>
        </w:rPr>
      </w:pPr>
    </w:p>
    <w:p w14:paraId="4524A789" w14:textId="77777777" w:rsidR="00320070" w:rsidRDefault="00320070" w:rsidP="00320070">
      <w:pPr>
        <w:widowControl w:val="0"/>
        <w:spacing w:after="0" w:line="360" w:lineRule="auto"/>
        <w:jc w:val="both"/>
        <w:rPr>
          <w:rFonts w:ascii="Palatino Linotype" w:hAnsi="Palatino Linotype"/>
          <w:b/>
          <w:sz w:val="24"/>
          <w:szCs w:val="24"/>
        </w:rPr>
      </w:pPr>
      <w:r w:rsidRPr="00A342AD">
        <w:rPr>
          <w:rFonts w:ascii="Palatino Linotype" w:hAnsi="Palatino Linotype"/>
          <w:sz w:val="24"/>
          <w:szCs w:val="24"/>
        </w:rPr>
        <w:t xml:space="preserve">Por su parte, el artículo 171 del Código antes citado, refiere que los Ayuntamientos y las autoridades catastrales municipales, además de las atribuciones que este Código y otros ordenamientos les confieran en materia catastral, tendrán entre otras la de llevar a cabo la inscripción y control de los inmuebles localizados dentro del territorio municipal, así como recibir las manifestaciones catastrales de los propietarios o </w:t>
      </w:r>
      <w:r w:rsidRPr="00A342AD">
        <w:rPr>
          <w:rFonts w:ascii="Palatino Linotype" w:hAnsi="Palatino Linotype"/>
          <w:sz w:val="24"/>
          <w:szCs w:val="24"/>
        </w:rPr>
        <w:lastRenderedPageBreak/>
        <w:t xml:space="preserve">poseedores de inmuebles, para efectos de su inscripción o actualización en el </w:t>
      </w:r>
      <w:r w:rsidRPr="00A342AD">
        <w:rPr>
          <w:rFonts w:ascii="Palatino Linotype" w:hAnsi="Palatino Linotype"/>
          <w:b/>
          <w:sz w:val="24"/>
          <w:szCs w:val="24"/>
        </w:rPr>
        <w:t>Padrón Catastral Municipal.</w:t>
      </w:r>
    </w:p>
    <w:p w14:paraId="2A3C0711" w14:textId="77777777" w:rsidR="00320070" w:rsidRPr="00A342AD" w:rsidRDefault="00320070" w:rsidP="00320070">
      <w:pPr>
        <w:widowControl w:val="0"/>
        <w:spacing w:after="0" w:line="360" w:lineRule="auto"/>
        <w:jc w:val="both"/>
        <w:rPr>
          <w:rFonts w:ascii="Palatino Linotype" w:hAnsi="Palatino Linotype"/>
          <w:sz w:val="24"/>
          <w:szCs w:val="24"/>
        </w:rPr>
      </w:pPr>
    </w:p>
    <w:p w14:paraId="5BE7D7EA" w14:textId="77777777" w:rsidR="00320070" w:rsidRPr="00A342AD" w:rsidRDefault="00320070" w:rsidP="00320070">
      <w:pPr>
        <w:widowControl w:val="0"/>
        <w:spacing w:after="0" w:line="360" w:lineRule="auto"/>
        <w:jc w:val="both"/>
        <w:rPr>
          <w:rFonts w:ascii="Palatino Linotype" w:hAnsi="Palatino Linotype"/>
          <w:sz w:val="24"/>
          <w:szCs w:val="24"/>
        </w:rPr>
      </w:pPr>
      <w:r w:rsidRPr="00A342AD">
        <w:rPr>
          <w:rFonts w:ascii="Palatino Linotype" w:hAnsi="Palatino Linotype"/>
          <w:sz w:val="24"/>
          <w:szCs w:val="24"/>
        </w:rPr>
        <w:t xml:space="preserve">En ese contexto, en la página oficial del Instituto de Información e Investigación Geográfica, Estadística y Catastral del Estado de México </w:t>
      </w:r>
      <w:hyperlink r:id="rId15" w:history="1">
        <w:r w:rsidRPr="002442E3">
          <w:rPr>
            <w:rStyle w:val="Hipervnculo"/>
            <w:rFonts w:ascii="Palatino Linotype" w:hAnsi="Palatino Linotype"/>
            <w:sz w:val="24"/>
            <w:szCs w:val="24"/>
          </w:rPr>
          <w:t>https://igecem.edomex.gob.mx/padron-catastral</w:t>
        </w:r>
      </w:hyperlink>
      <w:r w:rsidRPr="00A342AD">
        <w:rPr>
          <w:rFonts w:ascii="Palatino Linotype" w:hAnsi="Palatino Linotype"/>
          <w:sz w:val="24"/>
          <w:szCs w:val="24"/>
        </w:rPr>
        <w:t>, refiere que el Padrón catastral,  es el conjunto de datos integrados por un registro alfanumérico y un registro gráfico que contiene los catálogos  operativos, tales como zonas, manzanas, calles, áreas homogéneas, bandas de valor, además de la descripción técnica y administrativa de los predios, propiedades y construcciones de los inmuebles localizados en territorio Estatal.</w:t>
      </w:r>
      <w:r w:rsidRPr="00A342AD">
        <w:rPr>
          <w:rFonts w:ascii="Palatino Linotype" w:eastAsia="Roboto" w:hAnsi="Palatino Linotype" w:cs="Roboto"/>
          <w:sz w:val="24"/>
          <w:szCs w:val="24"/>
        </w:rPr>
        <w:t> </w:t>
      </w:r>
    </w:p>
    <w:p w14:paraId="68530372" w14:textId="77777777" w:rsidR="00320070" w:rsidRPr="00A342AD" w:rsidRDefault="00320070" w:rsidP="00320070">
      <w:pPr>
        <w:widowControl w:val="0"/>
        <w:spacing w:after="0" w:line="360" w:lineRule="auto"/>
        <w:jc w:val="both"/>
        <w:rPr>
          <w:rFonts w:ascii="Palatino Linotype" w:hAnsi="Palatino Linotype"/>
          <w:color w:val="FF0000"/>
          <w:sz w:val="24"/>
          <w:szCs w:val="24"/>
        </w:rPr>
      </w:pPr>
    </w:p>
    <w:p w14:paraId="53B82BA4" w14:textId="77777777" w:rsidR="00320070" w:rsidRPr="00A342AD" w:rsidRDefault="00320070" w:rsidP="00320070">
      <w:pPr>
        <w:widowControl w:val="0"/>
        <w:spacing w:after="0" w:line="360" w:lineRule="auto"/>
        <w:jc w:val="both"/>
        <w:rPr>
          <w:rFonts w:ascii="Palatino Linotype" w:hAnsi="Palatino Linotype"/>
          <w:sz w:val="24"/>
          <w:szCs w:val="24"/>
        </w:rPr>
      </w:pPr>
      <w:r w:rsidRPr="00A342AD">
        <w:rPr>
          <w:rFonts w:ascii="Palatino Linotype" w:hAnsi="Palatino Linotype"/>
          <w:sz w:val="24"/>
          <w:szCs w:val="24"/>
        </w:rPr>
        <w:t xml:space="preserve">Al respecto, el artículo 2°, fracción XII, del Reglamento del Título Quinto del Código Financiero del Estado de México y Municipios, denominado “Del Catastro”, precisa que el Sistema de Información Catastral es la herramienta informática desarrollada por el Instituto mencionado en el párrafo anterior, para integrar, mantener y actualizar el Padrón Catastral Municipal. Asimismo, se les denominaran a los sistemas desarrollados por los Ayuntamientos, que contengan la misma información. Asimismo, refiere en su artículo 22, fracción I, incisos a, c y d, que dentro de los trámites y servicios que prestara la Autoridad Catastral Municipal, se encuentra la inscripción de inmuebles en el padrón catastral municipal, así como, la actualización de este. </w:t>
      </w:r>
    </w:p>
    <w:p w14:paraId="5B6F1CC0" w14:textId="77777777" w:rsidR="00320070" w:rsidRPr="00A342AD" w:rsidRDefault="00320070" w:rsidP="00320070">
      <w:pPr>
        <w:widowControl w:val="0"/>
        <w:spacing w:after="0" w:line="360" w:lineRule="auto"/>
        <w:jc w:val="both"/>
        <w:rPr>
          <w:rFonts w:ascii="Palatino Linotype" w:hAnsi="Palatino Linotype"/>
          <w:sz w:val="24"/>
          <w:szCs w:val="24"/>
        </w:rPr>
      </w:pPr>
    </w:p>
    <w:p w14:paraId="50AEDA59" w14:textId="77777777" w:rsidR="00320070" w:rsidRPr="00A342AD" w:rsidRDefault="00320070" w:rsidP="00320070">
      <w:pPr>
        <w:widowControl w:val="0"/>
        <w:spacing w:after="0" w:line="360" w:lineRule="auto"/>
        <w:jc w:val="both"/>
        <w:rPr>
          <w:rFonts w:ascii="Palatino Linotype" w:hAnsi="Palatino Linotype"/>
          <w:sz w:val="24"/>
          <w:szCs w:val="24"/>
        </w:rPr>
      </w:pPr>
      <w:r w:rsidRPr="00A342AD">
        <w:rPr>
          <w:rFonts w:ascii="Palatino Linotype" w:hAnsi="Palatino Linotype"/>
          <w:sz w:val="24"/>
          <w:szCs w:val="24"/>
        </w:rPr>
        <w:lastRenderedPageBreak/>
        <w:t>En ese orden de ideas, conforme a los artículos 16 y 31 del Reglamento referido, el Instituto de Información e Investigación Geográfica, Estadística y Catastral del Estado de México, recopilara mensualmente, la base de datos del padrón catastral municipal, por medio del Sistema de Información Catastral.</w:t>
      </w:r>
    </w:p>
    <w:p w14:paraId="5EFB780C" w14:textId="77777777" w:rsidR="00320070" w:rsidRPr="00A342AD" w:rsidRDefault="00320070" w:rsidP="00320070">
      <w:pPr>
        <w:widowControl w:val="0"/>
        <w:spacing w:after="0" w:line="360" w:lineRule="auto"/>
        <w:jc w:val="both"/>
        <w:rPr>
          <w:rFonts w:ascii="Palatino Linotype" w:hAnsi="Palatino Linotype"/>
          <w:color w:val="FF0000"/>
          <w:sz w:val="24"/>
          <w:szCs w:val="24"/>
        </w:rPr>
      </w:pPr>
    </w:p>
    <w:p w14:paraId="70395DE4" w14:textId="77777777" w:rsidR="00320070" w:rsidRPr="00A342AD" w:rsidRDefault="00320070" w:rsidP="00320070">
      <w:pPr>
        <w:widowControl w:val="0"/>
        <w:spacing w:after="0" w:line="360" w:lineRule="auto"/>
        <w:jc w:val="both"/>
        <w:rPr>
          <w:rFonts w:ascii="Palatino Linotype" w:hAnsi="Palatino Linotype"/>
          <w:sz w:val="24"/>
          <w:szCs w:val="24"/>
        </w:rPr>
      </w:pPr>
      <w:r w:rsidRPr="00A342AD">
        <w:rPr>
          <w:rFonts w:ascii="Palatino Linotype" w:hAnsi="Palatino Linotype"/>
          <w:sz w:val="24"/>
          <w:szCs w:val="24"/>
        </w:rPr>
        <w:t>Para lograr lo anterior, conforme al artículo 171 del Código Financiero del Estado de México y Municipios, precisa que los Ayuntamientos y las Autoridades Catastrales Municipales deberá llevar a cabo la inscripción y control de los inmuebles localizados dentro del territorio municipal en el Padrón Catastral Municipal, así como, de integrar, conservar y mantener actualizados los registros gráfico y alfanumérico de los inmuebles ubicados en el territorio del municipio. Además, el artículo 174 Bis, la autoridad catastral municipal, enviará al multicitado Instituto, la información actualizada de los registros gráficos y alfanumérico.</w:t>
      </w:r>
    </w:p>
    <w:p w14:paraId="63D3E57E" w14:textId="77777777" w:rsidR="00320070" w:rsidRPr="00A342AD" w:rsidRDefault="00320070" w:rsidP="00320070">
      <w:pPr>
        <w:widowControl w:val="0"/>
        <w:spacing w:after="0" w:line="360" w:lineRule="auto"/>
        <w:jc w:val="both"/>
        <w:rPr>
          <w:rFonts w:ascii="Palatino Linotype" w:hAnsi="Palatino Linotype"/>
          <w:color w:val="FF0000"/>
          <w:sz w:val="24"/>
          <w:szCs w:val="24"/>
        </w:rPr>
      </w:pPr>
    </w:p>
    <w:p w14:paraId="531801BE" w14:textId="77777777" w:rsidR="00320070" w:rsidRPr="00A342AD" w:rsidRDefault="00320070" w:rsidP="00320070">
      <w:pPr>
        <w:widowControl w:val="0"/>
        <w:spacing w:after="0" w:line="360" w:lineRule="auto"/>
        <w:jc w:val="both"/>
        <w:rPr>
          <w:rFonts w:ascii="Palatino Linotype" w:hAnsi="Palatino Linotype"/>
          <w:sz w:val="24"/>
          <w:szCs w:val="24"/>
        </w:rPr>
      </w:pPr>
      <w:r w:rsidRPr="00A342AD">
        <w:rPr>
          <w:rFonts w:ascii="Palatino Linotype" w:hAnsi="Palatino Linotype"/>
          <w:sz w:val="24"/>
          <w:szCs w:val="24"/>
        </w:rPr>
        <w:t>En ese orden de ideas, el artículo 41 del Reglamento del Título Quinto del Código Financiero del Estado de México y Municipios, denominado “Del Catastro”, precisa que la autoridad catastral municipal reportara mensualmente al Instituto de Información e Investigación Geográfica, Estadística y Catastral del Estado de México, la base de datos del registro alfanumérico y gráfico del Padrón Catastral Municipal.</w:t>
      </w:r>
    </w:p>
    <w:p w14:paraId="5B07B03C" w14:textId="77777777" w:rsidR="00320070" w:rsidRPr="00A342AD" w:rsidRDefault="00320070" w:rsidP="00320070">
      <w:pPr>
        <w:widowControl w:val="0"/>
        <w:spacing w:after="0" w:line="360" w:lineRule="auto"/>
        <w:jc w:val="both"/>
        <w:rPr>
          <w:rFonts w:ascii="Palatino Linotype" w:hAnsi="Palatino Linotype"/>
          <w:color w:val="FF0000"/>
          <w:sz w:val="24"/>
          <w:szCs w:val="24"/>
        </w:rPr>
      </w:pPr>
    </w:p>
    <w:p w14:paraId="5100E24F" w14:textId="77777777" w:rsidR="00320070" w:rsidRPr="00A342AD" w:rsidRDefault="00320070" w:rsidP="00320070">
      <w:pPr>
        <w:widowControl w:val="0"/>
        <w:spacing w:after="0" w:line="360" w:lineRule="auto"/>
        <w:jc w:val="both"/>
        <w:rPr>
          <w:rFonts w:ascii="Palatino Linotype" w:hAnsi="Palatino Linotype"/>
          <w:sz w:val="24"/>
          <w:szCs w:val="24"/>
        </w:rPr>
      </w:pPr>
      <w:r w:rsidRPr="00A342AD">
        <w:rPr>
          <w:rFonts w:ascii="Palatino Linotype" w:hAnsi="Palatino Linotype"/>
          <w:sz w:val="24"/>
          <w:szCs w:val="24"/>
        </w:rPr>
        <w:t xml:space="preserve">Sobre lo anterior, el artículo 180 del Código Financiero del Estado de México y Municipios, el padrón catastral se integrará por un registro alfanumérico y un registro gráfico, que conforme al artículo 29 del Reglamento, deberá contener los datos, </w:t>
      </w:r>
      <w:r w:rsidRPr="00A342AD">
        <w:rPr>
          <w:rFonts w:ascii="Palatino Linotype" w:hAnsi="Palatino Linotype"/>
          <w:sz w:val="24"/>
          <w:szCs w:val="24"/>
        </w:rPr>
        <w:lastRenderedPageBreak/>
        <w:t>catálogos y especificaciones, tales como:</w:t>
      </w:r>
    </w:p>
    <w:p w14:paraId="29F6DBD9" w14:textId="77777777" w:rsidR="00320070" w:rsidRPr="00A342AD" w:rsidRDefault="00320070" w:rsidP="00320070">
      <w:pPr>
        <w:widowControl w:val="0"/>
        <w:spacing w:after="0" w:line="360" w:lineRule="auto"/>
        <w:jc w:val="both"/>
        <w:rPr>
          <w:rFonts w:ascii="Palatino Linotype" w:hAnsi="Palatino Linotype"/>
          <w:sz w:val="24"/>
          <w:szCs w:val="24"/>
        </w:rPr>
      </w:pPr>
    </w:p>
    <w:p w14:paraId="7E5CE3ED" w14:textId="77777777" w:rsidR="00320070" w:rsidRPr="00A342AD" w:rsidRDefault="00320070" w:rsidP="00320070">
      <w:pPr>
        <w:widowControl w:val="0"/>
        <w:numPr>
          <w:ilvl w:val="0"/>
          <w:numId w:val="20"/>
        </w:numPr>
        <w:pBdr>
          <w:top w:val="nil"/>
          <w:left w:val="nil"/>
          <w:bottom w:val="nil"/>
          <w:right w:val="nil"/>
          <w:between w:val="nil"/>
        </w:pBdr>
        <w:spacing w:after="0" w:line="360" w:lineRule="auto"/>
        <w:jc w:val="both"/>
        <w:rPr>
          <w:rFonts w:ascii="Palatino Linotype" w:hAnsi="Palatino Linotype"/>
          <w:b/>
          <w:sz w:val="24"/>
          <w:szCs w:val="24"/>
        </w:rPr>
      </w:pPr>
      <w:r w:rsidRPr="00A342AD">
        <w:rPr>
          <w:rFonts w:ascii="Palatino Linotype" w:hAnsi="Palatino Linotype"/>
          <w:b/>
          <w:sz w:val="24"/>
          <w:szCs w:val="24"/>
        </w:rPr>
        <w:t xml:space="preserve">El registro alfanumérico. </w:t>
      </w:r>
      <w:r w:rsidRPr="00A342AD">
        <w:rPr>
          <w:rFonts w:ascii="Palatino Linotype" w:hAnsi="Palatino Linotype"/>
          <w:sz w:val="24"/>
          <w:szCs w:val="24"/>
        </w:rPr>
        <w:t>Integrado por datos del inmueble, como clave catastral, nombre del propietario o poseedor, clave única de registro de población (CURP), ubicación del predio, características del terreno, entre otros. Así como catálogos operativos y normativos.</w:t>
      </w:r>
    </w:p>
    <w:p w14:paraId="4CA101F8" w14:textId="77777777" w:rsidR="00320070" w:rsidRPr="00A342AD" w:rsidRDefault="00320070" w:rsidP="00320070">
      <w:pPr>
        <w:widowControl w:val="0"/>
        <w:pBdr>
          <w:top w:val="nil"/>
          <w:left w:val="nil"/>
          <w:bottom w:val="nil"/>
          <w:right w:val="nil"/>
          <w:between w:val="nil"/>
        </w:pBdr>
        <w:spacing w:after="0" w:line="360" w:lineRule="auto"/>
        <w:ind w:left="720"/>
        <w:jc w:val="both"/>
        <w:rPr>
          <w:rFonts w:ascii="Palatino Linotype" w:hAnsi="Palatino Linotype"/>
          <w:b/>
          <w:sz w:val="24"/>
          <w:szCs w:val="24"/>
        </w:rPr>
      </w:pPr>
    </w:p>
    <w:p w14:paraId="57D55F22" w14:textId="77777777" w:rsidR="00320070" w:rsidRPr="00A342AD" w:rsidRDefault="00320070" w:rsidP="00320070">
      <w:pPr>
        <w:widowControl w:val="0"/>
        <w:numPr>
          <w:ilvl w:val="0"/>
          <w:numId w:val="21"/>
        </w:numPr>
        <w:pBdr>
          <w:top w:val="nil"/>
          <w:left w:val="nil"/>
          <w:bottom w:val="nil"/>
          <w:right w:val="nil"/>
          <w:between w:val="nil"/>
        </w:pBdr>
        <w:spacing w:after="0" w:line="360" w:lineRule="auto"/>
        <w:jc w:val="both"/>
        <w:rPr>
          <w:rFonts w:ascii="Palatino Linotype" w:hAnsi="Palatino Linotype"/>
          <w:b/>
          <w:sz w:val="24"/>
          <w:szCs w:val="24"/>
        </w:rPr>
      </w:pPr>
      <w:r w:rsidRPr="00A342AD">
        <w:rPr>
          <w:rFonts w:ascii="Palatino Linotype" w:hAnsi="Palatino Linotype"/>
          <w:b/>
          <w:sz w:val="24"/>
          <w:szCs w:val="24"/>
        </w:rPr>
        <w:t>El registro gráfico deberá contener</w:t>
      </w:r>
      <w:r w:rsidRPr="00A342AD">
        <w:rPr>
          <w:rFonts w:ascii="Palatino Linotype" w:hAnsi="Palatino Linotype"/>
          <w:sz w:val="24"/>
          <w:szCs w:val="24"/>
        </w:rPr>
        <w:t>: cartografía vectorial a nivel manzana y cartografía vectorial a nivel predio.</w:t>
      </w:r>
    </w:p>
    <w:p w14:paraId="44902773" w14:textId="77777777" w:rsidR="00320070" w:rsidRDefault="00320070" w:rsidP="00FC3FC2">
      <w:pPr>
        <w:pStyle w:val="Sinespaciado"/>
        <w:spacing w:line="360" w:lineRule="auto"/>
        <w:jc w:val="both"/>
      </w:pPr>
    </w:p>
    <w:p w14:paraId="69C5F6FE" w14:textId="4AB065ED" w:rsidR="00541A81" w:rsidRDefault="00541A81" w:rsidP="00541A81">
      <w:pPr>
        <w:spacing w:line="360" w:lineRule="auto"/>
        <w:jc w:val="both"/>
        <w:rPr>
          <w:rFonts w:ascii="Palatino Linotype" w:hAnsi="Palatino Linotype" w:cs="Arial"/>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permite generar, poseer y administrar la información requerida a petición de parte. </w:t>
      </w: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AA16449" w14:textId="77777777" w:rsidR="00541A81" w:rsidRDefault="00541A81" w:rsidP="00541A81">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4C912194" w14:textId="77777777" w:rsidR="00541A81" w:rsidRDefault="00541A81" w:rsidP="00541A81">
      <w:pPr>
        <w:pStyle w:val="Citas"/>
      </w:pPr>
      <w:r>
        <w:t xml:space="preserve">Artículo 19. Se presume que la información debe existir si se refiere a las facultades, competencias y funciones que los ordenamientos jurídicos aplicables otorgan a los sujetos obligados. </w:t>
      </w:r>
    </w:p>
    <w:p w14:paraId="76C21B88" w14:textId="77777777" w:rsidR="00541A81" w:rsidRDefault="00541A81" w:rsidP="00541A81">
      <w:pPr>
        <w:pStyle w:val="Citas"/>
      </w:pPr>
      <w:r>
        <w:lastRenderedPageBreak/>
        <w:t xml:space="preserve">En los casos en que ciertas facultades, competencias o funciones no se hayan ejercido, se debe motivar la respuesta en función de las causas que motiven tal circunstancia. </w:t>
      </w:r>
    </w:p>
    <w:p w14:paraId="0FA71869" w14:textId="77777777" w:rsidR="00541A81" w:rsidRDefault="00541A81" w:rsidP="00541A81">
      <w:pPr>
        <w:pStyle w:val="Citas"/>
        <w:rPr>
          <w:b/>
          <w:bCs/>
        </w:rPr>
      </w:pPr>
      <w:r>
        <w:t xml:space="preserve">Si el sujeto obligado, en el </w:t>
      </w:r>
      <w:r w:rsidRPr="00DE0ACC">
        <w:t xml:space="preserve">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E0ACC">
        <w:rPr>
          <w:b/>
          <w:bCs/>
        </w:rPr>
        <w:t>(Sic)</w:t>
      </w:r>
    </w:p>
    <w:p w14:paraId="63AC5E57" w14:textId="77777777" w:rsidR="00541A81" w:rsidRDefault="00541A81" w:rsidP="00541A81">
      <w:pPr>
        <w:pStyle w:val="Citas"/>
        <w:rPr>
          <w:b/>
          <w:bCs/>
          <w:sz w:val="24"/>
          <w:szCs w:val="24"/>
        </w:rPr>
      </w:pPr>
    </w:p>
    <w:p w14:paraId="352B1111" w14:textId="4B2E8144" w:rsidR="00541A81" w:rsidRDefault="00457393" w:rsidP="00175279">
      <w:pPr>
        <w:pStyle w:val="Citas"/>
        <w:ind w:left="0" w:right="0"/>
        <w:rPr>
          <w:i w:val="0"/>
          <w:sz w:val="24"/>
          <w:szCs w:val="24"/>
        </w:rPr>
      </w:pPr>
      <w:r>
        <w:rPr>
          <w:i w:val="0"/>
          <w:sz w:val="24"/>
          <w:szCs w:val="24"/>
        </w:rPr>
        <w:t>U</w:t>
      </w:r>
      <w:r w:rsidR="004975A8">
        <w:rPr>
          <w:i w:val="0"/>
          <w:sz w:val="24"/>
          <w:szCs w:val="24"/>
        </w:rPr>
        <w:t xml:space="preserve">na vez sentado lo anterior, como se mencionó en el antecedente </w:t>
      </w:r>
      <w:r w:rsidR="00DB2D17">
        <w:rPr>
          <w:i w:val="0"/>
          <w:sz w:val="24"/>
          <w:szCs w:val="24"/>
        </w:rPr>
        <w:t xml:space="preserve">segundo </w:t>
      </w:r>
      <w:r w:rsidR="0082756E">
        <w:rPr>
          <w:b/>
          <w:i w:val="0"/>
          <w:sz w:val="24"/>
          <w:szCs w:val="24"/>
        </w:rPr>
        <w:t xml:space="preserve">El Sujeto Obligado </w:t>
      </w:r>
      <w:r w:rsidR="0082756E">
        <w:rPr>
          <w:i w:val="0"/>
          <w:sz w:val="24"/>
          <w:szCs w:val="24"/>
        </w:rPr>
        <w:t xml:space="preserve">rindió su respuesta en fecha </w:t>
      </w:r>
      <w:r w:rsidR="00541A81">
        <w:rPr>
          <w:b/>
          <w:bCs/>
          <w:i w:val="0"/>
          <w:sz w:val="24"/>
          <w:szCs w:val="24"/>
        </w:rPr>
        <w:t xml:space="preserve">diez de junio del presente, </w:t>
      </w:r>
      <w:r w:rsidR="00541A81">
        <w:rPr>
          <w:i w:val="0"/>
          <w:sz w:val="24"/>
          <w:szCs w:val="24"/>
        </w:rPr>
        <w:t xml:space="preserve">adjuntando para tal efecto lo siguiente: </w:t>
      </w:r>
    </w:p>
    <w:p w14:paraId="779D499C" w14:textId="7813D80A" w:rsidR="00541A81" w:rsidRDefault="00541A81" w:rsidP="00541A81">
      <w:pPr>
        <w:pStyle w:val="Citas"/>
        <w:numPr>
          <w:ilvl w:val="0"/>
          <w:numId w:val="16"/>
        </w:numPr>
        <w:ind w:right="0"/>
        <w:rPr>
          <w:b/>
          <w:bCs/>
          <w:i w:val="0"/>
          <w:sz w:val="24"/>
          <w:szCs w:val="24"/>
        </w:rPr>
      </w:pPr>
      <w:r>
        <w:rPr>
          <w:b/>
          <w:bCs/>
          <w:i w:val="0"/>
          <w:sz w:val="24"/>
          <w:szCs w:val="24"/>
        </w:rPr>
        <w:t xml:space="preserve">“RS378.pdf”: </w:t>
      </w:r>
      <w:r>
        <w:rPr>
          <w:i w:val="0"/>
          <w:sz w:val="24"/>
          <w:szCs w:val="24"/>
        </w:rPr>
        <w:t xml:space="preserve">Oficio número </w:t>
      </w:r>
      <w:r>
        <w:rPr>
          <w:b/>
          <w:bCs/>
          <w:i w:val="0"/>
          <w:sz w:val="24"/>
          <w:szCs w:val="24"/>
        </w:rPr>
        <w:t xml:space="preserve">DGDU/SJ-III/1113/2024 </w:t>
      </w:r>
      <w:r>
        <w:rPr>
          <w:i w:val="0"/>
          <w:sz w:val="24"/>
          <w:szCs w:val="24"/>
        </w:rPr>
        <w:t xml:space="preserve">signado por el subdirector jurídico adscrito a la dirección general de desarrollo urbano y dirigido al solicitante, de fecha veintisiete de mayo de dos mil veinticuatro, en términos generales declina competencia a favor de la tesorería municipal.  </w:t>
      </w:r>
    </w:p>
    <w:p w14:paraId="3B473130" w14:textId="2C0E7E68" w:rsidR="00541A81" w:rsidRPr="00541A81" w:rsidRDefault="00541A81" w:rsidP="00541A81">
      <w:pPr>
        <w:pStyle w:val="Citas"/>
        <w:numPr>
          <w:ilvl w:val="0"/>
          <w:numId w:val="16"/>
        </w:numPr>
        <w:ind w:right="0"/>
        <w:rPr>
          <w:b/>
          <w:bCs/>
          <w:i w:val="0"/>
          <w:sz w:val="24"/>
          <w:szCs w:val="24"/>
        </w:rPr>
      </w:pPr>
      <w:r>
        <w:rPr>
          <w:b/>
          <w:bCs/>
          <w:i w:val="0"/>
          <w:sz w:val="24"/>
          <w:szCs w:val="24"/>
        </w:rPr>
        <w:t xml:space="preserve">“SAIMEX 00378-2024.pdf”: </w:t>
      </w:r>
      <w:r>
        <w:rPr>
          <w:i w:val="0"/>
          <w:sz w:val="24"/>
          <w:szCs w:val="24"/>
        </w:rPr>
        <w:t xml:space="preserve">Oficio número </w:t>
      </w:r>
      <w:r>
        <w:rPr>
          <w:b/>
          <w:bCs/>
          <w:i w:val="0"/>
          <w:sz w:val="24"/>
          <w:szCs w:val="24"/>
        </w:rPr>
        <w:t xml:space="preserve">TM/CJ/M/1254/2024 </w:t>
      </w:r>
      <w:r>
        <w:rPr>
          <w:i w:val="0"/>
          <w:sz w:val="24"/>
          <w:szCs w:val="24"/>
        </w:rPr>
        <w:t xml:space="preserve">signado por </w:t>
      </w:r>
      <w:r w:rsidR="009F3A4E">
        <w:rPr>
          <w:i w:val="0"/>
          <w:sz w:val="24"/>
          <w:szCs w:val="24"/>
        </w:rPr>
        <w:t xml:space="preserve">la tesorera municipal y dirigido al titular de la unidad de transparencia, de fecha diez de junio de dos mil veinticuatro, en términos generales refiere que el diez de junio de dos mil veinticuatro fue celebrada la vigésima cuarta sesión extraordinaria del comité de transparencia, aprobándose por unanimidad el acuerdo de clasificación de la información en su carácter de reservada número </w:t>
      </w:r>
      <w:r w:rsidR="009F3A4E">
        <w:rPr>
          <w:b/>
          <w:bCs/>
          <w:i w:val="0"/>
          <w:sz w:val="24"/>
          <w:szCs w:val="24"/>
        </w:rPr>
        <w:t xml:space="preserve">CT/NAU/ACTA-EXT-0024/2024/00150. </w:t>
      </w:r>
    </w:p>
    <w:p w14:paraId="6CD355DB" w14:textId="25F2F707" w:rsidR="00123FBB" w:rsidRDefault="009F3A4E" w:rsidP="00175279">
      <w:pPr>
        <w:pStyle w:val="Citas"/>
        <w:ind w:left="0" w:right="0"/>
        <w:rPr>
          <w:i w:val="0"/>
          <w:sz w:val="24"/>
          <w:szCs w:val="24"/>
        </w:rPr>
      </w:pPr>
      <w:r>
        <w:rPr>
          <w:i w:val="0"/>
          <w:sz w:val="24"/>
          <w:szCs w:val="24"/>
        </w:rPr>
        <w:lastRenderedPageBreak/>
        <w:t xml:space="preserve">Se quiere con ello significar que el derecho de acceso a la información pública puede ser restringido excepcionalmente, </w:t>
      </w:r>
      <w:r w:rsidR="000200FB">
        <w:rPr>
          <w:i w:val="0"/>
          <w:sz w:val="24"/>
          <w:szCs w:val="24"/>
        </w:rPr>
        <w:t xml:space="preserve">sin embargo, </w:t>
      </w:r>
      <w:r w:rsidR="00123FBB">
        <w:rPr>
          <w:i w:val="0"/>
          <w:sz w:val="24"/>
          <w:szCs w:val="24"/>
        </w:rPr>
        <w:t xml:space="preserve">en el caso en particular no se remitió acta del comité de transparencia que justifique dicha determinación. </w:t>
      </w:r>
      <w:r w:rsidR="002E5A98">
        <w:rPr>
          <w:i w:val="0"/>
          <w:sz w:val="24"/>
          <w:szCs w:val="24"/>
        </w:rPr>
        <w:t xml:space="preserve">Por el contrario, en términos meramente abstractos, </w:t>
      </w:r>
      <w:r w:rsidR="002E5A98">
        <w:rPr>
          <w:b/>
          <w:bCs/>
          <w:i w:val="0"/>
          <w:sz w:val="24"/>
          <w:szCs w:val="24"/>
        </w:rPr>
        <w:t xml:space="preserve">El Sujeto Obligado </w:t>
      </w:r>
      <w:r w:rsidR="002E5A98">
        <w:rPr>
          <w:i w:val="0"/>
          <w:sz w:val="24"/>
          <w:szCs w:val="24"/>
        </w:rPr>
        <w:t xml:space="preserve">se limitó a señalar que </w:t>
      </w:r>
      <w:r w:rsidR="00123FBB">
        <w:rPr>
          <w:i w:val="0"/>
          <w:sz w:val="24"/>
          <w:szCs w:val="24"/>
        </w:rPr>
        <w:t>el acto administrativo emana de la vigésima cuarta sesión extraordinaria correspondiente al año en curso</w:t>
      </w:r>
      <w:r w:rsidR="002E5A98">
        <w:rPr>
          <w:i w:val="0"/>
          <w:sz w:val="24"/>
          <w:szCs w:val="24"/>
        </w:rPr>
        <w:t>.</w:t>
      </w:r>
      <w:r w:rsidR="00123FBB">
        <w:rPr>
          <w:i w:val="0"/>
          <w:sz w:val="24"/>
          <w:szCs w:val="24"/>
        </w:rPr>
        <w:t xml:space="preserve"> </w:t>
      </w:r>
    </w:p>
    <w:p w14:paraId="1D281E29" w14:textId="186D5E54" w:rsidR="00123FBB" w:rsidRPr="002E5A98" w:rsidRDefault="00123FBB" w:rsidP="00175279">
      <w:pPr>
        <w:pStyle w:val="Citas"/>
        <w:ind w:left="0" w:right="0"/>
        <w:rPr>
          <w:i w:val="0"/>
          <w:sz w:val="24"/>
          <w:szCs w:val="24"/>
        </w:rPr>
      </w:pPr>
      <w:r>
        <w:rPr>
          <w:i w:val="0"/>
          <w:sz w:val="24"/>
          <w:szCs w:val="24"/>
        </w:rPr>
        <w:t xml:space="preserve">Dentro de este marco, </w:t>
      </w:r>
      <w:r w:rsidR="002E5A98">
        <w:rPr>
          <w:i w:val="0"/>
          <w:sz w:val="24"/>
          <w:szCs w:val="24"/>
        </w:rPr>
        <w:t xml:space="preserve">se destaca que para clasificar la información como reservada, se deberá de atender de forma restrictiva el </w:t>
      </w:r>
      <w:r w:rsidR="002C0D39">
        <w:rPr>
          <w:i w:val="0"/>
          <w:sz w:val="24"/>
          <w:szCs w:val="24"/>
        </w:rPr>
        <w:t>catálogo</w:t>
      </w:r>
      <w:r w:rsidR="002E5A98">
        <w:rPr>
          <w:i w:val="0"/>
          <w:sz w:val="24"/>
          <w:szCs w:val="24"/>
        </w:rPr>
        <w:t xml:space="preserve"> de causales previsto en el artículo 140 de la Ley de Transparencia local</w:t>
      </w:r>
      <w:r w:rsidR="0094676D">
        <w:rPr>
          <w:i w:val="0"/>
          <w:sz w:val="24"/>
          <w:szCs w:val="24"/>
        </w:rPr>
        <w:t>. E</w:t>
      </w:r>
      <w:r w:rsidR="002E5A98">
        <w:rPr>
          <w:i w:val="0"/>
          <w:sz w:val="24"/>
          <w:szCs w:val="24"/>
        </w:rPr>
        <w:t xml:space="preserve">n relación con la problemática expuesta esta Ponencia resolutora no advierte la posible actualización de ninguna de ellas, al tratarse de información que encuadra en el interés general y el alcance público. </w:t>
      </w:r>
    </w:p>
    <w:p w14:paraId="4B300B8A" w14:textId="36528C1B" w:rsidR="00123FBB" w:rsidRDefault="002E5A98" w:rsidP="00175279">
      <w:pPr>
        <w:pStyle w:val="Citas"/>
        <w:ind w:left="0" w:right="0"/>
        <w:rPr>
          <w:i w:val="0"/>
          <w:sz w:val="24"/>
          <w:szCs w:val="24"/>
        </w:rPr>
      </w:pPr>
      <w:r>
        <w:rPr>
          <w:i w:val="0"/>
          <w:sz w:val="24"/>
          <w:szCs w:val="24"/>
        </w:rPr>
        <w:t xml:space="preserve">Siendo las cosas así, se arriba a la premisa de que </w:t>
      </w:r>
      <w:r>
        <w:rPr>
          <w:b/>
          <w:bCs/>
          <w:i w:val="0"/>
          <w:sz w:val="24"/>
          <w:szCs w:val="24"/>
        </w:rPr>
        <w:t xml:space="preserve">El Sujeto Obligado </w:t>
      </w:r>
      <w:r w:rsidR="00123FBB">
        <w:rPr>
          <w:i w:val="0"/>
          <w:sz w:val="24"/>
          <w:szCs w:val="24"/>
        </w:rPr>
        <w:t xml:space="preserve">inobservó el contenido del numeral 137 de la Ley de Transparencia local, cuyo contenido dispone a la literalidad lo </w:t>
      </w:r>
      <w:r>
        <w:rPr>
          <w:i w:val="0"/>
          <w:sz w:val="24"/>
          <w:szCs w:val="24"/>
        </w:rPr>
        <w:t>siguiente</w:t>
      </w:r>
      <w:r w:rsidR="00123FBB">
        <w:rPr>
          <w:i w:val="0"/>
          <w:sz w:val="24"/>
          <w:szCs w:val="24"/>
        </w:rPr>
        <w:t>:</w:t>
      </w:r>
    </w:p>
    <w:p w14:paraId="62D740AE" w14:textId="295D3F91" w:rsidR="00123FBB" w:rsidRPr="002E5A98" w:rsidRDefault="002E5A98" w:rsidP="002E5A98">
      <w:pPr>
        <w:pStyle w:val="Citas"/>
        <w:rPr>
          <w:b/>
          <w:bCs/>
        </w:rPr>
      </w:pPr>
      <w:r>
        <w:t>“</w:t>
      </w:r>
      <w:r w:rsidR="00123FBB" w:rsidRPr="002E5A98">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t xml:space="preserve">” </w:t>
      </w:r>
      <w:r>
        <w:rPr>
          <w:b/>
          <w:bCs/>
        </w:rPr>
        <w:t>(Sic)</w:t>
      </w:r>
    </w:p>
    <w:p w14:paraId="776D30F8" w14:textId="77777777" w:rsidR="009F3A4E" w:rsidRDefault="009F3A4E" w:rsidP="00175279">
      <w:pPr>
        <w:pStyle w:val="Citas"/>
        <w:ind w:left="0" w:right="0"/>
        <w:rPr>
          <w:i w:val="0"/>
          <w:sz w:val="24"/>
          <w:szCs w:val="24"/>
        </w:rPr>
      </w:pPr>
    </w:p>
    <w:p w14:paraId="3DF26B7A" w14:textId="159014DA" w:rsidR="002E5A98" w:rsidRDefault="002E5A98" w:rsidP="00175279">
      <w:pPr>
        <w:pStyle w:val="Citas"/>
        <w:ind w:left="0" w:right="0"/>
        <w:rPr>
          <w:i w:val="0"/>
          <w:sz w:val="24"/>
          <w:szCs w:val="24"/>
        </w:rPr>
      </w:pPr>
      <w:r>
        <w:rPr>
          <w:i w:val="0"/>
          <w:sz w:val="24"/>
          <w:szCs w:val="24"/>
        </w:rPr>
        <w:lastRenderedPageBreak/>
        <w:t xml:space="preserve">Hasta aquí lo expuesto, se concluye que la respuesta primigenia no es susceptible de colmar el derecho de acceso a la información pública. </w:t>
      </w:r>
    </w:p>
    <w:p w14:paraId="70AA2472" w14:textId="6E72FB09" w:rsidR="002E5A98" w:rsidRDefault="000E35A6" w:rsidP="00175279">
      <w:pPr>
        <w:pStyle w:val="Citas"/>
        <w:ind w:left="0" w:right="0"/>
        <w:rPr>
          <w:i w:val="0"/>
          <w:sz w:val="24"/>
          <w:szCs w:val="24"/>
        </w:rPr>
      </w:pPr>
      <w:r>
        <w:rPr>
          <w:i w:val="0"/>
          <w:sz w:val="24"/>
          <w:szCs w:val="24"/>
        </w:rPr>
        <w:t xml:space="preserve">Inconforme con la respuesta del </w:t>
      </w:r>
      <w:r>
        <w:rPr>
          <w:b/>
          <w:i w:val="0"/>
          <w:sz w:val="24"/>
          <w:szCs w:val="24"/>
        </w:rPr>
        <w:t xml:space="preserve">Sujeto Obligado, El Recurrente </w:t>
      </w:r>
      <w:r>
        <w:rPr>
          <w:i w:val="0"/>
          <w:sz w:val="24"/>
          <w:szCs w:val="24"/>
        </w:rPr>
        <w:t xml:space="preserve">interpuso recurso de revisión en fecha </w:t>
      </w:r>
      <w:r w:rsidR="002E5A98">
        <w:rPr>
          <w:b/>
          <w:bCs/>
          <w:i w:val="0"/>
          <w:sz w:val="24"/>
          <w:szCs w:val="24"/>
        </w:rPr>
        <w:t xml:space="preserve">veintiuno de junio, </w:t>
      </w:r>
      <w:r w:rsidR="002E5A98">
        <w:rPr>
          <w:i w:val="0"/>
          <w:sz w:val="24"/>
          <w:szCs w:val="24"/>
        </w:rPr>
        <w:t xml:space="preserve">admitiéndose el </w:t>
      </w:r>
      <w:r w:rsidR="002E5A98">
        <w:rPr>
          <w:b/>
          <w:bCs/>
          <w:i w:val="0"/>
          <w:sz w:val="24"/>
          <w:szCs w:val="24"/>
        </w:rPr>
        <w:t xml:space="preserve">veinticinco de junio de dos mil veinticuatro. </w:t>
      </w:r>
      <w:r w:rsidR="002E5A98">
        <w:rPr>
          <w:i w:val="0"/>
          <w:sz w:val="24"/>
          <w:szCs w:val="24"/>
        </w:rPr>
        <w:t>Señalando las siguientes manifestaciones:</w:t>
      </w:r>
    </w:p>
    <w:p w14:paraId="3BE4D8D5" w14:textId="33475D88" w:rsidR="002E5A98" w:rsidRPr="00712E3A" w:rsidRDefault="002E5A98" w:rsidP="002E5A98">
      <w:pPr>
        <w:pStyle w:val="Citas"/>
      </w:pPr>
      <w:r w:rsidRPr="00DF17F2">
        <w:t>“</w:t>
      </w:r>
      <w:r w:rsidRPr="001D0CC8">
        <w:t xml:space="preserve">Por medio del presente escrito vengo a presentar mi inconformidad con la respuesta de solicitud de información pública dada al de la voz por parte del Sujeto Obligado toda vez que no responde a la misma, hecho que acredito mediante OFICIO No.: TM/CJ/M/1254/2024., ASUNTO: RESPUESTA SAIMEX, FOLIO: 00378/NAUCALPA/IP/2024 de fecha 10 de junio del 2024, mismo que exhibo como archivo adjunto uno (1), reservando la información, siendo Responsabilidad del sujetos obligado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 esto sin pasar por alto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1D0CC8">
        <w:lastRenderedPageBreak/>
        <w:t xml:space="preserve">reservada temporalmente por razones de interés público, en los términos de las causas legítimas y estrictamente necesarias previstas por la Ley. Los sujetos obligados deben poner en práctica, políticas y programas de acceso a la información que se apeguen a criterios de publicidad, veracidad, oportunidad, precisión y suficiencia en beneficio de los solicitantes. Toda persona tiene derecho de acceso a la información, sin discriminación, por motivo alguno, que menoscabe o anule la transparencia o acceso a la información pública en posesión del  sujeto obligado, así mismo, no hace mención si aplico la prueba de daño, mismo que debe precisar las razones objetivas por las que la apertura de la información generaría una afectación, La carga de la prueba para justificar toda negativa de acceso a la información, por actualizarse cualquiera de los supuestos de clasificación previstos en esta Ley corresponderá al sujeto obligado; en tal caso deberá fundar y motivar debidamente la clasificación de la información, de conformidad con lo previsto en la Ley. La información solicitada mediante la solicitud de información con NÚMERO DE  FOLIO: 00378/NAUCALPA/IP/2024 , misma que exhibo como archivo adjunto dos (2), versa sobre  la documentación que se exhibió para solicitar cualquiera de los servicios catastrales que presta el ayuntamiento así como cuál fue el procedimiento que se siguió para la asignación de la clave catastral para CONDOMINIO para el predio y/o condominio horizontal ubicado en avenida </w:t>
      </w:r>
      <w:r w:rsidR="00605391">
        <w:t>XXXXXXXXXXXXXXXXXXXXXXXXXXXXXXXXXXXXXXXXXXXXXX</w:t>
      </w:r>
      <w:r w:rsidRPr="001D0CC8">
        <w:t xml:space="preserve"> </w:t>
      </w:r>
      <w:r w:rsidR="00605391">
        <w:t>XXXXXXXXXXXXXXXXXXXXXXXXXXXXXXXX</w:t>
      </w:r>
      <w:r w:rsidRPr="001D0CC8">
        <w:t xml:space="preserve">, Naucalpan de Juárez, Estado de México, </w:t>
      </w:r>
      <w:r w:rsidR="00605391">
        <w:t>XXXX</w:t>
      </w:r>
      <w:bookmarkStart w:id="0" w:name="_GoBack"/>
      <w:bookmarkEnd w:id="0"/>
      <w:r w:rsidRPr="001D0CC8">
        <w:t xml:space="preserve">, siendo dicha información de naturaleza publica, pues con dicho dato se acredita que la actividad concedida se llevará a cabo en el inmueble de registro, para la cual se expidió, está debidamente registrado, aunado al hecho, de que ayuda a identificar la correcta ubicación del mismo; por lo que, no resulta procedente la clasificación, en términos del artículo 143, fracción I de la Ley de </w:t>
      </w:r>
      <w:r w:rsidRPr="001D0CC8">
        <w:lastRenderedPageBreak/>
        <w:t xml:space="preserve">Transparencia y Acceso a la Información Pública del Estado de México y Municipios, de conformidad con el artículo 179, fracción I, del Código Financiero del Estado de México y Municipios,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posiciones identifican el número de lote o predio. Conforme a lo descrito, la clave catastral hace identificable un inmueble y sólo cuando se acompaña del nombre del titular, es dable afirmar que corresponde a información que hace identificable a una persona; sin embargo, en la solicitud de acceso a la información que nos ocupa, es importante dejar claro que en las licencias y permisos de construcción, la clave catastral, si bien puede corresponderá un dato personal, con dicho dato se acredita que el inmueble donde se realizan actividades de mejoras o de construcción, está debidamente registrado, y ayuda a identificar el domicilio particular o parte del patrimonio donde se realiza la actividad. En ese contexto, la publicidad de la clave catastral tiene que ver con la importancia de entregar todos los datos indispensables para poder corroborar tanto su legalidad como el hecho de que corresponde al inmueble donde se autorizó para llevar a cabo una actividad. Este documento, permite verificar que se cumple con las licencias y permisos necesarios, sin que se excedan los límites del permiso autorizado para desempeñar la actividad, por lo que, cualquier persona tiene derecho a ver la versión de las licencias y permisos,  dicha información pública que el que suscribe solicitó se encuentra dentro de las obligaciones de transparencia del Sujeto Obligado, de acuerdo con lo señalado en el artículo 92, fracción XXXII, de la Ley de Transparencia y Acceso a la Información Pública del Estado de México y Municipios, que se transcribe a </w:t>
      </w:r>
      <w:r w:rsidRPr="001D0CC8">
        <w:lastRenderedPageBreak/>
        <w:t xml:space="preserve">continuación: 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I a XXXI, 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de lo anterior, resulta importante destacar que es obligación del Sujeto Obligado, hacer pública la información solicitada por el suscrito; esto quiere decir que, por lo menos para el cumplimiento de las obligaciones establecidas en la Ley de Transparencia y Acceso a la Información Pública del Estado de México y Municipios, el Sujeto Obligado debe tener los documentos que son interés del Particular, 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 el artículo 184 de la Ley de Transparencia y Acceso a la Información Pública del </w:t>
      </w:r>
      <w:r w:rsidRPr="001D0CC8">
        <w:lastRenderedPageBreak/>
        <w:t xml:space="preserve">Estado de México y Municipios prevé que cuando exista una colisión de derechos, se debe aplicar una prueba de interés público con base en elementos de idoneidad, necesidad y proporcionalidad. Para estos efectos, se entenderá por: - Idoneidad: La legitimidad del derecho adoptado como preferente, que sea el adecuado para el logro de un fin constitucionalmente válido o apto para conseguir el fin pretendido; - Necesidad: La falta de un medio alternativo menos lesivo a la apertura de la información, para satisfacer el interés público, y - Proporcionalidad: El equilibrio entre perjuicio y beneficio a favor del interés público, a fin de que la decisión tomada represente un beneficio mayor al perjuicio que podría causar a la población. En ese orden de ideas, resulta procedente analizar cada uno de los elementos referidos, partiendo de que, en el caso concreto, se estima como preferente el derecho de acceso a la información, bajo las consideraciones que se verterán a continuación. Sin embargo, existen dos fines válidos para otorgar la información solicitada así como la clave catastral en la licencia de construcción; los cuales, consisten en transparentar la ubicación del inmueble destinado para llevar a cabo la construcción de diferentes tipos de obras privadas, que pueden llevarse a cabo dentro del territorio municipal. b) Necesidad: Por otra parte, este Instituto observa que también se actualiza el principio de necesidad, ya que no existe un medio menos oneroso para lograr el fin válido, pues se estima necesaria la difusión de la información requerida, pues los fines de las actividades a la construcción, remodelación, reparación y/o modificación de una obra, aunque sea de propiedad particular, puede beneficiar o afectar a un tercero. c) Proporcionalidad en sentido estricto: El sacrificio de la protección de la clave catastral en licencias de construcción así como en los permisos y autorizaciones que se solicitan, es proporcional debido a que no se trata de interferir de manera arbitraria en la vida privada del particular, pues como ya se refirió el destino que tiene un bien inmueble impacta en la </w:t>
      </w:r>
      <w:r w:rsidRPr="001D0CC8">
        <w:lastRenderedPageBreak/>
        <w:t>colectividad, por lo que, para este tipo de licencias, permisos y autorizaciones al existir interés público debe prevalecer la publicidad del nombre.  Fundo y motivo mi petición en lo establecido en los artículos 1,3 fracción XXII,  XXIV, XXXIII, XLI, XLV, 4, 8, 9, 11, 12, 13, 15,16,19, 23 fracción IV, XI, 24 fracción XI, XIX, XXIV, 122, 123, 126, 127, 128, 129 al 140 de la LEY DE TRANSPARENCIA Y ACCESO A LA INFORMACIÓN PÚBLICA DEL ESTADO DE MEXICO</w:t>
      </w:r>
      <w:r w:rsidRPr="00DF17F2">
        <w:t>”</w:t>
      </w:r>
      <w:r w:rsidRPr="00711390">
        <w:t xml:space="preserve"> </w:t>
      </w:r>
      <w:r>
        <w:rPr>
          <w:b/>
        </w:rPr>
        <w:t>(Sic)</w:t>
      </w:r>
    </w:p>
    <w:p w14:paraId="7702D27B" w14:textId="77777777" w:rsidR="00A7648E" w:rsidRDefault="00A7648E" w:rsidP="002E5A98">
      <w:pPr>
        <w:spacing w:line="360" w:lineRule="auto"/>
        <w:ind w:right="851"/>
        <w:jc w:val="both"/>
        <w:rPr>
          <w:rFonts w:ascii="Palatino Linotype" w:hAnsi="Palatino Linotype" w:cs="Arial"/>
          <w:iCs/>
          <w:sz w:val="24"/>
          <w:szCs w:val="24"/>
        </w:rPr>
      </w:pPr>
    </w:p>
    <w:p w14:paraId="7621D3B0" w14:textId="202CF013" w:rsidR="0094676D" w:rsidRDefault="002E5A98" w:rsidP="00A7648E">
      <w:pPr>
        <w:spacing w:line="360" w:lineRule="auto"/>
        <w:jc w:val="both"/>
        <w:rPr>
          <w:rFonts w:ascii="Palatino Linotype" w:hAnsi="Palatino Linotype" w:cs="Arial"/>
          <w:iCs/>
          <w:sz w:val="24"/>
          <w:szCs w:val="24"/>
        </w:rPr>
      </w:pPr>
      <w:r>
        <w:rPr>
          <w:rFonts w:ascii="Palatino Linotype" w:hAnsi="Palatino Linotype" w:cs="Arial"/>
          <w:iCs/>
          <w:sz w:val="24"/>
          <w:szCs w:val="24"/>
        </w:rPr>
        <w:t xml:space="preserve">De forma complementaria, el ahora </w:t>
      </w:r>
      <w:r>
        <w:rPr>
          <w:rFonts w:ascii="Palatino Linotype" w:hAnsi="Palatino Linotype" w:cs="Arial"/>
          <w:b/>
          <w:bCs/>
          <w:iCs/>
          <w:sz w:val="24"/>
          <w:szCs w:val="24"/>
        </w:rPr>
        <w:t xml:space="preserve">Recurrente </w:t>
      </w:r>
      <w:r>
        <w:rPr>
          <w:rFonts w:ascii="Palatino Linotype" w:hAnsi="Palatino Linotype" w:cs="Arial"/>
          <w:iCs/>
          <w:sz w:val="24"/>
          <w:szCs w:val="24"/>
        </w:rPr>
        <w:t>adjuntó los documentos electrónicos</w:t>
      </w:r>
      <w:r w:rsidR="0094676D">
        <w:rPr>
          <w:rFonts w:ascii="Palatino Linotype" w:hAnsi="Palatino Linotype" w:cs="Arial"/>
          <w:iCs/>
          <w:sz w:val="24"/>
          <w:szCs w:val="24"/>
        </w:rPr>
        <w:t xml:space="preserve">: </w:t>
      </w:r>
    </w:p>
    <w:p w14:paraId="704E8E03" w14:textId="7F097C44" w:rsidR="0094676D" w:rsidRDefault="002E5A98" w:rsidP="0094676D">
      <w:pPr>
        <w:pStyle w:val="Prrafodelista"/>
        <w:numPr>
          <w:ilvl w:val="0"/>
          <w:numId w:val="17"/>
        </w:numPr>
        <w:spacing w:line="360" w:lineRule="auto"/>
        <w:ind w:right="851"/>
        <w:jc w:val="both"/>
        <w:rPr>
          <w:rFonts w:ascii="Palatino Linotype" w:hAnsi="Palatino Linotype" w:cs="Arial"/>
          <w:iCs/>
        </w:rPr>
      </w:pPr>
      <w:r w:rsidRPr="0094676D">
        <w:rPr>
          <w:rFonts w:ascii="Palatino Linotype" w:hAnsi="Palatino Linotype" w:cs="Arial"/>
          <w:b/>
          <w:bCs/>
          <w:iCs/>
        </w:rPr>
        <w:t>“597969.pdf”</w:t>
      </w:r>
      <w:r w:rsidR="0094676D">
        <w:rPr>
          <w:rFonts w:ascii="Palatino Linotype" w:hAnsi="Palatino Linotype" w:cs="Arial"/>
          <w:b/>
          <w:bCs/>
          <w:iCs/>
        </w:rPr>
        <w:t xml:space="preserve">: </w:t>
      </w:r>
      <w:r w:rsidR="0094676D">
        <w:rPr>
          <w:rFonts w:ascii="Palatino Linotype" w:hAnsi="Palatino Linotype" w:cs="Arial"/>
          <w:iCs/>
        </w:rPr>
        <w:t xml:space="preserve">Acuse de la solicitud </w:t>
      </w:r>
      <w:r w:rsidR="0094676D">
        <w:rPr>
          <w:rFonts w:ascii="Palatino Linotype" w:hAnsi="Palatino Linotype" w:cs="Arial"/>
          <w:b/>
          <w:bCs/>
          <w:iCs/>
        </w:rPr>
        <w:t xml:space="preserve">00378/NAUCALPA/IP/2024 </w:t>
      </w:r>
      <w:r w:rsidR="0094676D">
        <w:rPr>
          <w:rFonts w:ascii="Palatino Linotype" w:hAnsi="Palatino Linotype" w:cs="Arial"/>
          <w:iCs/>
        </w:rPr>
        <w:t xml:space="preserve">refleja apartados relativos a sujeto obligado, datos del solicitante, domicilio, información solicitada, modalidad de entrega, entre otros. </w:t>
      </w:r>
    </w:p>
    <w:p w14:paraId="2561718D" w14:textId="77777777" w:rsidR="0094676D" w:rsidRPr="0094676D" w:rsidRDefault="0094676D" w:rsidP="0094676D">
      <w:pPr>
        <w:pStyle w:val="Prrafodelista"/>
        <w:spacing w:line="360" w:lineRule="auto"/>
        <w:ind w:left="720" w:right="851"/>
        <w:jc w:val="both"/>
        <w:rPr>
          <w:rFonts w:ascii="Palatino Linotype" w:hAnsi="Palatino Linotype" w:cs="Arial"/>
          <w:iCs/>
        </w:rPr>
      </w:pPr>
    </w:p>
    <w:p w14:paraId="555F45E9" w14:textId="7BA68337" w:rsidR="002E5A98" w:rsidRPr="0094676D" w:rsidRDefault="002E5A98" w:rsidP="0094676D">
      <w:pPr>
        <w:pStyle w:val="Prrafodelista"/>
        <w:numPr>
          <w:ilvl w:val="0"/>
          <w:numId w:val="17"/>
        </w:numPr>
        <w:spacing w:line="360" w:lineRule="auto"/>
        <w:ind w:right="851"/>
        <w:jc w:val="both"/>
        <w:rPr>
          <w:rFonts w:ascii="Palatino Linotype" w:hAnsi="Palatino Linotype" w:cs="Arial"/>
          <w:iCs/>
        </w:rPr>
      </w:pPr>
      <w:r w:rsidRPr="0094676D">
        <w:rPr>
          <w:rFonts w:ascii="Palatino Linotype" w:hAnsi="Palatino Linotype" w:cs="Arial"/>
          <w:b/>
          <w:bCs/>
          <w:iCs/>
        </w:rPr>
        <w:t>“SAIMEX 00378-2024.pdf”</w:t>
      </w:r>
      <w:r w:rsidR="0094676D">
        <w:rPr>
          <w:rFonts w:ascii="Palatino Linotype" w:hAnsi="Palatino Linotype" w:cs="Arial"/>
          <w:b/>
          <w:bCs/>
          <w:iCs/>
        </w:rPr>
        <w:t>:</w:t>
      </w:r>
      <w:r w:rsidR="0094676D">
        <w:rPr>
          <w:rFonts w:ascii="Palatino Linotype" w:hAnsi="Palatino Linotype" w:cs="Arial"/>
          <w:iCs/>
        </w:rPr>
        <w:t xml:space="preserve"> Oficio número </w:t>
      </w:r>
      <w:r w:rsidR="0094676D">
        <w:rPr>
          <w:rFonts w:ascii="Palatino Linotype" w:hAnsi="Palatino Linotype" w:cs="Arial"/>
          <w:b/>
          <w:bCs/>
          <w:iCs/>
        </w:rPr>
        <w:t xml:space="preserve">TM/CJ/M/1254/2024 </w:t>
      </w:r>
      <w:r w:rsidR="0094676D">
        <w:rPr>
          <w:rFonts w:ascii="Palatino Linotype" w:hAnsi="Palatino Linotype" w:cs="Arial"/>
          <w:iCs/>
        </w:rPr>
        <w:t xml:space="preserve">remitido mediante respuesta primigenia. </w:t>
      </w:r>
    </w:p>
    <w:p w14:paraId="70FBFD75" w14:textId="77777777" w:rsidR="002E5A98" w:rsidRPr="002E5A98" w:rsidRDefault="002E5A98" w:rsidP="00175279">
      <w:pPr>
        <w:pStyle w:val="Citas"/>
        <w:ind w:left="0" w:right="0"/>
        <w:rPr>
          <w:i w:val="0"/>
          <w:sz w:val="24"/>
          <w:szCs w:val="24"/>
        </w:rPr>
      </w:pPr>
    </w:p>
    <w:p w14:paraId="698E6E86" w14:textId="2FFDFA0F" w:rsidR="000E35A6" w:rsidRDefault="000E35A6" w:rsidP="000E35A6">
      <w:pPr>
        <w:pStyle w:val="Citas"/>
        <w:ind w:left="0" w:right="0"/>
        <w:rPr>
          <w:i w:val="0"/>
          <w:sz w:val="24"/>
          <w:szCs w:val="24"/>
        </w:rPr>
      </w:pPr>
      <w:r>
        <w:rPr>
          <w:i w:val="0"/>
          <w:sz w:val="24"/>
          <w:szCs w:val="24"/>
        </w:rPr>
        <w:t xml:space="preserve">En virtud de lo anterior, a toda luz se desprende que las razones o motivos de inconformidad esgrimidos por el particular se encuentran encauzados a denotar la actualización de las causales de procedencia previstas en el artículo 179, </w:t>
      </w:r>
      <w:r w:rsidR="0094676D">
        <w:rPr>
          <w:i w:val="0"/>
          <w:sz w:val="24"/>
          <w:szCs w:val="24"/>
        </w:rPr>
        <w:t>fracciones I y II</w:t>
      </w:r>
      <w:r>
        <w:rPr>
          <w:i w:val="0"/>
          <w:sz w:val="24"/>
          <w:szCs w:val="24"/>
        </w:rPr>
        <w:t xml:space="preserve"> de la Ley de Transparencia y Acceso a la Información Pública del Estado de México y Municipios, normatividad que dispone a la literalidad lo siguiente: </w:t>
      </w:r>
    </w:p>
    <w:p w14:paraId="183309FC" w14:textId="77777777" w:rsidR="000E35A6" w:rsidRDefault="000E35A6" w:rsidP="000E35A6">
      <w:pPr>
        <w:pStyle w:val="Citas"/>
      </w:pPr>
      <w:r>
        <w:lastRenderedPageBreak/>
        <w:t xml:space="preserve"> “</w:t>
      </w:r>
      <w:r w:rsidRPr="00615A99">
        <w:t>Artículo 179. El recurso de revisión es un medio de protección que la Ley otorga a los particulares, para hacer valer su derecho de acceso a la información pública, y procederá en contra de las siguientes causas:</w:t>
      </w:r>
    </w:p>
    <w:p w14:paraId="7912D352" w14:textId="77777777" w:rsidR="000E35A6" w:rsidRDefault="000E35A6" w:rsidP="000E35A6">
      <w:pPr>
        <w:pStyle w:val="Citas"/>
      </w:pPr>
      <w:r>
        <w:t xml:space="preserve">I. La negativa a la información solicitada; </w:t>
      </w:r>
    </w:p>
    <w:p w14:paraId="604B89D3" w14:textId="4217E71D" w:rsidR="0094676D" w:rsidRDefault="0094676D" w:rsidP="000E35A6">
      <w:pPr>
        <w:pStyle w:val="Citas"/>
      </w:pPr>
      <w:r w:rsidRPr="0094676D">
        <w:t>II. La clasificación de la información;</w:t>
      </w:r>
    </w:p>
    <w:p w14:paraId="6241FBA1" w14:textId="77777777" w:rsidR="000E35A6" w:rsidRPr="005A4EBE" w:rsidRDefault="000E35A6" w:rsidP="000E35A6">
      <w:pPr>
        <w:pStyle w:val="Citas"/>
        <w:rPr>
          <w:b/>
        </w:rPr>
      </w:pPr>
      <w:r>
        <w:t xml:space="preserve">(…)” </w:t>
      </w:r>
      <w:r>
        <w:rPr>
          <w:b/>
        </w:rPr>
        <w:t>(Sic)</w:t>
      </w:r>
    </w:p>
    <w:p w14:paraId="2767E1F9" w14:textId="77777777" w:rsidR="00ED6AA7" w:rsidRDefault="00ED6AA7" w:rsidP="00175279">
      <w:pPr>
        <w:pStyle w:val="Citas"/>
        <w:ind w:left="0" w:right="0"/>
        <w:rPr>
          <w:i w:val="0"/>
          <w:sz w:val="24"/>
          <w:szCs w:val="24"/>
        </w:rPr>
      </w:pPr>
    </w:p>
    <w:p w14:paraId="6C3AD6E4" w14:textId="2A2160B8" w:rsidR="000E35A6" w:rsidRPr="000E35A6" w:rsidRDefault="000E35A6" w:rsidP="0094676D">
      <w:pPr>
        <w:pStyle w:val="Citas"/>
        <w:ind w:left="0" w:right="0"/>
        <w:rPr>
          <w:b/>
          <w:i w:val="0"/>
          <w:sz w:val="24"/>
          <w:szCs w:val="24"/>
        </w:rPr>
      </w:pPr>
      <w:r>
        <w:rPr>
          <w:i w:val="0"/>
          <w:sz w:val="24"/>
          <w:szCs w:val="24"/>
        </w:rPr>
        <w:t xml:space="preserve">Por otra parte, como fue referido en el antecedente </w:t>
      </w:r>
      <w:r w:rsidR="0094676D">
        <w:rPr>
          <w:i w:val="0"/>
          <w:sz w:val="24"/>
          <w:szCs w:val="24"/>
        </w:rPr>
        <w:t>sexto</w:t>
      </w:r>
      <w:r>
        <w:rPr>
          <w:i w:val="0"/>
          <w:sz w:val="24"/>
          <w:szCs w:val="24"/>
        </w:rPr>
        <w:t xml:space="preserve">, </w:t>
      </w:r>
      <w:r>
        <w:rPr>
          <w:b/>
          <w:i w:val="0"/>
          <w:sz w:val="24"/>
          <w:szCs w:val="24"/>
        </w:rPr>
        <w:t xml:space="preserve">El Sujeto Obligado </w:t>
      </w:r>
      <w:r w:rsidR="0094676D">
        <w:rPr>
          <w:i w:val="0"/>
          <w:sz w:val="24"/>
          <w:szCs w:val="24"/>
        </w:rPr>
        <w:t xml:space="preserve">fue omiso en rendir su informe justificado, es decir, no subsanó la violación al derecho de acceso a la información pública. </w:t>
      </w:r>
    </w:p>
    <w:p w14:paraId="573F921F" w14:textId="42F971FD" w:rsidR="0094676D" w:rsidRDefault="00417C9E" w:rsidP="003F6645">
      <w:pPr>
        <w:pStyle w:val="Citas"/>
        <w:ind w:left="0" w:right="0"/>
        <w:rPr>
          <w:i w:val="0"/>
          <w:sz w:val="24"/>
          <w:szCs w:val="24"/>
        </w:rPr>
      </w:pPr>
      <w:r w:rsidRPr="00417C9E">
        <w:rPr>
          <w:i w:val="0"/>
          <w:sz w:val="24"/>
          <w:szCs w:val="24"/>
        </w:rPr>
        <w:t xml:space="preserve">Con base en lo anteriormente expuesto, resulta procedente ordenar </w:t>
      </w:r>
      <w:r>
        <w:rPr>
          <w:i w:val="0"/>
          <w:sz w:val="24"/>
          <w:szCs w:val="24"/>
        </w:rPr>
        <w:t xml:space="preserve">una búsqueda exhaustiva y razonable, a efecto de hacer entrega </w:t>
      </w:r>
      <w:r w:rsidR="0094676D">
        <w:rPr>
          <w:i w:val="0"/>
          <w:sz w:val="24"/>
          <w:szCs w:val="24"/>
        </w:rPr>
        <w:t>de la siguiente información:</w:t>
      </w:r>
    </w:p>
    <w:p w14:paraId="11F9B30B" w14:textId="77777777" w:rsidR="0094676D" w:rsidRPr="001D0CC8" w:rsidRDefault="0094676D" w:rsidP="0094676D">
      <w:pPr>
        <w:spacing w:before="240" w:line="360" w:lineRule="auto"/>
        <w:jc w:val="both"/>
        <w:rPr>
          <w:rFonts w:ascii="Palatino Linotype" w:hAnsi="Palatino Linotype"/>
          <w:b/>
          <w:bCs/>
          <w:sz w:val="24"/>
          <w:szCs w:val="24"/>
        </w:rPr>
      </w:pPr>
      <w:r w:rsidRPr="001D0CC8">
        <w:rPr>
          <w:rFonts w:ascii="Palatino Linotype" w:hAnsi="Palatino Linotype"/>
          <w:b/>
          <w:bCs/>
          <w:sz w:val="24"/>
          <w:szCs w:val="24"/>
        </w:rPr>
        <w:t>Respecto del condominio y/o condominio horizontal referido en la solicitud de información 00378/NAUCALPA/IP/2024</w:t>
      </w:r>
      <w:r>
        <w:rPr>
          <w:rFonts w:ascii="Palatino Linotype" w:hAnsi="Palatino Linotype"/>
          <w:b/>
          <w:bCs/>
          <w:sz w:val="24"/>
          <w:szCs w:val="24"/>
        </w:rPr>
        <w:t xml:space="preserve">: </w:t>
      </w:r>
    </w:p>
    <w:p w14:paraId="335664E5" w14:textId="77777777" w:rsidR="0094676D" w:rsidRDefault="0094676D" w:rsidP="0094676D">
      <w:pPr>
        <w:pStyle w:val="Prrafodelista"/>
        <w:numPr>
          <w:ilvl w:val="0"/>
          <w:numId w:val="18"/>
        </w:numPr>
        <w:spacing w:before="240" w:line="360" w:lineRule="auto"/>
        <w:jc w:val="both"/>
        <w:rPr>
          <w:rFonts w:ascii="Palatino Linotype" w:hAnsi="Palatino Linotype"/>
        </w:rPr>
      </w:pPr>
      <w:r>
        <w:rPr>
          <w:rFonts w:ascii="Palatino Linotype" w:hAnsi="Palatino Linotype"/>
        </w:rPr>
        <w:t xml:space="preserve">El o los documentos exhibidos para solicitar los servicios catastrales prestados por el Ayuntamiento de Naucalpan de Juárez (fusión, </w:t>
      </w:r>
      <w:r w:rsidRPr="001D0CC8">
        <w:rPr>
          <w:rFonts w:ascii="Palatino Linotype" w:hAnsi="Palatino Linotype"/>
        </w:rPr>
        <w:t>subdivisión, lotificación, relotificación, conjunto urbano, afectación o modificación de linderos</w:t>
      </w:r>
      <w:r>
        <w:rPr>
          <w:rFonts w:ascii="Palatino Linotype" w:hAnsi="Palatino Linotype"/>
        </w:rPr>
        <w:t>,</w:t>
      </w:r>
      <w:r w:rsidRPr="001D0CC8">
        <w:rPr>
          <w:rFonts w:ascii="Palatino Linotype" w:hAnsi="Palatino Linotype"/>
        </w:rPr>
        <w:t xml:space="preserve"> cambio de uso de suelo; </w:t>
      </w:r>
      <w:r>
        <w:rPr>
          <w:rFonts w:ascii="Palatino Linotype" w:hAnsi="Palatino Linotype"/>
        </w:rPr>
        <w:t xml:space="preserve">modificación de superficie de terreno o construcción, </w:t>
      </w:r>
      <w:r w:rsidRPr="001D0CC8">
        <w:rPr>
          <w:rFonts w:ascii="Palatino Linotype" w:hAnsi="Palatino Linotype"/>
        </w:rPr>
        <w:t>otros</w:t>
      </w:r>
      <w:r>
        <w:rPr>
          <w:rFonts w:ascii="Palatino Linotype" w:hAnsi="Palatino Linotype"/>
        </w:rPr>
        <w:t xml:space="preserve">), del periodo comprendido del nueve de mayo de dos mil veintitrés al nueve de mayo de dos mil veinticuatro. </w:t>
      </w:r>
    </w:p>
    <w:p w14:paraId="14696C00" w14:textId="77777777" w:rsidR="0094676D" w:rsidRDefault="0094676D" w:rsidP="0094676D">
      <w:pPr>
        <w:pStyle w:val="Prrafodelista"/>
        <w:numPr>
          <w:ilvl w:val="0"/>
          <w:numId w:val="18"/>
        </w:numPr>
        <w:spacing w:before="240" w:line="360" w:lineRule="auto"/>
        <w:jc w:val="both"/>
        <w:rPr>
          <w:rFonts w:ascii="Palatino Linotype" w:hAnsi="Palatino Linotype"/>
        </w:rPr>
      </w:pPr>
      <w:r>
        <w:rPr>
          <w:rFonts w:ascii="Palatino Linotype" w:hAnsi="Palatino Linotype"/>
        </w:rPr>
        <w:lastRenderedPageBreak/>
        <w:t xml:space="preserve">El o los documentos donde consten las autorizaciones de servicios catastrales prestados por el Ayuntamiento de Naucalpan de Juárez (fusión, </w:t>
      </w:r>
      <w:r w:rsidRPr="001D0CC8">
        <w:rPr>
          <w:rFonts w:ascii="Palatino Linotype" w:hAnsi="Palatino Linotype"/>
        </w:rPr>
        <w:t>subdivisión, lotificación, relotificación, conjunto urbano, afectación o modificación de linderos</w:t>
      </w:r>
      <w:r>
        <w:rPr>
          <w:rFonts w:ascii="Palatino Linotype" w:hAnsi="Palatino Linotype"/>
        </w:rPr>
        <w:t>,</w:t>
      </w:r>
      <w:r w:rsidRPr="001D0CC8">
        <w:rPr>
          <w:rFonts w:ascii="Palatino Linotype" w:hAnsi="Palatino Linotype"/>
        </w:rPr>
        <w:t xml:space="preserve"> cambio de uso de suelo; </w:t>
      </w:r>
      <w:r>
        <w:rPr>
          <w:rFonts w:ascii="Palatino Linotype" w:hAnsi="Palatino Linotype"/>
        </w:rPr>
        <w:t xml:space="preserve">modificación de superficie de terreno o construcción, </w:t>
      </w:r>
      <w:r w:rsidRPr="001D0CC8">
        <w:rPr>
          <w:rFonts w:ascii="Palatino Linotype" w:hAnsi="Palatino Linotype"/>
        </w:rPr>
        <w:t>otros</w:t>
      </w:r>
      <w:r>
        <w:rPr>
          <w:rFonts w:ascii="Palatino Linotype" w:hAnsi="Palatino Linotype"/>
        </w:rPr>
        <w:t xml:space="preserve">), del periodo comprendido del nueve de mayo de dos mil veintitrés al nueve de mayo de dos mil veinticuatro. </w:t>
      </w:r>
    </w:p>
    <w:p w14:paraId="2B61086E" w14:textId="77777777" w:rsidR="0094676D" w:rsidRPr="001D0CC8" w:rsidRDefault="0094676D" w:rsidP="0094676D">
      <w:pPr>
        <w:pStyle w:val="Prrafodelista"/>
        <w:numPr>
          <w:ilvl w:val="0"/>
          <w:numId w:val="18"/>
        </w:numPr>
        <w:spacing w:before="240" w:line="360" w:lineRule="auto"/>
        <w:jc w:val="both"/>
        <w:rPr>
          <w:rFonts w:ascii="Palatino Linotype" w:hAnsi="Palatino Linotype"/>
        </w:rPr>
      </w:pPr>
      <w:r>
        <w:rPr>
          <w:rFonts w:ascii="Palatino Linotype" w:hAnsi="Palatino Linotype"/>
        </w:rPr>
        <w:t xml:space="preserve">El o los documentos donde conste el procedimiento que se siguió para la asignación de la clave catastral para condominio y/o condominio horizontal,  del periodo comprendido del nueve de mayo de dos mil veintitrés al nueve de mayo de dos mil veinticuatro. </w:t>
      </w:r>
    </w:p>
    <w:p w14:paraId="1112BB9A" w14:textId="77777777" w:rsidR="0094676D" w:rsidRDefault="0094676D" w:rsidP="003F6645">
      <w:pPr>
        <w:pStyle w:val="Citas"/>
        <w:ind w:left="0" w:right="0"/>
        <w:rPr>
          <w:i w:val="0"/>
          <w:sz w:val="24"/>
          <w:szCs w:val="24"/>
          <w:lang w:val="es-ES"/>
        </w:rPr>
      </w:pPr>
    </w:p>
    <w:p w14:paraId="43352CAB" w14:textId="10862705" w:rsidR="002C0D39" w:rsidRPr="002C0D39" w:rsidRDefault="002C0D39" w:rsidP="003F6645">
      <w:pPr>
        <w:pStyle w:val="Citas"/>
        <w:ind w:left="0" w:right="0"/>
        <w:rPr>
          <w:b/>
          <w:bCs/>
          <w:i w:val="0"/>
          <w:sz w:val="24"/>
          <w:szCs w:val="24"/>
          <w:lang w:val="es-ES"/>
        </w:rPr>
      </w:pPr>
      <w:r w:rsidRPr="002C0D39">
        <w:rPr>
          <w:b/>
          <w:bCs/>
          <w:i w:val="0"/>
          <w:sz w:val="24"/>
          <w:szCs w:val="24"/>
          <w:lang w:val="es-ES"/>
        </w:rPr>
        <w:t xml:space="preserve">DE LA VERSIÓN PÚBLICA </w:t>
      </w:r>
    </w:p>
    <w:p w14:paraId="78B5260D" w14:textId="77777777" w:rsidR="00AF15FF" w:rsidRDefault="00AF15FF" w:rsidP="00AF15FF">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881B8C2" w14:textId="77777777" w:rsidR="00AF15FF" w:rsidRPr="00E60DEF" w:rsidRDefault="00AF15FF" w:rsidP="00AF15FF">
      <w:pPr>
        <w:spacing w:before="240" w:line="360" w:lineRule="auto"/>
        <w:ind w:left="851" w:right="851"/>
        <w:jc w:val="both"/>
        <w:rPr>
          <w:rFonts w:ascii="Palatino Linotype" w:hAnsi="Palatino Linotype" w:cs="Arial"/>
          <w:i/>
        </w:rPr>
      </w:pPr>
      <w:r w:rsidRPr="00E60DEF">
        <w:rPr>
          <w:rFonts w:ascii="Palatino Linotype" w:hAnsi="Palatino Linotype" w:cs="Arial"/>
          <w:i/>
        </w:rPr>
        <w:lastRenderedPageBreak/>
        <w:t>“Artículo 3. Para los efectos de la presente Ley se entenderá por:</w:t>
      </w:r>
    </w:p>
    <w:p w14:paraId="0399C405" w14:textId="77777777" w:rsidR="00AF15FF" w:rsidRPr="00E60DEF" w:rsidRDefault="00AF15FF" w:rsidP="00AF15FF">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D01A99E" w14:textId="77777777" w:rsidR="00AF15FF" w:rsidRPr="001571EB" w:rsidRDefault="00AF15FF" w:rsidP="00AF15FF">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3D4D5EA" w14:textId="77777777" w:rsidR="00AF15FF" w:rsidRPr="001571EB" w:rsidRDefault="00AF15FF" w:rsidP="00AF15FF">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71F1860" w14:textId="77777777" w:rsidR="00AF15FF" w:rsidRPr="001571EB" w:rsidRDefault="00AF15FF" w:rsidP="00AF15FF">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EF6CE5A" w14:textId="77777777" w:rsidR="00AF15FF" w:rsidRPr="001571EB" w:rsidRDefault="00AF15FF" w:rsidP="00AF15FF">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7D57245D" w14:textId="77777777" w:rsidR="00AF15FF" w:rsidRPr="001571EB" w:rsidRDefault="00AF15FF" w:rsidP="00AF15FF">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31B038A" w14:textId="77777777" w:rsidR="00AF15FF" w:rsidRPr="001571EB" w:rsidRDefault="00AF15FF" w:rsidP="00AF15FF">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0E639370" w14:textId="77777777" w:rsidR="00AF15FF" w:rsidRPr="001571EB" w:rsidRDefault="00AF15FF" w:rsidP="00AF15FF">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D1BDC0C" w14:textId="77777777" w:rsidR="00AF15FF" w:rsidRPr="00E60DEF" w:rsidRDefault="00AF15FF" w:rsidP="00AF15FF">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0D58037" w14:textId="77777777" w:rsidR="00AF15FF" w:rsidRPr="001571EB" w:rsidRDefault="00AF15FF" w:rsidP="00AF15FF">
      <w:pPr>
        <w:spacing w:before="240" w:line="360" w:lineRule="auto"/>
        <w:ind w:left="851" w:right="851"/>
        <w:jc w:val="both"/>
        <w:rPr>
          <w:rFonts w:ascii="Palatino Linotype" w:hAnsi="Palatino Linotype" w:cs="Arial"/>
          <w:b/>
          <w:i/>
        </w:rPr>
      </w:pPr>
      <w:r>
        <w:rPr>
          <w:rFonts w:ascii="Palatino Linotype" w:hAnsi="Palatino Linotype" w:cs="Arial"/>
          <w:b/>
          <w:i/>
        </w:rPr>
        <w:t>(…)</w:t>
      </w:r>
    </w:p>
    <w:p w14:paraId="29A49F3D" w14:textId="77777777" w:rsidR="00AF15FF" w:rsidRDefault="00AF15FF" w:rsidP="00AF15FF">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w:t>
      </w:r>
      <w:r w:rsidRPr="00E60DEF">
        <w:rPr>
          <w:rFonts w:ascii="Palatino Linotype" w:hAnsi="Palatino Linotype" w:cs="Arial"/>
          <w:i/>
        </w:rPr>
        <w:lastRenderedPageBreak/>
        <w:t>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2B7DB829" w14:textId="77777777" w:rsidR="00AF15FF" w:rsidRDefault="00AF15FF" w:rsidP="00AF15FF">
      <w:pPr>
        <w:spacing w:after="0" w:line="360" w:lineRule="auto"/>
        <w:ind w:right="51"/>
        <w:jc w:val="both"/>
        <w:rPr>
          <w:rFonts w:ascii="Palatino Linotype" w:eastAsia="Arial Unicode MS" w:hAnsi="Palatino Linotype" w:cs="Arial"/>
          <w:sz w:val="24"/>
          <w:szCs w:val="24"/>
        </w:rPr>
      </w:pPr>
    </w:p>
    <w:p w14:paraId="110EBDEF" w14:textId="77777777" w:rsidR="00AF15FF" w:rsidRPr="001571EB" w:rsidRDefault="00AF15FF" w:rsidP="00AF15FF">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w:t>
      </w:r>
      <w:r w:rsidRPr="009738E1">
        <w:rPr>
          <w:rFonts w:ascii="Palatino Linotype" w:eastAsia="Arial Unicode MS" w:hAnsi="Palatino Linotype" w:cs="Arial"/>
          <w:sz w:val="24"/>
          <w:szCs w:val="24"/>
        </w:rPr>
        <w:t xml:space="preserve">poner a disposición la información correspondiente debe considerarse que tiene carácter de confidencial </w:t>
      </w:r>
      <w:r w:rsidRPr="009738E1">
        <w:rPr>
          <w:rFonts w:ascii="Palatino Linotype" w:hAnsi="Palatino Linotype" w:cs="Arial"/>
          <w:sz w:val="24"/>
          <w:szCs w:val="24"/>
        </w:rPr>
        <w:t xml:space="preserve">el Registro Federal de Contribuyentes </w:t>
      </w:r>
      <w:r w:rsidRPr="009738E1">
        <w:rPr>
          <w:rFonts w:ascii="Palatino Linotype" w:hAnsi="Palatino Linotype" w:cs="Arial"/>
          <w:b/>
          <w:bCs/>
          <w:sz w:val="24"/>
          <w:szCs w:val="24"/>
          <w:u w:val="single"/>
        </w:rPr>
        <w:t>(RFC) que no sean de proveedores,</w:t>
      </w:r>
      <w:r w:rsidRPr="009738E1">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w:t>
      </w:r>
      <w:r w:rsidRPr="001571EB">
        <w:rPr>
          <w:rFonts w:ascii="Palatino Linotype" w:hAnsi="Palatino Linotype" w:cs="Arial"/>
          <w:sz w:val="24"/>
          <w:szCs w:val="24"/>
        </w:rPr>
        <w:t xml:space="preserve">  o aquellos que no reciban recursos públicos, entre otros considerados como datos personales en términos de la normatividad aplicable.</w:t>
      </w:r>
    </w:p>
    <w:p w14:paraId="7D9946C6" w14:textId="77777777" w:rsidR="00AF15FF" w:rsidRPr="001571EB" w:rsidRDefault="00AF15FF" w:rsidP="00AF15FF">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C3D08AC" w14:textId="77777777" w:rsidR="00AF15FF" w:rsidRPr="001571EB" w:rsidRDefault="00AF15FF" w:rsidP="00AF15FF">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C829A4E" w14:textId="77777777" w:rsidR="00AF15FF" w:rsidRDefault="00AF15FF" w:rsidP="00AF15FF">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9668ADC" w14:textId="77777777" w:rsidR="00AF15FF" w:rsidRDefault="00AF15FF" w:rsidP="00AF15FF">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7DEA02AB" w14:textId="77777777" w:rsidR="00AF15FF" w:rsidRPr="001571EB" w:rsidRDefault="00AF15FF" w:rsidP="00AF15FF">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57557C7" w14:textId="77777777" w:rsidR="00AF15FF" w:rsidRPr="001571EB" w:rsidRDefault="00AF15FF" w:rsidP="00AF15FF">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1B5384C" w14:textId="77777777" w:rsidR="00AF15FF" w:rsidRPr="001571EB" w:rsidRDefault="00AF15FF" w:rsidP="00AF15F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03D8EA2" w14:textId="77777777" w:rsidR="00AF15FF" w:rsidRPr="001571EB" w:rsidRDefault="00AF15FF" w:rsidP="00AF15F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4959A38" w14:textId="77777777" w:rsidR="00AF15FF" w:rsidRPr="00EE0180" w:rsidRDefault="00AF15FF" w:rsidP="00AF15FF">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3A4A271E" w14:textId="77777777" w:rsidR="00AF15FF" w:rsidRPr="001571EB" w:rsidRDefault="00AF15FF" w:rsidP="00AF15FF">
      <w:pPr>
        <w:autoSpaceDE w:val="0"/>
        <w:autoSpaceDN w:val="0"/>
        <w:adjustRightInd w:val="0"/>
        <w:spacing w:before="120" w:after="120"/>
        <w:ind w:left="567" w:right="850"/>
        <w:jc w:val="both"/>
        <w:rPr>
          <w:rFonts w:ascii="Palatino Linotype" w:eastAsia="Times New Roman" w:hAnsi="Palatino Linotype" w:cs="Arial"/>
          <w:i/>
        </w:rPr>
      </w:pPr>
    </w:p>
    <w:p w14:paraId="49CB7C65" w14:textId="77777777" w:rsidR="00AF15FF" w:rsidRPr="009738E1" w:rsidRDefault="00AF15FF" w:rsidP="00AF15FF">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xml:space="preserve">, la cual es única e irrepetible y determina </w:t>
      </w:r>
      <w:r w:rsidRPr="009738E1">
        <w:rPr>
          <w:rFonts w:ascii="Palatino Linotype" w:hAnsi="Palatino Linotype" w:cs="Arial"/>
          <w:sz w:val="24"/>
          <w:szCs w:val="24"/>
          <w:lang w:eastAsia="es-MX"/>
        </w:rPr>
        <w:t>justamente la identificación de dicha persona para efectos fiscales, por lo éste constituye un dato personal que concierne a una persona física identificada e identificable.</w:t>
      </w:r>
    </w:p>
    <w:p w14:paraId="1E700802" w14:textId="77777777" w:rsidR="00AF15FF" w:rsidRPr="009738E1" w:rsidRDefault="00AF15FF" w:rsidP="00AF15FF">
      <w:pPr>
        <w:spacing w:before="240" w:after="240" w:line="360" w:lineRule="auto"/>
        <w:jc w:val="both"/>
        <w:rPr>
          <w:rFonts w:ascii="Palatino Linotype" w:hAnsi="Palatino Linotype" w:cs="Arial"/>
          <w:sz w:val="24"/>
          <w:szCs w:val="24"/>
          <w:lang w:eastAsia="es-MX"/>
        </w:rPr>
      </w:pPr>
      <w:r w:rsidRPr="009738E1">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w:t>
      </w:r>
      <w:r w:rsidRPr="009738E1">
        <w:rPr>
          <w:rFonts w:ascii="Palatino Linotype" w:hAnsi="Palatino Linotype" w:cs="Arial"/>
          <w:sz w:val="24"/>
          <w:szCs w:val="24"/>
          <w:lang w:eastAsia="es-MX"/>
        </w:rPr>
        <w:lastRenderedPageBreak/>
        <w:t xml:space="preserve">fronteras conceptuales del interés general y el alcance público, al tratarse de un elemento que, en el caso en particular abona a la transparencia y rendición de cuentas. </w:t>
      </w:r>
    </w:p>
    <w:p w14:paraId="4AEFFBFC" w14:textId="77777777" w:rsidR="00AF15FF" w:rsidRPr="009738E1" w:rsidRDefault="00AF15FF" w:rsidP="00AF15FF">
      <w:pPr>
        <w:spacing w:before="240" w:after="240" w:line="360" w:lineRule="auto"/>
        <w:jc w:val="both"/>
        <w:rPr>
          <w:rFonts w:ascii="Palatino Linotype" w:hAnsi="Palatino Linotype" w:cs="Arial"/>
          <w:sz w:val="24"/>
          <w:szCs w:val="24"/>
          <w:lang w:eastAsia="es-MX"/>
        </w:rPr>
      </w:pPr>
      <w:r w:rsidRPr="009738E1">
        <w:rPr>
          <w:rFonts w:ascii="Palatino Linotype" w:hAnsi="Palatino Linotype" w:cs="Arial"/>
          <w:sz w:val="24"/>
          <w:szCs w:val="24"/>
          <w:lang w:eastAsia="es-MX"/>
        </w:rPr>
        <w:t xml:space="preserve">Robustece lo anterior, el criterio </w:t>
      </w:r>
      <w:r w:rsidRPr="009738E1">
        <w:rPr>
          <w:rFonts w:ascii="Palatino Linotype" w:hAnsi="Palatino Linotype" w:cs="Arial"/>
          <w:b/>
          <w:bCs/>
          <w:sz w:val="24"/>
          <w:szCs w:val="24"/>
          <w:lang w:eastAsia="es-MX"/>
        </w:rPr>
        <w:t xml:space="preserve">04/21 </w:t>
      </w:r>
      <w:r w:rsidRPr="009738E1">
        <w:rPr>
          <w:rFonts w:ascii="Palatino Linotype" w:hAnsi="Palatino Linotype" w:cs="Arial"/>
          <w:sz w:val="24"/>
          <w:szCs w:val="24"/>
          <w:lang w:eastAsia="es-MX"/>
        </w:rPr>
        <w:t xml:space="preserve">emitido por el Órgano Garante Nacional, cuyo rubro y texto disponen a la literalidad lo siguiente: </w:t>
      </w:r>
    </w:p>
    <w:p w14:paraId="73A2C26B" w14:textId="77777777" w:rsidR="00AF15FF" w:rsidRPr="009738E1" w:rsidRDefault="00AF15FF" w:rsidP="00AF15FF">
      <w:pPr>
        <w:pStyle w:val="Citas"/>
        <w:rPr>
          <w:b/>
          <w:sz w:val="24"/>
          <w:szCs w:val="24"/>
        </w:rPr>
      </w:pPr>
      <w:r w:rsidRPr="009738E1">
        <w:rPr>
          <w:b/>
          <w:sz w:val="24"/>
          <w:szCs w:val="24"/>
        </w:rPr>
        <w:t xml:space="preserve">“REGISTRO FEDERAL DE CONTRIBUYENTES (RFC) DE PERSONAS FÍSICAS PROVEEDORES O CONTRATISTAS. </w:t>
      </w:r>
    </w:p>
    <w:p w14:paraId="460974D6" w14:textId="77777777" w:rsidR="00AF15FF" w:rsidRPr="009738E1" w:rsidRDefault="00AF15FF" w:rsidP="00AF15FF">
      <w:pPr>
        <w:pStyle w:val="Citas"/>
        <w:rPr>
          <w:color w:val="000000"/>
        </w:rPr>
      </w:pPr>
      <w:r w:rsidRPr="009738E1">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73D41A38" w14:textId="77777777" w:rsidR="00AF15FF" w:rsidRPr="009738E1" w:rsidRDefault="00AF15FF" w:rsidP="00AF15FF">
      <w:pPr>
        <w:pStyle w:val="Citas"/>
        <w:rPr>
          <w:b/>
        </w:rPr>
      </w:pPr>
      <w:r w:rsidRPr="009738E1">
        <w:rPr>
          <w:b/>
        </w:rPr>
        <w:t>Precedentes:</w:t>
      </w:r>
    </w:p>
    <w:p w14:paraId="2AFEC670" w14:textId="77777777" w:rsidR="00AF15FF" w:rsidRPr="009738E1" w:rsidRDefault="00AF15FF" w:rsidP="00AF15FF">
      <w:pPr>
        <w:pStyle w:val="Citas"/>
        <w:numPr>
          <w:ilvl w:val="0"/>
          <w:numId w:val="23"/>
        </w:numPr>
      </w:pPr>
      <w:r w:rsidRPr="009738E1">
        <w:t>Acceso a la información Pública. RRA 3639/19.</w:t>
      </w:r>
      <w:r w:rsidRPr="009738E1">
        <w:rPr>
          <w:b/>
        </w:rPr>
        <w:t xml:space="preserve"> </w:t>
      </w:r>
      <w:r w:rsidRPr="009738E1">
        <w:t xml:space="preserve">Sesión del 10 de julio de 2019. Votación por mayoría. Con voto disidente del Comisionado Joel Salas Suárez. Instituto para la Protección del Ahorro Bancario. Comisionada Ponente María Patricia </w:t>
      </w:r>
      <w:proofErr w:type="spellStart"/>
      <w:r w:rsidRPr="009738E1">
        <w:t>Kurczyn</w:t>
      </w:r>
      <w:proofErr w:type="spellEnd"/>
      <w:r w:rsidRPr="009738E1">
        <w:t xml:space="preserve"> Villalobos.</w:t>
      </w:r>
    </w:p>
    <w:p w14:paraId="0B0F8657" w14:textId="77777777" w:rsidR="00AF15FF" w:rsidRPr="009738E1" w:rsidRDefault="00AF15FF" w:rsidP="00AF15FF">
      <w:pPr>
        <w:pStyle w:val="Citas"/>
        <w:numPr>
          <w:ilvl w:val="0"/>
          <w:numId w:val="23"/>
        </w:numPr>
        <w:rPr>
          <w:b/>
        </w:rPr>
      </w:pPr>
      <w:r w:rsidRPr="009738E1">
        <w:t>Acceso a la información Pública. RRA 7709/19.</w:t>
      </w:r>
      <w:r w:rsidRPr="009738E1">
        <w:rPr>
          <w:b/>
        </w:rPr>
        <w:t xml:space="preserve"> </w:t>
      </w:r>
      <w:r w:rsidRPr="009738E1">
        <w:t>Sesión del 13 de agosto de 2019. Votación por unanimidad. Con voto particular de la Comisionada Josefina Román Vergara. Suprema Corte de Justicia de la Nación. Comisionada Ponente Josefina Román Vergara.</w:t>
      </w:r>
    </w:p>
    <w:p w14:paraId="6DA16E4D" w14:textId="77777777" w:rsidR="00AF15FF" w:rsidRPr="009738E1" w:rsidRDefault="00AF15FF" w:rsidP="00AF15FF">
      <w:pPr>
        <w:pStyle w:val="Citas"/>
        <w:numPr>
          <w:ilvl w:val="0"/>
          <w:numId w:val="23"/>
        </w:numPr>
        <w:rPr>
          <w:color w:val="000000"/>
        </w:rPr>
      </w:pPr>
      <w:r w:rsidRPr="009738E1">
        <w:t>Acceso a la información Pública. RRA 5774/19.</w:t>
      </w:r>
      <w:r w:rsidRPr="009738E1">
        <w:rPr>
          <w:b/>
        </w:rPr>
        <w:t xml:space="preserve"> </w:t>
      </w:r>
      <w:r w:rsidRPr="009738E1">
        <w:t xml:space="preserve">Sesión del 21 de agosto de 2019. Votación por mayoría. Con voto disidente del Comisionado Joel Salas </w:t>
      </w:r>
      <w:r w:rsidRPr="009738E1">
        <w:lastRenderedPageBreak/>
        <w:t xml:space="preserve">Suárez. Secretaría de Marina. Comisionada Ponente Blanca Lilia Ibarra Cadena.” </w:t>
      </w:r>
      <w:r w:rsidRPr="009738E1">
        <w:rPr>
          <w:b/>
          <w:bCs/>
        </w:rPr>
        <w:t>(Sic)</w:t>
      </w:r>
    </w:p>
    <w:p w14:paraId="651170BD" w14:textId="77777777" w:rsidR="00AF15FF" w:rsidRPr="009738E1" w:rsidRDefault="00AF15FF" w:rsidP="00AF15FF">
      <w:pPr>
        <w:spacing w:before="240" w:after="240" w:line="360" w:lineRule="auto"/>
        <w:jc w:val="both"/>
        <w:rPr>
          <w:rFonts w:ascii="Palatino Linotype" w:hAnsi="Palatino Linotype" w:cs="Arial"/>
          <w:sz w:val="24"/>
          <w:szCs w:val="24"/>
          <w:lang w:eastAsia="es-MX"/>
        </w:rPr>
      </w:pPr>
    </w:p>
    <w:p w14:paraId="691EEABC" w14:textId="77777777" w:rsidR="00AF15FF" w:rsidRPr="001571EB" w:rsidRDefault="00AF15FF" w:rsidP="00AF15FF">
      <w:pPr>
        <w:spacing w:before="240" w:after="240" w:line="360" w:lineRule="auto"/>
        <w:jc w:val="both"/>
        <w:rPr>
          <w:rFonts w:ascii="Palatino Linotype" w:eastAsia="Calibri" w:hAnsi="Palatino Linotype" w:cs="Arial"/>
          <w:sz w:val="24"/>
          <w:szCs w:val="24"/>
          <w:lang w:eastAsia="es-MX"/>
        </w:rPr>
      </w:pPr>
      <w:r w:rsidRPr="009738E1">
        <w:rPr>
          <w:rFonts w:ascii="Palatino Linotype" w:hAnsi="Palatino Linotype" w:cs="Arial"/>
          <w:sz w:val="24"/>
          <w:szCs w:val="24"/>
          <w:lang w:eastAsia="es-MX"/>
        </w:rPr>
        <w:t xml:space="preserve">En cuanto a la </w:t>
      </w:r>
      <w:r w:rsidRPr="009738E1">
        <w:rPr>
          <w:rFonts w:ascii="Palatino Linotype" w:hAnsi="Palatino Linotype" w:cs="Arial"/>
          <w:sz w:val="24"/>
          <w:szCs w:val="24"/>
        </w:rPr>
        <w:t xml:space="preserve">Clave Única de Registro de Población (CURP) en virtud de que éste se </w:t>
      </w:r>
      <w:r w:rsidRPr="009738E1">
        <w:rPr>
          <w:rFonts w:ascii="Palatino Linotype" w:eastAsia="Calibri" w:hAnsi="Palatino Linotype" w:cs="Arial"/>
          <w:sz w:val="24"/>
          <w:szCs w:val="24"/>
          <w:lang w:eastAsia="es-MX"/>
        </w:rPr>
        <w:t>integra por datos personales que únicamente</w:t>
      </w:r>
      <w:r w:rsidRPr="001571EB">
        <w:rPr>
          <w:rFonts w:ascii="Palatino Linotype" w:eastAsia="Calibri" w:hAnsi="Palatino Linotype" w:cs="Arial"/>
          <w:sz w:val="24"/>
          <w:szCs w:val="24"/>
          <w:lang w:eastAsia="es-MX"/>
        </w:rPr>
        <w:t xml:space="preserve"> le conciernen a un particular como son su fecha de nacimiento, su nombre, sus apellidos y su lugar de nacimiento; información que permite distinguirlo del resto de los habitantes, se considera que es de carácter confidencial.</w:t>
      </w:r>
    </w:p>
    <w:p w14:paraId="62201399" w14:textId="77777777" w:rsidR="00AF15FF" w:rsidRDefault="00AF15FF" w:rsidP="00AF15FF">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39CC49B" w14:textId="77777777" w:rsidR="00AF15FF" w:rsidRDefault="00AF15FF" w:rsidP="00AF15FF">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302F10A1" w14:textId="77777777" w:rsidR="00AF15FF" w:rsidRPr="001571EB" w:rsidRDefault="00AF15FF" w:rsidP="00AF15FF">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89DAB4F" w14:textId="77777777" w:rsidR="00AF15FF" w:rsidRPr="001571EB" w:rsidRDefault="00AF15FF" w:rsidP="00AF15F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3C1BFBA" w14:textId="77777777" w:rsidR="00AF15FF" w:rsidRPr="001571EB" w:rsidRDefault="00AF15FF" w:rsidP="00AF15F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6AE52E17" w14:textId="77777777" w:rsidR="00AF15FF" w:rsidRPr="001571EB" w:rsidRDefault="00AF15FF" w:rsidP="00AF15F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5261B5E" w14:textId="77777777" w:rsidR="00AF15FF" w:rsidRDefault="00AF15FF" w:rsidP="00AF15F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1F4DE75" w14:textId="77777777" w:rsidR="00AF15FF" w:rsidRDefault="00AF15FF" w:rsidP="00AF15FF">
      <w:pPr>
        <w:spacing w:after="0" w:line="360" w:lineRule="auto"/>
        <w:ind w:right="51"/>
        <w:jc w:val="both"/>
        <w:rPr>
          <w:rFonts w:ascii="Palatino Linotype" w:hAnsi="Palatino Linotype" w:cs="Arial"/>
          <w:sz w:val="24"/>
          <w:szCs w:val="24"/>
        </w:rPr>
      </w:pPr>
    </w:p>
    <w:p w14:paraId="315FCE2E" w14:textId="77777777" w:rsidR="00AF15FF" w:rsidRPr="00AF15FF" w:rsidRDefault="00AF15FF" w:rsidP="00AF15FF">
      <w:pPr>
        <w:pStyle w:val="Citas"/>
        <w:ind w:left="0" w:right="-18"/>
        <w:rPr>
          <w:i w:val="0"/>
          <w:iCs/>
          <w:color w:val="000000"/>
          <w:sz w:val="24"/>
          <w:szCs w:val="24"/>
          <w:lang w:val="es-ES_tradnl"/>
        </w:rPr>
      </w:pPr>
      <w:r w:rsidRPr="00AF15FF">
        <w:rPr>
          <w:i w:val="0"/>
          <w:iCs/>
          <w:color w:val="000000"/>
          <w:sz w:val="24"/>
          <w:szCs w:val="24"/>
          <w:lang w:val="es-ES_tradnl"/>
        </w:rPr>
        <w:t xml:space="preserve">Por otra parte, la información requerida pudiera ser susceptible de reflejar las colindancias (norte, sur, este y oeste), entendidas como el adjetivo que se utiliza para calificar a aquello que colinda con algo, es decir, se trata de elementos que lindan entre sí (son contiguos). </w:t>
      </w:r>
    </w:p>
    <w:p w14:paraId="43758EC8" w14:textId="77777777" w:rsidR="00AF15FF" w:rsidRDefault="00AF15FF" w:rsidP="00AF15FF">
      <w:pPr>
        <w:pStyle w:val="Citas"/>
        <w:ind w:left="0" w:right="-18"/>
        <w:rPr>
          <w:i w:val="0"/>
          <w:iCs/>
          <w:color w:val="000000"/>
          <w:sz w:val="24"/>
          <w:szCs w:val="24"/>
          <w:lang w:val="es-ES_tradnl"/>
        </w:rPr>
      </w:pPr>
      <w:r w:rsidRPr="00AF15FF">
        <w:rPr>
          <w:i w:val="0"/>
          <w:iCs/>
          <w:color w:val="000000"/>
          <w:sz w:val="24"/>
          <w:szCs w:val="24"/>
          <w:lang w:val="es-ES_tradnl"/>
        </w:rPr>
        <w:t xml:space="preserve">En terminología de administración pública y derecho se llama colindante al dueño de una propiedad contigua. Bajo este contexto, resulta necesario clasificar como confidencial las colindancias </w:t>
      </w:r>
      <w:r w:rsidRPr="00AF15FF">
        <w:rPr>
          <w:b/>
          <w:bCs/>
          <w:i w:val="0"/>
          <w:iCs/>
          <w:color w:val="000000"/>
          <w:sz w:val="24"/>
          <w:szCs w:val="24"/>
          <w:u w:val="single"/>
          <w:lang w:val="es-ES_tradnl"/>
        </w:rPr>
        <w:t>únicamente</w:t>
      </w:r>
      <w:r w:rsidRPr="00AF15FF">
        <w:rPr>
          <w:i w:val="0"/>
          <w:iCs/>
          <w:color w:val="000000"/>
          <w:sz w:val="24"/>
          <w:szCs w:val="24"/>
          <w:lang w:val="es-ES_tradnl"/>
        </w:rPr>
        <w:t xml:space="preserve"> </w:t>
      </w:r>
      <w:r w:rsidRPr="00AF15FF">
        <w:rPr>
          <w:b/>
          <w:bCs/>
          <w:i w:val="0"/>
          <w:iCs/>
          <w:color w:val="000000"/>
          <w:sz w:val="24"/>
          <w:szCs w:val="24"/>
          <w:u w:val="single"/>
          <w:lang w:val="es-ES_tradnl"/>
        </w:rPr>
        <w:t>cuando se trata de información de particulares,</w:t>
      </w:r>
      <w:r w:rsidRPr="00AF15FF">
        <w:rPr>
          <w:i w:val="0"/>
          <w:iCs/>
          <w:color w:val="000000"/>
          <w:sz w:val="24"/>
          <w:szCs w:val="24"/>
          <w:lang w:val="es-ES_tradnl"/>
        </w:rPr>
        <w:t xml:space="preserve"> en términos del artículo 143 de la ley de transparencia local.</w:t>
      </w:r>
      <w:r>
        <w:rPr>
          <w:i w:val="0"/>
          <w:iCs/>
          <w:color w:val="000000"/>
          <w:sz w:val="24"/>
          <w:szCs w:val="24"/>
          <w:lang w:val="es-ES_tradnl"/>
        </w:rPr>
        <w:t xml:space="preserve"> </w:t>
      </w:r>
    </w:p>
    <w:p w14:paraId="0FF360DB" w14:textId="77777777" w:rsidR="00AF15FF" w:rsidRDefault="00AF15FF" w:rsidP="00AF15FF">
      <w:pPr>
        <w:pStyle w:val="Citas"/>
        <w:ind w:left="0" w:right="-18"/>
        <w:rPr>
          <w:i w:val="0"/>
          <w:iCs/>
          <w:color w:val="000000"/>
          <w:sz w:val="24"/>
          <w:szCs w:val="24"/>
          <w:lang w:val="es-ES_tradnl"/>
        </w:rPr>
      </w:pPr>
      <w:r>
        <w:rPr>
          <w:i w:val="0"/>
          <w:iCs/>
          <w:color w:val="000000"/>
          <w:sz w:val="24"/>
          <w:szCs w:val="24"/>
          <w:lang w:val="es-ES_tradnl"/>
        </w:rPr>
        <w:t>Bajo este contexto, resulta procedente señalar que las coordenadas se tratan de un concepto que se utiliza en geometría y que permite nombrar las líneas que se emplean para establecer la posición de un punto y de los planos o ejes vinculados a ellas. Por otra parte, se conoce como sistema de coordenadas al conjunto de los valores que permiten identificar de manera inequívoca la posición de un punto en un espacio.</w:t>
      </w:r>
    </w:p>
    <w:p w14:paraId="06D76F01" w14:textId="77777777" w:rsidR="00AF15FF" w:rsidRDefault="00AF15FF" w:rsidP="00AF15FF">
      <w:pPr>
        <w:pStyle w:val="Citas"/>
        <w:ind w:left="0" w:right="-18"/>
        <w:rPr>
          <w:i w:val="0"/>
          <w:iCs/>
          <w:color w:val="000000"/>
          <w:sz w:val="24"/>
          <w:szCs w:val="24"/>
          <w:lang w:val="es-ES_tradnl"/>
        </w:rPr>
      </w:pPr>
      <w:r>
        <w:rPr>
          <w:i w:val="0"/>
          <w:iCs/>
          <w:color w:val="000000"/>
          <w:sz w:val="24"/>
          <w:szCs w:val="24"/>
          <w:lang w:val="es-ES_tradnl"/>
        </w:rPr>
        <w:t>En consecuencia, resulta necesario puntualizar lo siguiente:</w:t>
      </w:r>
    </w:p>
    <w:p w14:paraId="11CA2ABF" w14:textId="77777777" w:rsidR="00AF15FF" w:rsidRPr="00676E5C" w:rsidRDefault="00AF15FF" w:rsidP="00AF15FF">
      <w:pPr>
        <w:pStyle w:val="Citas"/>
        <w:numPr>
          <w:ilvl w:val="0"/>
          <w:numId w:val="22"/>
        </w:numPr>
        <w:ind w:left="714" w:right="-17" w:hanging="357"/>
      </w:pPr>
      <w:r w:rsidRPr="00676E5C">
        <w:rPr>
          <w:b/>
          <w:bCs/>
          <w:i w:val="0"/>
          <w:color w:val="000000"/>
          <w:sz w:val="24"/>
          <w:szCs w:val="24"/>
          <w:lang w:val="es-ES_tradnl"/>
        </w:rPr>
        <w:t>Domicilio y ubicación de predios particulares</w:t>
      </w:r>
      <w:r w:rsidRPr="00676E5C">
        <w:rPr>
          <w:b/>
          <w:bCs/>
          <w:iCs/>
          <w:color w:val="000000"/>
          <w:sz w:val="24"/>
          <w:szCs w:val="24"/>
          <w:lang w:val="es-ES_tradnl"/>
        </w:rPr>
        <w:t xml:space="preserve">: </w:t>
      </w:r>
      <w:r w:rsidRPr="00676E5C">
        <w:rPr>
          <w:i w:val="0"/>
          <w:iCs/>
          <w:sz w:val="24"/>
          <w:szCs w:val="24"/>
        </w:rPr>
        <w:t xml:space="preserve">Es un dato personal por ser el lugar donde reside una persona o hace referencia a éste con el propósito de </w:t>
      </w:r>
      <w:r w:rsidRPr="00676E5C">
        <w:rPr>
          <w:i w:val="0"/>
          <w:iCs/>
          <w:sz w:val="24"/>
          <w:szCs w:val="24"/>
        </w:rPr>
        <w:lastRenderedPageBreak/>
        <w:t>establecerse en él; a falta de éste, el lugar en que tiene el principal asiento de sus negocios; y a falta de uno y otro, el lugar en que se halle; haciendo por lo tanto plenamente identificable a la persona, divulgando innecesariamente su residencia y asiento de su propiedad en que se desarrolla, asimismo, se concibe al hogar como un elemento básico que forma parte de la vida privada de las personas.</w:t>
      </w:r>
      <w:r w:rsidRPr="00676E5C">
        <w:t xml:space="preserve"> </w:t>
      </w:r>
      <w:r>
        <w:rPr>
          <w:i w:val="0"/>
          <w:iCs/>
          <w:sz w:val="24"/>
          <w:szCs w:val="24"/>
        </w:rPr>
        <w:t xml:space="preserve">Por consiguiente, su naturaleza es confidencial, en términos del artículo 143 de la ley de transparencia local. </w:t>
      </w:r>
    </w:p>
    <w:p w14:paraId="13D68967" w14:textId="77777777" w:rsidR="00AF15FF" w:rsidRPr="00676E5C" w:rsidRDefault="00AF15FF" w:rsidP="00AF15FF">
      <w:pPr>
        <w:pStyle w:val="Citas"/>
        <w:ind w:left="714" w:right="-17"/>
      </w:pPr>
    </w:p>
    <w:p w14:paraId="2861E7BF" w14:textId="77777777" w:rsidR="00AF15FF" w:rsidRPr="00603779" w:rsidRDefault="00AF15FF" w:rsidP="00AF15FF">
      <w:pPr>
        <w:pStyle w:val="Citas"/>
        <w:numPr>
          <w:ilvl w:val="0"/>
          <w:numId w:val="22"/>
        </w:numPr>
        <w:ind w:right="-18"/>
        <w:rPr>
          <w:i w:val="0"/>
          <w:noProof/>
          <w:sz w:val="24"/>
          <w:szCs w:val="24"/>
        </w:rPr>
      </w:pPr>
      <w:r w:rsidRPr="00603779">
        <w:rPr>
          <w:b/>
          <w:bCs/>
          <w:i w:val="0"/>
          <w:color w:val="000000"/>
          <w:sz w:val="24"/>
          <w:szCs w:val="24"/>
          <w:lang w:val="es-ES_tradnl"/>
        </w:rPr>
        <w:t xml:space="preserve">Domicilio y ubicación de predios de instituciones públicas y bienes de dominio público: </w:t>
      </w:r>
      <w:r w:rsidRPr="00603779">
        <w:rPr>
          <w:i w:val="0"/>
          <w:noProof/>
          <w:sz w:val="24"/>
          <w:szCs w:val="24"/>
        </w:rPr>
        <w:t>Al respecto, los artículos 12, 13, 14 y 28 de la Ley de Bienes del Estado de México y Municipios, que establece que el Estado de México y sus Municipios tienen personalidad jurídica para adquirir y poseer bienes inmuebles, de dominio público (uso común o destinados a un servicio público) y dominio privado (utilizados al servicio de las instituciones para el desarrollo de sus actividades).</w:t>
      </w:r>
    </w:p>
    <w:p w14:paraId="4F044E1F" w14:textId="77777777" w:rsidR="00AF15FF" w:rsidRDefault="00AF15FF" w:rsidP="00AF15FF">
      <w:pPr>
        <w:pStyle w:val="Citas"/>
        <w:ind w:left="720" w:right="-18"/>
        <w:rPr>
          <w:rFonts w:eastAsia="MS Mincho" w:cs="Times New Roman"/>
          <w:sz w:val="24"/>
          <w:szCs w:val="24"/>
        </w:rPr>
      </w:pPr>
      <w:r>
        <w:rPr>
          <w:i w:val="0"/>
          <w:iCs/>
          <w:color w:val="000000"/>
          <w:sz w:val="24"/>
          <w:szCs w:val="24"/>
          <w:lang w:val="es-ES_tradnl"/>
        </w:rPr>
        <w:t xml:space="preserve">En este orden de ideas, se resalta que el inventario de bienes muebles e inmuebles en posesión y propiedad de entes públicos, en términos del artículo 92, fracción XXXVIII de la Ley de transparencia y acceso a la información pública del Estado de México y Municipios, figura como una obligación de transparencia común, esto es, </w:t>
      </w:r>
      <w:r w:rsidRPr="000C0081">
        <w:rPr>
          <w:i w:val="0"/>
          <w:iCs/>
          <w:sz w:val="24"/>
          <w:szCs w:val="24"/>
        </w:rPr>
        <w:t xml:space="preserve">información que </w:t>
      </w:r>
      <w:r w:rsidRPr="000C0081">
        <w:rPr>
          <w:rFonts w:eastAsia="Arial Unicode MS"/>
          <w:i w:val="0"/>
          <w:iCs/>
          <w:sz w:val="24"/>
          <w:szCs w:val="24"/>
        </w:rPr>
        <w:t xml:space="preserve">por su naturaleza es pública y que los </w:t>
      </w:r>
      <w:r w:rsidRPr="000C0081">
        <w:rPr>
          <w:rFonts w:eastAsia="MS Mincho" w:cs="Times New Roman"/>
          <w:i w:val="0"/>
          <w:iCs/>
          <w:sz w:val="24"/>
          <w:szCs w:val="24"/>
        </w:rPr>
        <w:t xml:space="preserve">sujetos obligados deben poner a disposición del público de manera permanente y por tanto deberán mantenerla actualizada, en los respectivos </w:t>
      </w:r>
      <w:r w:rsidRPr="000C0081">
        <w:rPr>
          <w:rFonts w:eastAsia="MS Mincho" w:cs="Times New Roman"/>
          <w:i w:val="0"/>
          <w:iCs/>
          <w:sz w:val="24"/>
          <w:szCs w:val="24"/>
        </w:rPr>
        <w:lastRenderedPageBreak/>
        <w:t>medios electrónicos, de acuerdo con sus facultades, atribuciones, funciones u objeto social.</w:t>
      </w:r>
      <w:r w:rsidRPr="00C82D1D">
        <w:rPr>
          <w:rFonts w:eastAsia="MS Mincho" w:cs="Times New Roman"/>
          <w:sz w:val="24"/>
          <w:szCs w:val="24"/>
        </w:rPr>
        <w:t xml:space="preserve"> </w:t>
      </w:r>
    </w:p>
    <w:p w14:paraId="7335DCE4" w14:textId="77777777" w:rsidR="00AF15FF" w:rsidRDefault="00AF15FF" w:rsidP="00AF15FF">
      <w:pPr>
        <w:pStyle w:val="Citas"/>
        <w:ind w:left="720" w:right="-18"/>
        <w:rPr>
          <w:i w:val="0"/>
          <w:iCs/>
          <w:sz w:val="24"/>
          <w:szCs w:val="24"/>
        </w:rPr>
      </w:pPr>
      <w:r>
        <w:rPr>
          <w:i w:val="0"/>
          <w:iCs/>
          <w:color w:val="000000"/>
          <w:sz w:val="24"/>
          <w:szCs w:val="24"/>
        </w:rPr>
        <w:t xml:space="preserve">Por otra parte, con relación a dicha obligación de transparencia, los </w:t>
      </w:r>
      <w:r w:rsidRPr="000C0081">
        <w:rPr>
          <w:b/>
          <w:bCs/>
          <w:i w:val="0"/>
          <w:iCs/>
          <w:color w:val="000000"/>
          <w:sz w:val="24"/>
          <w:szCs w:val="24"/>
          <w:u w:val="single"/>
        </w:rPr>
        <w:t>“</w:t>
      </w:r>
      <w:r w:rsidRPr="000C0081">
        <w:rPr>
          <w:b/>
          <w:bCs/>
          <w:i w:val="0"/>
          <w:iCs/>
          <w:u w:val="singl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t xml:space="preserve"> </w:t>
      </w:r>
      <w:r>
        <w:rPr>
          <w:i w:val="0"/>
          <w:iCs/>
          <w:sz w:val="24"/>
          <w:szCs w:val="24"/>
        </w:rPr>
        <w:t xml:space="preserve">disponen como criterio sustantivo de contenido de la fracción </w:t>
      </w:r>
      <w:r w:rsidRPr="000C0081">
        <w:rPr>
          <w:b/>
          <w:bCs/>
          <w:i w:val="0"/>
          <w:iCs/>
          <w:sz w:val="24"/>
          <w:szCs w:val="24"/>
        </w:rPr>
        <w:t>“</w:t>
      </w:r>
      <w:r w:rsidRPr="000C0081">
        <w:rPr>
          <w:b/>
          <w:bCs/>
          <w:sz w:val="24"/>
          <w:szCs w:val="24"/>
        </w:rPr>
        <w:t>XXXIV. El inventario de bienes muebles e inmuebles en posesión y propiedad”</w:t>
      </w:r>
      <w:r>
        <w:rPr>
          <w:sz w:val="24"/>
          <w:szCs w:val="24"/>
        </w:rPr>
        <w:t xml:space="preserve"> </w:t>
      </w:r>
      <w:r>
        <w:rPr>
          <w:i w:val="0"/>
          <w:iCs/>
          <w:sz w:val="24"/>
          <w:szCs w:val="24"/>
        </w:rPr>
        <w:t>el relativo a:</w:t>
      </w:r>
    </w:p>
    <w:p w14:paraId="74680AAA" w14:textId="77777777" w:rsidR="00AF15FF" w:rsidRDefault="00AF15FF" w:rsidP="00AF15FF">
      <w:pPr>
        <w:pStyle w:val="Citas"/>
        <w:ind w:left="720" w:right="-18"/>
        <w:rPr>
          <w:b/>
          <w:bCs/>
        </w:rPr>
      </w:pPr>
      <w:r>
        <w:t xml:space="preserve">“Criterio 28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r>
        <w:rPr>
          <w:b/>
          <w:bCs/>
        </w:rPr>
        <w:t>(Sic)</w:t>
      </w:r>
    </w:p>
    <w:p w14:paraId="566E1511" w14:textId="77777777" w:rsidR="00AF15FF" w:rsidRDefault="00AF15FF" w:rsidP="00AF15FF">
      <w:pPr>
        <w:pStyle w:val="Citas"/>
        <w:ind w:left="720" w:right="-18"/>
        <w:rPr>
          <w:i w:val="0"/>
          <w:iCs/>
          <w:sz w:val="24"/>
          <w:szCs w:val="24"/>
        </w:rPr>
      </w:pPr>
      <w:r>
        <w:rPr>
          <w:i w:val="0"/>
          <w:iCs/>
          <w:sz w:val="24"/>
          <w:szCs w:val="24"/>
        </w:rPr>
        <w:t xml:space="preserve">Por lo tanto, se considera que la ubicación de los bienes inmuebles propiedad de instituciones públicas o bienes de dominio público se trata de información de interés general y alcance público. </w:t>
      </w:r>
    </w:p>
    <w:p w14:paraId="75208E29" w14:textId="77777777" w:rsidR="00AF15FF" w:rsidRDefault="00AF15FF" w:rsidP="00AF15FF">
      <w:pPr>
        <w:spacing w:after="0" w:line="360" w:lineRule="auto"/>
        <w:ind w:right="51"/>
        <w:jc w:val="both"/>
        <w:rPr>
          <w:rFonts w:ascii="Palatino Linotype" w:hAnsi="Palatino Linotype" w:cs="Arial"/>
          <w:sz w:val="24"/>
          <w:szCs w:val="24"/>
        </w:rPr>
      </w:pPr>
    </w:p>
    <w:p w14:paraId="4CB5D5FB" w14:textId="0CC5E7D3" w:rsidR="00A7648E" w:rsidRDefault="00A7648E" w:rsidP="00AF15FF">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Finalmente, derivado de una inspección al </w:t>
      </w:r>
      <w:r w:rsidR="002C0D39">
        <w:rPr>
          <w:rFonts w:ascii="Palatino Linotype" w:hAnsi="Palatino Linotype" w:cs="Arial"/>
          <w:sz w:val="24"/>
          <w:szCs w:val="24"/>
        </w:rPr>
        <w:t>catálogo</w:t>
      </w:r>
      <w:r>
        <w:rPr>
          <w:rFonts w:ascii="Palatino Linotype" w:hAnsi="Palatino Linotype" w:cs="Arial"/>
          <w:sz w:val="24"/>
          <w:szCs w:val="24"/>
        </w:rPr>
        <w:t xml:space="preserve"> de </w:t>
      </w:r>
      <w:r w:rsidR="002C0D39">
        <w:rPr>
          <w:rFonts w:ascii="Palatino Linotype" w:hAnsi="Palatino Linotype" w:cs="Arial"/>
          <w:sz w:val="24"/>
          <w:szCs w:val="24"/>
        </w:rPr>
        <w:t>trámites</w:t>
      </w:r>
      <w:r>
        <w:rPr>
          <w:rFonts w:ascii="Palatino Linotype" w:hAnsi="Palatino Linotype" w:cs="Arial"/>
          <w:sz w:val="24"/>
          <w:szCs w:val="24"/>
        </w:rPr>
        <w:t xml:space="preserve"> y servicios municipales “REMTYS”, susceptible de consulta en la siguiente dirección electrónica:</w:t>
      </w:r>
    </w:p>
    <w:p w14:paraId="20A1F6B4" w14:textId="6D0AC8CB" w:rsidR="00A7648E" w:rsidRDefault="00605391" w:rsidP="00A7648E">
      <w:pPr>
        <w:spacing w:after="0" w:line="360" w:lineRule="auto"/>
        <w:ind w:right="51"/>
        <w:jc w:val="both"/>
        <w:rPr>
          <w:rFonts w:ascii="Palatino Linotype" w:hAnsi="Palatino Linotype" w:cs="Arial"/>
          <w:sz w:val="24"/>
          <w:szCs w:val="24"/>
        </w:rPr>
      </w:pPr>
      <w:hyperlink r:id="rId16" w:history="1">
        <w:r w:rsidR="00A7648E" w:rsidRPr="00A7648E">
          <w:rPr>
            <w:rStyle w:val="Hipervnculo"/>
            <w:rFonts w:ascii="Palatino Linotype" w:hAnsi="Palatino Linotype" w:cs="Arial"/>
            <w:sz w:val="24"/>
            <w:szCs w:val="24"/>
          </w:rPr>
          <w:t>https://naucalpan.gob.mx/registro-municipal-de-tramites-y-servicios/</w:t>
        </w:r>
      </w:hyperlink>
      <w:r w:rsidR="00A7648E" w:rsidRPr="00A7648E">
        <w:rPr>
          <w:rFonts w:ascii="Palatino Linotype" w:hAnsi="Palatino Linotype" w:cs="Arial"/>
          <w:sz w:val="24"/>
          <w:szCs w:val="24"/>
        </w:rPr>
        <w:t xml:space="preserve"> , se</w:t>
      </w:r>
      <w:r w:rsidR="00A7648E">
        <w:rPr>
          <w:rFonts w:ascii="Palatino Linotype" w:hAnsi="Palatino Linotype" w:cs="Arial"/>
          <w:sz w:val="24"/>
          <w:szCs w:val="24"/>
        </w:rPr>
        <w:t xml:space="preserve"> advierte que respecto de los documentos exhibidos para solicitar los servicios catastrales prestados, se pudiera englobar a las actas de nacimiento, credenciales de elector o comprobantes de domicilio, </w:t>
      </w:r>
      <w:r w:rsidR="00A7648E" w:rsidRPr="00A35411">
        <w:rPr>
          <w:rFonts w:ascii="Palatino Linotype" w:hAnsi="Palatino Linotype"/>
          <w:bCs/>
          <w:sz w:val="24"/>
          <w:szCs w:val="24"/>
        </w:rPr>
        <w:t xml:space="preserve">debido a la naturaleza de los mismos </w:t>
      </w:r>
      <w:r w:rsidR="00A7648E" w:rsidRPr="00A35411">
        <w:rPr>
          <w:rFonts w:ascii="Palatino Linotype" w:hAnsi="Palatino Linotype" w:cs="Arial"/>
          <w:bCs/>
          <w:sz w:val="24"/>
          <w:szCs w:val="24"/>
        </w:rPr>
        <w:t>deben de ser clasificados en su totalidad como confidenciales,</w:t>
      </w:r>
      <w:r w:rsidR="00A7648E" w:rsidRPr="00A35411">
        <w:rPr>
          <w:rFonts w:ascii="Palatino Linotype" w:hAnsi="Palatino Linotype" w:cs="Arial"/>
          <w:sz w:val="24"/>
          <w:szCs w:val="24"/>
        </w:rPr>
        <w:t xml:space="preserve"> debido a que su entrega no abona a la transparencia y rendición de cuentas, en virtud de que se trata de información relativa a la esfera más íntima de las personas, excluyendo en consecuencia la entrega de la información, incluso en versión pública.</w:t>
      </w:r>
    </w:p>
    <w:p w14:paraId="22292CA2" w14:textId="77777777" w:rsidR="00A7648E" w:rsidRDefault="00A7648E" w:rsidP="00AF15FF">
      <w:pPr>
        <w:spacing w:after="0" w:line="360" w:lineRule="auto"/>
        <w:ind w:right="51"/>
        <w:jc w:val="both"/>
        <w:rPr>
          <w:rFonts w:ascii="Palatino Linotype" w:hAnsi="Palatino Linotype" w:cs="Arial"/>
          <w:sz w:val="24"/>
          <w:szCs w:val="24"/>
        </w:rPr>
      </w:pPr>
    </w:p>
    <w:p w14:paraId="3A070B57" w14:textId="2EA7C440" w:rsidR="00AF15FF" w:rsidRDefault="00AF15FF" w:rsidP="00AF15FF">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07314416" w14:textId="1571D14D" w:rsidR="00AF15FF" w:rsidRPr="000306CE" w:rsidRDefault="00AF15FF" w:rsidP="00AF15FF">
      <w:pPr>
        <w:tabs>
          <w:tab w:val="left" w:pos="709"/>
        </w:tabs>
        <w:spacing w:before="240" w:line="360" w:lineRule="auto"/>
        <w:ind w:right="51"/>
        <w:jc w:val="both"/>
        <w:rPr>
          <w:rFonts w:ascii="Palatino Linotype" w:eastAsia="Times New Roman" w:hAnsi="Palatino Linotype" w:cs="Arial"/>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III, </w:t>
      </w:r>
      <w:r w:rsidRPr="000F5B7E">
        <w:rPr>
          <w:rFonts w:ascii="Palatino Linotype" w:eastAsia="Times New Roman" w:hAnsi="Palatino Linotype" w:cs="Arial"/>
          <w:sz w:val="24"/>
          <w:szCs w:val="24"/>
          <w:lang w:eastAsia="es-ES"/>
        </w:rPr>
        <w:lastRenderedPageBreak/>
        <w:t>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REVOCA</w:t>
      </w:r>
      <w:r>
        <w:rPr>
          <w:rFonts w:ascii="Palatino Linotype" w:eastAsia="Times New Roman" w:hAnsi="Palatino Linotype" w:cs="Arial"/>
          <w:b/>
          <w:sz w:val="24"/>
          <w:szCs w:val="24"/>
          <w:lang w:eastAsia="es-ES"/>
        </w:rPr>
        <w:t xml:space="preserve"> </w:t>
      </w:r>
      <w:r>
        <w:rPr>
          <w:rFonts w:ascii="Palatino Linotype" w:eastAsia="Times New Roman" w:hAnsi="Palatino Linotype" w:cs="Arial"/>
          <w:bCs/>
          <w:sz w:val="24"/>
          <w:szCs w:val="24"/>
          <w:lang w:eastAsia="es-ES"/>
        </w:rPr>
        <w:t xml:space="preserve">la respuesta a la solicitud de información número </w:t>
      </w:r>
      <w:r>
        <w:rPr>
          <w:rFonts w:ascii="Palatino Linotype" w:eastAsia="Times New Roman" w:hAnsi="Palatino Linotype" w:cs="Arial"/>
          <w:b/>
          <w:sz w:val="24"/>
          <w:szCs w:val="24"/>
          <w:lang w:eastAsia="es-ES"/>
        </w:rPr>
        <w:t xml:space="preserve">00378/NAUCALPA/IP/2024, </w:t>
      </w:r>
      <w:r>
        <w:rPr>
          <w:rFonts w:ascii="Palatino Linotype" w:eastAsia="Times New Roman" w:hAnsi="Palatino Linotype" w:cs="Arial"/>
          <w:bCs/>
          <w:sz w:val="24"/>
          <w:szCs w:val="24"/>
          <w:lang w:eastAsia="es-ES"/>
        </w:rPr>
        <w:t xml:space="preserve">que ha sido materia del presente fallo. </w:t>
      </w:r>
    </w:p>
    <w:p w14:paraId="080DAF93" w14:textId="77777777" w:rsidR="00AF15FF" w:rsidRDefault="00AF15FF" w:rsidP="00AF15FF">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10155AFE" w14:textId="77777777" w:rsidR="00AF15FF" w:rsidRDefault="00AF15FF" w:rsidP="00AF15FF">
      <w:pPr>
        <w:spacing w:before="240" w:line="360" w:lineRule="auto"/>
        <w:jc w:val="center"/>
        <w:rPr>
          <w:rFonts w:ascii="Palatino Linotype" w:eastAsia="Times New Roman" w:hAnsi="Palatino Linotype"/>
          <w:b/>
          <w:bCs/>
          <w:spacing w:val="60"/>
          <w:sz w:val="24"/>
          <w:szCs w:val="24"/>
          <w:lang w:val="es-ES_tradnl"/>
        </w:rPr>
      </w:pPr>
    </w:p>
    <w:p w14:paraId="1E508BC8" w14:textId="77777777" w:rsidR="00AF15FF" w:rsidRPr="00D05C83" w:rsidRDefault="00AF15FF" w:rsidP="00AF15FF">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130F3267" w14:textId="4FE84953" w:rsidR="00AF15FF" w:rsidRDefault="00AF15FF" w:rsidP="00AF15FF">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REVOCA</w:t>
      </w:r>
      <w:r>
        <w:rPr>
          <w:rFonts w:ascii="Palatino Linotype" w:hAnsi="Palatino Linotype" w:cs="Arial"/>
          <w:b/>
          <w:sz w:val="24"/>
          <w:szCs w:val="24"/>
        </w:rPr>
        <w:t xml:space="preserve"> </w:t>
      </w:r>
      <w:r>
        <w:rPr>
          <w:rFonts w:ascii="Palatino Linotype" w:hAnsi="Palatino Linotype" w:cs="Arial"/>
          <w:bCs/>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bCs/>
          <w:sz w:val="24"/>
          <w:szCs w:val="24"/>
        </w:rPr>
        <w:t xml:space="preserve">a la solicitud de información número </w:t>
      </w:r>
      <w:r>
        <w:rPr>
          <w:rFonts w:ascii="Palatino Linotype" w:eastAsia="Times New Roman" w:hAnsi="Palatino Linotype" w:cs="Arial"/>
          <w:b/>
          <w:sz w:val="24"/>
          <w:szCs w:val="24"/>
          <w:lang w:eastAsia="es-ES"/>
        </w:rPr>
        <w:t xml:space="preserve">00378/NAUCALPA/IP/2024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490D5C7B" w14:textId="77777777" w:rsidR="00AF15FF" w:rsidRDefault="00AF15FF" w:rsidP="00AF15FF">
      <w:pPr>
        <w:spacing w:before="240" w:line="360" w:lineRule="auto"/>
        <w:jc w:val="both"/>
        <w:rPr>
          <w:rFonts w:ascii="Palatino Linotype" w:hAnsi="Palatino Linotype" w:cs="Arial"/>
          <w:sz w:val="24"/>
          <w:szCs w:val="24"/>
        </w:rPr>
      </w:pPr>
    </w:p>
    <w:p w14:paraId="20A1A3F7" w14:textId="77777777" w:rsidR="00AF15FF" w:rsidRDefault="00AF15FF" w:rsidP="00AF15FF">
      <w:pPr>
        <w:autoSpaceDE w:val="0"/>
        <w:autoSpaceDN w:val="0"/>
        <w:adjustRightInd w:val="0"/>
        <w:spacing w:before="240" w:line="360" w:lineRule="auto"/>
        <w:ind w:right="49"/>
        <w:jc w:val="both"/>
        <w:rPr>
          <w:rFonts w:ascii="Palatino Linotype" w:hAnsi="Palatino Linotype" w:cs="Arial"/>
          <w:sz w:val="24"/>
          <w:szCs w:val="24"/>
        </w:rPr>
      </w:pPr>
      <w:r w:rsidRPr="00570FBC">
        <w:rPr>
          <w:rFonts w:ascii="Palatino Linotype" w:hAnsi="Palatino Linotype" w:cs="Arial"/>
          <w:b/>
          <w:sz w:val="28"/>
          <w:szCs w:val="28"/>
        </w:rPr>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realizar una búsqueda exhaustiva y razonable a fin de entregar </w:t>
      </w:r>
      <w:r>
        <w:rPr>
          <w:rFonts w:ascii="Palatino Linotype" w:hAnsi="Palatino Linotype" w:cs="Arial"/>
          <w:sz w:val="24"/>
          <w:szCs w:val="24"/>
        </w:rPr>
        <w:t>al</w:t>
      </w:r>
      <w:r>
        <w:rPr>
          <w:rFonts w:ascii="Palatino Linotype" w:hAnsi="Palatino Linotype" w:cs="Arial"/>
          <w:b/>
          <w:bCs/>
          <w:sz w:val="24"/>
          <w:szCs w:val="24"/>
        </w:rPr>
        <w:t xml:space="preserve">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en versión pública de ser procedente, de lo siguiente:</w:t>
      </w:r>
    </w:p>
    <w:p w14:paraId="2C55CF67" w14:textId="77777777" w:rsidR="00AF15FF" w:rsidRPr="00AF15FF" w:rsidRDefault="00AF15FF" w:rsidP="00AF15FF">
      <w:pPr>
        <w:spacing w:before="240" w:line="360" w:lineRule="auto"/>
        <w:jc w:val="both"/>
        <w:rPr>
          <w:rFonts w:ascii="Palatino Linotype" w:hAnsi="Palatino Linotype"/>
          <w:b/>
          <w:bCs/>
          <w:i/>
          <w:iCs/>
          <w:sz w:val="24"/>
          <w:szCs w:val="24"/>
        </w:rPr>
      </w:pPr>
      <w:r w:rsidRPr="00AF15FF">
        <w:rPr>
          <w:rFonts w:ascii="Palatino Linotype" w:hAnsi="Palatino Linotype"/>
          <w:b/>
          <w:bCs/>
          <w:i/>
          <w:iCs/>
          <w:sz w:val="24"/>
          <w:szCs w:val="24"/>
        </w:rPr>
        <w:t xml:space="preserve">Respecto del condominio y/o condominio horizontal referido en la solicitud de información 00378/NAUCALPA/IP/2024: </w:t>
      </w:r>
    </w:p>
    <w:p w14:paraId="7302646D" w14:textId="77777777" w:rsidR="00AF15FF" w:rsidRPr="00AF15FF" w:rsidRDefault="00AF15FF" w:rsidP="00AF15FF">
      <w:pPr>
        <w:pStyle w:val="Prrafodelista"/>
        <w:numPr>
          <w:ilvl w:val="0"/>
          <w:numId w:val="25"/>
        </w:numPr>
        <w:spacing w:before="240" w:line="360" w:lineRule="auto"/>
        <w:jc w:val="both"/>
        <w:rPr>
          <w:rFonts w:ascii="Palatino Linotype" w:hAnsi="Palatino Linotype"/>
          <w:i/>
          <w:iCs/>
        </w:rPr>
      </w:pPr>
      <w:r w:rsidRPr="00AF15FF">
        <w:rPr>
          <w:rFonts w:ascii="Palatino Linotype" w:hAnsi="Palatino Linotype"/>
          <w:i/>
          <w:iCs/>
        </w:rPr>
        <w:t xml:space="preserve">El o los documentos exhibidos para solicitar los servicios catastrales prestados por el Ayuntamiento de Naucalpan de Juárez (fusión, subdivisión, lotificación, relotificación, </w:t>
      </w:r>
      <w:r w:rsidRPr="00AF15FF">
        <w:rPr>
          <w:rFonts w:ascii="Palatino Linotype" w:hAnsi="Palatino Linotype"/>
          <w:i/>
          <w:iCs/>
        </w:rPr>
        <w:lastRenderedPageBreak/>
        <w:t xml:space="preserve">conjunto urbano, afectación o modificación de linderos, cambio de uso de suelo; modificación de superficie de terreno o construcción, otros), del periodo comprendido del nueve de mayo de dos mil veintitrés al nueve de mayo de dos mil veinticuatro. </w:t>
      </w:r>
    </w:p>
    <w:p w14:paraId="3DD3AAC6" w14:textId="77777777" w:rsidR="00AF15FF" w:rsidRPr="00AF15FF" w:rsidRDefault="00AF15FF" w:rsidP="00AF15FF">
      <w:pPr>
        <w:pStyle w:val="Prrafodelista"/>
        <w:numPr>
          <w:ilvl w:val="0"/>
          <w:numId w:val="25"/>
        </w:numPr>
        <w:spacing w:before="240" w:line="360" w:lineRule="auto"/>
        <w:jc w:val="both"/>
        <w:rPr>
          <w:rFonts w:ascii="Palatino Linotype" w:hAnsi="Palatino Linotype"/>
          <w:i/>
          <w:iCs/>
        </w:rPr>
      </w:pPr>
      <w:r w:rsidRPr="00AF15FF">
        <w:rPr>
          <w:rFonts w:ascii="Palatino Linotype" w:hAnsi="Palatino Linotype"/>
          <w:i/>
          <w:iCs/>
        </w:rPr>
        <w:t xml:space="preserve">El o los documentos donde consten las autorizaciones de servicios catastrales prestados por el Ayuntamiento de Naucalpan de Juárez (fusión, subdivisión, lotificación, relotificación, conjunto urbano, afectación o modificación de linderos, cambio de uso de suelo; modificación de superficie de terreno o construcción, otros), del periodo comprendido del nueve de mayo de dos mil veintitrés al nueve de mayo de dos mil veinticuatro. </w:t>
      </w:r>
    </w:p>
    <w:p w14:paraId="7C4B4D76" w14:textId="4F52E25E" w:rsidR="00AF15FF" w:rsidRPr="00AF15FF" w:rsidRDefault="00AF15FF" w:rsidP="00AF15FF">
      <w:pPr>
        <w:pStyle w:val="Prrafodelista"/>
        <w:numPr>
          <w:ilvl w:val="0"/>
          <w:numId w:val="25"/>
        </w:numPr>
        <w:spacing w:before="240" w:line="360" w:lineRule="auto"/>
        <w:jc w:val="both"/>
        <w:rPr>
          <w:rFonts w:ascii="Palatino Linotype" w:hAnsi="Palatino Linotype"/>
          <w:i/>
          <w:iCs/>
        </w:rPr>
      </w:pPr>
      <w:r w:rsidRPr="00AF15FF">
        <w:rPr>
          <w:rFonts w:ascii="Palatino Linotype" w:hAnsi="Palatino Linotype"/>
          <w:i/>
          <w:iCs/>
        </w:rPr>
        <w:t xml:space="preserve">El o los documentos donde conste el procedimiento que se siguió para la asignación de la clave catastral para condominio y/o condominio horizontal, del periodo comprendido del nueve de mayo de dos mil veintitrés al nueve de mayo de dos mil veinticuatro. </w:t>
      </w:r>
    </w:p>
    <w:p w14:paraId="07EF3569" w14:textId="77777777" w:rsidR="00AF15FF" w:rsidRDefault="00AF15FF" w:rsidP="00AF15FF">
      <w:pPr>
        <w:pStyle w:val="INFOEM"/>
        <w:spacing w:before="0" w:after="0"/>
        <w:ind w:left="720" w:right="567"/>
        <w:rPr>
          <w:sz w:val="24"/>
          <w:szCs w:val="24"/>
        </w:rPr>
      </w:pPr>
    </w:p>
    <w:p w14:paraId="51A6366D" w14:textId="08780E8D" w:rsidR="00D16A07" w:rsidRDefault="00D16A07" w:rsidP="00D16A07">
      <w:pPr>
        <w:pStyle w:val="Prrafodelista"/>
        <w:spacing w:before="240" w:line="360" w:lineRule="auto"/>
        <w:ind w:left="782"/>
        <w:jc w:val="both"/>
        <w:rPr>
          <w:rFonts w:ascii="Palatino Linotype" w:hAnsi="Palatino Linotype" w:cs="Arial"/>
          <w:i/>
        </w:rPr>
      </w:pPr>
      <w:r>
        <w:rPr>
          <w:rFonts w:ascii="Palatino Linotype" w:hAnsi="Palatino Linotype" w:cs="Arial"/>
          <w:i/>
        </w:rPr>
        <w:t xml:space="preserve">Para la entrega en versión pública deberá emitir el Acuerdo del Comité de </w:t>
      </w:r>
      <w:r w:rsidRPr="00BD001D">
        <w:rPr>
          <w:rFonts w:ascii="Palatino Linotype" w:hAnsi="Palatino Linotype" w:cs="Arial"/>
          <w:i/>
        </w:rPr>
        <w:t>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 así como la clasificación de los documentos considerados como confidenciales</w:t>
      </w:r>
      <w:r>
        <w:rPr>
          <w:rFonts w:ascii="Palatino Linotype" w:hAnsi="Palatino Linotype" w:cs="Arial"/>
          <w:i/>
        </w:rPr>
        <w:t xml:space="preserve"> en su totalidad</w:t>
      </w:r>
      <w:r w:rsidRPr="00BD001D">
        <w:rPr>
          <w:rFonts w:ascii="Palatino Linotype" w:hAnsi="Palatino Linotype" w:cs="Arial"/>
          <w:i/>
        </w:rPr>
        <w:t>, y se ponga a disposición del recurrente.</w:t>
      </w:r>
    </w:p>
    <w:p w14:paraId="3B9FA6AE" w14:textId="77777777" w:rsidR="00AF15FF" w:rsidRPr="00D16A07" w:rsidRDefault="00AF15FF" w:rsidP="00AF15FF">
      <w:pPr>
        <w:spacing w:line="360" w:lineRule="auto"/>
        <w:jc w:val="both"/>
        <w:rPr>
          <w:rFonts w:ascii="Palatino Linotype" w:hAnsi="Palatino Linotype" w:cs="Arial"/>
          <w:b/>
          <w:sz w:val="28"/>
          <w:lang w:val="es-ES"/>
        </w:rPr>
      </w:pPr>
    </w:p>
    <w:p w14:paraId="76CA2817" w14:textId="77777777" w:rsidR="00AF15FF" w:rsidRPr="00DC5E29" w:rsidRDefault="00AF15FF" w:rsidP="00AF15FF">
      <w:pPr>
        <w:spacing w:line="360" w:lineRule="auto"/>
        <w:jc w:val="both"/>
        <w:rPr>
          <w:rFonts w:ascii="Palatino Linotype" w:hAnsi="Palatino Linotype" w:cs="Tahoma"/>
          <w:bCs/>
        </w:rPr>
      </w:pPr>
      <w:r w:rsidRPr="00DC5E29">
        <w:rPr>
          <w:rFonts w:ascii="Palatino Linotype" w:hAnsi="Palatino Linotype" w:cs="Arial"/>
          <w:b/>
          <w:sz w:val="28"/>
        </w:rPr>
        <w:lastRenderedPageBreak/>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4A7293">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470F41D" w14:textId="77777777" w:rsidR="00AF15FF" w:rsidRPr="00DC5E29" w:rsidRDefault="00AF15FF" w:rsidP="00AF15FF">
      <w:pPr>
        <w:spacing w:line="360" w:lineRule="auto"/>
        <w:ind w:right="-595"/>
        <w:jc w:val="both"/>
        <w:rPr>
          <w:rFonts w:ascii="Palatino Linotype" w:hAnsi="Palatino Linotype" w:cs="Tahoma"/>
          <w:bCs/>
        </w:rPr>
      </w:pPr>
    </w:p>
    <w:p w14:paraId="3C51DCD2" w14:textId="77777777" w:rsidR="00AF15FF" w:rsidRDefault="00AF15FF" w:rsidP="00AF15FF">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0ADA65F0" w14:textId="77777777" w:rsidR="002C0D39" w:rsidRDefault="002C0D39" w:rsidP="00AF15FF">
      <w:pPr>
        <w:autoSpaceDE w:val="0"/>
        <w:autoSpaceDN w:val="0"/>
        <w:adjustRightInd w:val="0"/>
        <w:spacing w:line="360" w:lineRule="auto"/>
        <w:jc w:val="both"/>
        <w:rPr>
          <w:rFonts w:ascii="Palatino Linotype" w:hAnsi="Palatino Linotype" w:cs="Arial"/>
        </w:rPr>
      </w:pPr>
    </w:p>
    <w:p w14:paraId="7AA250D8" w14:textId="77777777" w:rsidR="00AF15FF" w:rsidRDefault="00AF15FF" w:rsidP="00AF15FF">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 xml:space="preserve">ormación Mexiquense </w:t>
      </w:r>
      <w:r w:rsidRPr="00AE0257">
        <w:rPr>
          <w:rFonts w:ascii="Palatino Linotype" w:hAnsi="Palatino Linotype" w:cs="Arial"/>
          <w:b/>
          <w:bCs/>
        </w:rPr>
        <w:t>(SAIMEX),</w:t>
      </w:r>
      <w:r>
        <w:rPr>
          <w:rFonts w:ascii="Palatino Linotype" w:hAnsi="Palatino Linotype" w:cs="Arial"/>
        </w:rPr>
        <w:t xml:space="preserve">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A743FCF" w14:textId="77777777" w:rsidR="00AF15FF" w:rsidRDefault="00AF15FF" w:rsidP="00AF15FF">
      <w:pPr>
        <w:autoSpaceDE w:val="0"/>
        <w:autoSpaceDN w:val="0"/>
        <w:adjustRightInd w:val="0"/>
        <w:spacing w:line="360" w:lineRule="auto"/>
        <w:jc w:val="both"/>
        <w:rPr>
          <w:rFonts w:ascii="Palatino Linotype" w:hAnsi="Palatino Linotype" w:cs="Arial"/>
        </w:rPr>
      </w:pPr>
    </w:p>
    <w:p w14:paraId="1828D30E" w14:textId="1A17720F" w:rsidR="0042216D" w:rsidRPr="00917744" w:rsidRDefault="0042216D" w:rsidP="0042216D">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lastRenderedPageBreak/>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w:t>
      </w:r>
      <w:r w:rsidR="005D774B">
        <w:rPr>
          <w:rFonts w:ascii="Palatino Linotype" w:hAnsi="Palatino Linotype" w:cs="Arial"/>
          <w:sz w:val="23"/>
          <w:szCs w:val="23"/>
        </w:rPr>
        <w:t xml:space="preserve">TRIGÉSIMA SEXTA </w:t>
      </w:r>
      <w:r w:rsidR="005D6754">
        <w:rPr>
          <w:rFonts w:ascii="Palatino Linotype" w:hAnsi="Palatino Linotype" w:cs="Arial"/>
          <w:sz w:val="23"/>
          <w:szCs w:val="23"/>
        </w:rPr>
        <w:t xml:space="preserve">SESIÓN ORDINARIA CELEBRADA </w:t>
      </w:r>
      <w:r w:rsidR="005D774B">
        <w:rPr>
          <w:rFonts w:ascii="Palatino Linotype" w:hAnsi="Palatino Linotype" w:cs="Arial"/>
          <w:sz w:val="23"/>
          <w:szCs w:val="23"/>
        </w:rPr>
        <w:t xml:space="preserve">EL NUEVE DE OCTUBRE DE DOS MIL VEINTICUATRO, </w:t>
      </w:r>
      <w:r w:rsidRPr="00917744">
        <w:rPr>
          <w:rFonts w:ascii="Palatino Linotype" w:hAnsi="Palatino Linotype" w:cs="Arial"/>
          <w:sz w:val="23"/>
          <w:szCs w:val="23"/>
        </w:rPr>
        <w:t xml:space="preserve">ANTE EL SECRETARIO TÉCNICO DEL PLENO, ALEXIS TAPIA RAMÍREZ. </w:t>
      </w:r>
    </w:p>
    <w:p w14:paraId="71357E20" w14:textId="01F7BF46" w:rsidR="0042216D" w:rsidRDefault="0042216D" w:rsidP="0042216D">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2C347AC0" w14:textId="546A7FCA" w:rsidR="0042216D" w:rsidRDefault="002C0D39" w:rsidP="0042216D">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840509" behindDoc="0" locked="0" layoutInCell="1" allowOverlap="1" wp14:anchorId="14B53CD4" wp14:editId="5B3AC3A1">
                <wp:simplePos x="0" y="0"/>
                <wp:positionH relativeFrom="margin">
                  <wp:align>right</wp:align>
                </wp:positionH>
                <wp:positionV relativeFrom="paragraph">
                  <wp:posOffset>58420</wp:posOffset>
                </wp:positionV>
                <wp:extent cx="5734050" cy="4562475"/>
                <wp:effectExtent l="0" t="0" r="19050" b="28575"/>
                <wp:wrapNone/>
                <wp:docPr id="971643704" name="Straight Connector 2"/>
                <wp:cNvGraphicFramePr/>
                <a:graphic xmlns:a="http://schemas.openxmlformats.org/drawingml/2006/main">
                  <a:graphicData uri="http://schemas.microsoft.com/office/word/2010/wordprocessingShape">
                    <wps:wsp>
                      <wps:cNvCnPr/>
                      <wps:spPr>
                        <a:xfrm>
                          <a:off x="0" y="0"/>
                          <a:ext cx="5734050" cy="4562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D9EBB1" id="Straight Connector 2" o:spid="_x0000_s1026" style="position:absolute;z-index:25184050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4.6pt" to="851.8pt,3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" strokecolor="#5b9bd5 [3204]" strokeweight=".5pt">
                <v:stroke joinstyle="miter"/>
                <w10:wrap anchorx="margin"/>
              </v:line>
            </w:pict>
          </mc:Fallback>
        </mc:AlternateContent>
      </w:r>
    </w:p>
    <w:p w14:paraId="37991C56" w14:textId="77777777" w:rsidR="0042216D" w:rsidRDefault="0042216D" w:rsidP="00562E5B">
      <w:pPr>
        <w:pStyle w:val="Citas"/>
        <w:ind w:left="0" w:right="0"/>
        <w:rPr>
          <w:sz w:val="24"/>
          <w:szCs w:val="24"/>
        </w:rPr>
      </w:pPr>
    </w:p>
    <w:p w14:paraId="5B9BAEF9" w14:textId="1EBA8436" w:rsidR="00D5662D" w:rsidRDefault="00D5662D" w:rsidP="00F2714B">
      <w:pPr>
        <w:pStyle w:val="Citas"/>
        <w:ind w:left="0" w:right="0"/>
        <w:rPr>
          <w:i w:val="0"/>
          <w:sz w:val="24"/>
          <w:szCs w:val="24"/>
        </w:rPr>
      </w:pPr>
    </w:p>
    <w:p w14:paraId="7A05E184" w14:textId="77777777" w:rsidR="00ED6AA7" w:rsidRDefault="00ED6AA7" w:rsidP="00F2714B">
      <w:pPr>
        <w:pStyle w:val="Citas"/>
        <w:ind w:left="0" w:right="0"/>
        <w:rPr>
          <w:i w:val="0"/>
          <w:sz w:val="24"/>
          <w:szCs w:val="24"/>
        </w:rPr>
      </w:pPr>
    </w:p>
    <w:p w14:paraId="4EA985FB" w14:textId="77777777" w:rsidR="00ED6AA7" w:rsidRDefault="00ED6AA7" w:rsidP="00F2714B">
      <w:pPr>
        <w:pStyle w:val="Citas"/>
        <w:ind w:left="0" w:right="0"/>
        <w:rPr>
          <w:i w:val="0"/>
          <w:sz w:val="24"/>
          <w:szCs w:val="24"/>
        </w:rPr>
      </w:pPr>
    </w:p>
    <w:p w14:paraId="5885BFEE" w14:textId="77777777" w:rsidR="00ED6AA7" w:rsidRDefault="00ED6AA7" w:rsidP="00F2714B">
      <w:pPr>
        <w:pStyle w:val="Citas"/>
        <w:ind w:left="0" w:right="0"/>
        <w:rPr>
          <w:i w:val="0"/>
          <w:sz w:val="24"/>
          <w:szCs w:val="24"/>
        </w:rPr>
      </w:pPr>
    </w:p>
    <w:p w14:paraId="1E20EDD2" w14:textId="77777777" w:rsidR="00ED6AA7" w:rsidRDefault="00ED6AA7" w:rsidP="00F2714B">
      <w:pPr>
        <w:pStyle w:val="Citas"/>
        <w:ind w:left="0" w:right="0"/>
        <w:rPr>
          <w:i w:val="0"/>
          <w:sz w:val="24"/>
          <w:szCs w:val="24"/>
        </w:rPr>
      </w:pPr>
    </w:p>
    <w:p w14:paraId="70505B64" w14:textId="77777777" w:rsidR="00ED6AA7" w:rsidRDefault="00ED6AA7" w:rsidP="00F2714B">
      <w:pPr>
        <w:pStyle w:val="Citas"/>
        <w:ind w:left="0" w:right="0"/>
        <w:rPr>
          <w:i w:val="0"/>
          <w:sz w:val="24"/>
          <w:szCs w:val="24"/>
        </w:rPr>
      </w:pPr>
    </w:p>
    <w:p w14:paraId="55CEFDD1" w14:textId="77777777" w:rsidR="00ED6AA7" w:rsidRDefault="00ED6AA7" w:rsidP="00F2714B">
      <w:pPr>
        <w:pStyle w:val="Citas"/>
        <w:ind w:left="0" w:right="0"/>
        <w:rPr>
          <w:i w:val="0"/>
          <w:sz w:val="24"/>
          <w:szCs w:val="24"/>
        </w:rPr>
      </w:pPr>
    </w:p>
    <w:p w14:paraId="00EC29C0" w14:textId="77777777" w:rsidR="00ED6AA7" w:rsidRDefault="00ED6AA7" w:rsidP="00F2714B">
      <w:pPr>
        <w:pStyle w:val="Citas"/>
        <w:ind w:left="0" w:right="0"/>
        <w:rPr>
          <w:i w:val="0"/>
          <w:sz w:val="24"/>
          <w:szCs w:val="24"/>
        </w:rPr>
      </w:pPr>
    </w:p>
    <w:p w14:paraId="7F0A50A9" w14:textId="77777777" w:rsidR="00ED6AA7" w:rsidRDefault="00ED6AA7" w:rsidP="00F2714B">
      <w:pPr>
        <w:pStyle w:val="Citas"/>
        <w:ind w:left="0" w:right="0"/>
        <w:rPr>
          <w:i w:val="0"/>
          <w:sz w:val="24"/>
          <w:szCs w:val="24"/>
        </w:rPr>
      </w:pPr>
    </w:p>
    <w:p w14:paraId="49C56027" w14:textId="77777777" w:rsidR="00ED6AA7" w:rsidRDefault="00ED6AA7" w:rsidP="00F2714B">
      <w:pPr>
        <w:pStyle w:val="Citas"/>
        <w:ind w:left="0" w:right="0"/>
        <w:rPr>
          <w:i w:val="0"/>
          <w:sz w:val="24"/>
          <w:szCs w:val="24"/>
        </w:rPr>
      </w:pPr>
    </w:p>
    <w:p w14:paraId="340687D1" w14:textId="77777777" w:rsidR="00ED6AA7" w:rsidRDefault="00ED6AA7" w:rsidP="00F2714B">
      <w:pPr>
        <w:pStyle w:val="Citas"/>
        <w:ind w:left="0" w:right="0"/>
        <w:rPr>
          <w:i w:val="0"/>
          <w:sz w:val="24"/>
          <w:szCs w:val="24"/>
        </w:rPr>
      </w:pPr>
    </w:p>
    <w:p w14:paraId="799539FC" w14:textId="77777777" w:rsidR="00ED6AA7" w:rsidRDefault="00ED6AA7" w:rsidP="00F2714B">
      <w:pPr>
        <w:pStyle w:val="Citas"/>
        <w:ind w:left="0" w:right="0"/>
        <w:rPr>
          <w:i w:val="0"/>
          <w:sz w:val="24"/>
          <w:szCs w:val="24"/>
        </w:rPr>
      </w:pPr>
    </w:p>
    <w:p w14:paraId="6CDE6950" w14:textId="77777777" w:rsidR="00ED6AA7" w:rsidRPr="00D5662D" w:rsidRDefault="00ED6AA7" w:rsidP="00F2714B">
      <w:pPr>
        <w:pStyle w:val="Citas"/>
        <w:ind w:left="0" w:right="0"/>
        <w:rPr>
          <w:i w:val="0"/>
          <w:sz w:val="24"/>
          <w:szCs w:val="24"/>
        </w:rPr>
      </w:pPr>
    </w:p>
    <w:sectPr w:rsidR="00ED6AA7" w:rsidRPr="00D5662D"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C0B73" w14:textId="77777777" w:rsidR="00D62FF7" w:rsidRDefault="00D62FF7" w:rsidP="006168E4">
      <w:pPr>
        <w:spacing w:after="0" w:line="240" w:lineRule="auto"/>
      </w:pPr>
      <w:r>
        <w:separator/>
      </w:r>
    </w:p>
  </w:endnote>
  <w:endnote w:type="continuationSeparator" w:id="0">
    <w:p w14:paraId="12A6E529" w14:textId="77777777" w:rsidR="00D62FF7" w:rsidRDefault="00D62FF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79773D" w:rsidRPr="000B69FA" w:rsidRDefault="0079773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05391">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05391">
      <w:rPr>
        <w:rFonts w:ascii="Palatino Linotype" w:hAnsi="Palatino Linotype"/>
        <w:bCs/>
        <w:noProof/>
        <w:sz w:val="20"/>
      </w:rPr>
      <w:t>67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79773D" w:rsidRPr="000B69FA" w:rsidRDefault="0079773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0539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05391">
      <w:rPr>
        <w:rFonts w:ascii="Palatino Linotype" w:hAnsi="Palatino Linotype"/>
        <w:bCs/>
        <w:noProof/>
        <w:sz w:val="20"/>
      </w:rPr>
      <w:t>67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EC40E" w14:textId="77777777" w:rsidR="00D62FF7" w:rsidRDefault="00D62FF7" w:rsidP="006168E4">
      <w:pPr>
        <w:spacing w:after="0" w:line="240" w:lineRule="auto"/>
      </w:pPr>
      <w:r>
        <w:separator/>
      </w:r>
    </w:p>
  </w:footnote>
  <w:footnote w:type="continuationSeparator" w:id="0">
    <w:p w14:paraId="4A079F0F" w14:textId="77777777" w:rsidR="00D62FF7" w:rsidRDefault="00D62FF7" w:rsidP="006168E4">
      <w:pPr>
        <w:spacing w:after="0" w:line="240" w:lineRule="auto"/>
      </w:pPr>
      <w:r>
        <w:continuationSeparator/>
      </w:r>
    </w:p>
  </w:footnote>
  <w:footnote w:id="1">
    <w:p w14:paraId="56D0E392" w14:textId="77777777" w:rsidR="001D0CC8" w:rsidRPr="007822E6" w:rsidRDefault="001D0CC8" w:rsidP="001D0CC8">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6B7467C" w14:textId="77777777" w:rsidR="001D0CC8" w:rsidRPr="005552A8" w:rsidRDefault="001D0CC8" w:rsidP="001D0CC8">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79773D" w:rsidRDefault="0079773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79773D" w14:paraId="1EC9A00A" w14:textId="77777777" w:rsidTr="009B28E9">
      <w:trPr>
        <w:trHeight w:val="227"/>
      </w:trPr>
      <w:tc>
        <w:tcPr>
          <w:tcW w:w="5529" w:type="dxa"/>
          <w:hideMark/>
        </w:tcPr>
        <w:p w14:paraId="54E20D87" w14:textId="77777777" w:rsidR="0079773D" w:rsidRDefault="0079773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1D09CE7F" w:rsidR="0079773D" w:rsidRPr="00B4142F" w:rsidRDefault="0079773D"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B2669">
            <w:rPr>
              <w:rFonts w:ascii="Palatino Linotype" w:hAnsi="Palatino Linotype" w:cs="Arial"/>
              <w:bCs/>
              <w:sz w:val="24"/>
              <w:lang w:eastAsia="es-MX"/>
            </w:rPr>
            <w:t>3815</w:t>
          </w:r>
          <w:r>
            <w:rPr>
              <w:rFonts w:ascii="Palatino Linotype" w:hAnsi="Palatino Linotype" w:cs="Arial"/>
              <w:bCs/>
              <w:sz w:val="24"/>
              <w:lang w:eastAsia="es-MX"/>
            </w:rPr>
            <w:t>/INFOEM/IP/RR/202</w:t>
          </w:r>
          <w:r w:rsidR="00FB2669">
            <w:rPr>
              <w:rFonts w:ascii="Palatino Linotype" w:hAnsi="Palatino Linotype" w:cs="Arial"/>
              <w:bCs/>
              <w:sz w:val="24"/>
              <w:lang w:eastAsia="es-MX"/>
            </w:rPr>
            <w:t>4</w:t>
          </w:r>
          <w:r>
            <w:rPr>
              <w:rFonts w:ascii="Palatino Linotype" w:hAnsi="Palatino Linotype" w:cs="Arial"/>
              <w:bCs/>
              <w:sz w:val="24"/>
              <w:lang w:eastAsia="es-MX"/>
            </w:rPr>
            <w:t xml:space="preserve"> </w:t>
          </w:r>
        </w:p>
      </w:tc>
    </w:tr>
    <w:tr w:rsidR="0079773D" w14:paraId="55FEBD54" w14:textId="77777777" w:rsidTr="009B28E9">
      <w:trPr>
        <w:trHeight w:val="242"/>
      </w:trPr>
      <w:tc>
        <w:tcPr>
          <w:tcW w:w="5529" w:type="dxa"/>
          <w:hideMark/>
        </w:tcPr>
        <w:p w14:paraId="380D58F4" w14:textId="77777777" w:rsidR="0079773D" w:rsidRDefault="0079773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4F0E5994" w:rsidR="0079773D" w:rsidRPr="00F06FED" w:rsidRDefault="0079773D" w:rsidP="009237DE">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FB2669">
            <w:rPr>
              <w:rFonts w:ascii="Palatino Linotype" w:hAnsi="Palatino Linotype" w:cs="Arial"/>
              <w:szCs w:val="20"/>
            </w:rPr>
            <w:t>Naucalpan de Juárez</w:t>
          </w:r>
        </w:p>
      </w:tc>
    </w:tr>
    <w:tr w:rsidR="0079773D" w14:paraId="21314286" w14:textId="77777777" w:rsidTr="009B28E9">
      <w:trPr>
        <w:trHeight w:val="342"/>
      </w:trPr>
      <w:tc>
        <w:tcPr>
          <w:tcW w:w="5529" w:type="dxa"/>
          <w:hideMark/>
        </w:tcPr>
        <w:p w14:paraId="28B22B0A" w14:textId="77777777" w:rsidR="0079773D" w:rsidRDefault="0079773D"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79773D" w:rsidRDefault="0079773D"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79773D" w:rsidRDefault="0079773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79773D" w14:paraId="42D97161" w14:textId="77777777" w:rsidTr="009B28E9">
      <w:trPr>
        <w:trHeight w:val="227"/>
      </w:trPr>
      <w:tc>
        <w:tcPr>
          <w:tcW w:w="5529" w:type="dxa"/>
          <w:hideMark/>
        </w:tcPr>
        <w:p w14:paraId="079C0A7D" w14:textId="77777777" w:rsidR="0079773D" w:rsidRDefault="0079773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3AC637B3" w:rsidR="0079773D" w:rsidRPr="00B4142F" w:rsidRDefault="0079773D"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B2669">
            <w:rPr>
              <w:rFonts w:ascii="Palatino Linotype" w:hAnsi="Palatino Linotype" w:cs="Arial"/>
              <w:bCs/>
              <w:sz w:val="24"/>
              <w:lang w:eastAsia="es-MX"/>
            </w:rPr>
            <w:t>3815</w:t>
          </w:r>
          <w:r>
            <w:rPr>
              <w:rFonts w:ascii="Palatino Linotype" w:hAnsi="Palatino Linotype" w:cs="Arial"/>
              <w:bCs/>
              <w:sz w:val="24"/>
              <w:lang w:eastAsia="es-MX"/>
            </w:rPr>
            <w:t>/INFOEM/IP/RR/202</w:t>
          </w:r>
          <w:r w:rsidR="00FB2669">
            <w:rPr>
              <w:rFonts w:ascii="Palatino Linotype" w:hAnsi="Palatino Linotype" w:cs="Arial"/>
              <w:bCs/>
              <w:sz w:val="24"/>
              <w:lang w:eastAsia="es-MX"/>
            </w:rPr>
            <w:t>4</w:t>
          </w:r>
          <w:r>
            <w:rPr>
              <w:rFonts w:ascii="Palatino Linotype" w:hAnsi="Palatino Linotype" w:cs="Arial"/>
              <w:bCs/>
              <w:sz w:val="24"/>
              <w:lang w:eastAsia="es-MX"/>
            </w:rPr>
            <w:t xml:space="preserve"> </w:t>
          </w:r>
        </w:p>
      </w:tc>
    </w:tr>
    <w:tr w:rsidR="0079773D" w14:paraId="36CDA2D2" w14:textId="77777777" w:rsidTr="009B28E9">
      <w:trPr>
        <w:trHeight w:val="196"/>
      </w:trPr>
      <w:tc>
        <w:tcPr>
          <w:tcW w:w="5529" w:type="dxa"/>
          <w:hideMark/>
        </w:tcPr>
        <w:p w14:paraId="2ADF7609" w14:textId="77777777" w:rsidR="0079773D" w:rsidRDefault="0079773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5DC65DB2" w:rsidR="00EA63C2" w:rsidRPr="00F06FED" w:rsidRDefault="00EA63C2" w:rsidP="00EA63C2">
          <w:pPr>
            <w:spacing w:after="120" w:line="256" w:lineRule="auto"/>
            <w:ind w:left="639" w:right="214"/>
            <w:jc w:val="both"/>
            <w:rPr>
              <w:rFonts w:ascii="Palatino Linotype" w:hAnsi="Palatino Linotype" w:cs="Arial"/>
            </w:rPr>
          </w:pPr>
          <w:r>
            <w:rPr>
              <w:rFonts w:ascii="Palatino Linotype" w:hAnsi="Palatino Linotype" w:cs="Arial"/>
            </w:rPr>
            <w:t>XXXXXXXXXXXXXXX</w:t>
          </w:r>
        </w:p>
      </w:tc>
    </w:tr>
    <w:tr w:rsidR="0079773D" w14:paraId="652F9A44" w14:textId="77777777" w:rsidTr="009B28E9">
      <w:trPr>
        <w:trHeight w:val="242"/>
      </w:trPr>
      <w:tc>
        <w:tcPr>
          <w:tcW w:w="5529" w:type="dxa"/>
          <w:hideMark/>
        </w:tcPr>
        <w:p w14:paraId="09EC290F" w14:textId="77777777" w:rsidR="0079773D" w:rsidRDefault="0079773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5EEE774E" w:rsidR="0079773D" w:rsidRDefault="0079773D" w:rsidP="009237DE">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FB2669">
            <w:rPr>
              <w:rFonts w:ascii="Palatino Linotype" w:hAnsi="Palatino Linotype" w:cs="Arial"/>
              <w:szCs w:val="20"/>
            </w:rPr>
            <w:t>Naucalpan de Juárez</w:t>
          </w:r>
        </w:p>
      </w:tc>
    </w:tr>
    <w:tr w:rsidR="0079773D" w14:paraId="4476548B" w14:textId="77777777" w:rsidTr="009B28E9">
      <w:trPr>
        <w:trHeight w:val="342"/>
      </w:trPr>
      <w:tc>
        <w:tcPr>
          <w:tcW w:w="5529" w:type="dxa"/>
          <w:hideMark/>
        </w:tcPr>
        <w:p w14:paraId="6E3E07EE" w14:textId="77777777" w:rsidR="0079773D" w:rsidRDefault="0079773D"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79773D" w:rsidRDefault="0079773D"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79773D" w:rsidRDefault="0079773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21D5"/>
    <w:multiLevelType w:val="hybridMultilevel"/>
    <w:tmpl w:val="1D188B5E"/>
    <w:lvl w:ilvl="0" w:tplc="F9C6B8E0">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3895CDE"/>
    <w:multiLevelType w:val="hybridMultilevel"/>
    <w:tmpl w:val="F7AAF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97F94"/>
    <w:multiLevelType w:val="hybridMultilevel"/>
    <w:tmpl w:val="C58E7F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5935085"/>
    <w:multiLevelType w:val="hybridMultilevel"/>
    <w:tmpl w:val="98BE24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F3035CA"/>
    <w:multiLevelType w:val="hybridMultilevel"/>
    <w:tmpl w:val="98BE2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194E6A"/>
    <w:multiLevelType w:val="hybridMultilevel"/>
    <w:tmpl w:val="2B1A03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317A75"/>
    <w:multiLevelType w:val="multilevel"/>
    <w:tmpl w:val="6E88F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FB173C"/>
    <w:multiLevelType w:val="hybridMultilevel"/>
    <w:tmpl w:val="98BE24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AAE5603"/>
    <w:multiLevelType w:val="hybridMultilevel"/>
    <w:tmpl w:val="13D064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027BB9"/>
    <w:multiLevelType w:val="hybridMultilevel"/>
    <w:tmpl w:val="71A422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C12FBD"/>
    <w:multiLevelType w:val="hybridMultilevel"/>
    <w:tmpl w:val="2C3A35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0D79F5"/>
    <w:multiLevelType w:val="hybridMultilevel"/>
    <w:tmpl w:val="06843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72129C"/>
    <w:multiLevelType w:val="hybridMultilevel"/>
    <w:tmpl w:val="3DC87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BF4DE6"/>
    <w:multiLevelType w:val="multilevel"/>
    <w:tmpl w:val="7D5C8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81201E0"/>
    <w:multiLevelType w:val="hybridMultilevel"/>
    <w:tmpl w:val="73EEFD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112666"/>
    <w:multiLevelType w:val="hybridMultilevel"/>
    <w:tmpl w:val="25CA3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7B0E29"/>
    <w:multiLevelType w:val="hybridMultilevel"/>
    <w:tmpl w:val="B40E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1"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6DFE015E"/>
    <w:multiLevelType w:val="hybridMultilevel"/>
    <w:tmpl w:val="33302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DF4C9F"/>
    <w:multiLevelType w:val="hybridMultilevel"/>
    <w:tmpl w:val="5DFC1E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19"/>
  </w:num>
  <w:num w:numId="4">
    <w:abstractNumId w:val="18"/>
  </w:num>
  <w:num w:numId="5">
    <w:abstractNumId w:val="0"/>
  </w:num>
  <w:num w:numId="6">
    <w:abstractNumId w:val="14"/>
  </w:num>
  <w:num w:numId="7">
    <w:abstractNumId w:val="12"/>
  </w:num>
  <w:num w:numId="8">
    <w:abstractNumId w:val="11"/>
  </w:num>
  <w:num w:numId="9">
    <w:abstractNumId w:val="21"/>
  </w:num>
  <w:num w:numId="10">
    <w:abstractNumId w:val="7"/>
  </w:num>
  <w:num w:numId="11">
    <w:abstractNumId w:val="17"/>
  </w:num>
  <w:num w:numId="12">
    <w:abstractNumId w:val="6"/>
  </w:num>
  <w:num w:numId="13">
    <w:abstractNumId w:val="24"/>
  </w:num>
  <w:num w:numId="14">
    <w:abstractNumId w:val="13"/>
  </w:num>
  <w:num w:numId="15">
    <w:abstractNumId w:val="5"/>
  </w:num>
  <w:num w:numId="16">
    <w:abstractNumId w:val="2"/>
  </w:num>
  <w:num w:numId="17">
    <w:abstractNumId w:val="10"/>
  </w:num>
  <w:num w:numId="18">
    <w:abstractNumId w:val="9"/>
  </w:num>
  <w:num w:numId="19">
    <w:abstractNumId w:val="22"/>
  </w:num>
  <w:num w:numId="20">
    <w:abstractNumId w:val="8"/>
  </w:num>
  <w:num w:numId="21">
    <w:abstractNumId w:val="16"/>
  </w:num>
  <w:num w:numId="22">
    <w:abstractNumId w:val="15"/>
  </w:num>
  <w:num w:numId="23">
    <w:abstractNumId w:val="3"/>
  </w:num>
  <w:num w:numId="24">
    <w:abstractNumId w:val="23"/>
  </w:num>
  <w:num w:numId="2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10F2B"/>
    <w:rsid w:val="000112B7"/>
    <w:rsid w:val="000170DF"/>
    <w:rsid w:val="000200FB"/>
    <w:rsid w:val="00020A70"/>
    <w:rsid w:val="00022604"/>
    <w:rsid w:val="000236FA"/>
    <w:rsid w:val="0002450B"/>
    <w:rsid w:val="0002766F"/>
    <w:rsid w:val="000306A7"/>
    <w:rsid w:val="00031C92"/>
    <w:rsid w:val="0004199A"/>
    <w:rsid w:val="00045379"/>
    <w:rsid w:val="000461DF"/>
    <w:rsid w:val="00046AD8"/>
    <w:rsid w:val="000520A8"/>
    <w:rsid w:val="00054DD0"/>
    <w:rsid w:val="00055224"/>
    <w:rsid w:val="0005543E"/>
    <w:rsid w:val="0005622A"/>
    <w:rsid w:val="0006076C"/>
    <w:rsid w:val="00061821"/>
    <w:rsid w:val="000623F9"/>
    <w:rsid w:val="00062482"/>
    <w:rsid w:val="00062D5C"/>
    <w:rsid w:val="00063A10"/>
    <w:rsid w:val="00063EFB"/>
    <w:rsid w:val="000662F8"/>
    <w:rsid w:val="00073E78"/>
    <w:rsid w:val="000758EF"/>
    <w:rsid w:val="000849A2"/>
    <w:rsid w:val="00087614"/>
    <w:rsid w:val="00090AFC"/>
    <w:rsid w:val="00091552"/>
    <w:rsid w:val="00091C3A"/>
    <w:rsid w:val="000A2D37"/>
    <w:rsid w:val="000A3486"/>
    <w:rsid w:val="000A4DD1"/>
    <w:rsid w:val="000A70F8"/>
    <w:rsid w:val="000A71F4"/>
    <w:rsid w:val="000A79DA"/>
    <w:rsid w:val="000B1702"/>
    <w:rsid w:val="000B4B51"/>
    <w:rsid w:val="000B7158"/>
    <w:rsid w:val="000C5B8B"/>
    <w:rsid w:val="000D0BC5"/>
    <w:rsid w:val="000D1B55"/>
    <w:rsid w:val="000D25F5"/>
    <w:rsid w:val="000D3C75"/>
    <w:rsid w:val="000D6116"/>
    <w:rsid w:val="000D7A3D"/>
    <w:rsid w:val="000E0655"/>
    <w:rsid w:val="000E35A6"/>
    <w:rsid w:val="000E686B"/>
    <w:rsid w:val="000F3EE7"/>
    <w:rsid w:val="000F68B1"/>
    <w:rsid w:val="000F6F19"/>
    <w:rsid w:val="000F7AC2"/>
    <w:rsid w:val="00100E19"/>
    <w:rsid w:val="00102D69"/>
    <w:rsid w:val="00110EDB"/>
    <w:rsid w:val="00111D8E"/>
    <w:rsid w:val="00111DCD"/>
    <w:rsid w:val="00114CF9"/>
    <w:rsid w:val="0011564C"/>
    <w:rsid w:val="001167AA"/>
    <w:rsid w:val="00117157"/>
    <w:rsid w:val="00123FBB"/>
    <w:rsid w:val="00124855"/>
    <w:rsid w:val="001254F5"/>
    <w:rsid w:val="00127FE0"/>
    <w:rsid w:val="001336D3"/>
    <w:rsid w:val="00136FAD"/>
    <w:rsid w:val="00144B4A"/>
    <w:rsid w:val="00146F0A"/>
    <w:rsid w:val="00147B36"/>
    <w:rsid w:val="00152124"/>
    <w:rsid w:val="00152C2B"/>
    <w:rsid w:val="001646D0"/>
    <w:rsid w:val="00171CEB"/>
    <w:rsid w:val="00172661"/>
    <w:rsid w:val="001742A5"/>
    <w:rsid w:val="00174EE4"/>
    <w:rsid w:val="00175279"/>
    <w:rsid w:val="00175897"/>
    <w:rsid w:val="00175C56"/>
    <w:rsid w:val="001760E6"/>
    <w:rsid w:val="00177D2C"/>
    <w:rsid w:val="001804C3"/>
    <w:rsid w:val="00180B9F"/>
    <w:rsid w:val="00181CC5"/>
    <w:rsid w:val="00184899"/>
    <w:rsid w:val="001854D4"/>
    <w:rsid w:val="00191926"/>
    <w:rsid w:val="00193784"/>
    <w:rsid w:val="00193C4E"/>
    <w:rsid w:val="00193FB6"/>
    <w:rsid w:val="001942EE"/>
    <w:rsid w:val="001A02EC"/>
    <w:rsid w:val="001A0906"/>
    <w:rsid w:val="001A22D7"/>
    <w:rsid w:val="001A32F0"/>
    <w:rsid w:val="001A577E"/>
    <w:rsid w:val="001A58DE"/>
    <w:rsid w:val="001A6BAC"/>
    <w:rsid w:val="001A7C9B"/>
    <w:rsid w:val="001B05B9"/>
    <w:rsid w:val="001B1519"/>
    <w:rsid w:val="001B7B88"/>
    <w:rsid w:val="001C0BAD"/>
    <w:rsid w:val="001C3B9A"/>
    <w:rsid w:val="001C7319"/>
    <w:rsid w:val="001C7D87"/>
    <w:rsid w:val="001D0CC8"/>
    <w:rsid w:val="001D3E87"/>
    <w:rsid w:val="001D5F16"/>
    <w:rsid w:val="001D6FAB"/>
    <w:rsid w:val="001E1D18"/>
    <w:rsid w:val="001E2C0F"/>
    <w:rsid w:val="001E668A"/>
    <w:rsid w:val="001F0A4F"/>
    <w:rsid w:val="001F4ADC"/>
    <w:rsid w:val="001F71ED"/>
    <w:rsid w:val="001F7844"/>
    <w:rsid w:val="00203D3A"/>
    <w:rsid w:val="00203FF3"/>
    <w:rsid w:val="002044B4"/>
    <w:rsid w:val="00206AF1"/>
    <w:rsid w:val="00207086"/>
    <w:rsid w:val="00211D60"/>
    <w:rsid w:val="0021501E"/>
    <w:rsid w:val="0021572A"/>
    <w:rsid w:val="002176DF"/>
    <w:rsid w:val="002205C0"/>
    <w:rsid w:val="00224749"/>
    <w:rsid w:val="0022494A"/>
    <w:rsid w:val="00225507"/>
    <w:rsid w:val="00227D4E"/>
    <w:rsid w:val="0023373D"/>
    <w:rsid w:val="0023423C"/>
    <w:rsid w:val="00237F4F"/>
    <w:rsid w:val="0024112D"/>
    <w:rsid w:val="00244177"/>
    <w:rsid w:val="002522E9"/>
    <w:rsid w:val="00254477"/>
    <w:rsid w:val="00257337"/>
    <w:rsid w:val="002577FE"/>
    <w:rsid w:val="0025780C"/>
    <w:rsid w:val="00266AE6"/>
    <w:rsid w:val="00267C18"/>
    <w:rsid w:val="00273D0E"/>
    <w:rsid w:val="00280B8B"/>
    <w:rsid w:val="00292350"/>
    <w:rsid w:val="00297645"/>
    <w:rsid w:val="00297EF9"/>
    <w:rsid w:val="002A2034"/>
    <w:rsid w:val="002A24F4"/>
    <w:rsid w:val="002A38BF"/>
    <w:rsid w:val="002A597E"/>
    <w:rsid w:val="002A7CC2"/>
    <w:rsid w:val="002B0FB9"/>
    <w:rsid w:val="002B4382"/>
    <w:rsid w:val="002B4825"/>
    <w:rsid w:val="002B5479"/>
    <w:rsid w:val="002B5DBD"/>
    <w:rsid w:val="002B72F9"/>
    <w:rsid w:val="002C0D39"/>
    <w:rsid w:val="002C498D"/>
    <w:rsid w:val="002C4FE1"/>
    <w:rsid w:val="002C72D2"/>
    <w:rsid w:val="002D2F00"/>
    <w:rsid w:val="002D79E2"/>
    <w:rsid w:val="002D7A5D"/>
    <w:rsid w:val="002E0A4A"/>
    <w:rsid w:val="002E0BC4"/>
    <w:rsid w:val="002E21B4"/>
    <w:rsid w:val="002E2D7B"/>
    <w:rsid w:val="002E5A98"/>
    <w:rsid w:val="002E5E6A"/>
    <w:rsid w:val="002F22FA"/>
    <w:rsid w:val="002F37BE"/>
    <w:rsid w:val="002F41CA"/>
    <w:rsid w:val="002F4C6A"/>
    <w:rsid w:val="002F527C"/>
    <w:rsid w:val="002F70F6"/>
    <w:rsid w:val="00300D0B"/>
    <w:rsid w:val="003043BE"/>
    <w:rsid w:val="00306096"/>
    <w:rsid w:val="00306974"/>
    <w:rsid w:val="00307014"/>
    <w:rsid w:val="0031645D"/>
    <w:rsid w:val="00320070"/>
    <w:rsid w:val="00320A67"/>
    <w:rsid w:val="003272FB"/>
    <w:rsid w:val="00330857"/>
    <w:rsid w:val="00331499"/>
    <w:rsid w:val="0033580E"/>
    <w:rsid w:val="00336C5B"/>
    <w:rsid w:val="0034005B"/>
    <w:rsid w:val="00343D1E"/>
    <w:rsid w:val="00354258"/>
    <w:rsid w:val="00355593"/>
    <w:rsid w:val="00357E0E"/>
    <w:rsid w:val="00361B9C"/>
    <w:rsid w:val="00361D89"/>
    <w:rsid w:val="003672FB"/>
    <w:rsid w:val="00370797"/>
    <w:rsid w:val="003746C6"/>
    <w:rsid w:val="00375763"/>
    <w:rsid w:val="00375BEA"/>
    <w:rsid w:val="00376CEC"/>
    <w:rsid w:val="00380758"/>
    <w:rsid w:val="003810B1"/>
    <w:rsid w:val="003815E5"/>
    <w:rsid w:val="00381E2B"/>
    <w:rsid w:val="003838B4"/>
    <w:rsid w:val="00387929"/>
    <w:rsid w:val="00390988"/>
    <w:rsid w:val="00390F4E"/>
    <w:rsid w:val="00393D5B"/>
    <w:rsid w:val="0039438D"/>
    <w:rsid w:val="0039460D"/>
    <w:rsid w:val="00394A1E"/>
    <w:rsid w:val="00395D7F"/>
    <w:rsid w:val="00396244"/>
    <w:rsid w:val="003968C7"/>
    <w:rsid w:val="003A2246"/>
    <w:rsid w:val="003A2658"/>
    <w:rsid w:val="003A61F9"/>
    <w:rsid w:val="003A6975"/>
    <w:rsid w:val="003A7CBB"/>
    <w:rsid w:val="003B0181"/>
    <w:rsid w:val="003B1E88"/>
    <w:rsid w:val="003B5E96"/>
    <w:rsid w:val="003C5243"/>
    <w:rsid w:val="003C53ED"/>
    <w:rsid w:val="003D0B7E"/>
    <w:rsid w:val="003D4E0F"/>
    <w:rsid w:val="003E16E1"/>
    <w:rsid w:val="003E1871"/>
    <w:rsid w:val="003E504D"/>
    <w:rsid w:val="003E656A"/>
    <w:rsid w:val="003E78B7"/>
    <w:rsid w:val="003F3016"/>
    <w:rsid w:val="003F58CD"/>
    <w:rsid w:val="003F6645"/>
    <w:rsid w:val="003F76E5"/>
    <w:rsid w:val="004012CF"/>
    <w:rsid w:val="004015EE"/>
    <w:rsid w:val="00402FF3"/>
    <w:rsid w:val="0040673A"/>
    <w:rsid w:val="004069EB"/>
    <w:rsid w:val="00410ACB"/>
    <w:rsid w:val="00412600"/>
    <w:rsid w:val="00417C9E"/>
    <w:rsid w:val="0042216D"/>
    <w:rsid w:val="00422ED2"/>
    <w:rsid w:val="00423213"/>
    <w:rsid w:val="00423398"/>
    <w:rsid w:val="0042416D"/>
    <w:rsid w:val="00424EA1"/>
    <w:rsid w:val="00436802"/>
    <w:rsid w:val="00437E68"/>
    <w:rsid w:val="00442E45"/>
    <w:rsid w:val="00443AD4"/>
    <w:rsid w:val="0044438E"/>
    <w:rsid w:val="00445C0F"/>
    <w:rsid w:val="00451448"/>
    <w:rsid w:val="004516EB"/>
    <w:rsid w:val="004529B6"/>
    <w:rsid w:val="00453DBD"/>
    <w:rsid w:val="00454CE6"/>
    <w:rsid w:val="00455463"/>
    <w:rsid w:val="00457305"/>
    <w:rsid w:val="00457393"/>
    <w:rsid w:val="00457955"/>
    <w:rsid w:val="00462881"/>
    <w:rsid w:val="004640F2"/>
    <w:rsid w:val="00467337"/>
    <w:rsid w:val="00475345"/>
    <w:rsid w:val="00475F48"/>
    <w:rsid w:val="00476790"/>
    <w:rsid w:val="00477CC2"/>
    <w:rsid w:val="00477D47"/>
    <w:rsid w:val="004814EA"/>
    <w:rsid w:val="0048180A"/>
    <w:rsid w:val="00481C7A"/>
    <w:rsid w:val="00487DB5"/>
    <w:rsid w:val="004906C8"/>
    <w:rsid w:val="00492BC7"/>
    <w:rsid w:val="004938E6"/>
    <w:rsid w:val="004967E2"/>
    <w:rsid w:val="004975A8"/>
    <w:rsid w:val="004A114B"/>
    <w:rsid w:val="004A2363"/>
    <w:rsid w:val="004A290F"/>
    <w:rsid w:val="004A458D"/>
    <w:rsid w:val="004A55D8"/>
    <w:rsid w:val="004A5FFD"/>
    <w:rsid w:val="004A7CE2"/>
    <w:rsid w:val="004B031A"/>
    <w:rsid w:val="004B234F"/>
    <w:rsid w:val="004B59BB"/>
    <w:rsid w:val="004B5CCC"/>
    <w:rsid w:val="004C2845"/>
    <w:rsid w:val="004C7961"/>
    <w:rsid w:val="004D08EB"/>
    <w:rsid w:val="004D2B88"/>
    <w:rsid w:val="004D3B15"/>
    <w:rsid w:val="004D54E3"/>
    <w:rsid w:val="004E1A3D"/>
    <w:rsid w:val="004E2371"/>
    <w:rsid w:val="004E6BE9"/>
    <w:rsid w:val="004E754F"/>
    <w:rsid w:val="004E7A84"/>
    <w:rsid w:val="004F17D6"/>
    <w:rsid w:val="004F33EA"/>
    <w:rsid w:val="004F4F45"/>
    <w:rsid w:val="005001FE"/>
    <w:rsid w:val="005020E9"/>
    <w:rsid w:val="00503655"/>
    <w:rsid w:val="00504BE3"/>
    <w:rsid w:val="005128DD"/>
    <w:rsid w:val="00514207"/>
    <w:rsid w:val="005149BE"/>
    <w:rsid w:val="00515090"/>
    <w:rsid w:val="005179E4"/>
    <w:rsid w:val="00521E57"/>
    <w:rsid w:val="005305EA"/>
    <w:rsid w:val="0053652A"/>
    <w:rsid w:val="005371E7"/>
    <w:rsid w:val="00537E4B"/>
    <w:rsid w:val="00540538"/>
    <w:rsid w:val="00540D50"/>
    <w:rsid w:val="00541A81"/>
    <w:rsid w:val="00542664"/>
    <w:rsid w:val="0054338C"/>
    <w:rsid w:val="00544CF2"/>
    <w:rsid w:val="00551E8B"/>
    <w:rsid w:val="005520FE"/>
    <w:rsid w:val="0055263C"/>
    <w:rsid w:val="00554277"/>
    <w:rsid w:val="0055472B"/>
    <w:rsid w:val="00555D9A"/>
    <w:rsid w:val="00556513"/>
    <w:rsid w:val="00557F13"/>
    <w:rsid w:val="00562653"/>
    <w:rsid w:val="00562E5B"/>
    <w:rsid w:val="00563CE8"/>
    <w:rsid w:val="005662E2"/>
    <w:rsid w:val="005733EB"/>
    <w:rsid w:val="005734C5"/>
    <w:rsid w:val="00576D51"/>
    <w:rsid w:val="00580802"/>
    <w:rsid w:val="00581A22"/>
    <w:rsid w:val="005860CB"/>
    <w:rsid w:val="00592264"/>
    <w:rsid w:val="00593E91"/>
    <w:rsid w:val="0059442D"/>
    <w:rsid w:val="00594D38"/>
    <w:rsid w:val="0059753D"/>
    <w:rsid w:val="005A0B49"/>
    <w:rsid w:val="005A1108"/>
    <w:rsid w:val="005A353A"/>
    <w:rsid w:val="005A6D57"/>
    <w:rsid w:val="005A71FD"/>
    <w:rsid w:val="005B5B70"/>
    <w:rsid w:val="005B5F05"/>
    <w:rsid w:val="005C17BF"/>
    <w:rsid w:val="005C57BA"/>
    <w:rsid w:val="005C6982"/>
    <w:rsid w:val="005C6B74"/>
    <w:rsid w:val="005C6C03"/>
    <w:rsid w:val="005C7AEA"/>
    <w:rsid w:val="005D125D"/>
    <w:rsid w:val="005D2B59"/>
    <w:rsid w:val="005D362F"/>
    <w:rsid w:val="005D370F"/>
    <w:rsid w:val="005D44D1"/>
    <w:rsid w:val="005D53D6"/>
    <w:rsid w:val="005D6754"/>
    <w:rsid w:val="005D774B"/>
    <w:rsid w:val="005E265D"/>
    <w:rsid w:val="005E3D7D"/>
    <w:rsid w:val="005E4D7C"/>
    <w:rsid w:val="005E5F6A"/>
    <w:rsid w:val="005F048E"/>
    <w:rsid w:val="005F2C76"/>
    <w:rsid w:val="005F36AE"/>
    <w:rsid w:val="005F57F0"/>
    <w:rsid w:val="00601010"/>
    <w:rsid w:val="006028C9"/>
    <w:rsid w:val="00605391"/>
    <w:rsid w:val="0060721D"/>
    <w:rsid w:val="0061042F"/>
    <w:rsid w:val="0061310F"/>
    <w:rsid w:val="006168E4"/>
    <w:rsid w:val="00621F47"/>
    <w:rsid w:val="0062497C"/>
    <w:rsid w:val="00625200"/>
    <w:rsid w:val="006255AA"/>
    <w:rsid w:val="00631806"/>
    <w:rsid w:val="00637512"/>
    <w:rsid w:val="00640EE4"/>
    <w:rsid w:val="006466F5"/>
    <w:rsid w:val="00647201"/>
    <w:rsid w:val="00652BC5"/>
    <w:rsid w:val="00661753"/>
    <w:rsid w:val="0066216F"/>
    <w:rsid w:val="006654F6"/>
    <w:rsid w:val="00672C3B"/>
    <w:rsid w:val="00675390"/>
    <w:rsid w:val="00676CAA"/>
    <w:rsid w:val="006827AB"/>
    <w:rsid w:val="00683B62"/>
    <w:rsid w:val="006848B7"/>
    <w:rsid w:val="00684D48"/>
    <w:rsid w:val="006868A7"/>
    <w:rsid w:val="006915EA"/>
    <w:rsid w:val="00694828"/>
    <w:rsid w:val="006A3810"/>
    <w:rsid w:val="006A5ABD"/>
    <w:rsid w:val="006A68B8"/>
    <w:rsid w:val="006A7CEB"/>
    <w:rsid w:val="006B1953"/>
    <w:rsid w:val="006B1BF1"/>
    <w:rsid w:val="006B20F0"/>
    <w:rsid w:val="006B26E3"/>
    <w:rsid w:val="006B3085"/>
    <w:rsid w:val="006B69CF"/>
    <w:rsid w:val="006B7444"/>
    <w:rsid w:val="006C0D44"/>
    <w:rsid w:val="006C28CA"/>
    <w:rsid w:val="006C350D"/>
    <w:rsid w:val="006C5E56"/>
    <w:rsid w:val="006C66E4"/>
    <w:rsid w:val="006D23FC"/>
    <w:rsid w:val="006D643D"/>
    <w:rsid w:val="006E063C"/>
    <w:rsid w:val="006E3851"/>
    <w:rsid w:val="006E6EC4"/>
    <w:rsid w:val="006F1167"/>
    <w:rsid w:val="006F4044"/>
    <w:rsid w:val="006F46DC"/>
    <w:rsid w:val="006F4CC6"/>
    <w:rsid w:val="007008AB"/>
    <w:rsid w:val="00701033"/>
    <w:rsid w:val="00701A3F"/>
    <w:rsid w:val="00704EFD"/>
    <w:rsid w:val="007051A0"/>
    <w:rsid w:val="007078C8"/>
    <w:rsid w:val="00711390"/>
    <w:rsid w:val="00712E3A"/>
    <w:rsid w:val="00721506"/>
    <w:rsid w:val="007216DB"/>
    <w:rsid w:val="007246D3"/>
    <w:rsid w:val="00725608"/>
    <w:rsid w:val="00725F5A"/>
    <w:rsid w:val="00730E25"/>
    <w:rsid w:val="00731C37"/>
    <w:rsid w:val="007404D5"/>
    <w:rsid w:val="00744287"/>
    <w:rsid w:val="00744EEF"/>
    <w:rsid w:val="00745D76"/>
    <w:rsid w:val="00747109"/>
    <w:rsid w:val="00747487"/>
    <w:rsid w:val="007505EB"/>
    <w:rsid w:val="00754CAE"/>
    <w:rsid w:val="00760D70"/>
    <w:rsid w:val="00763EE7"/>
    <w:rsid w:val="0076623B"/>
    <w:rsid w:val="00767E4B"/>
    <w:rsid w:val="007718AD"/>
    <w:rsid w:val="007742A7"/>
    <w:rsid w:val="007851D5"/>
    <w:rsid w:val="0078588E"/>
    <w:rsid w:val="00793CFD"/>
    <w:rsid w:val="0079486A"/>
    <w:rsid w:val="00794F80"/>
    <w:rsid w:val="0079773D"/>
    <w:rsid w:val="007A00E9"/>
    <w:rsid w:val="007A0454"/>
    <w:rsid w:val="007A0E44"/>
    <w:rsid w:val="007A1C9E"/>
    <w:rsid w:val="007A29C9"/>
    <w:rsid w:val="007A4CA1"/>
    <w:rsid w:val="007A5DFD"/>
    <w:rsid w:val="007B0398"/>
    <w:rsid w:val="007B2C77"/>
    <w:rsid w:val="007B2E78"/>
    <w:rsid w:val="007B6549"/>
    <w:rsid w:val="007C2423"/>
    <w:rsid w:val="007C3F2F"/>
    <w:rsid w:val="007D10BD"/>
    <w:rsid w:val="007D1A27"/>
    <w:rsid w:val="007D1B24"/>
    <w:rsid w:val="007D1F15"/>
    <w:rsid w:val="007D25B1"/>
    <w:rsid w:val="007D2878"/>
    <w:rsid w:val="007D3E34"/>
    <w:rsid w:val="007D4CB3"/>
    <w:rsid w:val="007D6FC3"/>
    <w:rsid w:val="007E319E"/>
    <w:rsid w:val="007E4FA1"/>
    <w:rsid w:val="007E7B07"/>
    <w:rsid w:val="007E7BAB"/>
    <w:rsid w:val="007E7DCE"/>
    <w:rsid w:val="007E7FA9"/>
    <w:rsid w:val="007F20AC"/>
    <w:rsid w:val="00802C56"/>
    <w:rsid w:val="00806EE9"/>
    <w:rsid w:val="00807750"/>
    <w:rsid w:val="00807E35"/>
    <w:rsid w:val="00810799"/>
    <w:rsid w:val="00811205"/>
    <w:rsid w:val="00812C48"/>
    <w:rsid w:val="008146F9"/>
    <w:rsid w:val="008218CD"/>
    <w:rsid w:val="00821AEB"/>
    <w:rsid w:val="00824DCD"/>
    <w:rsid w:val="0082756E"/>
    <w:rsid w:val="00833E8A"/>
    <w:rsid w:val="008357C0"/>
    <w:rsid w:val="008360F6"/>
    <w:rsid w:val="00836701"/>
    <w:rsid w:val="00836987"/>
    <w:rsid w:val="00844009"/>
    <w:rsid w:val="00844569"/>
    <w:rsid w:val="00844CDE"/>
    <w:rsid w:val="00845083"/>
    <w:rsid w:val="00847D23"/>
    <w:rsid w:val="00852CB5"/>
    <w:rsid w:val="0085377C"/>
    <w:rsid w:val="008556FF"/>
    <w:rsid w:val="00857106"/>
    <w:rsid w:val="00857765"/>
    <w:rsid w:val="00863327"/>
    <w:rsid w:val="00863A40"/>
    <w:rsid w:val="00867B0E"/>
    <w:rsid w:val="00867F7E"/>
    <w:rsid w:val="00870F44"/>
    <w:rsid w:val="00872ECB"/>
    <w:rsid w:val="0087456A"/>
    <w:rsid w:val="00884054"/>
    <w:rsid w:val="00890B7A"/>
    <w:rsid w:val="00890C62"/>
    <w:rsid w:val="0089437B"/>
    <w:rsid w:val="00895089"/>
    <w:rsid w:val="008951ED"/>
    <w:rsid w:val="0089761E"/>
    <w:rsid w:val="008977EE"/>
    <w:rsid w:val="008A3583"/>
    <w:rsid w:val="008A5928"/>
    <w:rsid w:val="008A75BE"/>
    <w:rsid w:val="008B0D6E"/>
    <w:rsid w:val="008B1AD9"/>
    <w:rsid w:val="008B1D2E"/>
    <w:rsid w:val="008B4DF4"/>
    <w:rsid w:val="008B780B"/>
    <w:rsid w:val="008C08BE"/>
    <w:rsid w:val="008C229F"/>
    <w:rsid w:val="008C32A8"/>
    <w:rsid w:val="008C3445"/>
    <w:rsid w:val="008C4E94"/>
    <w:rsid w:val="008C55A3"/>
    <w:rsid w:val="008C7368"/>
    <w:rsid w:val="008D32F0"/>
    <w:rsid w:val="008E012F"/>
    <w:rsid w:val="008E3514"/>
    <w:rsid w:val="008E6375"/>
    <w:rsid w:val="008F17A1"/>
    <w:rsid w:val="008F2158"/>
    <w:rsid w:val="008F4C65"/>
    <w:rsid w:val="008F5D20"/>
    <w:rsid w:val="008F7579"/>
    <w:rsid w:val="0090019F"/>
    <w:rsid w:val="00902944"/>
    <w:rsid w:val="00905422"/>
    <w:rsid w:val="00906BD5"/>
    <w:rsid w:val="009104D1"/>
    <w:rsid w:val="00913133"/>
    <w:rsid w:val="009131C3"/>
    <w:rsid w:val="0091475B"/>
    <w:rsid w:val="00920A6F"/>
    <w:rsid w:val="0092120C"/>
    <w:rsid w:val="00921DB9"/>
    <w:rsid w:val="009237DE"/>
    <w:rsid w:val="0092403D"/>
    <w:rsid w:val="0092524A"/>
    <w:rsid w:val="009263A4"/>
    <w:rsid w:val="00934304"/>
    <w:rsid w:val="00934415"/>
    <w:rsid w:val="009402DB"/>
    <w:rsid w:val="009405A9"/>
    <w:rsid w:val="00942E41"/>
    <w:rsid w:val="009440D8"/>
    <w:rsid w:val="009449B8"/>
    <w:rsid w:val="00944DC9"/>
    <w:rsid w:val="009454E7"/>
    <w:rsid w:val="0094603F"/>
    <w:rsid w:val="0094676D"/>
    <w:rsid w:val="00951F85"/>
    <w:rsid w:val="009555DC"/>
    <w:rsid w:val="009611E0"/>
    <w:rsid w:val="00962383"/>
    <w:rsid w:val="00963120"/>
    <w:rsid w:val="00965FEE"/>
    <w:rsid w:val="0096643B"/>
    <w:rsid w:val="009706B5"/>
    <w:rsid w:val="00972BDF"/>
    <w:rsid w:val="00973F49"/>
    <w:rsid w:val="0098182D"/>
    <w:rsid w:val="00982A98"/>
    <w:rsid w:val="009855E2"/>
    <w:rsid w:val="00987C03"/>
    <w:rsid w:val="00992977"/>
    <w:rsid w:val="0099481B"/>
    <w:rsid w:val="0099557F"/>
    <w:rsid w:val="009A3511"/>
    <w:rsid w:val="009A686F"/>
    <w:rsid w:val="009A7912"/>
    <w:rsid w:val="009B0094"/>
    <w:rsid w:val="009B28E9"/>
    <w:rsid w:val="009B33A8"/>
    <w:rsid w:val="009B3487"/>
    <w:rsid w:val="009B390A"/>
    <w:rsid w:val="009B7C61"/>
    <w:rsid w:val="009C22B1"/>
    <w:rsid w:val="009C3793"/>
    <w:rsid w:val="009C62BD"/>
    <w:rsid w:val="009D0BC1"/>
    <w:rsid w:val="009D26AD"/>
    <w:rsid w:val="009D341C"/>
    <w:rsid w:val="009E1411"/>
    <w:rsid w:val="009E19FC"/>
    <w:rsid w:val="009E465B"/>
    <w:rsid w:val="009E52F2"/>
    <w:rsid w:val="009F1118"/>
    <w:rsid w:val="009F25EB"/>
    <w:rsid w:val="009F291D"/>
    <w:rsid w:val="009F3A4E"/>
    <w:rsid w:val="009F3C1F"/>
    <w:rsid w:val="009F614E"/>
    <w:rsid w:val="009F762B"/>
    <w:rsid w:val="009F76BA"/>
    <w:rsid w:val="009F7E09"/>
    <w:rsid w:val="00A02047"/>
    <w:rsid w:val="00A035C0"/>
    <w:rsid w:val="00A036BE"/>
    <w:rsid w:val="00A0575E"/>
    <w:rsid w:val="00A068CE"/>
    <w:rsid w:val="00A12205"/>
    <w:rsid w:val="00A139AF"/>
    <w:rsid w:val="00A179E3"/>
    <w:rsid w:val="00A20113"/>
    <w:rsid w:val="00A24B74"/>
    <w:rsid w:val="00A3248C"/>
    <w:rsid w:val="00A339E6"/>
    <w:rsid w:val="00A33EF8"/>
    <w:rsid w:val="00A358E6"/>
    <w:rsid w:val="00A37C0F"/>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DC7"/>
    <w:rsid w:val="00A70289"/>
    <w:rsid w:val="00A72105"/>
    <w:rsid w:val="00A72465"/>
    <w:rsid w:val="00A7648E"/>
    <w:rsid w:val="00A80315"/>
    <w:rsid w:val="00A80C92"/>
    <w:rsid w:val="00A82461"/>
    <w:rsid w:val="00A851D8"/>
    <w:rsid w:val="00A870C4"/>
    <w:rsid w:val="00A87326"/>
    <w:rsid w:val="00A953BA"/>
    <w:rsid w:val="00A96F9F"/>
    <w:rsid w:val="00AA0848"/>
    <w:rsid w:val="00AA0AAF"/>
    <w:rsid w:val="00AA3C06"/>
    <w:rsid w:val="00AA56F6"/>
    <w:rsid w:val="00AA5D62"/>
    <w:rsid w:val="00AB0571"/>
    <w:rsid w:val="00AB1E84"/>
    <w:rsid w:val="00AB2BF2"/>
    <w:rsid w:val="00AB3710"/>
    <w:rsid w:val="00AB4B0F"/>
    <w:rsid w:val="00AB6C3B"/>
    <w:rsid w:val="00AB7F4A"/>
    <w:rsid w:val="00AC226E"/>
    <w:rsid w:val="00AC55DE"/>
    <w:rsid w:val="00AC722C"/>
    <w:rsid w:val="00AC7906"/>
    <w:rsid w:val="00AD1291"/>
    <w:rsid w:val="00AD134F"/>
    <w:rsid w:val="00AD3428"/>
    <w:rsid w:val="00AD3AA2"/>
    <w:rsid w:val="00AD43B8"/>
    <w:rsid w:val="00AD4B1A"/>
    <w:rsid w:val="00AE008F"/>
    <w:rsid w:val="00AF0161"/>
    <w:rsid w:val="00AF15FF"/>
    <w:rsid w:val="00AF2A1F"/>
    <w:rsid w:val="00AF2D9B"/>
    <w:rsid w:val="00B00628"/>
    <w:rsid w:val="00B0749B"/>
    <w:rsid w:val="00B10050"/>
    <w:rsid w:val="00B10A1E"/>
    <w:rsid w:val="00B11E08"/>
    <w:rsid w:val="00B14039"/>
    <w:rsid w:val="00B149FA"/>
    <w:rsid w:val="00B21678"/>
    <w:rsid w:val="00B22242"/>
    <w:rsid w:val="00B2330D"/>
    <w:rsid w:val="00B32CD3"/>
    <w:rsid w:val="00B335C6"/>
    <w:rsid w:val="00B34CED"/>
    <w:rsid w:val="00B35A93"/>
    <w:rsid w:val="00B3672D"/>
    <w:rsid w:val="00B433C9"/>
    <w:rsid w:val="00B437D8"/>
    <w:rsid w:val="00B45DC1"/>
    <w:rsid w:val="00B46B42"/>
    <w:rsid w:val="00B4745C"/>
    <w:rsid w:val="00B52D3E"/>
    <w:rsid w:val="00B52E55"/>
    <w:rsid w:val="00B57980"/>
    <w:rsid w:val="00B601D4"/>
    <w:rsid w:val="00B60DA2"/>
    <w:rsid w:val="00B61955"/>
    <w:rsid w:val="00B63BC9"/>
    <w:rsid w:val="00B653BB"/>
    <w:rsid w:val="00B66E86"/>
    <w:rsid w:val="00B67A20"/>
    <w:rsid w:val="00B710FE"/>
    <w:rsid w:val="00B716A7"/>
    <w:rsid w:val="00B724E8"/>
    <w:rsid w:val="00B849CC"/>
    <w:rsid w:val="00B87D50"/>
    <w:rsid w:val="00B9223B"/>
    <w:rsid w:val="00B9662E"/>
    <w:rsid w:val="00BA4D1F"/>
    <w:rsid w:val="00BA5339"/>
    <w:rsid w:val="00BA7AD1"/>
    <w:rsid w:val="00BB2250"/>
    <w:rsid w:val="00BB721B"/>
    <w:rsid w:val="00BC0FDD"/>
    <w:rsid w:val="00BC22E0"/>
    <w:rsid w:val="00BC2A46"/>
    <w:rsid w:val="00BC3FA4"/>
    <w:rsid w:val="00BC65C7"/>
    <w:rsid w:val="00BD004A"/>
    <w:rsid w:val="00BD352C"/>
    <w:rsid w:val="00BD5023"/>
    <w:rsid w:val="00BD58AB"/>
    <w:rsid w:val="00BE28ED"/>
    <w:rsid w:val="00C008B2"/>
    <w:rsid w:val="00C01F6B"/>
    <w:rsid w:val="00C04B46"/>
    <w:rsid w:val="00C12209"/>
    <w:rsid w:val="00C14431"/>
    <w:rsid w:val="00C16927"/>
    <w:rsid w:val="00C2082E"/>
    <w:rsid w:val="00C24A09"/>
    <w:rsid w:val="00C25084"/>
    <w:rsid w:val="00C274BE"/>
    <w:rsid w:val="00C274C6"/>
    <w:rsid w:val="00C30EF1"/>
    <w:rsid w:val="00C310B6"/>
    <w:rsid w:val="00C3330D"/>
    <w:rsid w:val="00C347FE"/>
    <w:rsid w:val="00C357BE"/>
    <w:rsid w:val="00C4006D"/>
    <w:rsid w:val="00C4530E"/>
    <w:rsid w:val="00C53F2B"/>
    <w:rsid w:val="00C56C44"/>
    <w:rsid w:val="00C604B3"/>
    <w:rsid w:val="00C6332C"/>
    <w:rsid w:val="00C6721D"/>
    <w:rsid w:val="00C677A9"/>
    <w:rsid w:val="00C71CD1"/>
    <w:rsid w:val="00C73143"/>
    <w:rsid w:val="00C77685"/>
    <w:rsid w:val="00C77815"/>
    <w:rsid w:val="00C77977"/>
    <w:rsid w:val="00C77ABA"/>
    <w:rsid w:val="00C8085F"/>
    <w:rsid w:val="00C85378"/>
    <w:rsid w:val="00C90BE5"/>
    <w:rsid w:val="00C91B10"/>
    <w:rsid w:val="00C925E0"/>
    <w:rsid w:val="00C9297C"/>
    <w:rsid w:val="00CA2A0B"/>
    <w:rsid w:val="00CA4993"/>
    <w:rsid w:val="00CA5334"/>
    <w:rsid w:val="00CA6FDA"/>
    <w:rsid w:val="00CB3B6F"/>
    <w:rsid w:val="00CC0C5F"/>
    <w:rsid w:val="00CC1028"/>
    <w:rsid w:val="00CC2F3D"/>
    <w:rsid w:val="00CC4CF6"/>
    <w:rsid w:val="00CC51A7"/>
    <w:rsid w:val="00CC5FF3"/>
    <w:rsid w:val="00CC6072"/>
    <w:rsid w:val="00CD1612"/>
    <w:rsid w:val="00CD365B"/>
    <w:rsid w:val="00CD45BE"/>
    <w:rsid w:val="00CD4BFA"/>
    <w:rsid w:val="00CE0E72"/>
    <w:rsid w:val="00CE2ADF"/>
    <w:rsid w:val="00CE367D"/>
    <w:rsid w:val="00CE393C"/>
    <w:rsid w:val="00CF1C84"/>
    <w:rsid w:val="00CF1D7D"/>
    <w:rsid w:val="00CF45D3"/>
    <w:rsid w:val="00CF51F9"/>
    <w:rsid w:val="00CF560A"/>
    <w:rsid w:val="00CF6B6C"/>
    <w:rsid w:val="00CF7EA2"/>
    <w:rsid w:val="00D042BB"/>
    <w:rsid w:val="00D05FAE"/>
    <w:rsid w:val="00D06CA0"/>
    <w:rsid w:val="00D106B9"/>
    <w:rsid w:val="00D115BB"/>
    <w:rsid w:val="00D11797"/>
    <w:rsid w:val="00D1265E"/>
    <w:rsid w:val="00D12C68"/>
    <w:rsid w:val="00D134FB"/>
    <w:rsid w:val="00D14FEC"/>
    <w:rsid w:val="00D16A07"/>
    <w:rsid w:val="00D17789"/>
    <w:rsid w:val="00D21565"/>
    <w:rsid w:val="00D22F7D"/>
    <w:rsid w:val="00D25BEE"/>
    <w:rsid w:val="00D2737E"/>
    <w:rsid w:val="00D274A9"/>
    <w:rsid w:val="00D32644"/>
    <w:rsid w:val="00D33619"/>
    <w:rsid w:val="00D400F4"/>
    <w:rsid w:val="00D43CF1"/>
    <w:rsid w:val="00D449AE"/>
    <w:rsid w:val="00D477C3"/>
    <w:rsid w:val="00D51B89"/>
    <w:rsid w:val="00D52AC7"/>
    <w:rsid w:val="00D54CA9"/>
    <w:rsid w:val="00D54D64"/>
    <w:rsid w:val="00D5662D"/>
    <w:rsid w:val="00D604FD"/>
    <w:rsid w:val="00D62FF7"/>
    <w:rsid w:val="00D6340F"/>
    <w:rsid w:val="00D6535E"/>
    <w:rsid w:val="00D654EC"/>
    <w:rsid w:val="00D720DC"/>
    <w:rsid w:val="00D72D16"/>
    <w:rsid w:val="00D742B9"/>
    <w:rsid w:val="00D7492C"/>
    <w:rsid w:val="00D766CC"/>
    <w:rsid w:val="00D8195B"/>
    <w:rsid w:val="00D821F8"/>
    <w:rsid w:val="00D84855"/>
    <w:rsid w:val="00D848F9"/>
    <w:rsid w:val="00D84DDC"/>
    <w:rsid w:val="00D85695"/>
    <w:rsid w:val="00D8619F"/>
    <w:rsid w:val="00D86764"/>
    <w:rsid w:val="00D870AC"/>
    <w:rsid w:val="00D90B92"/>
    <w:rsid w:val="00D95611"/>
    <w:rsid w:val="00DA0DF2"/>
    <w:rsid w:val="00DA41D7"/>
    <w:rsid w:val="00DA494B"/>
    <w:rsid w:val="00DA5B72"/>
    <w:rsid w:val="00DB2D17"/>
    <w:rsid w:val="00DB5C0A"/>
    <w:rsid w:val="00DC6FF8"/>
    <w:rsid w:val="00DD13E2"/>
    <w:rsid w:val="00DD2E06"/>
    <w:rsid w:val="00DE47A1"/>
    <w:rsid w:val="00DE47BB"/>
    <w:rsid w:val="00DE7DCC"/>
    <w:rsid w:val="00DF003C"/>
    <w:rsid w:val="00DF137F"/>
    <w:rsid w:val="00DF17F2"/>
    <w:rsid w:val="00DF4501"/>
    <w:rsid w:val="00DF6971"/>
    <w:rsid w:val="00DF78AE"/>
    <w:rsid w:val="00E00E78"/>
    <w:rsid w:val="00E05062"/>
    <w:rsid w:val="00E076C1"/>
    <w:rsid w:val="00E07E60"/>
    <w:rsid w:val="00E11E2E"/>
    <w:rsid w:val="00E13C83"/>
    <w:rsid w:val="00E15555"/>
    <w:rsid w:val="00E15B7D"/>
    <w:rsid w:val="00E2408E"/>
    <w:rsid w:val="00E27CDB"/>
    <w:rsid w:val="00E371EC"/>
    <w:rsid w:val="00E43116"/>
    <w:rsid w:val="00E444DA"/>
    <w:rsid w:val="00E51A48"/>
    <w:rsid w:val="00E55F14"/>
    <w:rsid w:val="00E571F8"/>
    <w:rsid w:val="00E64F0A"/>
    <w:rsid w:val="00E67668"/>
    <w:rsid w:val="00E70AEE"/>
    <w:rsid w:val="00E7107E"/>
    <w:rsid w:val="00E71C93"/>
    <w:rsid w:val="00E725D5"/>
    <w:rsid w:val="00E72AE3"/>
    <w:rsid w:val="00E73B51"/>
    <w:rsid w:val="00E750DF"/>
    <w:rsid w:val="00E8151C"/>
    <w:rsid w:val="00E81A88"/>
    <w:rsid w:val="00E81E9C"/>
    <w:rsid w:val="00E82E15"/>
    <w:rsid w:val="00E936FF"/>
    <w:rsid w:val="00E939C8"/>
    <w:rsid w:val="00E93A33"/>
    <w:rsid w:val="00E93B6B"/>
    <w:rsid w:val="00EA1F89"/>
    <w:rsid w:val="00EA2EAF"/>
    <w:rsid w:val="00EA5177"/>
    <w:rsid w:val="00EA63C2"/>
    <w:rsid w:val="00EB117B"/>
    <w:rsid w:val="00EB2BEB"/>
    <w:rsid w:val="00EB40D6"/>
    <w:rsid w:val="00EB4222"/>
    <w:rsid w:val="00EB5F75"/>
    <w:rsid w:val="00EB79CD"/>
    <w:rsid w:val="00EC15E7"/>
    <w:rsid w:val="00ED6AA7"/>
    <w:rsid w:val="00EE0F2E"/>
    <w:rsid w:val="00EE1868"/>
    <w:rsid w:val="00EE2610"/>
    <w:rsid w:val="00EE26B3"/>
    <w:rsid w:val="00EE2A41"/>
    <w:rsid w:val="00EE354B"/>
    <w:rsid w:val="00EE3C1D"/>
    <w:rsid w:val="00EE6EC2"/>
    <w:rsid w:val="00EF09FB"/>
    <w:rsid w:val="00EF102E"/>
    <w:rsid w:val="00EF697A"/>
    <w:rsid w:val="00F02923"/>
    <w:rsid w:val="00F0351B"/>
    <w:rsid w:val="00F06472"/>
    <w:rsid w:val="00F10D6B"/>
    <w:rsid w:val="00F13254"/>
    <w:rsid w:val="00F1465C"/>
    <w:rsid w:val="00F177B1"/>
    <w:rsid w:val="00F22566"/>
    <w:rsid w:val="00F226DB"/>
    <w:rsid w:val="00F22963"/>
    <w:rsid w:val="00F232C2"/>
    <w:rsid w:val="00F2438F"/>
    <w:rsid w:val="00F24599"/>
    <w:rsid w:val="00F25E46"/>
    <w:rsid w:val="00F2714B"/>
    <w:rsid w:val="00F278FA"/>
    <w:rsid w:val="00F307B6"/>
    <w:rsid w:val="00F30F82"/>
    <w:rsid w:val="00F342B2"/>
    <w:rsid w:val="00F367F2"/>
    <w:rsid w:val="00F370A2"/>
    <w:rsid w:val="00F403EA"/>
    <w:rsid w:val="00F42753"/>
    <w:rsid w:val="00F42E10"/>
    <w:rsid w:val="00F440D8"/>
    <w:rsid w:val="00F44A7B"/>
    <w:rsid w:val="00F44FFA"/>
    <w:rsid w:val="00F45B6F"/>
    <w:rsid w:val="00F4650D"/>
    <w:rsid w:val="00F510DB"/>
    <w:rsid w:val="00F51C0C"/>
    <w:rsid w:val="00F5627B"/>
    <w:rsid w:val="00F5724D"/>
    <w:rsid w:val="00F6021E"/>
    <w:rsid w:val="00F60AB3"/>
    <w:rsid w:val="00F62329"/>
    <w:rsid w:val="00F635AC"/>
    <w:rsid w:val="00F65A74"/>
    <w:rsid w:val="00F727B0"/>
    <w:rsid w:val="00F72A12"/>
    <w:rsid w:val="00F74327"/>
    <w:rsid w:val="00F76A74"/>
    <w:rsid w:val="00F816C6"/>
    <w:rsid w:val="00F841CB"/>
    <w:rsid w:val="00F858D5"/>
    <w:rsid w:val="00F91AEE"/>
    <w:rsid w:val="00FA047C"/>
    <w:rsid w:val="00FA2545"/>
    <w:rsid w:val="00FA2625"/>
    <w:rsid w:val="00FA7EF6"/>
    <w:rsid w:val="00FB2524"/>
    <w:rsid w:val="00FB2669"/>
    <w:rsid w:val="00FB4AAD"/>
    <w:rsid w:val="00FB4E3D"/>
    <w:rsid w:val="00FB5F2A"/>
    <w:rsid w:val="00FB6CF8"/>
    <w:rsid w:val="00FC16E9"/>
    <w:rsid w:val="00FC279C"/>
    <w:rsid w:val="00FC3FC2"/>
    <w:rsid w:val="00FC45DE"/>
    <w:rsid w:val="00FC48CB"/>
    <w:rsid w:val="00FC4F9B"/>
    <w:rsid w:val="00FC59F0"/>
    <w:rsid w:val="00FD4599"/>
    <w:rsid w:val="00FD4784"/>
    <w:rsid w:val="00FD65FE"/>
    <w:rsid w:val="00FD74EB"/>
    <w:rsid w:val="00FE009C"/>
    <w:rsid w:val="00FE01E5"/>
    <w:rsid w:val="00FE214F"/>
    <w:rsid w:val="00FF1082"/>
    <w:rsid w:val="00FF19ED"/>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styleId="Hipervnculovisitado">
    <w:name w:val="FollowedHyperlink"/>
    <w:basedOn w:val="Fuentedeprrafopredeter"/>
    <w:uiPriority w:val="99"/>
    <w:semiHidden/>
    <w:unhideWhenUsed/>
    <w:rsid w:val="00457393"/>
    <w:rPr>
      <w:color w:val="954F72" w:themeColor="followedHyperlink"/>
      <w:u w:val="single"/>
    </w:rPr>
  </w:style>
  <w:style w:type="character" w:customStyle="1" w:styleId="UnresolvedMention2">
    <w:name w:val="Unresolved Mention2"/>
    <w:basedOn w:val="Fuentedeprrafopredeter"/>
    <w:uiPriority w:val="99"/>
    <w:semiHidden/>
    <w:unhideWhenUsed/>
    <w:rsid w:val="00CF560A"/>
    <w:rPr>
      <w:color w:val="605E5C"/>
      <w:shd w:val="clear" w:color="auto" w:fill="E1DFDD"/>
    </w:rPr>
  </w:style>
  <w:style w:type="paragraph" w:customStyle="1" w:styleId="rtejustify">
    <w:name w:val="rtejustify"/>
    <w:basedOn w:val="Normal"/>
    <w:rsid w:val="007977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A764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5858518">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1673146">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3758950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751396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9824826">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00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naucalpan.gob.mx/registro-municipal-de-tramites-y-servicio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igecem.edomex.gob.mx/padron-catastral" TargetMode="External"/><Relationship Id="rId10" Type="http://schemas.openxmlformats.org/officeDocument/2006/relationships/hyperlink" Target="http://consultas.ifai.org.mx/descargar.php?r=./pdf/resoluciones/2017/&amp;a=RRA%203482.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9EA1E-1A1F-45C8-A69E-10DB7DB6D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67</Pages>
  <Words>15011</Words>
  <Characters>82562</Characters>
  <Application>Microsoft Office Word</Application>
  <DocSecurity>0</DocSecurity>
  <Lines>688</Lines>
  <Paragraphs>194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97379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11</cp:revision>
  <cp:lastPrinted>2019-11-07T00:56:00Z</cp:lastPrinted>
  <dcterms:created xsi:type="dcterms:W3CDTF">2024-09-26T18:25:00Z</dcterms:created>
  <dcterms:modified xsi:type="dcterms:W3CDTF">2024-11-05T16:30:00Z</dcterms:modified>
</cp:coreProperties>
</file>