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D42E23">
      <w:pPr>
        <w:tabs>
          <w:tab w:val="left" w:pos="8931"/>
        </w:tabs>
        <w:spacing w:after="0" w:line="360" w:lineRule="auto"/>
      </w:pPr>
    </w:p>
    <w:p w14:paraId="3FB7EB5E" w14:textId="7B400C03" w:rsidR="005C690F" w:rsidRPr="0059459D" w:rsidRDefault="007D6307" w:rsidP="00D42E23">
      <w:pPr>
        <w:tabs>
          <w:tab w:val="left" w:pos="8931"/>
        </w:tabs>
        <w:spacing w:after="0" w:line="360" w:lineRule="auto"/>
      </w:pPr>
      <w:r w:rsidRPr="0059459D">
        <w:t xml:space="preserve">Resolución del Pleno del Instituto de Transparencia, Acceso a la Información Pública y Protección de Datos Personales del Estado de México y Municipios, con domicilio en Metepec, Estado de México, de </w:t>
      </w:r>
      <w:r w:rsidR="00EF0C39" w:rsidRPr="0059459D">
        <w:t xml:space="preserve">fecha </w:t>
      </w:r>
      <w:r w:rsidR="007B4717" w:rsidRPr="0059459D">
        <w:t>cuatro de diciembre</w:t>
      </w:r>
      <w:r w:rsidR="002F5AA8" w:rsidRPr="0059459D">
        <w:t xml:space="preserve"> </w:t>
      </w:r>
      <w:r w:rsidR="00945CB8" w:rsidRPr="0059459D">
        <w:t>de dos mil veinticuatro</w:t>
      </w:r>
      <w:r w:rsidRPr="0059459D">
        <w:t xml:space="preserve">. </w:t>
      </w:r>
    </w:p>
    <w:p w14:paraId="0DCD3B82" w14:textId="77777777" w:rsidR="005C690F" w:rsidRPr="0059459D" w:rsidRDefault="005C690F" w:rsidP="00D42E23">
      <w:pPr>
        <w:spacing w:after="0" w:line="360" w:lineRule="auto"/>
        <w:rPr>
          <w:b/>
        </w:rPr>
      </w:pPr>
    </w:p>
    <w:p w14:paraId="1570B336" w14:textId="26F44036" w:rsidR="005C690F" w:rsidRPr="0059459D" w:rsidRDefault="007D6307" w:rsidP="00D42E23">
      <w:pPr>
        <w:spacing w:after="0" w:line="360" w:lineRule="auto"/>
        <w:rPr>
          <w:color w:val="0D0D0D"/>
        </w:rPr>
      </w:pPr>
      <w:r w:rsidRPr="0059459D">
        <w:rPr>
          <w:b/>
        </w:rPr>
        <w:t xml:space="preserve">VISTO </w:t>
      </w:r>
      <w:r w:rsidRPr="0059459D">
        <w:t xml:space="preserve">el expediente electrónico conformado con motivo del Recurso de Revisión </w:t>
      </w:r>
      <w:r w:rsidR="00026C6B" w:rsidRPr="00F904C1">
        <w:rPr>
          <w:b/>
        </w:rPr>
        <w:t>0</w:t>
      </w:r>
      <w:r w:rsidR="007B4717" w:rsidRPr="00F904C1">
        <w:rPr>
          <w:b/>
        </w:rPr>
        <w:t>7086</w:t>
      </w:r>
      <w:r w:rsidR="00026C6B" w:rsidRPr="00F904C1">
        <w:rPr>
          <w:b/>
        </w:rPr>
        <w:t>/INFOEM/IP/RR/202</w:t>
      </w:r>
      <w:r w:rsidR="00BB6693" w:rsidRPr="00F904C1">
        <w:rPr>
          <w:b/>
        </w:rPr>
        <w:t>4</w:t>
      </w:r>
      <w:r w:rsidRPr="0059459D">
        <w:t xml:space="preserve">, interpuesto por </w:t>
      </w:r>
      <w:r w:rsidR="00191631" w:rsidRPr="00191631">
        <w:rPr>
          <w:b/>
          <w:highlight w:val="black"/>
        </w:rPr>
        <w:t>XXXXXXXXXXXXXXXXXXXXXXXXX</w:t>
      </w:r>
      <w:r w:rsidR="007B4717" w:rsidRPr="0059459D">
        <w:t xml:space="preserve">, en lo sucesivo, </w:t>
      </w:r>
      <w:r w:rsidR="00D906B2" w:rsidRPr="0059459D">
        <w:t>la persona</w:t>
      </w:r>
      <w:r w:rsidRPr="0059459D">
        <w:t xml:space="preserve"> </w:t>
      </w:r>
      <w:r w:rsidRPr="0059459D">
        <w:rPr>
          <w:color w:val="0D0D0D"/>
        </w:rPr>
        <w:t>Recurrente o Particular, en contra de la respuesta del Sujeto Obligado</w:t>
      </w:r>
      <w:r w:rsidR="00705FBB" w:rsidRPr="0059459D">
        <w:rPr>
          <w:color w:val="0D0D0D"/>
        </w:rPr>
        <w:t xml:space="preserve">, </w:t>
      </w:r>
      <w:r w:rsidR="00705FBB" w:rsidRPr="00F904C1">
        <w:rPr>
          <w:b/>
          <w:color w:val="0D0D0D"/>
        </w:rPr>
        <w:t xml:space="preserve">Ayuntamiento de </w:t>
      </w:r>
      <w:r w:rsidR="007B4717" w:rsidRPr="00F904C1">
        <w:rPr>
          <w:b/>
        </w:rPr>
        <w:t>Coacalco de Berriozábal</w:t>
      </w:r>
      <w:r w:rsidR="00EF0C39" w:rsidRPr="0059459D">
        <w:t>,</w:t>
      </w:r>
      <w:r w:rsidRPr="0059459D">
        <w:rPr>
          <w:color w:val="0D0D0D"/>
        </w:rPr>
        <w:t xml:space="preserve"> a la solicitud de acceso a la información pública</w:t>
      </w:r>
      <w:r w:rsidR="00800641" w:rsidRPr="0059459D">
        <w:rPr>
          <w:color w:val="0D0D0D"/>
        </w:rPr>
        <w:t xml:space="preserve"> </w:t>
      </w:r>
      <w:r w:rsidR="00705FBB" w:rsidRPr="0059459D">
        <w:t>0</w:t>
      </w:r>
      <w:r w:rsidR="00BB6693" w:rsidRPr="0059459D">
        <w:t>0</w:t>
      </w:r>
      <w:r w:rsidR="007B4717" w:rsidRPr="0059459D">
        <w:t>262</w:t>
      </w:r>
      <w:r w:rsidR="00705FBB" w:rsidRPr="0059459D">
        <w:t>/</w:t>
      </w:r>
      <w:r w:rsidR="007B4717" w:rsidRPr="0059459D">
        <w:t>COACALCO</w:t>
      </w:r>
      <w:r w:rsidR="00705FBB" w:rsidRPr="0059459D">
        <w:t>/IP/202</w:t>
      </w:r>
      <w:r w:rsidR="00BB6693" w:rsidRPr="0059459D">
        <w:t>4</w:t>
      </w:r>
      <w:r w:rsidRPr="0059459D">
        <w:rPr>
          <w:color w:val="000000"/>
        </w:rPr>
        <w:t xml:space="preserve">, </w:t>
      </w:r>
      <w:r w:rsidRPr="0059459D">
        <w:rPr>
          <w:color w:val="0D0D0D"/>
        </w:rPr>
        <w:t>se emite la presente Resolución, con base en los Antecedentes y Considerandos que se exponen a continuación:</w:t>
      </w:r>
    </w:p>
    <w:p w14:paraId="1F97CEF3" w14:textId="77777777" w:rsidR="005C690F" w:rsidRPr="0059459D" w:rsidRDefault="005C690F" w:rsidP="00D42E23">
      <w:pPr>
        <w:spacing w:after="0" w:line="360" w:lineRule="auto"/>
        <w:rPr>
          <w:b/>
        </w:rPr>
      </w:pPr>
    </w:p>
    <w:p w14:paraId="1DEAF9D3" w14:textId="24D35555" w:rsidR="005C690F" w:rsidRPr="0059459D" w:rsidRDefault="00CD6238" w:rsidP="00D42E23">
      <w:pPr>
        <w:spacing w:after="0" w:line="360" w:lineRule="auto"/>
        <w:jc w:val="center"/>
        <w:rPr>
          <w:b/>
        </w:rPr>
      </w:pPr>
      <w:r w:rsidRPr="0059459D">
        <w:rPr>
          <w:b/>
        </w:rPr>
        <w:t>A N T E C E D E N T E S</w:t>
      </w:r>
    </w:p>
    <w:p w14:paraId="5A7EDA4F" w14:textId="77777777" w:rsidR="005C690F" w:rsidRPr="0059459D" w:rsidRDefault="005C690F" w:rsidP="00D42E23">
      <w:pPr>
        <w:spacing w:after="0" w:line="360" w:lineRule="auto"/>
        <w:jc w:val="center"/>
        <w:rPr>
          <w:b/>
        </w:rPr>
      </w:pPr>
    </w:p>
    <w:p w14:paraId="4930DAB9" w14:textId="77777777" w:rsidR="00E22EA8" w:rsidRPr="0059459D" w:rsidRDefault="00E22EA8" w:rsidP="00D42E23">
      <w:pPr>
        <w:tabs>
          <w:tab w:val="left" w:pos="567"/>
        </w:tabs>
        <w:spacing w:after="0" w:line="360" w:lineRule="auto"/>
        <w:rPr>
          <w:rFonts w:eastAsia="Times New Roman" w:cs="Tahoma"/>
          <w:b/>
          <w:lang w:eastAsia="es-ES"/>
        </w:rPr>
      </w:pPr>
      <w:r w:rsidRPr="0059459D">
        <w:rPr>
          <w:rFonts w:eastAsia="Times New Roman" w:cs="Tahoma"/>
          <w:b/>
          <w:lang w:eastAsia="es-ES"/>
        </w:rPr>
        <w:t>I. Presentación de la solicitud de información</w:t>
      </w:r>
    </w:p>
    <w:p w14:paraId="7243DA53" w14:textId="77777777" w:rsidR="00E22EA8" w:rsidRPr="0059459D" w:rsidRDefault="00E22EA8" w:rsidP="00D42E23">
      <w:pPr>
        <w:tabs>
          <w:tab w:val="left" w:pos="567"/>
        </w:tabs>
        <w:spacing w:after="0" w:line="360" w:lineRule="auto"/>
        <w:rPr>
          <w:rFonts w:eastAsia="Times New Roman" w:cs="Tahoma"/>
          <w:lang w:eastAsia="es-ES"/>
        </w:rPr>
      </w:pPr>
    </w:p>
    <w:p w14:paraId="301B8A4E" w14:textId="65F63DAD" w:rsidR="00E22EA8" w:rsidRPr="0059459D" w:rsidRDefault="00D906B2" w:rsidP="00D42E23">
      <w:pPr>
        <w:spacing w:after="0" w:line="360" w:lineRule="auto"/>
        <w:rPr>
          <w:rFonts w:eastAsia="Times New Roman" w:cs="Tahoma"/>
          <w:lang w:eastAsia="es-ES"/>
        </w:rPr>
      </w:pPr>
      <w:r w:rsidRPr="0059459D">
        <w:rPr>
          <w:rFonts w:eastAsia="Times New Roman" w:cs="Tahoma"/>
          <w:lang w:eastAsia="es-ES"/>
        </w:rPr>
        <w:t>El</w:t>
      </w:r>
      <w:r w:rsidR="00D52EC1" w:rsidRPr="0059459D">
        <w:rPr>
          <w:rFonts w:eastAsia="Times New Roman" w:cs="Tahoma"/>
          <w:lang w:eastAsia="es-ES"/>
        </w:rPr>
        <w:t xml:space="preserve"> c</w:t>
      </w:r>
      <w:r w:rsidR="007B4717" w:rsidRPr="0059459D">
        <w:rPr>
          <w:rFonts w:eastAsia="Times New Roman" w:cs="Tahoma"/>
          <w:lang w:eastAsia="es-ES"/>
        </w:rPr>
        <w:t>atorce</w:t>
      </w:r>
      <w:r w:rsidR="00D52EC1" w:rsidRPr="0059459D">
        <w:rPr>
          <w:rFonts w:eastAsia="Times New Roman" w:cs="Tahoma"/>
          <w:lang w:eastAsia="es-ES"/>
        </w:rPr>
        <w:t xml:space="preserve"> de octubre</w:t>
      </w:r>
      <w:r w:rsidR="002F5AA8" w:rsidRPr="0059459D">
        <w:rPr>
          <w:rFonts w:eastAsia="Times New Roman" w:cs="Tahoma"/>
          <w:lang w:eastAsia="es-ES"/>
        </w:rPr>
        <w:t xml:space="preserve"> </w:t>
      </w:r>
      <w:r w:rsidR="00E22EA8" w:rsidRPr="0059459D">
        <w:rPr>
          <w:rFonts w:eastAsia="Times New Roman" w:cs="Tahoma"/>
          <w:lang w:eastAsia="es-ES"/>
        </w:rPr>
        <w:t>de dos mil veinti</w:t>
      </w:r>
      <w:r w:rsidR="00BB6693" w:rsidRPr="0059459D">
        <w:rPr>
          <w:rFonts w:eastAsia="Times New Roman" w:cs="Tahoma"/>
          <w:lang w:eastAsia="es-ES"/>
        </w:rPr>
        <w:t>cuatro</w:t>
      </w:r>
      <w:r w:rsidR="00E22EA8" w:rsidRPr="0059459D">
        <w:rPr>
          <w:rFonts w:eastAsia="Times New Roman" w:cs="Tahoma"/>
          <w:lang w:eastAsia="es-ES"/>
        </w:rPr>
        <w:t>, el Particular presentó una solicitud de acceso a la información pública, a través del Sistema de Acceso a la Información Mexiquense (SAIMEX), ante</w:t>
      </w:r>
      <w:r w:rsidR="000B3C56" w:rsidRPr="0059459D">
        <w:rPr>
          <w:rFonts w:eastAsia="Times New Roman" w:cs="Tahoma"/>
          <w:lang w:eastAsia="es-ES"/>
        </w:rPr>
        <w:t xml:space="preserve"> </w:t>
      </w:r>
      <w:r w:rsidR="00DC175C" w:rsidRPr="0059459D">
        <w:rPr>
          <w:rFonts w:eastAsia="Times New Roman" w:cs="Tahoma"/>
          <w:lang w:eastAsia="es-ES"/>
        </w:rPr>
        <w:t>el</w:t>
      </w:r>
      <w:r w:rsidR="00DC175C" w:rsidRPr="0059459D">
        <w:t xml:space="preserve"> </w:t>
      </w:r>
      <w:r w:rsidR="00705FBB" w:rsidRPr="0059459D">
        <w:t xml:space="preserve">Ayuntamiento de </w:t>
      </w:r>
      <w:r w:rsidR="00C06004" w:rsidRPr="0059459D">
        <w:t>Coacalco de Berriozábal</w:t>
      </w:r>
      <w:r w:rsidR="00DC175C" w:rsidRPr="0059459D">
        <w:rPr>
          <w:rFonts w:eastAsia="Calibri" w:cs="Tahoma"/>
        </w:rPr>
        <w:t xml:space="preserve">, </w:t>
      </w:r>
      <w:r w:rsidR="00E22EA8" w:rsidRPr="0059459D">
        <w:rPr>
          <w:rFonts w:eastAsia="Calibri" w:cs="Tahoma"/>
        </w:rPr>
        <w:t xml:space="preserve">en los siguientes términos: </w:t>
      </w:r>
    </w:p>
    <w:p w14:paraId="2B959865" w14:textId="77777777" w:rsidR="00E22EA8" w:rsidRPr="0059459D" w:rsidRDefault="00E22EA8" w:rsidP="00D42E23">
      <w:pPr>
        <w:spacing w:after="0" w:line="360" w:lineRule="auto"/>
        <w:rPr>
          <w:rFonts w:eastAsia="Calibri" w:cs="Tahoma"/>
        </w:rPr>
      </w:pPr>
    </w:p>
    <w:p w14:paraId="25042E2A" w14:textId="28F2C99C" w:rsidR="00E22EA8" w:rsidRPr="0059459D" w:rsidRDefault="00125F26" w:rsidP="00D42E23">
      <w:pPr>
        <w:tabs>
          <w:tab w:val="left" w:pos="4667"/>
        </w:tabs>
        <w:spacing w:after="0" w:line="360" w:lineRule="auto"/>
        <w:ind w:left="567" w:right="567"/>
        <w:rPr>
          <w:rFonts w:eastAsia="Times New Roman" w:cs="Tahoma"/>
          <w:b/>
          <w:i/>
          <w:iCs/>
          <w:sz w:val="20"/>
          <w:szCs w:val="20"/>
          <w:lang w:eastAsia="es-ES"/>
        </w:rPr>
      </w:pPr>
      <w:r w:rsidRPr="0059459D">
        <w:rPr>
          <w:rFonts w:eastAsia="Times New Roman" w:cs="Tahoma"/>
          <w:b/>
          <w:i/>
          <w:iCs/>
          <w:sz w:val="20"/>
          <w:szCs w:val="20"/>
          <w:lang w:eastAsia="es-ES"/>
        </w:rPr>
        <w:t>“</w:t>
      </w:r>
      <w:r w:rsidR="00E22EA8" w:rsidRPr="0059459D">
        <w:rPr>
          <w:rFonts w:eastAsia="Times New Roman" w:cs="Tahoma"/>
          <w:b/>
          <w:i/>
          <w:iCs/>
          <w:sz w:val="20"/>
          <w:szCs w:val="20"/>
          <w:lang w:eastAsia="es-ES"/>
        </w:rPr>
        <w:t>DESCRIPCIÓN CLARA Y PRECISA DE LA INFORMACIÓN SOLICITADA.</w:t>
      </w:r>
    </w:p>
    <w:p w14:paraId="2C6BC213" w14:textId="4AA5AA85" w:rsidR="00E22EA8" w:rsidRPr="0059459D" w:rsidRDefault="00C06004" w:rsidP="00D42E23">
      <w:pPr>
        <w:tabs>
          <w:tab w:val="left" w:pos="4667"/>
        </w:tabs>
        <w:spacing w:after="0" w:line="360" w:lineRule="auto"/>
        <w:ind w:left="567" w:right="567"/>
        <w:rPr>
          <w:rFonts w:eastAsia="Times New Roman" w:cs="Tahoma"/>
          <w:bCs/>
          <w:i/>
          <w:iCs/>
          <w:sz w:val="20"/>
          <w:szCs w:val="20"/>
          <w:lang w:eastAsia="es-ES"/>
        </w:rPr>
      </w:pPr>
      <w:r w:rsidRPr="0059459D">
        <w:rPr>
          <w:i/>
          <w:iCs/>
          <w:sz w:val="20"/>
          <w:szCs w:val="20"/>
        </w:rPr>
        <w:t>Se solicitan las autorizaciones del proyecto COSMOPO, así como las vialidades con las que cuenta actualmente o las proyectadas a futuro.</w:t>
      </w:r>
      <w:r w:rsidR="00E22EA8" w:rsidRPr="0059459D">
        <w:rPr>
          <w:i/>
          <w:iCs/>
          <w:sz w:val="20"/>
          <w:szCs w:val="20"/>
        </w:rPr>
        <w:t>”</w:t>
      </w:r>
      <w:r w:rsidR="00E22EA8" w:rsidRPr="0059459D">
        <w:rPr>
          <w:rFonts w:eastAsia="Times New Roman" w:cs="Tahoma"/>
          <w:bCs/>
          <w:i/>
          <w:iCs/>
          <w:sz w:val="18"/>
          <w:szCs w:val="18"/>
          <w:lang w:eastAsia="es-ES"/>
        </w:rPr>
        <w:t xml:space="preserve"> </w:t>
      </w:r>
      <w:r w:rsidR="00E22EA8" w:rsidRPr="0059459D">
        <w:rPr>
          <w:rFonts w:eastAsia="Times New Roman" w:cs="Tahoma"/>
          <w:bCs/>
          <w:i/>
          <w:iCs/>
          <w:sz w:val="20"/>
          <w:szCs w:val="20"/>
          <w:lang w:eastAsia="es-ES"/>
        </w:rPr>
        <w:t xml:space="preserve">(Sic) </w:t>
      </w:r>
    </w:p>
    <w:p w14:paraId="3D010AF3" w14:textId="77777777" w:rsidR="00E22EA8" w:rsidRPr="0059459D" w:rsidRDefault="00E22EA8" w:rsidP="00D42E23">
      <w:pPr>
        <w:tabs>
          <w:tab w:val="left" w:pos="4667"/>
        </w:tabs>
        <w:spacing w:after="0" w:line="360" w:lineRule="auto"/>
        <w:ind w:left="567" w:right="567"/>
        <w:rPr>
          <w:rFonts w:eastAsia="Times New Roman" w:cs="Tahoma"/>
          <w:b/>
          <w:bCs/>
          <w:i/>
          <w:iCs/>
          <w:sz w:val="20"/>
          <w:lang w:eastAsia="es-ES"/>
        </w:rPr>
      </w:pPr>
    </w:p>
    <w:p w14:paraId="6C0DE105" w14:textId="3FEE2196" w:rsidR="00E22EA8" w:rsidRPr="0059459D" w:rsidRDefault="00125F26" w:rsidP="00D42E23">
      <w:pPr>
        <w:tabs>
          <w:tab w:val="left" w:pos="4667"/>
        </w:tabs>
        <w:spacing w:after="0" w:line="360" w:lineRule="auto"/>
        <w:ind w:left="567" w:right="567"/>
        <w:rPr>
          <w:rFonts w:eastAsia="Times New Roman" w:cs="Tahoma"/>
          <w:b/>
          <w:bCs/>
          <w:i/>
          <w:iCs/>
          <w:sz w:val="20"/>
          <w:lang w:eastAsia="es-ES"/>
        </w:rPr>
      </w:pPr>
      <w:r w:rsidRPr="0059459D">
        <w:rPr>
          <w:rFonts w:eastAsia="Times New Roman" w:cs="Tahoma"/>
          <w:b/>
          <w:bCs/>
          <w:i/>
          <w:iCs/>
          <w:sz w:val="20"/>
          <w:lang w:eastAsia="es-ES"/>
        </w:rPr>
        <w:t>“</w:t>
      </w:r>
      <w:r w:rsidR="00E22EA8" w:rsidRPr="0059459D">
        <w:rPr>
          <w:rFonts w:eastAsia="Times New Roman" w:cs="Tahoma"/>
          <w:b/>
          <w:bCs/>
          <w:i/>
          <w:iCs/>
          <w:sz w:val="20"/>
          <w:lang w:eastAsia="es-ES"/>
        </w:rPr>
        <w:t>MODALIDAD DE ENTREGA</w:t>
      </w:r>
    </w:p>
    <w:p w14:paraId="6B7E675D" w14:textId="354AB4BB" w:rsidR="00E22EA8" w:rsidRPr="0059459D" w:rsidRDefault="00BB6693" w:rsidP="00D42E23">
      <w:pPr>
        <w:spacing w:after="0" w:line="360" w:lineRule="auto"/>
        <w:ind w:left="567" w:right="567"/>
        <w:rPr>
          <w:rFonts w:eastAsia="Times New Roman" w:cs="Arial"/>
          <w:bCs/>
          <w:i/>
          <w:iCs/>
          <w:sz w:val="20"/>
          <w:lang w:eastAsia="es-ES"/>
        </w:rPr>
      </w:pPr>
      <w:r w:rsidRPr="0059459D">
        <w:rPr>
          <w:rFonts w:eastAsia="Times New Roman" w:cs="Arial"/>
          <w:bCs/>
          <w:i/>
          <w:iCs/>
          <w:sz w:val="20"/>
          <w:lang w:eastAsia="es-ES"/>
        </w:rPr>
        <w:t>A través del SAIMEX</w:t>
      </w:r>
      <w:r w:rsidR="00E22EA8" w:rsidRPr="0059459D">
        <w:rPr>
          <w:rFonts w:eastAsia="Times New Roman" w:cs="Arial"/>
          <w:bCs/>
          <w:i/>
          <w:iCs/>
          <w:sz w:val="20"/>
          <w:lang w:eastAsia="es-ES"/>
        </w:rPr>
        <w:t>”</w:t>
      </w:r>
    </w:p>
    <w:p w14:paraId="0ECE13DD" w14:textId="77777777" w:rsidR="002F5AA8" w:rsidRPr="0059459D" w:rsidRDefault="002F5AA8" w:rsidP="00D42E23">
      <w:pPr>
        <w:autoSpaceDE w:val="0"/>
        <w:autoSpaceDN w:val="0"/>
        <w:adjustRightInd w:val="0"/>
        <w:spacing w:after="0" w:line="360" w:lineRule="auto"/>
        <w:rPr>
          <w:rFonts w:cs="Tahoma"/>
          <w:bCs/>
        </w:rPr>
      </w:pPr>
    </w:p>
    <w:p w14:paraId="0A604AAC" w14:textId="208AD018" w:rsidR="00E22EA8" w:rsidRPr="0059459D" w:rsidRDefault="000B3C56" w:rsidP="00D42E23">
      <w:pPr>
        <w:autoSpaceDE w:val="0"/>
        <w:autoSpaceDN w:val="0"/>
        <w:adjustRightInd w:val="0"/>
        <w:spacing w:after="0" w:line="360" w:lineRule="auto"/>
        <w:rPr>
          <w:b/>
          <w:bCs/>
        </w:rPr>
      </w:pPr>
      <w:r w:rsidRPr="0059459D">
        <w:rPr>
          <w:rFonts w:cs="Tahoma"/>
          <w:b/>
        </w:rPr>
        <w:lastRenderedPageBreak/>
        <w:t>I</w:t>
      </w:r>
      <w:r w:rsidR="00E22EA8" w:rsidRPr="0059459D">
        <w:rPr>
          <w:rFonts w:cs="Tahoma"/>
          <w:b/>
        </w:rPr>
        <w:t>I.</w:t>
      </w:r>
      <w:r w:rsidR="00E22EA8" w:rsidRPr="0059459D">
        <w:rPr>
          <w:b/>
          <w:bCs/>
        </w:rPr>
        <w:t xml:space="preserve"> Respuesta del Sujeto Obligado</w:t>
      </w:r>
    </w:p>
    <w:p w14:paraId="10CE94A9" w14:textId="77777777" w:rsidR="00C06004" w:rsidRPr="0059459D" w:rsidRDefault="00C06004" w:rsidP="00D42E23">
      <w:pPr>
        <w:autoSpaceDE w:val="0"/>
        <w:autoSpaceDN w:val="0"/>
        <w:adjustRightInd w:val="0"/>
        <w:spacing w:after="0" w:line="360" w:lineRule="auto"/>
        <w:rPr>
          <w:b/>
          <w:bCs/>
        </w:rPr>
      </w:pPr>
    </w:p>
    <w:p w14:paraId="6541BF06" w14:textId="15609CBB" w:rsidR="004D1D8F" w:rsidRPr="0059459D" w:rsidRDefault="00011477" w:rsidP="00D42E23">
      <w:pPr>
        <w:spacing w:after="0" w:line="360" w:lineRule="auto"/>
      </w:pPr>
      <w:r w:rsidRPr="0059459D">
        <w:t xml:space="preserve">El </w:t>
      </w:r>
      <w:r w:rsidR="002A02CD" w:rsidRPr="0059459D">
        <w:t>cinco de noviembre</w:t>
      </w:r>
      <w:r w:rsidRPr="0059459D">
        <w:t xml:space="preserve"> </w:t>
      </w:r>
      <w:r w:rsidR="00E22EA8" w:rsidRPr="0059459D">
        <w:t>de dos mil veinti</w:t>
      </w:r>
      <w:r w:rsidR="004D1D8F" w:rsidRPr="0059459D">
        <w:t>cuatro</w:t>
      </w:r>
      <w:r w:rsidR="00E22EA8" w:rsidRPr="0059459D">
        <w:t xml:space="preserve">, el Sujeto Obligado notificó, a través del Sistema de Acceso a la Información Mexiquense (SAIMEX), la respuesta a la solicitud de acceso a la información pública, </w:t>
      </w:r>
      <w:r w:rsidR="004D1D8F" w:rsidRPr="0059459D">
        <w:t>a través de los documentos siguientes:</w:t>
      </w:r>
    </w:p>
    <w:p w14:paraId="4975134D" w14:textId="77777777" w:rsidR="004D1D8F" w:rsidRPr="0059459D" w:rsidRDefault="004D1D8F" w:rsidP="00D42E23">
      <w:pPr>
        <w:spacing w:after="0" w:line="360" w:lineRule="auto"/>
      </w:pPr>
    </w:p>
    <w:p w14:paraId="42BD9CAD" w14:textId="635B35C5" w:rsidR="00D25C63" w:rsidRPr="0059459D" w:rsidRDefault="004D1D8F" w:rsidP="00D42E23">
      <w:pPr>
        <w:spacing w:after="0" w:line="360" w:lineRule="auto"/>
      </w:pPr>
      <w:r w:rsidRPr="0059459D">
        <w:t xml:space="preserve">i. Oficio </w:t>
      </w:r>
      <w:r w:rsidR="00D25C63" w:rsidRPr="0059459D">
        <w:t xml:space="preserve">sin </w:t>
      </w:r>
      <w:r w:rsidRPr="0059459D">
        <w:t>número</w:t>
      </w:r>
      <w:r w:rsidR="00D25C63" w:rsidRPr="0059459D">
        <w:t xml:space="preserve">, </w:t>
      </w:r>
      <w:r w:rsidR="009E29E8" w:rsidRPr="0059459D">
        <w:t xml:space="preserve">del </w:t>
      </w:r>
      <w:r w:rsidR="00D25C63" w:rsidRPr="0059459D">
        <w:t>cinco de noviembre de dos mil veinticuatro, suscrito por el Titular de la Unidad de Transparencia y dirigido al Solicitante, por medio del cual informó que da respuesta a través del oficio número DU/688/2024 emitido por la Dirección de Desarrollo Urbano.</w:t>
      </w:r>
    </w:p>
    <w:p w14:paraId="28E5359C" w14:textId="77777777" w:rsidR="00D25C63" w:rsidRPr="0059459D" w:rsidRDefault="00D25C63" w:rsidP="00D42E23">
      <w:pPr>
        <w:spacing w:after="0" w:line="360" w:lineRule="auto"/>
      </w:pPr>
    </w:p>
    <w:p w14:paraId="28C7FD24" w14:textId="1680AA57" w:rsidR="00D25C63" w:rsidRPr="0059459D" w:rsidRDefault="00D25C63" w:rsidP="00D25C63">
      <w:pPr>
        <w:spacing w:after="0" w:line="360" w:lineRule="auto"/>
      </w:pPr>
      <w:r w:rsidRPr="0059459D">
        <w:t>ii. Oficio número DU/688/2024, del cinco de noviembre de dos mil veinticuatro, suscrito la Dirección de Desarrollo Urbano y dirigido al Titular de la Unidad de Transparencia, por medio del cual mencionó lo siguiente:</w:t>
      </w:r>
    </w:p>
    <w:p w14:paraId="43BA1D68" w14:textId="77777777" w:rsidR="00D25C63" w:rsidRPr="0059459D" w:rsidRDefault="00D25C63" w:rsidP="00D25C63">
      <w:pPr>
        <w:spacing w:after="0" w:line="360" w:lineRule="auto"/>
      </w:pPr>
    </w:p>
    <w:p w14:paraId="61FE9A24" w14:textId="0E4A4070" w:rsidR="00D25C63" w:rsidRPr="0059459D" w:rsidRDefault="00D25C63" w:rsidP="00D25C63">
      <w:pPr>
        <w:spacing w:after="0" w:line="360" w:lineRule="auto"/>
        <w:ind w:left="720"/>
        <w:rPr>
          <w:i/>
          <w:iCs/>
          <w:sz w:val="20"/>
          <w:szCs w:val="20"/>
        </w:rPr>
      </w:pPr>
      <w:r w:rsidRPr="0059459D">
        <w:rPr>
          <w:i/>
          <w:iCs/>
          <w:sz w:val="20"/>
          <w:szCs w:val="20"/>
        </w:rPr>
        <w:t>“…no se puede adjuntar la información debido a que, con base en el fundamento de los artículos 6 y 23 fracción IV de la Ley de Transparencia y Acceso a la Información Pública del Estado de México, “se deben proteger los datos personales de los peticionarios que obren ante esta dirección”.</w:t>
      </w:r>
    </w:p>
    <w:p w14:paraId="1DFFB178" w14:textId="542A3D61" w:rsidR="00D25C63" w:rsidRPr="0059459D" w:rsidRDefault="00D25C63" w:rsidP="00D25C63">
      <w:pPr>
        <w:spacing w:after="0" w:line="360" w:lineRule="auto"/>
        <w:ind w:left="720"/>
        <w:rPr>
          <w:i/>
          <w:iCs/>
          <w:sz w:val="20"/>
          <w:szCs w:val="20"/>
        </w:rPr>
      </w:pPr>
      <w:r w:rsidRPr="0059459D">
        <w:rPr>
          <w:i/>
          <w:iCs/>
          <w:sz w:val="20"/>
          <w:szCs w:val="20"/>
        </w:rPr>
        <w:t>…”</w:t>
      </w:r>
    </w:p>
    <w:p w14:paraId="322ED99D" w14:textId="1B471111" w:rsidR="00D25C63" w:rsidRPr="0059459D" w:rsidRDefault="00D25C63" w:rsidP="00D42E23">
      <w:pPr>
        <w:spacing w:after="0" w:line="360" w:lineRule="auto"/>
      </w:pPr>
    </w:p>
    <w:p w14:paraId="7E7FBB31" w14:textId="3E971A14" w:rsidR="00E22EA8" w:rsidRPr="0059459D" w:rsidRDefault="00E22EA8" w:rsidP="00D42E23">
      <w:pPr>
        <w:spacing w:after="0" w:line="360" w:lineRule="auto"/>
        <w:rPr>
          <w:b/>
        </w:rPr>
      </w:pPr>
      <w:r w:rsidRPr="0059459D">
        <w:rPr>
          <w:b/>
        </w:rPr>
        <w:t>I</w:t>
      </w:r>
      <w:r w:rsidR="004D1D8F" w:rsidRPr="0059459D">
        <w:rPr>
          <w:b/>
        </w:rPr>
        <w:t>II</w:t>
      </w:r>
      <w:r w:rsidRPr="0059459D">
        <w:rPr>
          <w:b/>
        </w:rPr>
        <w:t>. Interposición del Recurso de Revisión</w:t>
      </w:r>
    </w:p>
    <w:p w14:paraId="053D45CF" w14:textId="77777777" w:rsidR="00E22EA8" w:rsidRPr="0059459D" w:rsidRDefault="00E22EA8" w:rsidP="00D42E23">
      <w:pPr>
        <w:spacing w:after="0" w:line="360" w:lineRule="auto"/>
        <w:rPr>
          <w:b/>
        </w:rPr>
      </w:pPr>
    </w:p>
    <w:p w14:paraId="1AABC52F" w14:textId="4F7227FC" w:rsidR="00E22EA8" w:rsidRPr="0059459D" w:rsidRDefault="00083169" w:rsidP="00D42E23">
      <w:pPr>
        <w:spacing w:after="0" w:line="360" w:lineRule="auto"/>
        <w:rPr>
          <w:bCs/>
        </w:rPr>
      </w:pPr>
      <w:r w:rsidRPr="0059459D">
        <w:rPr>
          <w:bCs/>
        </w:rPr>
        <w:t xml:space="preserve">El </w:t>
      </w:r>
      <w:r w:rsidR="00D25C63" w:rsidRPr="0059459D">
        <w:rPr>
          <w:bCs/>
        </w:rPr>
        <w:t>seis de noviembre</w:t>
      </w:r>
      <w:r w:rsidR="008932E1" w:rsidRPr="0059459D">
        <w:rPr>
          <w:bCs/>
        </w:rPr>
        <w:t xml:space="preserve"> </w:t>
      </w:r>
      <w:r w:rsidR="00E22EA8" w:rsidRPr="0059459D">
        <w:rPr>
          <w:bCs/>
        </w:rPr>
        <w:t>de dos mil veinti</w:t>
      </w:r>
      <w:r w:rsidR="009019A8" w:rsidRPr="0059459D">
        <w:rPr>
          <w:bCs/>
        </w:rPr>
        <w:t>cuatro</w:t>
      </w:r>
      <w:r w:rsidR="00E22EA8" w:rsidRPr="0059459D">
        <w:rPr>
          <w:bCs/>
        </w:rPr>
        <w:t xml:space="preserve">, se recibió en este Instituto, a través del </w:t>
      </w:r>
      <w:r w:rsidR="00E22EA8" w:rsidRPr="0059459D">
        <w:rPr>
          <w:bCs/>
          <w:lang w:val="es-ES"/>
        </w:rPr>
        <w:t>Sistema de Acceso a la Información Mexiquense (SAIMEX)</w:t>
      </w:r>
      <w:r w:rsidR="00E22EA8" w:rsidRPr="0059459D">
        <w:rPr>
          <w:bCs/>
        </w:rPr>
        <w:t xml:space="preserve">, </w:t>
      </w:r>
      <w:r w:rsidR="009019A8" w:rsidRPr="0059459D">
        <w:rPr>
          <w:bCs/>
        </w:rPr>
        <w:t xml:space="preserve">el </w:t>
      </w:r>
      <w:r w:rsidR="00E22EA8" w:rsidRPr="0059459D">
        <w:rPr>
          <w:bCs/>
        </w:rPr>
        <w:t>Recurso de Revisión interpuesto por la p</w:t>
      </w:r>
      <w:r w:rsidRPr="0059459D">
        <w:rPr>
          <w:bCs/>
        </w:rPr>
        <w:t>ersona</w:t>
      </w:r>
      <w:r w:rsidR="00E22EA8" w:rsidRPr="0059459D">
        <w:rPr>
          <w:bCs/>
        </w:rPr>
        <w:t xml:space="preserve"> Recurrente, en contra de la respuesta por el Sujeto Obligado, a la solicitud de información</w:t>
      </w:r>
      <w:r w:rsidR="00F43789" w:rsidRPr="0059459D">
        <w:rPr>
          <w:rFonts w:eastAsia="Calibri" w:cs="Times New Roman"/>
        </w:rPr>
        <w:t xml:space="preserve">, </w:t>
      </w:r>
      <w:r w:rsidR="00E22EA8" w:rsidRPr="0059459D">
        <w:rPr>
          <w:bCs/>
        </w:rPr>
        <w:t>en los siguientes términos:</w:t>
      </w:r>
    </w:p>
    <w:p w14:paraId="1B2CCD45" w14:textId="4E8F7459" w:rsidR="00E22EA8" w:rsidRPr="0059459D" w:rsidRDefault="00E22EA8" w:rsidP="00D42E23">
      <w:pPr>
        <w:spacing w:after="0" w:line="360" w:lineRule="auto"/>
        <w:ind w:left="567" w:right="567"/>
        <w:rPr>
          <w:bCs/>
          <w:i/>
          <w:sz w:val="20"/>
          <w:szCs w:val="20"/>
        </w:rPr>
      </w:pPr>
      <w:r w:rsidRPr="0059459D">
        <w:rPr>
          <w:b/>
          <w:bCs/>
          <w:i/>
          <w:sz w:val="20"/>
          <w:szCs w:val="20"/>
        </w:rPr>
        <w:lastRenderedPageBreak/>
        <w:t>ACTO IMPUGNADO</w:t>
      </w:r>
    </w:p>
    <w:p w14:paraId="20CB87D1" w14:textId="2184DAE6" w:rsidR="00E22EA8" w:rsidRPr="0059459D" w:rsidRDefault="00D25C63" w:rsidP="00D42E23">
      <w:pPr>
        <w:spacing w:after="0" w:line="360" w:lineRule="auto"/>
        <w:ind w:left="567" w:right="567"/>
        <w:rPr>
          <w:i/>
          <w:sz w:val="20"/>
          <w:szCs w:val="20"/>
        </w:rPr>
      </w:pPr>
      <w:r w:rsidRPr="0059459D">
        <w:rPr>
          <w:i/>
          <w:iCs/>
          <w:sz w:val="20"/>
          <w:szCs w:val="20"/>
        </w:rPr>
        <w:t>No da la información solicitada</w:t>
      </w:r>
      <w:r w:rsidR="00E22EA8" w:rsidRPr="0059459D">
        <w:rPr>
          <w:i/>
          <w:iCs/>
          <w:sz w:val="20"/>
          <w:szCs w:val="20"/>
        </w:rPr>
        <w:t>”</w:t>
      </w:r>
      <w:r w:rsidR="00E22EA8" w:rsidRPr="0059459D">
        <w:rPr>
          <w:i/>
          <w:sz w:val="16"/>
          <w:szCs w:val="16"/>
        </w:rPr>
        <w:t xml:space="preserve"> </w:t>
      </w:r>
    </w:p>
    <w:p w14:paraId="3B2615CC" w14:textId="77777777" w:rsidR="00E22EA8" w:rsidRPr="0059459D" w:rsidRDefault="00E22EA8" w:rsidP="00D42E23">
      <w:pPr>
        <w:spacing w:after="0" w:line="360" w:lineRule="auto"/>
        <w:ind w:left="567" w:right="567"/>
        <w:rPr>
          <w:i/>
          <w:sz w:val="20"/>
          <w:szCs w:val="20"/>
        </w:rPr>
      </w:pPr>
    </w:p>
    <w:p w14:paraId="3F1F07C7" w14:textId="7DA6037E" w:rsidR="00E22EA8" w:rsidRPr="0059459D" w:rsidRDefault="00E22EA8" w:rsidP="00D42E23">
      <w:pPr>
        <w:spacing w:after="0" w:line="360" w:lineRule="auto"/>
        <w:ind w:left="567" w:right="567"/>
        <w:rPr>
          <w:b/>
          <w:i/>
          <w:sz w:val="20"/>
          <w:szCs w:val="20"/>
        </w:rPr>
      </w:pPr>
      <w:r w:rsidRPr="0059459D">
        <w:rPr>
          <w:b/>
          <w:i/>
          <w:sz w:val="20"/>
          <w:szCs w:val="20"/>
        </w:rPr>
        <w:t>RAZONES O MOTIVOS DE LA INCONFORMIDAD</w:t>
      </w:r>
    </w:p>
    <w:p w14:paraId="247A40E0" w14:textId="74517B31" w:rsidR="00E22EA8" w:rsidRPr="0059459D" w:rsidRDefault="00D25C63" w:rsidP="00D42E23">
      <w:pPr>
        <w:spacing w:after="0" w:line="360" w:lineRule="auto"/>
        <w:ind w:left="567" w:right="567" w:firstLine="33"/>
        <w:rPr>
          <w:i/>
          <w:sz w:val="20"/>
          <w:szCs w:val="20"/>
        </w:rPr>
      </w:pPr>
      <w:r w:rsidRPr="0059459D">
        <w:rPr>
          <w:i/>
          <w:iCs/>
          <w:sz w:val="20"/>
          <w:szCs w:val="20"/>
        </w:rPr>
        <w:t>No da la información solicitada</w:t>
      </w:r>
      <w:r w:rsidR="00E22EA8" w:rsidRPr="0059459D">
        <w:rPr>
          <w:i/>
          <w:iCs/>
          <w:sz w:val="20"/>
          <w:szCs w:val="20"/>
        </w:rPr>
        <w:t>”</w:t>
      </w:r>
      <w:r w:rsidR="00E22EA8" w:rsidRPr="0059459D">
        <w:rPr>
          <w:i/>
          <w:sz w:val="18"/>
          <w:szCs w:val="18"/>
        </w:rPr>
        <w:t xml:space="preserve"> </w:t>
      </w:r>
    </w:p>
    <w:p w14:paraId="01179437" w14:textId="77777777" w:rsidR="00E22EA8" w:rsidRPr="0059459D" w:rsidRDefault="00E22EA8" w:rsidP="00D42E23">
      <w:pPr>
        <w:spacing w:after="0" w:line="360" w:lineRule="auto"/>
      </w:pPr>
    </w:p>
    <w:p w14:paraId="009DB65C" w14:textId="45D040D7" w:rsidR="00E22EA8" w:rsidRPr="0059459D" w:rsidRDefault="004D1D8F" w:rsidP="00D42E23">
      <w:pPr>
        <w:spacing w:after="0" w:line="360" w:lineRule="auto"/>
        <w:rPr>
          <w:b/>
          <w:bCs/>
        </w:rPr>
      </w:pPr>
      <w:r w:rsidRPr="0059459D">
        <w:rPr>
          <w:b/>
        </w:rPr>
        <w:t>I</w:t>
      </w:r>
      <w:r w:rsidR="00E22EA8" w:rsidRPr="0059459D">
        <w:rPr>
          <w:b/>
        </w:rPr>
        <w:t xml:space="preserve">V. </w:t>
      </w:r>
      <w:r w:rsidR="00E22EA8" w:rsidRPr="0059459D">
        <w:rPr>
          <w:b/>
          <w:bCs/>
        </w:rPr>
        <w:t xml:space="preserve">Trámite del </w:t>
      </w:r>
      <w:r w:rsidR="00E22EA8" w:rsidRPr="0059459D">
        <w:rPr>
          <w:b/>
        </w:rPr>
        <w:t xml:space="preserve">Recurso de Revisión </w:t>
      </w:r>
      <w:r w:rsidR="00E22EA8" w:rsidRPr="0059459D">
        <w:rPr>
          <w:b/>
          <w:bCs/>
        </w:rPr>
        <w:t>ante este Instituto</w:t>
      </w:r>
    </w:p>
    <w:p w14:paraId="5C9B63F8" w14:textId="77777777" w:rsidR="009B2DAB" w:rsidRPr="0059459D" w:rsidRDefault="009B2DAB" w:rsidP="00D42E23">
      <w:pPr>
        <w:spacing w:after="0" w:line="360" w:lineRule="auto"/>
        <w:rPr>
          <w:b/>
          <w:bCs/>
        </w:rPr>
      </w:pPr>
    </w:p>
    <w:p w14:paraId="173768ED" w14:textId="373EBAFD" w:rsidR="00E22EA8" w:rsidRPr="0059459D" w:rsidRDefault="00E22EA8" w:rsidP="00D42E23">
      <w:pPr>
        <w:spacing w:after="0" w:line="360" w:lineRule="auto"/>
        <w:rPr>
          <w:bCs/>
        </w:rPr>
      </w:pPr>
      <w:r w:rsidRPr="0059459D">
        <w:rPr>
          <w:b/>
          <w:bCs/>
        </w:rPr>
        <w:t>a) Turno del Medio de Impugnación.</w:t>
      </w:r>
      <w:r w:rsidR="000A706F" w:rsidRPr="0059459D">
        <w:rPr>
          <w:bCs/>
        </w:rPr>
        <w:t xml:space="preserve"> El</w:t>
      </w:r>
      <w:r w:rsidR="009019A8" w:rsidRPr="0059459D">
        <w:rPr>
          <w:bCs/>
        </w:rPr>
        <w:t xml:space="preserve"> </w:t>
      </w:r>
      <w:r w:rsidR="00680F20" w:rsidRPr="0059459D">
        <w:rPr>
          <w:bCs/>
        </w:rPr>
        <w:t>seis de noviembre</w:t>
      </w:r>
      <w:r w:rsidR="009019A8" w:rsidRPr="0059459D">
        <w:rPr>
          <w:bCs/>
        </w:rPr>
        <w:t xml:space="preserve"> de dos mil veinticuatro</w:t>
      </w:r>
      <w:r w:rsidRPr="0059459D">
        <w:rPr>
          <w:bCs/>
        </w:rPr>
        <w:t xml:space="preserve">, el </w:t>
      </w:r>
      <w:r w:rsidRPr="0059459D">
        <w:rPr>
          <w:lang w:val="es-ES"/>
        </w:rPr>
        <w:t>Sistema de Acceso a la Información Mexiquense (SAIMEX),</w:t>
      </w:r>
      <w:r w:rsidRPr="0059459D">
        <w:rPr>
          <w:bCs/>
        </w:rPr>
        <w:t xml:space="preserve"> asignó el número de expediente </w:t>
      </w:r>
      <w:r w:rsidR="00A753B3" w:rsidRPr="0059459D">
        <w:rPr>
          <w:b/>
          <w:bCs/>
        </w:rPr>
        <w:t>0</w:t>
      </w:r>
      <w:r w:rsidR="00680F20" w:rsidRPr="0059459D">
        <w:rPr>
          <w:b/>
          <w:bCs/>
        </w:rPr>
        <w:t>7086</w:t>
      </w:r>
      <w:r w:rsidR="00A753B3" w:rsidRPr="0059459D">
        <w:rPr>
          <w:b/>
          <w:bCs/>
        </w:rPr>
        <w:t>/INFOEM/IP/RR/202</w:t>
      </w:r>
      <w:r w:rsidR="009019A8" w:rsidRPr="0059459D">
        <w:rPr>
          <w:b/>
          <w:bCs/>
        </w:rPr>
        <w:t>4</w:t>
      </w:r>
      <w:r w:rsidRPr="0059459D">
        <w:rPr>
          <w:bCs/>
        </w:rPr>
        <w:t xml:space="preserve">, al medio de impugnación que nos ocupa, con base en el sistema aprobado por el Pleno de este </w:t>
      </w:r>
      <w:r w:rsidR="00B65BCA" w:rsidRPr="0059459D">
        <w:rPr>
          <w:bCs/>
        </w:rPr>
        <w:t>Organismo</w:t>
      </w:r>
      <w:r w:rsidRPr="0059459D">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59459D" w:rsidRDefault="005914EE" w:rsidP="00D42E23">
      <w:pPr>
        <w:spacing w:after="0" w:line="360" w:lineRule="auto"/>
        <w:rPr>
          <w:b/>
          <w:bCs/>
        </w:rPr>
      </w:pPr>
    </w:p>
    <w:p w14:paraId="61891480" w14:textId="78A71C0D" w:rsidR="00E22EA8" w:rsidRPr="0059459D" w:rsidRDefault="00E22EA8" w:rsidP="00D42E23">
      <w:pPr>
        <w:spacing w:after="0" w:line="360" w:lineRule="auto"/>
      </w:pPr>
      <w:r w:rsidRPr="0059459D">
        <w:rPr>
          <w:b/>
          <w:bCs/>
        </w:rPr>
        <w:t>b) Admisión del Recurso de Revisión</w:t>
      </w:r>
      <w:r w:rsidRPr="0059459D">
        <w:rPr>
          <w:b/>
          <w:bCs/>
          <w:lang w:val="es-ES_tradnl"/>
        </w:rPr>
        <w:t xml:space="preserve">. </w:t>
      </w:r>
      <w:r w:rsidRPr="0059459D">
        <w:rPr>
          <w:bCs/>
          <w:lang w:val="es-ES_tradnl"/>
        </w:rPr>
        <w:t xml:space="preserve">El </w:t>
      </w:r>
      <w:r w:rsidR="00680F20" w:rsidRPr="0059459D">
        <w:rPr>
          <w:bCs/>
          <w:lang w:val="es-ES_tradnl"/>
        </w:rPr>
        <w:t>once</w:t>
      </w:r>
      <w:r w:rsidR="005914EE" w:rsidRPr="0059459D">
        <w:rPr>
          <w:bCs/>
          <w:lang w:val="es-ES_tradnl"/>
        </w:rPr>
        <w:t xml:space="preserve"> de noviembre</w:t>
      </w:r>
      <w:r w:rsidR="009019A8" w:rsidRPr="0059459D">
        <w:rPr>
          <w:bCs/>
          <w:lang w:val="es-ES_tradnl"/>
        </w:rPr>
        <w:t xml:space="preserve"> de dos mil veinticuatro</w:t>
      </w:r>
      <w:r w:rsidRPr="0059459D">
        <w:rPr>
          <w:bCs/>
          <w:lang w:val="es-ES_tradnl"/>
        </w:rPr>
        <w:t xml:space="preserve">, se acordó la admisión del Recurso de Revisión interpuesto por </w:t>
      </w:r>
      <w:r w:rsidR="00261B92" w:rsidRPr="0059459D">
        <w:rPr>
          <w:bCs/>
          <w:lang w:val="es-ES_tradnl"/>
        </w:rPr>
        <w:t>la persona</w:t>
      </w:r>
      <w:r w:rsidRPr="0059459D">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59459D">
        <w:rPr>
          <w:bCs/>
          <w:lang w:val="es-ES_tradnl"/>
        </w:rPr>
        <w:t>el</w:t>
      </w:r>
      <w:r w:rsidR="000A706F" w:rsidRPr="0059459D">
        <w:rPr>
          <w:bCs/>
          <w:lang w:val="es-ES_tradnl"/>
        </w:rPr>
        <w:t xml:space="preserve"> mismo día</w:t>
      </w:r>
      <w:r w:rsidRPr="0059459D">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59459D" w:rsidRDefault="00E22EA8" w:rsidP="00D42E23">
      <w:pPr>
        <w:spacing w:after="0" w:line="360" w:lineRule="auto"/>
        <w:rPr>
          <w:rFonts w:cs="Tahoma"/>
          <w:lang w:val="es-ES_tradnl"/>
        </w:rPr>
      </w:pPr>
    </w:p>
    <w:p w14:paraId="620C5E45" w14:textId="1D742D2D" w:rsidR="00F933B4" w:rsidRPr="0059459D" w:rsidRDefault="00E10780" w:rsidP="00F933B4">
      <w:pPr>
        <w:spacing w:after="0" w:line="360" w:lineRule="auto"/>
      </w:pPr>
      <w:r w:rsidRPr="0059459D">
        <w:rPr>
          <w:b/>
        </w:rPr>
        <w:t>c</w:t>
      </w:r>
      <w:r w:rsidR="00F933B4" w:rsidRPr="0059459D">
        <w:rPr>
          <w:b/>
        </w:rPr>
        <w:t xml:space="preserve">) Informe Justificado. </w:t>
      </w:r>
      <w:r w:rsidR="00F933B4" w:rsidRPr="0059459D">
        <w:t>El diecinueve de noviembre de dos mil veinticuatro, a través del Sistema de Acceso a la Información Mexiquense (SAIMEX), se recibió en este Instituto el informe justificado por parte del Sujeto Obligado por medio de los documentos siguientes:</w:t>
      </w:r>
    </w:p>
    <w:p w14:paraId="73578220" w14:textId="18269F87" w:rsidR="00905638" w:rsidRPr="0059459D" w:rsidRDefault="00905638" w:rsidP="00F933B4">
      <w:pPr>
        <w:spacing w:after="0" w:line="360" w:lineRule="auto"/>
      </w:pPr>
      <w:r w:rsidRPr="0059459D">
        <w:lastRenderedPageBreak/>
        <w:t xml:space="preserve">i. </w:t>
      </w:r>
      <w:r w:rsidR="00481F23" w:rsidRPr="0059459D">
        <w:t>Oficio sin número, suscrito por el Titular de la Unidad de Transparencia y dirigido al Comisionado Ponente, por medio del cual entregó su informe justificado.</w:t>
      </w:r>
    </w:p>
    <w:p w14:paraId="73D3707A" w14:textId="77777777" w:rsidR="00481F23" w:rsidRPr="0059459D" w:rsidRDefault="00481F23" w:rsidP="00F933B4">
      <w:pPr>
        <w:spacing w:after="0" w:line="360" w:lineRule="auto"/>
      </w:pPr>
    </w:p>
    <w:p w14:paraId="343D25E0" w14:textId="6FC35D0F" w:rsidR="00481F23" w:rsidRPr="0059459D" w:rsidRDefault="00481F23" w:rsidP="00F933B4">
      <w:pPr>
        <w:spacing w:after="0" w:line="360" w:lineRule="auto"/>
      </w:pPr>
      <w:r w:rsidRPr="0059459D">
        <w:t xml:space="preserve">ii. Oficio número DU/713/2024, del once de noviembre de dos mil veinticuatro, suscrito por el Director de Desarrollo Urbano y dirigido al Titular de la Unidad de Transparencia, por medio del cual </w:t>
      </w:r>
      <w:r w:rsidR="0029130B" w:rsidRPr="0059459D">
        <w:t>mencionó lo siguiente:</w:t>
      </w:r>
    </w:p>
    <w:p w14:paraId="0E456C64" w14:textId="77777777" w:rsidR="0029130B" w:rsidRPr="0059459D" w:rsidRDefault="0029130B" w:rsidP="00F933B4">
      <w:pPr>
        <w:spacing w:after="0" w:line="360" w:lineRule="auto"/>
      </w:pPr>
    </w:p>
    <w:p w14:paraId="17AEC3D1" w14:textId="79265070" w:rsidR="0029130B" w:rsidRPr="0059459D" w:rsidRDefault="0029130B" w:rsidP="0029130B">
      <w:pPr>
        <w:spacing w:after="0" w:line="360" w:lineRule="auto"/>
        <w:ind w:left="720"/>
        <w:rPr>
          <w:i/>
          <w:iCs/>
          <w:sz w:val="20"/>
          <w:szCs w:val="20"/>
        </w:rPr>
      </w:pPr>
      <w:r w:rsidRPr="0059459D">
        <w:rPr>
          <w:i/>
          <w:iCs/>
          <w:sz w:val="20"/>
          <w:szCs w:val="20"/>
        </w:rPr>
        <w:t>“…ESTATUS: Dicha información se encuentra publicada en la gaceta oficial de Gobierno del Estado de México, número 94, de fecha 26 de mayo de 2015, en el plan parcial de incorporación territorial "Rancho la Palma", Coacalco, Estado de México y la fe de erratas publicada en la gaceta oficial de Gobierno del Estado de México, número 108, de fecha 14 de junio de 2016. Se adjuntan segmentos de dichas gacetas, en donde se menciona la información requerida.</w:t>
      </w:r>
    </w:p>
    <w:p w14:paraId="7A1A45E2" w14:textId="04925E0A" w:rsidR="0029130B" w:rsidRPr="0059459D" w:rsidRDefault="0029130B" w:rsidP="0029130B">
      <w:pPr>
        <w:spacing w:after="0" w:line="360" w:lineRule="auto"/>
        <w:ind w:left="720"/>
        <w:rPr>
          <w:i/>
          <w:iCs/>
          <w:sz w:val="20"/>
          <w:szCs w:val="20"/>
        </w:rPr>
      </w:pPr>
      <w:r w:rsidRPr="0059459D">
        <w:rPr>
          <w:i/>
          <w:iCs/>
          <w:sz w:val="20"/>
          <w:szCs w:val="20"/>
        </w:rPr>
        <w:t>…”</w:t>
      </w:r>
    </w:p>
    <w:p w14:paraId="2FC885DB" w14:textId="77777777" w:rsidR="00125F26" w:rsidRPr="0059459D" w:rsidRDefault="00125F26" w:rsidP="00D42E23">
      <w:pPr>
        <w:spacing w:after="0" w:line="360" w:lineRule="auto"/>
      </w:pPr>
    </w:p>
    <w:p w14:paraId="6080F20B" w14:textId="052D23F1" w:rsidR="00A753B3" w:rsidRPr="0059459D" w:rsidRDefault="0029130B" w:rsidP="00D42E23">
      <w:pPr>
        <w:spacing w:after="0" w:line="360" w:lineRule="auto"/>
      </w:pPr>
      <w:r w:rsidRPr="0059459D">
        <w:t>iii. Gaceta Oficial de Gobierno del Estado de México, número 94, del veintiséis de mayo de dos mil quince, donde establece, a través de la Secretaría de Desarrollo Urbano y Metropolitano el Plan Parcial de Incorporación Territorial "Rancho la Palma", Coacalco, Estado de México.</w:t>
      </w:r>
    </w:p>
    <w:p w14:paraId="00481181" w14:textId="77777777" w:rsidR="0029130B" w:rsidRPr="0059459D" w:rsidRDefault="0029130B" w:rsidP="00D42E23">
      <w:pPr>
        <w:spacing w:after="0" w:line="360" w:lineRule="auto"/>
      </w:pPr>
    </w:p>
    <w:p w14:paraId="7D5E7857" w14:textId="77777777" w:rsidR="0029130B" w:rsidRPr="0059459D" w:rsidRDefault="0029130B" w:rsidP="0029130B">
      <w:pPr>
        <w:spacing w:after="0" w:line="360" w:lineRule="auto"/>
      </w:pPr>
      <w:r w:rsidRPr="0059459D">
        <w:t>iv. Gaceta Oficial de Gobierno del Estado de México, número 202, del catorce de junio de dos mil dieciséis, donde establece la Fe de Erratas del Plan Parcial de Incorporación Territorial "Rancho la Palma", Coacalco, Estado de México.</w:t>
      </w:r>
    </w:p>
    <w:p w14:paraId="53AD352A" w14:textId="2C3B912D" w:rsidR="0029130B" w:rsidRPr="0059459D" w:rsidRDefault="0029130B" w:rsidP="00D42E23">
      <w:pPr>
        <w:spacing w:after="0" w:line="360" w:lineRule="auto"/>
        <w:rPr>
          <w:sz w:val="24"/>
          <w:szCs w:val="24"/>
        </w:rPr>
      </w:pPr>
    </w:p>
    <w:p w14:paraId="5E1816C9" w14:textId="728C6ABE" w:rsidR="00F933B4" w:rsidRPr="0059459D" w:rsidRDefault="00F933B4" w:rsidP="00F933B4">
      <w:pPr>
        <w:spacing w:after="0" w:line="360" w:lineRule="auto"/>
        <w:rPr>
          <w:b/>
        </w:rPr>
      </w:pPr>
      <w:bookmarkStart w:id="0" w:name="_Hlk182976945"/>
      <w:r w:rsidRPr="0059459D">
        <w:rPr>
          <w:b/>
        </w:rPr>
        <w:t xml:space="preserve">d) Vista del Informe Justificado. </w:t>
      </w:r>
      <w:r w:rsidRPr="0059459D">
        <w:rPr>
          <w:color w:val="000000"/>
        </w:rPr>
        <w:t xml:space="preserve">El veintiuno de noviembre de dos mil veinticuatro, se dictó acuerdo por medio del cual se puso a la vista de la persona Recurrente el Informe Justificado entregado por el Sujeto Obligado, el cual fue notificado a las partes, el mismo día, a través </w:t>
      </w:r>
      <w:r w:rsidRPr="0059459D">
        <w:rPr>
          <w:color w:val="000000"/>
        </w:rPr>
        <w:lastRenderedPageBreak/>
        <w:t xml:space="preserve">del Sistema de Acceso a la Información Mexiquense (SAIMEX). </w:t>
      </w:r>
      <w:r w:rsidRPr="0059459D">
        <w:rPr>
          <w:b/>
          <w:color w:val="000000"/>
        </w:rPr>
        <w:t>Cabe señalar que el Particular fue omiso en realizar manifestación alguna.</w:t>
      </w:r>
    </w:p>
    <w:bookmarkEnd w:id="0"/>
    <w:p w14:paraId="58013731" w14:textId="77777777" w:rsidR="0058767A" w:rsidRPr="0059459D" w:rsidRDefault="0058767A" w:rsidP="00D42E23">
      <w:pPr>
        <w:spacing w:after="0" w:line="360" w:lineRule="auto"/>
      </w:pPr>
    </w:p>
    <w:p w14:paraId="73AC64D0" w14:textId="76734E0A" w:rsidR="00E22EA8" w:rsidRPr="0059459D" w:rsidRDefault="00680F20" w:rsidP="00D42E23">
      <w:pPr>
        <w:spacing w:after="0" w:line="360" w:lineRule="auto"/>
        <w:rPr>
          <w:lang w:val="es-ES"/>
        </w:rPr>
      </w:pPr>
      <w:r w:rsidRPr="0059459D">
        <w:rPr>
          <w:rFonts w:eastAsia="Times New Roman" w:cs="Tahoma"/>
          <w:b/>
          <w:szCs w:val="24"/>
          <w:lang w:eastAsia="es-ES"/>
        </w:rPr>
        <w:t>e</w:t>
      </w:r>
      <w:r w:rsidR="00E22EA8" w:rsidRPr="0059459D">
        <w:rPr>
          <w:rFonts w:eastAsia="Times New Roman" w:cs="Tahoma"/>
          <w:b/>
          <w:szCs w:val="24"/>
          <w:lang w:eastAsia="es-ES"/>
        </w:rPr>
        <w:t>) Cierre de instrucción.</w:t>
      </w:r>
      <w:r w:rsidR="00E22EA8" w:rsidRPr="0059459D">
        <w:rPr>
          <w:rFonts w:eastAsia="Times New Roman" w:cs="Tahoma"/>
          <w:szCs w:val="24"/>
          <w:lang w:eastAsia="es-ES"/>
        </w:rPr>
        <w:t xml:space="preserve"> El </w:t>
      </w:r>
      <w:r w:rsidR="00B02A3F" w:rsidRPr="0059459D">
        <w:rPr>
          <w:rFonts w:eastAsia="Times New Roman" w:cs="Tahoma"/>
          <w:szCs w:val="24"/>
          <w:lang w:eastAsia="es-ES"/>
        </w:rPr>
        <w:t>veintiocho</w:t>
      </w:r>
      <w:r w:rsidR="0058767A" w:rsidRPr="0059459D">
        <w:rPr>
          <w:rFonts w:eastAsia="Times New Roman" w:cs="Tahoma"/>
          <w:szCs w:val="24"/>
          <w:lang w:eastAsia="es-ES"/>
        </w:rPr>
        <w:t xml:space="preserve"> de noviembre</w:t>
      </w:r>
      <w:r w:rsidR="00E22EA8" w:rsidRPr="0059459D">
        <w:rPr>
          <w:rFonts w:eastAsia="Times New Roman" w:cs="Tahoma"/>
          <w:szCs w:val="24"/>
          <w:lang w:eastAsia="es-ES"/>
        </w:rPr>
        <w:t xml:space="preserve"> de dos mil veinti</w:t>
      </w:r>
      <w:r w:rsidR="001425CB" w:rsidRPr="0059459D">
        <w:rPr>
          <w:rFonts w:eastAsia="Times New Roman" w:cs="Tahoma"/>
          <w:szCs w:val="24"/>
          <w:lang w:eastAsia="es-ES"/>
        </w:rPr>
        <w:t>cuatro</w:t>
      </w:r>
      <w:r w:rsidR="00E22EA8" w:rsidRPr="0059459D">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59459D">
        <w:rPr>
          <w:lang w:val="es-ES"/>
        </w:rPr>
        <w:t>acto que fue notificado a las partes, mediante el Sistema de Acceso a la Información Mexiquense (SAIMEX), el mismo día.</w:t>
      </w:r>
    </w:p>
    <w:p w14:paraId="5CA409A3" w14:textId="77777777" w:rsidR="004C21E6" w:rsidRPr="0059459D" w:rsidRDefault="004C21E6" w:rsidP="00D42E23">
      <w:pPr>
        <w:spacing w:after="0" w:line="360" w:lineRule="auto"/>
        <w:rPr>
          <w:b/>
          <w:bCs/>
          <w:lang w:val="es-ES"/>
        </w:rPr>
      </w:pPr>
    </w:p>
    <w:p w14:paraId="161AC563" w14:textId="77777777" w:rsidR="005C690F" w:rsidRPr="0059459D" w:rsidRDefault="007D6307" w:rsidP="00D42E23">
      <w:pPr>
        <w:spacing w:after="0" w:line="360" w:lineRule="auto"/>
        <w:rPr>
          <w:color w:val="000000"/>
        </w:rPr>
      </w:pPr>
      <w:r w:rsidRPr="0059459D">
        <w:rPr>
          <w:color w:val="000000"/>
        </w:rPr>
        <w:t>En razón de que fue debidamente sustanciado e integrado el expediente electrónico y no existe diligencia pendiente de desahogo, se emite la resolución que conforme a Derecho proceda, de acuerdo a los siguientes:</w:t>
      </w:r>
    </w:p>
    <w:p w14:paraId="1C132216" w14:textId="77777777" w:rsidR="005C690F" w:rsidRPr="0059459D" w:rsidRDefault="005C690F" w:rsidP="00D42E23">
      <w:pPr>
        <w:spacing w:after="0" w:line="360" w:lineRule="auto"/>
        <w:rPr>
          <w:b/>
          <w:color w:val="000000"/>
        </w:rPr>
      </w:pPr>
    </w:p>
    <w:p w14:paraId="250F6589" w14:textId="3F880C72" w:rsidR="005C690F" w:rsidRPr="0059459D" w:rsidRDefault="00CD6238" w:rsidP="00D42E23">
      <w:pPr>
        <w:spacing w:after="0" w:line="360" w:lineRule="auto"/>
        <w:jc w:val="center"/>
        <w:rPr>
          <w:b/>
          <w:color w:val="000000"/>
        </w:rPr>
      </w:pPr>
      <w:r w:rsidRPr="0059459D">
        <w:rPr>
          <w:b/>
          <w:color w:val="000000"/>
        </w:rPr>
        <w:t>C O N S I D E R A N D O S</w:t>
      </w:r>
    </w:p>
    <w:p w14:paraId="5AB6ED71" w14:textId="77777777" w:rsidR="005C690F" w:rsidRPr="0059459D" w:rsidRDefault="005C690F" w:rsidP="00D42E23">
      <w:pPr>
        <w:spacing w:after="0" w:line="360" w:lineRule="auto"/>
        <w:jc w:val="center"/>
        <w:rPr>
          <w:b/>
          <w:color w:val="000000"/>
        </w:rPr>
      </w:pPr>
    </w:p>
    <w:p w14:paraId="36BFFC7E" w14:textId="2F0F17EA" w:rsidR="005C690F" w:rsidRPr="0059459D" w:rsidRDefault="007D6307" w:rsidP="00D42E23">
      <w:pPr>
        <w:spacing w:after="0" w:line="360" w:lineRule="auto"/>
        <w:rPr>
          <w:b/>
          <w:color w:val="000000"/>
        </w:rPr>
      </w:pPr>
      <w:r w:rsidRPr="0059459D">
        <w:rPr>
          <w:b/>
          <w:color w:val="000000"/>
        </w:rPr>
        <w:t>PRIMERO</w:t>
      </w:r>
      <w:r w:rsidRPr="0059459D">
        <w:rPr>
          <w:color w:val="000000"/>
        </w:rPr>
        <w:t xml:space="preserve">. </w:t>
      </w:r>
      <w:r w:rsidR="00CD6238" w:rsidRPr="0059459D">
        <w:rPr>
          <w:b/>
          <w:color w:val="000000"/>
        </w:rPr>
        <w:t>Competencia</w:t>
      </w:r>
    </w:p>
    <w:p w14:paraId="552342DA" w14:textId="77777777" w:rsidR="007A1ACB" w:rsidRPr="0059459D" w:rsidRDefault="007A1ACB" w:rsidP="00D42E23">
      <w:pPr>
        <w:spacing w:after="0" w:line="360" w:lineRule="auto"/>
        <w:rPr>
          <w:b/>
          <w:color w:val="000000"/>
        </w:rPr>
      </w:pPr>
    </w:p>
    <w:p w14:paraId="22812C39" w14:textId="17931CD5" w:rsidR="00C67C95" w:rsidRPr="0059459D" w:rsidRDefault="00C67C95" w:rsidP="00D42E23">
      <w:pPr>
        <w:spacing w:after="0" w:line="360" w:lineRule="auto"/>
        <w:contextualSpacing/>
        <w:rPr>
          <w:rFonts w:eastAsia="Times New Roman" w:cs="Tahoma"/>
          <w:bCs/>
          <w:lang w:eastAsia="es-ES"/>
        </w:rPr>
      </w:pPr>
      <w:bookmarkStart w:id="1" w:name="_heading=h.30j0zll" w:colFirst="0" w:colLast="0"/>
      <w:bookmarkStart w:id="2" w:name="_Hlk63334754"/>
      <w:bookmarkEnd w:id="1"/>
      <w:r w:rsidRPr="0059459D">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w:t>
      </w:r>
      <w:r w:rsidR="00261B92" w:rsidRPr="0059459D">
        <w:rPr>
          <w:rFonts w:eastAsia="Times New Roman" w:cs="Tahoma"/>
          <w:bCs/>
          <w:lang w:eastAsia="es-ES"/>
        </w:rPr>
        <w:t>ersona</w:t>
      </w:r>
      <w:r w:rsidRPr="0059459D">
        <w:rPr>
          <w:rFonts w:eastAsia="Times New Roman" w:cs="Tahoma"/>
          <w:bCs/>
          <w:lang w:eastAsia="es-ES"/>
        </w:rPr>
        <w:t xml:space="preserv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w:t>
      </w:r>
      <w:r w:rsidRPr="0059459D">
        <w:rPr>
          <w:rFonts w:eastAsia="Times New Roman" w:cs="Tahoma"/>
          <w:bCs/>
          <w:lang w:eastAsia="es-ES"/>
        </w:rPr>
        <w:lastRenderedPageBreak/>
        <w:t>y 189 de la Ley Transparencia y Acceso a la Información Pública del Estado de México y Municipios;</w:t>
      </w:r>
      <w:r w:rsidRPr="0059459D">
        <w:rPr>
          <w:rFonts w:eastAsia="Times New Roman" w:cs="Times New Roman"/>
          <w:bCs/>
          <w:lang w:eastAsia="es-ES"/>
        </w:rPr>
        <w:t xml:space="preserve"> 7°, </w:t>
      </w:r>
      <w:r w:rsidRPr="0059459D">
        <w:rPr>
          <w:rFonts w:eastAsia="Times New Roman" w:cs="Tahoma"/>
          <w:bCs/>
          <w:lang w:eastAsia="es-ES"/>
        </w:rPr>
        <w:t>9°, fracciones I y XXIII y 11 del Reglamento Interior del Instituto de Transparencia, Acceso a la Información Pública y Protección de Datos Personales del Estado de México y Municipios.</w:t>
      </w:r>
      <w:bookmarkEnd w:id="2"/>
    </w:p>
    <w:p w14:paraId="4225FD09" w14:textId="77777777" w:rsidR="005C690F" w:rsidRPr="0059459D" w:rsidRDefault="005C690F" w:rsidP="00D42E23">
      <w:pPr>
        <w:spacing w:after="0" w:line="360" w:lineRule="auto"/>
        <w:rPr>
          <w:b/>
          <w:color w:val="000000"/>
        </w:rPr>
      </w:pPr>
    </w:p>
    <w:p w14:paraId="46691DD5" w14:textId="4C1C70AD" w:rsidR="005C690F" w:rsidRPr="0059459D" w:rsidRDefault="007D6307" w:rsidP="00D42E23">
      <w:pPr>
        <w:spacing w:after="0" w:line="360" w:lineRule="auto"/>
        <w:rPr>
          <w:color w:val="000000"/>
        </w:rPr>
      </w:pPr>
      <w:r w:rsidRPr="0059459D">
        <w:rPr>
          <w:b/>
          <w:color w:val="000000"/>
        </w:rPr>
        <w:t>SEGUNDO</w:t>
      </w:r>
      <w:r w:rsidRPr="0059459D">
        <w:rPr>
          <w:color w:val="000000"/>
        </w:rPr>
        <w:t xml:space="preserve">. </w:t>
      </w:r>
      <w:r w:rsidRPr="0059459D">
        <w:rPr>
          <w:b/>
          <w:color w:val="000000"/>
        </w:rPr>
        <w:t>Causales de</w:t>
      </w:r>
      <w:r w:rsidR="00CD6238" w:rsidRPr="0059459D">
        <w:rPr>
          <w:b/>
          <w:color w:val="000000"/>
        </w:rPr>
        <w:t xml:space="preserve"> improcedencia y sobreseimiento</w:t>
      </w:r>
    </w:p>
    <w:p w14:paraId="49AA4CDE" w14:textId="77777777" w:rsidR="005C690F" w:rsidRPr="0059459D" w:rsidRDefault="005C690F" w:rsidP="00D42E23">
      <w:pPr>
        <w:spacing w:after="0" w:line="360" w:lineRule="auto"/>
        <w:rPr>
          <w:color w:val="000000"/>
        </w:rPr>
      </w:pPr>
    </w:p>
    <w:p w14:paraId="2553CE58" w14:textId="77777777" w:rsidR="005C690F" w:rsidRPr="0059459D" w:rsidRDefault="007D6307" w:rsidP="00D42E23">
      <w:pPr>
        <w:spacing w:after="0" w:line="360" w:lineRule="auto"/>
        <w:rPr>
          <w:color w:val="000000"/>
        </w:rPr>
      </w:pPr>
      <w:r w:rsidRPr="0059459D">
        <w:rPr>
          <w:color w:val="000000"/>
        </w:rPr>
        <w:t xml:space="preserve">De las constancias que forma parte del Recurso de Revisión que se analiza, se advierte que previo al estudio del fondo de la </w:t>
      </w:r>
      <w:r w:rsidRPr="0059459D">
        <w:rPr>
          <w:i/>
          <w:color w:val="000000"/>
        </w:rPr>
        <w:t>litis</w:t>
      </w:r>
      <w:r w:rsidRPr="0059459D">
        <w:rPr>
          <w:color w:val="000000"/>
        </w:rPr>
        <w:t>, es necesario estudiar las causales de improcedencia y sobreseimiento que se adviertan, para determinar lo que en Derecho proceda.</w:t>
      </w:r>
    </w:p>
    <w:p w14:paraId="35A30074" w14:textId="77777777" w:rsidR="009B2DAB" w:rsidRPr="0059459D" w:rsidRDefault="009B2DAB" w:rsidP="00D42E23">
      <w:pPr>
        <w:spacing w:after="0" w:line="360" w:lineRule="auto"/>
        <w:rPr>
          <w:color w:val="000000"/>
        </w:rPr>
      </w:pPr>
    </w:p>
    <w:p w14:paraId="3066DF0C" w14:textId="77777777" w:rsidR="005C690F" w:rsidRPr="0059459D" w:rsidRDefault="007D6307" w:rsidP="00D42E23">
      <w:pPr>
        <w:spacing w:after="0" w:line="360" w:lineRule="auto"/>
        <w:rPr>
          <w:b/>
        </w:rPr>
      </w:pPr>
      <w:r w:rsidRPr="0059459D">
        <w:rPr>
          <w:b/>
        </w:rPr>
        <w:t>Causales de improcedencia</w:t>
      </w:r>
    </w:p>
    <w:p w14:paraId="75878DC6" w14:textId="77777777" w:rsidR="005C690F" w:rsidRPr="0059459D" w:rsidRDefault="005C690F" w:rsidP="00D42E23">
      <w:pPr>
        <w:spacing w:after="0" w:line="360" w:lineRule="auto"/>
      </w:pPr>
    </w:p>
    <w:p w14:paraId="6C56CA88" w14:textId="77777777" w:rsidR="005C690F" w:rsidRPr="0059459D" w:rsidRDefault="007D6307" w:rsidP="00D42E23">
      <w:pPr>
        <w:spacing w:after="0" w:line="360" w:lineRule="auto"/>
        <w:rPr>
          <w:color w:val="000000"/>
        </w:rPr>
      </w:pPr>
      <w:r w:rsidRPr="0059459D">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59459D" w:rsidRDefault="005C690F" w:rsidP="00D42E23">
      <w:pPr>
        <w:spacing w:after="0" w:line="360" w:lineRule="auto"/>
        <w:rPr>
          <w:color w:val="000000"/>
        </w:rPr>
      </w:pPr>
    </w:p>
    <w:p w14:paraId="3FF1B775" w14:textId="71BDC8A3" w:rsidR="005C690F" w:rsidRPr="0059459D" w:rsidRDefault="007D6307" w:rsidP="00D42E23">
      <w:pPr>
        <w:spacing w:after="0" w:line="360" w:lineRule="auto"/>
        <w:rPr>
          <w:color w:val="000000"/>
        </w:rPr>
      </w:pPr>
      <w:r w:rsidRPr="0059459D">
        <w:rPr>
          <w:color w:val="000000"/>
        </w:rPr>
        <w:t>En el presente caso, </w:t>
      </w:r>
      <w:r w:rsidRPr="0059459D">
        <w:rPr>
          <w:b/>
          <w:color w:val="000000"/>
        </w:rPr>
        <w:t>no se actualiza ninguna de las causales de improcedencia</w:t>
      </w:r>
      <w:r w:rsidRPr="0059459D">
        <w:rPr>
          <w:color w:val="000000"/>
        </w:rPr>
        <w:t> establecidas en el ordenamiento jurídico previamente señalado, toda vez que: este Instituto no tiene conocimiento de que se encuentre en trámite algún medio de defensa presentado por la</w:t>
      </w:r>
      <w:r w:rsidR="00261B92" w:rsidRPr="0059459D">
        <w:rPr>
          <w:color w:val="000000"/>
        </w:rPr>
        <w:t xml:space="preserve"> persona</w:t>
      </w:r>
      <w:r w:rsidRPr="0059459D">
        <w:rPr>
          <w:color w:val="000000"/>
        </w:rPr>
        <w:t xml:space="preserve"> Recurrente ante otra instancia; no existió prevención alguna; la veracidad de la </w:t>
      </w:r>
      <w:r w:rsidRPr="0059459D">
        <w:rPr>
          <w:color w:val="000000"/>
        </w:rPr>
        <w:lastRenderedPageBreak/>
        <w:t>respuesta no formó parte del agravio; ni se realizó una consulta o ampliación a los alcances del requerimiento informativo.</w:t>
      </w:r>
    </w:p>
    <w:p w14:paraId="22563DDB" w14:textId="77777777" w:rsidR="008D3B3F" w:rsidRPr="0059459D" w:rsidRDefault="008D3B3F" w:rsidP="00D42E23">
      <w:pPr>
        <w:spacing w:after="0" w:line="360" w:lineRule="auto"/>
        <w:rPr>
          <w:color w:val="000000"/>
        </w:rPr>
      </w:pPr>
    </w:p>
    <w:p w14:paraId="2BF1CF5B" w14:textId="6858942B" w:rsidR="005C690F" w:rsidRPr="0059459D" w:rsidRDefault="007D6307" w:rsidP="00D42E23">
      <w:pPr>
        <w:spacing w:after="0" w:line="360" w:lineRule="auto"/>
      </w:pPr>
      <w:r w:rsidRPr="0059459D">
        <w:t>Por lo cual, se actualiza la causal de procedencia del Recurso de Revisión señal</w:t>
      </w:r>
      <w:r w:rsidR="00261DF6" w:rsidRPr="0059459D">
        <w:t>ada en el artículo 179, fracci</w:t>
      </w:r>
      <w:r w:rsidR="00230B8F" w:rsidRPr="0059459D">
        <w:t xml:space="preserve">ón </w:t>
      </w:r>
      <w:r w:rsidR="00B27131" w:rsidRPr="0059459D">
        <w:t xml:space="preserve">II y </w:t>
      </w:r>
      <w:r w:rsidR="00230B8F" w:rsidRPr="0059459D">
        <w:t>V</w:t>
      </w:r>
      <w:r w:rsidR="002F0526" w:rsidRPr="0059459D">
        <w:t>I</w:t>
      </w:r>
      <w:r w:rsidRPr="0059459D">
        <w:t>, de la Ley en cita, pues la p</w:t>
      </w:r>
      <w:r w:rsidR="00261B92" w:rsidRPr="0059459D">
        <w:t>ersona</w:t>
      </w:r>
      <w:r w:rsidRPr="0059459D">
        <w:t xml:space="preserve"> Recurrente se inconformó </w:t>
      </w:r>
      <w:r w:rsidR="002F0526" w:rsidRPr="0059459D">
        <w:t xml:space="preserve">de </w:t>
      </w:r>
      <w:r w:rsidR="00B27131" w:rsidRPr="0059459D">
        <w:rPr>
          <w:rFonts w:eastAsia="Times New Roman" w:cs="Tahoma"/>
          <w:bCs/>
          <w:color w:val="auto"/>
          <w:lang w:val="es-ES" w:eastAsia="es-ES"/>
        </w:rPr>
        <w:t>con la entrega de información que no corresponde con lo solicitado y la clasificación de la misma.</w:t>
      </w:r>
    </w:p>
    <w:p w14:paraId="7B59B025" w14:textId="77777777" w:rsidR="00712ED6" w:rsidRPr="0059459D" w:rsidRDefault="00712ED6" w:rsidP="00D42E23">
      <w:pPr>
        <w:spacing w:after="0" w:line="360" w:lineRule="auto"/>
      </w:pPr>
    </w:p>
    <w:p w14:paraId="55FF691A" w14:textId="6D373E30" w:rsidR="005C690F" w:rsidRPr="0059459D" w:rsidRDefault="007D6307" w:rsidP="00D42E23">
      <w:pPr>
        <w:spacing w:after="0" w:line="360" w:lineRule="auto"/>
        <w:rPr>
          <w:color w:val="0D0D0D"/>
        </w:rPr>
      </w:pPr>
      <w:r w:rsidRPr="0059459D">
        <w:rPr>
          <w:b/>
          <w:color w:val="0D0D0D"/>
        </w:rPr>
        <w:t>Ca</w:t>
      </w:r>
      <w:r w:rsidR="00CD6238" w:rsidRPr="0059459D">
        <w:rPr>
          <w:b/>
          <w:color w:val="0D0D0D"/>
        </w:rPr>
        <w:t>usales de sobreseimiento</w:t>
      </w:r>
    </w:p>
    <w:p w14:paraId="426FEE7A" w14:textId="77777777" w:rsidR="005C690F" w:rsidRPr="0059459D" w:rsidRDefault="005C690F" w:rsidP="00D42E23">
      <w:pPr>
        <w:spacing w:after="0" w:line="360" w:lineRule="auto"/>
        <w:rPr>
          <w:color w:val="0D0D0D"/>
        </w:rPr>
      </w:pPr>
    </w:p>
    <w:p w14:paraId="5B1C849A" w14:textId="77777777" w:rsidR="005C690F" w:rsidRPr="0059459D" w:rsidRDefault="007D6307" w:rsidP="00D42E23">
      <w:pPr>
        <w:spacing w:after="0" w:line="360" w:lineRule="auto"/>
        <w:rPr>
          <w:color w:val="0D0D0D"/>
        </w:rPr>
      </w:pPr>
      <w:r w:rsidRPr="0059459D">
        <w:rPr>
          <w:color w:val="0D0D0D"/>
        </w:rPr>
        <w:t>Por ser de previo y especial pronunciamiento, este Instituto analiza si se actualiza alguna causal de sobreseimiento.</w:t>
      </w:r>
    </w:p>
    <w:p w14:paraId="7017F051" w14:textId="77777777" w:rsidR="005C690F" w:rsidRPr="0059459D" w:rsidRDefault="005C690F" w:rsidP="00D42E23">
      <w:pPr>
        <w:spacing w:after="0" w:line="360" w:lineRule="auto"/>
        <w:rPr>
          <w:color w:val="0D0D0D"/>
        </w:rPr>
      </w:pPr>
    </w:p>
    <w:p w14:paraId="616B549A" w14:textId="34585935" w:rsidR="005C690F" w:rsidRPr="0059459D" w:rsidRDefault="007D6307" w:rsidP="00D42E23">
      <w:pPr>
        <w:spacing w:after="0" w:line="360" w:lineRule="auto"/>
        <w:rPr>
          <w:color w:val="000000"/>
        </w:rPr>
      </w:pPr>
      <w:r w:rsidRPr="0059459D">
        <w:rPr>
          <w:color w:val="0D0D0D"/>
        </w:rPr>
        <w:t>Sobre el tema, e</w:t>
      </w:r>
      <w:r w:rsidRPr="0059459D">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59459D">
        <w:rPr>
          <w:color w:val="000000"/>
        </w:rPr>
        <w:t xml:space="preserve">persona </w:t>
      </w:r>
      <w:r w:rsidRPr="0059459D">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59459D" w:rsidRDefault="00712ED6" w:rsidP="00D42E23">
      <w:pPr>
        <w:spacing w:after="0" w:line="360" w:lineRule="auto"/>
        <w:rPr>
          <w:color w:val="000000"/>
        </w:rPr>
      </w:pPr>
    </w:p>
    <w:p w14:paraId="338973DD" w14:textId="77777777" w:rsidR="005C690F" w:rsidRPr="0059459D" w:rsidRDefault="007D6307" w:rsidP="00D42E23">
      <w:pPr>
        <w:spacing w:after="0" w:line="360" w:lineRule="auto"/>
        <w:rPr>
          <w:color w:val="0D0D0D"/>
        </w:rPr>
      </w:pPr>
      <w:r w:rsidRPr="0059459D">
        <w:rPr>
          <w:color w:val="0D0D0D"/>
        </w:rPr>
        <w:t xml:space="preserve">Por tales motivos, se considera procedente entrar al fondo del presente asunto. </w:t>
      </w:r>
    </w:p>
    <w:p w14:paraId="3B2EB888" w14:textId="77777777" w:rsidR="005C690F" w:rsidRPr="0059459D" w:rsidRDefault="005C690F" w:rsidP="00D42E23">
      <w:pPr>
        <w:spacing w:after="0" w:line="360" w:lineRule="auto"/>
        <w:rPr>
          <w:b/>
          <w:color w:val="000000"/>
        </w:rPr>
      </w:pPr>
    </w:p>
    <w:p w14:paraId="0A6A0BAE" w14:textId="184EF292" w:rsidR="005C690F" w:rsidRPr="0059459D" w:rsidRDefault="007D6307" w:rsidP="00D42E23">
      <w:pPr>
        <w:spacing w:after="0" w:line="360" w:lineRule="auto"/>
        <w:rPr>
          <w:b/>
          <w:color w:val="000000"/>
        </w:rPr>
      </w:pPr>
      <w:r w:rsidRPr="0059459D">
        <w:rPr>
          <w:b/>
          <w:color w:val="000000"/>
        </w:rPr>
        <w:t>TERCERO. De</w:t>
      </w:r>
      <w:r w:rsidR="00CD6238" w:rsidRPr="0059459D">
        <w:rPr>
          <w:b/>
          <w:color w:val="000000"/>
        </w:rPr>
        <w:t>terminación de la Controversia</w:t>
      </w:r>
    </w:p>
    <w:p w14:paraId="4A0739CB" w14:textId="77777777" w:rsidR="00897A05" w:rsidRPr="0059459D" w:rsidRDefault="00897A05" w:rsidP="00D42E23">
      <w:pPr>
        <w:spacing w:after="0" w:line="360" w:lineRule="auto"/>
        <w:rPr>
          <w:b/>
          <w:color w:val="000000"/>
        </w:rPr>
      </w:pPr>
    </w:p>
    <w:p w14:paraId="64AFB475" w14:textId="3CCCF77D" w:rsidR="00F56168" w:rsidRPr="0059459D" w:rsidRDefault="007C7BAF" w:rsidP="00D42E23">
      <w:pPr>
        <w:spacing w:after="0" w:line="360" w:lineRule="auto"/>
        <w:rPr>
          <w:rFonts w:cs="Tahoma"/>
        </w:rPr>
      </w:pPr>
      <w:r w:rsidRPr="0059459D">
        <w:rPr>
          <w:rFonts w:cs="Tahoma"/>
        </w:rPr>
        <w:lastRenderedPageBreak/>
        <w:t>Con el objetivo de ilustrar la controversia planteada, resulta conveniente precisar, que una vez realizado el estudio de las constancias que integran el expediente en el que se actúa, se desprende que el Particular requirió</w:t>
      </w:r>
      <w:r w:rsidR="002F0526" w:rsidRPr="0059459D">
        <w:rPr>
          <w:rFonts w:cs="Tahoma"/>
        </w:rPr>
        <w:t xml:space="preserve"> </w:t>
      </w:r>
      <w:r w:rsidR="00B27131" w:rsidRPr="0059459D">
        <w:rPr>
          <w:rFonts w:cs="Tahoma"/>
        </w:rPr>
        <w:t>las autorizaciones del proyecto COSMOPOL, así como las vialidades con las que cuenta y las proyectadas a futuro, vigentes al catorce de octubre de dos mil veinticuatro.</w:t>
      </w:r>
    </w:p>
    <w:p w14:paraId="09C44CEE" w14:textId="77777777" w:rsidR="00F56168" w:rsidRPr="0059459D" w:rsidRDefault="00F56168" w:rsidP="00D42E23">
      <w:pPr>
        <w:spacing w:after="0" w:line="360" w:lineRule="auto"/>
        <w:rPr>
          <w:rFonts w:cs="Tahoma"/>
        </w:rPr>
      </w:pPr>
    </w:p>
    <w:p w14:paraId="1D700AB3" w14:textId="4E860034" w:rsidR="0044017B" w:rsidRPr="0059459D" w:rsidRDefault="007C7BAF" w:rsidP="00D42E23">
      <w:pPr>
        <w:spacing w:after="0" w:line="360" w:lineRule="auto"/>
        <w:rPr>
          <w:rFonts w:cs="Tahoma"/>
          <w:lang w:val="es-ES"/>
        </w:rPr>
      </w:pPr>
      <w:r w:rsidRPr="0059459D">
        <w:rPr>
          <w:color w:val="000000"/>
        </w:rPr>
        <w:t>En respuesta, el Sujeto Obligado, a través de</w:t>
      </w:r>
      <w:r w:rsidR="00B27131" w:rsidRPr="0059459D">
        <w:rPr>
          <w:color w:val="000000"/>
        </w:rPr>
        <w:t xml:space="preserve"> la Dirección de Desarrollo Urbano mencionó que no se puede entregar la información </w:t>
      </w:r>
      <w:r w:rsidR="00966BF0" w:rsidRPr="0059459D">
        <w:rPr>
          <w:color w:val="000000"/>
        </w:rPr>
        <w:t>debido a que contiene datos personales que se tienen que proteger</w:t>
      </w:r>
      <w:r w:rsidRPr="0059459D">
        <w:rPr>
          <w:rFonts w:cs="Tahoma"/>
        </w:rPr>
        <w:t>;</w:t>
      </w:r>
      <w:r w:rsidRPr="0059459D">
        <w:t xml:space="preserve"> </w:t>
      </w:r>
      <w:r w:rsidRPr="0059459D">
        <w:rPr>
          <w:rFonts w:cs="Tahoma"/>
          <w:lang w:val="es-ES"/>
        </w:rPr>
        <w:t xml:space="preserve">ante dicha circunstancia, el Particular se inconformó </w:t>
      </w:r>
      <w:r w:rsidR="00966BF0" w:rsidRPr="0059459D">
        <w:rPr>
          <w:rFonts w:cs="Tahoma"/>
          <w:lang w:val="es-ES"/>
        </w:rPr>
        <w:t>de que no le entregaron la información solicitada además de la clasificación de la información</w:t>
      </w:r>
      <w:r w:rsidR="00011608" w:rsidRPr="0059459D">
        <w:rPr>
          <w:rFonts w:cs="Tahoma"/>
          <w:lang w:val="es-ES"/>
        </w:rPr>
        <w:t>,</w:t>
      </w:r>
      <w:r w:rsidRPr="0059459D">
        <w:rPr>
          <w:rFonts w:cs="Tahoma"/>
          <w:lang w:val="es-ES"/>
        </w:rPr>
        <w:t xml:space="preserve"> lo cual </w:t>
      </w:r>
      <w:r w:rsidRPr="0059459D">
        <w:rPr>
          <w:rFonts w:eastAsia="Calibri" w:cs="Tahoma"/>
        </w:rPr>
        <w:t xml:space="preserve">actualiza la causal de procedencia prevista en la fracción </w:t>
      </w:r>
      <w:r w:rsidR="0044017B" w:rsidRPr="0059459D">
        <w:rPr>
          <w:rFonts w:eastAsia="Calibri" w:cs="Tahoma"/>
        </w:rPr>
        <w:t xml:space="preserve">II y </w:t>
      </w:r>
      <w:r w:rsidRPr="0059459D">
        <w:rPr>
          <w:rFonts w:eastAsia="Calibri" w:cs="Tahoma"/>
        </w:rPr>
        <w:t>V</w:t>
      </w:r>
      <w:r w:rsidR="00D83FBA" w:rsidRPr="0059459D">
        <w:rPr>
          <w:rFonts w:eastAsia="Calibri" w:cs="Tahoma"/>
        </w:rPr>
        <w:t>I</w:t>
      </w:r>
      <w:r w:rsidRPr="0059459D">
        <w:rPr>
          <w:rFonts w:eastAsia="Calibri" w:cs="Tahoma"/>
        </w:rPr>
        <w:t>, del artículo 179 de la Ley de Transparencia y Acceso a la Información Pública del Estado de México y Municipios</w:t>
      </w:r>
      <w:r w:rsidRPr="0059459D">
        <w:rPr>
          <w:color w:val="0D0D0D"/>
        </w:rPr>
        <w:t xml:space="preserve">. </w:t>
      </w:r>
      <w:r w:rsidRPr="0059459D">
        <w:rPr>
          <w:rFonts w:eastAsia="Calibri" w:cs="Tahoma"/>
        </w:rPr>
        <w:t>Así, las cosas, una vez admitido y notificado el Recurso de Revisión</w:t>
      </w:r>
      <w:r w:rsidR="00522A47" w:rsidRPr="0059459D">
        <w:rPr>
          <w:rFonts w:eastAsia="Calibri" w:cs="Tahoma"/>
        </w:rPr>
        <w:t xml:space="preserve"> a las partes, </w:t>
      </w:r>
      <w:r w:rsidR="0044017B" w:rsidRPr="0059459D">
        <w:rPr>
          <w:rFonts w:eastAsia="Calibri" w:cs="Tahoma"/>
        </w:rPr>
        <w:t xml:space="preserve">la </w:t>
      </w:r>
      <w:r w:rsidR="0044017B" w:rsidRPr="0059459D">
        <w:rPr>
          <w:color w:val="000000"/>
        </w:rPr>
        <w:t xml:space="preserve">Dirección de Desarrollo Urbano mencionó que </w:t>
      </w:r>
      <w:r w:rsidR="0044017B" w:rsidRPr="0059459D">
        <w:rPr>
          <w:rFonts w:cs="Tahoma"/>
          <w:lang w:val="es-ES"/>
        </w:rPr>
        <w:t xml:space="preserve">la </w:t>
      </w:r>
      <w:r w:rsidR="0044017B" w:rsidRPr="0059459D">
        <w:t xml:space="preserve">información se encuentra publicada en la gaceta oficial de Gobierno del Estado de México, número 94, de fecha 26 de mayo de 2015, en el plan parcial de incorporación territorial "Rancho la Palma", Coacalco, Estado de México y la fe de erratas publicada en la gaceta oficial de Gobierno del Estado de México, número 108, de fecha 14 de junio de 2016, y adjuntó dichos documentos. </w:t>
      </w:r>
    </w:p>
    <w:p w14:paraId="10BAAE1F" w14:textId="77777777" w:rsidR="0044017B" w:rsidRPr="0059459D" w:rsidRDefault="0044017B" w:rsidP="00D42E23">
      <w:pPr>
        <w:spacing w:after="0" w:line="360" w:lineRule="auto"/>
        <w:rPr>
          <w:rFonts w:eastAsia="Calibri" w:cs="Tahoma"/>
        </w:rPr>
      </w:pPr>
    </w:p>
    <w:p w14:paraId="22C5958E" w14:textId="77777777" w:rsidR="007C7BAF" w:rsidRPr="0059459D" w:rsidRDefault="007C7BAF" w:rsidP="00D42E23">
      <w:pPr>
        <w:tabs>
          <w:tab w:val="left" w:pos="4962"/>
        </w:tabs>
        <w:spacing w:after="0" w:line="360" w:lineRule="auto"/>
        <w:rPr>
          <w:rFonts w:eastAsia="Calibri" w:cs="Tahoma"/>
          <w:bCs/>
        </w:rPr>
      </w:pPr>
      <w:r w:rsidRPr="0059459D">
        <w:rPr>
          <w:rFonts w:eastAsia="Calibri" w:cs="Tahoma"/>
          <w:iCs/>
          <w:lang w:val="es-ES" w:eastAsia="es-ES_tradnl"/>
        </w:rPr>
        <w:t xml:space="preserve">Lo anterior, se desprende de las documentales que obran en el expediente de referencia, materia de la presente resolución, consistente en: la solicitud de acceso a la información </w:t>
      </w:r>
      <w:r w:rsidRPr="0059459D">
        <w:rPr>
          <w:rFonts w:eastAsia="Calibri" w:cs="Tahoma"/>
          <w:iCs/>
          <w:lang w:eastAsia="es-ES_tradnl"/>
        </w:rPr>
        <w:t xml:space="preserve">y el escrito recursal; </w:t>
      </w:r>
      <w:r w:rsidRPr="0059459D">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59459D" w:rsidRDefault="007C7BAF" w:rsidP="00D42E23">
      <w:pPr>
        <w:spacing w:after="0" w:line="360" w:lineRule="auto"/>
        <w:rPr>
          <w:b/>
          <w:color w:val="000000"/>
        </w:rPr>
      </w:pPr>
    </w:p>
    <w:p w14:paraId="36DCBD9D" w14:textId="5B125308" w:rsidR="005C690F" w:rsidRPr="0059459D" w:rsidRDefault="007D6307" w:rsidP="00D42E23">
      <w:pPr>
        <w:spacing w:after="0" w:line="360" w:lineRule="auto"/>
        <w:rPr>
          <w:b/>
          <w:color w:val="000000"/>
        </w:rPr>
      </w:pPr>
      <w:r w:rsidRPr="0059459D">
        <w:rPr>
          <w:b/>
          <w:color w:val="000000"/>
        </w:rPr>
        <w:lastRenderedPageBreak/>
        <w:t xml:space="preserve">CUARTO. Marco normativo aplicable en materia de transparencia y </w:t>
      </w:r>
      <w:r w:rsidR="00CD6238" w:rsidRPr="0059459D">
        <w:rPr>
          <w:b/>
          <w:color w:val="000000"/>
        </w:rPr>
        <w:t>acceso a la información pública</w:t>
      </w:r>
    </w:p>
    <w:p w14:paraId="4D62F8F1" w14:textId="77777777" w:rsidR="005C690F" w:rsidRPr="0059459D" w:rsidRDefault="005C690F" w:rsidP="00D42E23">
      <w:pPr>
        <w:spacing w:after="0" w:line="360" w:lineRule="auto"/>
        <w:rPr>
          <w:color w:val="000000"/>
        </w:rPr>
      </w:pPr>
    </w:p>
    <w:p w14:paraId="68F50546" w14:textId="77777777" w:rsidR="005C690F" w:rsidRPr="0059459D" w:rsidRDefault="007D6307" w:rsidP="00D42E23">
      <w:pPr>
        <w:spacing w:after="0" w:line="360" w:lineRule="auto"/>
        <w:rPr>
          <w:color w:val="000000"/>
        </w:rPr>
      </w:pPr>
      <w:r w:rsidRPr="0059459D">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59459D" w:rsidRDefault="005C690F" w:rsidP="00D42E23">
      <w:pPr>
        <w:spacing w:after="0" w:line="360" w:lineRule="auto"/>
        <w:rPr>
          <w:color w:val="000000"/>
        </w:rPr>
      </w:pPr>
    </w:p>
    <w:p w14:paraId="73149F26" w14:textId="77777777" w:rsidR="005C690F" w:rsidRPr="0059459D" w:rsidRDefault="007D6307" w:rsidP="00D42E23">
      <w:pPr>
        <w:spacing w:after="0" w:line="360" w:lineRule="auto"/>
        <w:rPr>
          <w:color w:val="000000"/>
        </w:rPr>
      </w:pPr>
      <w:r w:rsidRPr="0059459D">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59459D" w:rsidRDefault="005C690F" w:rsidP="00D42E23">
      <w:pPr>
        <w:spacing w:after="0" w:line="360" w:lineRule="auto"/>
        <w:rPr>
          <w:color w:val="000000"/>
        </w:rPr>
      </w:pPr>
    </w:p>
    <w:p w14:paraId="69458899" w14:textId="77777777" w:rsidR="005C690F" w:rsidRPr="0059459D" w:rsidRDefault="007D6307" w:rsidP="00D42E23">
      <w:pPr>
        <w:spacing w:after="0" w:line="360" w:lineRule="auto"/>
        <w:rPr>
          <w:color w:val="000000"/>
        </w:rPr>
      </w:pPr>
      <w:r w:rsidRPr="0059459D">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59459D" w:rsidRDefault="005C690F" w:rsidP="00D42E23">
      <w:pPr>
        <w:spacing w:after="0" w:line="360" w:lineRule="auto"/>
        <w:rPr>
          <w:color w:val="000000"/>
        </w:rPr>
      </w:pPr>
    </w:p>
    <w:p w14:paraId="3D8EBDEC" w14:textId="77777777" w:rsidR="005C690F" w:rsidRPr="0059459D" w:rsidRDefault="007D6307" w:rsidP="00D42E23">
      <w:pPr>
        <w:spacing w:after="0" w:line="360" w:lineRule="auto"/>
        <w:rPr>
          <w:color w:val="000000"/>
        </w:rPr>
      </w:pPr>
      <w:r w:rsidRPr="0059459D">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59459D" w:rsidRDefault="005C690F" w:rsidP="00D42E23">
      <w:pPr>
        <w:spacing w:after="0" w:line="360" w:lineRule="auto"/>
        <w:rPr>
          <w:color w:val="000000"/>
        </w:rPr>
      </w:pPr>
    </w:p>
    <w:p w14:paraId="5BD9CB2E" w14:textId="77777777" w:rsidR="005C690F" w:rsidRPr="0059459D" w:rsidRDefault="007D6307" w:rsidP="00D42E23">
      <w:pPr>
        <w:spacing w:after="0" w:line="360" w:lineRule="auto"/>
        <w:rPr>
          <w:color w:val="000000"/>
        </w:rPr>
      </w:pPr>
      <w:r w:rsidRPr="0059459D">
        <w:rPr>
          <w:color w:val="000000"/>
        </w:rPr>
        <w:t>El artículo 12, que, quienes generen, recopilen, administren, manejen, procesen, archiven o conserven información pública serán responsables de la misma.</w:t>
      </w:r>
    </w:p>
    <w:p w14:paraId="6BD1FFBB" w14:textId="77777777" w:rsidR="007C02D1" w:rsidRPr="0059459D" w:rsidRDefault="007C02D1" w:rsidP="00D42E23">
      <w:pPr>
        <w:spacing w:after="0" w:line="360" w:lineRule="auto"/>
        <w:rPr>
          <w:color w:val="000000"/>
        </w:rPr>
      </w:pPr>
    </w:p>
    <w:p w14:paraId="3D899A16" w14:textId="77777777" w:rsidR="005C690F" w:rsidRPr="0059459D" w:rsidRDefault="007D6307" w:rsidP="00D42E23">
      <w:pPr>
        <w:widowControl w:val="0"/>
        <w:spacing w:after="0" w:line="360" w:lineRule="auto"/>
        <w:rPr>
          <w:color w:val="000000"/>
        </w:rPr>
      </w:pPr>
      <w:r w:rsidRPr="0059459D">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70E5B643" w14:textId="378E2A57" w:rsidR="00B04A35" w:rsidRPr="0059459D" w:rsidRDefault="007D6307" w:rsidP="00D42E23">
      <w:pPr>
        <w:spacing w:after="0" w:line="360" w:lineRule="auto"/>
        <w:rPr>
          <w:color w:val="000000"/>
        </w:rPr>
      </w:pPr>
      <w:r w:rsidRPr="0059459D">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59459D" w:rsidRDefault="005C690F" w:rsidP="00D42E23">
      <w:pPr>
        <w:spacing w:after="0" w:line="360" w:lineRule="auto"/>
      </w:pPr>
    </w:p>
    <w:p w14:paraId="3AF871E5" w14:textId="6FEB966D" w:rsidR="005C690F" w:rsidRPr="0059459D" w:rsidRDefault="00CD6238" w:rsidP="00D42E23">
      <w:pPr>
        <w:spacing w:after="0" w:line="360" w:lineRule="auto"/>
        <w:rPr>
          <w:b/>
          <w:color w:val="000000"/>
        </w:rPr>
      </w:pPr>
      <w:r w:rsidRPr="0059459D">
        <w:rPr>
          <w:b/>
          <w:color w:val="000000"/>
        </w:rPr>
        <w:t>Q</w:t>
      </w:r>
      <w:r w:rsidR="0044017B" w:rsidRPr="0059459D">
        <w:rPr>
          <w:b/>
          <w:color w:val="000000"/>
        </w:rPr>
        <w:t>UINTO</w:t>
      </w:r>
      <w:r w:rsidRPr="0059459D">
        <w:rPr>
          <w:b/>
          <w:color w:val="000000"/>
        </w:rPr>
        <w:t>. Estudio de Fondo</w:t>
      </w:r>
    </w:p>
    <w:p w14:paraId="2596B212" w14:textId="77777777" w:rsidR="00A56228" w:rsidRPr="0059459D" w:rsidRDefault="00A56228" w:rsidP="00D42E23">
      <w:pPr>
        <w:spacing w:after="0" w:line="360" w:lineRule="auto"/>
        <w:rPr>
          <w:b/>
          <w:color w:val="000000"/>
        </w:rPr>
      </w:pPr>
    </w:p>
    <w:p w14:paraId="5F490A49" w14:textId="71CC9B98" w:rsidR="007F4407" w:rsidRPr="0059459D" w:rsidRDefault="0064067B" w:rsidP="00D42E23">
      <w:pPr>
        <w:spacing w:after="0" w:line="360" w:lineRule="auto"/>
        <w:rPr>
          <w:rFonts w:eastAsia="Times New Roman" w:cs="Tahoma"/>
          <w:bCs/>
          <w:iCs/>
          <w:lang w:eastAsia="es-ES"/>
        </w:rPr>
      </w:pPr>
      <w:r w:rsidRPr="0059459D">
        <w:rPr>
          <w:color w:val="000000"/>
        </w:rPr>
        <w:t>Expuestas las posturas de las partes, se procede al análisis de los agravios hechos valer por la persona Recurrente</w:t>
      </w:r>
      <w:r w:rsidR="00731FB9" w:rsidRPr="0059459D">
        <w:t xml:space="preserve">, </w:t>
      </w:r>
      <w:r w:rsidR="007F4407" w:rsidRPr="0059459D">
        <w:rPr>
          <w:rFonts w:eastAsia="Times New Roman" w:cs="Tahoma"/>
          <w:bCs/>
          <w:iCs/>
          <w:lang w:eastAsia="es-ES"/>
        </w:rPr>
        <w:t>por lo que, en principio es necesario contextualizar la solicitud de información.</w:t>
      </w:r>
    </w:p>
    <w:p w14:paraId="536D6266" w14:textId="77777777" w:rsidR="0085490B" w:rsidRPr="0059459D" w:rsidRDefault="0085490B" w:rsidP="00D42E23">
      <w:pPr>
        <w:spacing w:after="0" w:line="360" w:lineRule="auto"/>
        <w:rPr>
          <w:rFonts w:eastAsia="Times New Roman" w:cs="Tahoma"/>
          <w:bCs/>
          <w:iCs/>
          <w:lang w:eastAsia="es-ES"/>
        </w:rPr>
      </w:pPr>
    </w:p>
    <w:p w14:paraId="5DAE0D74" w14:textId="3AC3E9F7" w:rsidR="00BA1D80" w:rsidRPr="0059459D" w:rsidRDefault="00BA1D80" w:rsidP="00D42E23">
      <w:pPr>
        <w:spacing w:after="0" w:line="360" w:lineRule="auto"/>
        <w:rPr>
          <w:rFonts w:eastAsia="Times New Roman" w:cs="Tahoma"/>
          <w:bCs/>
          <w:iCs/>
          <w:lang w:eastAsia="es-ES"/>
        </w:rPr>
      </w:pPr>
      <w:r w:rsidRPr="0059459D">
        <w:rPr>
          <w:rFonts w:eastAsia="Times New Roman" w:cs="Tahoma"/>
          <w:bCs/>
          <w:iCs/>
          <w:lang w:eastAsia="es-ES"/>
        </w:rPr>
        <w:t>Al respecto, el artículo 5.3</w:t>
      </w:r>
      <w:r w:rsidR="00125F26" w:rsidRPr="0059459D">
        <w:rPr>
          <w:rFonts w:eastAsia="Times New Roman" w:cs="Tahoma"/>
          <w:bCs/>
          <w:iCs/>
          <w:lang w:eastAsia="es-ES"/>
        </w:rPr>
        <w:t>,</w:t>
      </w:r>
      <w:r w:rsidRPr="0059459D">
        <w:rPr>
          <w:rFonts w:eastAsia="Times New Roman" w:cs="Tahoma"/>
          <w:bCs/>
          <w:iCs/>
          <w:lang w:eastAsia="es-ES"/>
        </w:rPr>
        <w:t xml:space="preserve"> fracción XVII, del Código Administrativo del Estado de México, define al conjunto urbano como “la modalidad que se adopta en la ejecución del desarrollo urbano que tiene por objeto estructurar o reordenar, como una unidad espacial integral, el trazo de la infraestructura vial, la división del suelo, las normas de usos, aprovechamientos y destinos del suelo, las obras de infraestructura, urbanización y equipamiento urbano, la ubicación de edificios y la imagen urbana de un predio ubicado en áreas urbanas o urbanizables”.</w:t>
      </w:r>
    </w:p>
    <w:p w14:paraId="22D75595" w14:textId="77777777" w:rsidR="00BA1D80" w:rsidRPr="0059459D" w:rsidRDefault="00BA1D80" w:rsidP="00D42E23">
      <w:pPr>
        <w:spacing w:after="0" w:line="360" w:lineRule="auto"/>
        <w:rPr>
          <w:rFonts w:eastAsia="Times New Roman" w:cs="Tahoma"/>
          <w:bCs/>
          <w:iCs/>
          <w:lang w:eastAsia="es-ES"/>
        </w:rPr>
      </w:pPr>
    </w:p>
    <w:p w14:paraId="5EA1EF82" w14:textId="69534F5E" w:rsidR="00B04A35" w:rsidRPr="0059459D" w:rsidRDefault="00BA1D80" w:rsidP="00D42E23">
      <w:pPr>
        <w:spacing w:after="0" w:line="360" w:lineRule="auto"/>
        <w:rPr>
          <w:rFonts w:eastAsia="Times New Roman" w:cs="Tahoma"/>
          <w:bCs/>
          <w:iCs/>
          <w:lang w:eastAsia="es-ES"/>
        </w:rPr>
      </w:pPr>
      <w:r w:rsidRPr="0059459D">
        <w:rPr>
          <w:rFonts w:eastAsia="Times New Roman" w:cs="Tahoma"/>
          <w:bCs/>
          <w:iCs/>
          <w:lang w:eastAsia="es-ES"/>
        </w:rPr>
        <w:t>Asimismo, el artículo 5.38 fracción VIII, del Código mencionado, establece que la autorización del conjunto urbano comprenderá según el caso, las autorizaciones relativas a los condominios, subdivisiones, fusiones y apertura, ampliación o modificación de vías públicas, usos específicos del suelo y sus normas de aprovechamiento, cambios de uso del suelo, de densidad de vivienda, coeficiente de ocupación del suelo, coeficiente de utilización del suelo y altura de edificaciones.</w:t>
      </w:r>
    </w:p>
    <w:p w14:paraId="19CF82F6" w14:textId="77777777" w:rsidR="00BA1D80" w:rsidRPr="0059459D" w:rsidRDefault="00BA1D80" w:rsidP="00D42E23">
      <w:pPr>
        <w:spacing w:after="0" w:line="360" w:lineRule="auto"/>
        <w:rPr>
          <w:rFonts w:eastAsia="Times New Roman" w:cs="Tahoma"/>
          <w:bCs/>
          <w:iCs/>
          <w:lang w:eastAsia="es-ES"/>
        </w:rPr>
      </w:pPr>
    </w:p>
    <w:p w14:paraId="69362554" w14:textId="6FB5A9B3" w:rsidR="00BA1D80" w:rsidRPr="0059459D" w:rsidRDefault="00BA1D80" w:rsidP="00D42E23">
      <w:pPr>
        <w:spacing w:after="0" w:line="360" w:lineRule="auto"/>
        <w:rPr>
          <w:rFonts w:eastAsia="Times New Roman" w:cs="Tahoma"/>
          <w:bCs/>
          <w:iCs/>
          <w:lang w:eastAsia="es-ES"/>
        </w:rPr>
      </w:pPr>
      <w:r w:rsidRPr="0059459D">
        <w:rPr>
          <w:rFonts w:eastAsia="Times New Roman" w:cs="Tahoma"/>
          <w:bCs/>
          <w:iCs/>
          <w:lang w:eastAsia="es-ES"/>
        </w:rPr>
        <w:lastRenderedPageBreak/>
        <w:t>Ahora bien, de conformidad con la Gaceta de Gobierno publicada el trece de diciembre de dos mil dieciséis, a través de la Secretaría de Desarrollo Urbano y Metropolitano, se emitió el Acuerdo por el que se autoriza a la Empresa “Promotora Fm”, S.A. de C.V., el Conjunto Urbano de tipo mixto (habitacional medio comercial y de servicios) denominado “</w:t>
      </w:r>
      <w:r w:rsidR="00582FC0" w:rsidRPr="0059459D">
        <w:rPr>
          <w:rFonts w:eastAsia="Times New Roman" w:cs="Tahoma"/>
          <w:bCs/>
          <w:iCs/>
          <w:lang w:eastAsia="es-ES"/>
        </w:rPr>
        <w:t>COSMOPOL</w:t>
      </w:r>
      <w:r w:rsidRPr="0059459D">
        <w:rPr>
          <w:rFonts w:eastAsia="Times New Roman" w:cs="Tahoma"/>
          <w:bCs/>
          <w:iCs/>
          <w:lang w:eastAsia="es-ES"/>
        </w:rPr>
        <w:t xml:space="preserve">”, </w:t>
      </w:r>
      <w:r w:rsidR="00582FC0" w:rsidRPr="0059459D">
        <w:rPr>
          <w:rFonts w:eastAsia="Times New Roman" w:cs="Tahoma"/>
          <w:bCs/>
          <w:iCs/>
          <w:lang w:eastAsia="es-ES"/>
        </w:rPr>
        <w:t xml:space="preserve">ubicado en el </w:t>
      </w:r>
      <w:r w:rsidRPr="0059459D">
        <w:rPr>
          <w:rFonts w:eastAsia="Times New Roman" w:cs="Tahoma"/>
          <w:bCs/>
          <w:iCs/>
          <w:lang w:eastAsia="es-ES"/>
        </w:rPr>
        <w:t xml:space="preserve">Municipio </w:t>
      </w:r>
      <w:r w:rsidR="00582FC0" w:rsidRPr="0059459D">
        <w:rPr>
          <w:rFonts w:eastAsia="Times New Roman" w:cs="Tahoma"/>
          <w:bCs/>
          <w:iCs/>
          <w:lang w:eastAsia="es-ES"/>
        </w:rPr>
        <w:t>d</w:t>
      </w:r>
      <w:r w:rsidRPr="0059459D">
        <w:rPr>
          <w:rFonts w:eastAsia="Times New Roman" w:cs="Tahoma"/>
          <w:bCs/>
          <w:iCs/>
          <w:lang w:eastAsia="es-ES"/>
        </w:rPr>
        <w:t xml:space="preserve">e Coacalco, Estado </w:t>
      </w:r>
      <w:r w:rsidR="00582FC0" w:rsidRPr="0059459D">
        <w:rPr>
          <w:rFonts w:eastAsia="Times New Roman" w:cs="Tahoma"/>
          <w:bCs/>
          <w:iCs/>
          <w:lang w:eastAsia="es-ES"/>
        </w:rPr>
        <w:t>d</w:t>
      </w:r>
      <w:r w:rsidRPr="0059459D">
        <w:rPr>
          <w:rFonts w:eastAsia="Times New Roman" w:cs="Tahoma"/>
          <w:bCs/>
          <w:iCs/>
          <w:lang w:eastAsia="es-ES"/>
        </w:rPr>
        <w:t>e México.</w:t>
      </w:r>
    </w:p>
    <w:p w14:paraId="4C152374" w14:textId="77777777" w:rsidR="00582FC0" w:rsidRPr="0059459D" w:rsidRDefault="00582FC0" w:rsidP="00D42E23">
      <w:pPr>
        <w:spacing w:after="0" w:line="360" w:lineRule="auto"/>
        <w:rPr>
          <w:rFonts w:eastAsia="Times New Roman" w:cs="Tahoma"/>
          <w:bCs/>
          <w:iCs/>
          <w:lang w:eastAsia="es-ES"/>
        </w:rPr>
      </w:pPr>
    </w:p>
    <w:p w14:paraId="0647FEE8" w14:textId="6FB94BD8" w:rsidR="00582FC0" w:rsidRPr="0059459D" w:rsidRDefault="00582FC0" w:rsidP="00D42E23">
      <w:pPr>
        <w:spacing w:after="0" w:line="360" w:lineRule="auto"/>
        <w:rPr>
          <w:rFonts w:eastAsia="Times New Roman" w:cs="Tahoma"/>
          <w:bCs/>
          <w:iCs/>
          <w:lang w:eastAsia="es-ES"/>
        </w:rPr>
      </w:pPr>
      <w:r w:rsidRPr="0059459D">
        <w:rPr>
          <w:rFonts w:eastAsia="Times New Roman" w:cs="Tahoma"/>
          <w:bCs/>
          <w:iCs/>
          <w:lang w:eastAsia="es-ES"/>
        </w:rPr>
        <w:t>En ese contexto, los artículos 39, 40 y 81, del Bando Municipal de Coacalco de Berriozábal, dos mil veinticuatro, establece que, para el ejercicio de sus funciones y responsabilidades ejecutivas, así como para la prestación de los servicios públicos encomendados, el Ayuntamiento se auxiliará de una Dirección de Desarrollo Urbano encargada de las obras y acciones que, bajo la visión armónica de los planes de desarrollo, debe procurar en todo momento que el crecimiento y desarrollo de los centros de población sea ordenado y congruente con el desarrollo y tenencia de la tierra, servicios básicos, protección de los ecosistemas y participación social.</w:t>
      </w:r>
    </w:p>
    <w:p w14:paraId="2BD61642" w14:textId="77777777" w:rsidR="00582FC0" w:rsidRPr="0059459D" w:rsidRDefault="00582FC0" w:rsidP="00D42E23">
      <w:pPr>
        <w:spacing w:after="0" w:line="360" w:lineRule="auto"/>
        <w:rPr>
          <w:rFonts w:eastAsia="Times New Roman" w:cs="Tahoma"/>
          <w:bCs/>
          <w:iCs/>
          <w:lang w:eastAsia="es-ES"/>
        </w:rPr>
      </w:pPr>
    </w:p>
    <w:p w14:paraId="05A0A3F8" w14:textId="7B83C78F" w:rsidR="00391317" w:rsidRPr="0059459D" w:rsidRDefault="00391317" w:rsidP="00391317">
      <w:pPr>
        <w:spacing w:after="0" w:line="360" w:lineRule="auto"/>
        <w:rPr>
          <w:rFonts w:cs="Tahoma"/>
        </w:rPr>
      </w:pPr>
      <w:r w:rsidRPr="0059459D">
        <w:rPr>
          <w:rFonts w:eastAsia="Calibri" w:cs="Tahoma"/>
          <w:bCs/>
          <w:color w:val="auto"/>
        </w:rPr>
        <w:t xml:space="preserve">Conforme a lo anterior, se logra vislumbrar que la pretensión del ahora Recurrente es </w:t>
      </w:r>
      <w:r w:rsidRPr="0059459D">
        <w:rPr>
          <w:rFonts w:cs="Tahoma"/>
        </w:rPr>
        <w:t xml:space="preserve">obtener las </w:t>
      </w:r>
      <w:r w:rsidR="00125F26" w:rsidRPr="0059459D">
        <w:rPr>
          <w:rFonts w:cs="Tahoma"/>
        </w:rPr>
        <w:t>A</w:t>
      </w:r>
      <w:r w:rsidRPr="0059459D">
        <w:rPr>
          <w:rFonts w:cs="Tahoma"/>
        </w:rPr>
        <w:t>utorizaciones</w:t>
      </w:r>
      <w:r w:rsidR="00125F26" w:rsidRPr="0059459D">
        <w:rPr>
          <w:rFonts w:cs="Tahoma"/>
        </w:rPr>
        <w:t xml:space="preserve"> </w:t>
      </w:r>
      <w:r w:rsidR="004B27E7" w:rsidRPr="0059459D">
        <w:rPr>
          <w:rFonts w:cs="Tahoma"/>
        </w:rPr>
        <w:t>emitidas por las Instituciones Municipales y Estatales que obren en los archivos del Ayuntamiento</w:t>
      </w:r>
      <w:r w:rsidR="00125F26" w:rsidRPr="0059459D">
        <w:rPr>
          <w:rFonts w:cs="Tahoma"/>
        </w:rPr>
        <w:t>, relacionadas con el pr</w:t>
      </w:r>
      <w:r w:rsidRPr="0059459D">
        <w:rPr>
          <w:rFonts w:cs="Tahoma"/>
        </w:rPr>
        <w:t>oyecto COSMOPOL</w:t>
      </w:r>
      <w:r w:rsidR="00125F26" w:rsidRPr="0059459D">
        <w:rPr>
          <w:rFonts w:cs="Tahoma"/>
        </w:rPr>
        <w:t>; así como,</w:t>
      </w:r>
      <w:r w:rsidRPr="0059459D">
        <w:rPr>
          <w:rFonts w:cs="Tahoma"/>
        </w:rPr>
        <w:t xml:space="preserve"> las vialidades con las que cuenta y las proyectadas a futuro, vigentes al catorce de octubre de dos mil veinticuatro.</w:t>
      </w:r>
    </w:p>
    <w:p w14:paraId="2808C5A8" w14:textId="0F7FB732" w:rsidR="00CE7DD9" w:rsidRPr="0059459D" w:rsidRDefault="00CE7DD9" w:rsidP="00D42E23">
      <w:pPr>
        <w:spacing w:after="0" w:line="360" w:lineRule="auto"/>
        <w:ind w:right="-93"/>
        <w:rPr>
          <w:rFonts w:eastAsia="Times New Roman" w:cs="Tahoma"/>
          <w:color w:val="auto"/>
          <w:lang w:val="es-ES" w:eastAsia="es-ES"/>
        </w:rPr>
      </w:pPr>
    </w:p>
    <w:p w14:paraId="7718678F" w14:textId="7766CA4F" w:rsidR="00134465" w:rsidRPr="0059459D" w:rsidRDefault="00134465" w:rsidP="00632F61">
      <w:pPr>
        <w:spacing w:after="0" w:line="360" w:lineRule="auto"/>
      </w:pPr>
      <w:r w:rsidRPr="0059459D">
        <w:rPr>
          <w:color w:val="000000"/>
        </w:rPr>
        <w:t>Ahora bien, de las constancias que obran en el expediente electrónico, se advierte que el Sujeto Obligado</w:t>
      </w:r>
      <w:r w:rsidRPr="0059459D">
        <w:rPr>
          <w:color w:val="0D0D0D"/>
        </w:rPr>
        <w:t>, turnó la solicitud de información a la</w:t>
      </w:r>
      <w:r w:rsidR="00E85AC5" w:rsidRPr="0059459D">
        <w:rPr>
          <w:color w:val="0D0D0D"/>
        </w:rPr>
        <w:t xml:space="preserve"> Dirección de Desarrollo Urbano</w:t>
      </w:r>
      <w:r w:rsidRPr="0059459D">
        <w:rPr>
          <w:color w:val="000000"/>
        </w:rPr>
        <w:t xml:space="preserve">; </w:t>
      </w:r>
      <w:r w:rsidRPr="0059459D">
        <w:t xml:space="preserve">por lo que, es oportuno hacer referencia al </w:t>
      </w:r>
      <w:r w:rsidRPr="0059459D">
        <w:rPr>
          <w:b/>
        </w:rPr>
        <w:t>procedimiento de búsqueda que deben de seguir los Sujetos Obligados para localizar la información</w:t>
      </w:r>
      <w:r w:rsidRPr="0059459D">
        <w:t xml:space="preserve">, el cual se encuentra previsto </w:t>
      </w:r>
      <w:r w:rsidR="00632F61" w:rsidRPr="0059459D">
        <w:t>en el artículo</w:t>
      </w:r>
      <w:r w:rsidRPr="0059459D">
        <w:t xml:space="preserve"> 162 de la Ley de Transparencia y Acceso a la Información Pública del Estado de México y </w:t>
      </w:r>
      <w:r w:rsidRPr="0059459D">
        <w:lastRenderedPageBreak/>
        <w:t xml:space="preserve">Municipios, </w:t>
      </w:r>
      <w:r w:rsidR="00632F61" w:rsidRPr="0059459D">
        <w:t>el cual establece que las</w:t>
      </w:r>
      <w:r w:rsidRPr="0059459D">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59459D">
        <w:t>.</w:t>
      </w:r>
    </w:p>
    <w:p w14:paraId="7E49BE66" w14:textId="77777777" w:rsidR="00134465" w:rsidRPr="0059459D" w:rsidRDefault="00134465" w:rsidP="00D42E23">
      <w:pPr>
        <w:spacing w:after="0" w:line="360" w:lineRule="auto"/>
        <w:ind w:left="720"/>
      </w:pPr>
    </w:p>
    <w:p w14:paraId="118DCCB4" w14:textId="77777777" w:rsidR="00134465" w:rsidRPr="0059459D" w:rsidRDefault="00134465" w:rsidP="00D42E23">
      <w:pPr>
        <w:spacing w:after="0" w:line="360" w:lineRule="auto"/>
        <w:rPr>
          <w:color w:val="000000"/>
        </w:rPr>
      </w:pPr>
      <w:r w:rsidRPr="0059459D">
        <w:rPr>
          <w:color w:val="000000"/>
        </w:rPr>
        <w:t xml:space="preserve">Así y de lo plasmado en párrafos anteriores, </w:t>
      </w:r>
      <w:r w:rsidRPr="0059459D">
        <w:t xml:space="preserve">se logra colegir que el Sujeto Obligado cumplió con el procedimiento de búsqueda </w:t>
      </w:r>
      <w:r w:rsidRPr="0059459D">
        <w:rPr>
          <w:color w:val="000000"/>
        </w:rPr>
        <w:t>establecido en el artículo 162 de la Ley de Transparencia y Acceso a la Información Pública del Estado de México y Municipios, toda vez, que gestionó el requerimiento de información al área competente para conocer de lo peticionado.</w:t>
      </w:r>
    </w:p>
    <w:p w14:paraId="64620922" w14:textId="77777777" w:rsidR="00E0447A" w:rsidRPr="0059459D" w:rsidRDefault="00E0447A" w:rsidP="00D42E23">
      <w:pPr>
        <w:spacing w:after="0" w:line="360" w:lineRule="auto"/>
        <w:rPr>
          <w:color w:val="000000"/>
        </w:rPr>
      </w:pPr>
    </w:p>
    <w:p w14:paraId="20A3B1D1" w14:textId="77777777" w:rsidR="00E85AC5" w:rsidRPr="0059459D" w:rsidRDefault="00E0447A" w:rsidP="00E85AC5">
      <w:pPr>
        <w:spacing w:after="0" w:line="360" w:lineRule="auto"/>
        <w:contextualSpacing/>
        <w:rPr>
          <w:rFonts w:eastAsia="Times New Roman" w:cs="Tahoma"/>
          <w:b/>
        </w:rPr>
      </w:pPr>
      <w:r w:rsidRPr="0059459D">
        <w:rPr>
          <w:color w:val="000000"/>
        </w:rPr>
        <w:t xml:space="preserve">Ahora bien, en </w:t>
      </w:r>
      <w:r w:rsidR="00632F61" w:rsidRPr="0059459D">
        <w:rPr>
          <w:color w:val="000000"/>
        </w:rPr>
        <w:t>r</w:t>
      </w:r>
      <w:r w:rsidRPr="0059459D">
        <w:rPr>
          <w:color w:val="000000"/>
        </w:rPr>
        <w:t>espuesta</w:t>
      </w:r>
      <w:r w:rsidR="006B4C0B" w:rsidRPr="0059459D">
        <w:rPr>
          <w:color w:val="000000"/>
        </w:rPr>
        <w:t>,</w:t>
      </w:r>
      <w:r w:rsidRPr="0059459D">
        <w:rPr>
          <w:color w:val="000000"/>
        </w:rPr>
        <w:t xml:space="preserve"> </w:t>
      </w:r>
      <w:r w:rsidR="00E85AC5" w:rsidRPr="0059459D">
        <w:rPr>
          <w:color w:val="000000"/>
        </w:rPr>
        <w:t xml:space="preserve">la Dirección de Desarrollo Urbano mencionó que no se puede entregar la información debido a que contiene datos personales que se tienen que proteger, </w:t>
      </w:r>
      <w:r w:rsidR="00E85AC5" w:rsidRPr="0059459D">
        <w:rPr>
          <w:rFonts w:eastAsia="Times New Roman" w:cs="Tahoma"/>
          <w:color w:val="000000"/>
        </w:rPr>
        <w:t xml:space="preserve">es decir, aludió a que era información confidencial; </w:t>
      </w:r>
      <w:r w:rsidR="00E85AC5" w:rsidRPr="0059459D">
        <w:rPr>
          <w:rFonts w:eastAsia="Times New Roman" w:cs="Tahoma"/>
        </w:rPr>
        <w:t xml:space="preserve">sobre el tema, el artículo 20 de la Ley de Transparencia y Acceso a la Información Pública del Estado de México y Municipios, establece que, </w:t>
      </w:r>
      <w:r w:rsidR="00E85AC5" w:rsidRPr="0059459D">
        <w:rPr>
          <w:rFonts w:eastAsia="Times New Roman" w:cs="Tahoma"/>
          <w:b/>
        </w:rPr>
        <w:t>ante la negativa de acceso a la información o su inexistencia, el sujeto obligado deberá demostrar que encuentra en alguna de las excepciones establecidas en la normatividad aplicable.</w:t>
      </w:r>
    </w:p>
    <w:p w14:paraId="42E950C1" w14:textId="77777777" w:rsidR="00E85AC5" w:rsidRPr="0059459D" w:rsidRDefault="00E85AC5" w:rsidP="00E85AC5">
      <w:pPr>
        <w:spacing w:after="0" w:line="360" w:lineRule="auto"/>
        <w:rPr>
          <w:rFonts w:eastAsia="Times New Roman" w:cs="Tahoma"/>
        </w:rPr>
      </w:pPr>
    </w:p>
    <w:p w14:paraId="0BCBCDF0" w14:textId="77777777" w:rsidR="00E85AC5" w:rsidRPr="0059459D" w:rsidRDefault="00E85AC5" w:rsidP="00E85AC5">
      <w:pPr>
        <w:spacing w:after="0" w:line="360" w:lineRule="auto"/>
        <w:rPr>
          <w:rFonts w:eastAsia="Times New Roman" w:cs="Arial"/>
          <w:bCs/>
        </w:rPr>
      </w:pPr>
      <w:r w:rsidRPr="0059459D">
        <w:rPr>
          <w:rFonts w:eastAsia="Times New Roman" w:cs="Arial"/>
          <w:bCs/>
        </w:rPr>
        <w:t xml:space="preserve">En ese sentido, según Trujillo, Humberto (2019), en el “Diccionario de Transparencia y Acceso a la Información Pública” (p. 201), </w:t>
      </w:r>
      <w:r w:rsidRPr="0059459D">
        <w:rPr>
          <w:rFonts w:eastAsia="Times New Roman" w:cs="Arial"/>
          <w:b/>
          <w:bCs/>
        </w:rPr>
        <w:t xml:space="preserve">la negativa de acceso a la información </w:t>
      </w:r>
      <w:r w:rsidRPr="0059459D">
        <w:rPr>
          <w:rFonts w:eastAsia="Times New Roman" w:cs="Arial"/>
          <w:bCs/>
        </w:rPr>
        <w:t xml:space="preserve">ocurre cuanto de manera fundada y motivada, una autoridad la niega o la limita, por alguna de las siguientes razones: </w:t>
      </w:r>
    </w:p>
    <w:p w14:paraId="24A83127" w14:textId="77777777" w:rsidR="00E85AC5" w:rsidRPr="0059459D" w:rsidRDefault="00E85AC5" w:rsidP="00E85AC5">
      <w:pPr>
        <w:spacing w:after="0" w:line="360" w:lineRule="auto"/>
        <w:rPr>
          <w:rFonts w:eastAsia="Times New Roman" w:cs="Arial"/>
          <w:bCs/>
        </w:rPr>
      </w:pPr>
    </w:p>
    <w:p w14:paraId="63726B26" w14:textId="77777777" w:rsidR="00E85AC5" w:rsidRPr="0059459D" w:rsidRDefault="00E85AC5" w:rsidP="00E85AC5">
      <w:pPr>
        <w:numPr>
          <w:ilvl w:val="0"/>
          <w:numId w:val="6"/>
        </w:numPr>
        <w:spacing w:after="0" w:line="360" w:lineRule="auto"/>
        <w:rPr>
          <w:rFonts w:eastAsia="Times New Roman" w:cs="Arial"/>
          <w:b/>
          <w:bCs/>
        </w:rPr>
      </w:pPr>
      <w:r w:rsidRPr="0059459D">
        <w:rPr>
          <w:rFonts w:eastAsia="Times New Roman" w:cs="Arial"/>
          <w:b/>
          <w:bCs/>
        </w:rPr>
        <w:lastRenderedPageBreak/>
        <w:t xml:space="preserve">La inexistencia de la información (p. 171): </w:t>
      </w:r>
      <w:r w:rsidRPr="0059459D">
        <w:rPr>
          <w:rFonts w:eastAsia="Times New Roman" w:cs="Arial"/>
          <w:bCs/>
        </w:rPr>
        <w:t>Sucede cuando la información solicitada no se encuentra en los archivos públicos o clasificados de los entes sujetos a las Leyes de Transparencia.</w:t>
      </w:r>
    </w:p>
    <w:p w14:paraId="378583AC" w14:textId="77777777" w:rsidR="00E85AC5" w:rsidRPr="0059459D" w:rsidRDefault="00E85AC5" w:rsidP="00E85AC5">
      <w:pPr>
        <w:spacing w:after="0" w:line="360" w:lineRule="auto"/>
        <w:ind w:left="720"/>
        <w:contextualSpacing/>
        <w:rPr>
          <w:rFonts w:eastAsia="Times New Roman" w:cs="Arial"/>
          <w:b/>
          <w:bCs/>
        </w:rPr>
      </w:pPr>
    </w:p>
    <w:p w14:paraId="1819226C" w14:textId="77777777" w:rsidR="00E85AC5" w:rsidRPr="0059459D" w:rsidRDefault="00E85AC5" w:rsidP="00E85AC5">
      <w:pPr>
        <w:numPr>
          <w:ilvl w:val="0"/>
          <w:numId w:val="6"/>
        </w:numPr>
        <w:spacing w:after="0" w:line="360" w:lineRule="auto"/>
        <w:rPr>
          <w:rFonts w:eastAsia="Times New Roman" w:cs="Arial"/>
          <w:b/>
          <w:bCs/>
        </w:rPr>
      </w:pPr>
      <w:r w:rsidRPr="0059459D">
        <w:rPr>
          <w:rFonts w:eastAsia="Times New Roman" w:cs="Arial"/>
          <w:b/>
          <w:bCs/>
        </w:rPr>
        <w:t xml:space="preserve">La incompetencia del Sujeto Obligado (p. 171): </w:t>
      </w:r>
      <w:r w:rsidRPr="0059459D">
        <w:rPr>
          <w:rFonts w:eastAsia="Times New Roman" w:cs="Arial"/>
          <w:bCs/>
        </w:rPr>
        <w:t>Ocurre cuando el Sujeto Obligado carece de atribuciones para poseer la información peticionada.</w:t>
      </w:r>
    </w:p>
    <w:p w14:paraId="174A40E9" w14:textId="77777777" w:rsidR="00E85AC5" w:rsidRPr="0059459D" w:rsidRDefault="00E85AC5" w:rsidP="00E85AC5">
      <w:pPr>
        <w:spacing w:after="0" w:line="360" w:lineRule="auto"/>
        <w:ind w:left="720"/>
        <w:contextualSpacing/>
        <w:rPr>
          <w:rFonts w:eastAsia="Times New Roman" w:cs="Arial"/>
          <w:b/>
          <w:bCs/>
        </w:rPr>
      </w:pPr>
    </w:p>
    <w:p w14:paraId="16A8DC8D" w14:textId="77777777" w:rsidR="00E85AC5" w:rsidRPr="0059459D" w:rsidRDefault="00E85AC5" w:rsidP="00E85AC5">
      <w:pPr>
        <w:numPr>
          <w:ilvl w:val="0"/>
          <w:numId w:val="6"/>
        </w:numPr>
        <w:spacing w:after="0" w:line="360" w:lineRule="auto"/>
        <w:rPr>
          <w:rFonts w:eastAsia="Times New Roman" w:cs="Arial"/>
          <w:b/>
          <w:bCs/>
        </w:rPr>
      </w:pPr>
      <w:r w:rsidRPr="0059459D">
        <w:rPr>
          <w:rFonts w:eastAsia="Times New Roman" w:cs="Arial"/>
          <w:b/>
          <w:bCs/>
        </w:rPr>
        <w:t xml:space="preserve">La clasificación de la información (p. 70): </w:t>
      </w:r>
      <w:r w:rsidRPr="0059459D">
        <w:rPr>
          <w:rFonts w:eastAsia="Times New Roman" w:cs="Arial"/>
          <w:bCs/>
        </w:rPr>
        <w:t>Es el proceso o conjunto de acciones que realizan los sujetos obligados para establecer que determinada información se encuentra en alguno de los supuestos de reserva o confidencialidad establecidos en la legislación en materia de transparencia.</w:t>
      </w:r>
    </w:p>
    <w:p w14:paraId="6721BFA6" w14:textId="77777777" w:rsidR="00E85AC5" w:rsidRPr="0059459D" w:rsidRDefault="00E85AC5" w:rsidP="00E85AC5">
      <w:pPr>
        <w:spacing w:after="0" w:line="360" w:lineRule="auto"/>
        <w:rPr>
          <w:rFonts w:eastAsia="Times New Roman" w:cs="Tahoma"/>
        </w:rPr>
      </w:pPr>
    </w:p>
    <w:p w14:paraId="14C22683" w14:textId="77777777" w:rsidR="00E85AC5" w:rsidRPr="0059459D" w:rsidRDefault="00E85AC5" w:rsidP="00E85AC5">
      <w:pPr>
        <w:spacing w:after="0" w:line="360" w:lineRule="auto"/>
        <w:rPr>
          <w:rFonts w:eastAsia="Times New Roman" w:cs="Tahoma"/>
          <w:bCs/>
          <w:iCs/>
          <w:lang w:val="es-ES"/>
        </w:rPr>
      </w:pPr>
      <w:r w:rsidRPr="0059459D">
        <w:rPr>
          <w:rFonts w:eastAsia="Times New Roman" w:cs="Tahoma"/>
        </w:rPr>
        <w:t>Conforme a lo anterior, es de señalar que l</w:t>
      </w:r>
      <w:r w:rsidRPr="0059459D">
        <w:rPr>
          <w:rFonts w:eastAsia="Times New Roman" w:cs="Tahoma"/>
          <w:lang w:val="es-ES"/>
        </w:rPr>
        <w:t xml:space="preserve">as </w:t>
      </w:r>
      <w:r w:rsidRPr="0059459D">
        <w:rPr>
          <w:rFonts w:eastAsia="Times New Roman" w:cs="Tahoma"/>
          <w:bCs/>
          <w:iCs/>
          <w:lang w:val="es-ES"/>
        </w:rPr>
        <w:t xml:space="preserve">excepciones al derecho de acceso a la información, consisten en que </w:t>
      </w:r>
      <w:r w:rsidRPr="0059459D">
        <w:rPr>
          <w:rFonts w:eastAsia="Times New Roman" w:cs="Tahoma"/>
          <w:b/>
          <w:iCs/>
          <w:lang w:val="es-ES"/>
        </w:rPr>
        <w:t>la documentación sea inexistente, obre en los archivos, pero se encuentre clasificada, o bien, el Sujeto Obligado sea incompetente</w:t>
      </w:r>
      <w:r w:rsidRPr="0059459D">
        <w:rPr>
          <w:rFonts w:eastAsia="Times New Roman" w:cs="Tahoma"/>
          <w:bCs/>
          <w:iCs/>
          <w:lang w:val="es-ES"/>
        </w:rPr>
        <w:t xml:space="preserve"> para contar con esta; esto es, la negativa de acceso a la información, recae cuando la documentación no se encuentre en los archivos del sujeto obligado, o bien exista, pero no pueda proporcionarse por contener datos </w:t>
      </w:r>
      <w:r w:rsidRPr="0059459D">
        <w:rPr>
          <w:rFonts w:eastAsia="Times New Roman" w:cs="Tahoma"/>
          <w:b/>
          <w:bCs/>
          <w:iCs/>
          <w:lang w:val="es-ES"/>
        </w:rPr>
        <w:t>confidenciales o reservados.</w:t>
      </w:r>
    </w:p>
    <w:p w14:paraId="774C35F2" w14:textId="77777777" w:rsidR="00E85AC5" w:rsidRPr="0059459D" w:rsidRDefault="00E85AC5" w:rsidP="00E85AC5">
      <w:pPr>
        <w:spacing w:after="0" w:line="360" w:lineRule="auto"/>
        <w:rPr>
          <w:rFonts w:eastAsia="Batang" w:cs="Tahoma"/>
          <w:bCs/>
          <w:lang w:val="es-ES" w:eastAsia="es-ES"/>
        </w:rPr>
      </w:pPr>
    </w:p>
    <w:p w14:paraId="41BE7442" w14:textId="39927A5B" w:rsidR="00E85AC5" w:rsidRPr="0059459D" w:rsidRDefault="00E85AC5" w:rsidP="00E85AC5">
      <w:pPr>
        <w:spacing w:after="0" w:line="360" w:lineRule="auto"/>
        <w:rPr>
          <w:rFonts w:eastAsia="Batang" w:cs="Tahoma"/>
          <w:bCs/>
          <w:lang w:val="es-ES" w:eastAsia="es-ES"/>
        </w:rPr>
      </w:pPr>
      <w:r w:rsidRPr="0059459D">
        <w:rPr>
          <w:rFonts w:eastAsia="Batang" w:cs="Tahoma"/>
          <w:bCs/>
          <w:lang w:val="es-ES" w:eastAsia="es-ES"/>
        </w:rPr>
        <w:t xml:space="preserve">En ese contexto, es de referir que el Sujeto Obligado, precisó que no podía entregar la información respecto </w:t>
      </w:r>
      <w:r w:rsidR="00F03463" w:rsidRPr="0059459D">
        <w:rPr>
          <w:rFonts w:eastAsia="Batang" w:cs="Tahoma"/>
          <w:bCs/>
          <w:lang w:val="es-ES" w:eastAsia="es-ES"/>
        </w:rPr>
        <w:t>de las autorizaciones del proyecto COSMOPOL, la contener datos personales</w:t>
      </w:r>
      <w:r w:rsidRPr="0059459D">
        <w:rPr>
          <w:rFonts w:eastAsia="Batang" w:cs="Tahoma"/>
          <w:bCs/>
          <w:lang w:val="es-ES" w:eastAsia="es-ES"/>
        </w:rPr>
        <w:t xml:space="preserve">; sobre el tema, </w:t>
      </w:r>
      <w:r w:rsidRPr="0059459D">
        <w:rPr>
          <w:rFonts w:eastAsia="Times New Roman" w:cs="Tahoma"/>
        </w:rPr>
        <w:t xml:space="preserve">en los artículos 100, 103 y 105 de la Ley General de Transparencia y Acceso a la Información Pública y los diversos 122, 128 y 130 de la Ley Transparencia y Acceso a la Información Pública del Estado de México y Municipios, se prevé que </w:t>
      </w:r>
      <w:r w:rsidRPr="0059459D">
        <w:rPr>
          <w:rFonts w:eastAsia="Times New Roman" w:cs="Tahoma"/>
          <w:b/>
        </w:rPr>
        <w:t xml:space="preserve">la clasificación </w:t>
      </w:r>
      <w:r w:rsidRPr="0059459D">
        <w:rPr>
          <w:rFonts w:eastAsia="Times New Roman" w:cs="Tahoma"/>
        </w:rPr>
        <w:t xml:space="preserve">es el proceso mediante el cual los sujetos obligados determinan que la información en su poder, actualiza alguno de los supuestos de reserva o confidencialidad. </w:t>
      </w:r>
      <w:r w:rsidRPr="0059459D">
        <w:rPr>
          <w:rFonts w:eastAsia="Times New Roman" w:cs="Tahoma"/>
          <w:lang w:val="es-ES"/>
        </w:rPr>
        <w:lastRenderedPageBreak/>
        <w:t>Además, que dichos entes deberán aplicar de manera restrictiva y limitada, las excepciones al derecho de acceso a la información, por lo que, tendrán que acreditar la procedencia.</w:t>
      </w:r>
    </w:p>
    <w:p w14:paraId="427EDED2" w14:textId="77777777" w:rsidR="00E85AC5" w:rsidRPr="0059459D" w:rsidRDefault="00E85AC5" w:rsidP="00E85AC5">
      <w:pPr>
        <w:spacing w:after="0" w:line="360" w:lineRule="auto"/>
        <w:rPr>
          <w:rFonts w:eastAsia="Times New Roman" w:cs="Tahoma"/>
          <w:lang w:val="es-ES"/>
        </w:rPr>
      </w:pPr>
    </w:p>
    <w:p w14:paraId="1836E5C6" w14:textId="77777777" w:rsidR="00E85AC5" w:rsidRPr="0059459D" w:rsidRDefault="00E85AC5" w:rsidP="00E85AC5">
      <w:pPr>
        <w:spacing w:after="0" w:line="360" w:lineRule="auto"/>
        <w:rPr>
          <w:rFonts w:eastAsia="Times New Roman" w:cs="Tahoma"/>
          <w:lang w:val="es-ES"/>
        </w:rPr>
      </w:pPr>
      <w:r w:rsidRPr="0059459D">
        <w:rPr>
          <w:rFonts w:eastAsia="Times New Roman" w:cs="Tahoma"/>
          <w:lang w:val="es-ES"/>
        </w:rPr>
        <w:t xml:space="preserve">Por lo cual, en los casos en que se niegue el acceso a la información, por actualizarse alguno de los supuestos de clasificación, </w:t>
      </w:r>
      <w:r w:rsidRPr="0059459D">
        <w:rPr>
          <w:rFonts w:eastAsia="Times New Roman" w:cs="Tahoma"/>
          <w:b/>
          <w:lang w:val="es-ES"/>
        </w:rPr>
        <w:t xml:space="preserve">el Comité de Transparencia deberá confirmar, modificar o revocar la decisión; </w:t>
      </w:r>
      <w:r w:rsidRPr="0059459D">
        <w:rPr>
          <w:rFonts w:eastAsia="Times New Roman" w:cs="Tahoma"/>
          <w:lang w:val="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0D199B59" w14:textId="77777777" w:rsidR="00E85AC5" w:rsidRPr="0059459D" w:rsidRDefault="00E85AC5" w:rsidP="00E85AC5">
      <w:pPr>
        <w:spacing w:after="0" w:line="360" w:lineRule="auto"/>
        <w:rPr>
          <w:rFonts w:eastAsia="Times New Roman" w:cs="Tahoma"/>
          <w:lang w:val="es-ES"/>
        </w:rPr>
      </w:pPr>
    </w:p>
    <w:p w14:paraId="2A696493" w14:textId="77777777" w:rsidR="00E85AC5" w:rsidRPr="0059459D" w:rsidRDefault="00E85AC5" w:rsidP="00E85AC5">
      <w:pPr>
        <w:spacing w:after="0" w:line="360" w:lineRule="auto"/>
        <w:rPr>
          <w:rFonts w:eastAsia="Times New Roman" w:cs="Tahoma"/>
          <w:b/>
          <w:bCs/>
        </w:rPr>
      </w:pPr>
      <w:r w:rsidRPr="0059459D">
        <w:rPr>
          <w:rFonts w:eastAsia="Times New Roman" w:cs="Tahoma"/>
          <w:lang w:val="es-ES"/>
        </w:rPr>
        <w:t xml:space="preserve">En ese contexto, </w:t>
      </w:r>
      <w:r w:rsidRPr="0059459D">
        <w:rPr>
          <w:rFonts w:eastAsia="Times New Roman" w:cs="Tahoma"/>
        </w:rPr>
        <w:t xml:space="preserve">de la interpretación del artículo 108 de la Ley General de Transparencia y Acceso a la Información Pública, el 134 de la Ley de Transparencia y Acceso a la Información Pública del Estado de México y Municipios, se logra observar que </w:t>
      </w:r>
      <w:r w:rsidRPr="0059459D">
        <w:rPr>
          <w:rFonts w:eastAsia="Times New Roman" w:cs="Tahoma"/>
          <w:b/>
          <w:bCs/>
        </w:rPr>
        <w:t>la clasificación depende del contenido de los documentos, pues de su análisis se establece si corresponde a una clasificación total o parcial.</w:t>
      </w:r>
    </w:p>
    <w:p w14:paraId="28441A92" w14:textId="77777777" w:rsidR="00E85AC5" w:rsidRPr="0059459D" w:rsidRDefault="00E85AC5" w:rsidP="00E85AC5">
      <w:pPr>
        <w:spacing w:after="0" w:line="360" w:lineRule="auto"/>
        <w:rPr>
          <w:rFonts w:eastAsia="Times New Roman" w:cs="Tahoma"/>
        </w:rPr>
      </w:pPr>
    </w:p>
    <w:p w14:paraId="57BC0B3C" w14:textId="77777777" w:rsidR="00E85AC5" w:rsidRPr="0059459D" w:rsidRDefault="00E85AC5" w:rsidP="00E85AC5">
      <w:pPr>
        <w:spacing w:after="0" w:line="360" w:lineRule="auto"/>
        <w:rPr>
          <w:rFonts w:eastAsia="Times New Roman" w:cs="Tahoma"/>
          <w:b/>
        </w:rPr>
      </w:pPr>
      <w:r w:rsidRPr="0059459D">
        <w:rPr>
          <w:rFonts w:eastAsia="Times New Roman" w:cs="Tahoma"/>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6407DF7A" w14:textId="77777777" w:rsidR="00E85AC5" w:rsidRPr="0059459D" w:rsidRDefault="00E85AC5" w:rsidP="00E85AC5">
      <w:pPr>
        <w:spacing w:after="0" w:line="360" w:lineRule="auto"/>
        <w:rPr>
          <w:rFonts w:eastAsia="Times New Roman" w:cs="Tahoma"/>
          <w:lang w:val="es-ES"/>
        </w:rPr>
      </w:pPr>
    </w:p>
    <w:p w14:paraId="1D152DA1" w14:textId="77777777" w:rsidR="00E85AC5" w:rsidRPr="0059459D" w:rsidRDefault="00E85AC5" w:rsidP="00E85AC5">
      <w:pPr>
        <w:spacing w:after="0" w:line="360" w:lineRule="auto"/>
        <w:rPr>
          <w:rFonts w:eastAsia="Times New Roman" w:cs="Arial"/>
          <w:b/>
          <w:bCs/>
        </w:rPr>
      </w:pPr>
      <w:r w:rsidRPr="0059459D">
        <w:rPr>
          <w:rFonts w:eastAsia="Times New Roman" w:cs="Tahoma"/>
          <w:lang w:val="es-ES"/>
        </w:rPr>
        <w:t xml:space="preserve">En ese contexto, </w:t>
      </w:r>
      <w:r w:rsidRPr="0059459D">
        <w:rPr>
          <w:rFonts w:eastAsia="Times New Roman" w:cs="Arial"/>
          <w:bCs/>
        </w:rPr>
        <w:t xml:space="preserve">según Bonifaz, Leticia (2016), en la “Ley General de Transparencia y Acceso a la Información Pública Comentada” (p. 342), la </w:t>
      </w:r>
      <w:r w:rsidRPr="0059459D">
        <w:rPr>
          <w:rFonts w:eastAsia="Times New Roman" w:cs="Arial"/>
          <w:b/>
          <w:bCs/>
        </w:rPr>
        <w:t>clasificación de la información</w:t>
      </w:r>
      <w:r w:rsidRPr="0059459D">
        <w:rPr>
          <w:rFonts w:eastAsia="Times New Roman" w:cs="Arial"/>
          <w:bCs/>
        </w:rPr>
        <w:t xml:space="preserve">, ocurre cuando la autoridad niega el acceso a esta, por ser confidencial o reservada, para lo cual, los sujetos obligados, deberán realizar el proceso de clasificación, a la luz de los principios y </w:t>
      </w:r>
      <w:r w:rsidRPr="0059459D">
        <w:rPr>
          <w:rFonts w:eastAsia="Times New Roman" w:cs="Arial"/>
          <w:bCs/>
        </w:rPr>
        <w:lastRenderedPageBreak/>
        <w:t xml:space="preserve">disposiciones establecidas en las Leyes de Transparencia, fundando y motivando, </w:t>
      </w:r>
      <w:r w:rsidRPr="0059459D">
        <w:rPr>
          <w:rFonts w:eastAsia="Times New Roman" w:cs="Arial"/>
          <w:b/>
          <w:bCs/>
        </w:rPr>
        <w:t>de manera adecuada la negativa de información.</w:t>
      </w:r>
    </w:p>
    <w:p w14:paraId="508438F4" w14:textId="77777777" w:rsidR="00E85AC5" w:rsidRPr="0059459D" w:rsidRDefault="00E85AC5" w:rsidP="00E85AC5">
      <w:pPr>
        <w:spacing w:after="0" w:line="360" w:lineRule="auto"/>
        <w:rPr>
          <w:rFonts w:eastAsia="Calibri" w:cs="Tahoma"/>
          <w:bCs/>
        </w:rPr>
      </w:pPr>
    </w:p>
    <w:p w14:paraId="7B89BCB5" w14:textId="77777777" w:rsidR="00E85AC5" w:rsidRPr="0059459D" w:rsidRDefault="00E85AC5" w:rsidP="00E85AC5">
      <w:pPr>
        <w:spacing w:after="0" w:line="360" w:lineRule="auto"/>
        <w:rPr>
          <w:rFonts w:eastAsia="Times New Roman" w:cs="Tahoma"/>
          <w:b/>
        </w:rPr>
      </w:pPr>
      <w:r w:rsidRPr="0059459D">
        <w:rPr>
          <w:rFonts w:eastAsia="Calibri" w:cs="Tahoma"/>
          <w:bCs/>
        </w:rPr>
        <w:t>Además</w:t>
      </w:r>
      <w:r w:rsidRPr="0059459D">
        <w:rPr>
          <w:rFonts w:eastAsia="Times New Roman" w:cs="Tahoma"/>
        </w:rPr>
        <w:t xml:space="preserve">, conforme al artículo 108, de la Ley General de Transparencia y Acceso a la Información Pública, el 134 de la Ley de Transparencia y Acceso a la Información Pública del Estado de México y Municipios y el Sexto de los </w:t>
      </w:r>
      <w:r w:rsidRPr="0059459D">
        <w:rPr>
          <w:rFonts w:eastAsia="Times New Roman" w:cs="Tahoma"/>
          <w:lang w:eastAsia="es-ES"/>
        </w:rPr>
        <w:t>Lineamientos Generales en Materia de Clasificación y Desclasificación de la Información, así como para la Elaboración de Versiones Públicas –Lineamientos Generales-</w:t>
      </w:r>
      <w:r w:rsidRPr="0059459D">
        <w:rPr>
          <w:rFonts w:eastAsia="Times New Roman" w:cs="Tahoma"/>
        </w:rPr>
        <w:t xml:space="preserve">, los sujetos obligados no podrán emitir acuerdos de carácter general que clasifiquen documentos o expedientes; por lo que, la clasificación de información se llevará a cabo mediante un </w:t>
      </w:r>
      <w:r w:rsidRPr="0059459D">
        <w:rPr>
          <w:rFonts w:eastAsia="Times New Roman" w:cs="Tahoma"/>
          <w:b/>
        </w:rPr>
        <w:t>análisis caso por caso.</w:t>
      </w:r>
    </w:p>
    <w:p w14:paraId="6E196450" w14:textId="77777777" w:rsidR="00E85AC5" w:rsidRPr="0059459D" w:rsidRDefault="00E85AC5" w:rsidP="00E85AC5">
      <w:pPr>
        <w:spacing w:after="0" w:line="360" w:lineRule="auto"/>
        <w:rPr>
          <w:rFonts w:eastAsia="Times New Roman" w:cs="Tahoma"/>
          <w:b/>
        </w:rPr>
      </w:pPr>
    </w:p>
    <w:p w14:paraId="5F2A34F1" w14:textId="77777777" w:rsidR="00E85AC5" w:rsidRPr="0059459D" w:rsidRDefault="00E85AC5" w:rsidP="00E85AC5">
      <w:pPr>
        <w:spacing w:after="0" w:line="360" w:lineRule="auto"/>
        <w:rPr>
          <w:rFonts w:eastAsia="Times New Roman" w:cs="Tahoma"/>
        </w:rPr>
      </w:pPr>
      <w:r w:rsidRPr="0059459D">
        <w:rPr>
          <w:rFonts w:eastAsia="Times New Roman" w:cs="Tahoma"/>
        </w:rPr>
        <w:t xml:space="preserve">Sobre lo anterior, el artículo 131 de la Ley referida, así como el Quinto de los Lineamientos Generales, establecen que los sujetos obligados </w:t>
      </w:r>
      <w:r w:rsidRPr="0059459D">
        <w:rPr>
          <w:rFonts w:eastAsia="Times New Roman" w:cs="Tahoma"/>
          <w:b/>
        </w:rPr>
        <w:t>deberán fundar y motivar</w:t>
      </w:r>
      <w:r w:rsidRPr="0059459D">
        <w:rPr>
          <w:rFonts w:eastAsia="Times New Roman" w:cs="Tahoma"/>
        </w:rPr>
        <w:t xml:space="preserve"> debidamente la clasificación de la información.</w:t>
      </w:r>
    </w:p>
    <w:p w14:paraId="713DE055" w14:textId="77777777" w:rsidR="00E85AC5" w:rsidRPr="0059459D" w:rsidRDefault="00E85AC5" w:rsidP="00E85AC5">
      <w:pPr>
        <w:spacing w:after="0" w:line="360" w:lineRule="auto"/>
        <w:rPr>
          <w:rFonts w:eastAsia="Times New Roman" w:cs="Tahoma"/>
          <w:b/>
        </w:rPr>
      </w:pPr>
    </w:p>
    <w:p w14:paraId="6DD41476" w14:textId="77777777" w:rsidR="00E85AC5" w:rsidRPr="0059459D" w:rsidRDefault="00E85AC5" w:rsidP="00E85AC5">
      <w:pPr>
        <w:spacing w:after="0" w:line="360" w:lineRule="auto"/>
        <w:rPr>
          <w:rFonts w:eastAsia="Times New Roman" w:cs="Tahoma"/>
          <w:bCs/>
          <w:iCs/>
        </w:rPr>
      </w:pPr>
      <w:r w:rsidRPr="0059459D">
        <w:rPr>
          <w:rFonts w:eastAsia="Times New Roman" w:cs="Tahoma"/>
        </w:rPr>
        <w:t>Al respecto, e</w:t>
      </w:r>
      <w:r w:rsidRPr="0059459D">
        <w:rPr>
          <w:rFonts w:eastAsia="Times New Roman" w:cs="Tahoma"/>
          <w:bCs/>
          <w:iCs/>
        </w:rPr>
        <w:t>l Octavo de los Lineamientos Generales, precisa lo siguiente:</w:t>
      </w:r>
    </w:p>
    <w:p w14:paraId="7C21EF2B" w14:textId="77777777" w:rsidR="00E85AC5" w:rsidRPr="0059459D" w:rsidRDefault="00E85AC5" w:rsidP="00E85AC5">
      <w:pPr>
        <w:spacing w:after="0" w:line="360" w:lineRule="auto"/>
        <w:rPr>
          <w:rFonts w:eastAsia="Times New Roman" w:cs="Tahoma"/>
          <w:bCs/>
          <w:iCs/>
        </w:rPr>
      </w:pPr>
    </w:p>
    <w:p w14:paraId="3CE15203" w14:textId="77777777" w:rsidR="00E85AC5" w:rsidRPr="0059459D" w:rsidRDefault="00E85AC5" w:rsidP="00E85AC5">
      <w:pPr>
        <w:numPr>
          <w:ilvl w:val="0"/>
          <w:numId w:val="7"/>
        </w:numPr>
        <w:spacing w:after="0" w:line="360" w:lineRule="auto"/>
        <w:rPr>
          <w:rFonts w:eastAsia="Times New Roman" w:cs="Tahoma"/>
          <w:bCs/>
          <w:u w:val="single"/>
        </w:rPr>
      </w:pPr>
      <w:r w:rsidRPr="0059459D">
        <w:rPr>
          <w:rFonts w:eastAsia="Times New Roman" w:cs="Tahoma"/>
          <w:b/>
          <w:bCs/>
        </w:rPr>
        <w:t>Para fundar la clasificación</w:t>
      </w:r>
      <w:r w:rsidRPr="0059459D">
        <w:rPr>
          <w:rFonts w:eastAsia="Times New Roman" w:cs="Tahoma"/>
          <w:bCs/>
        </w:rPr>
        <w:t xml:space="preserve"> de la información se deberán </w:t>
      </w:r>
      <w:r w:rsidRPr="0059459D">
        <w:rPr>
          <w:rFonts w:eastAsia="Times New Roman" w:cs="Tahoma"/>
          <w:bCs/>
          <w:u w:val="single"/>
        </w:rPr>
        <w:t>señalar el artículo, fracción, inciso, párrafo o numeral de la Ley aplicable;</w:t>
      </w:r>
    </w:p>
    <w:p w14:paraId="2B140DA4" w14:textId="77777777" w:rsidR="00E85AC5" w:rsidRPr="0059459D" w:rsidRDefault="00E85AC5" w:rsidP="00E85AC5">
      <w:pPr>
        <w:spacing w:after="0" w:line="360" w:lineRule="auto"/>
        <w:rPr>
          <w:rFonts w:eastAsia="Times New Roman" w:cs="Tahoma"/>
          <w:bCs/>
        </w:rPr>
      </w:pPr>
    </w:p>
    <w:p w14:paraId="3B5C0A2B" w14:textId="77777777" w:rsidR="00E85AC5" w:rsidRPr="0059459D" w:rsidRDefault="00E85AC5" w:rsidP="00E85AC5">
      <w:pPr>
        <w:numPr>
          <w:ilvl w:val="0"/>
          <w:numId w:val="7"/>
        </w:numPr>
        <w:spacing w:after="0" w:line="360" w:lineRule="auto"/>
        <w:rPr>
          <w:rFonts w:eastAsia="Times New Roman" w:cs="Tahoma"/>
          <w:bCs/>
        </w:rPr>
      </w:pPr>
      <w:r w:rsidRPr="0059459D">
        <w:rPr>
          <w:rFonts w:eastAsia="Times New Roman" w:cs="Tahoma"/>
          <w:b/>
          <w:bCs/>
        </w:rPr>
        <w:t>Para motivar la clasificación</w:t>
      </w:r>
      <w:r w:rsidRPr="0059459D">
        <w:rPr>
          <w:rFonts w:eastAsia="Times New Roman" w:cs="Tahoma"/>
          <w:bCs/>
        </w:rPr>
        <w:t xml:space="preserve"> se deberán </w:t>
      </w:r>
      <w:r w:rsidRPr="0059459D">
        <w:rPr>
          <w:rFonts w:eastAsia="Times New Roman" w:cs="Tahoma"/>
          <w:bCs/>
          <w:u w:val="single"/>
        </w:rPr>
        <w:t>indicar las razones y circunstancias</w:t>
      </w:r>
      <w:r w:rsidRPr="0059459D">
        <w:rPr>
          <w:rFonts w:eastAsia="Times New Roman" w:cs="Tahoma"/>
          <w:bCs/>
        </w:rPr>
        <w:t xml:space="preserve"> especiales que lo llevaron a concluir que el caso particular se ajusta al supuesto previsto por la norma legal invocada.</w:t>
      </w:r>
    </w:p>
    <w:p w14:paraId="54FEF94C" w14:textId="77777777" w:rsidR="00E85AC5" w:rsidRPr="0059459D" w:rsidRDefault="00E85AC5" w:rsidP="00E85AC5">
      <w:pPr>
        <w:spacing w:after="0" w:line="360" w:lineRule="auto"/>
        <w:ind w:left="720"/>
        <w:contextualSpacing/>
        <w:rPr>
          <w:rFonts w:eastAsia="Times New Roman" w:cs="Tahoma"/>
          <w:bCs/>
        </w:rPr>
      </w:pPr>
    </w:p>
    <w:p w14:paraId="54AEC51B" w14:textId="77777777" w:rsidR="00E85AC5" w:rsidRPr="0059459D" w:rsidRDefault="00E85AC5" w:rsidP="00E85AC5">
      <w:pPr>
        <w:spacing w:after="0" w:line="360" w:lineRule="auto"/>
        <w:rPr>
          <w:rFonts w:eastAsia="Times New Roman" w:cs="Tahoma"/>
        </w:rPr>
      </w:pPr>
      <w:r w:rsidRPr="0059459D">
        <w:rPr>
          <w:rFonts w:eastAsia="Times New Roman" w:cs="Tahoma"/>
        </w:rPr>
        <w:t xml:space="preserve">Lo anterior, toma sustento en la fracción VII, del artículo 1.8, del Código Administrativo del Estado de México, que establece que todo acto administrativo, debe estar fundado y </w:t>
      </w:r>
      <w:r w:rsidRPr="0059459D">
        <w:rPr>
          <w:rFonts w:eastAsia="Times New Roman" w:cs="Tahoma"/>
        </w:rPr>
        <w:lastRenderedPageBreak/>
        <w:t>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4FCC773F" w14:textId="77777777" w:rsidR="00E85AC5" w:rsidRPr="0059459D" w:rsidRDefault="00E85AC5" w:rsidP="00E85AC5">
      <w:pPr>
        <w:spacing w:after="0" w:line="360" w:lineRule="auto"/>
        <w:rPr>
          <w:rFonts w:eastAsia="Times New Roman" w:cs="Tahoma"/>
        </w:rPr>
      </w:pPr>
    </w:p>
    <w:p w14:paraId="72078EF0" w14:textId="77777777" w:rsidR="00E85AC5" w:rsidRPr="0059459D" w:rsidRDefault="00E85AC5" w:rsidP="00E85AC5">
      <w:pPr>
        <w:spacing w:after="0" w:line="360" w:lineRule="auto"/>
        <w:ind w:left="567" w:right="567"/>
        <w:rPr>
          <w:rFonts w:eastAsia="Times New Roman" w:cs="Tahoma"/>
          <w:i/>
          <w:sz w:val="20"/>
          <w:szCs w:val="20"/>
        </w:rPr>
      </w:pPr>
      <w:r w:rsidRPr="0059459D">
        <w:rPr>
          <w:rFonts w:eastAsia="Times New Roman" w:cs="Tahoma"/>
          <w:b/>
          <w:i/>
          <w:sz w:val="20"/>
          <w:szCs w:val="20"/>
        </w:rPr>
        <w:t xml:space="preserve">“FUNDAMENTACION Y MOTIVACION, CONCEPTO DE. </w:t>
      </w:r>
      <w:r w:rsidRPr="0059459D">
        <w:rPr>
          <w:rFonts w:eastAsia="Times New Roman" w:cs="Tahoma"/>
          <w:i/>
          <w:sz w:val="20"/>
          <w:szCs w:val="2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27039256" w14:textId="77777777" w:rsidR="00E85AC5" w:rsidRPr="0059459D" w:rsidRDefault="00E85AC5" w:rsidP="00E85AC5">
      <w:pPr>
        <w:spacing w:after="0" w:line="360" w:lineRule="auto"/>
        <w:rPr>
          <w:rFonts w:eastAsia="Times New Roman" w:cs="Tahoma"/>
        </w:rPr>
      </w:pPr>
    </w:p>
    <w:p w14:paraId="4F11BE8A" w14:textId="77777777" w:rsidR="00E85AC5" w:rsidRPr="0059459D" w:rsidRDefault="00E85AC5" w:rsidP="00E85AC5">
      <w:pPr>
        <w:spacing w:after="0" w:line="360" w:lineRule="auto"/>
        <w:rPr>
          <w:rFonts w:eastAsia="Times New Roman" w:cs="Tahoma"/>
        </w:rPr>
      </w:pPr>
      <w:r w:rsidRPr="0059459D">
        <w:rPr>
          <w:rFonts w:eastAsia="Times New Roman" w:cs="Tahoma"/>
        </w:rPr>
        <w:t>Conforme a lo anterior, se advierte lo siguiente:</w:t>
      </w:r>
    </w:p>
    <w:p w14:paraId="76C7910A" w14:textId="77777777" w:rsidR="00E85AC5" w:rsidRPr="0059459D" w:rsidRDefault="00E85AC5" w:rsidP="00E85AC5">
      <w:pPr>
        <w:spacing w:after="0" w:line="360" w:lineRule="auto"/>
        <w:rPr>
          <w:rFonts w:eastAsia="Times New Roman" w:cs="Tahoma"/>
        </w:rPr>
      </w:pPr>
    </w:p>
    <w:p w14:paraId="611435D3" w14:textId="77777777" w:rsidR="00E85AC5" w:rsidRPr="0059459D" w:rsidRDefault="00E85AC5" w:rsidP="00E85AC5">
      <w:pPr>
        <w:numPr>
          <w:ilvl w:val="0"/>
          <w:numId w:val="8"/>
        </w:numPr>
        <w:spacing w:after="0" w:line="360" w:lineRule="auto"/>
        <w:rPr>
          <w:rFonts w:eastAsia="Times New Roman" w:cs="Tahoma"/>
          <w:b/>
        </w:rPr>
      </w:pPr>
      <w:r w:rsidRPr="0059459D">
        <w:rPr>
          <w:rFonts w:eastAsia="Times New Roman" w:cs="Tahoma"/>
          <w:b/>
        </w:rPr>
        <w:t xml:space="preserve">Fundamentación: </w:t>
      </w:r>
      <w:r w:rsidRPr="0059459D">
        <w:rPr>
          <w:rFonts w:eastAsia="Times New Roman" w:cs="Tahoma"/>
        </w:rPr>
        <w:t>Obligación de la autoridad que emite un acto, para citar los preceptos legales, sustantivos y adjetivos, en que se apoye para la determinación tomada.</w:t>
      </w:r>
    </w:p>
    <w:p w14:paraId="5F61CFF8" w14:textId="77777777" w:rsidR="00E85AC5" w:rsidRPr="0059459D" w:rsidRDefault="00E85AC5" w:rsidP="00E85AC5">
      <w:pPr>
        <w:spacing w:after="0" w:line="360" w:lineRule="auto"/>
        <w:ind w:left="720"/>
        <w:rPr>
          <w:rFonts w:eastAsia="Times New Roman" w:cs="Tahoma"/>
          <w:b/>
        </w:rPr>
      </w:pPr>
    </w:p>
    <w:p w14:paraId="467441A6" w14:textId="77777777" w:rsidR="00E85AC5" w:rsidRPr="0059459D" w:rsidRDefault="00E85AC5" w:rsidP="00E85AC5">
      <w:pPr>
        <w:numPr>
          <w:ilvl w:val="0"/>
          <w:numId w:val="8"/>
        </w:numPr>
        <w:spacing w:after="0" w:line="360" w:lineRule="auto"/>
        <w:rPr>
          <w:rFonts w:eastAsia="Times New Roman" w:cs="Tahoma"/>
          <w:b/>
        </w:rPr>
      </w:pPr>
      <w:r w:rsidRPr="0059459D">
        <w:rPr>
          <w:rFonts w:eastAsia="Times New Roman" w:cs="Tahoma"/>
          <w:b/>
        </w:rPr>
        <w:t xml:space="preserve">Motivación: </w:t>
      </w:r>
      <w:r w:rsidRPr="0059459D">
        <w:rPr>
          <w:rFonts w:eastAsia="Times New Roman" w:cs="Tahoma"/>
        </w:rPr>
        <w:t>Razonamientos lógico-jurídicos sobre porque se consideró en el caso en concreto, que se ajusta a la hipótesis normativa.</w:t>
      </w:r>
    </w:p>
    <w:p w14:paraId="75074E00" w14:textId="77777777" w:rsidR="00E85AC5" w:rsidRPr="0059459D" w:rsidRDefault="00E85AC5" w:rsidP="00E85AC5">
      <w:pPr>
        <w:spacing w:after="0" w:line="360" w:lineRule="auto"/>
        <w:rPr>
          <w:rFonts w:eastAsia="Calibri" w:cs="Tahoma"/>
          <w:lang w:val="es-ES"/>
        </w:rPr>
      </w:pPr>
    </w:p>
    <w:p w14:paraId="344847E4" w14:textId="77777777" w:rsidR="00E85AC5" w:rsidRPr="0059459D" w:rsidRDefault="00E85AC5" w:rsidP="00E85AC5">
      <w:pPr>
        <w:spacing w:after="0" w:line="360" w:lineRule="auto"/>
        <w:rPr>
          <w:rFonts w:eastAsia="Calibri" w:cs="Tahoma"/>
          <w:lang w:val="es-ES"/>
        </w:rPr>
      </w:pPr>
      <w:r w:rsidRPr="0059459D">
        <w:rPr>
          <w:rFonts w:eastAsia="Calibri" w:cs="Tahoma"/>
          <w:lang w:val="es-ES"/>
        </w:rPr>
        <w:t xml:space="preserve">Situación que toma relevancia, pues conforme al artículo 149 de la Ley de Transparencia y Acceso a la Información Pública del Estado de México y Municipios, todo acuerdo que clasifique la información como confidencial, deberá contener un razonamiento lógico en el </w:t>
      </w:r>
      <w:r w:rsidRPr="0059459D">
        <w:rPr>
          <w:rFonts w:eastAsia="Calibri" w:cs="Tahoma"/>
          <w:lang w:val="es-ES"/>
        </w:rPr>
        <w:lastRenderedPageBreak/>
        <w:t>que se demuestre que la información actualiza alguna de las hipótesis previstas en el artículo 143 del ordenamiento jurídico establecido.</w:t>
      </w:r>
    </w:p>
    <w:p w14:paraId="53FAD343" w14:textId="77777777" w:rsidR="00E85AC5" w:rsidRPr="0059459D" w:rsidRDefault="00E85AC5" w:rsidP="00E85AC5">
      <w:pPr>
        <w:widowControl w:val="0"/>
        <w:autoSpaceDE w:val="0"/>
        <w:autoSpaceDN w:val="0"/>
        <w:adjustRightInd w:val="0"/>
        <w:spacing w:after="0" w:line="360" w:lineRule="auto"/>
        <w:contextualSpacing/>
        <w:rPr>
          <w:rFonts w:cs="Tahoma"/>
          <w:iCs/>
          <w:szCs w:val="24"/>
          <w:lang w:val="es-ES_tradnl"/>
        </w:rPr>
      </w:pPr>
    </w:p>
    <w:p w14:paraId="37CF18EB" w14:textId="1CCB4DE8" w:rsidR="00F03463" w:rsidRPr="0059459D" w:rsidRDefault="00E85AC5" w:rsidP="00F03463">
      <w:pPr>
        <w:spacing w:after="0" w:line="360" w:lineRule="auto"/>
      </w:pPr>
      <w:r w:rsidRPr="0059459D">
        <w:rPr>
          <w:rFonts w:eastAsia="Batang" w:cs="Tahoma"/>
          <w:bCs/>
          <w:lang w:val="es-ES" w:eastAsia="es-ES"/>
        </w:rPr>
        <w:t xml:space="preserve">En ese contexto, es de señalar que el Sujeto Obligado no precisó de manera fundada y motivada las razones por las cuales, consideraba que las </w:t>
      </w:r>
      <w:r w:rsidR="00F03463" w:rsidRPr="0059459D">
        <w:rPr>
          <w:rFonts w:eastAsia="Batang" w:cs="Tahoma"/>
          <w:bCs/>
          <w:lang w:val="es-ES" w:eastAsia="es-ES"/>
        </w:rPr>
        <w:t xml:space="preserve">autorizaciones del proyecto COSMOPOL era </w:t>
      </w:r>
      <w:r w:rsidRPr="0059459D">
        <w:rPr>
          <w:rFonts w:eastAsia="Batang" w:cs="Tahoma"/>
          <w:bCs/>
          <w:lang w:val="es-ES" w:eastAsia="es-ES"/>
        </w:rPr>
        <w:t xml:space="preserve">información confidencial, pues únicamente señaló que no </w:t>
      </w:r>
      <w:r w:rsidR="00F03463" w:rsidRPr="0059459D">
        <w:rPr>
          <w:rFonts w:eastAsia="Batang" w:cs="Tahoma"/>
          <w:bCs/>
          <w:lang w:val="es-ES" w:eastAsia="es-ES"/>
        </w:rPr>
        <w:t>podía entregarla por contener datos personales</w:t>
      </w:r>
      <w:r w:rsidRPr="0059459D">
        <w:rPr>
          <w:rFonts w:eastAsia="Batang" w:cs="Tahoma"/>
          <w:bCs/>
          <w:lang w:val="es-ES" w:eastAsia="es-ES"/>
        </w:rPr>
        <w:t xml:space="preserve">, lo cual da como resultado que el agravio sea </w:t>
      </w:r>
      <w:r w:rsidRPr="0059459D">
        <w:rPr>
          <w:rFonts w:eastAsia="Batang" w:cs="Tahoma"/>
          <w:b/>
          <w:bCs/>
          <w:lang w:val="es-ES" w:eastAsia="es-ES"/>
        </w:rPr>
        <w:t>FUNDADO</w:t>
      </w:r>
      <w:r w:rsidR="00F03463" w:rsidRPr="0059459D">
        <w:rPr>
          <w:rFonts w:eastAsia="Batang" w:cs="Tahoma"/>
          <w:bCs/>
          <w:lang w:val="es-ES" w:eastAsia="es-ES"/>
        </w:rPr>
        <w:t xml:space="preserve">. </w:t>
      </w:r>
      <w:r w:rsidR="00F03463" w:rsidRPr="0059459D">
        <w:rPr>
          <w:rFonts w:eastAsia="Calibri" w:cs="Times New Roman"/>
          <w:color w:val="000000"/>
        </w:rPr>
        <w:t xml:space="preserve">No obstante, durante la sustanciación del </w:t>
      </w:r>
      <w:r w:rsidR="00125F26" w:rsidRPr="0059459D">
        <w:rPr>
          <w:rFonts w:eastAsia="Calibri" w:cs="Times New Roman"/>
          <w:color w:val="000000"/>
        </w:rPr>
        <w:t>M</w:t>
      </w:r>
      <w:r w:rsidR="00F03463" w:rsidRPr="0059459D">
        <w:rPr>
          <w:rFonts w:eastAsia="Calibri" w:cs="Times New Roman"/>
          <w:color w:val="000000"/>
        </w:rPr>
        <w:t xml:space="preserve">edio de </w:t>
      </w:r>
      <w:r w:rsidR="00125F26" w:rsidRPr="0059459D">
        <w:rPr>
          <w:rFonts w:eastAsia="Calibri" w:cs="Times New Roman"/>
          <w:color w:val="000000"/>
        </w:rPr>
        <w:t>I</w:t>
      </w:r>
      <w:r w:rsidR="00F03463" w:rsidRPr="0059459D">
        <w:rPr>
          <w:rFonts w:eastAsia="Calibri" w:cs="Times New Roman"/>
          <w:color w:val="000000"/>
        </w:rPr>
        <w:t xml:space="preserve">mpugnación, la Dirección de Desarrollo Urbano </w:t>
      </w:r>
      <w:r w:rsidR="00F03463" w:rsidRPr="0059459D">
        <w:rPr>
          <w:color w:val="000000"/>
        </w:rPr>
        <w:t xml:space="preserve">mencionó que </w:t>
      </w:r>
      <w:r w:rsidR="00F03463" w:rsidRPr="0059459D">
        <w:rPr>
          <w:rFonts w:cs="Tahoma"/>
          <w:lang w:val="es-ES"/>
        </w:rPr>
        <w:t xml:space="preserve">la </w:t>
      </w:r>
      <w:r w:rsidR="00F03463" w:rsidRPr="0059459D">
        <w:t xml:space="preserve">información se </w:t>
      </w:r>
      <w:r w:rsidR="00125F26" w:rsidRPr="0059459D">
        <w:t>encontraba</w:t>
      </w:r>
      <w:r w:rsidR="00F03463" w:rsidRPr="0059459D">
        <w:t xml:space="preserve"> publicada en la gaceta oficial de Gobierno del Estado de México, número 94, de fecha 26 de mayo de 2015, en el plan parcial de incorporación territorial "Rancho la Palma", Coacalco, Estado de México y la fe de erratas publicada en la gaceta oficial de Gobierno del Estado de México, número 108, de fecha 14 de junio de 2016, y adjuntó dichos documentos.</w:t>
      </w:r>
    </w:p>
    <w:p w14:paraId="3AA4A6CD" w14:textId="77777777" w:rsidR="00AC4EC9" w:rsidRPr="0059459D" w:rsidRDefault="00AC4EC9" w:rsidP="00F03463">
      <w:pPr>
        <w:spacing w:after="0" w:line="360" w:lineRule="auto"/>
      </w:pPr>
    </w:p>
    <w:p w14:paraId="6FA08150" w14:textId="7F3E25A3" w:rsidR="009E2E2A" w:rsidRPr="0059459D" w:rsidRDefault="00C40CD5" w:rsidP="009E2E2A">
      <w:pPr>
        <w:tabs>
          <w:tab w:val="left" w:pos="4962"/>
        </w:tabs>
        <w:spacing w:after="0" w:line="360" w:lineRule="auto"/>
        <w:contextualSpacing/>
      </w:pPr>
      <w:r w:rsidRPr="0059459D">
        <w:rPr>
          <w:color w:val="000000"/>
        </w:rPr>
        <w:t xml:space="preserve">De lo anterior, se observa que, si bien el Sujeto Obligado entregó información sobre </w:t>
      </w:r>
      <w:r w:rsidRPr="0059459D">
        <w:t>el plan parcial de incorporación territorial "Rancho la Palma", Coacalco, Estado de México</w:t>
      </w:r>
      <w:r w:rsidRPr="0059459D">
        <w:rPr>
          <w:color w:val="000000"/>
        </w:rPr>
        <w:t>, lo cierto es que no corresponde a la información requerida inicialmente, pues la pretensión de</w:t>
      </w:r>
      <w:r w:rsidR="002529AD" w:rsidRPr="0059459D">
        <w:rPr>
          <w:color w:val="000000"/>
        </w:rPr>
        <w:t xml:space="preserve"> la persona</w:t>
      </w:r>
      <w:r w:rsidRPr="0059459D">
        <w:rPr>
          <w:color w:val="000000"/>
        </w:rPr>
        <w:t xml:space="preserve"> Recurrente es obtener las autorizaciones del proyecto COSMOPOL, que derivado </w:t>
      </w:r>
      <w:r w:rsidR="002529AD" w:rsidRPr="0059459D">
        <w:rPr>
          <w:color w:val="000000"/>
        </w:rPr>
        <w:t xml:space="preserve">de una revisión de los documentos entregados, si bien </w:t>
      </w:r>
      <w:r w:rsidR="002529AD" w:rsidRPr="0059459D">
        <w:t>el plan parcial de incorporación territorial "Rancho la Palma" es el predio donde se construirá el COSMOPOL, no tiene relación con lo solicitado</w:t>
      </w:r>
      <w:r w:rsidR="009E2E2A" w:rsidRPr="0059459D">
        <w:t>.</w:t>
      </w:r>
    </w:p>
    <w:p w14:paraId="6AA3592B" w14:textId="77777777" w:rsidR="009E2E2A" w:rsidRPr="0059459D" w:rsidRDefault="009E2E2A" w:rsidP="009E2E2A">
      <w:pPr>
        <w:tabs>
          <w:tab w:val="left" w:pos="4962"/>
        </w:tabs>
        <w:spacing w:after="0" w:line="360" w:lineRule="auto"/>
        <w:contextualSpacing/>
      </w:pPr>
    </w:p>
    <w:p w14:paraId="79B4015F" w14:textId="77777777" w:rsidR="00D36A9F" w:rsidRPr="0059459D" w:rsidRDefault="003A2B31" w:rsidP="003A2B31">
      <w:pPr>
        <w:spacing w:after="0" w:line="360" w:lineRule="auto"/>
        <w:rPr>
          <w:rFonts w:eastAsia="Times New Roman" w:cs="Tahoma"/>
          <w:bCs/>
          <w:iCs/>
          <w:lang w:eastAsia="es-ES"/>
        </w:rPr>
      </w:pPr>
      <w:r w:rsidRPr="0059459D">
        <w:t xml:space="preserve">Derivado de lo anterior, se realizó una búsqueda en el </w:t>
      </w:r>
      <w:r w:rsidRPr="0059459D">
        <w:rPr>
          <w:rFonts w:eastAsia="Times New Roman" w:cs="Tahoma"/>
          <w:bCs/>
          <w:iCs/>
          <w:lang w:eastAsia="es-ES"/>
        </w:rPr>
        <w:t xml:space="preserve">Acuerdo por el que se autoriza el Conjunto Urbano de tipo mixto denominado “COSMOPOL”, en la liga electrónica </w:t>
      </w:r>
      <w:hyperlink r:id="rId9" w:history="1">
        <w:r w:rsidRPr="0059459D">
          <w:rPr>
            <w:rStyle w:val="Hipervnculo"/>
            <w:rFonts w:eastAsia="Times New Roman" w:cs="Tahoma"/>
            <w:bCs/>
            <w:iCs/>
            <w:lang w:eastAsia="es-ES"/>
          </w:rPr>
          <w:t>https://legislacion.edomex.gob.mx/sites/legislacion.edomex.gob.mx/files/files/pdf/gct/2016/</w:t>
        </w:r>
        <w:r w:rsidRPr="0059459D">
          <w:rPr>
            <w:rStyle w:val="Hipervnculo"/>
            <w:rFonts w:eastAsia="Times New Roman" w:cs="Tahoma"/>
            <w:bCs/>
            <w:iCs/>
            <w:lang w:eastAsia="es-ES"/>
          </w:rPr>
          <w:lastRenderedPageBreak/>
          <w:t>dic131.pdf</w:t>
        </w:r>
      </w:hyperlink>
      <w:r w:rsidRPr="0059459D">
        <w:rPr>
          <w:rFonts w:eastAsia="Times New Roman" w:cs="Tahoma"/>
          <w:bCs/>
          <w:iCs/>
          <w:lang w:eastAsia="es-ES"/>
        </w:rPr>
        <w:t>, donde se localiz</w:t>
      </w:r>
      <w:r w:rsidR="00D36A9F" w:rsidRPr="0059459D">
        <w:rPr>
          <w:rFonts w:eastAsia="Times New Roman" w:cs="Tahoma"/>
          <w:bCs/>
          <w:iCs/>
          <w:lang w:eastAsia="es-ES"/>
        </w:rPr>
        <w:t>aron diversas autorizaciones emitidas por diferentes Dependencias Administrativas, como se muestra a continuación:</w:t>
      </w:r>
    </w:p>
    <w:p w14:paraId="2F23E8F5" w14:textId="77777777" w:rsidR="00D36A9F" w:rsidRPr="0059459D" w:rsidRDefault="00D36A9F" w:rsidP="003A2B31">
      <w:pPr>
        <w:spacing w:after="0" w:line="360" w:lineRule="auto"/>
        <w:rPr>
          <w:rFonts w:eastAsia="Times New Roman" w:cs="Tahoma"/>
          <w:bCs/>
          <w:iCs/>
          <w:lang w:eastAsia="es-ES"/>
        </w:rPr>
      </w:pPr>
    </w:p>
    <w:p w14:paraId="5D7F1DDB" w14:textId="70A951C4" w:rsidR="00D36A9F" w:rsidRPr="0059459D" w:rsidRDefault="00D36A9F" w:rsidP="003A2B31">
      <w:pPr>
        <w:spacing w:after="0" w:line="360" w:lineRule="auto"/>
        <w:rPr>
          <w:rFonts w:eastAsia="Times New Roman" w:cs="Tahoma"/>
          <w:bCs/>
          <w:iCs/>
          <w:lang w:eastAsia="es-ES"/>
        </w:rPr>
      </w:pPr>
      <w:r w:rsidRPr="0059459D">
        <w:rPr>
          <w:rFonts w:eastAsia="Times New Roman" w:cs="Tahoma"/>
          <w:bCs/>
          <w:iCs/>
          <w:noProof/>
        </w:rPr>
        <w:drawing>
          <wp:inline distT="0" distB="0" distL="0" distR="0" wp14:anchorId="5CBEE413" wp14:editId="29202959">
            <wp:extent cx="5671185" cy="2187575"/>
            <wp:effectExtent l="0" t="0" r="5715" b="3175"/>
            <wp:docPr id="130669347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93475" name="Imagen 1" descr="Interfaz de usuario gráfica, Texto,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671185" cy="2187575"/>
                    </a:xfrm>
                    <a:prstGeom prst="rect">
                      <a:avLst/>
                    </a:prstGeom>
                  </pic:spPr>
                </pic:pic>
              </a:graphicData>
            </a:graphic>
          </wp:inline>
        </w:drawing>
      </w:r>
    </w:p>
    <w:p w14:paraId="76B4A92E" w14:textId="11CDFD19" w:rsidR="00D36A9F" w:rsidRPr="0059459D" w:rsidRDefault="00D36A9F" w:rsidP="003A2B31">
      <w:pPr>
        <w:spacing w:after="0" w:line="360" w:lineRule="auto"/>
        <w:rPr>
          <w:rFonts w:eastAsia="Times New Roman" w:cs="Tahoma"/>
          <w:bCs/>
          <w:iCs/>
          <w:lang w:eastAsia="es-ES"/>
        </w:rPr>
      </w:pPr>
      <w:r w:rsidRPr="0059459D">
        <w:rPr>
          <w:rFonts w:eastAsia="Times New Roman" w:cs="Tahoma"/>
          <w:bCs/>
          <w:iCs/>
          <w:noProof/>
        </w:rPr>
        <w:drawing>
          <wp:inline distT="0" distB="0" distL="0" distR="0" wp14:anchorId="26736C45" wp14:editId="2BCF72FD">
            <wp:extent cx="5671185" cy="3747770"/>
            <wp:effectExtent l="0" t="0" r="5715" b="5080"/>
            <wp:docPr id="36612530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25308" name="Imagen 2"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671185" cy="3747770"/>
                    </a:xfrm>
                    <a:prstGeom prst="rect">
                      <a:avLst/>
                    </a:prstGeom>
                  </pic:spPr>
                </pic:pic>
              </a:graphicData>
            </a:graphic>
          </wp:inline>
        </w:drawing>
      </w:r>
    </w:p>
    <w:p w14:paraId="6FACB14B" w14:textId="0123BC67" w:rsidR="003A2B31" w:rsidRPr="0059459D" w:rsidRDefault="003A2B31" w:rsidP="00D36A9F">
      <w:pPr>
        <w:spacing w:after="0" w:line="360" w:lineRule="auto"/>
        <w:rPr>
          <w:rFonts w:eastAsia="Times New Roman" w:cs="Tahoma"/>
          <w:bCs/>
          <w:iCs/>
          <w:lang w:eastAsia="es-ES"/>
        </w:rPr>
      </w:pPr>
      <w:r w:rsidRPr="0059459D">
        <w:rPr>
          <w:rFonts w:eastAsia="Times New Roman" w:cs="Tahoma"/>
          <w:bCs/>
          <w:iCs/>
          <w:lang w:eastAsia="es-ES"/>
        </w:rPr>
        <w:t xml:space="preserve"> </w:t>
      </w:r>
    </w:p>
    <w:p w14:paraId="2FC8CA13" w14:textId="396D1EC8" w:rsidR="00125F26" w:rsidRPr="0059459D" w:rsidRDefault="00125F26" w:rsidP="00D36A9F">
      <w:pPr>
        <w:spacing w:after="0" w:line="360" w:lineRule="auto"/>
        <w:rPr>
          <w:rFonts w:eastAsia="Times New Roman" w:cs="Tahoma"/>
          <w:bCs/>
          <w:iCs/>
          <w:lang w:eastAsia="es-ES"/>
        </w:rPr>
      </w:pPr>
      <w:r w:rsidRPr="0059459D">
        <w:rPr>
          <w:rFonts w:eastAsia="Times New Roman" w:cs="Tahoma"/>
          <w:bCs/>
          <w:iCs/>
          <w:lang w:eastAsia="es-ES"/>
        </w:rPr>
        <w:lastRenderedPageBreak/>
        <w:t xml:space="preserve">Conforme a lo anterior, se logra vislumbrar que para el proyecto COSMOPOL, las Instituciones Municipales y Estatales emitieron diversas autorizaciones, tales como la licencia de uso de suelo, </w:t>
      </w:r>
      <w:r w:rsidR="004B27E7" w:rsidRPr="0059459D">
        <w:rPr>
          <w:rFonts w:eastAsia="Times New Roman" w:cs="Tahoma"/>
          <w:bCs/>
          <w:iCs/>
          <w:lang w:eastAsia="es-ES"/>
        </w:rPr>
        <w:t>dictamen favorable sobre riesgos, opinión favorable del proyecto, el dictamen de incorporación e impacto am</w:t>
      </w:r>
      <w:r w:rsidR="009530A6">
        <w:rPr>
          <w:rFonts w:eastAsia="Times New Roman" w:cs="Tahoma"/>
          <w:bCs/>
          <w:iCs/>
          <w:lang w:eastAsia="es-ES"/>
        </w:rPr>
        <w:t>b</w:t>
      </w:r>
      <w:r w:rsidR="004B27E7" w:rsidRPr="0059459D">
        <w:rPr>
          <w:rFonts w:eastAsia="Times New Roman" w:cs="Tahoma"/>
          <w:bCs/>
          <w:iCs/>
          <w:lang w:eastAsia="es-ES"/>
        </w:rPr>
        <w:t>iental, entre otros.</w:t>
      </w:r>
    </w:p>
    <w:p w14:paraId="3915C3F8" w14:textId="77777777" w:rsidR="004B27E7" w:rsidRPr="0059459D" w:rsidRDefault="004B27E7" w:rsidP="00D36A9F">
      <w:pPr>
        <w:spacing w:after="0" w:line="360" w:lineRule="auto"/>
        <w:rPr>
          <w:rFonts w:eastAsia="Times New Roman" w:cs="Tahoma"/>
          <w:bCs/>
          <w:iCs/>
          <w:lang w:eastAsia="es-ES"/>
        </w:rPr>
      </w:pPr>
    </w:p>
    <w:p w14:paraId="1AE7547D" w14:textId="2A42A611" w:rsidR="004B27E7" w:rsidRPr="0059459D" w:rsidRDefault="004B27E7" w:rsidP="00D36A9F">
      <w:pPr>
        <w:spacing w:after="0" w:line="360" w:lineRule="auto"/>
        <w:rPr>
          <w:rFonts w:eastAsia="Times New Roman" w:cs="Tahoma"/>
          <w:bCs/>
          <w:iCs/>
          <w:lang w:eastAsia="es-ES"/>
        </w:rPr>
      </w:pPr>
      <w:r w:rsidRPr="0059459D">
        <w:rPr>
          <w:rFonts w:eastAsia="Times New Roman" w:cs="Tahoma"/>
          <w:bCs/>
          <w:iCs/>
          <w:lang w:eastAsia="es-ES"/>
        </w:rPr>
        <w:t>Además, precisa que para las con</w:t>
      </w:r>
      <w:r w:rsidR="009530A6">
        <w:rPr>
          <w:rFonts w:eastAsia="Times New Roman" w:cs="Tahoma"/>
          <w:bCs/>
          <w:iCs/>
          <w:lang w:eastAsia="es-ES"/>
        </w:rPr>
        <w:t>s</w:t>
      </w:r>
      <w:r w:rsidRPr="0059459D">
        <w:rPr>
          <w:rFonts w:eastAsia="Times New Roman" w:cs="Tahoma"/>
          <w:bCs/>
          <w:iCs/>
          <w:lang w:eastAsia="es-ES"/>
        </w:rPr>
        <w:t>trucciones de uso habitacional y comercial, se deberán tramitar las licencias de uso de suelo, de construcción, los dictámenes de protección civil, de impacto ambienta</w:t>
      </w:r>
      <w:r w:rsidR="009530A6">
        <w:rPr>
          <w:rFonts w:eastAsia="Times New Roman" w:cs="Tahoma"/>
          <w:bCs/>
          <w:iCs/>
          <w:lang w:eastAsia="es-ES"/>
        </w:rPr>
        <w:t>l</w:t>
      </w:r>
      <w:r w:rsidRPr="0059459D">
        <w:rPr>
          <w:rFonts w:eastAsia="Times New Roman" w:cs="Tahoma"/>
          <w:bCs/>
          <w:iCs/>
          <w:lang w:eastAsia="es-ES"/>
        </w:rPr>
        <w:t xml:space="preserve"> y vialidad.</w:t>
      </w:r>
    </w:p>
    <w:p w14:paraId="33A42ADF" w14:textId="77777777" w:rsidR="004B27E7" w:rsidRPr="0059459D" w:rsidRDefault="004B27E7" w:rsidP="00D36A9F">
      <w:pPr>
        <w:spacing w:after="0" w:line="360" w:lineRule="auto"/>
        <w:rPr>
          <w:rFonts w:eastAsia="Times New Roman" w:cs="Tahoma"/>
          <w:bCs/>
          <w:iCs/>
          <w:lang w:eastAsia="es-ES"/>
        </w:rPr>
      </w:pPr>
    </w:p>
    <w:p w14:paraId="0A23784F" w14:textId="4F9FB4D8" w:rsidR="009E2E2A" w:rsidRPr="0059459D" w:rsidRDefault="00D36A9F" w:rsidP="009E2E2A">
      <w:pPr>
        <w:tabs>
          <w:tab w:val="left" w:pos="4962"/>
        </w:tabs>
        <w:spacing w:after="0" w:line="360" w:lineRule="auto"/>
        <w:contextualSpacing/>
        <w:rPr>
          <w:color w:val="auto"/>
          <w:lang w:eastAsia="es-ES"/>
        </w:rPr>
      </w:pPr>
      <w:r w:rsidRPr="0059459D">
        <w:rPr>
          <w:rFonts w:eastAsia="Calibri" w:cs="Tahoma"/>
          <w:bCs/>
        </w:rPr>
        <w:t>P</w:t>
      </w:r>
      <w:r w:rsidR="009E2E2A" w:rsidRPr="0059459D">
        <w:rPr>
          <w:rFonts w:eastAsia="Calibri" w:cs="Tahoma"/>
          <w:bCs/>
        </w:rPr>
        <w:t xml:space="preserve">or lo que, para atender el requerimiento de información, el Sujeto Obligado deberá realizar una búsqueda </w:t>
      </w:r>
      <w:r w:rsidR="009E2E2A" w:rsidRPr="0059459D">
        <w:rPr>
          <w:rFonts w:eastAsia="Calibri" w:cs="Times New Roman"/>
          <w:color w:val="auto"/>
        </w:rPr>
        <w:t>exhaustiva y razonable en la Dirección de Desarrollo Urbano, en términos del artículo 162 de la Ley de Transparencia y Acceso a la Información Pública del Estado de México y Municipios, a efecto de que entregue</w:t>
      </w:r>
      <w:r w:rsidR="009E2E2A" w:rsidRPr="0059459D">
        <w:rPr>
          <w:color w:val="auto"/>
          <w:lang w:eastAsia="es-ES"/>
        </w:rPr>
        <w:t xml:space="preserve"> </w:t>
      </w:r>
      <w:r w:rsidR="009E2E2A" w:rsidRPr="0059459D">
        <w:rPr>
          <w:rFonts w:cs="Tahoma"/>
        </w:rPr>
        <w:t xml:space="preserve">las </w:t>
      </w:r>
      <w:r w:rsidR="004B27E7" w:rsidRPr="0059459D">
        <w:rPr>
          <w:rFonts w:cs="Tahoma"/>
        </w:rPr>
        <w:t>a</w:t>
      </w:r>
      <w:r w:rsidR="009E2E2A" w:rsidRPr="0059459D">
        <w:rPr>
          <w:rFonts w:cs="Tahoma"/>
        </w:rPr>
        <w:t>utorizaciones</w:t>
      </w:r>
      <w:r w:rsidR="00125F26" w:rsidRPr="0059459D">
        <w:rPr>
          <w:rFonts w:cs="Tahoma"/>
        </w:rPr>
        <w:t xml:space="preserve"> (dictámenes, licencias y permisos)</w:t>
      </w:r>
      <w:r w:rsidR="004B27E7" w:rsidRPr="0059459D">
        <w:rPr>
          <w:rFonts w:cs="Tahoma"/>
        </w:rPr>
        <w:t xml:space="preserve">, emitidas por Instituciones Municipales y Estatales, relacionadas con </w:t>
      </w:r>
      <w:r w:rsidR="009E2E2A" w:rsidRPr="0059459D">
        <w:rPr>
          <w:rFonts w:cs="Tahoma"/>
        </w:rPr>
        <w:t>el proyecto COSMOPOL, al catorce de octubre de dos mil veinticuatro; d</w:t>
      </w:r>
      <w:r w:rsidR="009E2E2A" w:rsidRPr="0059459D">
        <w:rPr>
          <w:rFonts w:eastAsia="Calibri" w:cs="Tahoma"/>
          <w:iCs/>
          <w:color w:val="auto"/>
          <w:lang w:eastAsia="es-ES_tradnl"/>
        </w:rPr>
        <w:t>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0DCB26F9" w14:textId="77777777" w:rsidR="009E2E2A" w:rsidRPr="0059459D" w:rsidRDefault="009E2E2A" w:rsidP="009E2E2A">
      <w:pPr>
        <w:spacing w:after="0" w:line="360" w:lineRule="auto"/>
        <w:rPr>
          <w:rFonts w:eastAsia="Calibri" w:cs="Times New Roman"/>
          <w:color w:val="FF0000"/>
        </w:rPr>
      </w:pPr>
    </w:p>
    <w:p w14:paraId="45A2E1BE" w14:textId="77777777" w:rsidR="009E2E2A" w:rsidRPr="0059459D" w:rsidRDefault="009E2E2A" w:rsidP="009E2E2A">
      <w:pPr>
        <w:spacing w:after="0" w:line="360" w:lineRule="auto"/>
        <w:rPr>
          <w:rFonts w:eastAsia="Calibri" w:cs="Times New Roman"/>
          <w:color w:val="auto"/>
        </w:rPr>
      </w:pPr>
      <w:r w:rsidRPr="0059459D">
        <w:rPr>
          <w:rFonts w:eastAsia="Calibri" w:cs="Times New Roman"/>
          <w:color w:val="auto"/>
        </w:rPr>
        <w:t xml:space="preserve">De esta manera, el derecho de acceso a la información pública se satisface en aquellos casos en que se entregue el soporte documental en el que conste la información solicitada, sin necesidad de elaborar documentos </w:t>
      </w:r>
      <w:r w:rsidRPr="0059459D">
        <w:rPr>
          <w:rFonts w:eastAsia="Calibri" w:cs="Times New Roman"/>
          <w:i/>
          <w:color w:val="auto"/>
        </w:rPr>
        <w:t>ad hoc</w:t>
      </w:r>
      <w:r w:rsidRPr="0059459D">
        <w:rPr>
          <w:rFonts w:eastAsia="Calibri" w:cs="Times New Roman"/>
          <w:color w:val="auto"/>
        </w:rPr>
        <w:t xml:space="preserve">; lo cual, de conformidad con en el artículo 160 de la Ley de Transparencia y Acceso a la Información Pública del Estado de México y </w:t>
      </w:r>
      <w:r w:rsidRPr="0059459D">
        <w:rPr>
          <w:rFonts w:eastAsia="Calibri" w:cs="Times New Roman"/>
          <w:color w:val="auto"/>
        </w:rPr>
        <w:lastRenderedPageBreak/>
        <w:t>Municipios, el cual refiere que los sujetos obligados deberán entregar la información que obre en sus archivos.</w:t>
      </w:r>
    </w:p>
    <w:p w14:paraId="12A3539F" w14:textId="77777777" w:rsidR="007041F9" w:rsidRPr="0059459D" w:rsidRDefault="007041F9" w:rsidP="009E2E2A">
      <w:pPr>
        <w:spacing w:after="0" w:line="360" w:lineRule="auto"/>
        <w:rPr>
          <w:rFonts w:eastAsia="Calibri" w:cs="Times New Roman"/>
          <w:color w:val="auto"/>
        </w:rPr>
      </w:pPr>
    </w:p>
    <w:p w14:paraId="14BB1436" w14:textId="2A6D972F" w:rsidR="009E2E2A" w:rsidRPr="0059459D" w:rsidRDefault="009E2E2A" w:rsidP="009E2E2A">
      <w:pPr>
        <w:spacing w:after="0" w:line="360" w:lineRule="auto"/>
        <w:rPr>
          <w:rFonts w:eastAsia="Times New Roman" w:cs="Tahoma"/>
          <w:color w:val="auto"/>
          <w:lang w:val="es-ES"/>
        </w:rPr>
      </w:pPr>
      <w:r w:rsidRPr="0059459D">
        <w:rPr>
          <w:rFonts w:eastAsia="Times New Roman" w:cs="Tahoma"/>
          <w:color w:val="auto"/>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w:t>
      </w:r>
      <w:r w:rsidR="004B27E7" w:rsidRPr="0059459D">
        <w:rPr>
          <w:rFonts w:eastAsia="Times New Roman" w:cs="Tahoma"/>
          <w:color w:val="auto"/>
          <w:lang w:val="es-ES"/>
        </w:rPr>
        <w:t>las licencias, permisos, dictámenes y cualquier tipo de autorización que obre en sus archivos relacionada con el proyecto COSMOPOL, además deberá señalar las vialidades que conforma dicho Conjunto Urbano Mixto, así como, las planeadas a la fecha de la solicitud.</w:t>
      </w:r>
    </w:p>
    <w:p w14:paraId="42F131E9" w14:textId="77777777" w:rsidR="004B27E7" w:rsidRPr="0059459D" w:rsidRDefault="004B27E7" w:rsidP="009E2E2A">
      <w:pPr>
        <w:spacing w:after="0" w:line="360" w:lineRule="auto"/>
        <w:rPr>
          <w:rFonts w:eastAsia="Times New Roman" w:cs="Tahoma"/>
          <w:color w:val="auto"/>
          <w:lang w:val="es-ES"/>
        </w:rPr>
      </w:pPr>
    </w:p>
    <w:p w14:paraId="408BA5D3" w14:textId="74B3A57F" w:rsidR="004B27E7" w:rsidRPr="0059459D" w:rsidRDefault="004B27E7" w:rsidP="009E2E2A">
      <w:pPr>
        <w:spacing w:after="0" w:line="360" w:lineRule="auto"/>
        <w:rPr>
          <w:rFonts w:eastAsia="Times New Roman" w:cs="Tahoma"/>
          <w:color w:val="auto"/>
          <w:lang w:val="es-ES"/>
        </w:rPr>
      </w:pPr>
      <w:r w:rsidRPr="0059459D">
        <w:rPr>
          <w:rFonts w:eastAsia="Times New Roman" w:cs="Tahoma"/>
          <w:color w:val="auto"/>
          <w:lang w:val="es-ES"/>
        </w:rPr>
        <w:t>Para el caso, de que a la fecha de la solicitud, no tenga planeadas vialidades nuevas para el Conjunto Urbano, deberá hacerlo del conocimiento de la parte Recurrente, de manera clara y precisa en términos del artículo 19, párrafo segundo, de la Ley de Transparencia y Acceso a la Información Pública del Estado de México y Municipios.</w:t>
      </w:r>
    </w:p>
    <w:p w14:paraId="68031B74" w14:textId="77777777" w:rsidR="009E2E2A" w:rsidRPr="0059459D" w:rsidRDefault="009E2E2A" w:rsidP="009E2E2A">
      <w:pPr>
        <w:widowControl w:val="0"/>
        <w:tabs>
          <w:tab w:val="center" w:pos="4522"/>
        </w:tabs>
        <w:spacing w:after="0" w:line="360" w:lineRule="auto"/>
        <w:rPr>
          <w:color w:val="auto"/>
        </w:rPr>
      </w:pPr>
    </w:p>
    <w:p w14:paraId="5A41280D" w14:textId="77777777" w:rsidR="009E2E2A" w:rsidRPr="0059459D" w:rsidRDefault="009E2E2A" w:rsidP="009E2E2A">
      <w:pPr>
        <w:spacing w:after="0" w:line="360" w:lineRule="auto"/>
        <w:rPr>
          <w:rFonts w:eastAsia="Calibri" w:cs="Times New Roman"/>
          <w:bCs/>
          <w:iCs/>
          <w:color w:val="000000"/>
          <w:lang w:val="es-ES"/>
        </w:rPr>
      </w:pPr>
      <w:r w:rsidRPr="0059459D">
        <w:rPr>
          <w:rFonts w:eastAsia="Calibri" w:cs="Times New Roman"/>
          <w:bCs/>
          <w:iCs/>
          <w:color w:val="000000"/>
        </w:rPr>
        <w:t>Finalmente, no pasa desapercibido para este Instituto que los documentos, pudieran contener datos o información clasificada; por lo que, en el supuesto, deberá elaborar la versión pública respectiva; a</w:t>
      </w:r>
      <w:r w:rsidRPr="0059459D">
        <w:rPr>
          <w:rFonts w:eastAsia="Calibri" w:cs="Times New Roman"/>
          <w:bCs/>
          <w:iCs/>
          <w:color w:val="000000"/>
          <w:lang w:val="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10AA5EAE" w14:textId="77777777" w:rsidR="009E2E2A" w:rsidRPr="0059459D" w:rsidRDefault="009E2E2A" w:rsidP="009E2E2A">
      <w:pPr>
        <w:spacing w:after="0" w:line="360" w:lineRule="auto"/>
        <w:rPr>
          <w:rFonts w:eastAsia="Calibri" w:cs="Times New Roman"/>
          <w:bCs/>
          <w:iCs/>
          <w:color w:val="000000"/>
          <w:lang w:val="es-ES"/>
        </w:rPr>
      </w:pPr>
    </w:p>
    <w:p w14:paraId="72FEF886" w14:textId="77777777" w:rsidR="009E2E2A" w:rsidRPr="0059459D" w:rsidRDefault="009E2E2A" w:rsidP="009E2E2A">
      <w:pPr>
        <w:spacing w:after="0" w:line="360" w:lineRule="auto"/>
        <w:rPr>
          <w:rFonts w:eastAsia="Calibri" w:cs="Times New Roman"/>
          <w:bCs/>
          <w:iCs/>
          <w:color w:val="000000"/>
          <w:lang w:val="es-ES"/>
        </w:rPr>
      </w:pPr>
      <w:r w:rsidRPr="0059459D">
        <w:rPr>
          <w:rFonts w:eastAsia="Calibri" w:cs="Times New Roman"/>
          <w:bCs/>
          <w:iCs/>
          <w:color w:val="000000"/>
          <w:lang w:val="es-E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D5E2BBA" w14:textId="5C6318F5" w:rsidR="007041F9" w:rsidRPr="0059459D" w:rsidRDefault="007041F9" w:rsidP="007041F9">
      <w:pPr>
        <w:autoSpaceDE w:val="0"/>
        <w:autoSpaceDN w:val="0"/>
        <w:adjustRightInd w:val="0"/>
        <w:spacing w:after="0" w:line="360" w:lineRule="auto"/>
        <w:rPr>
          <w:color w:val="000000"/>
        </w:rPr>
      </w:pPr>
    </w:p>
    <w:p w14:paraId="269E772A" w14:textId="77777777" w:rsidR="00023BBD" w:rsidRPr="0059459D" w:rsidRDefault="00023BBD" w:rsidP="00D42E23">
      <w:pPr>
        <w:spacing w:after="0" w:line="360" w:lineRule="auto"/>
        <w:contextualSpacing/>
        <w:rPr>
          <w:rFonts w:eastAsia="Calibri" w:cs="Tahoma"/>
          <w:b/>
        </w:rPr>
      </w:pPr>
      <w:r w:rsidRPr="0059459D">
        <w:rPr>
          <w:rFonts w:eastAsia="Calibri" w:cs="Tahoma"/>
          <w:b/>
        </w:rPr>
        <w:t>SEXTO. Decisión</w:t>
      </w:r>
    </w:p>
    <w:p w14:paraId="284E5323" w14:textId="77777777" w:rsidR="00023BBD" w:rsidRPr="0059459D" w:rsidRDefault="00023BBD" w:rsidP="00D42E23">
      <w:pPr>
        <w:spacing w:after="0" w:line="360" w:lineRule="auto"/>
        <w:contextualSpacing/>
        <w:rPr>
          <w:rFonts w:eastAsia="Calibri" w:cs="Tahoma"/>
          <w:b/>
        </w:rPr>
      </w:pPr>
    </w:p>
    <w:p w14:paraId="5FD82720" w14:textId="7F754B0F" w:rsidR="00023BBD" w:rsidRPr="0059459D" w:rsidRDefault="00023BBD" w:rsidP="00D42E23">
      <w:pPr>
        <w:spacing w:after="0" w:line="360" w:lineRule="auto"/>
      </w:pPr>
      <w:r w:rsidRPr="0059459D">
        <w:t xml:space="preserve">De acuerdo con lo expuesto y, con fundamento en el artículo 186, fracción III, de la Ley de Transparencia y Acceso a la Información Pública del Estado de México y Municipios, este Instituto considera procedente </w:t>
      </w:r>
      <w:r w:rsidRPr="0059459D">
        <w:rPr>
          <w:b/>
        </w:rPr>
        <w:t xml:space="preserve">REVOCAR </w:t>
      </w:r>
      <w:r w:rsidRPr="0059459D">
        <w:t xml:space="preserve">la respuesta del Ayuntamiento de </w:t>
      </w:r>
      <w:r w:rsidR="00992901" w:rsidRPr="0059459D">
        <w:t>Coacalco de Berriozábal</w:t>
      </w:r>
      <w:r w:rsidRPr="0059459D">
        <w:rPr>
          <w:b/>
        </w:rPr>
        <w:t xml:space="preserve">, </w:t>
      </w:r>
      <w:r w:rsidRPr="0059459D">
        <w:t>a efecto de que previa búsqueda exhaustiva y razonable entregue</w:t>
      </w:r>
      <w:r w:rsidR="00992901" w:rsidRPr="0059459D">
        <w:t>, en su caso en versión pública, la información solicitada.</w:t>
      </w:r>
    </w:p>
    <w:p w14:paraId="0261E66C" w14:textId="77777777" w:rsidR="00023BBD" w:rsidRPr="0059459D" w:rsidRDefault="00023BBD" w:rsidP="00D42E23">
      <w:pPr>
        <w:spacing w:after="0" w:line="360" w:lineRule="auto"/>
      </w:pPr>
    </w:p>
    <w:p w14:paraId="00D17104" w14:textId="77777777" w:rsidR="00023BBD" w:rsidRPr="0059459D" w:rsidRDefault="00023BBD" w:rsidP="00D42E23">
      <w:pPr>
        <w:spacing w:after="0" w:line="360" w:lineRule="auto"/>
        <w:contextualSpacing/>
        <w:rPr>
          <w:rFonts w:eastAsia="Calibri" w:cs="Tahoma"/>
          <w:b/>
          <w:bCs/>
        </w:rPr>
      </w:pPr>
      <w:r w:rsidRPr="0059459D">
        <w:rPr>
          <w:rFonts w:eastAsia="Calibri" w:cs="Tahoma"/>
          <w:b/>
          <w:bCs/>
        </w:rPr>
        <w:t>Términos de la Resolución para conocimiento del Particular</w:t>
      </w:r>
    </w:p>
    <w:p w14:paraId="7DE94745" w14:textId="77777777" w:rsidR="00023BBD" w:rsidRPr="0059459D" w:rsidRDefault="00023BBD" w:rsidP="00D42E23">
      <w:pPr>
        <w:spacing w:after="0" w:line="360" w:lineRule="auto"/>
        <w:contextualSpacing/>
        <w:rPr>
          <w:rFonts w:eastAsia="Calibri" w:cs="Tahoma"/>
          <w:b/>
          <w:bCs/>
        </w:rPr>
      </w:pPr>
    </w:p>
    <w:p w14:paraId="61C50A55" w14:textId="3C54F8C4" w:rsidR="00023BBD" w:rsidRPr="0059459D" w:rsidRDefault="00023BBD" w:rsidP="00D42E23">
      <w:pPr>
        <w:spacing w:after="0" w:line="360" w:lineRule="auto"/>
        <w:rPr>
          <w:color w:val="000000"/>
        </w:rPr>
      </w:pPr>
      <w:r w:rsidRPr="0059459D">
        <w:t xml:space="preserve">Se le hace del conocimiento a la persona Recurrente que, en el presente asunto, se le da la razón, pues </w:t>
      </w:r>
      <w:r w:rsidR="00992901" w:rsidRPr="0059459D">
        <w:t xml:space="preserve">el Sujeto Obligado, tanto en respuesta como en Informe Justificado, no le entregó la información que solicitó, por lo que, deberá hacer la entrega de la información solicitada. </w:t>
      </w:r>
      <w:r w:rsidRPr="0059459D">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4208C7A" w14:textId="77777777" w:rsidR="004B27E7" w:rsidRPr="0059459D" w:rsidRDefault="004B27E7" w:rsidP="00D42E23">
      <w:pPr>
        <w:spacing w:after="0" w:line="360" w:lineRule="auto"/>
      </w:pPr>
    </w:p>
    <w:p w14:paraId="718F7F5C" w14:textId="77777777" w:rsidR="00023BBD" w:rsidRPr="0059459D" w:rsidRDefault="00023BBD" w:rsidP="00D42E23">
      <w:pPr>
        <w:spacing w:after="0" w:line="360" w:lineRule="auto"/>
        <w:contextualSpacing/>
        <w:rPr>
          <w:rFonts w:eastAsia="Calibri"/>
        </w:rPr>
      </w:pPr>
      <w:r w:rsidRPr="0059459D">
        <w:rPr>
          <w:rFonts w:eastAsia="Calibri"/>
        </w:rPr>
        <w:t>Por lo expuesto y fundado, este Pleno:</w:t>
      </w:r>
    </w:p>
    <w:p w14:paraId="2915D3C0" w14:textId="77777777" w:rsidR="00023BBD" w:rsidRPr="0059459D" w:rsidRDefault="00023BBD" w:rsidP="00D42E23">
      <w:pPr>
        <w:spacing w:after="0" w:line="360" w:lineRule="auto"/>
        <w:contextualSpacing/>
        <w:rPr>
          <w:rFonts w:eastAsia="Calibri"/>
          <w:b/>
          <w:bCs/>
        </w:rPr>
      </w:pPr>
    </w:p>
    <w:p w14:paraId="456932CF" w14:textId="77777777" w:rsidR="00023BBD" w:rsidRPr="0059459D" w:rsidRDefault="00023BBD" w:rsidP="00D42E23">
      <w:pPr>
        <w:spacing w:after="0" w:line="360" w:lineRule="auto"/>
        <w:contextualSpacing/>
        <w:jc w:val="center"/>
        <w:rPr>
          <w:rFonts w:eastAsia="Calibri"/>
          <w:b/>
          <w:bCs/>
        </w:rPr>
      </w:pPr>
      <w:r w:rsidRPr="0059459D">
        <w:rPr>
          <w:rFonts w:eastAsia="Calibri"/>
          <w:b/>
          <w:bCs/>
        </w:rPr>
        <w:t>R E S U E L V E</w:t>
      </w:r>
    </w:p>
    <w:p w14:paraId="73A6414B" w14:textId="70A03A12" w:rsidR="00023BBD" w:rsidRPr="0059459D" w:rsidRDefault="00023BBD" w:rsidP="00D42E23">
      <w:pPr>
        <w:spacing w:after="0" w:line="360" w:lineRule="auto"/>
        <w:contextualSpacing/>
        <w:rPr>
          <w:bCs/>
        </w:rPr>
      </w:pPr>
      <w:r w:rsidRPr="0059459D">
        <w:rPr>
          <w:rFonts w:cs="Tahoma"/>
          <w:b/>
          <w:bCs/>
        </w:rPr>
        <w:lastRenderedPageBreak/>
        <w:t xml:space="preserve">PRIMERO. </w:t>
      </w:r>
      <w:r w:rsidRPr="0059459D">
        <w:rPr>
          <w:rFonts w:cs="Tahoma"/>
          <w:bCs/>
        </w:rPr>
        <w:t xml:space="preserve">Se </w:t>
      </w:r>
      <w:r w:rsidRPr="0059459D">
        <w:rPr>
          <w:rFonts w:cs="Tahoma"/>
          <w:b/>
          <w:bCs/>
        </w:rPr>
        <w:t xml:space="preserve">REVOCA </w:t>
      </w:r>
      <w:r w:rsidRPr="0059459D">
        <w:rPr>
          <w:rFonts w:cs="Tahoma"/>
          <w:bCs/>
        </w:rPr>
        <w:t>la respuesta entregada por el Ayuntamiento de</w:t>
      </w:r>
      <w:r w:rsidR="006059DA" w:rsidRPr="0059459D">
        <w:rPr>
          <w:rFonts w:cs="Tahoma"/>
          <w:bCs/>
        </w:rPr>
        <w:t xml:space="preserve"> </w:t>
      </w:r>
      <w:r w:rsidR="00992901" w:rsidRPr="0059459D">
        <w:rPr>
          <w:rFonts w:cs="Tahoma"/>
          <w:bCs/>
        </w:rPr>
        <w:t>Coacalco de Berriozábal</w:t>
      </w:r>
      <w:r w:rsidRPr="0059459D">
        <w:rPr>
          <w:rFonts w:cs="Tahoma"/>
          <w:bCs/>
        </w:rPr>
        <w:t>, a la solicitud de información</w:t>
      </w:r>
      <w:r w:rsidR="003D35DB" w:rsidRPr="0059459D">
        <w:t xml:space="preserve"> 00262/COACALCO/IP/2024</w:t>
      </w:r>
      <w:r w:rsidRPr="0059459D">
        <w:rPr>
          <w:bCs/>
        </w:rPr>
        <w:t xml:space="preserve">, por resultar </w:t>
      </w:r>
      <w:r w:rsidRPr="0059459D">
        <w:rPr>
          <w:b/>
          <w:bCs/>
        </w:rPr>
        <w:t>FUNDADAS</w:t>
      </w:r>
      <w:r w:rsidRPr="0059459D">
        <w:rPr>
          <w:rFonts w:cs="Tahoma"/>
          <w:b/>
          <w:bCs/>
        </w:rPr>
        <w:t xml:space="preserve"> </w:t>
      </w:r>
      <w:r w:rsidRPr="0059459D">
        <w:rPr>
          <w:rFonts w:eastAsia="Calibri" w:cs="Tahoma"/>
          <w:bCs/>
        </w:rPr>
        <w:t>las razones o motivos de inconformidad hechos valer por el Recurrente</w:t>
      </w:r>
      <w:r w:rsidRPr="0059459D">
        <w:rPr>
          <w:rFonts w:cs="Tahoma"/>
          <w:bCs/>
        </w:rPr>
        <w:t xml:space="preserve">, </w:t>
      </w:r>
      <w:r w:rsidRPr="0059459D">
        <w:rPr>
          <w:rFonts w:eastAsia="Calibri" w:cs="Tahoma"/>
          <w:bCs/>
        </w:rPr>
        <w:t>en términos de los considerandos QUINTO y SEXTO de la presente Resolución.</w:t>
      </w:r>
    </w:p>
    <w:p w14:paraId="4C23DF18" w14:textId="77777777" w:rsidR="00023BBD" w:rsidRPr="0059459D" w:rsidRDefault="00023BBD" w:rsidP="00D42E23">
      <w:pPr>
        <w:spacing w:after="0" w:line="360" w:lineRule="auto"/>
        <w:contextualSpacing/>
        <w:rPr>
          <w:rFonts w:eastAsia="Times New Roman" w:cs="Tahoma"/>
          <w:bCs/>
          <w:lang w:eastAsia="es-ES"/>
        </w:rPr>
      </w:pPr>
    </w:p>
    <w:p w14:paraId="17327782" w14:textId="5C7FE5E7" w:rsidR="00023BBD" w:rsidRPr="0059459D" w:rsidRDefault="00023BBD" w:rsidP="00D42E23">
      <w:pPr>
        <w:spacing w:after="0" w:line="360" w:lineRule="auto"/>
      </w:pPr>
      <w:r w:rsidRPr="0059459D">
        <w:rPr>
          <w:rFonts w:cs="Tahoma"/>
          <w:b/>
          <w:bCs/>
        </w:rPr>
        <w:t xml:space="preserve">SEGUNDO. </w:t>
      </w:r>
      <w:r w:rsidRPr="0059459D">
        <w:t xml:space="preserve">Se </w:t>
      </w:r>
      <w:r w:rsidRPr="0059459D">
        <w:rPr>
          <w:b/>
        </w:rPr>
        <w:t>ORDENA</w:t>
      </w:r>
      <w:r w:rsidRPr="0059459D">
        <w:t xml:space="preserve"> al Ente Recurrido</w:t>
      </w:r>
      <w:r w:rsidRPr="0059459D">
        <w:rPr>
          <w:b/>
        </w:rPr>
        <w:t xml:space="preserve">, </w:t>
      </w:r>
      <w:r w:rsidRPr="0059459D">
        <w:t xml:space="preserve">a efecto de que previa búsqueda exhaustiva y razonable, en los archivos de las unidades administrativas competentes, entregue a través del Sistema de Acceso a la Información Mexiquense (SAIMEX), en su caso, en versión pública, </w:t>
      </w:r>
      <w:r w:rsidR="004B27E7" w:rsidRPr="0059459D">
        <w:t>respecto al Conjunto Urbano Mixto “COSMOPOL”, los documentos con los que contara al catorce de octubre de dos mil veinticuatro, donde conste lo siguiente</w:t>
      </w:r>
      <w:r w:rsidRPr="0059459D">
        <w:t>:</w:t>
      </w:r>
    </w:p>
    <w:p w14:paraId="061F7D43" w14:textId="77777777" w:rsidR="00023BBD" w:rsidRPr="0059459D" w:rsidRDefault="00023BBD" w:rsidP="00D42E23">
      <w:pPr>
        <w:spacing w:after="0" w:line="360" w:lineRule="auto"/>
      </w:pPr>
    </w:p>
    <w:p w14:paraId="0CA14EA7" w14:textId="1A61C1F7" w:rsidR="004B27E7" w:rsidRPr="0059459D" w:rsidRDefault="003D35DB" w:rsidP="00D42E23">
      <w:pPr>
        <w:pStyle w:val="Prrafodelista"/>
        <w:widowControl w:val="0"/>
        <w:numPr>
          <w:ilvl w:val="0"/>
          <w:numId w:val="32"/>
        </w:numPr>
        <w:autoSpaceDE w:val="0"/>
        <w:autoSpaceDN w:val="0"/>
        <w:adjustRightInd w:val="0"/>
        <w:spacing w:line="360" w:lineRule="auto"/>
        <w:rPr>
          <w:color w:val="000000"/>
        </w:rPr>
      </w:pPr>
      <w:r w:rsidRPr="0059459D">
        <w:rPr>
          <w:rFonts w:cs="Tahoma"/>
        </w:rPr>
        <w:t xml:space="preserve">Las </w:t>
      </w:r>
      <w:r w:rsidR="004B27E7" w:rsidRPr="0059459D">
        <w:rPr>
          <w:rFonts w:cs="Tahoma"/>
        </w:rPr>
        <w:t xml:space="preserve">autorizaciones emitidas por </w:t>
      </w:r>
      <w:r w:rsidR="009530A6">
        <w:rPr>
          <w:rFonts w:cs="Tahoma"/>
        </w:rPr>
        <w:t>autoridades</w:t>
      </w:r>
      <w:r w:rsidR="004B27E7" w:rsidRPr="0059459D">
        <w:rPr>
          <w:rFonts w:cs="Tahoma"/>
        </w:rPr>
        <w:t xml:space="preserve"> Municipales y Estatales;</w:t>
      </w:r>
    </w:p>
    <w:p w14:paraId="4C1C0EFF" w14:textId="73ECF914" w:rsidR="004B27E7" w:rsidRPr="0059459D" w:rsidRDefault="004B27E7" w:rsidP="00D42E23">
      <w:pPr>
        <w:pStyle w:val="Prrafodelista"/>
        <w:widowControl w:val="0"/>
        <w:numPr>
          <w:ilvl w:val="0"/>
          <w:numId w:val="32"/>
        </w:numPr>
        <w:autoSpaceDE w:val="0"/>
        <w:autoSpaceDN w:val="0"/>
        <w:adjustRightInd w:val="0"/>
        <w:spacing w:line="360" w:lineRule="auto"/>
        <w:rPr>
          <w:color w:val="000000"/>
        </w:rPr>
      </w:pPr>
      <w:r w:rsidRPr="0059459D">
        <w:rPr>
          <w:rFonts w:cs="Tahoma"/>
        </w:rPr>
        <w:t>Las vialidades que</w:t>
      </w:r>
      <w:r w:rsidR="002822A3" w:rsidRPr="0059459D">
        <w:rPr>
          <w:rFonts w:cs="Tahoma"/>
        </w:rPr>
        <w:t xml:space="preserve"> lo</w:t>
      </w:r>
      <w:r w:rsidRPr="0059459D">
        <w:rPr>
          <w:rFonts w:cs="Tahoma"/>
        </w:rPr>
        <w:t xml:space="preserve"> conforman</w:t>
      </w:r>
      <w:r w:rsidR="002822A3" w:rsidRPr="0059459D">
        <w:rPr>
          <w:rFonts w:cs="Tahoma"/>
        </w:rPr>
        <w:t>, y</w:t>
      </w:r>
    </w:p>
    <w:p w14:paraId="20155F71" w14:textId="651C7178" w:rsidR="002822A3" w:rsidRPr="0059459D" w:rsidRDefault="002822A3" w:rsidP="00D42E23">
      <w:pPr>
        <w:pStyle w:val="Prrafodelista"/>
        <w:widowControl w:val="0"/>
        <w:numPr>
          <w:ilvl w:val="0"/>
          <w:numId w:val="32"/>
        </w:numPr>
        <w:autoSpaceDE w:val="0"/>
        <w:autoSpaceDN w:val="0"/>
        <w:adjustRightInd w:val="0"/>
        <w:spacing w:line="360" w:lineRule="auto"/>
        <w:rPr>
          <w:color w:val="000000"/>
        </w:rPr>
      </w:pPr>
      <w:r w:rsidRPr="0059459D">
        <w:rPr>
          <w:rFonts w:cs="Tahoma"/>
        </w:rPr>
        <w:t>Las vialidades planeadas.</w:t>
      </w:r>
    </w:p>
    <w:p w14:paraId="0FCDA5E6" w14:textId="77777777" w:rsidR="004B27E7" w:rsidRPr="0059459D" w:rsidRDefault="004B27E7" w:rsidP="00D42E23">
      <w:pPr>
        <w:spacing w:after="0" w:line="360" w:lineRule="auto"/>
        <w:rPr>
          <w:color w:val="000000"/>
        </w:rPr>
      </w:pPr>
    </w:p>
    <w:p w14:paraId="78647369" w14:textId="6E56B794" w:rsidR="00023BBD" w:rsidRPr="0059459D" w:rsidRDefault="00023BBD" w:rsidP="00D42E23">
      <w:pPr>
        <w:spacing w:after="0" w:line="360" w:lineRule="auto"/>
        <w:rPr>
          <w:rFonts w:cs="Tahoma"/>
          <w:bCs/>
          <w:iCs/>
          <w:lang w:eastAsia="es-ES"/>
        </w:rPr>
      </w:pPr>
      <w:r w:rsidRPr="0059459D">
        <w:rPr>
          <w:color w:val="000000"/>
        </w:rPr>
        <w:t xml:space="preserve">Además, </w:t>
      </w:r>
      <w:r w:rsidR="006059DA" w:rsidRPr="0059459D">
        <w:rPr>
          <w:color w:val="000000"/>
        </w:rPr>
        <w:t xml:space="preserve">de ser necesario, </w:t>
      </w:r>
      <w:r w:rsidR="006059DA" w:rsidRPr="0059459D">
        <w:rPr>
          <w:rFonts w:cs="Tahoma"/>
          <w:bCs/>
          <w:iCs/>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54A6FCDD" w14:textId="77777777" w:rsidR="00023BBD" w:rsidRPr="0059459D" w:rsidRDefault="00023BBD" w:rsidP="00D42E23">
      <w:pPr>
        <w:spacing w:after="0" w:line="360" w:lineRule="auto"/>
        <w:ind w:right="-91"/>
        <w:contextualSpacing/>
        <w:rPr>
          <w:rFonts w:eastAsia="Calibri" w:cs="Tahoma"/>
          <w:b/>
          <w:bCs/>
        </w:rPr>
      </w:pPr>
    </w:p>
    <w:p w14:paraId="3DB2EB56" w14:textId="7F2AD586" w:rsidR="002822A3" w:rsidRPr="0059459D" w:rsidRDefault="002822A3" w:rsidP="00D42E23">
      <w:pPr>
        <w:spacing w:after="0" w:line="360" w:lineRule="auto"/>
        <w:ind w:right="-91"/>
        <w:contextualSpacing/>
        <w:rPr>
          <w:rFonts w:eastAsia="Calibri" w:cs="Tahoma"/>
        </w:rPr>
      </w:pPr>
      <w:r w:rsidRPr="0059459D">
        <w:rPr>
          <w:rFonts w:eastAsia="Calibri" w:cs="Tahoma"/>
        </w:rPr>
        <w:t>Para el caso, de que a la fecha de la solicitud no existieran nuevas vialidades planeadas, deberá hacerlo del conocimiento de la parte Recurrente, de manera clara y precisa.</w:t>
      </w:r>
    </w:p>
    <w:p w14:paraId="2496561D" w14:textId="77777777" w:rsidR="002822A3" w:rsidRPr="0059459D" w:rsidRDefault="002822A3" w:rsidP="00D42E23">
      <w:pPr>
        <w:spacing w:after="0" w:line="360" w:lineRule="auto"/>
        <w:ind w:right="-91"/>
        <w:contextualSpacing/>
        <w:rPr>
          <w:rFonts w:eastAsia="Calibri" w:cs="Tahoma"/>
          <w:b/>
          <w:bCs/>
        </w:rPr>
      </w:pPr>
    </w:p>
    <w:p w14:paraId="253F8D91" w14:textId="51D49033" w:rsidR="00023BBD" w:rsidRPr="0059459D" w:rsidRDefault="00023BBD" w:rsidP="00D42E23">
      <w:pPr>
        <w:spacing w:after="0" w:line="360" w:lineRule="auto"/>
        <w:ind w:right="-28"/>
        <w:contextualSpacing/>
        <w:rPr>
          <w:rFonts w:cs="Tahoma"/>
          <w:b/>
          <w:iCs/>
        </w:rPr>
      </w:pPr>
      <w:r w:rsidRPr="0059459D">
        <w:rPr>
          <w:rFonts w:eastAsia="Calibri" w:cs="Tahoma"/>
          <w:b/>
          <w:bCs/>
        </w:rPr>
        <w:t xml:space="preserve">TERCERO. </w:t>
      </w:r>
      <w:r w:rsidRPr="0059459D">
        <w:rPr>
          <w:rFonts w:cs="Tahoma"/>
          <w:b/>
          <w:bCs/>
          <w:iCs/>
        </w:rPr>
        <w:t>NOTIFÍQUESE</w:t>
      </w:r>
      <w:r w:rsidR="00006A45" w:rsidRPr="0059459D">
        <w:rPr>
          <w:rFonts w:cs="Tahoma"/>
          <w:b/>
          <w:bCs/>
          <w:iCs/>
        </w:rPr>
        <w:t xml:space="preserve"> POR SAIMEX</w:t>
      </w:r>
      <w:r w:rsidRPr="0059459D">
        <w:rPr>
          <w:rFonts w:cs="Tahoma"/>
          <w:b/>
          <w:bCs/>
          <w:iCs/>
        </w:rPr>
        <w:t xml:space="preserve"> </w:t>
      </w:r>
      <w:r w:rsidRPr="0059459D">
        <w:rPr>
          <w:rFonts w:cs="Tahoma"/>
          <w:bCs/>
          <w:iCs/>
        </w:rPr>
        <w:t xml:space="preserve">la presente resolución al Titular de la Unidad de Transparencia del Sujeto Obligado, para que conforme al artículo 186, último párrafo, 189, </w:t>
      </w:r>
      <w:r w:rsidRPr="0059459D">
        <w:rPr>
          <w:rFonts w:cs="Tahoma"/>
          <w:bCs/>
          <w:iCs/>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226C101" w14:textId="77777777" w:rsidR="00023BBD" w:rsidRPr="0059459D" w:rsidRDefault="00023BBD" w:rsidP="00D42E23">
      <w:pPr>
        <w:spacing w:after="0" w:line="360" w:lineRule="auto"/>
        <w:ind w:right="-28"/>
        <w:contextualSpacing/>
        <w:rPr>
          <w:rFonts w:eastAsia="Calibri" w:cs="Tahoma"/>
          <w:color w:val="000000"/>
          <w:lang w:val="es-ES"/>
        </w:rPr>
      </w:pPr>
    </w:p>
    <w:p w14:paraId="73C70838" w14:textId="31E188FB" w:rsidR="00023BBD" w:rsidRPr="0059459D" w:rsidRDefault="00023BBD" w:rsidP="00D42E23">
      <w:pPr>
        <w:spacing w:after="0" w:line="360" w:lineRule="auto"/>
        <w:contextualSpacing/>
        <w:rPr>
          <w:rFonts w:eastAsia="Calibri" w:cs="Tahoma"/>
          <w:iCs/>
          <w:color w:val="000000"/>
        </w:rPr>
      </w:pPr>
      <w:r w:rsidRPr="0059459D">
        <w:rPr>
          <w:rFonts w:eastAsia="Calibri" w:cs="Tahoma"/>
          <w:iCs/>
          <w:color w:val="000000"/>
        </w:rPr>
        <w:t xml:space="preserve">De conformidad con el artículo 198 de la Ley </w:t>
      </w:r>
      <w:r w:rsidR="002822A3" w:rsidRPr="0059459D">
        <w:rPr>
          <w:rFonts w:eastAsia="Calibri" w:cs="Tahoma"/>
          <w:iCs/>
          <w:color w:val="000000"/>
        </w:rPr>
        <w:t>de la materia</w:t>
      </w:r>
      <w:r w:rsidRPr="0059459D">
        <w:rPr>
          <w:rFonts w:eastAsia="Calibri" w:cs="Tahoma"/>
          <w:iCs/>
          <w:color w:val="000000"/>
        </w:rPr>
        <w:t>, de considerarlo procedente, el Sujeto Obligado de manera fundada y motivada, podrá solicitar una ampliación de plazo para el cumplimiento de la presente resolución.</w:t>
      </w:r>
    </w:p>
    <w:p w14:paraId="359349C6" w14:textId="77777777" w:rsidR="00023BBD" w:rsidRPr="0059459D" w:rsidRDefault="00023BBD" w:rsidP="00D42E23">
      <w:pPr>
        <w:spacing w:after="0" w:line="360" w:lineRule="auto"/>
        <w:contextualSpacing/>
        <w:rPr>
          <w:rFonts w:eastAsia="Calibri" w:cs="Tahoma"/>
          <w:color w:val="000000"/>
          <w:lang w:val="es-ES"/>
        </w:rPr>
      </w:pPr>
    </w:p>
    <w:p w14:paraId="6E820D77" w14:textId="79DF8AD1" w:rsidR="00023BBD" w:rsidRPr="0059459D" w:rsidRDefault="00023BBD" w:rsidP="00D42E23">
      <w:pPr>
        <w:spacing w:after="0" w:line="360" w:lineRule="auto"/>
        <w:contextualSpacing/>
        <w:rPr>
          <w:rFonts w:eastAsia="Times New Roman" w:cs="Tahoma"/>
          <w:lang w:eastAsia="es-ES"/>
        </w:rPr>
      </w:pPr>
      <w:r w:rsidRPr="0059459D">
        <w:rPr>
          <w:rFonts w:eastAsia="Calibri" w:cs="Tahoma"/>
          <w:b/>
        </w:rPr>
        <w:t>CUARTO</w:t>
      </w:r>
      <w:r w:rsidRPr="0059459D">
        <w:rPr>
          <w:rFonts w:eastAsia="Calibri" w:cs="Tahoma"/>
          <w:b/>
          <w:bCs/>
        </w:rPr>
        <w:t xml:space="preserve">. </w:t>
      </w:r>
      <w:r w:rsidRPr="0059459D">
        <w:rPr>
          <w:rFonts w:cs="Tahoma"/>
          <w:b/>
        </w:rPr>
        <w:t>NOTIFÍQUESE</w:t>
      </w:r>
      <w:r w:rsidR="00006A45" w:rsidRPr="0059459D">
        <w:rPr>
          <w:rFonts w:cs="Tahoma"/>
          <w:b/>
        </w:rPr>
        <w:t xml:space="preserve"> POR SAIMEX</w:t>
      </w:r>
      <w:r w:rsidRPr="0059459D">
        <w:rPr>
          <w:rFonts w:cs="Tahoma"/>
        </w:rPr>
        <w:t xml:space="preserve"> a</w:t>
      </w:r>
      <w:r w:rsidR="00006A45" w:rsidRPr="0059459D">
        <w:rPr>
          <w:rFonts w:cs="Tahoma"/>
        </w:rPr>
        <w:t xml:space="preserve"> la persona</w:t>
      </w:r>
      <w:r w:rsidRPr="0059459D">
        <w:rPr>
          <w:rFonts w:cs="Tahoma"/>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E4B7496" w14:textId="77777777" w:rsidR="00023BBD" w:rsidRPr="0059459D" w:rsidRDefault="00023BBD" w:rsidP="00D42E23">
      <w:pPr>
        <w:spacing w:after="0" w:line="360" w:lineRule="auto"/>
        <w:contextualSpacing/>
        <w:rPr>
          <w:rFonts w:cs="Arial"/>
          <w:b/>
          <w:bCs/>
        </w:rPr>
      </w:pPr>
    </w:p>
    <w:p w14:paraId="26916C77" w14:textId="4F0C0C92" w:rsidR="00A37EDE" w:rsidRPr="000C5D09" w:rsidRDefault="00023BBD" w:rsidP="00D42E23">
      <w:pPr>
        <w:spacing w:after="0" w:line="360" w:lineRule="auto"/>
        <w:contextualSpacing/>
        <w:rPr>
          <w:rFonts w:cs="Tahoma"/>
          <w:b/>
          <w:bCs/>
        </w:rPr>
      </w:pPr>
      <w:r w:rsidRPr="0059459D">
        <w:rPr>
          <w:rFonts w:eastAsia="Calibri" w:cs="Tahoma"/>
          <w:bCs/>
        </w:rPr>
        <w:t>ASÍ LO RESUELVE, POR </w:t>
      </w:r>
      <w:r w:rsidRPr="0059459D">
        <w:rPr>
          <w:rFonts w:eastAsia="Calibri" w:cs="Tahoma"/>
          <w:b/>
          <w:bCs/>
        </w:rPr>
        <w:t>UNANIMIDAD</w:t>
      </w:r>
      <w:r w:rsidRPr="0059459D">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4320C" w:rsidRPr="0059459D">
        <w:rPr>
          <w:rFonts w:eastAsia="Calibri" w:cs="Tahoma"/>
          <w:bCs/>
        </w:rPr>
        <w:t>CUADRAGÉSIMA</w:t>
      </w:r>
      <w:r w:rsidR="003D35DB" w:rsidRPr="0059459D">
        <w:rPr>
          <w:rFonts w:eastAsia="Calibri" w:cs="Tahoma"/>
          <w:bCs/>
        </w:rPr>
        <w:t xml:space="preserve"> SEGUNDA</w:t>
      </w:r>
      <w:r w:rsidRPr="0059459D">
        <w:rPr>
          <w:rFonts w:eastAsia="Calibri" w:cs="Tahoma"/>
          <w:bCs/>
        </w:rPr>
        <w:t xml:space="preserve"> SESIÓN ORDINARIA, CELEBRADA EL </w:t>
      </w:r>
      <w:r w:rsidR="003D35DB" w:rsidRPr="0059459D">
        <w:rPr>
          <w:rFonts w:eastAsia="Calibri" w:cs="Tahoma"/>
          <w:bCs/>
        </w:rPr>
        <w:t>CUATRO DE DICIEMBRE</w:t>
      </w:r>
      <w:r w:rsidR="00006A45" w:rsidRPr="0059459D">
        <w:rPr>
          <w:rFonts w:eastAsia="Calibri" w:cs="Tahoma"/>
          <w:bCs/>
        </w:rPr>
        <w:t xml:space="preserve"> </w:t>
      </w:r>
      <w:r w:rsidRPr="0059459D">
        <w:rPr>
          <w:rFonts w:eastAsia="Calibri" w:cs="Tahoma"/>
          <w:bCs/>
        </w:rPr>
        <w:t>DE DOS MIL VEINTICUATRO, ANTE EL SECRETARIO TÉCNICO DEL PLENO, ALEXIS TAPIA RAMÍREZ.</w:t>
      </w:r>
      <w:bookmarkStart w:id="3" w:name="_GoBack"/>
      <w:bookmarkEnd w:id="3"/>
    </w:p>
    <w:sectPr w:rsidR="00A37EDE" w:rsidRPr="000C5D09" w:rsidSect="000B49C4">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835F7" w14:textId="77777777" w:rsidR="00200738" w:rsidRDefault="00200738">
      <w:pPr>
        <w:spacing w:after="0" w:line="240" w:lineRule="auto"/>
      </w:pPr>
      <w:r>
        <w:separator/>
      </w:r>
    </w:p>
  </w:endnote>
  <w:endnote w:type="continuationSeparator" w:id="0">
    <w:p w14:paraId="4AF068F3" w14:textId="77777777" w:rsidR="00200738" w:rsidRDefault="0020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96035">
      <w:rPr>
        <w:b/>
        <w:noProof/>
        <w:color w:val="000000"/>
        <w:sz w:val="24"/>
        <w:szCs w:val="24"/>
      </w:rPr>
      <w:t>24</w:t>
    </w:r>
    <w:r>
      <w:rPr>
        <w:b/>
        <w:color w:val="000000"/>
        <w:sz w:val="24"/>
        <w:szCs w:val="24"/>
      </w:rPr>
      <w:fldChar w:fldCharType="end"/>
    </w:r>
  </w:p>
  <w:p w14:paraId="7EB9860B"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C5D09">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C5D09">
      <w:rPr>
        <w:b/>
        <w:noProof/>
        <w:color w:val="000000"/>
        <w:sz w:val="24"/>
        <w:szCs w:val="24"/>
      </w:rPr>
      <w:t>23</w:t>
    </w:r>
    <w:r>
      <w:rPr>
        <w:b/>
        <w:color w:val="000000"/>
        <w:sz w:val="24"/>
        <w:szCs w:val="24"/>
      </w:rPr>
      <w:fldChar w:fldCharType="end"/>
    </w:r>
  </w:p>
  <w:p w14:paraId="0D7FA8D9"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C5D0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C5D09">
      <w:rPr>
        <w:b/>
        <w:noProof/>
        <w:color w:val="000000"/>
        <w:sz w:val="24"/>
        <w:szCs w:val="24"/>
      </w:rPr>
      <w:t>24</w:t>
    </w:r>
    <w:r>
      <w:rPr>
        <w:b/>
        <w:color w:val="000000"/>
        <w:sz w:val="24"/>
        <w:szCs w:val="24"/>
      </w:rPr>
      <w:fldChar w:fldCharType="end"/>
    </w:r>
  </w:p>
  <w:p w14:paraId="6796AF5F"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89034" w14:textId="77777777" w:rsidR="00200738" w:rsidRDefault="00200738">
      <w:pPr>
        <w:spacing w:after="0" w:line="240" w:lineRule="auto"/>
      </w:pPr>
      <w:r>
        <w:separator/>
      </w:r>
    </w:p>
  </w:footnote>
  <w:footnote w:type="continuationSeparator" w:id="0">
    <w:p w14:paraId="4E5BA92F" w14:textId="77777777" w:rsidR="00200738" w:rsidRDefault="00200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384E94" w:rsidRDefault="00384E94">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384E94" w14:paraId="10C29E94" w14:textId="77777777">
      <w:trPr>
        <w:trHeight w:val="132"/>
      </w:trPr>
      <w:tc>
        <w:tcPr>
          <w:tcW w:w="2691" w:type="dxa"/>
        </w:tcPr>
        <w:p w14:paraId="7D85A4B8" w14:textId="77777777" w:rsidR="00384E94" w:rsidRDefault="00384E94">
          <w:pPr>
            <w:tabs>
              <w:tab w:val="right" w:pos="8838"/>
            </w:tabs>
            <w:ind w:right="-105"/>
            <w:rPr>
              <w:b/>
            </w:rPr>
          </w:pPr>
          <w:r>
            <w:rPr>
              <w:b/>
            </w:rPr>
            <w:t>Recurso de Revisión:</w:t>
          </w:r>
        </w:p>
      </w:tc>
      <w:tc>
        <w:tcPr>
          <w:tcW w:w="3405" w:type="dxa"/>
        </w:tcPr>
        <w:p w14:paraId="0B0D1A9D" w14:textId="77777777" w:rsidR="00384E94" w:rsidRDefault="00384E94">
          <w:pPr>
            <w:tabs>
              <w:tab w:val="right" w:pos="8838"/>
            </w:tabs>
            <w:ind w:left="-28" w:right="-32"/>
          </w:pPr>
          <w:r>
            <w:t>03846/INFOEM/IP/RR/2020</w:t>
          </w:r>
        </w:p>
      </w:tc>
    </w:tr>
    <w:tr w:rsidR="00384E94" w14:paraId="2F47AC72" w14:textId="77777777">
      <w:trPr>
        <w:trHeight w:val="261"/>
      </w:trPr>
      <w:tc>
        <w:tcPr>
          <w:tcW w:w="2691" w:type="dxa"/>
        </w:tcPr>
        <w:p w14:paraId="154A4752" w14:textId="77777777" w:rsidR="00384E94" w:rsidRDefault="00384E94">
          <w:pPr>
            <w:tabs>
              <w:tab w:val="right" w:pos="8838"/>
            </w:tabs>
            <w:ind w:right="-105"/>
            <w:rPr>
              <w:b/>
            </w:rPr>
          </w:pPr>
          <w:r>
            <w:rPr>
              <w:b/>
            </w:rPr>
            <w:t>Sujeto Obligado:</w:t>
          </w:r>
        </w:p>
      </w:tc>
      <w:tc>
        <w:tcPr>
          <w:tcW w:w="3405" w:type="dxa"/>
        </w:tcPr>
        <w:p w14:paraId="5D9EC711" w14:textId="77777777" w:rsidR="00384E94" w:rsidRDefault="00384E94">
          <w:pPr>
            <w:tabs>
              <w:tab w:val="right" w:pos="8838"/>
            </w:tabs>
            <w:ind w:right="-32"/>
          </w:pPr>
          <w:r>
            <w:t>Ayuntamiento de Temascalcingo</w:t>
          </w:r>
        </w:p>
      </w:tc>
    </w:tr>
    <w:tr w:rsidR="00384E94" w14:paraId="11FBB450" w14:textId="77777777">
      <w:trPr>
        <w:trHeight w:val="261"/>
      </w:trPr>
      <w:tc>
        <w:tcPr>
          <w:tcW w:w="2691" w:type="dxa"/>
        </w:tcPr>
        <w:p w14:paraId="6BAF6003" w14:textId="77777777" w:rsidR="00384E94" w:rsidRDefault="00384E94">
          <w:pPr>
            <w:tabs>
              <w:tab w:val="right" w:pos="8838"/>
            </w:tabs>
            <w:ind w:right="-105"/>
            <w:rPr>
              <w:b/>
            </w:rPr>
          </w:pPr>
          <w:r>
            <w:rPr>
              <w:b/>
            </w:rPr>
            <w:t>Comisionado Ponente:</w:t>
          </w:r>
        </w:p>
      </w:tc>
      <w:tc>
        <w:tcPr>
          <w:tcW w:w="3405" w:type="dxa"/>
        </w:tcPr>
        <w:p w14:paraId="420341AF" w14:textId="77777777" w:rsidR="00384E94" w:rsidRDefault="00384E94">
          <w:pPr>
            <w:tabs>
              <w:tab w:val="right" w:pos="8838"/>
            </w:tabs>
            <w:ind w:right="-32"/>
            <w:rPr>
              <w:b/>
            </w:rPr>
          </w:pPr>
          <w:r>
            <w:t>Luis Gustavo Parra Noriega</w:t>
          </w:r>
        </w:p>
      </w:tc>
    </w:tr>
  </w:tbl>
  <w:p w14:paraId="00411D75" w14:textId="77777777" w:rsidR="00384E94" w:rsidRDefault="00200738">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384E94" w:rsidRDefault="00200738">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384E94" w14:paraId="40D5D5A3" w14:textId="77777777" w:rsidTr="007B4717">
      <w:trPr>
        <w:trHeight w:val="138"/>
      </w:trPr>
      <w:tc>
        <w:tcPr>
          <w:tcW w:w="2693" w:type="dxa"/>
          <w:vAlign w:val="center"/>
        </w:tcPr>
        <w:p w14:paraId="43377EBE" w14:textId="77777777" w:rsidR="00384E94" w:rsidRDefault="00384E94" w:rsidP="008C266D">
          <w:pPr>
            <w:tabs>
              <w:tab w:val="right" w:pos="8838"/>
            </w:tabs>
            <w:ind w:left="-108" w:right="-105"/>
            <w:jc w:val="left"/>
            <w:rPr>
              <w:b/>
            </w:rPr>
          </w:pPr>
        </w:p>
        <w:p w14:paraId="1DB5C8D0" w14:textId="7E98B3D2" w:rsidR="00384E94" w:rsidRDefault="00384E94" w:rsidP="008C266D">
          <w:pPr>
            <w:tabs>
              <w:tab w:val="right" w:pos="8838"/>
            </w:tabs>
            <w:ind w:left="-108" w:right="-105"/>
            <w:jc w:val="left"/>
            <w:rPr>
              <w:b/>
            </w:rPr>
          </w:pPr>
          <w:r>
            <w:rPr>
              <w:b/>
            </w:rPr>
            <w:t>Recurso de Revisión:</w:t>
          </w:r>
        </w:p>
      </w:tc>
      <w:tc>
        <w:tcPr>
          <w:tcW w:w="3969" w:type="dxa"/>
        </w:tcPr>
        <w:p w14:paraId="5BCC69C4" w14:textId="77777777" w:rsidR="00384E94" w:rsidRPr="00EF0C39" w:rsidRDefault="00384E94" w:rsidP="008C266D">
          <w:pPr>
            <w:tabs>
              <w:tab w:val="right" w:pos="8838"/>
            </w:tabs>
            <w:ind w:right="57"/>
          </w:pPr>
        </w:p>
        <w:p w14:paraId="61E59D71" w14:textId="1884B582" w:rsidR="00384E94" w:rsidRPr="00EF0C39" w:rsidRDefault="007B4717" w:rsidP="008C266D">
          <w:pPr>
            <w:tabs>
              <w:tab w:val="right" w:pos="8838"/>
            </w:tabs>
            <w:ind w:right="57"/>
          </w:pPr>
          <w:r>
            <w:t>07086</w:t>
          </w:r>
          <w:r w:rsidR="00026C6B" w:rsidRPr="00026C6B">
            <w:t>/INFOEM/IP/RR/202</w:t>
          </w:r>
          <w:r w:rsidR="00BB6693">
            <w:t>4</w:t>
          </w:r>
        </w:p>
      </w:tc>
    </w:tr>
    <w:tr w:rsidR="00384E94" w14:paraId="7A281F30" w14:textId="77777777" w:rsidTr="007B4717">
      <w:trPr>
        <w:trHeight w:val="273"/>
      </w:trPr>
      <w:tc>
        <w:tcPr>
          <w:tcW w:w="2693" w:type="dxa"/>
        </w:tcPr>
        <w:p w14:paraId="6671A308" w14:textId="77777777" w:rsidR="00384E94" w:rsidRDefault="00384E94" w:rsidP="008C266D">
          <w:pPr>
            <w:tabs>
              <w:tab w:val="right" w:pos="8838"/>
            </w:tabs>
            <w:ind w:left="-108" w:right="-105"/>
            <w:rPr>
              <w:b/>
            </w:rPr>
          </w:pPr>
          <w:r>
            <w:rPr>
              <w:b/>
            </w:rPr>
            <w:t>Sujeto Obligado:</w:t>
          </w:r>
        </w:p>
      </w:tc>
      <w:tc>
        <w:tcPr>
          <w:tcW w:w="3969" w:type="dxa"/>
        </w:tcPr>
        <w:p w14:paraId="30885B6D" w14:textId="4D4B0C2E" w:rsidR="00384E94" w:rsidRPr="00EF0C39" w:rsidRDefault="00705FBB" w:rsidP="007B4717">
          <w:pPr>
            <w:tabs>
              <w:tab w:val="right" w:pos="8838"/>
            </w:tabs>
            <w:ind w:right="180"/>
          </w:pPr>
          <w:r>
            <w:t>Ayuntamiento de</w:t>
          </w:r>
          <w:r w:rsidR="007B4717">
            <w:t xml:space="preserve"> Coacalco de Berriozábal</w:t>
          </w:r>
        </w:p>
      </w:tc>
    </w:tr>
    <w:tr w:rsidR="00384E94" w14:paraId="00C22F2F" w14:textId="77777777" w:rsidTr="007B4717">
      <w:trPr>
        <w:trHeight w:val="273"/>
      </w:trPr>
      <w:tc>
        <w:tcPr>
          <w:tcW w:w="2693" w:type="dxa"/>
        </w:tcPr>
        <w:p w14:paraId="70417649" w14:textId="77777777" w:rsidR="00384E94" w:rsidRDefault="00384E94" w:rsidP="008C266D">
          <w:pPr>
            <w:tabs>
              <w:tab w:val="right" w:pos="8838"/>
            </w:tabs>
            <w:ind w:left="-108" w:right="-105"/>
            <w:rPr>
              <w:b/>
            </w:rPr>
          </w:pPr>
          <w:r>
            <w:rPr>
              <w:b/>
            </w:rPr>
            <w:t>Comisionado Ponente:</w:t>
          </w:r>
        </w:p>
      </w:tc>
      <w:tc>
        <w:tcPr>
          <w:tcW w:w="3969" w:type="dxa"/>
        </w:tcPr>
        <w:p w14:paraId="5E6EB38B" w14:textId="77777777" w:rsidR="00384E94" w:rsidRPr="00EF0C39" w:rsidRDefault="00384E94" w:rsidP="008C266D">
          <w:pPr>
            <w:tabs>
              <w:tab w:val="right" w:pos="8838"/>
            </w:tabs>
            <w:ind w:right="-170"/>
          </w:pPr>
          <w:r w:rsidRPr="00EF0C39">
            <w:t>Luis Gustavo Parra Noriega</w:t>
          </w:r>
        </w:p>
        <w:p w14:paraId="1A63C67B" w14:textId="77777777" w:rsidR="00384E94" w:rsidRPr="00EF0C39" w:rsidRDefault="00384E94" w:rsidP="008C266D">
          <w:pPr>
            <w:tabs>
              <w:tab w:val="right" w:pos="8838"/>
            </w:tabs>
            <w:ind w:right="-170"/>
            <w:rPr>
              <w:b/>
            </w:rPr>
          </w:pPr>
        </w:p>
      </w:tc>
    </w:tr>
  </w:tbl>
  <w:p w14:paraId="3498D107" w14:textId="7E17876C" w:rsidR="00384E94" w:rsidRDefault="00384E94"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384E94" w:rsidRDefault="00384E94">
    <w:pPr>
      <w:widowControl w:val="0"/>
      <w:pBdr>
        <w:top w:val="nil"/>
        <w:left w:val="nil"/>
        <w:bottom w:val="nil"/>
        <w:right w:val="nil"/>
        <w:between w:val="nil"/>
      </w:pBdr>
      <w:spacing w:after="0" w:line="276" w:lineRule="auto"/>
      <w:jc w:val="left"/>
      <w:rPr>
        <w:color w:val="000000"/>
      </w:rPr>
    </w:pPr>
  </w:p>
  <w:tbl>
    <w:tblPr>
      <w:tblStyle w:val="1"/>
      <w:tblW w:w="6379"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551"/>
      <w:gridCol w:w="3828"/>
    </w:tblGrid>
    <w:tr w:rsidR="00384E94" w14:paraId="6B3232BD" w14:textId="77777777" w:rsidTr="00125F26">
      <w:trPr>
        <w:trHeight w:val="132"/>
      </w:trPr>
      <w:tc>
        <w:tcPr>
          <w:tcW w:w="2551" w:type="dxa"/>
        </w:tcPr>
        <w:p w14:paraId="38F16E2F" w14:textId="77777777" w:rsidR="00384E94" w:rsidRDefault="00384E94">
          <w:pPr>
            <w:tabs>
              <w:tab w:val="right" w:pos="8838"/>
            </w:tabs>
            <w:ind w:right="-105"/>
            <w:rPr>
              <w:b/>
            </w:rPr>
          </w:pPr>
          <w:r>
            <w:rPr>
              <w:b/>
            </w:rPr>
            <w:t>Recurso de Revisión:</w:t>
          </w:r>
        </w:p>
      </w:tc>
      <w:tc>
        <w:tcPr>
          <w:tcW w:w="3828" w:type="dxa"/>
        </w:tcPr>
        <w:p w14:paraId="211CDC0A" w14:textId="3CF5E995" w:rsidR="00384E94" w:rsidRPr="00026C6B" w:rsidRDefault="00026C6B" w:rsidP="00026C6B">
          <w:r w:rsidRPr="00026C6B">
            <w:t>0</w:t>
          </w:r>
          <w:r w:rsidR="007B4717">
            <w:t>7086</w:t>
          </w:r>
          <w:r w:rsidRPr="00026C6B">
            <w:t>/INFOEM/IP/RR/202</w:t>
          </w:r>
          <w:r w:rsidR="00BB6693">
            <w:t>4</w:t>
          </w:r>
        </w:p>
      </w:tc>
    </w:tr>
    <w:tr w:rsidR="00384E94" w14:paraId="6AA3CC58" w14:textId="77777777" w:rsidTr="00125F26">
      <w:trPr>
        <w:trHeight w:val="132"/>
      </w:trPr>
      <w:tc>
        <w:tcPr>
          <w:tcW w:w="2551" w:type="dxa"/>
          <w:shd w:val="clear" w:color="auto" w:fill="auto"/>
        </w:tcPr>
        <w:p w14:paraId="7FD164F5" w14:textId="77777777" w:rsidR="00384E94" w:rsidRDefault="00384E94">
          <w:pPr>
            <w:tabs>
              <w:tab w:val="left" w:pos="1875"/>
            </w:tabs>
            <w:ind w:right="-105"/>
            <w:rPr>
              <w:b/>
            </w:rPr>
          </w:pPr>
          <w:r>
            <w:rPr>
              <w:b/>
            </w:rPr>
            <w:t>Recurrente:</w:t>
          </w:r>
          <w:r>
            <w:rPr>
              <w:b/>
            </w:rPr>
            <w:tab/>
          </w:r>
        </w:p>
      </w:tc>
      <w:tc>
        <w:tcPr>
          <w:tcW w:w="3828" w:type="dxa"/>
          <w:shd w:val="clear" w:color="auto" w:fill="auto"/>
        </w:tcPr>
        <w:p w14:paraId="1F1B0537" w14:textId="7AC93A96" w:rsidR="00384E94" w:rsidRPr="00EF0C39" w:rsidRDefault="00191631" w:rsidP="007B4717">
          <w:pPr>
            <w:tabs>
              <w:tab w:val="right" w:pos="8838"/>
            </w:tabs>
            <w:ind w:right="-250"/>
          </w:pPr>
          <w:r w:rsidRPr="00191631">
            <w:rPr>
              <w:highlight w:val="black"/>
            </w:rPr>
            <w:t>XXXXXXXXXXXXXXXXXXXXXXXX</w:t>
          </w:r>
        </w:p>
      </w:tc>
    </w:tr>
    <w:tr w:rsidR="00384E94" w14:paraId="5113CAA6" w14:textId="77777777" w:rsidTr="00125F26">
      <w:trPr>
        <w:trHeight w:val="261"/>
      </w:trPr>
      <w:tc>
        <w:tcPr>
          <w:tcW w:w="2551" w:type="dxa"/>
        </w:tcPr>
        <w:p w14:paraId="28E3431B" w14:textId="77777777" w:rsidR="00384E94" w:rsidRDefault="00384E94">
          <w:pPr>
            <w:tabs>
              <w:tab w:val="right" w:pos="8838"/>
            </w:tabs>
            <w:ind w:right="-105"/>
            <w:rPr>
              <w:b/>
            </w:rPr>
          </w:pPr>
          <w:r>
            <w:rPr>
              <w:b/>
            </w:rPr>
            <w:t>Sujeto Obligado:</w:t>
          </w:r>
        </w:p>
      </w:tc>
      <w:tc>
        <w:tcPr>
          <w:tcW w:w="3828" w:type="dxa"/>
        </w:tcPr>
        <w:p w14:paraId="3192354E" w14:textId="17CCE7AB" w:rsidR="00384E94" w:rsidRPr="00026C6B" w:rsidRDefault="00705FBB" w:rsidP="00026C6B">
          <w:r>
            <w:t>Ayuntamiento de</w:t>
          </w:r>
          <w:r w:rsidR="007B4717">
            <w:t xml:space="preserve"> Coacalco de Berriozábal</w:t>
          </w:r>
        </w:p>
      </w:tc>
    </w:tr>
    <w:tr w:rsidR="00384E94" w14:paraId="5D4C2A35" w14:textId="77777777" w:rsidTr="00125F26">
      <w:trPr>
        <w:trHeight w:val="261"/>
      </w:trPr>
      <w:tc>
        <w:tcPr>
          <w:tcW w:w="2551" w:type="dxa"/>
        </w:tcPr>
        <w:p w14:paraId="7F522FEC" w14:textId="77777777" w:rsidR="00384E94" w:rsidRDefault="00384E94">
          <w:pPr>
            <w:tabs>
              <w:tab w:val="right" w:pos="8838"/>
            </w:tabs>
            <w:ind w:right="-105"/>
            <w:rPr>
              <w:b/>
            </w:rPr>
          </w:pPr>
          <w:r>
            <w:rPr>
              <w:b/>
            </w:rPr>
            <w:t>Comisionado Ponente:</w:t>
          </w:r>
        </w:p>
      </w:tc>
      <w:tc>
        <w:tcPr>
          <w:tcW w:w="3828" w:type="dxa"/>
        </w:tcPr>
        <w:p w14:paraId="0F0566F9" w14:textId="77777777" w:rsidR="00384E94" w:rsidRPr="00EF0C39" w:rsidRDefault="00384E94" w:rsidP="00C46A25">
          <w:pPr>
            <w:tabs>
              <w:tab w:val="right" w:pos="8838"/>
            </w:tabs>
            <w:ind w:right="-32"/>
            <w:rPr>
              <w:b/>
            </w:rPr>
          </w:pPr>
          <w:r w:rsidRPr="00EF0C39">
            <w:t>Luis Gustavo Parra Noriega</w:t>
          </w:r>
        </w:p>
      </w:tc>
    </w:tr>
  </w:tbl>
  <w:p w14:paraId="4DFC2598" w14:textId="77777777" w:rsidR="00384E94" w:rsidRDefault="00200738">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636C2C"/>
    <w:multiLevelType w:val="hybridMultilevel"/>
    <w:tmpl w:val="B336A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8"/>
  </w:num>
  <w:num w:numId="4">
    <w:abstractNumId w:val="24"/>
  </w:num>
  <w:num w:numId="5">
    <w:abstractNumId w:val="30"/>
  </w:num>
  <w:num w:numId="6">
    <w:abstractNumId w:val="6"/>
  </w:num>
  <w:num w:numId="7">
    <w:abstractNumId w:val="34"/>
  </w:num>
  <w:num w:numId="8">
    <w:abstractNumId w:val="7"/>
  </w:num>
  <w:num w:numId="9">
    <w:abstractNumId w:val="2"/>
  </w:num>
  <w:num w:numId="10">
    <w:abstractNumId w:val="18"/>
  </w:num>
  <w:num w:numId="11">
    <w:abstractNumId w:val="2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7"/>
  </w:num>
  <w:num w:numId="23">
    <w:abstractNumId w:val="3"/>
  </w:num>
  <w:num w:numId="24">
    <w:abstractNumId w:val="9"/>
  </w:num>
  <w:num w:numId="25">
    <w:abstractNumId w:val="1"/>
  </w:num>
  <w:num w:numId="26">
    <w:abstractNumId w:val="13"/>
  </w:num>
  <w:num w:numId="27">
    <w:abstractNumId w:val="28"/>
  </w:num>
  <w:num w:numId="28">
    <w:abstractNumId w:val="4"/>
  </w:num>
  <w:num w:numId="29">
    <w:abstractNumId w:val="20"/>
  </w:num>
  <w:num w:numId="30">
    <w:abstractNumId w:val="31"/>
  </w:num>
  <w:num w:numId="31">
    <w:abstractNumId w:val="16"/>
  </w:num>
  <w:num w:numId="32">
    <w:abstractNumId w:val="12"/>
  </w:num>
  <w:num w:numId="33">
    <w:abstractNumId w:val="29"/>
  </w:num>
  <w:num w:numId="34">
    <w:abstractNumId w:val="11"/>
  </w:num>
  <w:num w:numId="35">
    <w:abstractNumId w:val="19"/>
  </w:num>
  <w:num w:numId="3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637C"/>
    <w:rsid w:val="00006A45"/>
    <w:rsid w:val="0001108B"/>
    <w:rsid w:val="00011477"/>
    <w:rsid w:val="00011608"/>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43CFC"/>
    <w:rsid w:val="00050E2E"/>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5D09"/>
    <w:rsid w:val="000C7D5D"/>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55EA"/>
    <w:rsid w:val="001061B1"/>
    <w:rsid w:val="001065C6"/>
    <w:rsid w:val="001135C1"/>
    <w:rsid w:val="00115992"/>
    <w:rsid w:val="00116C35"/>
    <w:rsid w:val="00122ED0"/>
    <w:rsid w:val="00122FBD"/>
    <w:rsid w:val="00123FD7"/>
    <w:rsid w:val="00124AF7"/>
    <w:rsid w:val="00125905"/>
    <w:rsid w:val="00125F26"/>
    <w:rsid w:val="0012618B"/>
    <w:rsid w:val="00126AD3"/>
    <w:rsid w:val="001325F3"/>
    <w:rsid w:val="00132F29"/>
    <w:rsid w:val="00134465"/>
    <w:rsid w:val="001418BD"/>
    <w:rsid w:val="00141BAD"/>
    <w:rsid w:val="001425CB"/>
    <w:rsid w:val="001434E7"/>
    <w:rsid w:val="001479C0"/>
    <w:rsid w:val="001502AB"/>
    <w:rsid w:val="001507E8"/>
    <w:rsid w:val="00153139"/>
    <w:rsid w:val="001548D6"/>
    <w:rsid w:val="001558BD"/>
    <w:rsid w:val="00155BD1"/>
    <w:rsid w:val="001566D4"/>
    <w:rsid w:val="0016373E"/>
    <w:rsid w:val="00165AB2"/>
    <w:rsid w:val="00166452"/>
    <w:rsid w:val="00166907"/>
    <w:rsid w:val="00166A42"/>
    <w:rsid w:val="00170ACC"/>
    <w:rsid w:val="001710E2"/>
    <w:rsid w:val="0017245F"/>
    <w:rsid w:val="00175910"/>
    <w:rsid w:val="00181D59"/>
    <w:rsid w:val="00184025"/>
    <w:rsid w:val="00184ED6"/>
    <w:rsid w:val="00191631"/>
    <w:rsid w:val="00192C48"/>
    <w:rsid w:val="00195EC3"/>
    <w:rsid w:val="00196CA5"/>
    <w:rsid w:val="0019787E"/>
    <w:rsid w:val="001A0321"/>
    <w:rsid w:val="001A2062"/>
    <w:rsid w:val="001A5B6F"/>
    <w:rsid w:val="001B34AA"/>
    <w:rsid w:val="001B7EFB"/>
    <w:rsid w:val="001C638A"/>
    <w:rsid w:val="001D1635"/>
    <w:rsid w:val="001D24CD"/>
    <w:rsid w:val="001D3FB9"/>
    <w:rsid w:val="001D4F21"/>
    <w:rsid w:val="001D5DBE"/>
    <w:rsid w:val="001D7D0E"/>
    <w:rsid w:val="001E4284"/>
    <w:rsid w:val="001E4ECA"/>
    <w:rsid w:val="001E6077"/>
    <w:rsid w:val="001E7B98"/>
    <w:rsid w:val="001F285F"/>
    <w:rsid w:val="001F6FD5"/>
    <w:rsid w:val="00200738"/>
    <w:rsid w:val="002025F4"/>
    <w:rsid w:val="00203F8C"/>
    <w:rsid w:val="00204DE3"/>
    <w:rsid w:val="0020727C"/>
    <w:rsid w:val="00211CD8"/>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3A4E"/>
    <w:rsid w:val="00274745"/>
    <w:rsid w:val="00274982"/>
    <w:rsid w:val="00280625"/>
    <w:rsid w:val="00280CF8"/>
    <w:rsid w:val="00282176"/>
    <w:rsid w:val="002822A3"/>
    <w:rsid w:val="00287374"/>
    <w:rsid w:val="0029130B"/>
    <w:rsid w:val="00291318"/>
    <w:rsid w:val="0029310D"/>
    <w:rsid w:val="00293A22"/>
    <w:rsid w:val="00294C03"/>
    <w:rsid w:val="00295482"/>
    <w:rsid w:val="0029784D"/>
    <w:rsid w:val="002A02CD"/>
    <w:rsid w:val="002A5DEB"/>
    <w:rsid w:val="002B5A2D"/>
    <w:rsid w:val="002B772B"/>
    <w:rsid w:val="002C0C3A"/>
    <w:rsid w:val="002C4A39"/>
    <w:rsid w:val="002C7C43"/>
    <w:rsid w:val="002D2107"/>
    <w:rsid w:val="002D2619"/>
    <w:rsid w:val="002D2A77"/>
    <w:rsid w:val="002E2627"/>
    <w:rsid w:val="002E34B7"/>
    <w:rsid w:val="002E5C60"/>
    <w:rsid w:val="002E6125"/>
    <w:rsid w:val="002F0526"/>
    <w:rsid w:val="002F08A1"/>
    <w:rsid w:val="002F44A5"/>
    <w:rsid w:val="002F5845"/>
    <w:rsid w:val="002F5AA8"/>
    <w:rsid w:val="002F5CFB"/>
    <w:rsid w:val="002F72B7"/>
    <w:rsid w:val="0030116D"/>
    <w:rsid w:val="00302BCB"/>
    <w:rsid w:val="003037BC"/>
    <w:rsid w:val="00303A1B"/>
    <w:rsid w:val="00303BA0"/>
    <w:rsid w:val="00310366"/>
    <w:rsid w:val="00310A3F"/>
    <w:rsid w:val="00311CAF"/>
    <w:rsid w:val="00312EFE"/>
    <w:rsid w:val="003131F2"/>
    <w:rsid w:val="00313684"/>
    <w:rsid w:val="00314919"/>
    <w:rsid w:val="003155C2"/>
    <w:rsid w:val="00316458"/>
    <w:rsid w:val="00320D4E"/>
    <w:rsid w:val="0032276A"/>
    <w:rsid w:val="0032438A"/>
    <w:rsid w:val="00325B13"/>
    <w:rsid w:val="00325D1E"/>
    <w:rsid w:val="00330566"/>
    <w:rsid w:val="00333468"/>
    <w:rsid w:val="0033681E"/>
    <w:rsid w:val="00336E20"/>
    <w:rsid w:val="00341669"/>
    <w:rsid w:val="00342465"/>
    <w:rsid w:val="00345E3B"/>
    <w:rsid w:val="00353296"/>
    <w:rsid w:val="0035368D"/>
    <w:rsid w:val="00354255"/>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F0C"/>
    <w:rsid w:val="003C13CD"/>
    <w:rsid w:val="003C28F2"/>
    <w:rsid w:val="003C7338"/>
    <w:rsid w:val="003D1DC8"/>
    <w:rsid w:val="003D25DC"/>
    <w:rsid w:val="003D35DB"/>
    <w:rsid w:val="003D6C3F"/>
    <w:rsid w:val="003E1C9F"/>
    <w:rsid w:val="003E20C8"/>
    <w:rsid w:val="003E33FE"/>
    <w:rsid w:val="003E540A"/>
    <w:rsid w:val="003F0A87"/>
    <w:rsid w:val="003F1D74"/>
    <w:rsid w:val="003F2BF4"/>
    <w:rsid w:val="003F4C6D"/>
    <w:rsid w:val="003F5F91"/>
    <w:rsid w:val="003F6C55"/>
    <w:rsid w:val="0041096D"/>
    <w:rsid w:val="00420209"/>
    <w:rsid w:val="004214D5"/>
    <w:rsid w:val="00422311"/>
    <w:rsid w:val="004326F9"/>
    <w:rsid w:val="004352C6"/>
    <w:rsid w:val="00436F80"/>
    <w:rsid w:val="0044017B"/>
    <w:rsid w:val="00442432"/>
    <w:rsid w:val="0044320C"/>
    <w:rsid w:val="0044451C"/>
    <w:rsid w:val="00446CA3"/>
    <w:rsid w:val="0045046D"/>
    <w:rsid w:val="00455EA5"/>
    <w:rsid w:val="00456B23"/>
    <w:rsid w:val="00461DF2"/>
    <w:rsid w:val="004649E0"/>
    <w:rsid w:val="00471E99"/>
    <w:rsid w:val="004721AA"/>
    <w:rsid w:val="00473151"/>
    <w:rsid w:val="00474793"/>
    <w:rsid w:val="00475E62"/>
    <w:rsid w:val="00481F23"/>
    <w:rsid w:val="00483320"/>
    <w:rsid w:val="00484E27"/>
    <w:rsid w:val="0049788F"/>
    <w:rsid w:val="004A10E6"/>
    <w:rsid w:val="004B0C65"/>
    <w:rsid w:val="004B27E7"/>
    <w:rsid w:val="004B33EF"/>
    <w:rsid w:val="004B58D3"/>
    <w:rsid w:val="004B7343"/>
    <w:rsid w:val="004B73FB"/>
    <w:rsid w:val="004C21E6"/>
    <w:rsid w:val="004C465F"/>
    <w:rsid w:val="004C6321"/>
    <w:rsid w:val="004D1D8F"/>
    <w:rsid w:val="004D243B"/>
    <w:rsid w:val="004D63D9"/>
    <w:rsid w:val="004E0AD6"/>
    <w:rsid w:val="004E22FF"/>
    <w:rsid w:val="004E47CC"/>
    <w:rsid w:val="004F0490"/>
    <w:rsid w:val="004F56D3"/>
    <w:rsid w:val="004F59FB"/>
    <w:rsid w:val="004F76F4"/>
    <w:rsid w:val="004F7F19"/>
    <w:rsid w:val="00500B4F"/>
    <w:rsid w:val="005018D0"/>
    <w:rsid w:val="00506126"/>
    <w:rsid w:val="0051107B"/>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9459D"/>
    <w:rsid w:val="00596035"/>
    <w:rsid w:val="005A0A77"/>
    <w:rsid w:val="005A39F4"/>
    <w:rsid w:val="005A79D9"/>
    <w:rsid w:val="005A7C36"/>
    <w:rsid w:val="005B21C9"/>
    <w:rsid w:val="005B6BFA"/>
    <w:rsid w:val="005C20B7"/>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773E"/>
    <w:rsid w:val="005F785A"/>
    <w:rsid w:val="006006FD"/>
    <w:rsid w:val="00600A20"/>
    <w:rsid w:val="00602E5C"/>
    <w:rsid w:val="006033D0"/>
    <w:rsid w:val="006037C1"/>
    <w:rsid w:val="006059DA"/>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4067B"/>
    <w:rsid w:val="006418B3"/>
    <w:rsid w:val="00644B2E"/>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E1617"/>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6DFD"/>
    <w:rsid w:val="00717D87"/>
    <w:rsid w:val="007248C4"/>
    <w:rsid w:val="007279D2"/>
    <w:rsid w:val="0073003B"/>
    <w:rsid w:val="00730D6D"/>
    <w:rsid w:val="00731FB9"/>
    <w:rsid w:val="007331D2"/>
    <w:rsid w:val="00734D27"/>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D16"/>
    <w:rsid w:val="00783335"/>
    <w:rsid w:val="00784CEA"/>
    <w:rsid w:val="00792220"/>
    <w:rsid w:val="00796030"/>
    <w:rsid w:val="007962A6"/>
    <w:rsid w:val="00796712"/>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F45"/>
    <w:rsid w:val="007C02D1"/>
    <w:rsid w:val="007C636E"/>
    <w:rsid w:val="007C76F2"/>
    <w:rsid w:val="007C7BAF"/>
    <w:rsid w:val="007D04B8"/>
    <w:rsid w:val="007D086D"/>
    <w:rsid w:val="007D354B"/>
    <w:rsid w:val="007D6307"/>
    <w:rsid w:val="007E0603"/>
    <w:rsid w:val="007E1EF5"/>
    <w:rsid w:val="007E25E4"/>
    <w:rsid w:val="007E64DE"/>
    <w:rsid w:val="007E6532"/>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6749"/>
    <w:rsid w:val="008416D9"/>
    <w:rsid w:val="008441D0"/>
    <w:rsid w:val="00850BF6"/>
    <w:rsid w:val="00853828"/>
    <w:rsid w:val="00853AA3"/>
    <w:rsid w:val="008546E5"/>
    <w:rsid w:val="0085490B"/>
    <w:rsid w:val="008575F8"/>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573"/>
    <w:rsid w:val="008A233A"/>
    <w:rsid w:val="008A460F"/>
    <w:rsid w:val="008A60AE"/>
    <w:rsid w:val="008B21BC"/>
    <w:rsid w:val="008B270A"/>
    <w:rsid w:val="008B7D4E"/>
    <w:rsid w:val="008C1F18"/>
    <w:rsid w:val="008C266D"/>
    <w:rsid w:val="008C37E8"/>
    <w:rsid w:val="008C40B1"/>
    <w:rsid w:val="008D28E1"/>
    <w:rsid w:val="008D3B3F"/>
    <w:rsid w:val="008D43A8"/>
    <w:rsid w:val="008D46FC"/>
    <w:rsid w:val="008D58F4"/>
    <w:rsid w:val="008D7C22"/>
    <w:rsid w:val="008E0D53"/>
    <w:rsid w:val="008E7959"/>
    <w:rsid w:val="008F0749"/>
    <w:rsid w:val="008F4E82"/>
    <w:rsid w:val="008F5A51"/>
    <w:rsid w:val="00900916"/>
    <w:rsid w:val="009019A8"/>
    <w:rsid w:val="0090431D"/>
    <w:rsid w:val="00905638"/>
    <w:rsid w:val="00910872"/>
    <w:rsid w:val="00913AC7"/>
    <w:rsid w:val="00915E1E"/>
    <w:rsid w:val="00916347"/>
    <w:rsid w:val="00922F61"/>
    <w:rsid w:val="00926758"/>
    <w:rsid w:val="00927131"/>
    <w:rsid w:val="009319F4"/>
    <w:rsid w:val="00933E27"/>
    <w:rsid w:val="00934D26"/>
    <w:rsid w:val="00937325"/>
    <w:rsid w:val="00937C87"/>
    <w:rsid w:val="00940831"/>
    <w:rsid w:val="00943435"/>
    <w:rsid w:val="00945CB8"/>
    <w:rsid w:val="009502F9"/>
    <w:rsid w:val="00950D76"/>
    <w:rsid w:val="00950ED4"/>
    <w:rsid w:val="009530A6"/>
    <w:rsid w:val="0095571A"/>
    <w:rsid w:val="00956E0E"/>
    <w:rsid w:val="00960DEA"/>
    <w:rsid w:val="00960E46"/>
    <w:rsid w:val="00963E6F"/>
    <w:rsid w:val="009643D0"/>
    <w:rsid w:val="00965741"/>
    <w:rsid w:val="00966BF0"/>
    <w:rsid w:val="009739BA"/>
    <w:rsid w:val="0097583D"/>
    <w:rsid w:val="00983208"/>
    <w:rsid w:val="00983A37"/>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3A1D"/>
    <w:rsid w:val="009C3C89"/>
    <w:rsid w:val="009C6467"/>
    <w:rsid w:val="009D07C4"/>
    <w:rsid w:val="009D41AB"/>
    <w:rsid w:val="009D4333"/>
    <w:rsid w:val="009D443C"/>
    <w:rsid w:val="009D4BA7"/>
    <w:rsid w:val="009D7D07"/>
    <w:rsid w:val="009E03A4"/>
    <w:rsid w:val="009E0F24"/>
    <w:rsid w:val="009E29E8"/>
    <w:rsid w:val="009E2E2A"/>
    <w:rsid w:val="009E4128"/>
    <w:rsid w:val="009F3790"/>
    <w:rsid w:val="009F6813"/>
    <w:rsid w:val="00A03F8F"/>
    <w:rsid w:val="00A042BC"/>
    <w:rsid w:val="00A045F2"/>
    <w:rsid w:val="00A071E9"/>
    <w:rsid w:val="00A1369B"/>
    <w:rsid w:val="00A16D8E"/>
    <w:rsid w:val="00A20875"/>
    <w:rsid w:val="00A244C7"/>
    <w:rsid w:val="00A33F9B"/>
    <w:rsid w:val="00A361DB"/>
    <w:rsid w:val="00A36DDE"/>
    <w:rsid w:val="00A36E65"/>
    <w:rsid w:val="00A37EDE"/>
    <w:rsid w:val="00A41A9E"/>
    <w:rsid w:val="00A43BA2"/>
    <w:rsid w:val="00A45EE8"/>
    <w:rsid w:val="00A462A9"/>
    <w:rsid w:val="00A51D86"/>
    <w:rsid w:val="00A52408"/>
    <w:rsid w:val="00A538A9"/>
    <w:rsid w:val="00A54AEE"/>
    <w:rsid w:val="00A56228"/>
    <w:rsid w:val="00A60BDF"/>
    <w:rsid w:val="00A620E2"/>
    <w:rsid w:val="00A63444"/>
    <w:rsid w:val="00A63E30"/>
    <w:rsid w:val="00A6488A"/>
    <w:rsid w:val="00A660B5"/>
    <w:rsid w:val="00A73E9A"/>
    <w:rsid w:val="00A753B3"/>
    <w:rsid w:val="00A75C5D"/>
    <w:rsid w:val="00A805B7"/>
    <w:rsid w:val="00A8342D"/>
    <w:rsid w:val="00A84E9B"/>
    <w:rsid w:val="00A85D07"/>
    <w:rsid w:val="00A915DD"/>
    <w:rsid w:val="00A9286C"/>
    <w:rsid w:val="00A94490"/>
    <w:rsid w:val="00A95E07"/>
    <w:rsid w:val="00AA21E0"/>
    <w:rsid w:val="00AA345B"/>
    <w:rsid w:val="00AA6BA1"/>
    <w:rsid w:val="00AB0BA1"/>
    <w:rsid w:val="00AB1C9F"/>
    <w:rsid w:val="00AB328F"/>
    <w:rsid w:val="00AB4F34"/>
    <w:rsid w:val="00AB51A8"/>
    <w:rsid w:val="00AC0AE0"/>
    <w:rsid w:val="00AC45E1"/>
    <w:rsid w:val="00AC4EC9"/>
    <w:rsid w:val="00AC5D01"/>
    <w:rsid w:val="00AC70CA"/>
    <w:rsid w:val="00AC7111"/>
    <w:rsid w:val="00AD3E0D"/>
    <w:rsid w:val="00AD468B"/>
    <w:rsid w:val="00AD7954"/>
    <w:rsid w:val="00AE23FB"/>
    <w:rsid w:val="00AE256C"/>
    <w:rsid w:val="00AE5058"/>
    <w:rsid w:val="00AF4BF2"/>
    <w:rsid w:val="00AF4DA4"/>
    <w:rsid w:val="00AF7546"/>
    <w:rsid w:val="00B00C4E"/>
    <w:rsid w:val="00B02796"/>
    <w:rsid w:val="00B02A3F"/>
    <w:rsid w:val="00B04A35"/>
    <w:rsid w:val="00B04BE1"/>
    <w:rsid w:val="00B050D9"/>
    <w:rsid w:val="00B123FB"/>
    <w:rsid w:val="00B1247F"/>
    <w:rsid w:val="00B22A17"/>
    <w:rsid w:val="00B22B9F"/>
    <w:rsid w:val="00B22F78"/>
    <w:rsid w:val="00B27131"/>
    <w:rsid w:val="00B32689"/>
    <w:rsid w:val="00B331EC"/>
    <w:rsid w:val="00B35F83"/>
    <w:rsid w:val="00B36A30"/>
    <w:rsid w:val="00B42F31"/>
    <w:rsid w:val="00B43D92"/>
    <w:rsid w:val="00B51050"/>
    <w:rsid w:val="00B52CAD"/>
    <w:rsid w:val="00B53EAF"/>
    <w:rsid w:val="00B65BCA"/>
    <w:rsid w:val="00B6639B"/>
    <w:rsid w:val="00B66F84"/>
    <w:rsid w:val="00B675A3"/>
    <w:rsid w:val="00B7570D"/>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57BB"/>
    <w:rsid w:val="00BE7118"/>
    <w:rsid w:val="00BF0C25"/>
    <w:rsid w:val="00BF5AD6"/>
    <w:rsid w:val="00BF7869"/>
    <w:rsid w:val="00C06004"/>
    <w:rsid w:val="00C06389"/>
    <w:rsid w:val="00C11279"/>
    <w:rsid w:val="00C12B98"/>
    <w:rsid w:val="00C13A67"/>
    <w:rsid w:val="00C13CD5"/>
    <w:rsid w:val="00C157A7"/>
    <w:rsid w:val="00C16B5B"/>
    <w:rsid w:val="00C218B8"/>
    <w:rsid w:val="00C26633"/>
    <w:rsid w:val="00C335A8"/>
    <w:rsid w:val="00C34810"/>
    <w:rsid w:val="00C362E2"/>
    <w:rsid w:val="00C409B6"/>
    <w:rsid w:val="00C40CD5"/>
    <w:rsid w:val="00C40DD3"/>
    <w:rsid w:val="00C42A8E"/>
    <w:rsid w:val="00C44308"/>
    <w:rsid w:val="00C46A25"/>
    <w:rsid w:val="00C47E88"/>
    <w:rsid w:val="00C500A8"/>
    <w:rsid w:val="00C51B7F"/>
    <w:rsid w:val="00C529B0"/>
    <w:rsid w:val="00C53D9F"/>
    <w:rsid w:val="00C540CA"/>
    <w:rsid w:val="00C556AB"/>
    <w:rsid w:val="00C60D14"/>
    <w:rsid w:val="00C64E46"/>
    <w:rsid w:val="00C650CF"/>
    <w:rsid w:val="00C65690"/>
    <w:rsid w:val="00C66F2D"/>
    <w:rsid w:val="00C67C95"/>
    <w:rsid w:val="00C67CE6"/>
    <w:rsid w:val="00C7208B"/>
    <w:rsid w:val="00C737F2"/>
    <w:rsid w:val="00C74467"/>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C1C87"/>
    <w:rsid w:val="00CC29B3"/>
    <w:rsid w:val="00CC2EA8"/>
    <w:rsid w:val="00CC5500"/>
    <w:rsid w:val="00CC6E4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4C47"/>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70766"/>
    <w:rsid w:val="00D7252C"/>
    <w:rsid w:val="00D82691"/>
    <w:rsid w:val="00D837B0"/>
    <w:rsid w:val="00D83FBA"/>
    <w:rsid w:val="00D906B2"/>
    <w:rsid w:val="00D91F3E"/>
    <w:rsid w:val="00D92325"/>
    <w:rsid w:val="00D95A1B"/>
    <w:rsid w:val="00DA1EA0"/>
    <w:rsid w:val="00DA2E83"/>
    <w:rsid w:val="00DA3868"/>
    <w:rsid w:val="00DA3A68"/>
    <w:rsid w:val="00DA4E7C"/>
    <w:rsid w:val="00DB277C"/>
    <w:rsid w:val="00DB3FB8"/>
    <w:rsid w:val="00DB5A7F"/>
    <w:rsid w:val="00DB7DC5"/>
    <w:rsid w:val="00DC175C"/>
    <w:rsid w:val="00DC69D9"/>
    <w:rsid w:val="00DC7C06"/>
    <w:rsid w:val="00DC7E08"/>
    <w:rsid w:val="00DD0CD5"/>
    <w:rsid w:val="00DD1932"/>
    <w:rsid w:val="00DD2423"/>
    <w:rsid w:val="00DD4191"/>
    <w:rsid w:val="00DD732B"/>
    <w:rsid w:val="00DE00CB"/>
    <w:rsid w:val="00DE02CA"/>
    <w:rsid w:val="00DE224D"/>
    <w:rsid w:val="00DF43D9"/>
    <w:rsid w:val="00DF7F84"/>
    <w:rsid w:val="00E022A1"/>
    <w:rsid w:val="00E0245B"/>
    <w:rsid w:val="00E02A52"/>
    <w:rsid w:val="00E0447A"/>
    <w:rsid w:val="00E052B8"/>
    <w:rsid w:val="00E10780"/>
    <w:rsid w:val="00E134FA"/>
    <w:rsid w:val="00E22006"/>
    <w:rsid w:val="00E22EA8"/>
    <w:rsid w:val="00E23058"/>
    <w:rsid w:val="00E25D40"/>
    <w:rsid w:val="00E319EF"/>
    <w:rsid w:val="00E31CB8"/>
    <w:rsid w:val="00E332FF"/>
    <w:rsid w:val="00E354BF"/>
    <w:rsid w:val="00E40395"/>
    <w:rsid w:val="00E40CA6"/>
    <w:rsid w:val="00E41747"/>
    <w:rsid w:val="00E44D06"/>
    <w:rsid w:val="00E46240"/>
    <w:rsid w:val="00E54144"/>
    <w:rsid w:val="00E547F7"/>
    <w:rsid w:val="00E57404"/>
    <w:rsid w:val="00E57A6E"/>
    <w:rsid w:val="00E64BEF"/>
    <w:rsid w:val="00E66BEB"/>
    <w:rsid w:val="00E71771"/>
    <w:rsid w:val="00E73985"/>
    <w:rsid w:val="00E7452D"/>
    <w:rsid w:val="00E81B7C"/>
    <w:rsid w:val="00E85AC5"/>
    <w:rsid w:val="00E864E9"/>
    <w:rsid w:val="00E909E3"/>
    <w:rsid w:val="00E91D41"/>
    <w:rsid w:val="00E9742F"/>
    <w:rsid w:val="00EA372C"/>
    <w:rsid w:val="00EB020F"/>
    <w:rsid w:val="00EB33A4"/>
    <w:rsid w:val="00EB6216"/>
    <w:rsid w:val="00EB6CF0"/>
    <w:rsid w:val="00EC1274"/>
    <w:rsid w:val="00EC285A"/>
    <w:rsid w:val="00EC3047"/>
    <w:rsid w:val="00EC6576"/>
    <w:rsid w:val="00ED3627"/>
    <w:rsid w:val="00ED37B8"/>
    <w:rsid w:val="00ED3C94"/>
    <w:rsid w:val="00ED5B5F"/>
    <w:rsid w:val="00ED67BB"/>
    <w:rsid w:val="00EE1B70"/>
    <w:rsid w:val="00EE3EC4"/>
    <w:rsid w:val="00EE53C1"/>
    <w:rsid w:val="00EF0C39"/>
    <w:rsid w:val="00EF6C8B"/>
    <w:rsid w:val="00F028A5"/>
    <w:rsid w:val="00F02ACE"/>
    <w:rsid w:val="00F03161"/>
    <w:rsid w:val="00F03463"/>
    <w:rsid w:val="00F03E2D"/>
    <w:rsid w:val="00F05082"/>
    <w:rsid w:val="00F06AF6"/>
    <w:rsid w:val="00F104DF"/>
    <w:rsid w:val="00F16F36"/>
    <w:rsid w:val="00F20567"/>
    <w:rsid w:val="00F21BA6"/>
    <w:rsid w:val="00F26C65"/>
    <w:rsid w:val="00F316B5"/>
    <w:rsid w:val="00F43789"/>
    <w:rsid w:val="00F50072"/>
    <w:rsid w:val="00F507C6"/>
    <w:rsid w:val="00F51CCB"/>
    <w:rsid w:val="00F51D19"/>
    <w:rsid w:val="00F530A8"/>
    <w:rsid w:val="00F550A0"/>
    <w:rsid w:val="00F56168"/>
    <w:rsid w:val="00F62018"/>
    <w:rsid w:val="00F62E83"/>
    <w:rsid w:val="00F65096"/>
    <w:rsid w:val="00F65D8D"/>
    <w:rsid w:val="00F70A24"/>
    <w:rsid w:val="00F71565"/>
    <w:rsid w:val="00F7237E"/>
    <w:rsid w:val="00F73D29"/>
    <w:rsid w:val="00F80790"/>
    <w:rsid w:val="00F8788F"/>
    <w:rsid w:val="00F87926"/>
    <w:rsid w:val="00F904C1"/>
    <w:rsid w:val="00F908B7"/>
    <w:rsid w:val="00F91851"/>
    <w:rsid w:val="00F933B4"/>
    <w:rsid w:val="00F936DE"/>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5141"/>
    <w:rsid w:val="00FD5CCF"/>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B31"/>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semiHidden/>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tmp"/><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islacion.edomex.gob.mx/sites/legislacion.edomex.gob.mx/files/files/pdf/gct/2016/dic13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804E99-A00A-41CB-ACE5-93227FDB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5573</Words>
  <Characters>30653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cp:lastModifiedBy>
  <cp:revision>5</cp:revision>
  <cp:lastPrinted>2024-12-05T20:15:00Z</cp:lastPrinted>
  <dcterms:created xsi:type="dcterms:W3CDTF">2024-12-05T20:15:00Z</dcterms:created>
  <dcterms:modified xsi:type="dcterms:W3CDTF">2025-02-04T20:46:00Z</dcterms:modified>
</cp:coreProperties>
</file>