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E719" w14:textId="77777777" w:rsidR="00824031" w:rsidRPr="000A4FCB" w:rsidRDefault="00824031" w:rsidP="00824031">
      <w:pPr>
        <w:tabs>
          <w:tab w:val="left" w:pos="3465"/>
        </w:tabs>
        <w:spacing w:before="240" w:after="360" w:line="360" w:lineRule="auto"/>
        <w:jc w:val="both"/>
        <w:rPr>
          <w:rFonts w:ascii="Palatino Linotype" w:hAnsi="Palatino Linotype"/>
          <w:color w:val="000000" w:themeColor="text1"/>
        </w:rPr>
      </w:pPr>
      <w:r w:rsidRPr="000A4FCB">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Pr="000A4FCB">
        <w:rPr>
          <w:rFonts w:ascii="Palatino Linotype" w:eastAsia="MS Mincho" w:hAnsi="Palatino Linotype" w:cs="Times New Roman"/>
          <w:color w:val="000000"/>
          <w:lang w:val="es-MX"/>
        </w:rPr>
        <w:t>diecinueve (19) de septiembre de dos mil veinticuatro.</w:t>
      </w:r>
    </w:p>
    <w:p w14:paraId="02E48FD7" w14:textId="2C3C24F9" w:rsidR="00824031" w:rsidRPr="000A4FCB" w:rsidRDefault="00824031" w:rsidP="00824031">
      <w:pPr>
        <w:spacing w:line="360" w:lineRule="auto"/>
        <w:jc w:val="both"/>
        <w:rPr>
          <w:rFonts w:ascii="Palatino Linotype" w:eastAsia="Times New Roman" w:hAnsi="Palatino Linotype" w:cs="Times New Roman"/>
          <w:color w:val="000000" w:themeColor="text1"/>
        </w:rPr>
      </w:pPr>
      <w:r w:rsidRPr="000A4FCB">
        <w:rPr>
          <w:rFonts w:ascii="Palatino Linotype" w:hAnsi="Palatino Linotype"/>
          <w:b/>
          <w:color w:val="000000" w:themeColor="text1"/>
        </w:rPr>
        <w:t>VISTO</w:t>
      </w:r>
      <w:r w:rsidRPr="000A4FCB">
        <w:rPr>
          <w:rFonts w:ascii="Palatino Linotype" w:hAnsi="Palatino Linotype"/>
          <w:color w:val="000000" w:themeColor="text1"/>
        </w:rPr>
        <w:t xml:space="preserve"> el expediente electrónico formado con motivo del recurso de revisión </w:t>
      </w:r>
      <w:r w:rsidRPr="000A4FCB">
        <w:rPr>
          <w:rFonts w:ascii="Palatino Linotype" w:hAnsi="Palatino Linotype"/>
          <w:b/>
        </w:rPr>
        <w:t>01243/INFOEM/IP/RR/2024</w:t>
      </w:r>
      <w:r w:rsidRPr="000A4FCB">
        <w:rPr>
          <w:rFonts w:ascii="Palatino Linotype" w:eastAsia="Times New Roman" w:hAnsi="Palatino Linotype" w:cs="Arial"/>
          <w:bCs/>
          <w:color w:val="000000" w:themeColor="text1"/>
        </w:rPr>
        <w:t xml:space="preserve">, </w:t>
      </w:r>
      <w:r w:rsidRPr="000A4FCB">
        <w:rPr>
          <w:rFonts w:ascii="Palatino Linotype" w:eastAsia="Times New Roman" w:hAnsi="Palatino Linotype" w:cs="Times New Roman"/>
          <w:color w:val="000000" w:themeColor="text1"/>
        </w:rPr>
        <w:t xml:space="preserve">interpuesto por </w:t>
      </w:r>
      <w:r w:rsidR="00BF06D0">
        <w:rPr>
          <w:rFonts w:ascii="Palatino Linotype" w:eastAsia="Times New Roman" w:hAnsi="Palatino Linotype" w:cs="Times New Roman"/>
          <w:b/>
          <w:bCs/>
          <w:color w:val="000000" w:themeColor="text1"/>
        </w:rPr>
        <w:t xml:space="preserve">XXX </w:t>
      </w:r>
      <w:proofErr w:type="spellStart"/>
      <w:r w:rsidR="00BF06D0">
        <w:rPr>
          <w:rFonts w:ascii="Palatino Linotype" w:eastAsia="Times New Roman" w:hAnsi="Palatino Linotype" w:cs="Times New Roman"/>
          <w:b/>
          <w:bCs/>
          <w:color w:val="000000" w:themeColor="text1"/>
        </w:rPr>
        <w:t>XXX</w:t>
      </w:r>
      <w:proofErr w:type="spellEnd"/>
      <w:r w:rsidRPr="000A4FCB">
        <w:rPr>
          <w:rFonts w:ascii="Palatino Linotype" w:eastAsia="Times New Roman" w:hAnsi="Palatino Linotype" w:cs="Times New Roman"/>
          <w:color w:val="000000" w:themeColor="text1"/>
        </w:rPr>
        <w:t xml:space="preserve">, en lo sucesivo </w:t>
      </w:r>
      <w:r w:rsidRPr="000A4FCB">
        <w:rPr>
          <w:rFonts w:ascii="Palatino Linotype" w:eastAsia="Times New Roman" w:hAnsi="Palatino Linotype" w:cs="Times New Roman"/>
          <w:b/>
          <w:color w:val="000000" w:themeColor="text1"/>
        </w:rPr>
        <w:t xml:space="preserve">EL </w:t>
      </w:r>
      <w:r w:rsidRPr="000A4FCB">
        <w:rPr>
          <w:rFonts w:ascii="Palatino Linotype" w:eastAsia="Times New Roman" w:hAnsi="Palatino Linotype" w:cs="Times New Roman"/>
          <w:b/>
          <w:bCs/>
          <w:color w:val="000000" w:themeColor="text1"/>
        </w:rPr>
        <w:t>RECURRENTE</w:t>
      </w:r>
      <w:r w:rsidR="000A4FCB">
        <w:rPr>
          <w:rFonts w:ascii="Palatino Linotype" w:eastAsia="Times New Roman" w:hAnsi="Palatino Linotype" w:cs="Times New Roman"/>
          <w:b/>
          <w:bCs/>
          <w:color w:val="000000" w:themeColor="text1"/>
        </w:rPr>
        <w:t>,</w:t>
      </w:r>
      <w:r w:rsidRPr="000A4FCB">
        <w:rPr>
          <w:rFonts w:ascii="Palatino Linotype" w:eastAsia="Times New Roman" w:hAnsi="Palatino Linotype" w:cs="Arial"/>
          <w:color w:val="000000" w:themeColor="text1"/>
        </w:rPr>
        <w:t xml:space="preserve"> en contra del incumplimiento a la respuesta de</w:t>
      </w:r>
      <w:r w:rsidR="000A4FCB">
        <w:rPr>
          <w:rFonts w:ascii="Palatino Linotype" w:eastAsia="Times New Roman" w:hAnsi="Palatino Linotype" w:cs="Arial"/>
          <w:color w:val="000000" w:themeColor="text1"/>
        </w:rPr>
        <w:t xml:space="preserve"> la</w:t>
      </w:r>
      <w:r w:rsidRPr="000A4FCB">
        <w:rPr>
          <w:rFonts w:ascii="Palatino Linotype" w:eastAsia="Times New Roman" w:hAnsi="Palatino Linotype" w:cs="Arial"/>
          <w:color w:val="000000" w:themeColor="text1"/>
        </w:rPr>
        <w:t xml:space="preserve"> </w:t>
      </w:r>
      <w:proofErr w:type="gramStart"/>
      <w:r w:rsidRPr="000A4FCB">
        <w:rPr>
          <w:rFonts w:ascii="Palatino Linotype" w:eastAsia="Times New Roman" w:hAnsi="Palatino Linotype" w:cs="Arial"/>
          <w:color w:val="000000" w:themeColor="text1"/>
        </w:rPr>
        <w:t xml:space="preserve">solicitud </w:t>
      </w:r>
      <w:r w:rsidRPr="000A4FCB">
        <w:rPr>
          <w:rFonts w:ascii="Palatino Linotype" w:eastAsia="Times New Roman" w:hAnsi="Palatino Linotype" w:cs="Arial"/>
          <w:b/>
          <w:bCs/>
          <w:color w:val="000000" w:themeColor="text1"/>
        </w:rPr>
        <w:t> 00158</w:t>
      </w:r>
      <w:proofErr w:type="gramEnd"/>
      <w:r w:rsidRPr="000A4FCB">
        <w:rPr>
          <w:rFonts w:ascii="Palatino Linotype" w:eastAsia="Times New Roman" w:hAnsi="Palatino Linotype" w:cs="Arial"/>
          <w:b/>
          <w:bCs/>
          <w:color w:val="000000" w:themeColor="text1"/>
        </w:rPr>
        <w:t xml:space="preserve">/ISSEMYM/IP/2024 </w:t>
      </w:r>
      <w:r w:rsidR="00CD2E55" w:rsidRPr="000A4FCB">
        <w:rPr>
          <w:rFonts w:ascii="Palatino Linotype" w:eastAsia="Times New Roman" w:hAnsi="Palatino Linotype" w:cs="Arial"/>
          <w:color w:val="000000" w:themeColor="text1"/>
        </w:rPr>
        <w:t xml:space="preserve">del </w:t>
      </w:r>
      <w:r w:rsidR="00CD2E55" w:rsidRPr="000A4FCB">
        <w:rPr>
          <w:rFonts w:ascii="Palatino Linotype" w:eastAsia="Times New Roman" w:hAnsi="Palatino Linotype" w:cs="Arial"/>
          <w:b/>
          <w:color w:val="000000" w:themeColor="text1"/>
        </w:rPr>
        <w:t>Instituto de Seguridad Social del Estado de México y Municipios</w:t>
      </w:r>
      <w:r w:rsidRPr="000A4FCB">
        <w:rPr>
          <w:rFonts w:ascii="Palatino Linotype" w:eastAsia="Calibri" w:hAnsi="Palatino Linotype" w:cs="Arial"/>
          <w:b/>
          <w:color w:val="000000" w:themeColor="text1"/>
          <w:lang w:val="es-ES"/>
        </w:rPr>
        <w:t>,</w:t>
      </w:r>
      <w:r w:rsidR="000A4FCB">
        <w:rPr>
          <w:rFonts w:ascii="Palatino Linotype" w:eastAsia="Calibri" w:hAnsi="Palatino Linotype" w:cs="Arial"/>
          <w:color w:val="000000" w:themeColor="text1"/>
          <w:lang w:val="es-ES"/>
        </w:rPr>
        <w:t xml:space="preserve"> en adelante</w:t>
      </w:r>
      <w:r w:rsidRPr="000A4FCB">
        <w:rPr>
          <w:rFonts w:ascii="Palatino Linotype" w:eastAsia="Times New Roman" w:hAnsi="Palatino Linotype" w:cs="Times New Roman"/>
          <w:color w:val="000000" w:themeColor="text1"/>
        </w:rPr>
        <w:t xml:space="preserve"> el</w:t>
      </w:r>
      <w:r w:rsidRPr="000A4FCB">
        <w:rPr>
          <w:rFonts w:ascii="Palatino Linotype" w:eastAsia="Times New Roman" w:hAnsi="Palatino Linotype" w:cs="Times New Roman"/>
          <w:b/>
          <w:color w:val="000000" w:themeColor="text1"/>
        </w:rPr>
        <w:t xml:space="preserve"> SUJETO OBLIGADO</w:t>
      </w:r>
      <w:r w:rsidRPr="000A4FCB">
        <w:rPr>
          <w:rFonts w:ascii="Palatino Linotype" w:eastAsia="Times New Roman" w:hAnsi="Palatino Linotype" w:cs="Times New Roman"/>
          <w:color w:val="000000" w:themeColor="text1"/>
        </w:rPr>
        <w:t>,</w:t>
      </w:r>
      <w:r w:rsidRPr="000A4FCB">
        <w:rPr>
          <w:rFonts w:ascii="Palatino Linotype" w:eastAsia="Times New Roman" w:hAnsi="Palatino Linotype" w:cs="Times New Roman"/>
          <w:b/>
          <w:color w:val="000000" w:themeColor="text1"/>
        </w:rPr>
        <w:t xml:space="preserve"> </w:t>
      </w:r>
      <w:r w:rsidRPr="000A4FCB">
        <w:rPr>
          <w:rFonts w:ascii="Palatino Linotype" w:eastAsia="Times New Roman" w:hAnsi="Palatino Linotype" w:cs="Times New Roman"/>
          <w:color w:val="000000" w:themeColor="text1"/>
        </w:rPr>
        <w:t>se procede a dictar la presente resolución, con base en los siguientes:</w:t>
      </w:r>
    </w:p>
    <w:p w14:paraId="156ED1D9" w14:textId="77777777" w:rsidR="00824031" w:rsidRPr="000A4FCB" w:rsidRDefault="00824031" w:rsidP="00824031">
      <w:pPr>
        <w:spacing w:line="360" w:lineRule="auto"/>
        <w:jc w:val="both"/>
        <w:rPr>
          <w:rFonts w:ascii="Palatino Linotype" w:hAnsi="Palatino Linotype"/>
          <w:b/>
          <w:color w:val="000000" w:themeColor="text1"/>
        </w:rPr>
      </w:pPr>
    </w:p>
    <w:p w14:paraId="577521CA" w14:textId="77777777" w:rsidR="00824031" w:rsidRPr="000A4FCB" w:rsidRDefault="00824031" w:rsidP="00824031">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0A4FCB">
        <w:rPr>
          <w:rFonts w:ascii="Palatino Linotype" w:hAnsi="Palatino Linotype"/>
          <w:b/>
          <w:color w:val="000000" w:themeColor="text1"/>
          <w:sz w:val="24"/>
          <w:szCs w:val="24"/>
        </w:rPr>
        <w:t>A</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N</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T</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E</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C</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E</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D</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E</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N</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T</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E</w:t>
      </w:r>
      <w:r w:rsidR="000A4FCB">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S</w:t>
      </w:r>
      <w:bookmarkEnd w:id="0"/>
      <w:bookmarkEnd w:id="1"/>
      <w:bookmarkEnd w:id="2"/>
    </w:p>
    <w:p w14:paraId="439E1674" w14:textId="77777777" w:rsidR="00824031" w:rsidRPr="000A4FCB" w:rsidRDefault="00824031" w:rsidP="00824031">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22D03257" w14:textId="77777777" w:rsidR="00824031" w:rsidRPr="000A4FCB" w:rsidRDefault="00824031" w:rsidP="00824031">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0A4FCB">
        <w:rPr>
          <w:rFonts w:ascii="Palatino Linotype" w:eastAsia="Calibri" w:hAnsi="Palatino Linotype" w:cs="Arial"/>
          <w:color w:val="000000" w:themeColor="text1"/>
          <w:lang w:val="es-ES"/>
        </w:rPr>
        <w:t xml:space="preserve">El </w:t>
      </w:r>
      <w:r w:rsidR="00CD2E55" w:rsidRPr="000A4FCB">
        <w:rPr>
          <w:rFonts w:ascii="Palatino Linotype" w:eastAsia="Calibri" w:hAnsi="Palatino Linotype" w:cs="Arial"/>
          <w:color w:val="000000" w:themeColor="text1"/>
          <w:lang w:val="es-ES"/>
        </w:rPr>
        <w:t>diecinueve de febrero de dos mil veinticuatro</w:t>
      </w:r>
      <w:r w:rsidRPr="000A4FCB">
        <w:rPr>
          <w:rFonts w:ascii="Palatino Linotype" w:eastAsia="Calibri" w:hAnsi="Palatino Linotype" w:cs="Arial"/>
          <w:color w:val="000000" w:themeColor="text1"/>
          <w:lang w:val="es-ES"/>
        </w:rPr>
        <w:t>, el particular</w:t>
      </w:r>
      <w:r w:rsidRPr="000A4FCB">
        <w:rPr>
          <w:rFonts w:ascii="Palatino Linotype" w:hAnsi="Palatino Linotype"/>
          <w:color w:val="000000" w:themeColor="text1"/>
        </w:rPr>
        <w:t xml:space="preserve"> presentó</w:t>
      </w:r>
      <w:r w:rsidRPr="000A4FCB">
        <w:rPr>
          <w:rFonts w:ascii="Palatino Linotype" w:hAnsi="Palatino Linotype"/>
          <w:b/>
          <w:color w:val="000000" w:themeColor="text1"/>
        </w:rPr>
        <w:t xml:space="preserve"> </w:t>
      </w:r>
      <w:r w:rsidRPr="000A4FCB">
        <w:rPr>
          <w:rFonts w:ascii="Palatino Linotype" w:hAnsi="Palatino Linotype"/>
          <w:bCs/>
          <w:color w:val="000000" w:themeColor="text1"/>
        </w:rPr>
        <w:t>a través del Sistema de Acceso a la Información Mexiquense (</w:t>
      </w:r>
      <w:r w:rsidRPr="000A4FCB">
        <w:rPr>
          <w:rFonts w:ascii="Palatino Linotype" w:eastAsia="Calibri" w:hAnsi="Palatino Linotype" w:cs="Arial"/>
          <w:color w:val="000000" w:themeColor="text1"/>
          <w:lang w:val="es-ES"/>
        </w:rPr>
        <w:t xml:space="preserve">SAIMEX), la solicitud de información pública registrada con el número </w:t>
      </w:r>
      <w:r w:rsidR="00CD2E55" w:rsidRPr="000A4FCB">
        <w:rPr>
          <w:rFonts w:ascii="Palatino Linotype" w:eastAsia="Times New Roman" w:hAnsi="Palatino Linotype" w:cs="Arial"/>
          <w:b/>
          <w:bCs/>
          <w:color w:val="000000" w:themeColor="text1"/>
        </w:rPr>
        <w:t xml:space="preserve">00158/ISSEMYM/IP/2024 </w:t>
      </w:r>
      <w:r w:rsidRPr="000A4FCB">
        <w:rPr>
          <w:rFonts w:ascii="Palatino Linotype" w:eastAsia="Calibri" w:hAnsi="Palatino Linotype" w:cs="Arial"/>
          <w:b/>
          <w:color w:val="000000" w:themeColor="text1"/>
          <w:lang w:val="es-ES"/>
        </w:rPr>
        <w:t>,</w:t>
      </w:r>
      <w:r w:rsidRPr="000A4FCB">
        <w:rPr>
          <w:rFonts w:ascii="Palatino Linotype" w:eastAsia="Calibri" w:hAnsi="Palatino Linotype" w:cs="Arial"/>
          <w:color w:val="000000" w:themeColor="text1"/>
          <w:lang w:val="es-ES"/>
        </w:rPr>
        <w:t xml:space="preserve"> </w:t>
      </w:r>
      <w:r w:rsidR="000A4FCB">
        <w:rPr>
          <w:rFonts w:ascii="Palatino Linotype" w:eastAsia="Calibri" w:hAnsi="Palatino Linotype" w:cs="Arial"/>
          <w:color w:val="000000" w:themeColor="text1"/>
          <w:lang w:val="es-ES"/>
        </w:rPr>
        <w:t xml:space="preserve">en la </w:t>
      </w:r>
      <w:r w:rsidRPr="000A4FCB">
        <w:rPr>
          <w:rFonts w:ascii="Palatino Linotype" w:eastAsia="Calibri" w:hAnsi="Palatino Linotype" w:cs="Arial"/>
          <w:color w:val="000000" w:themeColor="text1"/>
          <w:lang w:val="es-ES"/>
        </w:rPr>
        <w:t>que requirió lo siguiente:</w:t>
      </w:r>
    </w:p>
    <w:p w14:paraId="2827F10C" w14:textId="77777777" w:rsidR="00824031" w:rsidRPr="000A4FCB" w:rsidRDefault="00824031" w:rsidP="00824031">
      <w:pPr>
        <w:pStyle w:val="Prrafodelista"/>
        <w:spacing w:line="276" w:lineRule="auto"/>
        <w:ind w:left="567" w:right="567"/>
        <w:jc w:val="both"/>
        <w:rPr>
          <w:rFonts w:ascii="Palatino Linotype" w:hAnsi="Palatino Linotype"/>
          <w:i/>
          <w:color w:val="000000" w:themeColor="text1"/>
        </w:rPr>
      </w:pPr>
    </w:p>
    <w:p w14:paraId="1F57311A" w14:textId="77777777" w:rsidR="00824031" w:rsidRPr="000A4FCB" w:rsidRDefault="00824031" w:rsidP="00824031">
      <w:pPr>
        <w:pStyle w:val="Prrafodelista"/>
        <w:spacing w:line="276" w:lineRule="auto"/>
        <w:ind w:left="567" w:right="567"/>
        <w:jc w:val="both"/>
        <w:rPr>
          <w:rFonts w:ascii="Palatino Linotype" w:hAnsi="Palatino Linotype"/>
          <w:color w:val="000000" w:themeColor="text1"/>
        </w:rPr>
      </w:pPr>
      <w:r w:rsidRPr="000A4FCB">
        <w:rPr>
          <w:rFonts w:ascii="Palatino Linotype" w:hAnsi="Palatino Linotype"/>
          <w:i/>
          <w:color w:val="000000" w:themeColor="text1"/>
        </w:rPr>
        <w:t xml:space="preserve"> “</w:t>
      </w:r>
      <w:r w:rsidR="00CD2E55" w:rsidRPr="000A4FCB">
        <w:rPr>
          <w:rFonts w:ascii="Palatino Linotype" w:hAnsi="Palatino Linotype"/>
          <w:i/>
          <w:color w:val="000000" w:themeColor="text1"/>
        </w:rPr>
        <w:t>…Solicito la información de por qué y bajo qué términos legales el actual coordinador de servicios de Salud del ISSEMyM, de 2010 a 2023 mientras ostentaba el cargo de Director de Centro Médico ISSEMYM dejó operar de manera ilegal el programa de cirugía bariatrica de Centro Médico Issemym , sin contar con cirujanos entrenados en institutos de alta especialidad avalados por el Consejo Mexicano de Cirugía y muchos menos las certificaciones correspondientes conforme a la norma oficial mexicana para la cirugía de obesidad.</w:t>
      </w:r>
      <w:r w:rsidRPr="000A4FCB">
        <w:rPr>
          <w:rFonts w:ascii="Palatino Linotype" w:hAnsi="Palatino Linotype"/>
          <w:i/>
          <w:color w:val="000000" w:themeColor="text1"/>
        </w:rPr>
        <w:t>.</w:t>
      </w:r>
      <w:r w:rsidRPr="000A4FCB">
        <w:rPr>
          <w:rFonts w:ascii="Palatino Linotype" w:hAnsi="Palatino Linotype"/>
          <w:i/>
          <w:iCs/>
          <w:color w:val="000000" w:themeColor="text1"/>
        </w:rPr>
        <w:t>.</w:t>
      </w:r>
      <w:r w:rsidRPr="000A4FCB">
        <w:rPr>
          <w:rFonts w:ascii="Palatino Linotype" w:hAnsi="Palatino Linotype"/>
          <w:i/>
          <w:color w:val="000000" w:themeColor="text1"/>
        </w:rPr>
        <w:t xml:space="preserve">” </w:t>
      </w:r>
      <w:r w:rsidRPr="000A4FCB">
        <w:rPr>
          <w:rFonts w:ascii="Palatino Linotype" w:hAnsi="Palatino Linotype"/>
          <w:color w:val="000000" w:themeColor="text1"/>
        </w:rPr>
        <w:t>(Sic).</w:t>
      </w:r>
    </w:p>
    <w:p w14:paraId="6F0380D1" w14:textId="77777777" w:rsidR="00824031" w:rsidRPr="000A4FCB" w:rsidRDefault="00824031" w:rsidP="00824031">
      <w:pPr>
        <w:spacing w:line="360" w:lineRule="auto"/>
        <w:ind w:right="333"/>
        <w:jc w:val="both"/>
        <w:rPr>
          <w:rFonts w:ascii="Palatino Linotype" w:hAnsi="Palatino Linotype"/>
          <w:color w:val="000000" w:themeColor="text1"/>
        </w:rPr>
      </w:pPr>
    </w:p>
    <w:p w14:paraId="7471D1FA" w14:textId="77777777" w:rsidR="00824031" w:rsidRPr="000A4FCB" w:rsidRDefault="00824031" w:rsidP="00824031">
      <w:pPr>
        <w:pStyle w:val="Prrafodelista"/>
        <w:numPr>
          <w:ilvl w:val="0"/>
          <w:numId w:val="1"/>
        </w:numPr>
        <w:tabs>
          <w:tab w:val="left" w:pos="426"/>
        </w:tabs>
        <w:spacing w:line="360" w:lineRule="auto"/>
        <w:ind w:left="0" w:firstLine="0"/>
        <w:jc w:val="both"/>
        <w:rPr>
          <w:rFonts w:ascii="Palatino Linotype" w:eastAsia="MS Mincho" w:hAnsi="Palatino Linotype" w:cs="Times New Roman"/>
          <w:color w:val="000000" w:themeColor="text1"/>
        </w:rPr>
      </w:pPr>
      <w:r w:rsidRPr="000A4FCB">
        <w:rPr>
          <w:rFonts w:ascii="Palatino Linotype" w:hAnsi="Palatino Linotype" w:cs="Arial"/>
          <w:color w:val="000000" w:themeColor="text1"/>
        </w:rPr>
        <w:lastRenderedPageBreak/>
        <w:t xml:space="preserve">Se hace constar que </w:t>
      </w:r>
      <w:r w:rsidRPr="000A4FCB">
        <w:rPr>
          <w:rFonts w:ascii="Palatino Linotype" w:eastAsia="Times New Roman" w:hAnsi="Palatino Linotype" w:cs="Arial"/>
          <w:color w:val="000000" w:themeColor="text1"/>
          <w:lang w:val="es-ES"/>
        </w:rPr>
        <w:t xml:space="preserve">el entonces </w:t>
      </w:r>
      <w:r w:rsidRPr="000A4FCB">
        <w:rPr>
          <w:rFonts w:ascii="Palatino Linotype" w:eastAsia="Times New Roman" w:hAnsi="Palatino Linotype" w:cs="Arial"/>
          <w:b/>
          <w:color w:val="000000" w:themeColor="text1"/>
          <w:lang w:val="es-ES"/>
        </w:rPr>
        <w:t>SOLICITANTE</w:t>
      </w:r>
      <w:r w:rsidRPr="000A4FCB">
        <w:rPr>
          <w:rFonts w:ascii="Palatino Linotype" w:eastAsia="Times New Roman" w:hAnsi="Palatino Linotype" w:cs="Arial"/>
          <w:color w:val="000000" w:themeColor="text1"/>
          <w:lang w:val="es-ES"/>
        </w:rPr>
        <w:t xml:space="preserve"> señaló como modalidad de entrega de la información</w:t>
      </w:r>
      <w:r w:rsidRPr="000A4FCB">
        <w:rPr>
          <w:rFonts w:ascii="Palatino Linotype" w:eastAsia="Times New Roman" w:hAnsi="Palatino Linotype" w:cs="Arial"/>
          <w:bCs/>
          <w:color w:val="000000" w:themeColor="text1"/>
          <w:lang w:val="es-ES"/>
        </w:rPr>
        <w:t>:</w:t>
      </w:r>
      <w:r w:rsidRPr="000A4FCB">
        <w:rPr>
          <w:rFonts w:ascii="Palatino Linotype" w:eastAsia="Times New Roman" w:hAnsi="Palatino Linotype" w:cs="Arial"/>
          <w:b/>
          <w:color w:val="000000" w:themeColor="text1"/>
          <w:lang w:val="es-ES"/>
        </w:rPr>
        <w:t xml:space="preserve"> </w:t>
      </w:r>
      <w:r w:rsidR="00CD2E55" w:rsidRPr="000A4FCB">
        <w:rPr>
          <w:rFonts w:ascii="Palatino Linotype" w:eastAsia="Times New Roman" w:hAnsi="Palatino Linotype" w:cs="Arial"/>
          <w:b/>
          <w:i/>
          <w:iCs/>
          <w:color w:val="000000" w:themeColor="text1"/>
          <w:lang w:val="es-ES"/>
        </w:rPr>
        <w:t>Copias Simples con Costo</w:t>
      </w:r>
      <w:r w:rsidRPr="000A4FCB">
        <w:rPr>
          <w:rFonts w:ascii="Palatino Linotype" w:eastAsia="Calibri" w:hAnsi="Palatino Linotype" w:cs="Arial"/>
          <w:color w:val="000000" w:themeColor="text1"/>
          <w:lang w:val="es-ES"/>
        </w:rPr>
        <w:t>.</w:t>
      </w:r>
    </w:p>
    <w:p w14:paraId="4D914DFE" w14:textId="77777777" w:rsidR="00824031" w:rsidRPr="000A4FCB" w:rsidRDefault="00824031" w:rsidP="00824031">
      <w:pPr>
        <w:pStyle w:val="Prrafodelista"/>
        <w:spacing w:line="360" w:lineRule="auto"/>
        <w:ind w:left="284"/>
        <w:jc w:val="both"/>
        <w:rPr>
          <w:rFonts w:ascii="Palatino Linotype" w:eastAsia="MS Mincho" w:hAnsi="Palatino Linotype" w:cs="Times New Roman"/>
          <w:color w:val="000000" w:themeColor="text1"/>
        </w:rPr>
      </w:pPr>
    </w:p>
    <w:p w14:paraId="5A69F1F2" w14:textId="77777777" w:rsidR="00CD2E55" w:rsidRPr="000A4FCB" w:rsidRDefault="00CD2E55" w:rsidP="00824031">
      <w:pPr>
        <w:pStyle w:val="Prrafodelista"/>
        <w:numPr>
          <w:ilvl w:val="0"/>
          <w:numId w:val="1"/>
        </w:numPr>
        <w:tabs>
          <w:tab w:val="left" w:pos="426"/>
        </w:tabs>
        <w:spacing w:line="360" w:lineRule="auto"/>
        <w:ind w:left="0" w:firstLine="0"/>
        <w:jc w:val="both"/>
        <w:rPr>
          <w:rFonts w:ascii="Palatino Linotype" w:hAnsi="Palatino Linotype" w:cs="Arial"/>
        </w:rPr>
      </w:pPr>
      <w:r w:rsidRPr="000A4FCB">
        <w:rPr>
          <w:rFonts w:ascii="Palatino Linotype" w:hAnsi="Palatino Linotype" w:cs="Arial"/>
        </w:rPr>
        <w:t xml:space="preserve">El </w:t>
      </w:r>
      <w:r w:rsidRPr="000A4FCB">
        <w:rPr>
          <w:rFonts w:ascii="Palatino Linotype" w:hAnsi="Palatino Linotype" w:cs="Arial"/>
          <w:b/>
        </w:rPr>
        <w:t xml:space="preserve">veinte de febrero de dos mil veinticuatro </w:t>
      </w:r>
      <w:r w:rsidRPr="000A4FCB">
        <w:rPr>
          <w:rFonts w:ascii="Palatino Linotype" w:hAnsi="Palatino Linotype" w:cs="Arial"/>
        </w:rPr>
        <w:t xml:space="preserve">el </w:t>
      </w:r>
      <w:r w:rsidRPr="000A4FCB">
        <w:rPr>
          <w:rFonts w:ascii="Palatino Linotype" w:hAnsi="Palatino Linotype" w:cs="Arial"/>
          <w:b/>
        </w:rPr>
        <w:t xml:space="preserve">SUJETO OBLIGADO </w:t>
      </w:r>
      <w:r w:rsidRPr="000A4FCB">
        <w:rPr>
          <w:rFonts w:ascii="Palatino Linotype" w:hAnsi="Palatino Linotype" w:cs="Arial"/>
        </w:rPr>
        <w:t xml:space="preserve">giro el requerimiento para atender la solicitud de información </w:t>
      </w:r>
      <w:r w:rsidRPr="000A4FCB">
        <w:rPr>
          <w:rFonts w:ascii="Palatino Linotype" w:hAnsi="Palatino Linotype" w:cs="Arial"/>
          <w:b/>
          <w:bCs/>
        </w:rPr>
        <w:t xml:space="preserve">00158/ISSEMYM/IP/2024. </w:t>
      </w:r>
    </w:p>
    <w:p w14:paraId="2D73C79A" w14:textId="77777777" w:rsidR="00CD2E55" w:rsidRPr="000A4FCB" w:rsidRDefault="00CD2E55" w:rsidP="00CD2E55">
      <w:pPr>
        <w:pStyle w:val="Prrafodelista"/>
        <w:rPr>
          <w:rFonts w:ascii="Palatino Linotype" w:eastAsia="MS Mincho" w:hAnsi="Palatino Linotype" w:cs="Times New Roman"/>
          <w:color w:val="000000" w:themeColor="text1"/>
        </w:rPr>
      </w:pPr>
    </w:p>
    <w:p w14:paraId="4DBD2DFF" w14:textId="77777777" w:rsidR="00824031" w:rsidRPr="000A4FCB" w:rsidRDefault="00CD2E55" w:rsidP="00824031">
      <w:pPr>
        <w:pStyle w:val="Prrafodelista"/>
        <w:numPr>
          <w:ilvl w:val="0"/>
          <w:numId w:val="1"/>
        </w:numPr>
        <w:tabs>
          <w:tab w:val="left" w:pos="426"/>
        </w:tabs>
        <w:spacing w:line="360" w:lineRule="auto"/>
        <w:ind w:left="0" w:firstLine="0"/>
        <w:jc w:val="both"/>
        <w:rPr>
          <w:rFonts w:ascii="Palatino Linotype" w:hAnsi="Palatino Linotype" w:cs="Arial"/>
        </w:rPr>
      </w:pPr>
      <w:r w:rsidRPr="000A4FCB">
        <w:rPr>
          <w:rFonts w:ascii="Palatino Linotype" w:eastAsia="MS Mincho" w:hAnsi="Palatino Linotype" w:cs="Times New Roman"/>
          <w:color w:val="000000" w:themeColor="text1"/>
        </w:rPr>
        <w:t>Posteriormente</w:t>
      </w:r>
      <w:r w:rsidR="00824031" w:rsidRPr="000A4FCB">
        <w:rPr>
          <w:rFonts w:ascii="Palatino Linotype" w:eastAsia="MS Mincho" w:hAnsi="Palatino Linotype" w:cs="Times New Roman"/>
          <w:color w:val="000000" w:themeColor="text1"/>
        </w:rPr>
        <w:t xml:space="preserve">, </w:t>
      </w:r>
      <w:r w:rsidRPr="000A4FCB">
        <w:rPr>
          <w:rFonts w:ascii="Palatino Linotype" w:eastAsia="MS Mincho" w:hAnsi="Palatino Linotype" w:cs="Times New Roman"/>
          <w:color w:val="000000" w:themeColor="text1"/>
        </w:rPr>
        <w:t xml:space="preserve">el </w:t>
      </w:r>
      <w:r w:rsidRPr="000A4FCB">
        <w:rPr>
          <w:rFonts w:ascii="Palatino Linotype" w:eastAsia="MS Mincho" w:hAnsi="Palatino Linotype" w:cs="Times New Roman"/>
          <w:b/>
          <w:color w:val="000000" w:themeColor="text1"/>
        </w:rPr>
        <w:t xml:space="preserve">cuatro de marzo de dos mil veinticuatro </w:t>
      </w:r>
      <w:r w:rsidRPr="000A4FCB">
        <w:rPr>
          <w:rFonts w:ascii="Palatino Linotype" w:eastAsia="MS Mincho" w:hAnsi="Palatino Linotype" w:cs="Times New Roman"/>
          <w:color w:val="000000" w:themeColor="text1"/>
        </w:rPr>
        <w:t xml:space="preserve">el </w:t>
      </w:r>
      <w:r w:rsidR="00824031" w:rsidRPr="000A4FCB">
        <w:rPr>
          <w:rFonts w:ascii="Palatino Linotype" w:eastAsia="MS Mincho" w:hAnsi="Palatino Linotype" w:cs="Times New Roman"/>
          <w:b/>
          <w:bCs/>
          <w:color w:val="000000" w:themeColor="text1"/>
        </w:rPr>
        <w:t>SUJETO OBLIGADO</w:t>
      </w:r>
      <w:r w:rsidR="00824031" w:rsidRPr="000A4FCB">
        <w:rPr>
          <w:rFonts w:ascii="Palatino Linotype" w:eastAsia="MS Mincho" w:hAnsi="Palatino Linotype" w:cs="Times New Roman"/>
          <w:color w:val="000000" w:themeColor="text1"/>
        </w:rPr>
        <w:t xml:space="preserve"> dio respuesta a la solicitud de información mediante un archivo electrónico en formato PDF</w:t>
      </w:r>
      <w:r w:rsidR="00824031" w:rsidRPr="000A4FCB">
        <w:rPr>
          <w:rFonts w:ascii="Palatino Linotype" w:eastAsia="MS Mincho" w:hAnsi="Palatino Linotype" w:cs="Times New Roman"/>
        </w:rPr>
        <w:t xml:space="preserve">, cuyo contenido toral es el siguiente: </w:t>
      </w:r>
    </w:p>
    <w:p w14:paraId="6D9A5B50" w14:textId="77777777" w:rsidR="000C5CED" w:rsidRPr="000A4FCB" w:rsidRDefault="000C5CED" w:rsidP="000C5CED">
      <w:pPr>
        <w:pStyle w:val="Prrafodelista"/>
        <w:tabs>
          <w:tab w:val="left" w:pos="426"/>
        </w:tabs>
        <w:ind w:left="1134" w:right="900"/>
        <w:jc w:val="both"/>
        <w:rPr>
          <w:rFonts w:ascii="Palatino Linotype" w:hAnsi="Palatino Linotype" w:cs="Arial"/>
          <w:i/>
          <w:sz w:val="22"/>
        </w:rPr>
      </w:pPr>
      <w:r w:rsidRPr="000A4FCB">
        <w:rPr>
          <w:rStyle w:val="Hipervnculo"/>
          <w:rFonts w:ascii="Palatino Linotype" w:hAnsi="Palatino Linotype" w:cs="Arial"/>
          <w:b/>
          <w:bCs/>
          <w:i/>
          <w:color w:val="auto"/>
          <w:sz w:val="22"/>
          <w:u w:val="none"/>
        </w:rPr>
        <w:t>RESPUESTA 158 IP.pdf</w:t>
      </w:r>
      <w:r w:rsidRPr="000A4FCB">
        <w:rPr>
          <w:rFonts w:ascii="Palatino Linotype" w:hAnsi="Palatino Linotype" w:cs="Arial"/>
          <w:i/>
          <w:sz w:val="22"/>
        </w:rPr>
        <w:t xml:space="preserve">: oficio del Titular de la Unidad de Transparencia, mediante el cual informa que el 4 de agosto de 2010 fue publicada la norma oficial mexicana NOM-008-SSA3-2010 para el tratamiento integral del sobrepeso y la obesidad, de la cual remiten las disposiciones específicas que cubre el perfil de puestos y la vigencia de la entrada de la norma. </w:t>
      </w:r>
    </w:p>
    <w:p w14:paraId="55ADF76F" w14:textId="77777777" w:rsidR="00824031" w:rsidRPr="000A4FCB" w:rsidRDefault="00824031" w:rsidP="00824031">
      <w:pPr>
        <w:pStyle w:val="Prrafodelista"/>
        <w:tabs>
          <w:tab w:val="left" w:pos="426"/>
        </w:tabs>
        <w:spacing w:line="360" w:lineRule="auto"/>
        <w:ind w:left="0"/>
        <w:jc w:val="both"/>
        <w:rPr>
          <w:rFonts w:ascii="Palatino Linotype" w:hAnsi="Palatino Linotype" w:cs="Arial"/>
        </w:rPr>
      </w:pPr>
    </w:p>
    <w:p w14:paraId="0DFA4268" w14:textId="77777777" w:rsidR="00824031" w:rsidRPr="000A4FCB" w:rsidRDefault="00824031" w:rsidP="000C5CE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0A4FCB">
        <w:rPr>
          <w:rFonts w:ascii="Palatino Linotype" w:eastAsia="Times New Roman" w:hAnsi="Palatino Linotype" w:cs="Arial"/>
          <w:color w:val="000000" w:themeColor="text1"/>
          <w:lang w:val="es-ES"/>
        </w:rPr>
        <w:t xml:space="preserve">Derivado de lo anterior, el </w:t>
      </w:r>
      <w:r w:rsidR="000C5CED" w:rsidRPr="000A4FCB">
        <w:rPr>
          <w:rFonts w:ascii="Palatino Linotype" w:eastAsia="Times New Roman" w:hAnsi="Palatino Linotype" w:cs="Arial"/>
          <w:b/>
          <w:color w:val="000000" w:themeColor="text1"/>
          <w:lang w:val="es-ES"/>
        </w:rPr>
        <w:t>cinco de marzo de dos mil veinticuatro</w:t>
      </w:r>
      <w:r w:rsidRPr="000A4FCB">
        <w:rPr>
          <w:rFonts w:ascii="Palatino Linotype" w:eastAsia="Times New Roman" w:hAnsi="Palatino Linotype" w:cs="Arial"/>
          <w:color w:val="000000" w:themeColor="text1"/>
          <w:lang w:val="es-ES"/>
        </w:rPr>
        <w:t xml:space="preserve">, el particular interpuso el recurso de revisión </w:t>
      </w:r>
      <w:r w:rsidRPr="000A4FCB">
        <w:rPr>
          <w:rFonts w:ascii="Palatino Linotype" w:hAnsi="Palatino Linotype"/>
          <w:b/>
          <w:bCs/>
        </w:rPr>
        <w:tab/>
        <w:t>01243/INFOEM/IP/RR/2024</w:t>
      </w:r>
      <w:r w:rsidRPr="000A4FCB">
        <w:rPr>
          <w:rFonts w:ascii="Palatino Linotype" w:eastAsia="Calibri" w:hAnsi="Palatino Linotype" w:cs="Arial"/>
          <w:color w:val="000000" w:themeColor="text1"/>
          <w:lang w:val="es-ES"/>
        </w:rPr>
        <w:t>;</w:t>
      </w:r>
      <w:r w:rsidRPr="000A4FCB">
        <w:rPr>
          <w:rFonts w:ascii="Palatino Linotype" w:eastAsia="Times New Roman" w:hAnsi="Palatino Linotype" w:cs="Arial"/>
          <w:color w:val="000000" w:themeColor="text1"/>
          <w:lang w:val="es-ES"/>
        </w:rPr>
        <w:t xml:space="preserve"> impugnación en la que refirió lo siguiente:</w:t>
      </w:r>
    </w:p>
    <w:p w14:paraId="54D24488" w14:textId="77777777" w:rsidR="00824031" w:rsidRPr="000A4FCB" w:rsidRDefault="00824031" w:rsidP="00824031">
      <w:pPr>
        <w:pStyle w:val="Prrafodelista"/>
        <w:numPr>
          <w:ilvl w:val="0"/>
          <w:numId w:val="2"/>
        </w:numPr>
        <w:tabs>
          <w:tab w:val="left" w:pos="851"/>
        </w:tabs>
        <w:spacing w:line="276" w:lineRule="auto"/>
        <w:ind w:left="1134" w:right="567"/>
        <w:jc w:val="both"/>
        <w:rPr>
          <w:rFonts w:ascii="Palatino Linotype" w:eastAsia="Times New Roman" w:hAnsi="Palatino Linotype" w:cs="Arial"/>
          <w:color w:val="000000" w:themeColor="text1"/>
          <w:sz w:val="22"/>
          <w:lang w:val="es-ES"/>
        </w:rPr>
      </w:pPr>
      <w:r w:rsidRPr="000A4FCB">
        <w:rPr>
          <w:rFonts w:ascii="Palatino Linotype" w:eastAsia="Times New Roman" w:hAnsi="Palatino Linotype" w:cs="Arial"/>
          <w:b/>
          <w:color w:val="000000" w:themeColor="text1"/>
          <w:sz w:val="22"/>
          <w:lang w:val="es-ES"/>
        </w:rPr>
        <w:t>Acto impugnado:</w:t>
      </w:r>
      <w:r w:rsidRPr="000A4FCB">
        <w:rPr>
          <w:rFonts w:ascii="Palatino Linotype" w:eastAsia="Times New Roman" w:hAnsi="Palatino Linotype" w:cs="Arial"/>
          <w:color w:val="000000" w:themeColor="text1"/>
          <w:sz w:val="22"/>
          <w:lang w:val="es-ES"/>
        </w:rPr>
        <w:t xml:space="preserve"> “</w:t>
      </w:r>
      <w:r w:rsidR="000C5CED" w:rsidRPr="000A4FCB">
        <w:rPr>
          <w:rFonts w:ascii="Palatino Linotype" w:eastAsia="Times New Roman" w:hAnsi="Palatino Linotype" w:cs="Arial"/>
          <w:i/>
          <w:color w:val="000000" w:themeColor="text1"/>
          <w:sz w:val="22"/>
        </w:rPr>
        <w:t xml:space="preserve">El desconocimiento y la improvisación por parte del las autoridades de ISSEMyM ha generado omisión en la correcta revisión de la legislación y las certificaciones correspondientes para ejercer la cirugía bariatrica en México , lo cual como establece y en relación al numeral 6.1.1.1 debe contar , en los términos de lo previsto por las disposiciones aplicables , con título, cédula de médico especialista en (según sea el caso y certificación) , tratándose específicamente en este caso de Cirugía Bariatrica, el certificado vigente de especialista, para ser completamente claros “el certificado como especialista en Cirugía Bariatrica”, no cirugía general , no cirugia Endoscópica , no cirugía pediátrica. Por lo cual solicito por parte de los integrantes del programa de Cirugía Bariatrica del Centro Médico Issemym durante 2010 a 2023. Muestre su certificado como especialista en cirugía bariatrica como a continuación se anexa el ejemplo , y bien el diploma por parte del Instituto en el cual llevó a cabo el entrenamiento específico de Cirugía Bariátrica y de </w:t>
      </w:r>
      <w:r w:rsidR="000C5CED" w:rsidRPr="000A4FCB">
        <w:rPr>
          <w:rFonts w:ascii="Palatino Linotype" w:eastAsia="Times New Roman" w:hAnsi="Palatino Linotype" w:cs="Arial"/>
          <w:i/>
          <w:color w:val="000000" w:themeColor="text1"/>
          <w:sz w:val="22"/>
        </w:rPr>
        <w:lastRenderedPageBreak/>
        <w:t xml:space="preserve">Obesidad . Centro de entrenamiento el cual debe estar avalado por el Consejo Mexicano de </w:t>
      </w:r>
      <w:r w:rsidR="000C5CED" w:rsidRPr="00F722C6">
        <w:rPr>
          <w:rFonts w:ascii="Palatino Linotype" w:eastAsia="Times New Roman" w:hAnsi="Palatino Linotype" w:cs="Arial"/>
          <w:i/>
          <w:color w:val="000000" w:themeColor="text1"/>
          <w:sz w:val="22"/>
        </w:rPr>
        <w:t>Cirugía General y que se limita a los siguientes: Hospital General Dr. Manuel Gea González CDMX 12 meses de entrenamiento Aval universitario UNAM Profesor Titular Dr. Martín Edgardo Rojano Rodríguez. Hospital Ángeles del pedregal CDMX 12 meses de entrenamiento Aval universitario UNAM Profesor Titular Dr. Armando Castillo González. Hospital</w:t>
      </w:r>
      <w:r w:rsidR="000C5CED" w:rsidRPr="000A4FCB">
        <w:rPr>
          <w:rFonts w:ascii="Palatino Linotype" w:eastAsia="Times New Roman" w:hAnsi="Palatino Linotype" w:cs="Arial"/>
          <w:i/>
          <w:color w:val="000000" w:themeColor="text1"/>
          <w:sz w:val="22"/>
        </w:rPr>
        <w:t xml:space="preserve"> Ángeles de Tijuana Tijuana BC. 12 meses de entrenamiento Universidad Autónoma de Baja California Profesor Titular Dr. Juan Antonio López Corvalá. CMN “20 de Noviembre” ISSTE CDMX 12 meses de entrenamiento Aval universitario UNAM Profesor Titular Dr. Jesús Montoya Ramírez. Centro Médico Nacional Siglo XXI IMSS CDMX 12 meses de entrenamiento Aval universitario UNAM Profesor Titular: Dr. Arturo Rodríguez González. Nuevo Hospital Civil de Guadalajara Dr. Juan I. Menchaca Guadalajara, Jalisco. 24 meses de adiestramiento Título de Especialidad en Cirugía Bariátrica con aval de Universidad de Guadalajara Profesor Titular: Dra. Patricia Sánchez Muñoz. Hospital Universitario Dr. José Eleuterio González UANL Monterrey, Nuevo León. 12 meses de adiestramiento Aval Universitario UANL Profesor Titular: Dr. Luis Fernando Zorrilla Núñez. Hospital General Tláhuac – Secretaría de Salud del Gobierno de CDMX CDMX 12 meses de adiestramiento Aval Universitario de UNAM Profesor Titular: Dr. Carlos Zerrweck López. Hospital San José - TEC de Monterrey Monterrey, Nuevo León. 12 meses de adiestramiento Aval Universitario ITESM Profesor Titular.- Dr. Javier Rojas Méndez. Centro Medico ABC Observatorio CDMX 12 meses de adiestramiento Aval Universitario UNAM Profesor Titular.- Dr. Miguel Francisco Herrera Hernández. Hospital General de México Dr. Eduardo Liceaga CDMX 12 meses de adiestramiento Aval Universitario UNAM Profesor Titular: Dr. Jorge Enrique Ramírez Velásquez. Instituto Nacional de Ciencias Médicas y Nutrición Salvador Zubirán CDMX 12 meses de adiestramiento Aval Universitario UNAM Profesor titular: Dr. Juan Pablo Pantoja Millán. Solicitando a la brevedad los certificados como especialista en cirugía Bariatrica del Dr Guillermo Berrones Stringel y los participantes del programa de 2010 a 2023 . Así como revisión de respuesta por parte de la Coordinación de Servicios de Salud, ya que en caso de no contar con la certificación, estaría encubriendo un posible delito</w:t>
      </w:r>
      <w:r w:rsidRPr="000A4FCB">
        <w:rPr>
          <w:rFonts w:ascii="Palatino Linotype" w:eastAsia="Times New Roman" w:hAnsi="Palatino Linotype" w:cs="Arial"/>
          <w:i/>
          <w:color w:val="000000" w:themeColor="text1"/>
          <w:sz w:val="22"/>
        </w:rPr>
        <w:t>.</w:t>
      </w:r>
      <w:r w:rsidRPr="000A4FCB">
        <w:rPr>
          <w:rFonts w:ascii="Palatino Linotype" w:eastAsia="Times New Roman" w:hAnsi="Palatino Linotype" w:cs="Arial"/>
          <w:i/>
          <w:color w:val="000000" w:themeColor="text1"/>
          <w:sz w:val="22"/>
          <w:lang w:val="es-ES"/>
        </w:rPr>
        <w:t>”</w:t>
      </w:r>
      <w:r w:rsidRPr="000A4FCB">
        <w:rPr>
          <w:rFonts w:ascii="Palatino Linotype" w:eastAsia="Times New Roman" w:hAnsi="Palatino Linotype" w:cs="Arial"/>
          <w:color w:val="000000" w:themeColor="text1"/>
          <w:sz w:val="22"/>
          <w:lang w:val="es-ES"/>
        </w:rPr>
        <w:t xml:space="preserve"> (Sic).</w:t>
      </w:r>
    </w:p>
    <w:p w14:paraId="219BEA74" w14:textId="77777777" w:rsidR="00824031" w:rsidRPr="000A4FCB" w:rsidRDefault="00824031" w:rsidP="00824031">
      <w:pPr>
        <w:pStyle w:val="Prrafodelista"/>
        <w:tabs>
          <w:tab w:val="left" w:pos="851"/>
        </w:tabs>
        <w:spacing w:line="276" w:lineRule="auto"/>
        <w:ind w:left="1134" w:right="567"/>
        <w:jc w:val="both"/>
        <w:rPr>
          <w:rFonts w:ascii="Palatino Linotype" w:eastAsia="Times New Roman" w:hAnsi="Palatino Linotype" w:cs="Arial"/>
          <w:color w:val="000000" w:themeColor="text1"/>
          <w:sz w:val="22"/>
          <w:lang w:val="es-ES"/>
        </w:rPr>
      </w:pPr>
    </w:p>
    <w:p w14:paraId="757E1DD5" w14:textId="77777777" w:rsidR="00824031" w:rsidRPr="000A4FCB" w:rsidRDefault="00824031" w:rsidP="00824031">
      <w:pPr>
        <w:pStyle w:val="Prrafodelista"/>
        <w:numPr>
          <w:ilvl w:val="0"/>
          <w:numId w:val="2"/>
        </w:numPr>
        <w:tabs>
          <w:tab w:val="left" w:pos="851"/>
        </w:tabs>
        <w:spacing w:line="276" w:lineRule="auto"/>
        <w:ind w:left="1134" w:right="567"/>
        <w:jc w:val="both"/>
        <w:rPr>
          <w:rFonts w:ascii="Palatino Linotype" w:eastAsia="Times New Roman" w:hAnsi="Palatino Linotype" w:cs="Arial"/>
          <w:color w:val="000000" w:themeColor="text1"/>
          <w:sz w:val="22"/>
          <w:lang w:val="es-ES"/>
        </w:rPr>
      </w:pPr>
      <w:r w:rsidRPr="000A4FCB">
        <w:rPr>
          <w:rFonts w:ascii="Palatino Linotype" w:eastAsia="Times New Roman" w:hAnsi="Palatino Linotype" w:cs="Arial"/>
          <w:b/>
          <w:color w:val="000000" w:themeColor="text1"/>
          <w:sz w:val="22"/>
          <w:lang w:val="es-ES"/>
        </w:rPr>
        <w:t>Razones o motivos de inconformidad:</w:t>
      </w:r>
      <w:r w:rsidRPr="000A4FCB">
        <w:rPr>
          <w:rFonts w:ascii="Palatino Linotype" w:eastAsia="Times New Roman" w:hAnsi="Palatino Linotype" w:cs="Arial"/>
          <w:color w:val="000000" w:themeColor="text1"/>
          <w:sz w:val="22"/>
          <w:lang w:val="es-ES"/>
        </w:rPr>
        <w:t xml:space="preserve"> </w:t>
      </w:r>
      <w:r w:rsidRPr="000A4FCB">
        <w:rPr>
          <w:rFonts w:ascii="Palatino Linotype" w:eastAsia="Times New Roman" w:hAnsi="Palatino Linotype" w:cs="Arial"/>
          <w:i/>
          <w:iCs/>
          <w:color w:val="000000" w:themeColor="text1"/>
          <w:sz w:val="22"/>
          <w:lang w:val="es-ES"/>
        </w:rPr>
        <w:t>“</w:t>
      </w:r>
      <w:r w:rsidR="000C5CED" w:rsidRPr="000A4FCB">
        <w:rPr>
          <w:rFonts w:ascii="Palatino Linotype" w:hAnsi="Palatino Linotype"/>
          <w:i/>
          <w:color w:val="000000"/>
          <w:sz w:val="22"/>
        </w:rPr>
        <w:t xml:space="preserve">Se sospecha encubrimiento por parte de las autoridades de práctica profesional ilegal , por lo cual solicitamos certificado en atención al </w:t>
      </w:r>
      <w:r w:rsidR="000C5CED" w:rsidRPr="000A4FCB">
        <w:rPr>
          <w:rFonts w:ascii="Palatino Linotype" w:hAnsi="Palatino Linotype"/>
          <w:i/>
          <w:color w:val="000000"/>
          <w:sz w:val="22"/>
        </w:rPr>
        <w:lastRenderedPageBreak/>
        <w:t>numeral que ellos mismo refieren 6.1.1.1 y que se relaciona única y exclusivamente con la especialidad de cirugía bariatrica. Se anexa ejemplo de certificado por el Conacem.</w:t>
      </w:r>
      <w:r w:rsidRPr="000A4FCB">
        <w:rPr>
          <w:rFonts w:ascii="Palatino Linotype" w:eastAsia="Times New Roman" w:hAnsi="Palatino Linotype" w:cs="Arial"/>
          <w:i/>
          <w:iCs/>
          <w:color w:val="000000" w:themeColor="text1"/>
          <w:sz w:val="22"/>
          <w:lang w:val="es-ES"/>
        </w:rPr>
        <w:t>”</w:t>
      </w:r>
      <w:r w:rsidRPr="000A4FCB">
        <w:rPr>
          <w:rFonts w:ascii="Palatino Linotype" w:eastAsia="Times New Roman" w:hAnsi="Palatino Linotype" w:cs="Arial"/>
          <w:color w:val="000000" w:themeColor="text1"/>
          <w:sz w:val="22"/>
          <w:lang w:val="es-ES"/>
        </w:rPr>
        <w:t xml:space="preserve"> (Sic).</w:t>
      </w:r>
    </w:p>
    <w:p w14:paraId="024B6F57" w14:textId="77777777" w:rsidR="00824031" w:rsidRPr="000A4FCB" w:rsidRDefault="00824031" w:rsidP="00824031">
      <w:pPr>
        <w:tabs>
          <w:tab w:val="left" w:pos="426"/>
        </w:tabs>
        <w:spacing w:line="360" w:lineRule="auto"/>
        <w:jc w:val="both"/>
        <w:rPr>
          <w:rFonts w:ascii="Palatino Linotype" w:hAnsi="Palatino Linotype"/>
          <w:color w:val="000000" w:themeColor="text1"/>
        </w:rPr>
      </w:pPr>
    </w:p>
    <w:p w14:paraId="22FB12EE" w14:textId="77777777" w:rsidR="005F0C41" w:rsidRPr="000A4FCB" w:rsidRDefault="005F0C41" w:rsidP="000C5CED">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0A4FCB">
        <w:rPr>
          <w:rFonts w:ascii="Palatino Linotype" w:eastAsia="Calibri" w:hAnsi="Palatino Linotype" w:cs="Arial"/>
          <w:color w:val="000000" w:themeColor="text1"/>
          <w:lang w:val="es-ES"/>
        </w:rPr>
        <w:t xml:space="preserve">Al momento de interponer el recurso el </w:t>
      </w:r>
      <w:r w:rsidRPr="000A4FCB">
        <w:rPr>
          <w:rFonts w:ascii="Palatino Linotype" w:eastAsia="Calibri" w:hAnsi="Palatino Linotype" w:cs="Arial"/>
          <w:b/>
          <w:color w:val="000000" w:themeColor="text1"/>
          <w:lang w:val="es-ES"/>
        </w:rPr>
        <w:t xml:space="preserve">RECURRENTE </w:t>
      </w:r>
      <w:r w:rsidRPr="000A4FCB">
        <w:rPr>
          <w:rFonts w:ascii="Palatino Linotype" w:eastAsia="Calibri" w:hAnsi="Palatino Linotype" w:cs="Arial"/>
          <w:color w:val="000000" w:themeColor="text1"/>
          <w:lang w:val="es-ES"/>
        </w:rPr>
        <w:t>anexo un documento electrónico en formato pdf, cuyo contenido grosso es el siguiente.</w:t>
      </w:r>
    </w:p>
    <w:p w14:paraId="15120264" w14:textId="77777777" w:rsidR="005F0C41" w:rsidRPr="000A4FCB" w:rsidRDefault="005F0C41" w:rsidP="005F0C41">
      <w:pPr>
        <w:pStyle w:val="Prrafodelista"/>
        <w:tabs>
          <w:tab w:val="left" w:pos="426"/>
        </w:tabs>
        <w:ind w:left="1134" w:right="900"/>
        <w:jc w:val="both"/>
        <w:rPr>
          <w:rFonts w:ascii="Palatino Linotype" w:hAnsi="Palatino Linotype"/>
          <w:i/>
          <w:sz w:val="22"/>
        </w:rPr>
      </w:pPr>
      <w:r w:rsidRPr="000A4FCB">
        <w:rPr>
          <w:rFonts w:ascii="Palatino Linotype" w:eastAsia="Calibri" w:hAnsi="Palatino Linotype" w:cs="Arial"/>
          <w:b/>
          <w:i/>
          <w:color w:val="000000" w:themeColor="text1"/>
          <w:sz w:val="22"/>
          <w:lang w:val="es-ES"/>
        </w:rPr>
        <w:t xml:space="preserve">C2043B33-BD72-4B7A-B90E-F18224A6BBD1.pdf: </w:t>
      </w:r>
      <w:r w:rsidRPr="000A4FCB">
        <w:rPr>
          <w:rFonts w:ascii="Palatino Linotype" w:hAnsi="Palatino Linotype"/>
          <w:i/>
          <w:sz w:val="22"/>
        </w:rPr>
        <w:t>documento consistente en el Certificado como especialista en cirugía bariatrica, que adjunta como ejemplo.</w:t>
      </w:r>
    </w:p>
    <w:p w14:paraId="6EF27D35" w14:textId="77777777" w:rsidR="005F0C41" w:rsidRPr="000A4FCB" w:rsidRDefault="005F0C41" w:rsidP="005F0C41">
      <w:pPr>
        <w:pStyle w:val="Prrafodelista"/>
        <w:tabs>
          <w:tab w:val="left" w:pos="426"/>
        </w:tabs>
        <w:ind w:left="1134" w:right="900"/>
        <w:jc w:val="both"/>
        <w:rPr>
          <w:rFonts w:ascii="Palatino Linotype" w:eastAsia="Calibri" w:hAnsi="Palatino Linotype" w:cs="Arial"/>
          <w:b/>
          <w:i/>
          <w:color w:val="000000" w:themeColor="text1"/>
          <w:lang w:val="es-ES"/>
        </w:rPr>
      </w:pPr>
    </w:p>
    <w:p w14:paraId="67BA5403" w14:textId="77777777" w:rsidR="00824031" w:rsidRPr="000A4FCB" w:rsidRDefault="00824031" w:rsidP="000C5CED">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0A4FCB">
        <w:rPr>
          <w:rFonts w:ascii="Palatino Linotype" w:eastAsia="Calibri" w:hAnsi="Palatino Linotype" w:cs="Arial"/>
          <w:bCs/>
          <w:color w:val="000000" w:themeColor="text1"/>
        </w:rPr>
        <w:t xml:space="preserve">Asimismo, con fundamento en lo dispuesto por el </w:t>
      </w:r>
      <w:r w:rsidRPr="000A4FCB">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w:t>
      </w:r>
      <w:r w:rsidR="00F01202">
        <w:rPr>
          <w:rFonts w:ascii="Palatino Linotype" w:eastAsia="Calibri" w:hAnsi="Palatino Linotype" w:cs="Arial"/>
          <w:bCs/>
          <w:color w:val="000000" w:themeColor="text1"/>
          <w:lang w:val="es-ES"/>
        </w:rPr>
        <w:t>Municipios se turna</w:t>
      </w:r>
      <w:r w:rsidRPr="000A4FCB">
        <w:rPr>
          <w:rFonts w:ascii="Palatino Linotype" w:eastAsia="Calibri" w:hAnsi="Palatino Linotype" w:cs="Arial"/>
          <w:bCs/>
          <w:color w:val="000000" w:themeColor="text1"/>
          <w:lang w:val="es-ES"/>
        </w:rPr>
        <w:t xml:space="preserve"> a la </w:t>
      </w:r>
      <w:r w:rsidRPr="000A4FCB">
        <w:rPr>
          <w:rFonts w:ascii="Palatino Linotype" w:eastAsia="Calibri" w:hAnsi="Palatino Linotype" w:cs="Arial"/>
          <w:b/>
          <w:bCs/>
          <w:color w:val="000000" w:themeColor="text1"/>
          <w:lang w:val="es-ES"/>
        </w:rPr>
        <w:t>Comisionada María del Rosario Mejía Ayala</w:t>
      </w:r>
      <w:r w:rsidRPr="000A4FCB">
        <w:rPr>
          <w:rFonts w:ascii="Palatino Linotype" w:eastAsia="Calibri" w:hAnsi="Palatino Linotype" w:cs="Arial"/>
          <w:bCs/>
          <w:color w:val="000000" w:themeColor="text1"/>
          <w:lang w:val="es-ES"/>
        </w:rPr>
        <w:t xml:space="preserve">, </w:t>
      </w:r>
      <w:r w:rsidR="000A4FCB">
        <w:rPr>
          <w:rFonts w:ascii="Palatino Linotype" w:eastAsia="Calibri" w:hAnsi="Palatino Linotype" w:cs="Arial"/>
          <w:bCs/>
          <w:color w:val="000000" w:themeColor="text1"/>
          <w:lang w:val="es-ES"/>
        </w:rPr>
        <w:t>para</w:t>
      </w:r>
      <w:r w:rsidRPr="000A4FCB">
        <w:rPr>
          <w:rFonts w:ascii="Palatino Linotype" w:eastAsia="Calibri" w:hAnsi="Palatino Linotype" w:cs="Arial"/>
          <w:bCs/>
          <w:color w:val="000000" w:themeColor="text1"/>
          <w:lang w:val="es-ES"/>
        </w:rPr>
        <w:t xml:space="preserve"> </w:t>
      </w:r>
      <w:r w:rsidRPr="000A4FCB">
        <w:rPr>
          <w:rFonts w:ascii="Palatino Linotype" w:eastAsia="Calibri" w:hAnsi="Palatino Linotype" w:cs="Arial"/>
          <w:bCs/>
          <w:color w:val="000000" w:themeColor="text1"/>
        </w:rPr>
        <w:t>su análisis.</w:t>
      </w:r>
    </w:p>
    <w:p w14:paraId="7235D75F" w14:textId="77777777" w:rsidR="00824031" w:rsidRPr="000A4FCB" w:rsidRDefault="00824031" w:rsidP="00824031">
      <w:pPr>
        <w:pStyle w:val="Prrafodelista"/>
        <w:tabs>
          <w:tab w:val="left" w:pos="284"/>
          <w:tab w:val="left" w:pos="426"/>
        </w:tabs>
        <w:spacing w:line="360" w:lineRule="auto"/>
        <w:ind w:left="0"/>
        <w:jc w:val="both"/>
        <w:rPr>
          <w:rFonts w:ascii="Palatino Linotype" w:eastAsia="Calibri" w:hAnsi="Palatino Linotype" w:cs="Arial"/>
          <w:color w:val="000000" w:themeColor="text1"/>
          <w:lang w:val="es-ES"/>
        </w:rPr>
      </w:pPr>
    </w:p>
    <w:p w14:paraId="16944103" w14:textId="77777777" w:rsidR="00824031" w:rsidRPr="000A4FCB" w:rsidRDefault="00824031" w:rsidP="00824031">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bookmarkStart w:id="3" w:name="_Hlk74251533"/>
      <w:r w:rsidRPr="000A4FCB">
        <w:rPr>
          <w:rFonts w:ascii="Palatino Linotype" w:eastAsia="Times New Roman" w:hAnsi="Palatino Linotype" w:cs="Arial"/>
          <w:color w:val="000000" w:themeColor="text1"/>
          <w:lang w:val="es-ES"/>
        </w:rPr>
        <w:t>La Comisionada Ponente</w:t>
      </w:r>
      <w:r w:rsidRPr="000A4FCB">
        <w:rPr>
          <w:rFonts w:ascii="Palatino Linotype" w:eastAsia="Calibri" w:hAnsi="Palatino Linotype" w:cs="Arial"/>
          <w:color w:val="000000" w:themeColor="text1"/>
          <w:lang w:val="es-ES"/>
        </w:rPr>
        <w:t xml:space="preserve">, con fundamento en lo dispuesto por el artículo 185, fracción II, de la ley de la materia, a través del acuerdo de admisión de </w:t>
      </w:r>
      <w:r w:rsidR="000C5CED" w:rsidRPr="000A4FCB">
        <w:rPr>
          <w:rFonts w:ascii="Palatino Linotype" w:eastAsia="Calibri" w:hAnsi="Palatino Linotype" w:cs="Arial"/>
          <w:b/>
          <w:color w:val="000000" w:themeColor="text1"/>
          <w:lang w:val="es-ES"/>
        </w:rPr>
        <w:t>once de marzo de dos mil veinticuatro</w:t>
      </w:r>
      <w:r w:rsidRPr="000A4FCB">
        <w:rPr>
          <w:rFonts w:ascii="Palatino Linotype" w:eastAsia="Calibri" w:hAnsi="Palatino Linotype" w:cs="Arial"/>
          <w:color w:val="000000" w:themeColor="text1"/>
          <w:lang w:val="es-ES"/>
        </w:rPr>
        <w:t xml:space="preserve">, puso a disposición de las partes el expediente electrónico </w:t>
      </w:r>
      <w:r w:rsidRPr="000A4FCB">
        <w:rPr>
          <w:rFonts w:ascii="Palatino Linotype" w:eastAsia="Calibri" w:hAnsi="Palatino Linotype" w:cs="Arial"/>
          <w:color w:val="000000" w:themeColor="text1"/>
        </w:rPr>
        <w:t xml:space="preserve">vía </w:t>
      </w:r>
      <w:r w:rsidRPr="000A4FCB">
        <w:rPr>
          <w:rFonts w:ascii="Palatino Linotype" w:eastAsia="Calibri" w:hAnsi="Palatino Linotype" w:cs="Arial"/>
          <w:color w:val="000000" w:themeColor="text1"/>
          <w:lang w:val="es-ES"/>
        </w:rPr>
        <w:t xml:space="preserve">SAIMEX, a efecto de que en un plazo máximo de siete días manifestaran lo que a derecho convinieran, ofrecieran pruebas y alegatos según corresponda a los casos concretos, de esta forma para que el </w:t>
      </w:r>
      <w:r w:rsidRPr="000A4FCB">
        <w:rPr>
          <w:rFonts w:ascii="Palatino Linotype" w:eastAsia="Calibri" w:hAnsi="Palatino Linotype" w:cs="Arial"/>
          <w:b/>
          <w:color w:val="000000" w:themeColor="text1"/>
          <w:lang w:val="es-ES"/>
        </w:rPr>
        <w:t>SUJETO OBLIGADO</w:t>
      </w:r>
      <w:r w:rsidRPr="000A4FCB">
        <w:rPr>
          <w:rFonts w:ascii="Palatino Linotype" w:eastAsia="Calibri" w:hAnsi="Palatino Linotype" w:cs="Arial"/>
          <w:color w:val="000000" w:themeColor="text1"/>
          <w:lang w:val="es-ES"/>
        </w:rPr>
        <w:t xml:space="preserve"> presentara </w:t>
      </w:r>
      <w:bookmarkEnd w:id="3"/>
      <w:r w:rsidRPr="000A4FCB">
        <w:rPr>
          <w:rFonts w:ascii="Palatino Linotype" w:eastAsia="Calibri" w:hAnsi="Palatino Linotype" w:cs="Arial"/>
          <w:color w:val="000000" w:themeColor="text1"/>
          <w:lang w:val="es-ES"/>
        </w:rPr>
        <w:t>su informe justificado procedente.</w:t>
      </w:r>
    </w:p>
    <w:p w14:paraId="508EE056" w14:textId="77777777" w:rsidR="00824031" w:rsidRPr="000A4FCB" w:rsidRDefault="00824031" w:rsidP="00824031">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144131B1" w14:textId="77777777" w:rsidR="00824031" w:rsidRPr="000A4FCB" w:rsidRDefault="00824031" w:rsidP="00824031">
      <w:pPr>
        <w:pStyle w:val="Prrafodelista"/>
        <w:numPr>
          <w:ilvl w:val="0"/>
          <w:numId w:val="1"/>
        </w:numPr>
        <w:tabs>
          <w:tab w:val="left" w:pos="426"/>
        </w:tabs>
        <w:spacing w:line="360" w:lineRule="auto"/>
        <w:ind w:left="0" w:firstLine="0"/>
        <w:jc w:val="both"/>
        <w:rPr>
          <w:rFonts w:ascii="Palatino Linotype" w:eastAsia="Times New Roman" w:hAnsi="Palatino Linotype" w:cs="Arial"/>
          <w:color w:val="000000" w:themeColor="text1"/>
          <w:lang w:val="es-ES"/>
        </w:rPr>
      </w:pPr>
      <w:r w:rsidRPr="000A4FCB">
        <w:rPr>
          <w:rFonts w:ascii="Palatino Linotype" w:eastAsia="Times New Roman" w:hAnsi="Palatino Linotype" w:cs="Arial"/>
          <w:color w:val="000000" w:themeColor="text1"/>
          <w:lang w:val="es-ES"/>
        </w:rPr>
        <w:t xml:space="preserve">De las constancias que obran en el expediente digital del recurso de revisión, se aprecia que el </w:t>
      </w:r>
      <w:r w:rsidRPr="000A4FCB">
        <w:rPr>
          <w:rFonts w:ascii="Palatino Linotype" w:eastAsia="Times New Roman" w:hAnsi="Palatino Linotype" w:cs="Arial"/>
          <w:b/>
          <w:color w:val="000000" w:themeColor="text1"/>
          <w:lang w:val="es-ES"/>
        </w:rPr>
        <w:t>SUJETO OBLIGADO</w:t>
      </w:r>
      <w:r w:rsidRPr="000A4FCB">
        <w:rPr>
          <w:rFonts w:ascii="Palatino Linotype" w:eastAsia="Times New Roman" w:hAnsi="Palatino Linotype" w:cs="Arial"/>
          <w:color w:val="000000" w:themeColor="text1"/>
          <w:lang w:val="es-ES"/>
        </w:rPr>
        <w:t xml:space="preserve"> rindió su informe justificado</w:t>
      </w:r>
      <w:r w:rsidR="000C5CED" w:rsidRPr="000A4FCB">
        <w:rPr>
          <w:rFonts w:ascii="Palatino Linotype" w:eastAsia="Times New Roman" w:hAnsi="Palatino Linotype" w:cs="Arial"/>
          <w:color w:val="000000" w:themeColor="text1"/>
          <w:lang w:val="es-ES"/>
        </w:rPr>
        <w:t xml:space="preserve"> el </w:t>
      </w:r>
      <w:r w:rsidR="000C5CED" w:rsidRPr="000A4FCB">
        <w:rPr>
          <w:rFonts w:ascii="Palatino Linotype" w:eastAsia="Times New Roman" w:hAnsi="Palatino Linotype" w:cs="Arial"/>
          <w:b/>
          <w:color w:val="000000" w:themeColor="text1"/>
          <w:lang w:val="es-ES"/>
        </w:rPr>
        <w:t>veintiuno de marzo de dos mil veinticuatro</w:t>
      </w:r>
      <w:r w:rsidRPr="000A4FCB">
        <w:rPr>
          <w:rFonts w:ascii="Palatino Linotype" w:eastAsia="Times New Roman" w:hAnsi="Palatino Linotype" w:cs="Arial"/>
          <w:color w:val="000000" w:themeColor="text1"/>
          <w:lang w:val="es-ES"/>
        </w:rPr>
        <w:t xml:space="preserve"> para manifestar lo que </w:t>
      </w:r>
      <w:r w:rsidR="000C5CED" w:rsidRPr="000A4FCB">
        <w:rPr>
          <w:rFonts w:ascii="Palatino Linotype" w:eastAsia="Times New Roman" w:hAnsi="Palatino Linotype" w:cs="Arial"/>
          <w:color w:val="000000" w:themeColor="text1"/>
          <w:lang w:val="es-ES"/>
        </w:rPr>
        <w:t xml:space="preserve">a su derecho conviniera, adjuntando cinco archivos en formato pdf, cuyo contenido grosso modo es el siguiente. </w:t>
      </w:r>
    </w:p>
    <w:p w14:paraId="241BFCBD" w14:textId="77777777" w:rsidR="00824031" w:rsidRPr="000A4FCB" w:rsidRDefault="000C5CED" w:rsidP="00B14179">
      <w:pPr>
        <w:pStyle w:val="Prrafodelista"/>
        <w:ind w:left="1134" w:right="900"/>
        <w:jc w:val="both"/>
        <w:rPr>
          <w:rFonts w:ascii="Palatino Linotype" w:eastAsia="Times New Roman" w:hAnsi="Palatino Linotype" w:cs="Arial"/>
          <w:b/>
          <w:i/>
          <w:color w:val="000000" w:themeColor="text1"/>
          <w:sz w:val="22"/>
        </w:rPr>
      </w:pPr>
      <w:r w:rsidRPr="000A4FCB">
        <w:rPr>
          <w:rFonts w:ascii="Palatino Linotype" w:eastAsia="Times New Roman" w:hAnsi="Palatino Linotype" w:cs="Arial"/>
          <w:b/>
          <w:i/>
          <w:color w:val="000000" w:themeColor="text1"/>
          <w:sz w:val="22"/>
        </w:rPr>
        <w:t xml:space="preserve">OFICIO DEL 12 D EMARZO DEL 2024.pdf: </w:t>
      </w:r>
      <w:r w:rsidRPr="000A4FCB">
        <w:rPr>
          <w:rFonts w:ascii="Palatino Linotype" w:eastAsia="Times New Roman" w:hAnsi="Palatino Linotype" w:cs="Arial"/>
          <w:i/>
          <w:color w:val="000000" w:themeColor="text1"/>
          <w:sz w:val="22"/>
        </w:rPr>
        <w:t xml:space="preserve">oficio de la Secretaría Particular del Coordinador de Servicios Salud y Enlace de Transparencia, mediante el cual informa toda vez que el </w:t>
      </w:r>
      <w:r w:rsidRPr="000A4FCB">
        <w:rPr>
          <w:rFonts w:ascii="Palatino Linotype" w:eastAsia="Times New Roman" w:hAnsi="Palatino Linotype" w:cs="Arial"/>
          <w:b/>
          <w:i/>
          <w:color w:val="000000" w:themeColor="text1"/>
          <w:sz w:val="22"/>
        </w:rPr>
        <w:t xml:space="preserve">RECURRENTE </w:t>
      </w:r>
      <w:r w:rsidRPr="000A4FCB">
        <w:rPr>
          <w:rFonts w:ascii="Palatino Linotype" w:eastAsia="Times New Roman" w:hAnsi="Palatino Linotype" w:cs="Arial"/>
          <w:i/>
          <w:color w:val="000000" w:themeColor="text1"/>
          <w:sz w:val="22"/>
        </w:rPr>
        <w:t xml:space="preserve">quiere saber los términos legales por los que se dejó de operar el programa de cirugía bariatrica, informa que el programa ha tenido diversas </w:t>
      </w:r>
      <w:r w:rsidRPr="000A4FCB">
        <w:rPr>
          <w:rFonts w:ascii="Palatino Linotype" w:eastAsia="Times New Roman" w:hAnsi="Palatino Linotype" w:cs="Arial"/>
          <w:i/>
          <w:color w:val="000000" w:themeColor="text1"/>
          <w:sz w:val="22"/>
        </w:rPr>
        <w:lastRenderedPageBreak/>
        <w:t xml:space="preserve">actualizaciones y que además de la que se refiero en respuesta inicial informa que existe una versión publicada del doce abril del año dos mil y del quince octubre de dos mil ocho, situación por la cual informa que no era obligatorio contar con certificaciones (que fueron solicitadas por el </w:t>
      </w:r>
      <w:r w:rsidRPr="000A4FCB">
        <w:rPr>
          <w:rFonts w:ascii="Palatino Linotype" w:eastAsia="Times New Roman" w:hAnsi="Palatino Linotype" w:cs="Arial"/>
          <w:b/>
          <w:i/>
          <w:color w:val="000000" w:themeColor="text1"/>
          <w:sz w:val="22"/>
        </w:rPr>
        <w:t xml:space="preserve">RECURRENTE). </w:t>
      </w:r>
    </w:p>
    <w:p w14:paraId="60BBA34B" w14:textId="77777777" w:rsidR="000C5CED" w:rsidRPr="000A4FCB" w:rsidRDefault="000C5CED" w:rsidP="00B14179">
      <w:pPr>
        <w:pStyle w:val="Prrafodelista"/>
        <w:ind w:left="1134" w:right="900"/>
        <w:jc w:val="both"/>
        <w:rPr>
          <w:rFonts w:ascii="Palatino Linotype" w:eastAsia="Times New Roman" w:hAnsi="Palatino Linotype" w:cs="Arial"/>
          <w:i/>
          <w:color w:val="000000" w:themeColor="text1"/>
          <w:sz w:val="22"/>
        </w:rPr>
      </w:pPr>
      <w:r w:rsidRPr="000A4FCB">
        <w:rPr>
          <w:rFonts w:ascii="Palatino Linotype" w:eastAsia="Times New Roman" w:hAnsi="Palatino Linotype" w:cs="Arial"/>
          <w:i/>
          <w:color w:val="000000" w:themeColor="text1"/>
          <w:sz w:val="22"/>
        </w:rPr>
        <w:t xml:space="preserve">En la respuesta también refiere que en al dos mil veintitrés en el mes de octubre, se nombró a un médico especialista que cumple con los requisitos establecidos del cual adjunta documentos (no se adjuntaron). </w:t>
      </w:r>
    </w:p>
    <w:p w14:paraId="19745CC6" w14:textId="77777777" w:rsidR="000C5CED" w:rsidRPr="000A4FCB" w:rsidRDefault="000C5CED" w:rsidP="00B14179">
      <w:pPr>
        <w:pStyle w:val="Prrafodelista"/>
        <w:ind w:left="1134" w:right="900"/>
        <w:jc w:val="both"/>
        <w:rPr>
          <w:rFonts w:ascii="Palatino Linotype" w:eastAsia="Times New Roman" w:hAnsi="Palatino Linotype" w:cs="Arial"/>
          <w:i/>
          <w:color w:val="000000" w:themeColor="text1"/>
          <w:sz w:val="22"/>
        </w:rPr>
      </w:pPr>
      <w:r w:rsidRPr="000A4FCB">
        <w:rPr>
          <w:rFonts w:ascii="Palatino Linotype" w:eastAsia="Times New Roman" w:hAnsi="Palatino Linotype" w:cs="Arial"/>
          <w:b/>
          <w:i/>
          <w:color w:val="000000" w:themeColor="text1"/>
          <w:sz w:val="22"/>
        </w:rPr>
        <w:t xml:space="preserve">OFICIO 628.pdf: </w:t>
      </w:r>
      <w:r w:rsidRPr="000A4FCB">
        <w:rPr>
          <w:rFonts w:ascii="Palatino Linotype" w:eastAsia="Times New Roman" w:hAnsi="Palatino Linotype" w:cs="Arial"/>
          <w:i/>
          <w:color w:val="000000" w:themeColor="text1"/>
          <w:sz w:val="22"/>
        </w:rPr>
        <w:t>oficio del Titular de la Unidad de Transparencia, mediante el cual le solicita al Coordinad</w:t>
      </w:r>
      <w:r w:rsidR="001322CC" w:rsidRPr="000A4FCB">
        <w:rPr>
          <w:rFonts w:ascii="Palatino Linotype" w:eastAsia="Times New Roman" w:hAnsi="Palatino Linotype" w:cs="Arial"/>
          <w:i/>
          <w:color w:val="000000" w:themeColor="text1"/>
          <w:sz w:val="22"/>
        </w:rPr>
        <w:t xml:space="preserve">or de Servicios de Salud, rinda su informe justificado. </w:t>
      </w:r>
    </w:p>
    <w:p w14:paraId="2017DA52" w14:textId="77777777" w:rsidR="001322CC" w:rsidRPr="000A4FCB" w:rsidRDefault="001322CC" w:rsidP="00B14179">
      <w:pPr>
        <w:pStyle w:val="Prrafodelista"/>
        <w:ind w:left="1134" w:right="900"/>
        <w:jc w:val="both"/>
        <w:rPr>
          <w:rFonts w:ascii="Palatino Linotype" w:eastAsia="Times New Roman" w:hAnsi="Palatino Linotype" w:cs="Arial"/>
          <w:b/>
          <w:i/>
          <w:color w:val="000000" w:themeColor="text1"/>
          <w:sz w:val="22"/>
        </w:rPr>
      </w:pPr>
      <w:r w:rsidRPr="000A4FCB">
        <w:rPr>
          <w:rFonts w:ascii="Palatino Linotype" w:eastAsia="Times New Roman" w:hAnsi="Palatino Linotype" w:cs="Arial"/>
          <w:b/>
          <w:i/>
          <w:color w:val="000000" w:themeColor="text1"/>
          <w:sz w:val="22"/>
        </w:rPr>
        <w:t xml:space="preserve">INFORME JUSTIFICADO 158.IP.pdf: </w:t>
      </w:r>
      <w:r w:rsidRPr="000A4FCB">
        <w:rPr>
          <w:rFonts w:ascii="Palatino Linotype" w:eastAsia="Times New Roman" w:hAnsi="Palatino Linotype" w:cs="Arial"/>
          <w:i/>
          <w:color w:val="000000" w:themeColor="text1"/>
          <w:sz w:val="22"/>
        </w:rPr>
        <w:t>informe justificado que remite el Titular de la Unidad de Transparencia, mediante el cual refiere que es imposible ampliar las solicitudes de información.</w:t>
      </w:r>
    </w:p>
    <w:p w14:paraId="4E1F2CB7" w14:textId="77777777" w:rsidR="0079055B" w:rsidRPr="000A4FCB" w:rsidRDefault="0079055B" w:rsidP="00B14179">
      <w:pPr>
        <w:pStyle w:val="Prrafodelista"/>
        <w:ind w:left="1134" w:right="900"/>
        <w:jc w:val="both"/>
        <w:rPr>
          <w:rFonts w:ascii="Palatino Linotype" w:eastAsia="Times New Roman" w:hAnsi="Palatino Linotype" w:cs="Arial"/>
          <w:i/>
          <w:color w:val="000000" w:themeColor="text1"/>
          <w:sz w:val="22"/>
        </w:rPr>
      </w:pPr>
      <w:r w:rsidRPr="000A4FCB">
        <w:rPr>
          <w:rFonts w:ascii="Palatino Linotype" w:eastAsia="Times New Roman" w:hAnsi="Palatino Linotype" w:cs="Arial"/>
          <w:b/>
          <w:i/>
          <w:color w:val="000000" w:themeColor="text1"/>
          <w:sz w:val="22"/>
        </w:rPr>
        <w:t xml:space="preserve">OFICIO 565.pdf: </w:t>
      </w:r>
      <w:r w:rsidRPr="000A4FCB">
        <w:rPr>
          <w:rFonts w:ascii="Palatino Linotype" w:eastAsia="Times New Roman" w:hAnsi="Palatino Linotype" w:cs="Arial"/>
          <w:i/>
          <w:color w:val="000000" w:themeColor="text1"/>
          <w:sz w:val="22"/>
        </w:rPr>
        <w:t xml:space="preserve">oficio de respuesta inicial que remite el Titular de la Unidad de Transparencia. </w:t>
      </w:r>
    </w:p>
    <w:p w14:paraId="1D0359C6" w14:textId="77777777" w:rsidR="00B14179" w:rsidRPr="000A4FCB" w:rsidRDefault="0079055B" w:rsidP="00B14179">
      <w:pPr>
        <w:pStyle w:val="Prrafodelista"/>
        <w:ind w:left="1134" w:right="900"/>
        <w:jc w:val="both"/>
        <w:rPr>
          <w:rFonts w:ascii="Palatino Linotype" w:eastAsia="Times New Roman" w:hAnsi="Palatino Linotype" w:cs="Arial"/>
          <w:i/>
          <w:color w:val="000000" w:themeColor="text1"/>
          <w:sz w:val="22"/>
        </w:rPr>
      </w:pPr>
      <w:r w:rsidRPr="000A4FCB">
        <w:rPr>
          <w:rFonts w:ascii="Palatino Linotype" w:eastAsia="Times New Roman" w:hAnsi="Palatino Linotype" w:cs="Arial"/>
          <w:b/>
          <w:i/>
          <w:color w:val="000000" w:themeColor="text1"/>
          <w:sz w:val="22"/>
        </w:rPr>
        <w:t xml:space="preserve">OFICO DEL 23 DE FEBRERO DEL 24.pdf: </w:t>
      </w:r>
      <w:r w:rsidR="00B14179" w:rsidRPr="000A4FCB">
        <w:rPr>
          <w:rFonts w:ascii="Palatino Linotype" w:eastAsia="Times New Roman" w:hAnsi="Palatino Linotype" w:cs="Arial"/>
          <w:i/>
          <w:color w:val="000000" w:themeColor="text1"/>
          <w:sz w:val="22"/>
        </w:rPr>
        <w:t xml:space="preserve">oficio de la Secretaría Particular del Coordinador de Servicios de Salud y Enlace de Transparencia, mediante el cual informa que el 4 de agosto de 2010 fue publicada la norma oficial mexicana NOM-008-SSA3-2010 para el tratamiento integral del sobrepeso y la obesidad, de la cual remiten las disposiciones específicas que cubre el perfil de puestos y la vigencia de la entrada de la norma. </w:t>
      </w:r>
    </w:p>
    <w:p w14:paraId="2497CCFC" w14:textId="77777777" w:rsidR="0079055B" w:rsidRPr="000A4FCB" w:rsidRDefault="0079055B" w:rsidP="00B14179">
      <w:pPr>
        <w:pStyle w:val="Prrafodelista"/>
        <w:ind w:left="1134" w:right="900"/>
        <w:jc w:val="both"/>
        <w:rPr>
          <w:rFonts w:ascii="Palatino Linotype" w:eastAsia="Times New Roman" w:hAnsi="Palatino Linotype" w:cs="Arial"/>
          <w:i/>
          <w:color w:val="000000" w:themeColor="text1"/>
        </w:rPr>
      </w:pPr>
    </w:p>
    <w:p w14:paraId="6E9FA108" w14:textId="77777777" w:rsidR="000C5CED" w:rsidRPr="000A4FCB" w:rsidRDefault="000C5CED" w:rsidP="00824031">
      <w:pPr>
        <w:pStyle w:val="Prrafodelista"/>
        <w:rPr>
          <w:rFonts w:ascii="Palatino Linotype" w:eastAsia="Times New Roman" w:hAnsi="Palatino Linotype" w:cs="Arial"/>
          <w:i/>
          <w:color w:val="000000" w:themeColor="text1"/>
        </w:rPr>
      </w:pPr>
    </w:p>
    <w:p w14:paraId="7CF1A6AA" w14:textId="77777777" w:rsidR="00824031" w:rsidRPr="000A4FCB" w:rsidRDefault="00824031" w:rsidP="00AC015B">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0A4FCB">
        <w:rPr>
          <w:rFonts w:ascii="Palatino Linotype" w:eastAsia="Calibri" w:hAnsi="Palatino Linotype" w:cs="Arial"/>
          <w:color w:val="000000" w:themeColor="text1"/>
        </w:rPr>
        <w:t>Por</w:t>
      </w:r>
      <w:r w:rsidR="00AC015B" w:rsidRPr="000A4FCB">
        <w:rPr>
          <w:rFonts w:ascii="Palatino Linotype" w:eastAsia="Calibri" w:hAnsi="Palatino Linotype" w:cs="Arial"/>
          <w:color w:val="000000" w:themeColor="text1"/>
        </w:rPr>
        <w:t xml:space="preserve"> su parte, el </w:t>
      </w:r>
      <w:r w:rsidR="00AC015B" w:rsidRPr="000A4FCB">
        <w:rPr>
          <w:rFonts w:ascii="Palatino Linotype" w:eastAsia="Calibri" w:hAnsi="Palatino Linotype" w:cs="Arial"/>
          <w:b/>
          <w:color w:val="000000" w:themeColor="text1"/>
        </w:rPr>
        <w:t>trece de marzo de dos mil veinticu</w:t>
      </w:r>
      <w:r w:rsidR="005F0C41" w:rsidRPr="000A4FCB">
        <w:rPr>
          <w:rFonts w:ascii="Palatino Linotype" w:eastAsia="Calibri" w:hAnsi="Palatino Linotype" w:cs="Arial"/>
          <w:b/>
          <w:color w:val="000000" w:themeColor="text1"/>
        </w:rPr>
        <w:t xml:space="preserve">atro el RECURRENTE </w:t>
      </w:r>
      <w:r w:rsidR="00AC015B" w:rsidRPr="000A4FCB">
        <w:rPr>
          <w:rFonts w:ascii="Palatino Linotype" w:eastAsia="Calibri" w:hAnsi="Palatino Linotype" w:cs="Arial"/>
          <w:color w:val="000000" w:themeColor="text1"/>
        </w:rPr>
        <w:t xml:space="preserve">agrego un archivo electrónico en formato pdf, cuyo contenido grosso modo es el siguiente. </w:t>
      </w:r>
      <w:r w:rsidRPr="000A4FCB">
        <w:rPr>
          <w:rFonts w:ascii="Palatino Linotype" w:eastAsia="Calibri" w:hAnsi="Palatino Linotype" w:cs="Arial"/>
          <w:color w:val="000000" w:themeColor="text1"/>
        </w:rPr>
        <w:t xml:space="preserve"> </w:t>
      </w:r>
    </w:p>
    <w:p w14:paraId="5D93C436" w14:textId="77777777" w:rsidR="00824031" w:rsidRPr="000A4FCB" w:rsidRDefault="005F0C41" w:rsidP="005F0C41">
      <w:pPr>
        <w:pStyle w:val="Prrafodelista"/>
        <w:tabs>
          <w:tab w:val="left" w:pos="426"/>
        </w:tabs>
        <w:spacing w:line="360" w:lineRule="auto"/>
        <w:ind w:left="1134" w:right="900"/>
        <w:jc w:val="both"/>
        <w:rPr>
          <w:rFonts w:ascii="Palatino Linotype" w:hAnsi="Palatino Linotype"/>
          <w:i/>
          <w:sz w:val="22"/>
        </w:rPr>
      </w:pPr>
      <w:r w:rsidRPr="000A4FCB">
        <w:rPr>
          <w:rFonts w:ascii="Palatino Linotype" w:hAnsi="Palatino Linotype"/>
          <w:b/>
          <w:i/>
          <w:sz w:val="22"/>
        </w:rPr>
        <w:t>C2043B33-BD72-4B7A-B90E-F18224A6BBD1.pdf:</w:t>
      </w:r>
      <w:r w:rsidRPr="000A4FCB">
        <w:rPr>
          <w:rFonts w:ascii="Palatino Linotype" w:hAnsi="Palatino Linotype"/>
          <w:i/>
          <w:sz w:val="22"/>
        </w:rPr>
        <w:t xml:space="preserve"> documento consistente en el Certificado como especialista en cirugía bariatrica, que adjunta como ejemplo. </w:t>
      </w:r>
    </w:p>
    <w:p w14:paraId="08DB4095" w14:textId="77777777" w:rsidR="005F0C41" w:rsidRPr="000A4FCB" w:rsidRDefault="005F0C41" w:rsidP="005F0C41">
      <w:pPr>
        <w:pStyle w:val="Prrafodelista"/>
        <w:tabs>
          <w:tab w:val="left" w:pos="426"/>
        </w:tabs>
        <w:spacing w:line="360" w:lineRule="auto"/>
        <w:ind w:left="1134" w:right="900"/>
        <w:jc w:val="both"/>
        <w:rPr>
          <w:rFonts w:ascii="Palatino Linotype" w:hAnsi="Palatino Linotype"/>
          <w:i/>
          <w:sz w:val="22"/>
        </w:rPr>
      </w:pPr>
    </w:p>
    <w:p w14:paraId="5E495C5C"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b/>
          <w:color w:val="000000" w:themeColor="text1"/>
        </w:rPr>
      </w:pPr>
      <w:r w:rsidRPr="000A4FCB">
        <w:rPr>
          <w:rFonts w:ascii="Palatino Linotype" w:hAnsi="Palatino Linotype"/>
        </w:rPr>
        <w:t xml:space="preserve">En fecha </w:t>
      </w:r>
      <w:r w:rsidRPr="000A4FCB">
        <w:rPr>
          <w:rFonts w:ascii="Palatino Linotype" w:hAnsi="Palatino Linotype"/>
          <w:b/>
        </w:rPr>
        <w:t>siete de junio de dos mil veinticuatro</w:t>
      </w:r>
      <w:r w:rsidRPr="000A4FCB">
        <w:rPr>
          <w:rFonts w:ascii="Palatino Linotype" w:hAnsi="Palatino Linotype"/>
        </w:rPr>
        <w:t>, se amplió el término para resolver; al respecto es menester realizar las siguientes precisiones.</w:t>
      </w:r>
    </w:p>
    <w:p w14:paraId="3F691328" w14:textId="77777777" w:rsidR="000A4FCB" w:rsidRDefault="000A4FCB" w:rsidP="000A4FCB">
      <w:pPr>
        <w:spacing w:line="360" w:lineRule="auto"/>
        <w:contextualSpacing/>
        <w:jc w:val="both"/>
        <w:rPr>
          <w:rFonts w:ascii="Palatino Linotype" w:hAnsi="Palatino Linotype"/>
        </w:rPr>
      </w:pPr>
    </w:p>
    <w:p w14:paraId="3D10C84A" w14:textId="77777777" w:rsidR="000A4FCB" w:rsidRPr="000A4FCB" w:rsidRDefault="000A4FCB" w:rsidP="000A4FCB">
      <w:pPr>
        <w:spacing w:line="360" w:lineRule="auto"/>
        <w:contextualSpacing/>
        <w:jc w:val="both"/>
        <w:rPr>
          <w:rFonts w:ascii="Palatino Linotype" w:hAnsi="Palatino Linotype"/>
          <w:b/>
          <w:color w:val="000000" w:themeColor="text1"/>
        </w:rPr>
      </w:pPr>
    </w:p>
    <w:p w14:paraId="47E081CB" w14:textId="77777777" w:rsidR="005F0C41" w:rsidRPr="000A4FCB" w:rsidRDefault="005F0C41" w:rsidP="005F0C41">
      <w:pPr>
        <w:numPr>
          <w:ilvl w:val="0"/>
          <w:numId w:val="4"/>
        </w:numPr>
        <w:spacing w:line="360" w:lineRule="auto"/>
        <w:contextualSpacing/>
        <w:jc w:val="both"/>
        <w:rPr>
          <w:rFonts w:ascii="Palatino Linotype" w:hAnsi="Palatino Linotype"/>
          <w:b/>
          <w:color w:val="000000" w:themeColor="text1"/>
        </w:rPr>
      </w:pPr>
      <w:r w:rsidRPr="000A4FCB">
        <w:rPr>
          <w:rFonts w:ascii="Palatino Linotype" w:hAnsi="Palatino Linotype"/>
          <w:b/>
          <w:color w:val="000000" w:themeColor="text1"/>
        </w:rPr>
        <w:lastRenderedPageBreak/>
        <w:t>De previo y especial pronunciamiento. Argumentos a considerar en las resoluciones a los recursos de revisión para justificar los fallos emitidos fuera del plazo legal de 45 días.</w:t>
      </w:r>
    </w:p>
    <w:p w14:paraId="0AE02A75"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rPr>
      </w:pPr>
      <w:r w:rsidRPr="000A4FCB">
        <w:rPr>
          <w:rFonts w:ascii="Palatino Linotype" w:hAnsi="Palatino Linotype"/>
        </w:rPr>
        <w:t xml:space="preserve">Este organismo garante no pasa por alto justificar, que la dilación en la resolución del </w:t>
      </w:r>
      <w:r w:rsidRPr="000A4FCB">
        <w:rPr>
          <w:rFonts w:ascii="Palatino Linotype" w:hAnsi="Palatino Linotype"/>
          <w:color w:val="000000"/>
        </w:rPr>
        <w:t>presente</w:t>
      </w:r>
      <w:r w:rsidRPr="000A4FCB">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4C97895" w14:textId="77777777" w:rsidR="005F0C41" w:rsidRPr="000A4FCB" w:rsidRDefault="005F0C41" w:rsidP="005F0C41">
      <w:pPr>
        <w:spacing w:line="360" w:lineRule="auto"/>
        <w:contextualSpacing/>
        <w:jc w:val="both"/>
        <w:rPr>
          <w:rFonts w:ascii="Palatino Linotype" w:hAnsi="Palatino Linotype"/>
        </w:rPr>
      </w:pPr>
    </w:p>
    <w:p w14:paraId="5023E12B"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rPr>
      </w:pPr>
      <w:r w:rsidRPr="000A4FC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B81FDD3" w14:textId="77777777" w:rsidR="005F0C41" w:rsidRPr="000A4FCB" w:rsidRDefault="005F0C41" w:rsidP="005F0C41">
      <w:pPr>
        <w:spacing w:line="360" w:lineRule="auto"/>
        <w:ind w:left="720"/>
        <w:contextualSpacing/>
        <w:rPr>
          <w:rFonts w:ascii="Palatino Linotype" w:hAnsi="Palatino Linotype"/>
        </w:rPr>
      </w:pPr>
    </w:p>
    <w:p w14:paraId="14F33AE8"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rPr>
      </w:pPr>
      <w:r w:rsidRPr="000A4FC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27930C" w14:textId="77777777" w:rsidR="005F0C41" w:rsidRPr="000A4FCB" w:rsidRDefault="005F0C41" w:rsidP="005F0C41">
      <w:pPr>
        <w:spacing w:line="360" w:lineRule="auto"/>
        <w:contextualSpacing/>
        <w:jc w:val="both"/>
        <w:rPr>
          <w:rFonts w:ascii="Palatino Linotype" w:hAnsi="Palatino Linotype"/>
        </w:rPr>
      </w:pPr>
    </w:p>
    <w:p w14:paraId="5341191C"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rPr>
      </w:pPr>
      <w:r w:rsidRPr="000A4FCB">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36D3AA4" w14:textId="77777777" w:rsidR="005F0C41" w:rsidRPr="000A4FCB" w:rsidRDefault="005F0C41" w:rsidP="005F0C41">
      <w:pPr>
        <w:spacing w:line="360" w:lineRule="auto"/>
        <w:ind w:left="720"/>
        <w:contextualSpacing/>
        <w:rPr>
          <w:rFonts w:ascii="Palatino Linotype" w:hAnsi="Palatino Linotype"/>
        </w:rPr>
      </w:pPr>
    </w:p>
    <w:p w14:paraId="106F5589"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rPr>
      </w:pPr>
      <w:r w:rsidRPr="000A4FCB">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1A3125D7" w14:textId="77777777" w:rsidR="005F0C41" w:rsidRPr="00207290" w:rsidRDefault="005F0C41" w:rsidP="00207290">
      <w:pPr>
        <w:numPr>
          <w:ilvl w:val="0"/>
          <w:numId w:val="3"/>
        </w:numPr>
        <w:spacing w:line="360" w:lineRule="auto"/>
        <w:ind w:right="850"/>
        <w:contextualSpacing/>
        <w:jc w:val="both"/>
        <w:rPr>
          <w:rFonts w:ascii="Palatino Linotype" w:hAnsi="Palatino Linotype"/>
          <w:sz w:val="22"/>
        </w:rPr>
      </w:pPr>
      <w:r w:rsidRPr="00207290">
        <w:rPr>
          <w:rFonts w:ascii="Palatino Linotype" w:hAnsi="Palatino Linotype"/>
          <w:sz w:val="22"/>
        </w:rPr>
        <w:t xml:space="preserve">Complejidad del Asunto: La complejidad de la prueba, la pluralidad de sujetos procesales, el tiempo transcurrido, las características y contexto del recurso. </w:t>
      </w:r>
    </w:p>
    <w:p w14:paraId="6A855E01" w14:textId="77777777" w:rsidR="005F0C41" w:rsidRPr="00207290" w:rsidRDefault="005F0C41" w:rsidP="00207290">
      <w:pPr>
        <w:numPr>
          <w:ilvl w:val="0"/>
          <w:numId w:val="3"/>
        </w:numPr>
        <w:spacing w:line="360" w:lineRule="auto"/>
        <w:ind w:right="850"/>
        <w:contextualSpacing/>
        <w:jc w:val="both"/>
        <w:rPr>
          <w:rFonts w:ascii="Palatino Linotype" w:hAnsi="Palatino Linotype"/>
          <w:sz w:val="22"/>
        </w:rPr>
      </w:pPr>
      <w:r w:rsidRPr="00207290">
        <w:rPr>
          <w:rFonts w:ascii="Palatino Linotype" w:hAnsi="Palatino Linotype"/>
          <w:sz w:val="22"/>
        </w:rPr>
        <w:t>Actividad Procesal del interesado. Acciones u omisiones del interesado.</w:t>
      </w:r>
    </w:p>
    <w:p w14:paraId="19742F59" w14:textId="77777777" w:rsidR="005F0C41" w:rsidRPr="00207290" w:rsidRDefault="005F0C41" w:rsidP="00207290">
      <w:pPr>
        <w:numPr>
          <w:ilvl w:val="0"/>
          <w:numId w:val="3"/>
        </w:numPr>
        <w:spacing w:line="360" w:lineRule="auto"/>
        <w:ind w:right="850"/>
        <w:contextualSpacing/>
        <w:jc w:val="both"/>
        <w:rPr>
          <w:rFonts w:ascii="Palatino Linotype" w:hAnsi="Palatino Linotype"/>
          <w:sz w:val="22"/>
        </w:rPr>
      </w:pPr>
      <w:r w:rsidRPr="00207290">
        <w:rPr>
          <w:rFonts w:ascii="Palatino Linotype" w:hAnsi="Palatino Linotype"/>
          <w:sz w:val="22"/>
        </w:rPr>
        <w:t>Conducta de la Autoridad: Las Acciones u omisiones realizadas en el procedimiento. Así como si la autoridad actuó con la debida diligencia.</w:t>
      </w:r>
    </w:p>
    <w:p w14:paraId="19491ACA" w14:textId="77777777" w:rsidR="005F0C41" w:rsidRPr="00207290" w:rsidRDefault="005F0C41" w:rsidP="00207290">
      <w:pPr>
        <w:spacing w:line="360" w:lineRule="auto"/>
        <w:ind w:left="851" w:right="850" w:hanging="284"/>
        <w:jc w:val="both"/>
        <w:rPr>
          <w:rFonts w:ascii="Palatino Linotype" w:hAnsi="Palatino Linotype"/>
          <w:sz w:val="22"/>
        </w:rPr>
      </w:pPr>
      <w:r w:rsidRPr="00207290">
        <w:rPr>
          <w:rFonts w:ascii="Palatino Linotype" w:hAnsi="Palatino Linotype"/>
          <w:sz w:val="22"/>
        </w:rPr>
        <w:t>d) La afectación generada en la situación jurídica de la persona involucrada en el proceso: Violación a sus derechos humanos.</w:t>
      </w:r>
    </w:p>
    <w:p w14:paraId="2495665D" w14:textId="77777777" w:rsidR="005F0C41" w:rsidRPr="000A4FCB" w:rsidRDefault="005F0C41" w:rsidP="005F0C41">
      <w:pPr>
        <w:spacing w:line="360" w:lineRule="auto"/>
        <w:ind w:left="851" w:hanging="284"/>
        <w:jc w:val="both"/>
        <w:rPr>
          <w:rFonts w:ascii="Palatino Linotype" w:hAnsi="Palatino Linotype"/>
        </w:rPr>
      </w:pPr>
    </w:p>
    <w:p w14:paraId="1284D35B"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rPr>
      </w:pPr>
      <w:r w:rsidRPr="000A4FC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CAD0E2C" w14:textId="77777777" w:rsidR="005F0C41" w:rsidRPr="000A4FCB" w:rsidRDefault="005F0C41" w:rsidP="005F0C41">
      <w:pPr>
        <w:spacing w:line="360" w:lineRule="auto"/>
        <w:contextualSpacing/>
        <w:jc w:val="both"/>
        <w:rPr>
          <w:rFonts w:ascii="Palatino Linotype" w:hAnsi="Palatino Linotype"/>
        </w:rPr>
      </w:pPr>
    </w:p>
    <w:p w14:paraId="660565BB"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b/>
        </w:rPr>
      </w:pPr>
      <w:r w:rsidRPr="000A4FCB">
        <w:rPr>
          <w:rFonts w:ascii="Palatino Linotype" w:hAnsi="Palatino Linotype"/>
        </w:rPr>
        <w:t xml:space="preserve">Argumento que encuentra sustento en la jurisprudencia P./J. 32/92 emitida por el Pleno de la Suprema Corte de Justicia de la Nación de rubro </w:t>
      </w:r>
      <w:r w:rsidRPr="000A4FCB">
        <w:rPr>
          <w:rFonts w:ascii="Palatino Linotype" w:hAnsi="Palatino Linotype"/>
          <w:i/>
        </w:rPr>
        <w:t xml:space="preserve">“TÉRMINOS PROCESALES. PARA DETERMINAR SI UN FUNCIONARIO JUDICIAL ACTUÓ </w:t>
      </w:r>
      <w:r w:rsidRPr="000A4FCB">
        <w:rPr>
          <w:rFonts w:ascii="Palatino Linotype" w:hAnsi="Palatino Linotype"/>
        </w:rPr>
        <w:t>INDEBIDAMENTE</w:t>
      </w:r>
      <w:r w:rsidRPr="000A4FCB">
        <w:rPr>
          <w:rFonts w:ascii="Palatino Linotype" w:hAnsi="Palatino Linotype"/>
          <w:i/>
        </w:rPr>
        <w:t xml:space="preserve"> POR </w:t>
      </w:r>
      <w:r w:rsidRPr="000A4FCB">
        <w:rPr>
          <w:rFonts w:ascii="Palatino Linotype" w:hAnsi="Palatino Linotype"/>
          <w:i/>
        </w:rPr>
        <w:lastRenderedPageBreak/>
        <w:t>NO RESPETARLOS SE DEBE ATENDER AL PRESUPUESTO QUE CONSIDERÓ EL LEGISLADOR AL FIJARLOS Y LAS CARACTERÍSTICAS DEL CASO.”</w:t>
      </w:r>
      <w:r w:rsidR="00F01202">
        <w:rPr>
          <w:rFonts w:ascii="Palatino Linotype" w:hAnsi="Palatino Linotype"/>
        </w:rPr>
        <w:t>, visible en la Gaceta del Sema</w:t>
      </w:r>
      <w:r w:rsidRPr="000A4FCB">
        <w:rPr>
          <w:rFonts w:ascii="Palatino Linotype" w:hAnsi="Palatino Linotype"/>
        </w:rPr>
        <w:t>nario Judicial de la Federación con el registro digital 205635.</w:t>
      </w:r>
    </w:p>
    <w:p w14:paraId="781C962A" w14:textId="77777777" w:rsidR="005F0C41" w:rsidRPr="000A4FCB" w:rsidRDefault="005F0C41" w:rsidP="005F0C41">
      <w:pPr>
        <w:spacing w:line="360" w:lineRule="auto"/>
        <w:jc w:val="both"/>
        <w:rPr>
          <w:rFonts w:ascii="Palatino Linotype" w:hAnsi="Palatino Linotype"/>
        </w:rPr>
      </w:pPr>
    </w:p>
    <w:p w14:paraId="7BB9C449"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rPr>
      </w:pPr>
      <w:r w:rsidRPr="000A4FCB">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0AC2E9D" w14:textId="77777777" w:rsidR="005F0C41" w:rsidRPr="000A4FCB" w:rsidRDefault="005F0C41" w:rsidP="005F0C41">
      <w:pPr>
        <w:spacing w:line="360" w:lineRule="auto"/>
        <w:ind w:left="720"/>
        <w:contextualSpacing/>
        <w:rPr>
          <w:rFonts w:ascii="Palatino Linotype" w:hAnsi="Palatino Linotype"/>
        </w:rPr>
      </w:pPr>
    </w:p>
    <w:p w14:paraId="08850DE3"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rPr>
      </w:pPr>
      <w:r w:rsidRPr="000A4FCB">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73727090" w14:textId="77777777" w:rsidR="005F0C41" w:rsidRPr="000A4FCB" w:rsidRDefault="005F0C41" w:rsidP="005F0C41">
      <w:pPr>
        <w:spacing w:line="360" w:lineRule="auto"/>
        <w:jc w:val="both"/>
        <w:rPr>
          <w:rFonts w:ascii="Palatino Linotype" w:hAnsi="Palatino Linotype"/>
        </w:rPr>
      </w:pPr>
    </w:p>
    <w:p w14:paraId="08553FDF" w14:textId="77777777" w:rsidR="005F0C41" w:rsidRPr="000A4FCB" w:rsidRDefault="005F0C41" w:rsidP="005F0C41">
      <w:pPr>
        <w:numPr>
          <w:ilvl w:val="0"/>
          <w:numId w:val="1"/>
        </w:numPr>
        <w:spacing w:line="360" w:lineRule="auto"/>
        <w:ind w:left="0" w:firstLine="0"/>
        <w:contextualSpacing/>
        <w:jc w:val="both"/>
        <w:rPr>
          <w:rFonts w:ascii="Palatino Linotype" w:hAnsi="Palatino Linotype"/>
        </w:rPr>
      </w:pPr>
      <w:r w:rsidRPr="000A4FC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498015B8" w14:textId="77777777" w:rsidR="005F0C41" w:rsidRPr="000A4FCB" w:rsidRDefault="005F0C41" w:rsidP="005F0C41">
      <w:pPr>
        <w:spacing w:line="360" w:lineRule="auto"/>
        <w:jc w:val="both"/>
        <w:rPr>
          <w:rFonts w:ascii="Palatino Linotype" w:hAnsi="Palatino Linotype"/>
        </w:rPr>
      </w:pPr>
    </w:p>
    <w:p w14:paraId="51CE072A" w14:textId="77777777" w:rsidR="005F0C41" w:rsidRPr="00207290" w:rsidRDefault="005F0C41" w:rsidP="00207290">
      <w:pPr>
        <w:spacing w:line="360" w:lineRule="auto"/>
        <w:ind w:left="425" w:right="850"/>
        <w:jc w:val="both"/>
        <w:rPr>
          <w:rFonts w:ascii="Palatino Linotype" w:hAnsi="Palatino Linotype"/>
          <w:sz w:val="22"/>
        </w:rPr>
      </w:pPr>
      <w:r w:rsidRPr="00207290">
        <w:rPr>
          <w:rFonts w:ascii="Palatino Linotype" w:hAnsi="Palatino Linotype"/>
          <w:sz w:val="22"/>
        </w:rPr>
        <w:lastRenderedPageBreak/>
        <w:t xml:space="preserve"> </w:t>
      </w:r>
      <w:r w:rsidRPr="00207290">
        <w:rPr>
          <w:rFonts w:ascii="Palatino Linotype" w:hAnsi="Palatino Linotype"/>
          <w:i/>
          <w:sz w:val="22"/>
        </w:rPr>
        <w:t>“PLAZO RAZONABLE PARA RESOLVER. DIMENSIÓN Y EFECTOS DE ESTE CONCEPTO CUANDO SE ADUCE EXCESIVA CARGA DE TRABAJO.”</w:t>
      </w:r>
      <w:r w:rsidR="00207290">
        <w:rPr>
          <w:rFonts w:ascii="Palatino Linotype" w:hAnsi="Palatino Linotype"/>
          <w:sz w:val="22"/>
        </w:rPr>
        <w:t xml:space="preserve"> consultable en el Sema</w:t>
      </w:r>
      <w:r w:rsidRPr="00207290">
        <w:rPr>
          <w:rFonts w:ascii="Palatino Linotype" w:hAnsi="Palatino Linotype"/>
          <w:sz w:val="22"/>
        </w:rPr>
        <w:t>nario Judicial de la Federación y su gaceta, con el registro digital 2002351.</w:t>
      </w:r>
    </w:p>
    <w:p w14:paraId="67F5AF7F" w14:textId="77777777" w:rsidR="005F0C41" w:rsidRPr="00207290" w:rsidRDefault="005F0C41" w:rsidP="00207290">
      <w:pPr>
        <w:spacing w:line="360" w:lineRule="auto"/>
        <w:ind w:left="425" w:right="850"/>
        <w:jc w:val="both"/>
        <w:rPr>
          <w:rFonts w:ascii="Palatino Linotype" w:hAnsi="Palatino Linotype"/>
          <w:b/>
          <w:sz w:val="22"/>
        </w:rPr>
      </w:pPr>
    </w:p>
    <w:p w14:paraId="575A81CA" w14:textId="77777777" w:rsidR="005F0C41" w:rsidRPr="00207290" w:rsidRDefault="005F0C41" w:rsidP="00207290">
      <w:pPr>
        <w:spacing w:line="360" w:lineRule="auto"/>
        <w:ind w:left="425" w:right="850"/>
        <w:jc w:val="both"/>
        <w:rPr>
          <w:rFonts w:ascii="Palatino Linotype" w:hAnsi="Palatino Linotype"/>
          <w:sz w:val="22"/>
        </w:rPr>
      </w:pPr>
      <w:r w:rsidRPr="00207290">
        <w:rPr>
          <w:rFonts w:ascii="Palatino Linotype" w:hAnsi="Palatino Linotype"/>
          <w:i/>
          <w:sz w:val="22"/>
        </w:rPr>
        <w:t>“PLAZO RAZONABLE PARA RESOLVER. CONCEPTO Y ELEMENTOS QUE LO INTEGRAN A LA LUZ DEL DERECHO INTERNACIONAL DE LOS DERECHOS HUMANOS.”</w:t>
      </w:r>
      <w:r w:rsidR="00207290">
        <w:rPr>
          <w:rFonts w:ascii="Palatino Linotype" w:hAnsi="Palatino Linotype"/>
          <w:sz w:val="22"/>
        </w:rPr>
        <w:t>, visible en el Sema</w:t>
      </w:r>
      <w:r w:rsidRPr="00207290">
        <w:rPr>
          <w:rFonts w:ascii="Palatino Linotype" w:hAnsi="Palatino Linotype"/>
          <w:sz w:val="22"/>
        </w:rPr>
        <w:t>nario Judicial de la Federación y su gaceta, con el registro digital 2002350.”</w:t>
      </w:r>
    </w:p>
    <w:p w14:paraId="4631F661" w14:textId="77777777" w:rsidR="005F0C41" w:rsidRPr="000A4FCB" w:rsidRDefault="005F0C41" w:rsidP="005F0C41">
      <w:pPr>
        <w:tabs>
          <w:tab w:val="left" w:pos="426"/>
        </w:tabs>
        <w:spacing w:line="360" w:lineRule="auto"/>
        <w:contextualSpacing/>
        <w:jc w:val="both"/>
        <w:rPr>
          <w:rFonts w:ascii="Palatino Linotype" w:eastAsia="MS Mincho" w:hAnsi="Palatino Linotype" w:cs="Times New Roman"/>
          <w:color w:val="000000"/>
          <w:lang w:val="es-MX"/>
        </w:rPr>
      </w:pPr>
    </w:p>
    <w:p w14:paraId="05C5B278" w14:textId="77777777" w:rsidR="00824031" w:rsidRPr="00207290" w:rsidRDefault="00824031" w:rsidP="005F0C41">
      <w:pPr>
        <w:numPr>
          <w:ilvl w:val="0"/>
          <w:numId w:val="1"/>
        </w:numPr>
        <w:spacing w:line="360" w:lineRule="auto"/>
        <w:ind w:left="0" w:firstLine="0"/>
        <w:contextualSpacing/>
        <w:jc w:val="both"/>
        <w:rPr>
          <w:rFonts w:ascii="Palatino Linotype" w:eastAsia="MS Mincho" w:hAnsi="Palatino Linotype" w:cs="Times New Roman"/>
          <w:color w:val="000000"/>
          <w:lang w:val="es-MX"/>
        </w:rPr>
      </w:pPr>
      <w:r w:rsidRPr="000A4FCB">
        <w:rPr>
          <w:rFonts w:ascii="Palatino Linotype" w:eastAsia="MS Mincho" w:hAnsi="Palatino Linotype" w:cs="Times New Roman"/>
          <w:lang w:val="es-MX"/>
        </w:rPr>
        <w:t>Una vez transcurrido el plazo decretado con anterioridad, en fecha</w:t>
      </w:r>
      <w:r w:rsidRPr="000A4FCB">
        <w:rPr>
          <w:rFonts w:ascii="Palatino Linotype" w:eastAsia="Times New Roman" w:hAnsi="Palatino Linotype" w:cs="Arial"/>
          <w:color w:val="000000"/>
          <w:lang w:val="es-MX"/>
        </w:rPr>
        <w:t xml:space="preserve"> </w:t>
      </w:r>
      <w:r w:rsidR="005F0C41" w:rsidRPr="000A4FCB">
        <w:rPr>
          <w:rFonts w:ascii="Palatino Linotype" w:eastAsia="Times New Roman" w:hAnsi="Palatino Linotype" w:cs="Arial"/>
          <w:color w:val="000000"/>
          <w:lang w:val="es-MX"/>
        </w:rPr>
        <w:t xml:space="preserve">nueve de septiembre de dos mil veinticuatro, </w:t>
      </w:r>
      <w:r w:rsidRPr="000A4FCB">
        <w:rPr>
          <w:rFonts w:ascii="Palatino Linotype" w:eastAsia="MS Mincho" w:hAnsi="Palatino Linotype" w:cs="Arial"/>
          <w:color w:val="000000"/>
          <w:lang w:val="es-MX"/>
        </w:rPr>
        <w:t>se decretó el cierre del periodo de instrucción.</w:t>
      </w:r>
    </w:p>
    <w:p w14:paraId="0C5C6729" w14:textId="77777777" w:rsidR="00207290" w:rsidRPr="000A4FCB" w:rsidRDefault="00207290" w:rsidP="00207290">
      <w:pPr>
        <w:spacing w:line="360" w:lineRule="auto"/>
        <w:contextualSpacing/>
        <w:jc w:val="both"/>
        <w:rPr>
          <w:rFonts w:ascii="Palatino Linotype" w:eastAsia="MS Mincho" w:hAnsi="Palatino Linotype" w:cs="Times New Roman"/>
          <w:color w:val="000000"/>
          <w:lang w:val="es-MX"/>
        </w:rPr>
      </w:pPr>
    </w:p>
    <w:p w14:paraId="4FEE40E6" w14:textId="77777777" w:rsidR="00824031" w:rsidRPr="000A4FCB" w:rsidRDefault="00824031" w:rsidP="00824031">
      <w:pPr>
        <w:pStyle w:val="Prrafodelista"/>
        <w:tabs>
          <w:tab w:val="left" w:pos="426"/>
        </w:tabs>
        <w:spacing w:line="360" w:lineRule="auto"/>
        <w:ind w:left="0"/>
        <w:jc w:val="both"/>
        <w:rPr>
          <w:rFonts w:ascii="Palatino Linotype" w:hAnsi="Palatino Linotype"/>
          <w:color w:val="000000" w:themeColor="text1"/>
        </w:rPr>
      </w:pPr>
    </w:p>
    <w:p w14:paraId="023C8975" w14:textId="77777777" w:rsidR="00824031" w:rsidRDefault="00824031" w:rsidP="00824031">
      <w:pPr>
        <w:pStyle w:val="Ttulo1"/>
        <w:spacing w:before="0" w:line="360" w:lineRule="auto"/>
        <w:jc w:val="center"/>
        <w:rPr>
          <w:rFonts w:ascii="Palatino Linotype" w:hAnsi="Palatino Linotype"/>
          <w:b/>
          <w:color w:val="000000" w:themeColor="text1"/>
          <w:sz w:val="24"/>
          <w:szCs w:val="24"/>
        </w:rPr>
      </w:pPr>
      <w:bookmarkStart w:id="4" w:name="_Toc491791302"/>
      <w:bookmarkStart w:id="5" w:name="_Toc83128578"/>
      <w:r w:rsidRPr="000A4FCB">
        <w:rPr>
          <w:rFonts w:ascii="Palatino Linotype" w:hAnsi="Palatino Linotype"/>
          <w:b/>
          <w:color w:val="000000" w:themeColor="text1"/>
          <w:sz w:val="24"/>
          <w:szCs w:val="24"/>
        </w:rPr>
        <w:t>C</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O</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N</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S</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I</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D</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E</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R</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A</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N</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D</w:t>
      </w:r>
      <w:r w:rsidR="00207290">
        <w:rPr>
          <w:rFonts w:ascii="Palatino Linotype" w:hAnsi="Palatino Linotype"/>
          <w:b/>
          <w:color w:val="000000" w:themeColor="text1"/>
          <w:sz w:val="24"/>
          <w:szCs w:val="24"/>
        </w:rPr>
        <w:t xml:space="preserve"> </w:t>
      </w:r>
      <w:r w:rsidRPr="000A4FCB">
        <w:rPr>
          <w:rFonts w:ascii="Palatino Linotype" w:hAnsi="Palatino Linotype"/>
          <w:b/>
          <w:color w:val="000000" w:themeColor="text1"/>
          <w:sz w:val="24"/>
          <w:szCs w:val="24"/>
        </w:rPr>
        <w:t>O</w:t>
      </w:r>
      <w:bookmarkEnd w:id="4"/>
      <w:bookmarkEnd w:id="5"/>
    </w:p>
    <w:p w14:paraId="6771EF12" w14:textId="77777777" w:rsidR="00207290" w:rsidRPr="00207290" w:rsidRDefault="00207290" w:rsidP="00207290"/>
    <w:p w14:paraId="18ED6DC5" w14:textId="77777777" w:rsidR="00824031" w:rsidRPr="000A4FCB" w:rsidRDefault="00824031" w:rsidP="00824031">
      <w:pPr>
        <w:pStyle w:val="Ttulo2"/>
        <w:rPr>
          <w:rFonts w:ascii="Palatino Linotype" w:hAnsi="Palatino Linotype"/>
          <w:b/>
          <w:color w:val="000000" w:themeColor="text1"/>
          <w:sz w:val="24"/>
          <w:szCs w:val="24"/>
        </w:rPr>
      </w:pPr>
      <w:bookmarkStart w:id="6" w:name="_Toc491791303"/>
      <w:bookmarkStart w:id="7" w:name="_Toc83128579"/>
      <w:r w:rsidRPr="000A4FCB">
        <w:rPr>
          <w:rFonts w:ascii="Palatino Linotype" w:hAnsi="Palatino Linotype"/>
          <w:b/>
          <w:color w:val="000000" w:themeColor="text1"/>
          <w:sz w:val="24"/>
          <w:szCs w:val="24"/>
        </w:rPr>
        <w:t>PRIMERO. De la competencia</w:t>
      </w:r>
      <w:bookmarkEnd w:id="6"/>
      <w:bookmarkEnd w:id="7"/>
    </w:p>
    <w:p w14:paraId="6798DC15" w14:textId="77777777" w:rsidR="005F0C41" w:rsidRPr="000A4FCB" w:rsidRDefault="005F0C41" w:rsidP="005F0C41">
      <w:pPr>
        <w:numPr>
          <w:ilvl w:val="0"/>
          <w:numId w:val="1"/>
        </w:numPr>
        <w:spacing w:line="360" w:lineRule="auto"/>
        <w:ind w:left="0" w:firstLine="0"/>
        <w:contextualSpacing/>
        <w:jc w:val="both"/>
        <w:rPr>
          <w:rFonts w:ascii="Palatino Linotype" w:eastAsia="MS Mincho" w:hAnsi="Palatino Linotype" w:cs="Times New Roman"/>
          <w:lang w:val="es-MX"/>
        </w:rPr>
      </w:pPr>
      <w:bookmarkStart w:id="8" w:name="_Toc491791304"/>
      <w:bookmarkStart w:id="9" w:name="_Toc83128580"/>
      <w:r w:rsidRPr="000A4FCB">
        <w:rPr>
          <w:rFonts w:ascii="Palatino Linotype" w:eastAsia="MS Mincho" w:hAnsi="Palatino Linotype" w:cs="Times New Roman"/>
          <w:lang w:val="es-MX"/>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w:t>
      </w:r>
      <w:r w:rsidRPr="000A4FCB">
        <w:rPr>
          <w:rFonts w:ascii="Palatino Linotype" w:eastAsia="MS Mincho" w:hAnsi="Palatino Linotype" w:cs="Times New Roman"/>
          <w:lang w:val="es-MX"/>
        </w:rPr>
        <w:lastRenderedPageBreak/>
        <w:t>del Instituto de Transparencia, Acceso a la Información Pública y Protección de Datos Personales del Estado de México y Municipios.</w:t>
      </w:r>
    </w:p>
    <w:p w14:paraId="6E3FF056" w14:textId="77777777" w:rsidR="005F0C41" w:rsidRPr="000A4FCB" w:rsidRDefault="005F0C41" w:rsidP="005F0C41">
      <w:pPr>
        <w:rPr>
          <w:rFonts w:ascii="Palatino Linotype" w:eastAsia="MS Mincho" w:hAnsi="Palatino Linotype" w:cs="Times New Roman"/>
          <w:lang w:val="es-MX"/>
        </w:rPr>
      </w:pPr>
    </w:p>
    <w:p w14:paraId="25F403DD" w14:textId="77777777" w:rsidR="00824031" w:rsidRPr="000A4FCB" w:rsidRDefault="00824031" w:rsidP="00824031"/>
    <w:p w14:paraId="1D44E910" w14:textId="77777777" w:rsidR="00824031" w:rsidRPr="000A4FCB" w:rsidRDefault="00824031" w:rsidP="00824031">
      <w:pPr>
        <w:pStyle w:val="Ttulo2"/>
        <w:spacing w:before="0" w:line="360" w:lineRule="auto"/>
        <w:rPr>
          <w:rFonts w:ascii="Palatino Linotype" w:hAnsi="Palatino Linotype"/>
          <w:b/>
          <w:color w:val="000000" w:themeColor="text1"/>
          <w:sz w:val="24"/>
          <w:szCs w:val="24"/>
        </w:rPr>
      </w:pPr>
      <w:r w:rsidRPr="000A4FCB">
        <w:rPr>
          <w:rFonts w:ascii="Palatino Linotype" w:hAnsi="Palatino Linotype"/>
          <w:b/>
          <w:color w:val="000000" w:themeColor="text1"/>
          <w:sz w:val="24"/>
          <w:szCs w:val="24"/>
        </w:rPr>
        <w:t>SEGUNDO. De la oportunidad y procedencia.</w:t>
      </w:r>
      <w:bookmarkEnd w:id="8"/>
      <w:bookmarkEnd w:id="9"/>
    </w:p>
    <w:p w14:paraId="77ADD1FE" w14:textId="77777777" w:rsidR="00824031" w:rsidRPr="000A4FCB" w:rsidRDefault="00824031" w:rsidP="001B26D9">
      <w:pPr>
        <w:numPr>
          <w:ilvl w:val="0"/>
          <w:numId w:val="1"/>
        </w:numPr>
        <w:spacing w:line="360" w:lineRule="auto"/>
        <w:ind w:left="0" w:firstLine="0"/>
        <w:contextualSpacing/>
        <w:jc w:val="both"/>
        <w:rPr>
          <w:rFonts w:ascii="Palatino Linotype" w:eastAsia="Times New Roman" w:hAnsi="Palatino Linotype" w:cs="Tahoma"/>
          <w:bCs/>
        </w:rPr>
      </w:pPr>
      <w:r w:rsidRPr="000A4FCB">
        <w:rPr>
          <w:rFonts w:ascii="Palatino Linotype" w:eastAsia="Times New Roman" w:hAnsi="Palatino Linotype" w:cs="Tahoma"/>
          <w:bCs/>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w:t>
      </w:r>
      <w:r w:rsidRPr="000A4FCB">
        <w:rPr>
          <w:rFonts w:ascii="Palatino Linotype" w:hAnsi="Palatino Linotype"/>
        </w:rPr>
        <w:t>previamente</w:t>
      </w:r>
      <w:r w:rsidRPr="000A4FCB">
        <w:rPr>
          <w:rFonts w:ascii="Palatino Linotype" w:eastAsia="Times New Roman" w:hAnsi="Palatino Linotype" w:cs="Tahoma"/>
          <w:bCs/>
        </w:rPr>
        <w:t xml:space="preserv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25DEC8A" w14:textId="77777777" w:rsidR="00824031" w:rsidRPr="000A4FCB" w:rsidRDefault="00824031" w:rsidP="00824031">
      <w:pPr>
        <w:spacing w:line="360" w:lineRule="auto"/>
        <w:jc w:val="both"/>
        <w:rPr>
          <w:rFonts w:ascii="Palatino Linotype" w:eastAsia="Times New Roman" w:hAnsi="Palatino Linotype" w:cs="Tahoma"/>
          <w:bCs/>
        </w:rPr>
      </w:pPr>
    </w:p>
    <w:p w14:paraId="4848604B" w14:textId="77777777" w:rsidR="00824031" w:rsidRPr="000A4FCB" w:rsidRDefault="00824031" w:rsidP="001B26D9">
      <w:pPr>
        <w:numPr>
          <w:ilvl w:val="0"/>
          <w:numId w:val="1"/>
        </w:numPr>
        <w:spacing w:line="360" w:lineRule="auto"/>
        <w:ind w:left="0" w:firstLine="0"/>
        <w:contextualSpacing/>
        <w:jc w:val="both"/>
        <w:rPr>
          <w:rFonts w:ascii="Palatino Linotype" w:eastAsia="Times New Roman" w:hAnsi="Palatino Linotype" w:cs="Tahoma"/>
        </w:rPr>
      </w:pPr>
      <w:r w:rsidRPr="000A4FCB">
        <w:rPr>
          <w:rFonts w:ascii="Palatino Linotype" w:eastAsia="Times New Roman" w:hAnsi="Palatino Linotype" w:cs="Tahoma"/>
        </w:rPr>
        <w:t xml:space="preserve">En el </w:t>
      </w:r>
      <w:r w:rsidRPr="000A4FCB">
        <w:rPr>
          <w:rFonts w:ascii="Palatino Linotype" w:eastAsia="Times New Roman" w:hAnsi="Palatino Linotype" w:cs="Tahoma"/>
          <w:bCs/>
        </w:rPr>
        <w:t>presente</w:t>
      </w:r>
      <w:r w:rsidRPr="000A4FCB">
        <w:rPr>
          <w:rFonts w:ascii="Palatino Linotype" w:eastAsia="Times New Roman" w:hAnsi="Palatino Linotype" w:cs="Tahoma"/>
        </w:rPr>
        <w:t xml:space="preserve"> caso, </w:t>
      </w:r>
      <w:r w:rsidRPr="000A4FCB">
        <w:rPr>
          <w:rFonts w:ascii="Palatino Linotype" w:eastAsia="Times New Roman" w:hAnsi="Palatino Linotype" w:cs="Tahoma"/>
          <w:bCs/>
        </w:rPr>
        <w:t>no se actualiza ninguna de las causales de improcedencia</w:t>
      </w:r>
      <w:r w:rsidRPr="000A4FCB">
        <w:rPr>
          <w:rFonts w:ascii="Palatino Linotype" w:eastAsia="Times New Roman" w:hAnsi="Palatino Linotype" w:cs="Tahoma"/>
        </w:rPr>
        <w:t xml:space="preserve"> establecidas en el ordenamiento jurídico previamente señalado, en sus fracciones I, II, de la 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14:paraId="1BA3083F" w14:textId="77777777" w:rsidR="00824031" w:rsidRPr="000A4FCB" w:rsidRDefault="00824031" w:rsidP="00824031">
      <w:pPr>
        <w:spacing w:line="360" w:lineRule="auto"/>
        <w:jc w:val="both"/>
        <w:rPr>
          <w:rFonts w:ascii="Palatino Linotype" w:eastAsia="Times New Roman" w:hAnsi="Palatino Linotype" w:cs="Tahoma"/>
        </w:rPr>
      </w:pPr>
    </w:p>
    <w:p w14:paraId="58801B0C" w14:textId="77777777" w:rsidR="00824031" w:rsidRPr="000A4FCB" w:rsidRDefault="00824031" w:rsidP="001B26D9">
      <w:pPr>
        <w:numPr>
          <w:ilvl w:val="0"/>
          <w:numId w:val="1"/>
        </w:numPr>
        <w:spacing w:line="360" w:lineRule="auto"/>
        <w:ind w:left="0" w:firstLine="0"/>
        <w:contextualSpacing/>
        <w:jc w:val="both"/>
        <w:rPr>
          <w:rFonts w:ascii="Palatino Linotype" w:eastAsia="Times New Roman" w:hAnsi="Palatino Linotype" w:cs="Tahoma"/>
          <w:lang w:val="es-ES"/>
        </w:rPr>
      </w:pPr>
      <w:r w:rsidRPr="000A4FCB">
        <w:rPr>
          <w:rFonts w:ascii="Palatino Linotype" w:eastAsia="Times New Roman" w:hAnsi="Palatino Linotype" w:cs="Tahoma"/>
        </w:rPr>
        <w:t>Asimismo, se considera por lo que hace a la fracción III, del artículo 191, de la Ley de la materia, toda vez, que ya ha sido admitido el Recurso de Revisión, se realizará el análisis correspondiente en el Considerando Tercero.</w:t>
      </w:r>
    </w:p>
    <w:p w14:paraId="459A841C" w14:textId="77777777" w:rsidR="00824031" w:rsidRPr="000A4FCB" w:rsidRDefault="00824031" w:rsidP="00824031">
      <w:pPr>
        <w:numPr>
          <w:ilvl w:val="0"/>
          <w:numId w:val="1"/>
        </w:numPr>
        <w:spacing w:line="360" w:lineRule="auto"/>
        <w:ind w:left="0" w:firstLine="0"/>
        <w:contextualSpacing/>
        <w:jc w:val="both"/>
        <w:rPr>
          <w:rFonts w:ascii="Palatino Linotype" w:eastAsia="Calibri" w:hAnsi="Palatino Linotype" w:cs="Arial"/>
        </w:rPr>
      </w:pPr>
      <w:r w:rsidRPr="000A4FCB">
        <w:rPr>
          <w:rFonts w:ascii="Palatino Linotype" w:eastAsia="Calibri" w:hAnsi="Palatino Linotype" w:cs="Arial"/>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3CAFD76" w14:textId="77777777" w:rsidR="00824031" w:rsidRPr="000A4FCB" w:rsidRDefault="00824031" w:rsidP="00824031">
      <w:pPr>
        <w:pStyle w:val="Prrafodelista"/>
        <w:spacing w:line="360" w:lineRule="auto"/>
        <w:ind w:left="0"/>
        <w:jc w:val="both"/>
        <w:rPr>
          <w:rFonts w:ascii="Palatino Linotype" w:hAnsi="Palatino Linotype"/>
          <w:color w:val="000000" w:themeColor="text1"/>
        </w:rPr>
      </w:pPr>
    </w:p>
    <w:p w14:paraId="2D6A8929" w14:textId="77777777" w:rsidR="00824031" w:rsidRPr="000A4FCB" w:rsidRDefault="00824031" w:rsidP="00824031">
      <w:pPr>
        <w:pStyle w:val="Ttulo1"/>
        <w:spacing w:before="0" w:line="360" w:lineRule="auto"/>
        <w:rPr>
          <w:rFonts w:ascii="Palatino Linotype" w:hAnsi="Palatino Linotype"/>
          <w:b/>
          <w:color w:val="000000" w:themeColor="text1"/>
          <w:sz w:val="24"/>
          <w:szCs w:val="24"/>
        </w:rPr>
      </w:pPr>
      <w:bookmarkStart w:id="10" w:name="_Toc34246179"/>
      <w:bookmarkStart w:id="11" w:name="_Toc50033991"/>
      <w:bookmarkStart w:id="12" w:name="_Toc51259588"/>
      <w:bookmarkStart w:id="13" w:name="_Toc83128581"/>
      <w:r w:rsidRPr="000A4FCB">
        <w:rPr>
          <w:rFonts w:ascii="Palatino Linotype" w:hAnsi="Palatino Linotype"/>
          <w:b/>
          <w:color w:val="000000" w:themeColor="text1"/>
          <w:sz w:val="24"/>
          <w:szCs w:val="24"/>
        </w:rPr>
        <w:t xml:space="preserve">TERCERO. </w:t>
      </w:r>
      <w:bookmarkStart w:id="14" w:name="_Toc501021589"/>
      <w:r w:rsidRPr="000A4FCB">
        <w:rPr>
          <w:rFonts w:ascii="Palatino Linotype" w:hAnsi="Palatino Linotype"/>
          <w:b/>
          <w:color w:val="000000" w:themeColor="text1"/>
          <w:sz w:val="24"/>
          <w:szCs w:val="24"/>
        </w:rPr>
        <w:t>De las causales de sobreseimiento.</w:t>
      </w:r>
      <w:bookmarkEnd w:id="10"/>
      <w:bookmarkEnd w:id="11"/>
      <w:bookmarkEnd w:id="12"/>
      <w:bookmarkEnd w:id="13"/>
      <w:bookmarkEnd w:id="14"/>
    </w:p>
    <w:p w14:paraId="6B1CB5F2" w14:textId="77777777" w:rsidR="00824031" w:rsidRPr="000A4FCB" w:rsidRDefault="00824031" w:rsidP="0073137D">
      <w:pPr>
        <w:numPr>
          <w:ilvl w:val="0"/>
          <w:numId w:val="1"/>
        </w:numPr>
        <w:spacing w:line="360" w:lineRule="auto"/>
        <w:ind w:left="0" w:firstLine="0"/>
        <w:contextualSpacing/>
        <w:jc w:val="both"/>
        <w:rPr>
          <w:rFonts w:ascii="Palatino Linotype" w:eastAsia="Times New Roman" w:hAnsi="Palatino Linotype" w:cs="Arial"/>
          <w:bCs/>
        </w:rPr>
      </w:pPr>
      <w:r w:rsidRPr="000A4FCB">
        <w:rPr>
          <w:rFonts w:ascii="Palatino Linotype" w:eastAsia="Times New Roman" w:hAnsi="Palatino Linotype" w:cs="Tahoma"/>
        </w:rPr>
        <w:t xml:space="preserve">El artículo 192 de la </w:t>
      </w:r>
      <w:r w:rsidRPr="000A4FCB">
        <w:rPr>
          <w:rFonts w:ascii="Palatino Linotype" w:eastAsia="Calibri" w:hAnsi="Palatino Linotype" w:cs="Tahoma"/>
          <w:bCs/>
          <w:color w:val="000000"/>
          <w:lang w:eastAsia="es-ES_tradnl"/>
        </w:rPr>
        <w:t xml:space="preserve">Ley Transparencia y Acceso a la Información Pública del Estado de México y </w:t>
      </w:r>
      <w:r w:rsidRPr="000A4FCB">
        <w:rPr>
          <w:rFonts w:ascii="Palatino Linotype" w:eastAsia="Calibri" w:hAnsi="Palatino Linotype" w:cs="Arial"/>
        </w:rPr>
        <w:t>Municipios</w:t>
      </w:r>
      <w:r w:rsidRPr="000A4FCB">
        <w:rPr>
          <w:rFonts w:ascii="Palatino Linotype" w:eastAsia="Calibri" w:hAnsi="Palatino Linotype" w:cs="Tahoma"/>
          <w:bCs/>
          <w:color w:val="000000"/>
          <w:lang w:eastAsia="es-ES_tradnl"/>
        </w:rPr>
        <w:t xml:space="preserve">, señala las causales por las cuales se puede sobreseer en todo o </w:t>
      </w:r>
      <w:r w:rsidRPr="000A4FCB">
        <w:rPr>
          <w:rFonts w:ascii="Palatino Linotype" w:eastAsia="Calibri" w:hAnsi="Palatino Linotype" w:cs="Arial"/>
        </w:rPr>
        <w:t>en</w:t>
      </w:r>
      <w:r w:rsidRPr="000A4FCB">
        <w:rPr>
          <w:rFonts w:ascii="Palatino Linotype" w:eastAsia="Calibri" w:hAnsi="Palatino Linotype" w:cs="Tahoma"/>
          <w:bCs/>
          <w:color w:val="000000"/>
          <w:lang w:eastAsia="es-ES_tradnl"/>
        </w:rPr>
        <w:t xml:space="preserve"> parte el Recurso de Revisión;</w:t>
      </w:r>
      <w:r w:rsidRPr="000A4FCB">
        <w:rPr>
          <w:rFonts w:ascii="Palatino Linotype" w:eastAsia="Calibri" w:hAnsi="Palatino Linotype" w:cs="Tahoma"/>
          <w:lang w:eastAsia="es-ES_tradnl"/>
        </w:rPr>
        <w:t xml:space="preserve"> por lo que hace a la hipótesis prevista en </w:t>
      </w:r>
      <w:r w:rsidRPr="000A4FCB">
        <w:rPr>
          <w:rFonts w:ascii="Palatino Linotype" w:eastAsia="Calibri" w:hAnsi="Palatino Linotype" w:cs="Tahoma"/>
          <w:bCs/>
          <w:lang w:eastAsia="es-ES_tradnl"/>
        </w:rPr>
        <w:t>la fracción IV,</w:t>
      </w:r>
      <w:r w:rsidRPr="000A4FCB">
        <w:rPr>
          <w:rFonts w:ascii="Palatino Linotype" w:eastAsia="Calibri" w:hAnsi="Palatino Linotype" w:cs="Tahoma"/>
          <w:lang w:eastAsia="es-ES_tradnl"/>
        </w:rPr>
        <w:t xml:space="preserve"> señala que una vez admitido el Recurso de Revisión, aparezca alguna causal de improcedencia en términos de la presente Ley, </w:t>
      </w:r>
      <w:r w:rsidRPr="000A4FCB">
        <w:rPr>
          <w:rFonts w:ascii="Palatino Linotype" w:eastAsia="Calibri" w:hAnsi="Palatino Linotype" w:cs="Tahoma"/>
          <w:bCs/>
          <w:lang w:eastAsia="es-ES_tradnl"/>
        </w:rPr>
        <w:t>resulta necesario traer a colación</w:t>
      </w:r>
      <w:r w:rsidRPr="000A4FCB">
        <w:rPr>
          <w:rFonts w:ascii="Palatino Linotype" w:eastAsia="Calibri" w:hAnsi="Palatino Linotype" w:cs="Tahoma"/>
          <w:bCs/>
          <w:lang w:val="es-ES" w:eastAsia="es-ES_tradnl"/>
        </w:rPr>
        <w:t xml:space="preserve"> el artículo 191, fracción VII, de dicho ordenamiento jurídico, que establece que el Recurso de Revisión será desechado por improcedente, cuando dicho medio no actualice alguno de los supuestos previstos en el diverso 179 de la presente Ley. </w:t>
      </w:r>
      <w:r w:rsidRPr="000A4FCB">
        <w:rPr>
          <w:rFonts w:ascii="Palatino Linotype" w:eastAsia="Times New Roman" w:hAnsi="Palatino Linotype" w:cs="Arial"/>
          <w:bCs/>
        </w:rPr>
        <w:t>En ese orden de ideas, dicho artículo prevé lo siguiente:</w:t>
      </w:r>
    </w:p>
    <w:p w14:paraId="477CECC4"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
          <w:bCs/>
          <w:i/>
          <w:sz w:val="22"/>
        </w:rPr>
        <w:t xml:space="preserve">“Artículo 179. </w:t>
      </w:r>
      <w:r w:rsidRPr="00207290">
        <w:rPr>
          <w:rFonts w:ascii="Palatino Linotype" w:hAnsi="Palatino Linotype" w:cs="Arial"/>
          <w:bCs/>
          <w:i/>
          <w:sz w:val="22"/>
        </w:rPr>
        <w:t>El recurso de revisión es un medio de protección que la Ley otorga a los particulares, para hacer valer su derecho de acceso a la información pública, y procederá en co</w:t>
      </w:r>
      <w:r w:rsidR="0073137D" w:rsidRPr="00207290">
        <w:rPr>
          <w:rFonts w:ascii="Palatino Linotype" w:hAnsi="Palatino Linotype" w:cs="Arial"/>
          <w:bCs/>
          <w:i/>
          <w:sz w:val="22"/>
        </w:rPr>
        <w:t xml:space="preserve">ntra de las siguientes causas: </w:t>
      </w:r>
    </w:p>
    <w:p w14:paraId="1E93EBC1"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I. La negativa a la información solicitada; </w:t>
      </w:r>
    </w:p>
    <w:p w14:paraId="2BC808B5"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II. La clasificación de la información; </w:t>
      </w:r>
    </w:p>
    <w:p w14:paraId="3402C712"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III. La declaración de inexistencia de la información; </w:t>
      </w:r>
    </w:p>
    <w:p w14:paraId="699BC3AB"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IV. La declaración de incompetencia por el sujeto obligado; </w:t>
      </w:r>
    </w:p>
    <w:p w14:paraId="17AE77ED"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V. La entrega de información incompleta; </w:t>
      </w:r>
    </w:p>
    <w:p w14:paraId="1B3B7BCB"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VI. La entrega de información que no corresponda con lo solicitado; </w:t>
      </w:r>
    </w:p>
    <w:p w14:paraId="5408D32B"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VII. La falta de respuesta a una solicitud de acceso a la información; </w:t>
      </w:r>
    </w:p>
    <w:p w14:paraId="7199E9D7"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VIII. La notificación, entrega o puesta a disposición de información en una modalidad o formato distinto al solicitado; </w:t>
      </w:r>
    </w:p>
    <w:p w14:paraId="38ACD96A"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IX. La entrega o puesta a disposición de información en un formato incomprensible y/o no accesible para el solicitante; </w:t>
      </w:r>
    </w:p>
    <w:p w14:paraId="5A1D782B"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X. Los costos o tiempos de entrega de la información; </w:t>
      </w:r>
    </w:p>
    <w:p w14:paraId="37980075"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XI. La falta de trámite a una solicitud; </w:t>
      </w:r>
    </w:p>
    <w:p w14:paraId="5D56657D"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lastRenderedPageBreak/>
        <w:t xml:space="preserve">XII. La negativa a permitir la consulta directa de la información; </w:t>
      </w:r>
    </w:p>
    <w:p w14:paraId="56805635"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 xml:space="preserve">XIII. La falta, deficiencia o insuficiencia de la fundamentación y/o motivación en la respuesta; y </w:t>
      </w:r>
    </w:p>
    <w:p w14:paraId="14781B61" w14:textId="77777777" w:rsidR="00824031" w:rsidRPr="00207290" w:rsidRDefault="00824031" w:rsidP="0073137D">
      <w:pPr>
        <w:ind w:left="1134" w:right="900"/>
        <w:jc w:val="both"/>
        <w:rPr>
          <w:rFonts w:ascii="Palatino Linotype" w:hAnsi="Palatino Linotype" w:cs="Arial"/>
          <w:bCs/>
          <w:i/>
          <w:sz w:val="22"/>
        </w:rPr>
      </w:pPr>
      <w:r w:rsidRPr="00207290">
        <w:rPr>
          <w:rFonts w:ascii="Palatino Linotype" w:hAnsi="Palatino Linotype" w:cs="Arial"/>
          <w:bCs/>
          <w:i/>
          <w:sz w:val="22"/>
        </w:rPr>
        <w:t>XIV. La orien</w:t>
      </w:r>
      <w:r w:rsidR="0073137D" w:rsidRPr="00207290">
        <w:rPr>
          <w:rFonts w:ascii="Palatino Linotype" w:hAnsi="Palatino Linotype" w:cs="Arial"/>
          <w:bCs/>
          <w:i/>
          <w:sz w:val="22"/>
        </w:rPr>
        <w:t>tación a un trámite específico.</w:t>
      </w:r>
      <w:r w:rsidRPr="00207290">
        <w:rPr>
          <w:rFonts w:ascii="Palatino Linotype" w:hAnsi="Palatino Linotype" w:cs="Arial"/>
          <w:bCs/>
          <w:i/>
          <w:sz w:val="22"/>
        </w:rPr>
        <w:t>”</w:t>
      </w:r>
    </w:p>
    <w:p w14:paraId="5EBF0FD5" w14:textId="77777777" w:rsidR="0073137D" w:rsidRPr="000A4FCB" w:rsidRDefault="0073137D" w:rsidP="0073137D">
      <w:pPr>
        <w:ind w:left="1134" w:right="900"/>
        <w:jc w:val="both"/>
        <w:rPr>
          <w:rFonts w:ascii="Palatino Linotype" w:hAnsi="Palatino Linotype" w:cs="Arial"/>
          <w:bCs/>
          <w:i/>
        </w:rPr>
      </w:pPr>
    </w:p>
    <w:p w14:paraId="62CF560A" w14:textId="77777777" w:rsidR="00824031" w:rsidRPr="000A4FCB" w:rsidRDefault="00824031" w:rsidP="0073137D">
      <w:pPr>
        <w:numPr>
          <w:ilvl w:val="0"/>
          <w:numId w:val="1"/>
        </w:numPr>
        <w:spacing w:line="360" w:lineRule="auto"/>
        <w:ind w:left="0" w:firstLine="0"/>
        <w:contextualSpacing/>
        <w:jc w:val="both"/>
        <w:rPr>
          <w:rFonts w:ascii="Palatino Linotype" w:hAnsi="Palatino Linotype" w:cs="Tahoma"/>
          <w:lang w:val="es-ES"/>
        </w:rPr>
      </w:pPr>
      <w:r w:rsidRPr="000A4FCB">
        <w:rPr>
          <w:rFonts w:ascii="Palatino Linotype" w:hAnsi="Palatino Linotype" w:cs="Tahoma"/>
          <w:lang w:val="es-ES"/>
        </w:rPr>
        <w:t xml:space="preserve">Ahora bien, el artículo 176 de la Ley de Transparencia y Acceso a la Información Pública del Estado de México y Municipios, establece que el Recurso de Revisión, es la garantía secundaria mediante la cual se pretende reparar cualquier afectación al </w:t>
      </w:r>
      <w:r w:rsidRPr="000A4FCB">
        <w:rPr>
          <w:rFonts w:ascii="Palatino Linotype" w:eastAsia="Times New Roman" w:hAnsi="Palatino Linotype" w:cs="Tahoma"/>
        </w:rPr>
        <w:t>derecho</w:t>
      </w:r>
      <w:r w:rsidRPr="000A4FCB">
        <w:rPr>
          <w:rFonts w:ascii="Palatino Linotype" w:hAnsi="Palatino Linotype" w:cs="Tahoma"/>
          <w:lang w:val="es-ES"/>
        </w:rPr>
        <w:t xml:space="preserve"> de acceso a la información pública.</w:t>
      </w:r>
    </w:p>
    <w:p w14:paraId="47249A8B" w14:textId="77777777" w:rsidR="00824031" w:rsidRPr="000A4FCB" w:rsidRDefault="00824031" w:rsidP="00824031">
      <w:pPr>
        <w:tabs>
          <w:tab w:val="left" w:pos="4962"/>
        </w:tabs>
        <w:spacing w:line="360" w:lineRule="auto"/>
        <w:jc w:val="both"/>
        <w:rPr>
          <w:rFonts w:ascii="Palatino Linotype" w:hAnsi="Palatino Linotype" w:cs="Tahoma"/>
          <w:lang w:val="es-ES"/>
        </w:rPr>
      </w:pPr>
    </w:p>
    <w:p w14:paraId="6249A953" w14:textId="77777777" w:rsidR="00824031" w:rsidRPr="000A4FCB" w:rsidRDefault="00824031" w:rsidP="0073137D">
      <w:pPr>
        <w:numPr>
          <w:ilvl w:val="0"/>
          <w:numId w:val="1"/>
        </w:numPr>
        <w:spacing w:line="360" w:lineRule="auto"/>
        <w:ind w:left="0" w:firstLine="0"/>
        <w:contextualSpacing/>
        <w:jc w:val="both"/>
        <w:rPr>
          <w:rFonts w:ascii="Palatino Linotype" w:hAnsi="Palatino Linotype" w:cs="Tahoma"/>
          <w:lang w:val="es-ES"/>
        </w:rPr>
      </w:pPr>
      <w:r w:rsidRPr="000A4FCB">
        <w:rPr>
          <w:rFonts w:ascii="Palatino Linotype" w:hAnsi="Palatino Linotype" w:cs="Tahoma"/>
          <w:lang w:val="es-ES"/>
        </w:rPr>
        <w:t>Además, conforme al Diccionario de Transparencia y Acceso a la Información Pública y la página oficial de este Instituto (</w:t>
      </w:r>
      <w:hyperlink r:id="rId7" w:anchor="queEsRRdeIP" w:history="1">
        <w:r w:rsidRPr="000A4FCB">
          <w:rPr>
            <w:rFonts w:ascii="Palatino Linotype" w:hAnsi="Palatino Linotype" w:cs="Tahoma"/>
            <w:lang w:val="es-ES"/>
          </w:rPr>
          <w:t>https://www.infoem.org.mx/es/content/informacion-publica#queEsRRdeIP</w:t>
        </w:r>
      </w:hyperlink>
      <w:r w:rsidRPr="000A4FCB">
        <w:rPr>
          <w:rFonts w:ascii="Palatino Linotype" w:hAnsi="Palatino Linotype" w:cs="Tahoma"/>
          <w:lang w:val="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3EF1C565" w14:textId="77777777" w:rsidR="00824031" w:rsidRPr="000A4FCB" w:rsidRDefault="00824031" w:rsidP="00824031">
      <w:pPr>
        <w:spacing w:line="360" w:lineRule="auto"/>
        <w:ind w:right="49"/>
        <w:contextualSpacing/>
        <w:jc w:val="both"/>
        <w:rPr>
          <w:rFonts w:ascii="Palatino Linotype" w:hAnsi="Palatino Linotype" w:cs="Tahoma"/>
          <w:lang w:val="es-ES"/>
        </w:rPr>
      </w:pPr>
    </w:p>
    <w:p w14:paraId="5C2E9147" w14:textId="77777777" w:rsidR="00824031" w:rsidRPr="000A4FCB" w:rsidRDefault="00824031" w:rsidP="0073137D">
      <w:pPr>
        <w:numPr>
          <w:ilvl w:val="0"/>
          <w:numId w:val="1"/>
        </w:numPr>
        <w:spacing w:line="360" w:lineRule="auto"/>
        <w:ind w:left="0" w:firstLine="0"/>
        <w:contextualSpacing/>
        <w:jc w:val="both"/>
        <w:rPr>
          <w:rFonts w:ascii="Palatino Linotype" w:hAnsi="Palatino Linotype" w:cs="Tahoma"/>
          <w:lang w:val="es-ES"/>
        </w:rPr>
      </w:pPr>
      <w:r w:rsidRPr="000A4FCB">
        <w:rPr>
          <w:rFonts w:ascii="Palatino Linotype" w:hAnsi="Palatino Linotype" w:cs="Tahoma"/>
          <w:lang w:val="es-ES"/>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w:t>
      </w:r>
      <w:r w:rsidRPr="000A4FCB">
        <w:rPr>
          <w:rFonts w:ascii="Palatino Linotype" w:hAnsi="Palatino Linotype" w:cs="Tahoma"/>
          <w:b/>
          <w:u w:val="single"/>
          <w:lang w:val="es-ES"/>
        </w:rPr>
        <w:t>de la contestación realizada por los Sujetos Obligados</w:t>
      </w:r>
      <w:r w:rsidRPr="000A4FCB">
        <w:rPr>
          <w:rFonts w:ascii="Palatino Linotype" w:hAnsi="Palatino Linotype" w:cs="Tahoma"/>
          <w:lang w:val="es-ES"/>
        </w:rPr>
        <w:t xml:space="preserve"> </w:t>
      </w:r>
      <w:r w:rsidRPr="000A4FCB">
        <w:rPr>
          <w:rFonts w:ascii="Palatino Linotype" w:hAnsi="Palatino Linotype" w:cs="Tahoma"/>
          <w:b/>
          <w:u w:val="single"/>
          <w:lang w:val="es-ES"/>
        </w:rPr>
        <w:t>a una solicitud de información específica.</w:t>
      </w:r>
    </w:p>
    <w:p w14:paraId="0188259E" w14:textId="77777777" w:rsidR="00824031" w:rsidRPr="000A4FCB" w:rsidRDefault="00824031" w:rsidP="00824031">
      <w:pPr>
        <w:pStyle w:val="Prrafodelista"/>
        <w:rPr>
          <w:rFonts w:ascii="Palatino Linotype" w:hAnsi="Palatino Linotype" w:cs="Tahoma"/>
          <w:lang w:val="es-ES"/>
        </w:rPr>
      </w:pPr>
    </w:p>
    <w:p w14:paraId="5F17C330" w14:textId="77777777" w:rsidR="00824031" w:rsidRPr="000A4FCB" w:rsidRDefault="00824031" w:rsidP="0073137D">
      <w:pPr>
        <w:numPr>
          <w:ilvl w:val="0"/>
          <w:numId w:val="1"/>
        </w:numPr>
        <w:spacing w:line="360" w:lineRule="auto"/>
        <w:ind w:left="0" w:firstLine="0"/>
        <w:contextualSpacing/>
        <w:jc w:val="both"/>
        <w:rPr>
          <w:rFonts w:ascii="Palatino Linotype" w:hAnsi="Palatino Linotype" w:cs="Tahoma"/>
          <w:lang w:val="es-ES"/>
        </w:rPr>
      </w:pPr>
      <w:r w:rsidRPr="000A4FCB">
        <w:rPr>
          <w:rFonts w:ascii="Palatino Linotype" w:hAnsi="Palatino Linotype" w:cs="Tahoma"/>
          <w:lang w:val="es-ES"/>
        </w:rPr>
        <w:t>De manera preliminar en el caso concreto conviene analizar si se actualiza alguna de las causales de sobreseimiento del recurso de revisión.</w:t>
      </w:r>
    </w:p>
    <w:p w14:paraId="2DA7E966" w14:textId="77777777" w:rsidR="00824031" w:rsidRPr="000A4FCB" w:rsidRDefault="00824031" w:rsidP="00824031">
      <w:pPr>
        <w:pStyle w:val="Prrafodelista"/>
        <w:tabs>
          <w:tab w:val="left" w:pos="426"/>
        </w:tabs>
        <w:spacing w:line="360" w:lineRule="auto"/>
        <w:ind w:left="0"/>
        <w:jc w:val="both"/>
        <w:rPr>
          <w:rFonts w:ascii="Palatino Linotype" w:hAnsi="Palatino Linotype" w:cs="Tahoma"/>
          <w:lang w:val="es-ES"/>
        </w:rPr>
      </w:pPr>
    </w:p>
    <w:p w14:paraId="1DB1AEA5" w14:textId="77777777" w:rsidR="00824031" w:rsidRPr="000A4FCB" w:rsidRDefault="00824031" w:rsidP="0073137D">
      <w:pPr>
        <w:numPr>
          <w:ilvl w:val="0"/>
          <w:numId w:val="1"/>
        </w:numPr>
        <w:spacing w:line="360" w:lineRule="auto"/>
        <w:ind w:left="0" w:firstLine="0"/>
        <w:contextualSpacing/>
        <w:jc w:val="both"/>
        <w:rPr>
          <w:rFonts w:ascii="Palatino Linotype" w:hAnsi="Palatino Linotype" w:cs="Tahoma"/>
          <w:lang w:val="es-ES"/>
        </w:rPr>
      </w:pPr>
      <w:r w:rsidRPr="000A4FCB">
        <w:rPr>
          <w:rFonts w:ascii="Palatino Linotype" w:hAnsi="Palatino Linotype" w:cs="Tahoma"/>
          <w:lang w:val="es-ES"/>
        </w:rPr>
        <w:t xml:space="preserve">Así, del análisis de la solicitud de información motivo del recurso de revisión que ahora se resuelve, se advierte que la parte solicitante requirió al </w:t>
      </w:r>
      <w:r w:rsidRPr="000A4FCB">
        <w:rPr>
          <w:rFonts w:ascii="Palatino Linotype" w:hAnsi="Palatino Linotype" w:cs="Tahoma"/>
          <w:b/>
          <w:lang w:val="es-ES"/>
        </w:rPr>
        <w:t>Sujeto Obligado</w:t>
      </w:r>
      <w:r w:rsidRPr="000A4FCB">
        <w:rPr>
          <w:rFonts w:ascii="Palatino Linotype" w:hAnsi="Palatino Linotype" w:cs="Tahoma"/>
          <w:lang w:val="es-ES"/>
        </w:rPr>
        <w:t xml:space="preserve"> le proporcione información consistente en lo siguiente:</w:t>
      </w:r>
    </w:p>
    <w:p w14:paraId="4485B972" w14:textId="77777777" w:rsidR="00824031" w:rsidRPr="00207290" w:rsidRDefault="00824031" w:rsidP="0073137D">
      <w:pPr>
        <w:pStyle w:val="Prrafodelista"/>
        <w:spacing w:before="120" w:after="120"/>
        <w:ind w:left="1134" w:right="900"/>
        <w:jc w:val="both"/>
        <w:rPr>
          <w:rFonts w:ascii="Palatino Linotype" w:eastAsia="Palatino Linotype" w:hAnsi="Palatino Linotype" w:cs="Palatino Linotype"/>
          <w:i/>
          <w:sz w:val="22"/>
        </w:rPr>
      </w:pPr>
      <w:r w:rsidRPr="00207290">
        <w:rPr>
          <w:rFonts w:ascii="Palatino Linotype" w:eastAsia="Palatino Linotype" w:hAnsi="Palatino Linotype" w:cs="Palatino Linotype"/>
          <w:i/>
          <w:sz w:val="22"/>
        </w:rPr>
        <w:t xml:space="preserve"> “</w:t>
      </w:r>
      <w:r w:rsidR="0073137D" w:rsidRPr="00207290">
        <w:rPr>
          <w:rFonts w:ascii="Palatino Linotype" w:eastAsia="Palatino Linotype" w:hAnsi="Palatino Linotype" w:cs="Palatino Linotype"/>
          <w:i/>
          <w:sz w:val="22"/>
        </w:rPr>
        <w:t>Solicito la información de por qué y bajo qué términos legales el actual coordinador de servicios de Salud del ISSEMyM, de 2010 a 2023 mientras ostentaba el cargo de Director de Centro Médico ISSEMYM dejó operar de manera ilegal el programa de cirugía bariatrica de Centro Médico Issemym , sin contar con cirujanos entrenados en institutos de alta especialidad avalados por el Consejo Mexicano de Cirugía y muchos menos las certificaciones correspondientes conforme a la norma oficial mexicana para la cirugía de obesidad.”</w:t>
      </w:r>
    </w:p>
    <w:p w14:paraId="59282B85" w14:textId="77777777" w:rsidR="00824031" w:rsidRPr="000A4FCB" w:rsidRDefault="00824031" w:rsidP="00824031">
      <w:pPr>
        <w:pStyle w:val="Prrafodelista"/>
        <w:spacing w:before="120" w:after="120"/>
        <w:ind w:left="360" w:right="900"/>
        <w:jc w:val="both"/>
        <w:rPr>
          <w:rFonts w:ascii="Palatino Linotype" w:eastAsia="Palatino Linotype" w:hAnsi="Palatino Linotype" w:cs="Palatino Linotype"/>
          <w:i/>
        </w:rPr>
      </w:pPr>
    </w:p>
    <w:p w14:paraId="751A76BD" w14:textId="77777777" w:rsidR="00824031" w:rsidRPr="000A4FCB" w:rsidRDefault="00824031" w:rsidP="00824031">
      <w:pPr>
        <w:pStyle w:val="Prrafodelista"/>
        <w:spacing w:before="120" w:after="120"/>
        <w:ind w:left="360" w:right="-234"/>
        <w:jc w:val="both"/>
      </w:pPr>
    </w:p>
    <w:p w14:paraId="134A204E" w14:textId="77777777" w:rsidR="00824031" w:rsidRPr="000A4FCB" w:rsidRDefault="00824031" w:rsidP="0073137D">
      <w:pPr>
        <w:numPr>
          <w:ilvl w:val="0"/>
          <w:numId w:val="1"/>
        </w:numPr>
        <w:spacing w:line="360" w:lineRule="auto"/>
        <w:ind w:left="0" w:firstLine="0"/>
        <w:contextualSpacing/>
        <w:jc w:val="both"/>
        <w:rPr>
          <w:rFonts w:ascii="Palatino Linotype" w:eastAsia="Palatino Linotype" w:hAnsi="Palatino Linotype" w:cs="Palatino Linotype"/>
        </w:rPr>
      </w:pPr>
      <w:r w:rsidRPr="000A4FCB">
        <w:rPr>
          <w:rFonts w:ascii="Palatino Linotype" w:eastAsia="Palatino Linotype" w:hAnsi="Palatino Linotype" w:cs="Palatino Linotype"/>
        </w:rPr>
        <w:t xml:space="preserve">En respuesta, el </w:t>
      </w:r>
      <w:r w:rsidRPr="000A4FCB">
        <w:rPr>
          <w:rFonts w:ascii="Palatino Linotype" w:eastAsia="Palatino Linotype" w:hAnsi="Palatino Linotype" w:cs="Palatino Linotype"/>
          <w:b/>
        </w:rPr>
        <w:t xml:space="preserve">Sujeto Obligado </w:t>
      </w:r>
      <w:r w:rsidRPr="000A4FCB">
        <w:rPr>
          <w:rFonts w:ascii="Palatino Linotype" w:eastAsia="Palatino Linotype" w:hAnsi="Palatino Linotype" w:cs="Palatino Linotype"/>
        </w:rPr>
        <w:t>hizo del conocimiento de la persona solicitante lo siguiente:</w:t>
      </w:r>
    </w:p>
    <w:p w14:paraId="1DC61CB1" w14:textId="77777777" w:rsidR="0073137D" w:rsidRPr="00207290" w:rsidRDefault="0073137D" w:rsidP="0073137D">
      <w:pPr>
        <w:pStyle w:val="Prrafodelista"/>
        <w:tabs>
          <w:tab w:val="left" w:pos="426"/>
        </w:tabs>
        <w:ind w:left="1134" w:right="900"/>
        <w:jc w:val="both"/>
        <w:rPr>
          <w:rFonts w:ascii="Palatino Linotype" w:hAnsi="Palatino Linotype" w:cs="Arial"/>
          <w:i/>
          <w:sz w:val="22"/>
        </w:rPr>
      </w:pPr>
      <w:r w:rsidRPr="00207290">
        <w:rPr>
          <w:rStyle w:val="Hipervnculo"/>
          <w:rFonts w:ascii="Palatino Linotype" w:hAnsi="Palatino Linotype" w:cs="Arial"/>
          <w:b/>
          <w:bCs/>
          <w:i/>
          <w:color w:val="auto"/>
          <w:sz w:val="22"/>
          <w:u w:val="none"/>
        </w:rPr>
        <w:t>RESPUESTA 158 IP.pdf</w:t>
      </w:r>
      <w:r w:rsidRPr="00207290">
        <w:rPr>
          <w:rFonts w:ascii="Palatino Linotype" w:hAnsi="Palatino Linotype" w:cs="Arial"/>
          <w:i/>
          <w:sz w:val="22"/>
        </w:rPr>
        <w:t xml:space="preserve">: oficio del Titular de la Unidad de Transparencia, mediante el cual informa que el 4 de agosto de 2010 fue publicada la norma oficial mexicana NOM-008-SSA3-2010 para el tratamiento integral del sobrepeso y la obesidad, de la cual remiten las disposiciones específicas que cubre el perfil de puestos y la vigencia de la entrada de la norma. </w:t>
      </w:r>
    </w:p>
    <w:p w14:paraId="5447694C" w14:textId="77777777" w:rsidR="00824031" w:rsidRPr="000A4FCB" w:rsidRDefault="00824031" w:rsidP="00824031">
      <w:pPr>
        <w:pStyle w:val="Prrafodelista"/>
        <w:spacing w:after="160"/>
        <w:ind w:left="360" w:right="900"/>
        <w:jc w:val="both"/>
        <w:rPr>
          <w:rFonts w:ascii="Palatino Linotype" w:eastAsia="Palatino Linotype" w:hAnsi="Palatino Linotype" w:cs="Palatino Linotype"/>
          <w:i/>
        </w:rPr>
      </w:pPr>
    </w:p>
    <w:p w14:paraId="529F6EE3" w14:textId="77777777" w:rsidR="00824031" w:rsidRPr="000A4FCB" w:rsidRDefault="00824031" w:rsidP="0073137D">
      <w:pPr>
        <w:numPr>
          <w:ilvl w:val="0"/>
          <w:numId w:val="1"/>
        </w:numPr>
        <w:spacing w:line="360" w:lineRule="auto"/>
        <w:ind w:left="0" w:firstLine="0"/>
        <w:contextualSpacing/>
        <w:jc w:val="both"/>
        <w:rPr>
          <w:rFonts w:ascii="Palatino Linotype" w:eastAsia="Palatino Linotype" w:hAnsi="Palatino Linotype" w:cs="Palatino Linotype"/>
        </w:rPr>
      </w:pPr>
      <w:r w:rsidRPr="000A4FCB">
        <w:rPr>
          <w:rFonts w:ascii="Palatino Linotype" w:eastAsia="Palatino Linotype" w:hAnsi="Palatino Linotype" w:cs="Palatino Linotype"/>
        </w:rPr>
        <w:t xml:space="preserve">Conocida la respuesta por la persona solicitante, al no estar conforme con los términos de la misma, interpuso el recurso de revisión que nos ocupa, mediante el cual señaló: </w:t>
      </w:r>
    </w:p>
    <w:p w14:paraId="496DD1FB" w14:textId="77777777" w:rsidR="00824031" w:rsidRPr="00207290" w:rsidRDefault="00824031" w:rsidP="00207290">
      <w:pPr>
        <w:pStyle w:val="Prrafodelista"/>
        <w:numPr>
          <w:ilvl w:val="0"/>
          <w:numId w:val="4"/>
        </w:numPr>
        <w:spacing w:after="160"/>
        <w:ind w:right="900"/>
        <w:jc w:val="both"/>
        <w:rPr>
          <w:rFonts w:ascii="Palatino Linotype" w:eastAsia="Palatino Linotype" w:hAnsi="Palatino Linotype" w:cs="Palatino Linotype"/>
          <w:sz w:val="22"/>
        </w:rPr>
      </w:pPr>
      <w:r w:rsidRPr="00207290">
        <w:rPr>
          <w:rFonts w:ascii="Palatino Linotype" w:eastAsia="Palatino Linotype" w:hAnsi="Palatino Linotype" w:cs="Palatino Linotype"/>
          <w:b/>
          <w:sz w:val="22"/>
        </w:rPr>
        <w:t>Acto Impugnado</w:t>
      </w:r>
      <w:r w:rsidRPr="00207290">
        <w:rPr>
          <w:rFonts w:ascii="Palatino Linotype" w:eastAsia="Palatino Linotype" w:hAnsi="Palatino Linotype" w:cs="Palatino Linotype"/>
          <w:sz w:val="22"/>
        </w:rPr>
        <w:t xml:space="preserve">: </w:t>
      </w:r>
      <w:r w:rsidRPr="00207290">
        <w:rPr>
          <w:rFonts w:ascii="Palatino Linotype" w:eastAsia="Palatino Linotype" w:hAnsi="Palatino Linotype" w:cs="Palatino Linotype"/>
          <w:i/>
          <w:sz w:val="22"/>
        </w:rPr>
        <w:t>“</w:t>
      </w:r>
      <w:r w:rsidR="0073137D" w:rsidRPr="00207290">
        <w:rPr>
          <w:rFonts w:ascii="Palatino Linotype" w:eastAsia="Palatino Linotype" w:hAnsi="Palatino Linotype" w:cs="Palatino Linotype"/>
          <w:i/>
          <w:sz w:val="22"/>
        </w:rPr>
        <w:t xml:space="preserve">El desconocimiento y la improvisación por parte del las autoridades de ISSEMyM ha generado omisión en la correcta revisión de la legislación y las certificaciones correspondientes para ejercer la cirugía bariatrica en México , lo cual como establece y en relación al numeral 6.1.1.1 debe contar , en los términos de lo previsto por las disposiciones aplicables , con título, cédula de médico especialista en (según sea el caso y certificación) , tratándose específicamente en este caso de Cirugía Bariatrica, el certificado vigente de especialista, para ser completamente claros “el certificado como especialista en Cirugía Bariatrica”, no cirugía general , no cirugia Endoscópica , no cirugía pediátrica. Por </w:t>
      </w:r>
      <w:r w:rsidR="0073137D" w:rsidRPr="00207290">
        <w:rPr>
          <w:rFonts w:ascii="Palatino Linotype" w:eastAsia="Palatino Linotype" w:hAnsi="Palatino Linotype" w:cs="Palatino Linotype"/>
          <w:i/>
          <w:sz w:val="22"/>
        </w:rPr>
        <w:lastRenderedPageBreak/>
        <w:t>lo cual solicito por parte de los integrantes del programa de Cirugía Bariatrica del Centro Médico Issemym durante 2010 a 2023. Muestre su certificado como especialista en cirugía bariatrica como a continuación se anexa el ejemplo , y bien el diploma por parte del Instituto en el cual llevó a cabo el entrenamiento específico de Cirugía Bariátrica y de Obesidad . Centro de entrenamiento el cual debe estar avalado por el Consejo Mexicano de Cirugía General y que se limita a los siguientes: Hospital General Dr. Manuel Gea González CDMX 12 meses de entrenamiento Aval universitario UNAM Profesor Titular Dr. Martín Edgardo Rojano Rodríguez. Hospital Ángeles del pedregal CDMX 12 meses de entrenamiento Aval universitario UNAM Profesor Titular Dr. Armando Castillo González. Hospital Ángeles de Tijuana Tijuana BC. 12 meses de entrenamiento Universidad Autónoma de Baja California Profesor Titular Dr. Juan Antonio López Corvalá. CMN “20 de Noviembre” ISSTE CDMX 12 meses de entrenamiento Aval universitario UNAM Profesor Titular Dr. Jesús Montoya Ramírez. Centro Médico Nacional Siglo XXI IMSS CDMX 12 meses de entrenamiento Aval universitario UNAM Profesor Titular: Dr. Arturo Rodríguez González. Nuevo Hospital Civil de Guadalajara Dr. Juan I. Menchaca Guadalajara, Jalisco. 24 meses de adiestramiento Título de Especialidad en Cirugía Bariátrica con aval de Universidad de Guadalajara Profesor Titular: Dra. Patricia Sánchez Muñoz. Hospital Universitario Dr. José Eleuterio González UANL Monterrey, Nuevo León. 12 meses de adiestramiento Aval Universitario UANL Profesor Titular: Dr. Luis Fernando Zorrilla Núñez. Hospital General Tláhuac – Secretaría de Salud del Gobierno de CDMX CDMX 12 meses de adiestramiento Aval Universitario de UNAM Profesor Titular: Dr. Carlos Zerrweck López. Hospital San José - TEC de Monterrey Monterrey, Nuevo León. 12 meses de adiestramiento Aval Universitario ITESM Profesor Titular.- Dr. Javier Rojas Méndez. Centro Medico ABC Observatorio CDMX 12 meses de adiestramiento Aval Universitario UNAM Profesor Titular.- Dr. Miguel Francisco Herrera Hernández. Hospital General de México Dr. Eduardo Liceaga CDMX 12 meses de adiestramiento Aval Universitario UNAM Profesor Titular: Dr. Jorge Enrique Ramírez Velásquez. Instituto Nacional de Ciencias Médicas y Nutrición Salvador Zubirán CDMX 12 meses de adiestramiento Aval Universitario UNAM Profesor titular: Dr. Juan Pablo Pantoja Millán. Solicitando a la brevedad los certificados como especialista en cirugía Bariatrica del Dr Guillermo Berrones Stringel y los participantes del programa de 2010 a 2023 . Así como revisión de respuesta por parte de la Coordinación de Servicios de Salud, ya que en caso de no contar con la certificación, estaría encubriendo un posible delito</w:t>
      </w:r>
      <w:r w:rsidRPr="00207290">
        <w:rPr>
          <w:rFonts w:ascii="Palatino Linotype" w:eastAsia="Palatino Linotype" w:hAnsi="Palatino Linotype" w:cs="Palatino Linotype"/>
          <w:b/>
          <w:i/>
          <w:sz w:val="22"/>
          <w:u w:val="single"/>
        </w:rPr>
        <w:t>.”</w:t>
      </w:r>
    </w:p>
    <w:p w14:paraId="151D6A05" w14:textId="77777777" w:rsidR="00824031" w:rsidRPr="00207290" w:rsidRDefault="00824031" w:rsidP="0073137D">
      <w:pPr>
        <w:pStyle w:val="Prrafodelista"/>
        <w:spacing w:after="160"/>
        <w:ind w:left="1134" w:right="900"/>
        <w:jc w:val="both"/>
        <w:rPr>
          <w:rFonts w:ascii="Palatino Linotype" w:eastAsia="Palatino Linotype" w:hAnsi="Palatino Linotype" w:cs="Palatino Linotype"/>
          <w:sz w:val="22"/>
        </w:rPr>
      </w:pPr>
    </w:p>
    <w:p w14:paraId="24790182" w14:textId="77777777" w:rsidR="00824031" w:rsidRPr="00207290" w:rsidRDefault="00824031" w:rsidP="00207290">
      <w:pPr>
        <w:pStyle w:val="Prrafodelista"/>
        <w:numPr>
          <w:ilvl w:val="0"/>
          <w:numId w:val="4"/>
        </w:numPr>
        <w:spacing w:after="160"/>
        <w:ind w:right="900"/>
        <w:jc w:val="both"/>
        <w:rPr>
          <w:rFonts w:ascii="Palatino Linotype" w:eastAsia="Palatino Linotype" w:hAnsi="Palatino Linotype" w:cs="Palatino Linotype"/>
          <w:i/>
          <w:sz w:val="22"/>
        </w:rPr>
      </w:pPr>
      <w:r w:rsidRPr="00207290">
        <w:rPr>
          <w:rFonts w:ascii="Palatino Linotype" w:eastAsia="Palatino Linotype" w:hAnsi="Palatino Linotype" w:cs="Palatino Linotype"/>
          <w:b/>
          <w:sz w:val="22"/>
        </w:rPr>
        <w:t>Razones o motivos de inconformidad</w:t>
      </w:r>
      <w:r w:rsidRPr="00207290">
        <w:rPr>
          <w:rFonts w:ascii="Palatino Linotype" w:eastAsia="Palatino Linotype" w:hAnsi="Palatino Linotype" w:cs="Palatino Linotype"/>
          <w:sz w:val="22"/>
        </w:rPr>
        <w:t xml:space="preserve">: </w:t>
      </w:r>
      <w:r w:rsidRPr="00207290">
        <w:rPr>
          <w:rFonts w:ascii="Palatino Linotype" w:eastAsia="Palatino Linotype" w:hAnsi="Palatino Linotype" w:cs="Palatino Linotype"/>
          <w:i/>
          <w:sz w:val="22"/>
        </w:rPr>
        <w:t>“</w:t>
      </w:r>
      <w:r w:rsidR="0073137D" w:rsidRPr="00207290">
        <w:rPr>
          <w:rFonts w:ascii="Palatino Linotype" w:eastAsia="Palatino Linotype" w:hAnsi="Palatino Linotype" w:cs="Palatino Linotype"/>
          <w:i/>
          <w:sz w:val="22"/>
        </w:rPr>
        <w:t>Se sospecha encubrimiento por parte de las autoridades de práctica profesional ilegal , por lo cual solicitamos certificado en atención al numeral que ellos mismo refieren 6.1.1.1 y que se relaciona única y exclusivamente con la especialidad de cirugía bariatrica. Se anexa ejemplo de certificado por el Conacem.</w:t>
      </w:r>
      <w:r w:rsidRPr="00207290">
        <w:rPr>
          <w:rFonts w:ascii="Palatino Linotype" w:eastAsia="Palatino Linotype" w:hAnsi="Palatino Linotype" w:cs="Palatino Linotype"/>
          <w:i/>
          <w:sz w:val="22"/>
        </w:rPr>
        <w:t>”</w:t>
      </w:r>
    </w:p>
    <w:p w14:paraId="513B9AD6" w14:textId="77777777" w:rsidR="00824031" w:rsidRPr="000A4FCB" w:rsidRDefault="00824031" w:rsidP="00824031">
      <w:pPr>
        <w:pStyle w:val="Prrafodelista"/>
        <w:spacing w:after="160" w:line="360" w:lineRule="auto"/>
        <w:ind w:left="360"/>
        <w:jc w:val="both"/>
        <w:rPr>
          <w:rFonts w:ascii="Palatino Linotype" w:eastAsia="Palatino Linotype" w:hAnsi="Palatino Linotype" w:cs="Palatino Linotype"/>
          <w:i/>
        </w:rPr>
      </w:pPr>
    </w:p>
    <w:p w14:paraId="76AFEFF0" w14:textId="77777777" w:rsidR="00824031" w:rsidRPr="000A4FCB" w:rsidRDefault="00824031" w:rsidP="007253A1">
      <w:pPr>
        <w:numPr>
          <w:ilvl w:val="0"/>
          <w:numId w:val="1"/>
        </w:numPr>
        <w:spacing w:line="360" w:lineRule="auto"/>
        <w:ind w:left="0" w:firstLine="0"/>
        <w:contextualSpacing/>
        <w:jc w:val="both"/>
        <w:rPr>
          <w:rFonts w:ascii="Palatino Linotype" w:eastAsia="Palatino Linotype" w:hAnsi="Palatino Linotype" w:cs="Palatino Linotype"/>
          <w:b/>
        </w:rPr>
      </w:pPr>
      <w:r w:rsidRPr="000A4FCB">
        <w:rPr>
          <w:rFonts w:ascii="Palatino Linotype" w:eastAsia="Palatino Linotype" w:hAnsi="Palatino Linotype" w:cs="Palatino Linotype"/>
        </w:rPr>
        <w:t xml:space="preserve">Ahora bien, atentos a la inconformidad planteada resulta necesario señalar que </w:t>
      </w:r>
      <w:r w:rsidRPr="000A4FCB">
        <w:rPr>
          <w:rFonts w:ascii="Palatino Linotype" w:eastAsia="Palatino Linotype" w:hAnsi="Palatino Linotype" w:cs="Palatino Linotype"/>
          <w:b/>
        </w:rPr>
        <w:t xml:space="preserve">de la respuesta proporcionada </w:t>
      </w:r>
      <w:r w:rsidRPr="000A4FCB">
        <w:rPr>
          <w:rFonts w:ascii="Palatino Linotype" w:eastAsia="Palatino Linotype" w:hAnsi="Palatino Linotype" w:cs="Palatino Linotype"/>
          <w:b/>
          <w:u w:val="single"/>
        </w:rPr>
        <w:t xml:space="preserve">no se advierte que el Sujeto Obligado hubiera informado </w:t>
      </w:r>
      <w:r w:rsidR="007253A1" w:rsidRPr="000A4FCB">
        <w:rPr>
          <w:rFonts w:ascii="Palatino Linotype" w:eastAsia="Palatino Linotype" w:hAnsi="Palatino Linotype" w:cs="Palatino Linotype"/>
          <w:b/>
          <w:u w:val="single"/>
        </w:rPr>
        <w:t>las razones y bajo qué términos legales  dejó operar del programa de cirugía bariatrica del Centro Médico ISSEMYM.</w:t>
      </w:r>
    </w:p>
    <w:p w14:paraId="5694AF1D" w14:textId="77777777" w:rsidR="007253A1" w:rsidRPr="000A4FCB" w:rsidRDefault="007253A1" w:rsidP="007253A1">
      <w:pPr>
        <w:spacing w:line="360" w:lineRule="auto"/>
        <w:contextualSpacing/>
        <w:jc w:val="both"/>
        <w:rPr>
          <w:rFonts w:ascii="Palatino Linotype" w:eastAsia="Palatino Linotype" w:hAnsi="Palatino Linotype" w:cs="Palatino Linotype"/>
          <w:b/>
        </w:rPr>
      </w:pPr>
    </w:p>
    <w:p w14:paraId="210EDF27" w14:textId="77777777" w:rsidR="007253A1" w:rsidRPr="000A4FCB" w:rsidRDefault="00824031" w:rsidP="007253A1">
      <w:pPr>
        <w:numPr>
          <w:ilvl w:val="0"/>
          <w:numId w:val="1"/>
        </w:numPr>
        <w:spacing w:line="360" w:lineRule="auto"/>
        <w:ind w:left="0" w:firstLine="0"/>
        <w:jc w:val="both"/>
        <w:rPr>
          <w:rFonts w:ascii="Palatino Linotype" w:eastAsia="Palatino Linotype" w:hAnsi="Palatino Linotype" w:cs="Palatino Linotype"/>
          <w:b/>
          <w:i/>
        </w:rPr>
      </w:pPr>
      <w:r w:rsidRPr="000A4FCB">
        <w:rPr>
          <w:rFonts w:ascii="Palatino Linotype" w:eastAsia="Palatino Linotype" w:hAnsi="Palatino Linotype" w:cs="Palatino Linotype"/>
        </w:rPr>
        <w:t xml:space="preserve">En esa virtud, si bien las razones o motivos de inconformidad se encuentran fundados para la procedencia de la interposición del recurso de revisión, al encuadrar en la hipótesis normativa de la fracción I del artículo 179 de la Ley de Transparencia Local, toda vez que se impugna la negativa a la información solicitud; también lo es que los mismos resultan inoperantes en el caso particular, toda vez que como quedó acreditado en párrafos anteriores, de la respuesta del </w:t>
      </w:r>
      <w:r w:rsidRPr="000A4FCB">
        <w:rPr>
          <w:rFonts w:ascii="Palatino Linotype" w:eastAsia="Palatino Linotype" w:hAnsi="Palatino Linotype" w:cs="Palatino Linotype"/>
          <w:b/>
        </w:rPr>
        <w:t>Sujeto Obligado</w:t>
      </w:r>
      <w:r w:rsidRPr="000A4FCB">
        <w:rPr>
          <w:rFonts w:ascii="Palatino Linotype" w:eastAsia="Palatino Linotype" w:hAnsi="Palatino Linotype" w:cs="Palatino Linotype"/>
        </w:rPr>
        <w:t xml:space="preserve">, se advierte que el </w:t>
      </w:r>
      <w:r w:rsidRPr="000A4FCB">
        <w:rPr>
          <w:rFonts w:ascii="Palatino Linotype" w:eastAsia="Palatino Linotype" w:hAnsi="Palatino Linotype" w:cs="Palatino Linotype"/>
          <w:b/>
        </w:rPr>
        <w:t>RECURRENTE</w:t>
      </w:r>
      <w:r w:rsidRPr="000A4FCB">
        <w:rPr>
          <w:rFonts w:ascii="Palatino Linotype" w:eastAsia="Palatino Linotype" w:hAnsi="Palatino Linotype" w:cs="Palatino Linotype"/>
        </w:rPr>
        <w:t xml:space="preserve"> se inconforma de información que no había solicitado</w:t>
      </w:r>
      <w:r w:rsidR="007253A1" w:rsidRPr="000A4FCB">
        <w:rPr>
          <w:rFonts w:ascii="Palatino Linotype" w:eastAsia="Palatino Linotype" w:hAnsi="Palatino Linotype" w:cs="Palatino Linotype"/>
        </w:rPr>
        <w:t xml:space="preserve"> de manera inicial</w:t>
      </w:r>
      <w:r w:rsidRPr="000A4FCB">
        <w:rPr>
          <w:rFonts w:ascii="Palatino Linotype" w:eastAsia="Palatino Linotype" w:hAnsi="Palatino Linotype" w:cs="Palatino Linotype"/>
        </w:rPr>
        <w:t xml:space="preserve">, además es importante recalcar que el </w:t>
      </w:r>
      <w:r w:rsidRPr="000A4FCB">
        <w:rPr>
          <w:rFonts w:ascii="Palatino Linotype" w:eastAsia="Palatino Linotype" w:hAnsi="Palatino Linotype" w:cs="Palatino Linotype"/>
          <w:b/>
        </w:rPr>
        <w:t xml:space="preserve">RECURRENTE </w:t>
      </w:r>
      <w:r w:rsidRPr="000A4FCB">
        <w:rPr>
          <w:rFonts w:ascii="Palatino Linotype" w:eastAsia="Palatino Linotype" w:hAnsi="Palatino Linotype" w:cs="Palatino Linotype"/>
        </w:rPr>
        <w:t>amplía su solicitud al referirse a lo siguiente</w:t>
      </w:r>
      <w:r w:rsidRPr="000A4FCB">
        <w:rPr>
          <w:rFonts w:ascii="Palatino Linotype" w:eastAsia="Palatino Linotype" w:hAnsi="Palatino Linotype" w:cs="Palatino Linotype"/>
          <w:b/>
        </w:rPr>
        <w:t xml:space="preserve"> </w:t>
      </w:r>
      <w:r w:rsidRPr="000A4FCB">
        <w:rPr>
          <w:rFonts w:ascii="Palatino Linotype" w:eastAsia="Palatino Linotype" w:hAnsi="Palatino Linotype" w:cs="Palatino Linotype"/>
          <w:i/>
        </w:rPr>
        <w:t>“</w:t>
      </w:r>
      <w:r w:rsidR="007253A1" w:rsidRPr="000A4FCB">
        <w:rPr>
          <w:rFonts w:ascii="Palatino Linotype" w:eastAsia="Palatino Linotype" w:hAnsi="Palatino Linotype" w:cs="Palatino Linotype"/>
          <w:b/>
          <w:i/>
        </w:rPr>
        <w:t> Por lo cual solicito por parte de los integrantes del programa de Cirugía Bariatrica del Centro Médico Issemym durante 2010 a 2023. Muestre su certificado como especialista en cirugía bariatrica como a continuación se anexa el ejemplo, y bien el diploma por parte del Instituto en el cual llevó a cabo el entrenamiento específico de Cirugía Bariátrica y de Obesidad. Centro de entrenamiento el cual debe estar avalado por el Consejo Mexicano de Cirugía General ,</w:t>
      </w:r>
      <w:r w:rsidRPr="000A4FCB">
        <w:rPr>
          <w:rFonts w:ascii="Palatino Linotype" w:eastAsia="Palatino Linotype" w:hAnsi="Palatino Linotype" w:cs="Palatino Linotype"/>
          <w:b/>
          <w:i/>
        </w:rPr>
        <w:t>”</w:t>
      </w:r>
      <w:r w:rsidRPr="000A4FCB">
        <w:rPr>
          <w:rFonts w:ascii="Palatino Linotype" w:eastAsia="Palatino Linotype" w:hAnsi="Palatino Linotype" w:cs="Palatino Linotype"/>
          <w:b/>
        </w:rPr>
        <w:t xml:space="preserve"> </w:t>
      </w:r>
      <w:r w:rsidRPr="000A4FCB">
        <w:rPr>
          <w:rFonts w:ascii="Palatino Linotype" w:eastAsia="Palatino Linotype" w:hAnsi="Palatino Linotype" w:cs="Palatino Linotype"/>
        </w:rPr>
        <w:t xml:space="preserve">por lo que de esta manera se entiende y observa la ampliación de la solicitud inicial que consistía en </w:t>
      </w:r>
      <w:r w:rsidR="007253A1" w:rsidRPr="000A4FCB">
        <w:rPr>
          <w:rFonts w:ascii="Palatino Linotype" w:eastAsia="Palatino Linotype" w:hAnsi="Palatino Linotype" w:cs="Palatino Linotype"/>
          <w:b/>
          <w:i/>
        </w:rPr>
        <w:t xml:space="preserve"> “Solicito la información de por qué y bajo qué términos legales el actual coordinador de servicios de Salud del ISSEMyM, de 2010 a 2023 mientras ostentaba el cargo de Director de Centro Médico ISSEMYM dejó operar de manera ilegal el programa de cirugía bariatrica de Centro Médico Issemym , sin contar con cirujanos entrenados en institutos de </w:t>
      </w:r>
      <w:r w:rsidR="007253A1" w:rsidRPr="000A4FCB">
        <w:rPr>
          <w:rFonts w:ascii="Palatino Linotype" w:eastAsia="Palatino Linotype" w:hAnsi="Palatino Linotype" w:cs="Palatino Linotype"/>
          <w:b/>
          <w:i/>
        </w:rPr>
        <w:lastRenderedPageBreak/>
        <w:t>alta especialidad avalados por el Consejo Mexicano de Cirugía y muchos menos las certificaciones correspondientes conforme a la norma oficial mexicana para la cirugía de obesidad.”</w:t>
      </w:r>
    </w:p>
    <w:p w14:paraId="5293990F" w14:textId="77777777" w:rsidR="00824031" w:rsidRPr="000A4FCB" w:rsidRDefault="007253A1" w:rsidP="007253A1">
      <w:pPr>
        <w:spacing w:line="360" w:lineRule="auto"/>
        <w:contextualSpacing/>
        <w:jc w:val="both"/>
        <w:rPr>
          <w:rFonts w:ascii="Palatino Linotype" w:eastAsia="Palatino Linotype" w:hAnsi="Palatino Linotype" w:cs="Palatino Linotype"/>
        </w:rPr>
      </w:pPr>
      <w:r w:rsidRPr="000A4FCB">
        <w:rPr>
          <w:rFonts w:ascii="Palatino Linotype" w:eastAsia="Palatino Linotype" w:hAnsi="Palatino Linotype" w:cs="Palatino Linotype"/>
        </w:rPr>
        <w:t xml:space="preserve"> </w:t>
      </w:r>
    </w:p>
    <w:p w14:paraId="0363AFA4" w14:textId="77777777" w:rsidR="00824031" w:rsidRPr="000A4FCB" w:rsidRDefault="00824031" w:rsidP="007253A1">
      <w:pPr>
        <w:numPr>
          <w:ilvl w:val="0"/>
          <w:numId w:val="1"/>
        </w:numPr>
        <w:spacing w:line="360" w:lineRule="auto"/>
        <w:ind w:left="0" w:firstLine="0"/>
        <w:jc w:val="both"/>
        <w:rPr>
          <w:rFonts w:ascii="Palatino Linotype" w:eastAsia="Palatino Linotype" w:hAnsi="Palatino Linotype" w:cs="Palatino Linotype"/>
        </w:rPr>
      </w:pPr>
      <w:r w:rsidRPr="000A4FCB">
        <w:rPr>
          <w:rFonts w:ascii="Palatino Linotype" w:eastAsia="Palatino Linotype" w:hAnsi="Palatino Linotype" w:cs="Palatino Linotype"/>
        </w:rPr>
        <w:t xml:space="preserve">En ese orden de ideas, podemos llegar a la conclusión de la inexistencia del acto reclamado, al acreditarse con las constancias que integran el expediente, que el </w:t>
      </w:r>
      <w:r w:rsidRPr="000A4FCB">
        <w:rPr>
          <w:rFonts w:ascii="Palatino Linotype" w:eastAsia="Palatino Linotype" w:hAnsi="Palatino Linotype" w:cs="Palatino Linotype"/>
          <w:b/>
        </w:rPr>
        <w:t>Sujeto Obligado</w:t>
      </w:r>
      <w:r w:rsidRPr="000A4FCB">
        <w:rPr>
          <w:rFonts w:ascii="Palatino Linotype" w:eastAsia="Palatino Linotype" w:hAnsi="Palatino Linotype" w:cs="Palatino Linotype"/>
        </w:rPr>
        <w:t xml:space="preserve"> en ningún momento se refirió </w:t>
      </w:r>
      <w:r w:rsidR="00C949B0" w:rsidRPr="000A4FCB">
        <w:rPr>
          <w:rFonts w:ascii="Palatino Linotype" w:eastAsia="Palatino Linotype" w:hAnsi="Palatino Linotype" w:cs="Palatino Linotype"/>
        </w:rPr>
        <w:t xml:space="preserve">a </w:t>
      </w:r>
      <w:r w:rsidRPr="000A4FCB">
        <w:rPr>
          <w:rFonts w:ascii="Palatino Linotype" w:eastAsia="Palatino Linotype" w:hAnsi="Palatino Linotype" w:cs="Palatino Linotype"/>
        </w:rPr>
        <w:t xml:space="preserve">la respuesta del Servidor Público  Habilitado, además de que como ya quedó asentado en el párrafo anterior el hoy </w:t>
      </w:r>
      <w:r w:rsidRPr="000A4FCB">
        <w:rPr>
          <w:rFonts w:ascii="Palatino Linotype" w:eastAsia="Palatino Linotype" w:hAnsi="Palatino Linotype" w:cs="Palatino Linotype"/>
          <w:b/>
        </w:rPr>
        <w:t xml:space="preserve">RECURRENTE </w:t>
      </w:r>
      <w:r w:rsidRPr="000A4FCB">
        <w:rPr>
          <w:rFonts w:ascii="Palatino Linotype" w:eastAsia="Palatino Linotype" w:hAnsi="Palatino Linotype" w:cs="Palatino Linotype"/>
        </w:rPr>
        <w:t>amplio la solicitud de información al solicitar los expedientes laborales.</w:t>
      </w:r>
    </w:p>
    <w:p w14:paraId="2255DC3B" w14:textId="77777777" w:rsidR="00824031" w:rsidRPr="000A4FCB" w:rsidRDefault="00824031" w:rsidP="00824031">
      <w:pPr>
        <w:pStyle w:val="Prrafodelista"/>
        <w:rPr>
          <w:rFonts w:ascii="Palatino Linotype" w:eastAsia="Palatino Linotype" w:hAnsi="Palatino Linotype" w:cs="Palatino Linotype"/>
        </w:rPr>
      </w:pPr>
    </w:p>
    <w:p w14:paraId="52EE7902" w14:textId="77777777" w:rsidR="00824031" w:rsidRPr="000A4FCB" w:rsidRDefault="00824031" w:rsidP="00824031">
      <w:pPr>
        <w:pStyle w:val="Prrafodelista"/>
        <w:spacing w:before="240" w:after="240" w:line="360" w:lineRule="auto"/>
        <w:ind w:left="360"/>
        <w:jc w:val="both"/>
        <w:rPr>
          <w:rFonts w:ascii="Palatino Linotype" w:eastAsia="Palatino Linotype" w:hAnsi="Palatino Linotype" w:cs="Palatino Linotype"/>
        </w:rPr>
      </w:pPr>
    </w:p>
    <w:p w14:paraId="21A516B3" w14:textId="77777777" w:rsidR="00824031" w:rsidRPr="000A4FCB" w:rsidRDefault="00824031" w:rsidP="00C949B0">
      <w:pPr>
        <w:numPr>
          <w:ilvl w:val="0"/>
          <w:numId w:val="1"/>
        </w:numPr>
        <w:spacing w:line="360" w:lineRule="auto"/>
        <w:ind w:left="0" w:firstLine="0"/>
        <w:jc w:val="both"/>
        <w:rPr>
          <w:rFonts w:ascii="Palatino Linotype" w:eastAsia="Palatino Linotype" w:hAnsi="Palatino Linotype" w:cs="Palatino Linotype"/>
        </w:rPr>
      </w:pPr>
      <w:r w:rsidRPr="000A4FCB">
        <w:rPr>
          <w:rFonts w:ascii="Palatino Linotype" w:eastAsia="Palatino Linotype" w:hAnsi="Palatino Linotype" w:cs="Palatino Linotype"/>
        </w:rPr>
        <w:t xml:space="preserve">Por consiguiente, en estricto derecho, la alegación de la parte </w:t>
      </w:r>
      <w:r w:rsidRPr="000A4FCB">
        <w:rPr>
          <w:rFonts w:ascii="Palatino Linotype" w:eastAsia="Palatino Linotype" w:hAnsi="Palatino Linotype" w:cs="Palatino Linotype"/>
          <w:b/>
        </w:rPr>
        <w:t>Recurrente</w:t>
      </w:r>
      <w:r w:rsidRPr="000A4FCB">
        <w:rPr>
          <w:rFonts w:ascii="Palatino Linotype" w:eastAsia="Palatino Linotype" w:hAnsi="Palatino Linotype" w:cs="Palatino Linotype"/>
        </w:rPr>
        <w:t xml:space="preserve"> se limita a realizar manifestaciones sin sustento, las cuales han quedado demostradas, por ello se califican de inoperantes; quedando sin materia el presente recurso de revisión, resultando necesario traer a colación la Tesis Aislada con número de registro 2017549, de rubro y texto siguiente:</w:t>
      </w:r>
    </w:p>
    <w:p w14:paraId="556483C1" w14:textId="77777777" w:rsidR="00824031" w:rsidRPr="00207290" w:rsidRDefault="00824031" w:rsidP="00C949B0">
      <w:pPr>
        <w:pStyle w:val="Prrafodelista"/>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rPr>
      </w:pPr>
      <w:r w:rsidRPr="000A4FCB">
        <w:rPr>
          <w:rFonts w:ascii="Palatino Linotype" w:eastAsia="Palatino Linotype" w:hAnsi="Palatino Linotype" w:cs="Palatino Linotype"/>
          <w:i/>
          <w:color w:val="000000"/>
        </w:rPr>
        <w:t>“</w:t>
      </w:r>
      <w:r w:rsidRPr="00207290">
        <w:rPr>
          <w:rFonts w:ascii="Palatino Linotype" w:eastAsia="Palatino Linotype" w:hAnsi="Palatino Linotype" w:cs="Palatino Linotype"/>
          <w:b/>
          <w:i/>
          <w:color w:val="000000"/>
          <w:sz w:val="22"/>
        </w:rPr>
        <w:t>INEXISTENCIA DE LOS ACTOS RECLAMADOS EN EL AMPARO. NO ES UN MOTIVO MANIFIESTO E INDUDABLE DE IMPROCEDENCIA QUE DÉ LUGAR AL DESECHAMIENTO DE LA DEMANDA, SINO QUE CONSTITUYE UNA CAUSAL DE SOBRESEIMIENTO EN EL JUICIO</w:t>
      </w:r>
      <w:r w:rsidRPr="00207290">
        <w:rPr>
          <w:rFonts w:ascii="Palatino Linotype" w:eastAsia="Palatino Linotype" w:hAnsi="Palatino Linotype" w:cs="Palatino Linotype"/>
          <w:i/>
          <w:color w:val="000000"/>
          <w:sz w:val="22"/>
        </w:rPr>
        <w:t>. Conforme al artículo 63, fracción IV, de la Ley de Amparo, la inexistencia de los actos reclamados es una causal de sobreseimiento, pero no de improcedencia del juicio de amparo; por ende, no puede ser un motivo manifiesto e indudable que dé lugar al desechamiento de la demanda con sustento en el diverso precepto 113 de ese ordenamiento, pues el pronunciamiento relativo necesariamente debe efectuarse hasta la sentencia, al no haberse demostrado su existencia en la audiencia constitucional.”</w:t>
      </w:r>
    </w:p>
    <w:p w14:paraId="0C1F5BD5" w14:textId="77777777" w:rsidR="00824031" w:rsidRPr="000A4FCB" w:rsidRDefault="00824031" w:rsidP="00824031">
      <w:pPr>
        <w:pStyle w:val="Prrafodelista"/>
        <w:pBdr>
          <w:top w:val="nil"/>
          <w:left w:val="nil"/>
          <w:bottom w:val="nil"/>
          <w:right w:val="nil"/>
          <w:between w:val="nil"/>
        </w:pBdr>
        <w:spacing w:before="120" w:after="120"/>
        <w:ind w:left="360" w:right="902"/>
        <w:jc w:val="both"/>
        <w:rPr>
          <w:rFonts w:ascii="Palatino Linotype" w:eastAsia="Palatino Linotype" w:hAnsi="Palatino Linotype" w:cs="Palatino Linotype"/>
          <w:i/>
          <w:color w:val="000000"/>
        </w:rPr>
      </w:pPr>
    </w:p>
    <w:p w14:paraId="2A12B041" w14:textId="77777777" w:rsidR="00824031" w:rsidRDefault="00824031" w:rsidP="00C949B0">
      <w:pPr>
        <w:numPr>
          <w:ilvl w:val="0"/>
          <w:numId w:val="1"/>
        </w:numPr>
        <w:spacing w:line="360" w:lineRule="auto"/>
        <w:ind w:left="0" w:firstLine="0"/>
        <w:jc w:val="both"/>
        <w:rPr>
          <w:rFonts w:ascii="Palatino Linotype" w:eastAsia="Palatino Linotype" w:hAnsi="Palatino Linotype" w:cs="Palatino Linotype"/>
          <w:color w:val="000000"/>
        </w:rPr>
      </w:pPr>
      <w:r w:rsidRPr="000A4FCB">
        <w:rPr>
          <w:rFonts w:ascii="Palatino Linotype" w:eastAsia="Palatino Linotype" w:hAnsi="Palatino Linotype" w:cs="Palatino Linotype"/>
          <w:color w:val="000000"/>
        </w:rPr>
        <w:lastRenderedPageBreak/>
        <w:t>La cual constituye un criterio orientador para este Organismo Garante, que pone en aptitudes de poder sobreseer el presente recurso de revisión, lo que en el caso particular, se tiene por acreditada la inexistencia del acto reclamado, quedando sin materia el presente asunto.</w:t>
      </w:r>
    </w:p>
    <w:p w14:paraId="2A007818" w14:textId="77777777" w:rsidR="00207290" w:rsidRPr="000A4FCB" w:rsidRDefault="00207290" w:rsidP="00207290">
      <w:pPr>
        <w:spacing w:line="360" w:lineRule="auto"/>
        <w:jc w:val="both"/>
        <w:rPr>
          <w:rFonts w:ascii="Palatino Linotype" w:eastAsia="Palatino Linotype" w:hAnsi="Palatino Linotype" w:cs="Palatino Linotype"/>
          <w:color w:val="000000"/>
        </w:rPr>
      </w:pPr>
    </w:p>
    <w:p w14:paraId="6F0BF952" w14:textId="77777777" w:rsidR="00824031" w:rsidRDefault="00824031" w:rsidP="00C949B0">
      <w:pPr>
        <w:numPr>
          <w:ilvl w:val="0"/>
          <w:numId w:val="1"/>
        </w:numPr>
        <w:spacing w:line="360" w:lineRule="auto"/>
        <w:ind w:left="0" w:firstLine="0"/>
        <w:jc w:val="both"/>
        <w:rPr>
          <w:rFonts w:ascii="Palatino Linotype" w:eastAsia="Palatino Linotype" w:hAnsi="Palatino Linotype" w:cs="Palatino Linotype"/>
        </w:rPr>
      </w:pPr>
      <w:r w:rsidRPr="000A4FCB">
        <w:rPr>
          <w:rFonts w:ascii="Palatino Linotype" w:eastAsia="Palatino Linotype" w:hAnsi="Palatino Linotype" w:cs="Palatino Linotype"/>
          <w:color w:val="000000"/>
        </w:rPr>
        <w:t xml:space="preserve">Derivado de lo expuesto, es necesario hacer del conocimiento de la persona solicitante que, de la simple lectura a su Recurso de Revisión, </w:t>
      </w:r>
      <w:r w:rsidRPr="000A4FCB">
        <w:rPr>
          <w:rFonts w:ascii="Palatino Linotype" w:eastAsia="Palatino Linotype" w:hAnsi="Palatino Linotype" w:cs="Palatino Linotype"/>
        </w:rPr>
        <w:t>se desprende que</w:t>
      </w:r>
      <w:r w:rsidRPr="000A4FCB">
        <w:rPr>
          <w:rFonts w:ascii="Palatino Linotype" w:eastAsia="Palatino Linotype" w:hAnsi="Palatino Linotype" w:cs="Palatino Linotype"/>
          <w:b/>
          <w:u w:val="single"/>
        </w:rPr>
        <w:t xml:space="preserve"> las razones o motivos de inconformidad hechas valer, no corresponden </w:t>
      </w:r>
      <w:r w:rsidR="00C949B0" w:rsidRPr="000A4FCB">
        <w:rPr>
          <w:rFonts w:ascii="Palatino Linotype" w:eastAsia="Palatino Linotype" w:hAnsi="Palatino Linotype" w:cs="Palatino Linotype"/>
          <w:b/>
          <w:u w:val="single"/>
        </w:rPr>
        <w:t>la solicitud inicial</w:t>
      </w:r>
      <w:r w:rsidRPr="000A4FCB">
        <w:rPr>
          <w:rFonts w:ascii="Palatino Linotype" w:eastAsia="Palatino Linotype" w:hAnsi="Palatino Linotype" w:cs="Palatino Linotype"/>
          <w:b/>
          <w:u w:val="single"/>
        </w:rPr>
        <w:t>,</w:t>
      </w:r>
      <w:r w:rsidRPr="000A4FCB">
        <w:rPr>
          <w:rFonts w:ascii="Palatino Linotype" w:eastAsia="Palatino Linotype" w:hAnsi="Palatino Linotype" w:cs="Palatino Linotype"/>
        </w:rPr>
        <w:t xml:space="preserve"> por lo tanto, es claro que el Recurso de Revisión que nos ocupa, no actualiza ninguno de los supuestos previstos en la Ley de la materia conforme a las actuaciones que obran en el expediente electrónico formado en el Sistema de Acceso a la Información Mexiquense, SAIMEX.</w:t>
      </w:r>
    </w:p>
    <w:p w14:paraId="3968BF5E" w14:textId="77777777" w:rsidR="00207290" w:rsidRPr="000A4FCB" w:rsidRDefault="00207290" w:rsidP="00207290">
      <w:pPr>
        <w:spacing w:line="360" w:lineRule="auto"/>
        <w:jc w:val="both"/>
        <w:rPr>
          <w:rFonts w:ascii="Palatino Linotype" w:eastAsia="Palatino Linotype" w:hAnsi="Palatino Linotype" w:cs="Palatino Linotype"/>
        </w:rPr>
      </w:pPr>
    </w:p>
    <w:p w14:paraId="0282474D" w14:textId="77777777" w:rsidR="00207290" w:rsidRDefault="00824031" w:rsidP="00207290">
      <w:pPr>
        <w:numPr>
          <w:ilvl w:val="0"/>
          <w:numId w:val="1"/>
        </w:numPr>
        <w:spacing w:line="360" w:lineRule="auto"/>
        <w:ind w:left="0" w:firstLine="0"/>
        <w:jc w:val="both"/>
        <w:rPr>
          <w:rFonts w:ascii="Palatino Linotype" w:eastAsia="Palatino Linotype" w:hAnsi="Palatino Linotype" w:cs="Palatino Linotype"/>
        </w:rPr>
      </w:pPr>
      <w:r w:rsidRPr="000A4FCB">
        <w:rPr>
          <w:rFonts w:ascii="Palatino Linotype" w:eastAsia="Palatino Linotype" w:hAnsi="Palatino Linotype" w:cs="Palatino Linotype"/>
        </w:rPr>
        <w:t xml:space="preserve">Por tales circunstancias, este Instituto se encuentra impedido a entrar al estudio de fondo, en virtud que la particular no manifestó razones o motivos de inconformidad, </w:t>
      </w:r>
      <w:r w:rsidR="00C949B0" w:rsidRPr="000A4FCB">
        <w:rPr>
          <w:rFonts w:ascii="Palatino Linotype" w:eastAsia="Palatino Linotype" w:hAnsi="Palatino Linotype" w:cs="Palatino Linotype"/>
        </w:rPr>
        <w:t>que tuvieran relación con la solicitud de información inicial</w:t>
      </w:r>
      <w:r w:rsidR="00207290">
        <w:rPr>
          <w:rFonts w:ascii="Palatino Linotype" w:eastAsia="Palatino Linotype" w:hAnsi="Palatino Linotype" w:cs="Palatino Linotype"/>
        </w:rPr>
        <w:t>.</w:t>
      </w:r>
    </w:p>
    <w:p w14:paraId="5AF619C1" w14:textId="77777777" w:rsidR="00207290" w:rsidRDefault="00207290" w:rsidP="00207290">
      <w:pPr>
        <w:pStyle w:val="Prrafodelista"/>
        <w:rPr>
          <w:rFonts w:ascii="Palatino Linotype" w:eastAsia="Palatino Linotype" w:hAnsi="Palatino Linotype" w:cs="Palatino Linotype"/>
        </w:rPr>
      </w:pPr>
    </w:p>
    <w:p w14:paraId="2E46F794" w14:textId="77777777" w:rsidR="00824031" w:rsidRPr="00207290" w:rsidRDefault="00824031" w:rsidP="00207290">
      <w:pPr>
        <w:numPr>
          <w:ilvl w:val="0"/>
          <w:numId w:val="1"/>
        </w:numPr>
        <w:spacing w:line="360" w:lineRule="auto"/>
        <w:ind w:left="0" w:firstLine="0"/>
        <w:jc w:val="both"/>
        <w:rPr>
          <w:rFonts w:ascii="Palatino Linotype" w:eastAsia="Palatino Linotype" w:hAnsi="Palatino Linotype" w:cs="Palatino Linotype"/>
        </w:rPr>
      </w:pPr>
      <w:r w:rsidRPr="00207290">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que no se actualizó algún supuesto de procedencia, se determina </w:t>
      </w:r>
      <w:r w:rsidRPr="00207290">
        <w:rPr>
          <w:rFonts w:ascii="Palatino Linotype" w:eastAsia="Palatino Linotype" w:hAnsi="Palatino Linotype" w:cs="Palatino Linotype"/>
          <w:b/>
          <w:i/>
        </w:rPr>
        <w:t xml:space="preserve">sobreseer </w:t>
      </w:r>
      <w:r w:rsidRPr="00207290">
        <w:rPr>
          <w:rFonts w:ascii="Palatino Linotype" w:eastAsia="Palatino Linotype" w:hAnsi="Palatino Linotype" w:cs="Palatino Linotype"/>
        </w:rPr>
        <w:t xml:space="preserve">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w:t>
      </w:r>
      <w:r w:rsidRPr="00207290">
        <w:rPr>
          <w:rFonts w:ascii="Palatino Linotype" w:eastAsia="Palatino Linotype" w:hAnsi="Palatino Linotype" w:cs="Palatino Linotype"/>
        </w:rPr>
        <w:fldChar w:fldCharType="begin"/>
      </w:r>
      <w:r w:rsidRPr="00207290">
        <w:rPr>
          <w:rFonts w:ascii="Palatino Linotype" w:eastAsia="Palatino Linotype" w:hAnsi="Palatino Linotype" w:cs="Palatino Linotype"/>
        </w:rPr>
        <w:instrText xml:space="preserve"> fracción </w:instrText>
      </w:r>
      <w:r w:rsidRPr="00207290">
        <w:rPr>
          <w:rFonts w:ascii="Palatino Linotype" w:eastAsia="Palatino Linotype" w:hAnsi="Palatino Linotype" w:cs="Palatino Linotype"/>
        </w:rPr>
        <w:lastRenderedPageBreak/>
        <w:instrText xml:space="preserve">VII del  </w:instrText>
      </w:r>
      <w:r w:rsidRPr="00207290">
        <w:rPr>
          <w:rFonts w:ascii="Palatino Linotype" w:eastAsia="Palatino Linotype" w:hAnsi="Palatino Linotype" w:cs="Palatino Linotype"/>
        </w:rPr>
        <w:fldChar w:fldCharType="end"/>
      </w:r>
      <w:r w:rsidRPr="00207290">
        <w:rPr>
          <w:rFonts w:ascii="Palatino Linotype" w:eastAsia="Palatino Linotype" w:hAnsi="Palatino Linotype" w:cs="Palatino Linotype"/>
        </w:rPr>
        <w:t>artículo 191</w:t>
      </w:r>
      <w:r w:rsidR="00C949B0" w:rsidRPr="00207290">
        <w:rPr>
          <w:rFonts w:ascii="Palatino Linotype" w:eastAsia="Palatino Linotype" w:hAnsi="Palatino Linotype" w:cs="Palatino Linotype"/>
        </w:rPr>
        <w:t xml:space="preserve"> fracción VII</w:t>
      </w:r>
      <w:r w:rsidRPr="00207290">
        <w:rPr>
          <w:rFonts w:ascii="Palatino Linotype" w:eastAsia="Palatino Linotype" w:hAnsi="Palatino Linotype" w:cs="Palatino Linotype"/>
        </w:rPr>
        <w:t xml:space="preserve"> del ordenamiento legal en cita, los que se transcriben a continuación, para un mejor entendimiento:</w:t>
      </w:r>
    </w:p>
    <w:p w14:paraId="7394B9E9" w14:textId="77777777" w:rsidR="00824031" w:rsidRPr="00207290" w:rsidRDefault="00824031" w:rsidP="00C949B0">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rPr>
      </w:pPr>
      <w:r w:rsidRPr="00207290">
        <w:rPr>
          <w:rFonts w:ascii="Palatino Linotype" w:eastAsia="Palatino Linotype" w:hAnsi="Palatino Linotype" w:cs="Palatino Linotype"/>
          <w:i/>
          <w:sz w:val="22"/>
        </w:rPr>
        <w:t>“</w:t>
      </w:r>
      <w:r w:rsidRPr="00207290">
        <w:rPr>
          <w:rFonts w:ascii="Palatino Linotype" w:eastAsia="Palatino Linotype" w:hAnsi="Palatino Linotype" w:cs="Palatino Linotype"/>
          <w:b/>
          <w:i/>
          <w:sz w:val="22"/>
        </w:rPr>
        <w:t>Artículo 191</w:t>
      </w:r>
      <w:r w:rsidRPr="00207290">
        <w:rPr>
          <w:rFonts w:ascii="Palatino Linotype" w:eastAsia="Palatino Linotype" w:hAnsi="Palatino Linotype" w:cs="Palatino Linotype"/>
          <w:i/>
          <w:sz w:val="22"/>
        </w:rPr>
        <w:t xml:space="preserve">. </w:t>
      </w:r>
      <w:r w:rsidRPr="00207290">
        <w:rPr>
          <w:rFonts w:ascii="Palatino Linotype" w:eastAsia="Palatino Linotype" w:hAnsi="Palatino Linotype" w:cs="Palatino Linotype"/>
          <w:b/>
          <w:i/>
          <w:sz w:val="22"/>
        </w:rPr>
        <w:t>El recurso</w:t>
      </w:r>
      <w:r w:rsidRPr="00207290">
        <w:rPr>
          <w:rFonts w:ascii="Palatino Linotype" w:eastAsia="Palatino Linotype" w:hAnsi="Palatino Linotype" w:cs="Palatino Linotype"/>
          <w:i/>
          <w:sz w:val="22"/>
        </w:rPr>
        <w:t xml:space="preserve"> </w:t>
      </w:r>
      <w:r w:rsidRPr="00207290">
        <w:rPr>
          <w:rFonts w:ascii="Palatino Linotype" w:eastAsia="Palatino Linotype" w:hAnsi="Palatino Linotype" w:cs="Palatino Linotype"/>
          <w:b/>
          <w:i/>
          <w:sz w:val="22"/>
        </w:rPr>
        <w:t xml:space="preserve">será </w:t>
      </w:r>
      <w:r w:rsidRPr="00207290">
        <w:rPr>
          <w:rFonts w:ascii="Palatino Linotype" w:eastAsia="Palatino Linotype" w:hAnsi="Palatino Linotype" w:cs="Palatino Linotype"/>
          <w:i/>
          <w:sz w:val="22"/>
        </w:rPr>
        <w:t xml:space="preserve">desechado por </w:t>
      </w:r>
      <w:r w:rsidRPr="00207290">
        <w:rPr>
          <w:rFonts w:ascii="Palatino Linotype" w:eastAsia="Palatino Linotype" w:hAnsi="Palatino Linotype" w:cs="Palatino Linotype"/>
          <w:b/>
          <w:i/>
          <w:sz w:val="22"/>
        </w:rPr>
        <w:t>improcedente cuando</w:t>
      </w:r>
      <w:r w:rsidRPr="00207290">
        <w:rPr>
          <w:rFonts w:ascii="Palatino Linotype" w:eastAsia="Palatino Linotype" w:hAnsi="Palatino Linotype" w:cs="Palatino Linotype"/>
          <w:i/>
          <w:sz w:val="22"/>
        </w:rPr>
        <w:t>:</w:t>
      </w:r>
    </w:p>
    <w:p w14:paraId="2BAD14FC" w14:textId="77777777" w:rsidR="00824031" w:rsidRPr="00207290" w:rsidRDefault="00824031" w:rsidP="00C949B0">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rPr>
      </w:pPr>
    </w:p>
    <w:p w14:paraId="2A0ACC68" w14:textId="77777777" w:rsidR="00824031" w:rsidRPr="00207290" w:rsidRDefault="00824031" w:rsidP="00C949B0">
      <w:pPr>
        <w:pStyle w:val="Prrafodelista"/>
        <w:tabs>
          <w:tab w:val="left" w:pos="7938"/>
        </w:tabs>
        <w:spacing w:before="120" w:after="120"/>
        <w:ind w:left="1134" w:right="902"/>
        <w:jc w:val="both"/>
        <w:rPr>
          <w:rFonts w:ascii="Palatino Linotype" w:eastAsia="Palatino Linotype" w:hAnsi="Palatino Linotype" w:cs="Palatino Linotype"/>
          <w:b/>
          <w:i/>
          <w:sz w:val="22"/>
        </w:rPr>
      </w:pPr>
      <w:r w:rsidRPr="00207290">
        <w:rPr>
          <w:rFonts w:ascii="Palatino Linotype" w:eastAsia="Palatino Linotype" w:hAnsi="Palatino Linotype" w:cs="Palatino Linotype"/>
          <w:b/>
          <w:i/>
          <w:sz w:val="22"/>
        </w:rPr>
        <w:t xml:space="preserve">VII. </w:t>
      </w:r>
      <w:r w:rsidRPr="00207290">
        <w:rPr>
          <w:rFonts w:ascii="Palatino Linotype" w:eastAsia="Palatino Linotype" w:hAnsi="Palatino Linotype" w:cs="Palatino Linotype"/>
          <w:i/>
          <w:sz w:val="22"/>
        </w:rPr>
        <w:t>El recurrente amplíe su solicitud en el recurso de revisión, únicamente respecto de los nuevos contenidos.</w:t>
      </w:r>
      <w:r w:rsidRPr="00207290">
        <w:rPr>
          <w:rFonts w:ascii="Palatino Linotype" w:eastAsia="Palatino Linotype" w:hAnsi="Palatino Linotype" w:cs="Palatino Linotype"/>
          <w:b/>
          <w:i/>
          <w:sz w:val="22"/>
        </w:rPr>
        <w:t>;</w:t>
      </w:r>
    </w:p>
    <w:p w14:paraId="7B5088D8" w14:textId="77777777" w:rsidR="00824031" w:rsidRPr="00207290" w:rsidRDefault="00824031" w:rsidP="00C949B0">
      <w:pPr>
        <w:pStyle w:val="Prrafodelista"/>
        <w:tabs>
          <w:tab w:val="left" w:pos="7938"/>
        </w:tabs>
        <w:spacing w:before="120" w:after="120"/>
        <w:ind w:left="1134" w:right="902"/>
        <w:jc w:val="both"/>
        <w:rPr>
          <w:rFonts w:ascii="Palatino Linotype" w:eastAsia="Palatino Linotype" w:hAnsi="Palatino Linotype" w:cs="Palatino Linotype"/>
          <w:b/>
          <w:i/>
          <w:sz w:val="22"/>
        </w:rPr>
      </w:pPr>
    </w:p>
    <w:p w14:paraId="5B9EC938" w14:textId="77777777" w:rsidR="00824031" w:rsidRPr="00207290" w:rsidRDefault="00824031" w:rsidP="00C949B0">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rPr>
      </w:pPr>
      <w:r w:rsidRPr="00207290">
        <w:rPr>
          <w:rFonts w:ascii="Palatino Linotype" w:eastAsia="Palatino Linotype" w:hAnsi="Palatino Linotype" w:cs="Palatino Linotype"/>
          <w:b/>
          <w:i/>
          <w:sz w:val="22"/>
        </w:rPr>
        <w:t>Artículo 192.</w:t>
      </w:r>
      <w:r w:rsidRPr="00207290">
        <w:rPr>
          <w:rFonts w:ascii="Palatino Linotype" w:eastAsia="Palatino Linotype" w:hAnsi="Palatino Linotype" w:cs="Palatino Linotype"/>
          <w:i/>
          <w:sz w:val="22"/>
        </w:rPr>
        <w:t xml:space="preserve"> El recurso será sobreseído, en todo o en parte, cuando una vez admitido, se actualicen alguno de los siguientes supuestos:</w:t>
      </w:r>
    </w:p>
    <w:p w14:paraId="759A41D5" w14:textId="77777777" w:rsidR="00824031" w:rsidRPr="00207290" w:rsidRDefault="00824031" w:rsidP="00C949B0">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rPr>
      </w:pPr>
    </w:p>
    <w:p w14:paraId="39DC7613" w14:textId="77777777" w:rsidR="00824031" w:rsidRPr="00207290" w:rsidRDefault="00824031" w:rsidP="00C949B0">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rPr>
      </w:pPr>
      <w:r w:rsidRPr="00207290">
        <w:rPr>
          <w:rFonts w:ascii="Palatino Linotype" w:eastAsia="Palatino Linotype" w:hAnsi="Palatino Linotype" w:cs="Palatino Linotype"/>
          <w:b/>
          <w:i/>
          <w:sz w:val="22"/>
        </w:rPr>
        <w:t>IV</w:t>
      </w:r>
      <w:r w:rsidRPr="00207290">
        <w:rPr>
          <w:rFonts w:ascii="Palatino Linotype" w:eastAsia="Palatino Linotype" w:hAnsi="Palatino Linotype" w:cs="Palatino Linotype"/>
          <w:i/>
          <w:sz w:val="22"/>
        </w:rPr>
        <w:t xml:space="preserve">. Admitido el recurso de revisión, </w:t>
      </w:r>
      <w:r w:rsidRPr="00207290">
        <w:rPr>
          <w:rFonts w:ascii="Palatino Linotype" w:eastAsia="Palatino Linotype" w:hAnsi="Palatino Linotype" w:cs="Palatino Linotype"/>
          <w:b/>
          <w:i/>
          <w:sz w:val="22"/>
        </w:rPr>
        <w:t>aparezca alguna causal de improcedencia</w:t>
      </w:r>
      <w:r w:rsidRPr="00207290">
        <w:rPr>
          <w:rFonts w:ascii="Palatino Linotype" w:eastAsia="Palatino Linotype" w:hAnsi="Palatino Linotype" w:cs="Palatino Linotype"/>
          <w:i/>
          <w:sz w:val="22"/>
        </w:rPr>
        <w:t xml:space="preserve"> en los términos de la presente Ley. “</w:t>
      </w:r>
    </w:p>
    <w:p w14:paraId="59AA8DBE" w14:textId="77777777" w:rsidR="00824031" w:rsidRPr="000A4FCB" w:rsidRDefault="00824031" w:rsidP="00824031">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14:paraId="7F0C9FDD" w14:textId="77777777" w:rsidR="00824031" w:rsidRPr="000A4FCB" w:rsidRDefault="00824031" w:rsidP="00C949B0">
      <w:pPr>
        <w:numPr>
          <w:ilvl w:val="0"/>
          <w:numId w:val="1"/>
        </w:numPr>
        <w:spacing w:line="360" w:lineRule="auto"/>
        <w:ind w:left="0" w:firstLine="0"/>
        <w:jc w:val="both"/>
        <w:rPr>
          <w:rFonts w:ascii="Palatino Linotype" w:eastAsia="Palatino Linotype" w:hAnsi="Palatino Linotype" w:cs="Palatino Linotype"/>
        </w:rPr>
      </w:pPr>
      <w:r w:rsidRPr="000A4FCB">
        <w:rPr>
          <w:rFonts w:ascii="Palatino Linotype" w:eastAsia="Palatino Linotype" w:hAnsi="Palatino Linotype" w:cs="Palatino Linotype"/>
        </w:rPr>
        <w:t xml:space="preserve">Siendo el </w:t>
      </w:r>
      <w:r w:rsidRPr="000A4FCB">
        <w:rPr>
          <w:rFonts w:ascii="Palatino Linotype" w:eastAsia="Palatino Linotype" w:hAnsi="Palatino Linotype" w:cs="Palatino Linotype"/>
          <w:i/>
        </w:rPr>
        <w:t>sobreseimiento</w:t>
      </w:r>
      <w:r w:rsidRPr="000A4FCB">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25DEC6E" w14:textId="77777777" w:rsidR="00824031" w:rsidRPr="00207290" w:rsidRDefault="00824031" w:rsidP="00C949B0">
      <w:pPr>
        <w:pStyle w:val="Prrafodelista"/>
        <w:spacing w:after="120"/>
        <w:ind w:left="1134" w:right="902"/>
        <w:jc w:val="both"/>
        <w:rPr>
          <w:rFonts w:ascii="Palatino Linotype" w:eastAsia="Palatino Linotype" w:hAnsi="Palatino Linotype" w:cs="Palatino Linotype"/>
          <w:b/>
          <w:i/>
          <w:sz w:val="22"/>
        </w:rPr>
      </w:pPr>
      <w:r w:rsidRPr="000A4FCB">
        <w:rPr>
          <w:rFonts w:ascii="Palatino Linotype" w:eastAsia="Palatino Linotype" w:hAnsi="Palatino Linotype" w:cs="Palatino Linotype"/>
          <w:i/>
        </w:rPr>
        <w:t>“</w:t>
      </w:r>
      <w:r w:rsidRPr="00207290">
        <w:rPr>
          <w:rFonts w:ascii="Palatino Linotype" w:eastAsia="Palatino Linotype" w:hAnsi="Palatino Linotype" w:cs="Palatino Linotype"/>
          <w:b/>
          <w:i/>
          <w:sz w:val="22"/>
        </w:rPr>
        <w:t>SOBRESEIMIENTO, NO PERMITE ENTRAR AL ESTUDIO DE LAS CUESTIONES DE FONDO</w:t>
      </w:r>
    </w:p>
    <w:p w14:paraId="0843F747" w14:textId="77777777" w:rsidR="00824031" w:rsidRPr="00207290" w:rsidRDefault="00824031" w:rsidP="00C949B0">
      <w:pPr>
        <w:pStyle w:val="Prrafodelista"/>
        <w:spacing w:before="120" w:after="120"/>
        <w:ind w:left="1134" w:right="902"/>
        <w:jc w:val="both"/>
        <w:rPr>
          <w:rFonts w:ascii="Palatino Linotype" w:eastAsia="Palatino Linotype" w:hAnsi="Palatino Linotype" w:cs="Palatino Linotype"/>
          <w:i/>
          <w:sz w:val="22"/>
        </w:rPr>
      </w:pPr>
      <w:r w:rsidRPr="00207290">
        <w:rPr>
          <w:rFonts w:ascii="Palatino Linotype" w:eastAsia="Palatino Linotype" w:hAnsi="Palatino Linotype" w:cs="Palatino Linotype"/>
          <w:i/>
          <w:sz w:val="22"/>
        </w:rPr>
        <w:t>Localización: 213609. II.2o.183 K. Tribunales Colegiados de Circuito. Octava Época. Semanario Judicial de la Federación. Tomo XIII, Febrero de 1994, Pág. 420</w:t>
      </w:r>
    </w:p>
    <w:p w14:paraId="327224ED" w14:textId="77777777" w:rsidR="00824031" w:rsidRPr="00207290" w:rsidRDefault="00824031" w:rsidP="00C949B0">
      <w:pPr>
        <w:pStyle w:val="Prrafodelista"/>
        <w:spacing w:before="120" w:after="120"/>
        <w:ind w:left="1134" w:right="902"/>
        <w:jc w:val="both"/>
        <w:rPr>
          <w:rFonts w:ascii="Palatino Linotype" w:eastAsia="Palatino Linotype" w:hAnsi="Palatino Linotype" w:cs="Palatino Linotype"/>
          <w:i/>
          <w:sz w:val="22"/>
        </w:rPr>
      </w:pPr>
      <w:r w:rsidRPr="00207290">
        <w:rPr>
          <w:rFonts w:ascii="Palatino Linotype" w:eastAsia="Palatino Linotype" w:hAnsi="Palatino Linotype" w:cs="Palatino Linotype"/>
          <w:i/>
          <w:sz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5FFF7289" w14:textId="77777777" w:rsidR="00C949B0" w:rsidRPr="000A4FCB" w:rsidRDefault="00C949B0" w:rsidP="00C949B0">
      <w:pPr>
        <w:pStyle w:val="Prrafodelista"/>
        <w:spacing w:before="120" w:after="120"/>
        <w:ind w:left="1134" w:right="902"/>
        <w:jc w:val="both"/>
        <w:rPr>
          <w:rFonts w:ascii="Palatino Linotype" w:eastAsia="Palatino Linotype" w:hAnsi="Palatino Linotype" w:cs="Palatino Linotype"/>
          <w:i/>
        </w:rPr>
      </w:pPr>
    </w:p>
    <w:p w14:paraId="65D9D4D3" w14:textId="77777777" w:rsidR="00824031" w:rsidRPr="000A4FCB" w:rsidRDefault="00824031" w:rsidP="00824031">
      <w:pPr>
        <w:pStyle w:val="Prrafodelista"/>
        <w:spacing w:before="120" w:after="120"/>
        <w:ind w:left="360" w:right="902"/>
        <w:jc w:val="both"/>
        <w:rPr>
          <w:rFonts w:ascii="Palatino Linotype" w:eastAsia="Palatino Linotype" w:hAnsi="Palatino Linotype" w:cs="Palatino Linotype"/>
          <w:i/>
        </w:rPr>
      </w:pPr>
    </w:p>
    <w:p w14:paraId="70C6816F" w14:textId="77777777" w:rsidR="00824031" w:rsidRPr="000A4FCB" w:rsidRDefault="00824031" w:rsidP="00C949B0">
      <w:pPr>
        <w:numPr>
          <w:ilvl w:val="0"/>
          <w:numId w:val="1"/>
        </w:numPr>
        <w:spacing w:line="360" w:lineRule="auto"/>
        <w:ind w:left="0" w:firstLine="0"/>
        <w:jc w:val="both"/>
        <w:rPr>
          <w:rFonts w:ascii="Palatino Linotype" w:eastAsia="Palatino Linotype" w:hAnsi="Palatino Linotype" w:cs="Palatino Linotype"/>
        </w:rPr>
      </w:pPr>
      <w:r w:rsidRPr="000A4FCB">
        <w:rPr>
          <w:rFonts w:ascii="Palatino Linotype" w:eastAsia="Palatino Linotype" w:hAnsi="Palatino Linotype" w:cs="Palatino Linotype"/>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A6076EA" w14:textId="77777777" w:rsidR="00824031" w:rsidRPr="00207290" w:rsidRDefault="00824031" w:rsidP="00C949B0">
      <w:pPr>
        <w:pStyle w:val="Prrafodelista"/>
        <w:spacing w:before="120" w:after="120"/>
        <w:ind w:left="1134" w:right="902"/>
        <w:jc w:val="both"/>
        <w:rPr>
          <w:rFonts w:ascii="Palatino Linotype" w:eastAsia="Palatino Linotype" w:hAnsi="Palatino Linotype" w:cs="Palatino Linotype"/>
          <w:b/>
          <w:i/>
          <w:sz w:val="22"/>
        </w:rPr>
      </w:pPr>
      <w:r w:rsidRPr="00207290">
        <w:rPr>
          <w:rFonts w:ascii="Palatino Linotype" w:eastAsia="Palatino Linotype" w:hAnsi="Palatino Linotype" w:cs="Palatino Linotype"/>
          <w:b/>
          <w:i/>
          <w:sz w:val="22"/>
        </w:rPr>
        <w:t>“DESECHAMIENTO O SOBRESEIMIENTO EN EL JUICIO DE AMPARO. NO IMPLICA DENEGACIÓN DE JUSTICIA NI GENERA INSEGURIDAD JURÍDICA”</w:t>
      </w:r>
    </w:p>
    <w:p w14:paraId="31BE9E97" w14:textId="77777777" w:rsidR="00824031" w:rsidRPr="00207290" w:rsidRDefault="00824031" w:rsidP="00C949B0">
      <w:pPr>
        <w:pStyle w:val="Prrafodelista"/>
        <w:spacing w:before="120" w:after="120"/>
        <w:ind w:left="1134" w:right="902"/>
        <w:jc w:val="both"/>
        <w:rPr>
          <w:rFonts w:ascii="Palatino Linotype" w:eastAsia="Palatino Linotype" w:hAnsi="Palatino Linotype" w:cs="Palatino Linotype"/>
          <w:i/>
          <w:sz w:val="22"/>
        </w:rPr>
      </w:pPr>
      <w:r w:rsidRPr="00207290">
        <w:rPr>
          <w:rFonts w:ascii="Palatino Linotype" w:eastAsia="Palatino Linotype" w:hAnsi="Palatino Linotype" w:cs="Palatino Linotype"/>
          <w:i/>
          <w:sz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207290">
        <w:rPr>
          <w:rFonts w:ascii="Palatino Linotype" w:eastAsia="Palatino Linotype" w:hAnsi="Palatino Linotype" w:cs="Palatino Linotype"/>
          <w:sz w:val="22"/>
        </w:rPr>
        <w:tab/>
      </w:r>
    </w:p>
    <w:p w14:paraId="78D6C771" w14:textId="77777777" w:rsidR="00824031" w:rsidRPr="000A4FCB" w:rsidRDefault="00824031" w:rsidP="00C949B0">
      <w:pPr>
        <w:pStyle w:val="Prrafodelista"/>
        <w:spacing w:before="120" w:after="120"/>
        <w:ind w:left="1134" w:right="902"/>
        <w:jc w:val="both"/>
        <w:rPr>
          <w:rFonts w:ascii="Palatino Linotype" w:eastAsia="Palatino Linotype" w:hAnsi="Palatino Linotype" w:cs="Palatino Linotype"/>
          <w:i/>
        </w:rPr>
      </w:pPr>
    </w:p>
    <w:p w14:paraId="62AE29EB" w14:textId="77777777" w:rsidR="00207290" w:rsidRDefault="00824031" w:rsidP="00207290">
      <w:pPr>
        <w:numPr>
          <w:ilvl w:val="0"/>
          <w:numId w:val="1"/>
        </w:numPr>
        <w:spacing w:line="360" w:lineRule="auto"/>
        <w:ind w:left="0" w:firstLine="0"/>
        <w:jc w:val="both"/>
        <w:rPr>
          <w:rFonts w:ascii="Palatino Linotype" w:eastAsia="Palatino Linotype" w:hAnsi="Palatino Linotype" w:cs="Palatino Linotype"/>
        </w:rPr>
      </w:pPr>
      <w:bookmarkStart w:id="15" w:name="_heading=h.gjdgxs" w:colFirst="0" w:colLast="0"/>
      <w:bookmarkEnd w:id="15"/>
      <w:r w:rsidRPr="000A4FCB">
        <w:rPr>
          <w:rFonts w:ascii="Palatino Linotype" w:eastAsia="Palatino Linotype" w:hAnsi="Palatino Linotype" w:cs="Palatino Linotype"/>
        </w:rPr>
        <w:t xml:space="preserve">Finalmente, se dejan a salvo los derechos de la particular a fin de que de considerarlo pertinente, interponga una nueva solicitud de acceso ante el </w:t>
      </w:r>
      <w:r w:rsidRPr="000A4FCB">
        <w:rPr>
          <w:rFonts w:ascii="Palatino Linotype" w:eastAsia="Palatino Linotype" w:hAnsi="Palatino Linotype" w:cs="Palatino Linotype"/>
          <w:b/>
        </w:rPr>
        <w:t>Sujeto Obligado</w:t>
      </w:r>
      <w:r w:rsidRPr="000A4FCB">
        <w:rPr>
          <w:rFonts w:ascii="Palatino Linotype" w:eastAsia="Palatino Linotype" w:hAnsi="Palatino Linotype" w:cs="Palatino Linotype"/>
        </w:rPr>
        <w:t xml:space="preserve">, a fin de solicitar la información de su interés. </w:t>
      </w:r>
    </w:p>
    <w:p w14:paraId="4E8AFD8D" w14:textId="77777777" w:rsidR="00207290" w:rsidRDefault="00207290" w:rsidP="00207290">
      <w:pPr>
        <w:spacing w:line="360" w:lineRule="auto"/>
        <w:jc w:val="both"/>
        <w:rPr>
          <w:rFonts w:ascii="Palatino Linotype" w:eastAsia="Palatino Linotype" w:hAnsi="Palatino Linotype" w:cs="Palatino Linotype"/>
        </w:rPr>
      </w:pPr>
    </w:p>
    <w:p w14:paraId="452DFA9D" w14:textId="77777777" w:rsidR="00824031" w:rsidRPr="00207290" w:rsidRDefault="00824031" w:rsidP="00207290">
      <w:pPr>
        <w:numPr>
          <w:ilvl w:val="0"/>
          <w:numId w:val="1"/>
        </w:numPr>
        <w:spacing w:line="360" w:lineRule="auto"/>
        <w:ind w:left="0" w:firstLine="0"/>
        <w:jc w:val="both"/>
        <w:rPr>
          <w:rFonts w:ascii="Palatino Linotype" w:eastAsia="Palatino Linotype" w:hAnsi="Palatino Linotype" w:cs="Palatino Linotype"/>
        </w:rPr>
      </w:pPr>
      <w:r w:rsidRPr="00207290">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207290">
        <w:rPr>
          <w:rFonts w:ascii="Palatino Linotype" w:eastAsia="Palatino Linotype" w:hAnsi="Palatino Linotype" w:cs="Palatino Linotype"/>
          <w:b/>
        </w:rPr>
        <w:t xml:space="preserve">Sobresee </w:t>
      </w:r>
      <w:r w:rsidRPr="00207290">
        <w:rPr>
          <w:rFonts w:ascii="Palatino Linotype" w:eastAsia="Palatino Linotype" w:hAnsi="Palatino Linotype" w:cs="Palatino Linotype"/>
        </w:rPr>
        <w:t xml:space="preserve">el recurso de revisión </w:t>
      </w:r>
      <w:r w:rsidRPr="00207290">
        <w:rPr>
          <w:rFonts w:ascii="Palatino Linotype" w:eastAsia="Palatino Linotype" w:hAnsi="Palatino Linotype" w:cs="Palatino Linotype"/>
          <w:b/>
        </w:rPr>
        <w:t>01243/INFOEM/IP/RR/2024</w:t>
      </w:r>
      <w:r w:rsidRPr="00207290">
        <w:rPr>
          <w:rFonts w:ascii="Palatino Linotype" w:eastAsia="Palatino Linotype" w:hAnsi="Palatino Linotype" w:cs="Palatino Linotype"/>
        </w:rPr>
        <w:t>, que ha sido materia del presente fallo.</w:t>
      </w:r>
    </w:p>
    <w:p w14:paraId="0FF4448F" w14:textId="77777777" w:rsidR="00824031" w:rsidRPr="000A4FCB" w:rsidRDefault="00824031" w:rsidP="00C949B0">
      <w:pPr>
        <w:numPr>
          <w:ilvl w:val="0"/>
          <w:numId w:val="1"/>
        </w:numPr>
        <w:spacing w:line="360" w:lineRule="auto"/>
        <w:ind w:left="0" w:firstLine="0"/>
        <w:jc w:val="both"/>
        <w:rPr>
          <w:rFonts w:ascii="Palatino Linotype" w:eastAsia="Palatino Linotype" w:hAnsi="Palatino Linotype" w:cs="Palatino Linotype"/>
        </w:rPr>
      </w:pPr>
      <w:r w:rsidRPr="000A4FCB">
        <w:rPr>
          <w:rFonts w:ascii="Palatino Linotype" w:eastAsia="Palatino Linotype" w:hAnsi="Palatino Linotype" w:cs="Palatino Linotype"/>
        </w:rPr>
        <w:lastRenderedPageBreak/>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28F6EE87" w14:textId="77777777" w:rsidR="00824031" w:rsidRPr="000A4FCB" w:rsidRDefault="00824031" w:rsidP="00824031">
      <w:pPr>
        <w:pStyle w:val="Prrafodelista"/>
        <w:rPr>
          <w:rFonts w:ascii="Palatino Linotype" w:hAnsi="Palatino Linotype"/>
          <w:color w:val="000000" w:themeColor="text1"/>
        </w:rPr>
      </w:pPr>
    </w:p>
    <w:p w14:paraId="24297CF3" w14:textId="77777777" w:rsidR="00824031" w:rsidRPr="000A4FCB" w:rsidRDefault="00824031" w:rsidP="00824031">
      <w:pPr>
        <w:pStyle w:val="Ttulo1"/>
        <w:spacing w:before="0" w:line="360" w:lineRule="auto"/>
        <w:jc w:val="center"/>
        <w:rPr>
          <w:rFonts w:ascii="Palatino Linotype" w:eastAsia="Calibri" w:hAnsi="Palatino Linotype"/>
          <w:b/>
          <w:color w:val="000000" w:themeColor="text1"/>
          <w:sz w:val="24"/>
          <w:szCs w:val="24"/>
          <w:lang w:val="es-ES"/>
        </w:rPr>
      </w:pPr>
      <w:bookmarkStart w:id="16" w:name="_Toc504500693"/>
      <w:bookmarkStart w:id="17" w:name="_Toc534742545"/>
      <w:bookmarkStart w:id="18" w:name="_Toc2248738"/>
      <w:bookmarkStart w:id="19" w:name="_Toc34819440"/>
      <w:bookmarkStart w:id="20" w:name="_Toc51259595"/>
      <w:bookmarkStart w:id="21" w:name="_Toc83128595"/>
      <w:r w:rsidRPr="000A4FCB">
        <w:rPr>
          <w:rFonts w:ascii="Palatino Linotype" w:eastAsia="Calibri" w:hAnsi="Palatino Linotype"/>
          <w:b/>
          <w:color w:val="000000" w:themeColor="text1"/>
          <w:sz w:val="24"/>
          <w:szCs w:val="24"/>
          <w:lang w:val="es-ES"/>
        </w:rPr>
        <w:t>R E S O L U T I V O S</w:t>
      </w:r>
      <w:bookmarkEnd w:id="16"/>
      <w:bookmarkEnd w:id="17"/>
      <w:bookmarkEnd w:id="18"/>
      <w:bookmarkEnd w:id="19"/>
      <w:bookmarkEnd w:id="20"/>
      <w:bookmarkEnd w:id="21"/>
    </w:p>
    <w:p w14:paraId="66AB29D3" w14:textId="77777777" w:rsidR="00824031" w:rsidRPr="000A4FCB" w:rsidRDefault="00824031" w:rsidP="00824031">
      <w:pPr>
        <w:rPr>
          <w:rFonts w:ascii="Palatino Linotype" w:hAnsi="Palatino Linotype"/>
          <w:color w:val="000000" w:themeColor="text1"/>
          <w:lang w:val="es-ES"/>
        </w:rPr>
      </w:pPr>
    </w:p>
    <w:p w14:paraId="4F7082A8" w14:textId="77777777" w:rsidR="00824031" w:rsidRPr="000A4FCB" w:rsidRDefault="00207290" w:rsidP="00824031">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0A4FCB">
        <w:rPr>
          <w:rFonts w:ascii="Palatino Linotype" w:eastAsia="Palatino Linotype" w:hAnsi="Palatino Linotype" w:cs="Palatino Linotype"/>
          <w:b/>
        </w:rPr>
        <w:t>PRIMERO</w:t>
      </w:r>
      <w:r w:rsidR="00824031" w:rsidRPr="000A4FCB">
        <w:rPr>
          <w:rFonts w:ascii="Palatino Linotype" w:eastAsia="Palatino Linotype" w:hAnsi="Palatino Linotype" w:cs="Palatino Linotype"/>
          <w:b/>
        </w:rPr>
        <w:t xml:space="preserve">. </w:t>
      </w:r>
      <w:r w:rsidR="00824031" w:rsidRPr="000A4FCB">
        <w:rPr>
          <w:rFonts w:ascii="Palatino Linotype" w:eastAsia="Palatino Linotype" w:hAnsi="Palatino Linotype" w:cs="Palatino Linotype"/>
        </w:rPr>
        <w:t>Se</w:t>
      </w:r>
      <w:r w:rsidR="00824031" w:rsidRPr="000A4FCB">
        <w:rPr>
          <w:rFonts w:ascii="Palatino Linotype" w:eastAsia="Palatino Linotype" w:hAnsi="Palatino Linotype" w:cs="Palatino Linotype"/>
          <w:b/>
        </w:rPr>
        <w:t xml:space="preserve"> </w:t>
      </w:r>
      <w:r w:rsidRPr="000A4FCB">
        <w:rPr>
          <w:rFonts w:ascii="Palatino Linotype" w:eastAsia="Palatino Linotype" w:hAnsi="Palatino Linotype" w:cs="Palatino Linotype"/>
          <w:b/>
        </w:rPr>
        <w:t xml:space="preserve">SOBRESEE </w:t>
      </w:r>
      <w:r w:rsidR="00824031" w:rsidRPr="000A4FCB">
        <w:rPr>
          <w:rFonts w:ascii="Palatino Linotype" w:eastAsia="Palatino Linotype" w:hAnsi="Palatino Linotype" w:cs="Palatino Linotype"/>
        </w:rPr>
        <w:t xml:space="preserve">el recurso de revisión número </w:t>
      </w:r>
      <w:r w:rsidR="00824031" w:rsidRPr="000A4FCB">
        <w:rPr>
          <w:rFonts w:ascii="Palatino Linotype" w:eastAsia="Palatino Linotype" w:hAnsi="Palatino Linotype" w:cs="Palatino Linotype"/>
          <w:b/>
        </w:rPr>
        <w:t xml:space="preserve">01243/INFOEM/IP/RR/2024, </w:t>
      </w:r>
      <w:r w:rsidR="00824031" w:rsidRPr="000A4FCB">
        <w:rPr>
          <w:rFonts w:ascii="Palatino Linotype" w:eastAsia="Palatino Linotype" w:hAnsi="Palatino Linotype" w:cs="Palatino Linotype"/>
        </w:rPr>
        <w:t>porque una vez admitido se actualizó la causal de improcedencia prevista en artículo 192 fracción IV, en relación con la fracción VII del artículo 191, de la Ley de Transparencia vigente en la entidad, que lo dejó sin materia en términos del Considerando</w:t>
      </w:r>
      <w:r w:rsidR="00824031" w:rsidRPr="000A4FCB">
        <w:rPr>
          <w:rFonts w:ascii="Palatino Linotype" w:eastAsia="Palatino Linotype" w:hAnsi="Palatino Linotype" w:cs="Palatino Linotype"/>
          <w:b/>
        </w:rPr>
        <w:t xml:space="preserve"> Tercero d</w:t>
      </w:r>
      <w:r w:rsidR="00824031" w:rsidRPr="000A4FCB">
        <w:rPr>
          <w:rFonts w:ascii="Palatino Linotype" w:eastAsia="Palatino Linotype" w:hAnsi="Palatino Linotype" w:cs="Palatino Linotype"/>
        </w:rPr>
        <w:t>e la presente resolución.</w:t>
      </w:r>
    </w:p>
    <w:p w14:paraId="2A513C4D" w14:textId="77777777" w:rsidR="00824031" w:rsidRDefault="00824031" w:rsidP="00824031">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0A4FCB">
        <w:rPr>
          <w:rFonts w:ascii="Palatino Linotype" w:eastAsia="Palatino Linotype" w:hAnsi="Palatino Linotype" w:cs="Palatino Linotype"/>
          <w:b/>
        </w:rPr>
        <w:t xml:space="preserve">Segundo. Notifíquese, </w:t>
      </w:r>
      <w:r w:rsidRPr="000A4FCB">
        <w:rPr>
          <w:rFonts w:ascii="Palatino Linotype" w:eastAsia="Palatino Linotype" w:hAnsi="Palatino Linotype" w:cs="Palatino Linotype"/>
        </w:rPr>
        <w:t>vía</w:t>
      </w:r>
      <w:r w:rsidRPr="000A4FCB">
        <w:rPr>
          <w:rFonts w:ascii="Palatino Linotype" w:eastAsia="Palatino Linotype" w:hAnsi="Palatino Linotype" w:cs="Palatino Linotype"/>
          <w:b/>
        </w:rPr>
        <w:t xml:space="preserve"> SAIMEX,</w:t>
      </w:r>
      <w:r w:rsidRPr="000A4FCB">
        <w:rPr>
          <w:rFonts w:ascii="Palatino Linotype" w:eastAsia="Palatino Linotype" w:hAnsi="Palatino Linotype" w:cs="Palatino Linotype"/>
        </w:rPr>
        <w:t xml:space="preserve"> al Responsable de la Unidad de Transparencia del </w:t>
      </w:r>
      <w:r w:rsidRPr="000A4FCB">
        <w:rPr>
          <w:rFonts w:ascii="Palatino Linotype" w:eastAsia="Palatino Linotype" w:hAnsi="Palatino Linotype" w:cs="Palatino Linotype"/>
          <w:b/>
        </w:rPr>
        <w:t>Sujeto Obligado</w:t>
      </w:r>
      <w:r w:rsidRPr="000A4FCB">
        <w:rPr>
          <w:rFonts w:ascii="Palatino Linotype" w:eastAsia="Palatino Linotype" w:hAnsi="Palatino Linotype" w:cs="Palatino Linotype"/>
        </w:rPr>
        <w:t xml:space="preserve"> la presente resolución, para su conocimiento.</w:t>
      </w:r>
    </w:p>
    <w:p w14:paraId="09832493" w14:textId="77777777" w:rsidR="00207290" w:rsidRDefault="00207290" w:rsidP="00824031">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s="Arial"/>
          <w:b/>
        </w:rPr>
      </w:pPr>
    </w:p>
    <w:p w14:paraId="071EE3A3" w14:textId="77777777" w:rsidR="00824031" w:rsidRPr="000A4FCB" w:rsidRDefault="00824031" w:rsidP="00824031">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r w:rsidRPr="000A4FCB">
        <w:rPr>
          <w:rFonts w:ascii="Palatino Linotype" w:hAnsi="Palatino Linotype" w:cs="Arial"/>
          <w:b/>
        </w:rPr>
        <w:t>TERCERO</w:t>
      </w:r>
      <w:r w:rsidRPr="000A4FCB">
        <w:rPr>
          <w:rFonts w:ascii="Palatino Linotype" w:hAnsi="Palatino Linotype"/>
          <w:b/>
          <w:color w:val="222222"/>
          <w:lang w:eastAsia="es-ES_tradnl"/>
        </w:rPr>
        <w:t xml:space="preserve">. Notifíquese </w:t>
      </w:r>
      <w:r w:rsidRPr="000A4FCB">
        <w:rPr>
          <w:rFonts w:ascii="Palatino Linotype" w:hAnsi="Palatino Linotype"/>
          <w:color w:val="222222"/>
          <w:lang w:eastAsia="es-ES_tradnl"/>
        </w:rPr>
        <w:t>a</w:t>
      </w:r>
      <w:r w:rsidRPr="000A4FCB">
        <w:rPr>
          <w:rFonts w:ascii="Palatino Linotype" w:hAnsi="Palatino Linotype"/>
          <w:b/>
          <w:color w:val="222222"/>
          <w:lang w:eastAsia="es-ES_tradnl"/>
        </w:rPr>
        <w:t xml:space="preserve"> </w:t>
      </w:r>
      <w:r w:rsidRPr="000A4FCB">
        <w:rPr>
          <w:rFonts w:ascii="Palatino Linotype" w:hAnsi="Palatino Linotype"/>
          <w:b/>
        </w:rPr>
        <w:t>EL RECURRENTE</w:t>
      </w:r>
      <w:r w:rsidRPr="000A4FCB">
        <w:rPr>
          <w:rFonts w:ascii="Palatino Linotype" w:hAnsi="Palatino Linotype"/>
          <w:color w:val="222222"/>
          <w:lang w:eastAsia="es-ES_tradnl"/>
        </w:rPr>
        <w:t xml:space="preserve"> la presente resolución, vía </w:t>
      </w:r>
      <w:r w:rsidRPr="000A4FCB">
        <w:rPr>
          <w:rFonts w:ascii="Palatino Linotype" w:hAnsi="Palatino Linotype"/>
          <w:b/>
          <w:color w:val="222222"/>
          <w:lang w:eastAsia="es-ES_tradnl"/>
        </w:rPr>
        <w:t>SAIMEX</w:t>
      </w:r>
      <w:r w:rsidRPr="000A4FCB">
        <w:rPr>
          <w:rFonts w:ascii="Palatino Linotype" w:hAnsi="Palatino Linotype"/>
          <w:color w:val="222222"/>
          <w:lang w:eastAsia="es-ES_tradnl"/>
        </w:rPr>
        <w:t>.</w:t>
      </w:r>
    </w:p>
    <w:p w14:paraId="470F9B96" w14:textId="77777777" w:rsidR="00824031" w:rsidRPr="000A4FCB" w:rsidRDefault="00824031" w:rsidP="00824031">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p>
    <w:p w14:paraId="3CD0AC40" w14:textId="77777777" w:rsidR="00824031" w:rsidRPr="000A4FCB" w:rsidRDefault="00824031" w:rsidP="00824031">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0A4FCB">
        <w:rPr>
          <w:rFonts w:ascii="Palatino Linotype" w:hAnsi="Palatino Linotype"/>
          <w:b/>
          <w:color w:val="222222"/>
          <w:lang w:eastAsia="es-ES_tradnl"/>
        </w:rPr>
        <w:t xml:space="preserve">CUARTO. </w:t>
      </w:r>
      <w:r w:rsidRPr="000A4FCB">
        <w:rPr>
          <w:rFonts w:ascii="Palatino Linotype" w:eastAsia="MS Mincho" w:hAnsi="Palatino Linotype"/>
        </w:rPr>
        <w:t xml:space="preserve">Se hace del conocimiento de </w:t>
      </w:r>
      <w:r w:rsidRPr="000A4FCB">
        <w:rPr>
          <w:rFonts w:ascii="Palatino Linotype" w:eastAsia="MS Mincho" w:hAnsi="Palatino Linotype"/>
          <w:b/>
        </w:rPr>
        <w:t>EL RECURRENTE</w:t>
      </w:r>
      <w:r w:rsidRPr="000A4FCB">
        <w:rPr>
          <w:rFonts w:ascii="Palatino Linotype" w:hAnsi="Palatino Linotype"/>
        </w:rPr>
        <w:t xml:space="preserve"> </w:t>
      </w:r>
      <w:r w:rsidRPr="000A4FCB">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0A4FCB">
        <w:rPr>
          <w:rFonts w:ascii="Palatino Linotype" w:eastAsia="MS Mincho" w:hAnsi="Palatino Linotype"/>
          <w:bCs/>
        </w:rPr>
        <w:t>vía juicio de amparo</w:t>
      </w:r>
      <w:r w:rsidRPr="000A4FCB">
        <w:rPr>
          <w:rFonts w:ascii="Palatino Linotype" w:eastAsia="MS Mincho" w:hAnsi="Palatino Linotype"/>
        </w:rPr>
        <w:t> en los términos de las leyes aplicables.</w:t>
      </w:r>
    </w:p>
    <w:p w14:paraId="2C6CD62A" w14:textId="77777777" w:rsidR="00322DA6" w:rsidRPr="003C7186" w:rsidRDefault="00322DA6" w:rsidP="00322DA6">
      <w:pPr>
        <w:spacing w:line="360" w:lineRule="auto"/>
        <w:ind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6660C499" w14:textId="77777777" w:rsidR="00824031" w:rsidRPr="000A4FCB" w:rsidRDefault="00824031" w:rsidP="00824031">
      <w:pPr>
        <w:spacing w:line="360" w:lineRule="auto"/>
        <w:jc w:val="both"/>
        <w:rPr>
          <w:rFonts w:ascii="Palatino Linotype" w:hAnsi="Palatino Linotype"/>
          <w:color w:val="000000" w:themeColor="text1"/>
        </w:rPr>
      </w:pPr>
    </w:p>
    <w:p w14:paraId="29631C64" w14:textId="77777777" w:rsidR="00824031" w:rsidRPr="000A4FCB" w:rsidRDefault="00824031" w:rsidP="00824031">
      <w:pPr>
        <w:spacing w:line="360" w:lineRule="auto"/>
        <w:jc w:val="both"/>
        <w:rPr>
          <w:rFonts w:ascii="Palatino Linotype" w:hAnsi="Palatino Linotype"/>
          <w:color w:val="000000" w:themeColor="text1"/>
        </w:rPr>
      </w:pPr>
    </w:p>
    <w:p w14:paraId="5A44F700" w14:textId="77777777" w:rsidR="00824031" w:rsidRPr="000A4FCB" w:rsidRDefault="00824031" w:rsidP="00824031">
      <w:pPr>
        <w:spacing w:line="360" w:lineRule="auto"/>
        <w:jc w:val="both"/>
        <w:rPr>
          <w:rFonts w:ascii="Palatino Linotype" w:hAnsi="Palatino Linotype"/>
          <w:color w:val="000000" w:themeColor="text1"/>
        </w:rPr>
      </w:pPr>
    </w:p>
    <w:p w14:paraId="22C4B091" w14:textId="77777777" w:rsidR="00824031" w:rsidRPr="000A4FCB" w:rsidRDefault="00824031" w:rsidP="00824031">
      <w:pPr>
        <w:spacing w:line="360" w:lineRule="auto"/>
        <w:jc w:val="both"/>
        <w:rPr>
          <w:rFonts w:ascii="Palatino Linotype" w:hAnsi="Palatino Linotype"/>
          <w:color w:val="000000" w:themeColor="text1"/>
        </w:rPr>
      </w:pPr>
    </w:p>
    <w:p w14:paraId="6EB65DED" w14:textId="77777777" w:rsidR="00824031" w:rsidRPr="000A4FCB" w:rsidRDefault="00824031" w:rsidP="00824031">
      <w:pPr>
        <w:spacing w:line="360" w:lineRule="auto"/>
        <w:jc w:val="both"/>
        <w:rPr>
          <w:rFonts w:ascii="Palatino Linotype" w:hAnsi="Palatino Linotype"/>
          <w:color w:val="000000" w:themeColor="text1"/>
        </w:rPr>
      </w:pPr>
    </w:p>
    <w:p w14:paraId="653E303A" w14:textId="77777777" w:rsidR="00824031" w:rsidRPr="000A4FCB" w:rsidRDefault="00824031" w:rsidP="00824031">
      <w:pPr>
        <w:spacing w:line="360" w:lineRule="auto"/>
        <w:jc w:val="both"/>
        <w:rPr>
          <w:rFonts w:ascii="Palatino Linotype" w:hAnsi="Palatino Linotype"/>
          <w:color w:val="000000" w:themeColor="text1"/>
        </w:rPr>
      </w:pPr>
    </w:p>
    <w:p w14:paraId="1DCD06E6" w14:textId="77777777" w:rsidR="00824031" w:rsidRPr="000A4FCB" w:rsidRDefault="00824031" w:rsidP="00824031">
      <w:pPr>
        <w:spacing w:line="360" w:lineRule="auto"/>
        <w:jc w:val="both"/>
        <w:rPr>
          <w:rFonts w:ascii="Palatino Linotype" w:hAnsi="Palatino Linotype"/>
          <w:color w:val="000000" w:themeColor="text1"/>
        </w:rPr>
      </w:pPr>
    </w:p>
    <w:p w14:paraId="5D8E799F" w14:textId="77777777" w:rsidR="00824031" w:rsidRPr="000A4FCB" w:rsidRDefault="00824031" w:rsidP="00824031">
      <w:pPr>
        <w:spacing w:line="360" w:lineRule="auto"/>
        <w:jc w:val="both"/>
        <w:rPr>
          <w:rFonts w:ascii="Palatino Linotype" w:hAnsi="Palatino Linotype"/>
          <w:color w:val="000000" w:themeColor="text1"/>
        </w:rPr>
      </w:pPr>
    </w:p>
    <w:p w14:paraId="3DDCC152" w14:textId="77777777" w:rsidR="00824031" w:rsidRPr="000A4FCB" w:rsidRDefault="00824031" w:rsidP="00824031">
      <w:pPr>
        <w:spacing w:line="360" w:lineRule="auto"/>
        <w:jc w:val="both"/>
        <w:rPr>
          <w:rFonts w:ascii="Palatino Linotype" w:hAnsi="Palatino Linotype"/>
          <w:color w:val="000000" w:themeColor="text1"/>
        </w:rPr>
      </w:pPr>
    </w:p>
    <w:p w14:paraId="58F14A98" w14:textId="77777777" w:rsidR="00824031" w:rsidRPr="000A4FCB" w:rsidRDefault="00824031" w:rsidP="00824031">
      <w:pPr>
        <w:rPr>
          <w:rFonts w:ascii="Palatino Linotype" w:hAnsi="Palatino Linotype"/>
          <w:color w:val="000000" w:themeColor="text1"/>
        </w:rPr>
      </w:pPr>
    </w:p>
    <w:p w14:paraId="3BC780F6" w14:textId="77777777" w:rsidR="00824031" w:rsidRPr="000A4FCB" w:rsidRDefault="00824031" w:rsidP="00824031">
      <w:pPr>
        <w:rPr>
          <w:rFonts w:ascii="Palatino Linotype" w:hAnsi="Palatino Linotype"/>
          <w:color w:val="000000" w:themeColor="text1"/>
        </w:rPr>
      </w:pPr>
    </w:p>
    <w:p w14:paraId="6FAB2BBD" w14:textId="77777777" w:rsidR="00824031" w:rsidRPr="000A4FCB" w:rsidRDefault="00824031" w:rsidP="00824031">
      <w:pPr>
        <w:rPr>
          <w:rFonts w:ascii="Palatino Linotype" w:hAnsi="Palatino Linotype"/>
          <w:color w:val="000000" w:themeColor="text1"/>
        </w:rPr>
      </w:pPr>
    </w:p>
    <w:p w14:paraId="14B9F1B7" w14:textId="77777777" w:rsidR="00824031" w:rsidRPr="000A4FCB" w:rsidRDefault="00824031" w:rsidP="00824031">
      <w:pPr>
        <w:rPr>
          <w:rFonts w:ascii="Palatino Linotype" w:hAnsi="Palatino Linotype"/>
          <w:color w:val="000000" w:themeColor="text1"/>
        </w:rPr>
      </w:pPr>
    </w:p>
    <w:p w14:paraId="3C7ABD4B" w14:textId="77777777" w:rsidR="00824031" w:rsidRPr="000A4FCB" w:rsidRDefault="00824031" w:rsidP="00824031">
      <w:pPr>
        <w:rPr>
          <w:rFonts w:ascii="Palatino Linotype" w:hAnsi="Palatino Linotype"/>
          <w:color w:val="000000" w:themeColor="text1"/>
        </w:rPr>
      </w:pPr>
    </w:p>
    <w:p w14:paraId="4BBCA87B" w14:textId="77777777" w:rsidR="00824031" w:rsidRPr="000A4FCB" w:rsidRDefault="00824031" w:rsidP="00824031">
      <w:pPr>
        <w:rPr>
          <w:rFonts w:ascii="Palatino Linotype" w:hAnsi="Palatino Linotype"/>
          <w:color w:val="000000" w:themeColor="text1"/>
        </w:rPr>
      </w:pPr>
    </w:p>
    <w:p w14:paraId="1F986667" w14:textId="77777777" w:rsidR="00824031" w:rsidRPr="000A4FCB" w:rsidRDefault="00824031" w:rsidP="00824031">
      <w:pPr>
        <w:rPr>
          <w:rFonts w:ascii="Palatino Linotype" w:hAnsi="Palatino Linotype"/>
          <w:color w:val="000000" w:themeColor="text1"/>
        </w:rPr>
      </w:pPr>
    </w:p>
    <w:p w14:paraId="349D5097" w14:textId="77777777" w:rsidR="00824031" w:rsidRPr="000A4FCB" w:rsidRDefault="00824031" w:rsidP="00824031">
      <w:pPr>
        <w:tabs>
          <w:tab w:val="left" w:pos="3374"/>
        </w:tabs>
        <w:rPr>
          <w:rFonts w:ascii="Palatino Linotype" w:hAnsi="Palatino Linotype"/>
          <w:color w:val="000000" w:themeColor="text1"/>
        </w:rPr>
      </w:pPr>
      <w:r w:rsidRPr="000A4FCB">
        <w:rPr>
          <w:rFonts w:ascii="Palatino Linotype" w:hAnsi="Palatino Linotype"/>
          <w:color w:val="000000" w:themeColor="text1"/>
        </w:rPr>
        <w:tab/>
      </w:r>
    </w:p>
    <w:p w14:paraId="12297C29" w14:textId="77777777" w:rsidR="00824031" w:rsidRPr="000A4FCB" w:rsidRDefault="00824031" w:rsidP="00824031">
      <w:pPr>
        <w:tabs>
          <w:tab w:val="left" w:pos="3374"/>
        </w:tabs>
        <w:rPr>
          <w:rFonts w:ascii="Palatino Linotype" w:hAnsi="Palatino Linotype"/>
          <w:color w:val="000000" w:themeColor="text1"/>
        </w:rPr>
      </w:pPr>
    </w:p>
    <w:p w14:paraId="5C8CF96C" w14:textId="77777777" w:rsidR="00824031" w:rsidRPr="000A4FCB" w:rsidRDefault="00824031" w:rsidP="00824031">
      <w:pPr>
        <w:tabs>
          <w:tab w:val="left" w:pos="3374"/>
        </w:tabs>
        <w:rPr>
          <w:rFonts w:ascii="Palatino Linotype" w:hAnsi="Palatino Linotype"/>
          <w:color w:val="000000" w:themeColor="text1"/>
        </w:rPr>
      </w:pPr>
    </w:p>
    <w:p w14:paraId="27499DD8" w14:textId="77777777" w:rsidR="00824031" w:rsidRPr="000A4FCB" w:rsidRDefault="00824031" w:rsidP="00824031">
      <w:pPr>
        <w:tabs>
          <w:tab w:val="left" w:pos="3374"/>
        </w:tabs>
        <w:rPr>
          <w:rFonts w:ascii="Palatino Linotype" w:hAnsi="Palatino Linotype"/>
          <w:color w:val="000000" w:themeColor="text1"/>
        </w:rPr>
      </w:pPr>
    </w:p>
    <w:p w14:paraId="4E3939BD" w14:textId="77777777" w:rsidR="00824031" w:rsidRPr="000A4FCB" w:rsidRDefault="00824031" w:rsidP="00824031">
      <w:pPr>
        <w:tabs>
          <w:tab w:val="left" w:pos="3374"/>
        </w:tabs>
        <w:rPr>
          <w:rFonts w:ascii="Palatino Linotype" w:hAnsi="Palatino Linotype"/>
          <w:color w:val="000000" w:themeColor="text1"/>
        </w:rPr>
      </w:pPr>
    </w:p>
    <w:p w14:paraId="0468F270" w14:textId="77777777" w:rsidR="00824031" w:rsidRPr="000A4FCB" w:rsidRDefault="00824031" w:rsidP="00824031">
      <w:pPr>
        <w:tabs>
          <w:tab w:val="left" w:pos="3374"/>
        </w:tabs>
        <w:rPr>
          <w:rFonts w:ascii="Palatino Linotype" w:hAnsi="Palatino Linotype"/>
          <w:color w:val="000000" w:themeColor="text1"/>
        </w:rPr>
      </w:pPr>
    </w:p>
    <w:p w14:paraId="49295FF2" w14:textId="77777777" w:rsidR="00824031" w:rsidRPr="000A4FCB" w:rsidRDefault="00824031" w:rsidP="00824031">
      <w:pPr>
        <w:tabs>
          <w:tab w:val="left" w:pos="3374"/>
        </w:tabs>
        <w:rPr>
          <w:rFonts w:ascii="Palatino Linotype" w:hAnsi="Palatino Linotype"/>
          <w:color w:val="000000" w:themeColor="text1"/>
        </w:rPr>
      </w:pPr>
    </w:p>
    <w:p w14:paraId="535295AA" w14:textId="77777777" w:rsidR="00824031" w:rsidRPr="000A4FCB" w:rsidRDefault="00824031" w:rsidP="00824031">
      <w:pPr>
        <w:tabs>
          <w:tab w:val="left" w:pos="3374"/>
        </w:tabs>
        <w:rPr>
          <w:rFonts w:ascii="Palatino Linotype" w:hAnsi="Palatino Linotype"/>
          <w:color w:val="000000" w:themeColor="text1"/>
        </w:rPr>
      </w:pPr>
    </w:p>
    <w:p w14:paraId="224470ED" w14:textId="77777777" w:rsidR="00824031" w:rsidRPr="000A4FCB" w:rsidRDefault="00824031" w:rsidP="00824031">
      <w:pPr>
        <w:tabs>
          <w:tab w:val="left" w:pos="3374"/>
        </w:tabs>
        <w:rPr>
          <w:rFonts w:ascii="Palatino Linotype" w:hAnsi="Palatino Linotype"/>
          <w:color w:val="000000" w:themeColor="text1"/>
        </w:rPr>
      </w:pPr>
    </w:p>
    <w:p w14:paraId="36AD0997" w14:textId="77777777" w:rsidR="00824031" w:rsidRPr="000A4FCB" w:rsidRDefault="00824031" w:rsidP="00824031">
      <w:pPr>
        <w:tabs>
          <w:tab w:val="left" w:pos="3374"/>
        </w:tabs>
        <w:rPr>
          <w:rFonts w:ascii="Palatino Linotype" w:hAnsi="Palatino Linotype"/>
          <w:color w:val="000000" w:themeColor="text1"/>
        </w:rPr>
      </w:pPr>
    </w:p>
    <w:p w14:paraId="2755C95D" w14:textId="77777777" w:rsidR="00824031" w:rsidRPr="000A4FCB" w:rsidRDefault="00824031" w:rsidP="00824031">
      <w:pPr>
        <w:tabs>
          <w:tab w:val="left" w:pos="3374"/>
        </w:tabs>
        <w:rPr>
          <w:rFonts w:ascii="Palatino Linotype" w:hAnsi="Palatino Linotype"/>
          <w:color w:val="000000" w:themeColor="text1"/>
        </w:rPr>
      </w:pPr>
    </w:p>
    <w:p w14:paraId="211AB0A8" w14:textId="77777777" w:rsidR="00824031" w:rsidRPr="000A4FCB" w:rsidRDefault="00824031" w:rsidP="00824031">
      <w:pPr>
        <w:tabs>
          <w:tab w:val="left" w:pos="3374"/>
        </w:tabs>
        <w:rPr>
          <w:rFonts w:ascii="Palatino Linotype" w:hAnsi="Palatino Linotype"/>
          <w:color w:val="000000" w:themeColor="text1"/>
        </w:rPr>
      </w:pPr>
    </w:p>
    <w:p w14:paraId="17F7D588" w14:textId="77777777" w:rsidR="00824031" w:rsidRPr="000A4FCB" w:rsidRDefault="00824031" w:rsidP="00824031">
      <w:pPr>
        <w:tabs>
          <w:tab w:val="left" w:pos="3374"/>
        </w:tabs>
        <w:rPr>
          <w:rFonts w:ascii="Palatino Linotype" w:hAnsi="Palatino Linotype"/>
          <w:color w:val="000000" w:themeColor="text1"/>
        </w:rPr>
      </w:pPr>
    </w:p>
    <w:p w14:paraId="19C7743C" w14:textId="77777777" w:rsidR="00824031" w:rsidRPr="000A4FCB" w:rsidRDefault="00824031" w:rsidP="00824031">
      <w:pPr>
        <w:tabs>
          <w:tab w:val="left" w:pos="3374"/>
        </w:tabs>
        <w:rPr>
          <w:rFonts w:ascii="Palatino Linotype" w:hAnsi="Palatino Linotype"/>
          <w:color w:val="000000" w:themeColor="text1"/>
        </w:rPr>
      </w:pPr>
    </w:p>
    <w:p w14:paraId="13C2F39F" w14:textId="77777777" w:rsidR="00824031" w:rsidRPr="000A4FCB" w:rsidRDefault="00824031" w:rsidP="00824031">
      <w:pPr>
        <w:tabs>
          <w:tab w:val="left" w:pos="3374"/>
        </w:tabs>
        <w:rPr>
          <w:rFonts w:ascii="Palatino Linotype" w:hAnsi="Palatino Linotype"/>
          <w:color w:val="000000" w:themeColor="text1"/>
        </w:rPr>
      </w:pPr>
    </w:p>
    <w:p w14:paraId="3908DBBA" w14:textId="77777777" w:rsidR="00824031" w:rsidRPr="000A4FCB" w:rsidRDefault="00824031" w:rsidP="00824031">
      <w:pPr>
        <w:tabs>
          <w:tab w:val="left" w:pos="3374"/>
        </w:tabs>
        <w:rPr>
          <w:rFonts w:ascii="Palatino Linotype" w:hAnsi="Palatino Linotype"/>
          <w:color w:val="000000" w:themeColor="text1"/>
        </w:rPr>
      </w:pPr>
    </w:p>
    <w:p w14:paraId="23E2348E" w14:textId="77777777" w:rsidR="00824031" w:rsidRPr="000A4FCB" w:rsidRDefault="00824031" w:rsidP="00824031">
      <w:pPr>
        <w:tabs>
          <w:tab w:val="left" w:pos="3374"/>
        </w:tabs>
        <w:rPr>
          <w:rFonts w:ascii="Palatino Linotype" w:hAnsi="Palatino Linotype"/>
          <w:color w:val="000000" w:themeColor="text1"/>
        </w:rPr>
      </w:pPr>
    </w:p>
    <w:p w14:paraId="3806F817" w14:textId="77777777" w:rsidR="00824031" w:rsidRPr="000A4FCB" w:rsidRDefault="00824031" w:rsidP="00824031">
      <w:pPr>
        <w:tabs>
          <w:tab w:val="left" w:pos="3374"/>
        </w:tabs>
        <w:rPr>
          <w:rFonts w:ascii="Palatino Linotype" w:hAnsi="Palatino Linotype"/>
          <w:color w:val="000000" w:themeColor="text1"/>
        </w:rPr>
      </w:pPr>
    </w:p>
    <w:p w14:paraId="7E684F49" w14:textId="77777777" w:rsidR="00824031" w:rsidRPr="000A4FCB" w:rsidRDefault="00824031" w:rsidP="00824031">
      <w:pPr>
        <w:tabs>
          <w:tab w:val="left" w:pos="3374"/>
        </w:tabs>
        <w:rPr>
          <w:rFonts w:ascii="Palatino Linotype" w:hAnsi="Palatino Linotype"/>
          <w:color w:val="000000" w:themeColor="text1"/>
        </w:rPr>
      </w:pPr>
    </w:p>
    <w:p w14:paraId="02B6A7EC" w14:textId="77777777" w:rsidR="00824031" w:rsidRPr="000A4FCB" w:rsidRDefault="00824031" w:rsidP="00824031">
      <w:pPr>
        <w:tabs>
          <w:tab w:val="left" w:pos="3374"/>
        </w:tabs>
        <w:rPr>
          <w:rFonts w:ascii="Palatino Linotype" w:hAnsi="Palatino Linotype"/>
          <w:color w:val="000000" w:themeColor="text1"/>
        </w:rPr>
      </w:pPr>
    </w:p>
    <w:p w14:paraId="3454BAB6" w14:textId="77777777" w:rsidR="00824031" w:rsidRPr="000A4FCB" w:rsidRDefault="00824031" w:rsidP="00824031"/>
    <w:p w14:paraId="318BB7E1" w14:textId="77777777" w:rsidR="0058200B" w:rsidRPr="000A4FCB" w:rsidRDefault="0058200B"/>
    <w:sectPr w:rsidR="0058200B" w:rsidRPr="000A4FCB" w:rsidSect="000A4FCB">
      <w:headerReference w:type="even" r:id="rId8"/>
      <w:headerReference w:type="default" r:id="rId9"/>
      <w:footerReference w:type="default" r:id="rId10"/>
      <w:headerReference w:type="first" r:id="rId11"/>
      <w:footerReference w:type="first" r:id="rId12"/>
      <w:pgSz w:w="12240" w:h="15840"/>
      <w:pgMar w:top="2268" w:right="900" w:bottom="1843"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B0DF" w14:textId="77777777" w:rsidR="008F0E6D" w:rsidRDefault="008F0E6D" w:rsidP="00824031">
      <w:r>
        <w:separator/>
      </w:r>
    </w:p>
  </w:endnote>
  <w:endnote w:type="continuationSeparator" w:id="0">
    <w:p w14:paraId="5113F117" w14:textId="77777777" w:rsidR="008F0E6D" w:rsidRDefault="008F0E6D" w:rsidP="0082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B2817EE" w14:textId="77777777" w:rsidR="0073137D" w:rsidRPr="002D6DD8" w:rsidRDefault="0073137D" w:rsidP="00CD2E5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2DA6">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22DA6">
              <w:rPr>
                <w:rFonts w:ascii="Palatino Linotype" w:hAnsi="Palatino Linotype"/>
                <w:bCs/>
                <w:noProof/>
                <w:sz w:val="20"/>
              </w:rPr>
              <w:t>22</w:t>
            </w:r>
            <w:r>
              <w:rPr>
                <w:rFonts w:ascii="Palatino Linotype" w:hAnsi="Palatino Linotype"/>
                <w:bCs/>
                <w:noProof/>
                <w:sz w:val="20"/>
              </w:rPr>
              <w:fldChar w:fldCharType="end"/>
            </w:r>
          </w:p>
        </w:sdtContent>
      </w:sdt>
    </w:sdtContent>
  </w:sdt>
  <w:p w14:paraId="6C2AB8DC" w14:textId="77777777" w:rsidR="0073137D" w:rsidRDefault="007313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915B" w14:textId="77777777" w:rsidR="0073137D" w:rsidRPr="000B69FA" w:rsidRDefault="0073137D" w:rsidP="00CD2E5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2DA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22DA6">
      <w:rPr>
        <w:rFonts w:ascii="Palatino Linotype" w:hAnsi="Palatino Linotype"/>
        <w:bCs/>
        <w:noProof/>
        <w:sz w:val="20"/>
      </w:rPr>
      <w:t>22</w:t>
    </w:r>
    <w:r>
      <w:rPr>
        <w:rFonts w:ascii="Palatino Linotype" w:hAnsi="Palatino Linotype"/>
        <w:bCs/>
        <w:noProof/>
        <w:sz w:val="20"/>
      </w:rPr>
      <w:fldChar w:fldCharType="end"/>
    </w:r>
  </w:p>
  <w:p w14:paraId="54692720" w14:textId="77777777" w:rsidR="0073137D" w:rsidRDefault="00731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CEEF" w14:textId="77777777" w:rsidR="008F0E6D" w:rsidRDefault="008F0E6D" w:rsidP="00824031">
      <w:r>
        <w:separator/>
      </w:r>
    </w:p>
  </w:footnote>
  <w:footnote w:type="continuationSeparator" w:id="0">
    <w:p w14:paraId="26193301" w14:textId="77777777" w:rsidR="008F0E6D" w:rsidRDefault="008F0E6D" w:rsidP="0082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8503" w14:textId="77777777" w:rsidR="0073137D" w:rsidRDefault="008F0E6D">
    <w:pPr>
      <w:pStyle w:val="Encabezado"/>
    </w:pPr>
    <w:r>
      <w:rPr>
        <w:noProof/>
        <w:lang w:eastAsia="es-MX"/>
      </w:rPr>
      <w:pict w14:anchorId="7B812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3119" w:type="dxa"/>
      <w:tblCellMar>
        <w:left w:w="70" w:type="dxa"/>
        <w:right w:w="70" w:type="dxa"/>
      </w:tblCellMar>
      <w:tblLook w:val="04A0" w:firstRow="1" w:lastRow="0" w:firstColumn="1" w:lastColumn="0" w:noHBand="0" w:noVBand="1"/>
    </w:tblPr>
    <w:tblGrid>
      <w:gridCol w:w="2976"/>
      <w:gridCol w:w="3543"/>
    </w:tblGrid>
    <w:tr w:rsidR="0073137D" w:rsidRPr="00824031" w14:paraId="42A3BC88" w14:textId="77777777" w:rsidTr="000A4FCB">
      <w:trPr>
        <w:trHeight w:val="227"/>
      </w:trPr>
      <w:tc>
        <w:tcPr>
          <w:tcW w:w="2976" w:type="dxa"/>
          <w:vAlign w:val="center"/>
          <w:hideMark/>
        </w:tcPr>
        <w:p w14:paraId="77FADF5E" w14:textId="77777777" w:rsidR="0073137D" w:rsidRPr="00824031" w:rsidRDefault="0073137D" w:rsidP="00CD2E55">
          <w:pPr>
            <w:ind w:right="34"/>
            <w:jc w:val="right"/>
            <w:rPr>
              <w:rFonts w:ascii="Palatino Linotype" w:hAnsi="Palatino Linotype"/>
              <w:b/>
              <w:sz w:val="22"/>
              <w:szCs w:val="22"/>
            </w:rPr>
          </w:pPr>
          <w:r w:rsidRPr="00824031">
            <w:rPr>
              <w:rFonts w:ascii="Palatino Linotype" w:hAnsi="Palatino Linotype"/>
              <w:b/>
              <w:sz w:val="22"/>
              <w:szCs w:val="22"/>
            </w:rPr>
            <w:t>Recurso de Revisión:</w:t>
          </w:r>
        </w:p>
      </w:tc>
      <w:tc>
        <w:tcPr>
          <w:tcW w:w="3543" w:type="dxa"/>
          <w:vAlign w:val="center"/>
          <w:hideMark/>
        </w:tcPr>
        <w:p w14:paraId="6E580AD0" w14:textId="77777777" w:rsidR="0073137D" w:rsidRPr="000A4FCB" w:rsidRDefault="0073137D" w:rsidP="000A4FCB">
          <w:pPr>
            <w:pStyle w:val="Encabezado"/>
            <w:rPr>
              <w:rFonts w:ascii="Palatino Linotype" w:hAnsi="Palatino Linotype"/>
              <w:sz w:val="22"/>
              <w:szCs w:val="22"/>
            </w:rPr>
          </w:pPr>
          <w:r w:rsidRPr="000A4FCB">
            <w:rPr>
              <w:rFonts w:ascii="Palatino Linotype" w:hAnsi="Palatino Linotype"/>
              <w:sz w:val="22"/>
              <w:szCs w:val="22"/>
            </w:rPr>
            <w:t>01243/INFOEM/IP/RR/2024</w:t>
          </w:r>
        </w:p>
      </w:tc>
    </w:tr>
    <w:tr w:rsidR="0073137D" w:rsidRPr="00824031" w14:paraId="5C63BBAE" w14:textId="77777777" w:rsidTr="000A4FCB">
      <w:trPr>
        <w:trHeight w:val="242"/>
      </w:trPr>
      <w:tc>
        <w:tcPr>
          <w:tcW w:w="2976" w:type="dxa"/>
          <w:vAlign w:val="center"/>
          <w:hideMark/>
        </w:tcPr>
        <w:p w14:paraId="1E8487B2" w14:textId="77777777" w:rsidR="0073137D" w:rsidRPr="00824031" w:rsidRDefault="0073137D" w:rsidP="00CD2E55">
          <w:pPr>
            <w:ind w:right="34"/>
            <w:jc w:val="right"/>
            <w:rPr>
              <w:rFonts w:ascii="Palatino Linotype" w:hAnsi="Palatino Linotype"/>
              <w:b/>
              <w:sz w:val="22"/>
              <w:szCs w:val="22"/>
            </w:rPr>
          </w:pPr>
          <w:r w:rsidRPr="00824031">
            <w:rPr>
              <w:rFonts w:ascii="Palatino Linotype" w:hAnsi="Palatino Linotype"/>
              <w:b/>
              <w:sz w:val="22"/>
              <w:szCs w:val="22"/>
            </w:rPr>
            <w:t>Sujeto Obligado:</w:t>
          </w:r>
        </w:p>
      </w:tc>
      <w:tc>
        <w:tcPr>
          <w:tcW w:w="3543" w:type="dxa"/>
          <w:vAlign w:val="center"/>
          <w:hideMark/>
        </w:tcPr>
        <w:p w14:paraId="5D568CC8" w14:textId="77777777" w:rsidR="0073137D" w:rsidRPr="000A4FCB" w:rsidRDefault="0073137D" w:rsidP="000A4FCB">
          <w:pPr>
            <w:pStyle w:val="Encabezado"/>
            <w:rPr>
              <w:rFonts w:ascii="Palatino Linotype" w:hAnsi="Palatino Linotype"/>
              <w:sz w:val="22"/>
              <w:szCs w:val="22"/>
            </w:rPr>
          </w:pPr>
          <w:r w:rsidRPr="000A4FCB">
            <w:rPr>
              <w:rFonts w:ascii="Palatino Linotype" w:eastAsia="Times New Roman" w:hAnsi="Palatino Linotype" w:cs="Arial"/>
              <w:bCs/>
              <w:color w:val="000000"/>
              <w:sz w:val="22"/>
              <w:szCs w:val="22"/>
            </w:rPr>
            <w:t>Instituto de Seguridad Social del Estado de México y Municipios</w:t>
          </w:r>
        </w:p>
      </w:tc>
    </w:tr>
    <w:tr w:rsidR="0073137D" w:rsidRPr="00824031" w14:paraId="0F96FFD9" w14:textId="77777777" w:rsidTr="000A4FCB">
      <w:trPr>
        <w:trHeight w:val="342"/>
      </w:trPr>
      <w:tc>
        <w:tcPr>
          <w:tcW w:w="2976" w:type="dxa"/>
          <w:vAlign w:val="center"/>
          <w:hideMark/>
        </w:tcPr>
        <w:p w14:paraId="7923F90B" w14:textId="77777777" w:rsidR="0073137D" w:rsidRPr="00824031" w:rsidRDefault="0073137D" w:rsidP="00CD2E55">
          <w:pPr>
            <w:ind w:right="34"/>
            <w:jc w:val="right"/>
            <w:rPr>
              <w:rFonts w:ascii="Palatino Linotype" w:hAnsi="Palatino Linotype"/>
              <w:b/>
              <w:sz w:val="22"/>
              <w:szCs w:val="22"/>
            </w:rPr>
          </w:pPr>
          <w:r w:rsidRPr="00824031">
            <w:rPr>
              <w:rFonts w:ascii="Palatino Linotype" w:hAnsi="Palatino Linotype"/>
              <w:b/>
              <w:sz w:val="22"/>
              <w:szCs w:val="22"/>
            </w:rPr>
            <w:t>Comisionada Ponente:</w:t>
          </w:r>
        </w:p>
      </w:tc>
      <w:tc>
        <w:tcPr>
          <w:tcW w:w="3543" w:type="dxa"/>
          <w:vAlign w:val="center"/>
          <w:hideMark/>
        </w:tcPr>
        <w:p w14:paraId="74161E58" w14:textId="77777777" w:rsidR="0073137D" w:rsidRPr="000A4FCB" w:rsidRDefault="0073137D" w:rsidP="000A4FCB">
          <w:pPr>
            <w:pStyle w:val="Encabezado"/>
            <w:rPr>
              <w:rFonts w:ascii="Palatino Linotype" w:hAnsi="Palatino Linotype"/>
              <w:sz w:val="22"/>
              <w:szCs w:val="22"/>
            </w:rPr>
          </w:pPr>
          <w:r w:rsidRPr="000A4FCB">
            <w:rPr>
              <w:rFonts w:ascii="Palatino Linotype" w:eastAsia="Times New Roman" w:hAnsi="Palatino Linotype" w:cs="Arial"/>
              <w:color w:val="000000"/>
              <w:sz w:val="22"/>
              <w:szCs w:val="22"/>
              <w:lang w:val="es-MX"/>
            </w:rPr>
            <w:t>María del Rosario Mejía Ayala</w:t>
          </w:r>
        </w:p>
      </w:tc>
    </w:tr>
  </w:tbl>
  <w:p w14:paraId="2EE1CE46" w14:textId="77777777" w:rsidR="0073137D" w:rsidRPr="00AE046A" w:rsidRDefault="008F0E6D" w:rsidP="00CD2E55">
    <w:pPr>
      <w:pStyle w:val="Encabezado"/>
      <w:tabs>
        <w:tab w:val="clear" w:pos="4419"/>
        <w:tab w:val="clear" w:pos="8838"/>
        <w:tab w:val="left" w:pos="6005"/>
      </w:tabs>
      <w:rPr>
        <w:sz w:val="14"/>
      </w:rPr>
    </w:pPr>
    <w:r>
      <w:rPr>
        <w:noProof/>
        <w:sz w:val="14"/>
        <w:lang w:eastAsia="es-MX"/>
      </w:rPr>
      <w:pict w14:anchorId="248B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75pt;margin-top:-113.2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3119" w:type="dxa"/>
      <w:tblCellMar>
        <w:left w:w="70" w:type="dxa"/>
        <w:right w:w="70" w:type="dxa"/>
      </w:tblCellMar>
      <w:tblLook w:val="04A0" w:firstRow="1" w:lastRow="0" w:firstColumn="1" w:lastColumn="0" w:noHBand="0" w:noVBand="1"/>
    </w:tblPr>
    <w:tblGrid>
      <w:gridCol w:w="2977"/>
      <w:gridCol w:w="3684"/>
    </w:tblGrid>
    <w:tr w:rsidR="0073137D" w:rsidRPr="00824031" w14:paraId="1D436D29" w14:textId="77777777" w:rsidTr="000A4FCB">
      <w:trPr>
        <w:trHeight w:val="227"/>
      </w:trPr>
      <w:tc>
        <w:tcPr>
          <w:tcW w:w="2977" w:type="dxa"/>
          <w:vAlign w:val="center"/>
          <w:hideMark/>
        </w:tcPr>
        <w:p w14:paraId="0AB28780" w14:textId="77777777" w:rsidR="0073137D" w:rsidRPr="00824031" w:rsidRDefault="0073137D" w:rsidP="00CD2E55">
          <w:pPr>
            <w:jc w:val="right"/>
            <w:rPr>
              <w:rFonts w:ascii="Palatino Linotype" w:hAnsi="Palatino Linotype"/>
              <w:b/>
              <w:sz w:val="22"/>
              <w:szCs w:val="22"/>
            </w:rPr>
          </w:pPr>
          <w:r w:rsidRPr="00824031">
            <w:rPr>
              <w:rFonts w:ascii="Palatino Linotype" w:hAnsi="Palatino Linotype"/>
              <w:b/>
              <w:sz w:val="22"/>
              <w:szCs w:val="22"/>
            </w:rPr>
            <w:t>Recurso de Revisión:</w:t>
          </w:r>
        </w:p>
      </w:tc>
      <w:tc>
        <w:tcPr>
          <w:tcW w:w="3684" w:type="dxa"/>
          <w:vAlign w:val="center"/>
          <w:hideMark/>
        </w:tcPr>
        <w:p w14:paraId="7E04E7F4" w14:textId="77777777" w:rsidR="0073137D" w:rsidRPr="000A4FCB" w:rsidRDefault="0073137D" w:rsidP="000A4FCB">
          <w:pPr>
            <w:pStyle w:val="Encabezado"/>
            <w:tabs>
              <w:tab w:val="clear" w:pos="4419"/>
            </w:tabs>
            <w:rPr>
              <w:rFonts w:ascii="Palatino Linotype" w:hAnsi="Palatino Linotype"/>
              <w:sz w:val="22"/>
              <w:szCs w:val="22"/>
            </w:rPr>
          </w:pPr>
          <w:r w:rsidRPr="000A4FCB">
            <w:rPr>
              <w:rFonts w:ascii="Palatino Linotype" w:hAnsi="Palatino Linotype"/>
              <w:sz w:val="22"/>
              <w:szCs w:val="22"/>
            </w:rPr>
            <w:t>01243/INFOEM/IP/RR/2024</w:t>
          </w:r>
        </w:p>
      </w:tc>
    </w:tr>
    <w:tr w:rsidR="0073137D" w:rsidRPr="00824031" w14:paraId="3C2068F8" w14:textId="77777777" w:rsidTr="000A4FCB">
      <w:trPr>
        <w:trHeight w:val="242"/>
      </w:trPr>
      <w:tc>
        <w:tcPr>
          <w:tcW w:w="2977" w:type="dxa"/>
          <w:vAlign w:val="center"/>
          <w:hideMark/>
        </w:tcPr>
        <w:p w14:paraId="3EBF7890" w14:textId="77777777" w:rsidR="0073137D" w:rsidRPr="00824031" w:rsidRDefault="0073137D" w:rsidP="00CD2E55">
          <w:pPr>
            <w:jc w:val="right"/>
            <w:rPr>
              <w:rFonts w:ascii="Palatino Linotype" w:hAnsi="Palatino Linotype"/>
              <w:b/>
              <w:sz w:val="22"/>
              <w:szCs w:val="22"/>
            </w:rPr>
          </w:pPr>
          <w:r w:rsidRPr="00824031">
            <w:rPr>
              <w:rFonts w:ascii="Palatino Linotype" w:hAnsi="Palatino Linotype"/>
              <w:b/>
              <w:sz w:val="22"/>
              <w:szCs w:val="22"/>
            </w:rPr>
            <w:t>Recurrente:</w:t>
          </w:r>
        </w:p>
      </w:tc>
      <w:tc>
        <w:tcPr>
          <w:tcW w:w="3684" w:type="dxa"/>
          <w:hideMark/>
        </w:tcPr>
        <w:p w14:paraId="52810EC4" w14:textId="585C6444" w:rsidR="0073137D" w:rsidRPr="000A4FCB" w:rsidRDefault="0073137D" w:rsidP="000A4FCB">
          <w:pPr>
            <w:pStyle w:val="Encabezado"/>
            <w:tabs>
              <w:tab w:val="clear" w:pos="4419"/>
              <w:tab w:val="left" w:pos="521"/>
            </w:tabs>
            <w:rPr>
              <w:rFonts w:ascii="Palatino Linotype" w:hAnsi="Palatino Linotype"/>
              <w:sz w:val="22"/>
              <w:szCs w:val="22"/>
            </w:rPr>
          </w:pPr>
          <w:r w:rsidRPr="000A4FCB">
            <w:rPr>
              <w:rFonts w:ascii="Palatino Linotype" w:hAnsi="Palatino Linotype"/>
              <w:bCs/>
              <w:sz w:val="22"/>
              <w:szCs w:val="22"/>
            </w:rPr>
            <w:t> </w:t>
          </w:r>
          <w:r w:rsidR="00BF06D0">
            <w:rPr>
              <w:rFonts w:ascii="Palatino Linotype" w:hAnsi="Palatino Linotype"/>
              <w:bCs/>
              <w:sz w:val="22"/>
              <w:szCs w:val="22"/>
            </w:rPr>
            <w:t xml:space="preserve">XXX </w:t>
          </w:r>
          <w:proofErr w:type="spellStart"/>
          <w:r w:rsidR="00BF06D0">
            <w:rPr>
              <w:rFonts w:ascii="Palatino Linotype" w:hAnsi="Palatino Linotype"/>
              <w:bCs/>
              <w:sz w:val="22"/>
              <w:szCs w:val="22"/>
            </w:rPr>
            <w:t>XXX</w:t>
          </w:r>
          <w:proofErr w:type="spellEnd"/>
        </w:p>
      </w:tc>
    </w:tr>
    <w:tr w:rsidR="0073137D" w:rsidRPr="00824031" w14:paraId="5FC4C4F8" w14:textId="77777777" w:rsidTr="000A4FCB">
      <w:trPr>
        <w:trHeight w:val="342"/>
      </w:trPr>
      <w:tc>
        <w:tcPr>
          <w:tcW w:w="2977" w:type="dxa"/>
          <w:vAlign w:val="center"/>
        </w:tcPr>
        <w:p w14:paraId="4267BDEC" w14:textId="77777777" w:rsidR="0073137D" w:rsidRPr="00824031" w:rsidRDefault="0073137D" w:rsidP="00CD2E55">
          <w:pPr>
            <w:jc w:val="right"/>
            <w:rPr>
              <w:rFonts w:ascii="Palatino Linotype" w:hAnsi="Palatino Linotype"/>
              <w:b/>
              <w:sz w:val="22"/>
              <w:szCs w:val="22"/>
            </w:rPr>
          </w:pPr>
          <w:r w:rsidRPr="00824031">
            <w:rPr>
              <w:rFonts w:ascii="Palatino Linotype" w:hAnsi="Palatino Linotype"/>
              <w:b/>
              <w:sz w:val="22"/>
              <w:szCs w:val="22"/>
            </w:rPr>
            <w:t>Sujeto Obligado:</w:t>
          </w:r>
        </w:p>
      </w:tc>
      <w:tc>
        <w:tcPr>
          <w:tcW w:w="3684" w:type="dxa"/>
          <w:vAlign w:val="center"/>
        </w:tcPr>
        <w:p w14:paraId="20EDD9AF" w14:textId="77777777" w:rsidR="0073137D" w:rsidRPr="000A4FCB" w:rsidRDefault="0073137D" w:rsidP="000A4FCB">
          <w:pPr>
            <w:pStyle w:val="Encabezado"/>
            <w:tabs>
              <w:tab w:val="clear" w:pos="4419"/>
            </w:tabs>
            <w:rPr>
              <w:rFonts w:ascii="Palatino Linotype" w:hAnsi="Palatino Linotype"/>
              <w:sz w:val="22"/>
              <w:szCs w:val="22"/>
            </w:rPr>
          </w:pPr>
          <w:r w:rsidRPr="000A4FCB">
            <w:rPr>
              <w:rFonts w:ascii="Palatino Linotype" w:hAnsi="Palatino Linotype"/>
              <w:bCs/>
              <w:sz w:val="22"/>
              <w:szCs w:val="22"/>
            </w:rPr>
            <w:t>Instituto de Seguridad Social del Estado de México y Municipios</w:t>
          </w:r>
        </w:p>
      </w:tc>
    </w:tr>
    <w:tr w:rsidR="0073137D" w:rsidRPr="00824031" w14:paraId="79F665C2" w14:textId="77777777" w:rsidTr="000A4FCB">
      <w:trPr>
        <w:trHeight w:val="342"/>
      </w:trPr>
      <w:tc>
        <w:tcPr>
          <w:tcW w:w="2977" w:type="dxa"/>
          <w:vAlign w:val="center"/>
        </w:tcPr>
        <w:p w14:paraId="1AC5595A" w14:textId="77777777" w:rsidR="0073137D" w:rsidRPr="00824031" w:rsidRDefault="0073137D" w:rsidP="00CD2E55">
          <w:pPr>
            <w:jc w:val="right"/>
            <w:rPr>
              <w:rFonts w:ascii="Palatino Linotype" w:hAnsi="Palatino Linotype"/>
              <w:b/>
              <w:sz w:val="22"/>
              <w:szCs w:val="22"/>
            </w:rPr>
          </w:pPr>
          <w:r w:rsidRPr="00824031">
            <w:rPr>
              <w:rFonts w:ascii="Palatino Linotype" w:hAnsi="Palatino Linotype"/>
              <w:b/>
              <w:sz w:val="22"/>
              <w:szCs w:val="22"/>
            </w:rPr>
            <w:t>Comisionada Ponente:</w:t>
          </w:r>
        </w:p>
      </w:tc>
      <w:tc>
        <w:tcPr>
          <w:tcW w:w="3684" w:type="dxa"/>
          <w:vAlign w:val="center"/>
        </w:tcPr>
        <w:p w14:paraId="2001A3D2" w14:textId="77777777" w:rsidR="0073137D" w:rsidRPr="000A4FCB" w:rsidRDefault="0073137D" w:rsidP="000A4FCB">
          <w:pPr>
            <w:pStyle w:val="Encabezado"/>
            <w:tabs>
              <w:tab w:val="clear" w:pos="4419"/>
            </w:tabs>
            <w:rPr>
              <w:rFonts w:ascii="Palatino Linotype" w:hAnsi="Palatino Linotype"/>
              <w:sz w:val="22"/>
              <w:szCs w:val="22"/>
            </w:rPr>
          </w:pPr>
          <w:r w:rsidRPr="000A4FCB">
            <w:rPr>
              <w:rFonts w:ascii="Palatino Linotype" w:hAnsi="Palatino Linotype"/>
              <w:sz w:val="22"/>
              <w:szCs w:val="22"/>
            </w:rPr>
            <w:t>María del Rosario Mejía Ayala</w:t>
          </w:r>
        </w:p>
      </w:tc>
    </w:tr>
  </w:tbl>
  <w:p w14:paraId="7CAAC5B3" w14:textId="77777777" w:rsidR="0073137D" w:rsidRPr="00C222C0" w:rsidRDefault="008F0E6D">
    <w:pPr>
      <w:pStyle w:val="Encabezado"/>
      <w:rPr>
        <w:sz w:val="16"/>
      </w:rPr>
    </w:pPr>
    <w:r>
      <w:rPr>
        <w:noProof/>
        <w:sz w:val="16"/>
        <w:lang w:eastAsia="es-MX"/>
      </w:rPr>
      <w:pict w14:anchorId="2708F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2F1B34"/>
    <w:multiLevelType w:val="hybridMultilevel"/>
    <w:tmpl w:val="5FC47EC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649408338">
    <w:abstractNumId w:val="1"/>
  </w:num>
  <w:num w:numId="2" w16cid:durableId="1736002717">
    <w:abstractNumId w:val="0"/>
  </w:num>
  <w:num w:numId="3" w16cid:durableId="1313681444">
    <w:abstractNumId w:val="3"/>
  </w:num>
  <w:num w:numId="4" w16cid:durableId="2096049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31"/>
    <w:rsid w:val="000A4FCB"/>
    <w:rsid w:val="000C5CED"/>
    <w:rsid w:val="000F2F98"/>
    <w:rsid w:val="001322CC"/>
    <w:rsid w:val="001B26D9"/>
    <w:rsid w:val="00207290"/>
    <w:rsid w:val="00322DA6"/>
    <w:rsid w:val="00342F89"/>
    <w:rsid w:val="003A2409"/>
    <w:rsid w:val="004317CD"/>
    <w:rsid w:val="004E5213"/>
    <w:rsid w:val="0058200B"/>
    <w:rsid w:val="005F0C41"/>
    <w:rsid w:val="005F5771"/>
    <w:rsid w:val="007033D3"/>
    <w:rsid w:val="007253A1"/>
    <w:rsid w:val="0073137D"/>
    <w:rsid w:val="0079055B"/>
    <w:rsid w:val="00824031"/>
    <w:rsid w:val="00891D45"/>
    <w:rsid w:val="008A67AE"/>
    <w:rsid w:val="008F0E6D"/>
    <w:rsid w:val="00AC015B"/>
    <w:rsid w:val="00B14179"/>
    <w:rsid w:val="00BF06D0"/>
    <w:rsid w:val="00C949B0"/>
    <w:rsid w:val="00CD2E55"/>
    <w:rsid w:val="00E409CB"/>
    <w:rsid w:val="00F01202"/>
    <w:rsid w:val="00F722C6"/>
    <w:rsid w:val="00FC3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6CE7"/>
  <w15:chartTrackingRefBased/>
  <w15:docId w15:val="{D2C1F611-06D7-4CF4-AFF1-1A83948D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A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8240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2403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403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824031"/>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824031"/>
    <w:pPr>
      <w:tabs>
        <w:tab w:val="center" w:pos="4419"/>
        <w:tab w:val="right" w:pos="8838"/>
      </w:tabs>
    </w:pPr>
  </w:style>
  <w:style w:type="character" w:customStyle="1" w:styleId="EncabezadoCar">
    <w:name w:val="Encabezado Car"/>
    <w:basedOn w:val="Fuentedeprrafopredeter"/>
    <w:link w:val="Encabezado"/>
    <w:uiPriority w:val="99"/>
    <w:rsid w:val="00824031"/>
    <w:rPr>
      <w:rFonts w:eastAsiaTheme="minorEastAsia"/>
      <w:sz w:val="24"/>
      <w:szCs w:val="24"/>
      <w:lang w:val="es-ES_tradnl" w:eastAsia="es-ES"/>
    </w:rPr>
  </w:style>
  <w:style w:type="paragraph" w:styleId="Piedepgina">
    <w:name w:val="footer"/>
    <w:basedOn w:val="Normal"/>
    <w:link w:val="PiedepginaCar"/>
    <w:uiPriority w:val="99"/>
    <w:unhideWhenUsed/>
    <w:rsid w:val="00824031"/>
    <w:pPr>
      <w:tabs>
        <w:tab w:val="center" w:pos="4419"/>
        <w:tab w:val="right" w:pos="8838"/>
      </w:tabs>
    </w:pPr>
  </w:style>
  <w:style w:type="character" w:customStyle="1" w:styleId="PiedepginaCar">
    <w:name w:val="Pie de página Car"/>
    <w:basedOn w:val="Fuentedeprrafopredeter"/>
    <w:link w:val="Piedepgina"/>
    <w:uiPriority w:val="99"/>
    <w:rsid w:val="0082403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2403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24031"/>
    <w:rPr>
      <w:rFonts w:eastAsiaTheme="minorEastAsia"/>
      <w:sz w:val="24"/>
      <w:szCs w:val="24"/>
      <w:lang w:val="es-ES_tradnl" w:eastAsia="es-ES"/>
    </w:rPr>
  </w:style>
  <w:style w:type="character" w:styleId="Hipervnculo">
    <w:name w:val="Hyperlink"/>
    <w:basedOn w:val="Fuentedeprrafopredeter"/>
    <w:uiPriority w:val="99"/>
    <w:unhideWhenUsed/>
    <w:rsid w:val="00824031"/>
    <w:rPr>
      <w:color w:val="0563C1" w:themeColor="hyperlink"/>
      <w:u w:val="single"/>
    </w:rPr>
  </w:style>
  <w:style w:type="character" w:styleId="Referenciasutil">
    <w:name w:val="Subtle Reference"/>
    <w:basedOn w:val="Fuentedeprrafopredeter"/>
    <w:uiPriority w:val="31"/>
    <w:qFormat/>
    <w:rsid w:val="0020729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22</Pages>
  <Words>5716</Words>
  <Characters>31441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7</cp:revision>
  <dcterms:created xsi:type="dcterms:W3CDTF">2024-09-10T01:51:00Z</dcterms:created>
  <dcterms:modified xsi:type="dcterms:W3CDTF">2024-10-09T19:32:00Z</dcterms:modified>
</cp:coreProperties>
</file>