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559974323"/>
        <w:docPartObj>
          <w:docPartGallery w:val="Table of Contents"/>
          <w:docPartUnique/>
        </w:docPartObj>
      </w:sdtPr>
      <w:sdtEndPr>
        <w:rPr>
          <w:b/>
          <w:bCs/>
        </w:rPr>
      </w:sdtEndPr>
      <w:sdtContent>
        <w:p w14:paraId="5318DAC8" w14:textId="77777777" w:rsidR="002A399C" w:rsidRPr="008A238D" w:rsidRDefault="002A399C" w:rsidP="008A238D">
          <w:pPr>
            <w:pStyle w:val="TtulodeTDC"/>
            <w:rPr>
              <w:color w:val="auto"/>
            </w:rPr>
          </w:pPr>
          <w:r w:rsidRPr="008A238D">
            <w:rPr>
              <w:color w:val="auto"/>
              <w:lang w:val="es-ES"/>
            </w:rPr>
            <w:t>Contenido</w:t>
          </w:r>
        </w:p>
        <w:p w14:paraId="7B8E14E7" w14:textId="77777777" w:rsidR="008A238D" w:rsidRPr="008A238D" w:rsidRDefault="002A399C" w:rsidP="008A238D">
          <w:pPr>
            <w:pStyle w:val="TDC1"/>
            <w:tabs>
              <w:tab w:val="right" w:leader="dot" w:pos="9034"/>
            </w:tabs>
            <w:rPr>
              <w:rFonts w:asciiTheme="minorHAnsi" w:eastAsiaTheme="minorEastAsia" w:hAnsiTheme="minorHAnsi" w:cstheme="minorBidi"/>
              <w:noProof/>
              <w:szCs w:val="22"/>
              <w:lang w:eastAsia="es-MX"/>
            </w:rPr>
          </w:pPr>
          <w:r w:rsidRPr="008A238D">
            <w:rPr>
              <w:b/>
              <w:bCs/>
              <w:lang w:val="es-ES"/>
            </w:rPr>
            <w:fldChar w:fldCharType="begin"/>
          </w:r>
          <w:r w:rsidRPr="008A238D">
            <w:rPr>
              <w:b/>
              <w:bCs/>
              <w:lang w:val="es-ES"/>
            </w:rPr>
            <w:instrText xml:space="preserve"> TOC \o "1-3" \h \z \u </w:instrText>
          </w:r>
          <w:r w:rsidRPr="008A238D">
            <w:rPr>
              <w:b/>
              <w:bCs/>
              <w:lang w:val="es-ES"/>
            </w:rPr>
            <w:fldChar w:fldCharType="separate"/>
          </w:r>
          <w:hyperlink w:anchor="_Toc179394497" w:history="1">
            <w:r w:rsidR="008A238D" w:rsidRPr="008A238D">
              <w:rPr>
                <w:rStyle w:val="Hipervnculo"/>
                <w:rFonts w:eastAsiaTheme="majorEastAsia"/>
                <w:noProof/>
                <w:color w:val="auto"/>
              </w:rPr>
              <w:t>ANTECEDENTES</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_Toc179394497 \h </w:instrText>
            </w:r>
            <w:r w:rsidR="008A238D" w:rsidRPr="008A238D">
              <w:rPr>
                <w:noProof/>
                <w:webHidden/>
              </w:rPr>
            </w:r>
            <w:r w:rsidR="008A238D" w:rsidRPr="008A238D">
              <w:rPr>
                <w:noProof/>
                <w:webHidden/>
              </w:rPr>
              <w:fldChar w:fldCharType="separate"/>
            </w:r>
            <w:r w:rsidR="00F054BA">
              <w:rPr>
                <w:noProof/>
                <w:webHidden/>
              </w:rPr>
              <w:t>1</w:t>
            </w:r>
            <w:r w:rsidR="008A238D" w:rsidRPr="008A238D">
              <w:rPr>
                <w:noProof/>
                <w:webHidden/>
              </w:rPr>
              <w:fldChar w:fldCharType="end"/>
            </w:r>
          </w:hyperlink>
        </w:p>
        <w:p w14:paraId="14C4D17D" w14:textId="77777777" w:rsidR="008A238D" w:rsidRPr="008A238D" w:rsidRDefault="00AE2224" w:rsidP="008A238D">
          <w:pPr>
            <w:pStyle w:val="TDC2"/>
            <w:rPr>
              <w:rFonts w:asciiTheme="minorHAnsi" w:eastAsiaTheme="minorEastAsia" w:hAnsiTheme="minorHAnsi" w:cstheme="minorBidi"/>
              <w:noProof/>
              <w:szCs w:val="22"/>
              <w:lang w:eastAsia="es-MX"/>
            </w:rPr>
          </w:pPr>
          <w:hyperlink w:anchor="_Toc179394498" w:history="1">
            <w:r w:rsidR="008A238D" w:rsidRPr="008A238D">
              <w:rPr>
                <w:rStyle w:val="Hipervnculo"/>
                <w:rFonts w:eastAsiaTheme="majorEastAsia"/>
                <w:noProof/>
                <w:color w:val="auto"/>
              </w:rPr>
              <w:t>DE LA SOLICITUD DE INFORMACIÓN</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_Toc179394498 \h </w:instrText>
            </w:r>
            <w:r w:rsidR="008A238D" w:rsidRPr="008A238D">
              <w:rPr>
                <w:noProof/>
                <w:webHidden/>
              </w:rPr>
            </w:r>
            <w:r w:rsidR="008A238D" w:rsidRPr="008A238D">
              <w:rPr>
                <w:noProof/>
                <w:webHidden/>
              </w:rPr>
              <w:fldChar w:fldCharType="separate"/>
            </w:r>
            <w:r w:rsidR="00F054BA">
              <w:rPr>
                <w:noProof/>
                <w:webHidden/>
              </w:rPr>
              <w:t>1</w:t>
            </w:r>
            <w:r w:rsidR="008A238D" w:rsidRPr="008A238D">
              <w:rPr>
                <w:noProof/>
                <w:webHidden/>
              </w:rPr>
              <w:fldChar w:fldCharType="end"/>
            </w:r>
          </w:hyperlink>
        </w:p>
        <w:p w14:paraId="5DA56DB8"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499" w:history="1">
            <w:r w:rsidR="008A238D" w:rsidRPr="008A238D">
              <w:rPr>
                <w:rStyle w:val="Hipervnculo"/>
                <w:rFonts w:eastAsiaTheme="majorEastAsia"/>
                <w:noProof/>
                <w:color w:val="auto"/>
              </w:rPr>
              <w:t>a) Solicitud de información.</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_Toc179394499 \h </w:instrText>
            </w:r>
            <w:r w:rsidR="008A238D" w:rsidRPr="008A238D">
              <w:rPr>
                <w:noProof/>
                <w:webHidden/>
              </w:rPr>
            </w:r>
            <w:r w:rsidR="008A238D" w:rsidRPr="008A238D">
              <w:rPr>
                <w:noProof/>
                <w:webHidden/>
              </w:rPr>
              <w:fldChar w:fldCharType="separate"/>
            </w:r>
            <w:r w:rsidR="00F054BA">
              <w:rPr>
                <w:noProof/>
                <w:webHidden/>
              </w:rPr>
              <w:t>1</w:t>
            </w:r>
            <w:r w:rsidR="008A238D" w:rsidRPr="008A238D">
              <w:rPr>
                <w:noProof/>
                <w:webHidden/>
              </w:rPr>
              <w:fldChar w:fldCharType="end"/>
            </w:r>
          </w:hyperlink>
        </w:p>
        <w:p w14:paraId="2E6F065C"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00" w:history="1">
            <w:r w:rsidR="008A238D" w:rsidRPr="008A238D">
              <w:rPr>
                <w:rStyle w:val="Hipervnculo"/>
                <w:rFonts w:eastAsiaTheme="majorEastAsia"/>
                <w:noProof/>
                <w:color w:val="auto"/>
              </w:rPr>
              <w:t>b) Turno de la solicitud de información.</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_Toc179394500 \h </w:instrText>
            </w:r>
            <w:r w:rsidR="008A238D" w:rsidRPr="008A238D">
              <w:rPr>
                <w:noProof/>
                <w:webHidden/>
              </w:rPr>
            </w:r>
            <w:r w:rsidR="008A238D" w:rsidRPr="008A238D">
              <w:rPr>
                <w:noProof/>
                <w:webHidden/>
              </w:rPr>
              <w:fldChar w:fldCharType="separate"/>
            </w:r>
            <w:r w:rsidR="00F054BA">
              <w:rPr>
                <w:noProof/>
                <w:webHidden/>
              </w:rPr>
              <w:t>2</w:t>
            </w:r>
            <w:r w:rsidR="008A238D" w:rsidRPr="008A238D">
              <w:rPr>
                <w:noProof/>
                <w:webHidden/>
              </w:rPr>
              <w:fldChar w:fldCharType="end"/>
            </w:r>
          </w:hyperlink>
        </w:p>
        <w:p w14:paraId="7453BB14"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01" w:history="1">
            <w:r w:rsidR="008A238D" w:rsidRPr="008A238D">
              <w:rPr>
                <w:rStyle w:val="Hipervnculo"/>
                <w:rFonts w:eastAsiaTheme="majorEastAsia"/>
                <w:noProof/>
                <w:color w:val="auto"/>
              </w:rPr>
              <w:t>c) Respuesta del Sujeto Obligado.</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_Toc179394501 \h </w:instrText>
            </w:r>
            <w:r w:rsidR="008A238D" w:rsidRPr="008A238D">
              <w:rPr>
                <w:noProof/>
                <w:webHidden/>
              </w:rPr>
            </w:r>
            <w:r w:rsidR="008A238D" w:rsidRPr="008A238D">
              <w:rPr>
                <w:noProof/>
                <w:webHidden/>
              </w:rPr>
              <w:fldChar w:fldCharType="separate"/>
            </w:r>
            <w:r w:rsidR="00F054BA">
              <w:rPr>
                <w:noProof/>
                <w:webHidden/>
              </w:rPr>
              <w:t>3</w:t>
            </w:r>
            <w:r w:rsidR="008A238D" w:rsidRPr="008A238D">
              <w:rPr>
                <w:noProof/>
                <w:webHidden/>
              </w:rPr>
              <w:fldChar w:fldCharType="end"/>
            </w:r>
          </w:hyperlink>
        </w:p>
        <w:p w14:paraId="4B3CEF4B" w14:textId="77777777" w:rsidR="008A238D" w:rsidRPr="008A238D" w:rsidRDefault="00AE2224" w:rsidP="008A238D">
          <w:pPr>
            <w:pStyle w:val="TDC2"/>
            <w:rPr>
              <w:rFonts w:asciiTheme="minorHAnsi" w:eastAsiaTheme="minorEastAsia" w:hAnsiTheme="minorHAnsi" w:cstheme="minorBidi"/>
              <w:noProof/>
              <w:szCs w:val="22"/>
              <w:lang w:eastAsia="es-MX"/>
            </w:rPr>
          </w:pPr>
          <w:hyperlink w:anchor="_Toc179394502" w:history="1">
            <w:r w:rsidR="008A238D" w:rsidRPr="008A238D">
              <w:rPr>
                <w:rStyle w:val="Hipervnculo"/>
                <w:rFonts w:eastAsiaTheme="majorEastAsia"/>
                <w:noProof/>
                <w:color w:val="auto"/>
              </w:rPr>
              <w:t>DEL RECURSO DE REVISIÓN</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_Toc179394502 \h </w:instrText>
            </w:r>
            <w:r w:rsidR="008A238D" w:rsidRPr="008A238D">
              <w:rPr>
                <w:noProof/>
                <w:webHidden/>
              </w:rPr>
            </w:r>
            <w:r w:rsidR="008A238D" w:rsidRPr="008A238D">
              <w:rPr>
                <w:noProof/>
                <w:webHidden/>
              </w:rPr>
              <w:fldChar w:fldCharType="separate"/>
            </w:r>
            <w:r w:rsidR="00F054BA">
              <w:rPr>
                <w:noProof/>
                <w:webHidden/>
              </w:rPr>
              <w:t>4</w:t>
            </w:r>
            <w:r w:rsidR="008A238D" w:rsidRPr="008A238D">
              <w:rPr>
                <w:noProof/>
                <w:webHidden/>
              </w:rPr>
              <w:fldChar w:fldCharType="end"/>
            </w:r>
          </w:hyperlink>
        </w:p>
        <w:p w14:paraId="7BB4E1FD"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03" w:history="1">
            <w:r w:rsidR="008A238D" w:rsidRPr="008A238D">
              <w:rPr>
                <w:rStyle w:val="Hipervnculo"/>
                <w:rFonts w:eastAsiaTheme="majorEastAsia"/>
                <w:noProof/>
                <w:color w:val="auto"/>
              </w:rPr>
              <w:t>a) Interposición del Recurso de Revisión.</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_Toc179394503 \h </w:instrText>
            </w:r>
            <w:r w:rsidR="008A238D" w:rsidRPr="008A238D">
              <w:rPr>
                <w:noProof/>
                <w:webHidden/>
              </w:rPr>
            </w:r>
            <w:r w:rsidR="008A238D" w:rsidRPr="008A238D">
              <w:rPr>
                <w:noProof/>
                <w:webHidden/>
              </w:rPr>
              <w:fldChar w:fldCharType="separate"/>
            </w:r>
            <w:r w:rsidR="00F054BA">
              <w:rPr>
                <w:noProof/>
                <w:webHidden/>
              </w:rPr>
              <w:t>4</w:t>
            </w:r>
            <w:r w:rsidR="008A238D" w:rsidRPr="008A238D">
              <w:rPr>
                <w:noProof/>
                <w:webHidden/>
              </w:rPr>
              <w:fldChar w:fldCharType="end"/>
            </w:r>
          </w:hyperlink>
        </w:p>
        <w:p w14:paraId="654EADA1"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04" w:history="1">
            <w:r w:rsidR="008A238D" w:rsidRPr="008A238D">
              <w:rPr>
                <w:rStyle w:val="Hipervnculo"/>
                <w:rFonts w:eastAsiaTheme="majorEastAsia"/>
                <w:noProof/>
                <w:color w:val="auto"/>
              </w:rPr>
              <w:t>b) Turno del Recurso de Revisión.</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_Toc179394504 \h </w:instrText>
            </w:r>
            <w:r w:rsidR="008A238D" w:rsidRPr="008A238D">
              <w:rPr>
                <w:noProof/>
                <w:webHidden/>
              </w:rPr>
            </w:r>
            <w:r w:rsidR="008A238D" w:rsidRPr="008A238D">
              <w:rPr>
                <w:noProof/>
                <w:webHidden/>
              </w:rPr>
              <w:fldChar w:fldCharType="separate"/>
            </w:r>
            <w:r w:rsidR="00F054BA">
              <w:rPr>
                <w:noProof/>
                <w:webHidden/>
              </w:rPr>
              <w:t>4</w:t>
            </w:r>
            <w:r w:rsidR="008A238D" w:rsidRPr="008A238D">
              <w:rPr>
                <w:noProof/>
                <w:webHidden/>
              </w:rPr>
              <w:fldChar w:fldCharType="end"/>
            </w:r>
          </w:hyperlink>
        </w:p>
        <w:p w14:paraId="1667EA1C"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05" w:history="1">
            <w:r w:rsidR="008A238D" w:rsidRPr="008A238D">
              <w:rPr>
                <w:rStyle w:val="Hipervnculo"/>
                <w:rFonts w:eastAsiaTheme="majorEastAsia"/>
                <w:noProof/>
                <w:color w:val="auto"/>
              </w:rPr>
              <w:t>c) Admisión del Recurso de Revisión.</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_Toc179394505 \h </w:instrText>
            </w:r>
            <w:r w:rsidR="008A238D" w:rsidRPr="008A238D">
              <w:rPr>
                <w:noProof/>
                <w:webHidden/>
              </w:rPr>
            </w:r>
            <w:r w:rsidR="008A238D" w:rsidRPr="008A238D">
              <w:rPr>
                <w:noProof/>
                <w:webHidden/>
              </w:rPr>
              <w:fldChar w:fldCharType="separate"/>
            </w:r>
            <w:r w:rsidR="00F054BA">
              <w:rPr>
                <w:noProof/>
                <w:webHidden/>
              </w:rPr>
              <w:t>5</w:t>
            </w:r>
            <w:r w:rsidR="008A238D" w:rsidRPr="008A238D">
              <w:rPr>
                <w:noProof/>
                <w:webHidden/>
              </w:rPr>
              <w:fldChar w:fldCharType="end"/>
            </w:r>
          </w:hyperlink>
        </w:p>
        <w:p w14:paraId="2B8CE7E0"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06" w:history="1">
            <w:r w:rsidR="008A238D" w:rsidRPr="008A238D">
              <w:rPr>
                <w:rStyle w:val="Hipervnculo"/>
                <w:rFonts w:eastAsiaTheme="majorEastAsia"/>
                <w:noProof/>
                <w:color w:val="auto"/>
              </w:rPr>
              <w:t>d) Manifestaciones del Sujeto Obligado.</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_Toc179394506 \h </w:instrText>
            </w:r>
            <w:r w:rsidR="008A238D" w:rsidRPr="008A238D">
              <w:rPr>
                <w:noProof/>
                <w:webHidden/>
              </w:rPr>
            </w:r>
            <w:r w:rsidR="008A238D" w:rsidRPr="008A238D">
              <w:rPr>
                <w:noProof/>
                <w:webHidden/>
              </w:rPr>
              <w:fldChar w:fldCharType="separate"/>
            </w:r>
            <w:r w:rsidR="00F054BA">
              <w:rPr>
                <w:noProof/>
                <w:webHidden/>
              </w:rPr>
              <w:t>5</w:t>
            </w:r>
            <w:r w:rsidR="008A238D" w:rsidRPr="008A238D">
              <w:rPr>
                <w:noProof/>
                <w:webHidden/>
              </w:rPr>
              <w:fldChar w:fldCharType="end"/>
            </w:r>
          </w:hyperlink>
        </w:p>
        <w:p w14:paraId="57A83C96"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07" w:history="1">
            <w:r w:rsidR="008A238D" w:rsidRPr="008A238D">
              <w:rPr>
                <w:rStyle w:val="Hipervnculo"/>
                <w:rFonts w:eastAsiaTheme="majorEastAsia"/>
                <w:noProof/>
                <w:color w:val="auto"/>
              </w:rPr>
              <w:t>e) Manifestaciones de la Parte Recurrente.</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_Toc179394507 \h </w:instrText>
            </w:r>
            <w:r w:rsidR="008A238D" w:rsidRPr="008A238D">
              <w:rPr>
                <w:noProof/>
                <w:webHidden/>
              </w:rPr>
            </w:r>
            <w:r w:rsidR="008A238D" w:rsidRPr="008A238D">
              <w:rPr>
                <w:noProof/>
                <w:webHidden/>
              </w:rPr>
              <w:fldChar w:fldCharType="separate"/>
            </w:r>
            <w:r w:rsidR="00F054BA">
              <w:rPr>
                <w:noProof/>
                <w:webHidden/>
              </w:rPr>
              <w:t>6</w:t>
            </w:r>
            <w:r w:rsidR="008A238D" w:rsidRPr="008A238D">
              <w:rPr>
                <w:noProof/>
                <w:webHidden/>
              </w:rPr>
              <w:fldChar w:fldCharType="end"/>
            </w:r>
          </w:hyperlink>
        </w:p>
        <w:p w14:paraId="6C2939E1"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08" w:history="1">
            <w:r w:rsidR="008A238D" w:rsidRPr="008A238D">
              <w:rPr>
                <w:rStyle w:val="Hipervnculo"/>
                <w:rFonts w:eastAsiaTheme="majorEastAsia"/>
                <w:noProof/>
                <w:color w:val="auto"/>
              </w:rPr>
              <w:t>f) Cierre de instrucción.</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_Toc179394508 \h </w:instrText>
            </w:r>
            <w:r w:rsidR="008A238D" w:rsidRPr="008A238D">
              <w:rPr>
                <w:noProof/>
                <w:webHidden/>
              </w:rPr>
            </w:r>
            <w:r w:rsidR="008A238D" w:rsidRPr="008A238D">
              <w:rPr>
                <w:noProof/>
                <w:webHidden/>
              </w:rPr>
              <w:fldChar w:fldCharType="separate"/>
            </w:r>
            <w:r w:rsidR="00F054BA">
              <w:rPr>
                <w:noProof/>
                <w:webHidden/>
              </w:rPr>
              <w:t>6</w:t>
            </w:r>
            <w:r w:rsidR="008A238D" w:rsidRPr="008A238D">
              <w:rPr>
                <w:noProof/>
                <w:webHidden/>
              </w:rPr>
              <w:fldChar w:fldCharType="end"/>
            </w:r>
          </w:hyperlink>
        </w:p>
        <w:p w14:paraId="049E6274" w14:textId="77777777" w:rsidR="008A238D" w:rsidRPr="008A238D" w:rsidRDefault="00AE2224" w:rsidP="008A238D">
          <w:pPr>
            <w:pStyle w:val="TDC1"/>
            <w:tabs>
              <w:tab w:val="right" w:leader="dot" w:pos="9034"/>
            </w:tabs>
            <w:rPr>
              <w:rFonts w:asciiTheme="minorHAnsi" w:eastAsiaTheme="minorEastAsia" w:hAnsiTheme="minorHAnsi" w:cstheme="minorBidi"/>
              <w:noProof/>
              <w:szCs w:val="22"/>
              <w:lang w:eastAsia="es-MX"/>
            </w:rPr>
          </w:pPr>
          <w:hyperlink w:anchor="_Toc179394509" w:history="1">
            <w:r w:rsidR="008A238D" w:rsidRPr="008A238D">
              <w:rPr>
                <w:rStyle w:val="Hipervnculo"/>
                <w:rFonts w:eastAsiaTheme="majorEastAsia"/>
                <w:noProof/>
                <w:color w:val="auto"/>
              </w:rPr>
              <w:t>CONSIDERANDOS</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_Toc179394509 \h </w:instrText>
            </w:r>
            <w:r w:rsidR="008A238D" w:rsidRPr="008A238D">
              <w:rPr>
                <w:noProof/>
                <w:webHidden/>
              </w:rPr>
            </w:r>
            <w:r w:rsidR="008A238D" w:rsidRPr="008A238D">
              <w:rPr>
                <w:noProof/>
                <w:webHidden/>
              </w:rPr>
              <w:fldChar w:fldCharType="separate"/>
            </w:r>
            <w:r w:rsidR="00F054BA">
              <w:rPr>
                <w:noProof/>
                <w:webHidden/>
              </w:rPr>
              <w:t>6</w:t>
            </w:r>
            <w:r w:rsidR="008A238D" w:rsidRPr="008A238D">
              <w:rPr>
                <w:noProof/>
                <w:webHidden/>
              </w:rPr>
              <w:fldChar w:fldCharType="end"/>
            </w:r>
          </w:hyperlink>
        </w:p>
        <w:p w14:paraId="4B33BD67" w14:textId="77777777" w:rsidR="008A238D" w:rsidRPr="008A238D" w:rsidRDefault="00AE2224" w:rsidP="008A238D">
          <w:pPr>
            <w:pStyle w:val="TDC2"/>
            <w:rPr>
              <w:rFonts w:asciiTheme="minorHAnsi" w:eastAsiaTheme="minorEastAsia" w:hAnsiTheme="minorHAnsi" w:cstheme="minorBidi"/>
              <w:noProof/>
              <w:szCs w:val="22"/>
              <w:lang w:eastAsia="es-MX"/>
            </w:rPr>
          </w:pPr>
          <w:hyperlink w:anchor="_Toc179394510" w:history="1">
            <w:r w:rsidR="008A238D" w:rsidRPr="008A238D">
              <w:rPr>
                <w:rStyle w:val="Hipervnculo"/>
                <w:rFonts w:eastAsiaTheme="majorEastAsia"/>
                <w:noProof/>
                <w:color w:val="auto"/>
              </w:rPr>
              <w:t>PRIMERO. Procedibilidad</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_Toc179394510 \h </w:instrText>
            </w:r>
            <w:r w:rsidR="008A238D" w:rsidRPr="008A238D">
              <w:rPr>
                <w:noProof/>
                <w:webHidden/>
              </w:rPr>
            </w:r>
            <w:r w:rsidR="008A238D" w:rsidRPr="008A238D">
              <w:rPr>
                <w:noProof/>
                <w:webHidden/>
              </w:rPr>
              <w:fldChar w:fldCharType="separate"/>
            </w:r>
            <w:r w:rsidR="00F054BA">
              <w:rPr>
                <w:noProof/>
                <w:webHidden/>
              </w:rPr>
              <w:t>6</w:t>
            </w:r>
            <w:r w:rsidR="008A238D" w:rsidRPr="008A238D">
              <w:rPr>
                <w:noProof/>
                <w:webHidden/>
              </w:rPr>
              <w:fldChar w:fldCharType="end"/>
            </w:r>
          </w:hyperlink>
        </w:p>
        <w:p w14:paraId="1AF5FA47"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11" w:history="1">
            <w:r w:rsidR="008A238D" w:rsidRPr="008A238D">
              <w:rPr>
                <w:rStyle w:val="Hipervnculo"/>
                <w:rFonts w:eastAsiaTheme="majorEastAsia"/>
                <w:noProof/>
                <w:color w:val="auto"/>
              </w:rPr>
              <w:t>a) Competencia del Instituto.</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_Toc179394511 \h </w:instrText>
            </w:r>
            <w:r w:rsidR="008A238D" w:rsidRPr="008A238D">
              <w:rPr>
                <w:noProof/>
                <w:webHidden/>
              </w:rPr>
            </w:r>
            <w:r w:rsidR="008A238D" w:rsidRPr="008A238D">
              <w:rPr>
                <w:noProof/>
                <w:webHidden/>
              </w:rPr>
              <w:fldChar w:fldCharType="separate"/>
            </w:r>
            <w:r w:rsidR="00F054BA">
              <w:rPr>
                <w:noProof/>
                <w:webHidden/>
              </w:rPr>
              <w:t>6</w:t>
            </w:r>
            <w:r w:rsidR="008A238D" w:rsidRPr="008A238D">
              <w:rPr>
                <w:noProof/>
                <w:webHidden/>
              </w:rPr>
              <w:fldChar w:fldCharType="end"/>
            </w:r>
          </w:hyperlink>
        </w:p>
        <w:p w14:paraId="698F31CF"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12" w:history="1">
            <w:r w:rsidR="008A238D" w:rsidRPr="008A238D">
              <w:rPr>
                <w:rStyle w:val="Hipervnculo"/>
                <w:rFonts w:eastAsiaTheme="majorEastAsia"/>
                <w:noProof/>
                <w:color w:val="auto"/>
              </w:rPr>
              <w:t>b) Legitimidad de la parte recurrente.</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_Toc179394512 \h </w:instrText>
            </w:r>
            <w:r w:rsidR="008A238D" w:rsidRPr="008A238D">
              <w:rPr>
                <w:noProof/>
                <w:webHidden/>
              </w:rPr>
            </w:r>
            <w:r w:rsidR="008A238D" w:rsidRPr="008A238D">
              <w:rPr>
                <w:noProof/>
                <w:webHidden/>
              </w:rPr>
              <w:fldChar w:fldCharType="separate"/>
            </w:r>
            <w:r w:rsidR="00F054BA">
              <w:rPr>
                <w:noProof/>
                <w:webHidden/>
              </w:rPr>
              <w:t>7</w:t>
            </w:r>
            <w:r w:rsidR="008A238D" w:rsidRPr="008A238D">
              <w:rPr>
                <w:noProof/>
                <w:webHidden/>
              </w:rPr>
              <w:fldChar w:fldCharType="end"/>
            </w:r>
          </w:hyperlink>
        </w:p>
        <w:p w14:paraId="3576BEFF"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13" w:history="1">
            <w:r w:rsidR="008A238D" w:rsidRPr="008A238D">
              <w:rPr>
                <w:rStyle w:val="Hipervnculo"/>
                <w:rFonts w:eastAsiaTheme="majorEastAsia"/>
                <w:noProof/>
                <w:color w:val="auto"/>
              </w:rPr>
              <w:t>c) Plazo para interponer el recurso.</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_Toc179394513 \h </w:instrText>
            </w:r>
            <w:r w:rsidR="008A238D" w:rsidRPr="008A238D">
              <w:rPr>
                <w:noProof/>
                <w:webHidden/>
              </w:rPr>
            </w:r>
            <w:r w:rsidR="008A238D" w:rsidRPr="008A238D">
              <w:rPr>
                <w:noProof/>
                <w:webHidden/>
              </w:rPr>
              <w:fldChar w:fldCharType="separate"/>
            </w:r>
            <w:r w:rsidR="00F054BA">
              <w:rPr>
                <w:noProof/>
                <w:webHidden/>
              </w:rPr>
              <w:t>7</w:t>
            </w:r>
            <w:r w:rsidR="008A238D" w:rsidRPr="008A238D">
              <w:rPr>
                <w:noProof/>
                <w:webHidden/>
              </w:rPr>
              <w:fldChar w:fldCharType="end"/>
            </w:r>
          </w:hyperlink>
        </w:p>
        <w:p w14:paraId="278A0C96"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14" w:history="1">
            <w:r w:rsidR="008A238D" w:rsidRPr="008A238D">
              <w:rPr>
                <w:rStyle w:val="Hipervnculo"/>
                <w:rFonts w:eastAsiaTheme="majorEastAsia"/>
                <w:noProof/>
                <w:color w:val="auto"/>
              </w:rPr>
              <w:t>d) Causal de procedencia.</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_Toc179394514 \h </w:instrText>
            </w:r>
            <w:r w:rsidR="008A238D" w:rsidRPr="008A238D">
              <w:rPr>
                <w:noProof/>
                <w:webHidden/>
              </w:rPr>
            </w:r>
            <w:r w:rsidR="008A238D" w:rsidRPr="008A238D">
              <w:rPr>
                <w:noProof/>
                <w:webHidden/>
              </w:rPr>
              <w:fldChar w:fldCharType="separate"/>
            </w:r>
            <w:r w:rsidR="00F054BA">
              <w:rPr>
                <w:noProof/>
                <w:webHidden/>
              </w:rPr>
              <w:t>7</w:t>
            </w:r>
            <w:r w:rsidR="008A238D" w:rsidRPr="008A238D">
              <w:rPr>
                <w:noProof/>
                <w:webHidden/>
              </w:rPr>
              <w:fldChar w:fldCharType="end"/>
            </w:r>
          </w:hyperlink>
        </w:p>
        <w:p w14:paraId="7611A90F"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15" w:history="1">
            <w:r w:rsidR="008A238D" w:rsidRPr="008A238D">
              <w:rPr>
                <w:rStyle w:val="Hipervnculo"/>
                <w:rFonts w:eastAsiaTheme="majorEastAsia"/>
                <w:noProof/>
                <w:color w:val="auto"/>
              </w:rPr>
              <w:t>e) Requisitos formales para la interposición del recurso.</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_Toc179394515 \h </w:instrText>
            </w:r>
            <w:r w:rsidR="008A238D" w:rsidRPr="008A238D">
              <w:rPr>
                <w:noProof/>
                <w:webHidden/>
              </w:rPr>
            </w:r>
            <w:r w:rsidR="008A238D" w:rsidRPr="008A238D">
              <w:rPr>
                <w:noProof/>
                <w:webHidden/>
              </w:rPr>
              <w:fldChar w:fldCharType="separate"/>
            </w:r>
            <w:r w:rsidR="00F054BA">
              <w:rPr>
                <w:noProof/>
                <w:webHidden/>
              </w:rPr>
              <w:t>8</w:t>
            </w:r>
            <w:r w:rsidR="008A238D" w:rsidRPr="008A238D">
              <w:rPr>
                <w:noProof/>
                <w:webHidden/>
              </w:rPr>
              <w:fldChar w:fldCharType="end"/>
            </w:r>
          </w:hyperlink>
        </w:p>
        <w:p w14:paraId="1E8FAB19" w14:textId="77777777" w:rsidR="008A238D" w:rsidRPr="008A238D" w:rsidRDefault="00AE2224" w:rsidP="008A238D">
          <w:pPr>
            <w:pStyle w:val="TDC2"/>
            <w:rPr>
              <w:rFonts w:asciiTheme="minorHAnsi" w:eastAsiaTheme="minorEastAsia" w:hAnsiTheme="minorHAnsi" w:cstheme="minorBidi"/>
              <w:noProof/>
              <w:szCs w:val="22"/>
              <w:lang w:eastAsia="es-MX"/>
            </w:rPr>
          </w:pPr>
          <w:hyperlink w:anchor="_Toc179394516" w:history="1">
            <w:r w:rsidR="008A238D" w:rsidRPr="008A238D">
              <w:rPr>
                <w:rStyle w:val="Hipervnculo"/>
                <w:rFonts w:eastAsiaTheme="majorEastAsia"/>
                <w:noProof/>
                <w:color w:val="auto"/>
              </w:rPr>
              <w:t>SEGUNDO. Análisis dela causal de sobreseimiento.</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_Toc179394516 \h </w:instrText>
            </w:r>
            <w:r w:rsidR="008A238D" w:rsidRPr="008A238D">
              <w:rPr>
                <w:noProof/>
                <w:webHidden/>
              </w:rPr>
            </w:r>
            <w:r w:rsidR="008A238D" w:rsidRPr="008A238D">
              <w:rPr>
                <w:noProof/>
                <w:webHidden/>
              </w:rPr>
              <w:fldChar w:fldCharType="separate"/>
            </w:r>
            <w:r w:rsidR="00F054BA">
              <w:rPr>
                <w:noProof/>
                <w:webHidden/>
              </w:rPr>
              <w:t>8</w:t>
            </w:r>
            <w:r w:rsidR="008A238D" w:rsidRPr="008A238D">
              <w:rPr>
                <w:noProof/>
                <w:webHidden/>
              </w:rPr>
              <w:fldChar w:fldCharType="end"/>
            </w:r>
          </w:hyperlink>
        </w:p>
        <w:p w14:paraId="08A3A14C"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17" w:history="1">
            <w:r w:rsidR="008A238D" w:rsidRPr="008A238D">
              <w:rPr>
                <w:rStyle w:val="Hipervnculo"/>
                <w:rFonts w:eastAsiaTheme="majorEastAsia"/>
                <w:noProof/>
                <w:color w:val="auto"/>
              </w:rPr>
              <w:t>a) Mandato de transparencia y responsabilidad del Sujeto Obligado.</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_Toc179394517 \h </w:instrText>
            </w:r>
            <w:r w:rsidR="008A238D" w:rsidRPr="008A238D">
              <w:rPr>
                <w:noProof/>
                <w:webHidden/>
              </w:rPr>
            </w:r>
            <w:r w:rsidR="008A238D" w:rsidRPr="008A238D">
              <w:rPr>
                <w:noProof/>
                <w:webHidden/>
              </w:rPr>
              <w:fldChar w:fldCharType="separate"/>
            </w:r>
            <w:r w:rsidR="00F054BA">
              <w:rPr>
                <w:noProof/>
                <w:webHidden/>
              </w:rPr>
              <w:t>8</w:t>
            </w:r>
            <w:r w:rsidR="008A238D" w:rsidRPr="008A238D">
              <w:rPr>
                <w:noProof/>
                <w:webHidden/>
              </w:rPr>
              <w:fldChar w:fldCharType="end"/>
            </w:r>
          </w:hyperlink>
        </w:p>
        <w:p w14:paraId="086F9177"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18" w:history="1">
            <w:r w:rsidR="008A238D" w:rsidRPr="008A238D">
              <w:rPr>
                <w:rStyle w:val="Hipervnculo"/>
                <w:rFonts w:eastAsiaTheme="majorEastAsia"/>
                <w:noProof/>
                <w:color w:val="auto"/>
              </w:rPr>
              <w:t>b) Controversia a resolver</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_Toc179394518 \h </w:instrText>
            </w:r>
            <w:r w:rsidR="008A238D" w:rsidRPr="008A238D">
              <w:rPr>
                <w:noProof/>
                <w:webHidden/>
              </w:rPr>
            </w:r>
            <w:r w:rsidR="008A238D" w:rsidRPr="008A238D">
              <w:rPr>
                <w:noProof/>
                <w:webHidden/>
              </w:rPr>
              <w:fldChar w:fldCharType="separate"/>
            </w:r>
            <w:r w:rsidR="00F054BA">
              <w:rPr>
                <w:noProof/>
                <w:webHidden/>
              </w:rPr>
              <w:t>10</w:t>
            </w:r>
            <w:r w:rsidR="008A238D" w:rsidRPr="008A238D">
              <w:rPr>
                <w:noProof/>
                <w:webHidden/>
              </w:rPr>
              <w:fldChar w:fldCharType="end"/>
            </w:r>
          </w:hyperlink>
        </w:p>
        <w:p w14:paraId="3B2C4631"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19" w:history="1">
            <w:r w:rsidR="008A238D" w:rsidRPr="008A238D">
              <w:rPr>
                <w:rStyle w:val="Hipervnculo"/>
                <w:rFonts w:eastAsiaTheme="majorEastAsia"/>
                <w:noProof/>
                <w:color w:val="auto"/>
              </w:rPr>
              <w:t>c) Estudio de la controversia.</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_Toc179394519 \h </w:instrText>
            </w:r>
            <w:r w:rsidR="008A238D" w:rsidRPr="008A238D">
              <w:rPr>
                <w:noProof/>
                <w:webHidden/>
              </w:rPr>
            </w:r>
            <w:r w:rsidR="008A238D" w:rsidRPr="008A238D">
              <w:rPr>
                <w:noProof/>
                <w:webHidden/>
              </w:rPr>
              <w:fldChar w:fldCharType="separate"/>
            </w:r>
            <w:r w:rsidR="00F054BA">
              <w:rPr>
                <w:noProof/>
                <w:webHidden/>
              </w:rPr>
              <w:t>15</w:t>
            </w:r>
            <w:r w:rsidR="008A238D" w:rsidRPr="008A238D">
              <w:rPr>
                <w:noProof/>
                <w:webHidden/>
              </w:rPr>
              <w:fldChar w:fldCharType="end"/>
            </w:r>
          </w:hyperlink>
        </w:p>
        <w:p w14:paraId="2C8D95FA" w14:textId="77777777" w:rsidR="008A238D" w:rsidRPr="008A238D" w:rsidRDefault="00AE2224" w:rsidP="008A238D">
          <w:pPr>
            <w:pStyle w:val="TDC3"/>
            <w:rPr>
              <w:rFonts w:asciiTheme="minorHAnsi" w:eastAsiaTheme="minorEastAsia" w:hAnsiTheme="minorHAnsi" w:cstheme="minorBidi"/>
              <w:noProof/>
              <w:szCs w:val="22"/>
              <w:lang w:eastAsia="es-MX"/>
            </w:rPr>
          </w:pPr>
          <w:hyperlink w:anchor="_Toc179394520" w:history="1">
            <w:r w:rsidR="008A238D" w:rsidRPr="008A238D">
              <w:rPr>
                <w:rStyle w:val="Hipervnculo"/>
                <w:rFonts w:eastAsiaTheme="majorEastAsia"/>
                <w:noProof/>
                <w:color w:val="auto"/>
              </w:rPr>
              <w:t>d) Conclusión.</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_Toc179394520 \h </w:instrText>
            </w:r>
            <w:r w:rsidR="008A238D" w:rsidRPr="008A238D">
              <w:rPr>
                <w:noProof/>
                <w:webHidden/>
              </w:rPr>
            </w:r>
            <w:r w:rsidR="008A238D" w:rsidRPr="008A238D">
              <w:rPr>
                <w:noProof/>
                <w:webHidden/>
              </w:rPr>
              <w:fldChar w:fldCharType="separate"/>
            </w:r>
            <w:r w:rsidR="00F054BA">
              <w:rPr>
                <w:noProof/>
                <w:webHidden/>
              </w:rPr>
              <w:t>19</w:t>
            </w:r>
            <w:r w:rsidR="008A238D" w:rsidRPr="008A238D">
              <w:rPr>
                <w:noProof/>
                <w:webHidden/>
              </w:rPr>
              <w:fldChar w:fldCharType="end"/>
            </w:r>
          </w:hyperlink>
        </w:p>
        <w:p w14:paraId="4EBF58EF" w14:textId="77777777" w:rsidR="002A399C" w:rsidRPr="008A238D" w:rsidRDefault="00AE2224" w:rsidP="008A238D">
          <w:pPr>
            <w:pStyle w:val="TDC1"/>
            <w:tabs>
              <w:tab w:val="right" w:leader="dot" w:pos="9034"/>
            </w:tabs>
          </w:pPr>
          <w:hyperlink w:anchor="_Toc179394521" w:history="1">
            <w:r w:rsidR="008A238D" w:rsidRPr="008A238D">
              <w:rPr>
                <w:rStyle w:val="Hipervnculo"/>
                <w:rFonts w:eastAsiaTheme="majorEastAsia"/>
                <w:noProof/>
                <w:color w:val="auto"/>
              </w:rPr>
              <w:t>RESUELVE</w:t>
            </w:r>
            <w:r w:rsidR="008A238D" w:rsidRPr="008A238D">
              <w:rPr>
                <w:noProof/>
                <w:webHidden/>
              </w:rPr>
              <w:tab/>
            </w:r>
            <w:r w:rsidR="008A238D" w:rsidRPr="008A238D">
              <w:rPr>
                <w:noProof/>
                <w:webHidden/>
              </w:rPr>
              <w:fldChar w:fldCharType="begin"/>
            </w:r>
            <w:r w:rsidR="008A238D" w:rsidRPr="008A238D">
              <w:rPr>
                <w:noProof/>
                <w:webHidden/>
              </w:rPr>
              <w:instrText xml:space="preserve"> PAGEREF _Toc179394521 \h </w:instrText>
            </w:r>
            <w:r w:rsidR="008A238D" w:rsidRPr="008A238D">
              <w:rPr>
                <w:noProof/>
                <w:webHidden/>
              </w:rPr>
            </w:r>
            <w:r w:rsidR="008A238D" w:rsidRPr="008A238D">
              <w:rPr>
                <w:noProof/>
                <w:webHidden/>
              </w:rPr>
              <w:fldChar w:fldCharType="separate"/>
            </w:r>
            <w:r w:rsidR="00F054BA">
              <w:rPr>
                <w:noProof/>
                <w:webHidden/>
              </w:rPr>
              <w:t>19</w:t>
            </w:r>
            <w:r w:rsidR="008A238D" w:rsidRPr="008A238D">
              <w:rPr>
                <w:noProof/>
                <w:webHidden/>
              </w:rPr>
              <w:fldChar w:fldCharType="end"/>
            </w:r>
          </w:hyperlink>
          <w:r w:rsidR="002A399C" w:rsidRPr="008A238D">
            <w:rPr>
              <w:b/>
              <w:bCs/>
              <w:lang w:val="es-ES"/>
            </w:rPr>
            <w:fldChar w:fldCharType="end"/>
          </w:r>
        </w:p>
      </w:sdtContent>
    </w:sdt>
    <w:p w14:paraId="1DC39CBF" w14:textId="77777777" w:rsidR="002B11D9" w:rsidRPr="008A238D" w:rsidRDefault="002B11D9" w:rsidP="008A238D">
      <w:pPr>
        <w:rPr>
          <w:szCs w:val="22"/>
        </w:rPr>
        <w:sectPr w:rsidR="002B11D9" w:rsidRPr="008A238D">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74610FA5" w14:textId="77777777" w:rsidR="002B11D9" w:rsidRPr="008A238D" w:rsidRDefault="00E43858" w:rsidP="008A238D">
      <w:pPr>
        <w:rPr>
          <w:b/>
          <w:szCs w:val="22"/>
        </w:rPr>
      </w:pPr>
      <w:r w:rsidRPr="008A238D">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E5203E" w:rsidRPr="008A238D">
        <w:rPr>
          <w:b/>
          <w:szCs w:val="22"/>
        </w:rPr>
        <w:t>nueve</w:t>
      </w:r>
      <w:r w:rsidRPr="008A238D">
        <w:rPr>
          <w:b/>
          <w:szCs w:val="22"/>
        </w:rPr>
        <w:t xml:space="preserve"> de </w:t>
      </w:r>
      <w:r w:rsidR="00E5203E" w:rsidRPr="008A238D">
        <w:rPr>
          <w:b/>
          <w:szCs w:val="22"/>
        </w:rPr>
        <w:t>octubre</w:t>
      </w:r>
      <w:r w:rsidRPr="008A238D">
        <w:rPr>
          <w:b/>
          <w:szCs w:val="22"/>
        </w:rPr>
        <w:t xml:space="preserve"> de dos mil veinticuatro.</w:t>
      </w:r>
    </w:p>
    <w:p w14:paraId="4AA218FD" w14:textId="77777777" w:rsidR="002B11D9" w:rsidRPr="008A238D" w:rsidRDefault="002B11D9" w:rsidP="008A238D">
      <w:pPr>
        <w:rPr>
          <w:b/>
          <w:szCs w:val="22"/>
        </w:rPr>
      </w:pPr>
    </w:p>
    <w:p w14:paraId="47A5790D" w14:textId="77777777" w:rsidR="002B11D9" w:rsidRPr="008A238D" w:rsidRDefault="00E43858" w:rsidP="008A238D">
      <w:pPr>
        <w:rPr>
          <w:szCs w:val="22"/>
        </w:rPr>
      </w:pPr>
      <w:r w:rsidRPr="008A238D">
        <w:rPr>
          <w:b/>
          <w:szCs w:val="22"/>
        </w:rPr>
        <w:t xml:space="preserve">VISTO </w:t>
      </w:r>
      <w:r w:rsidRPr="008A238D">
        <w:rPr>
          <w:szCs w:val="22"/>
        </w:rPr>
        <w:t xml:space="preserve">el expediente formado con motivo del Recurso de Revisión </w:t>
      </w:r>
      <w:r w:rsidR="00E5203E" w:rsidRPr="008A238D">
        <w:rPr>
          <w:b/>
          <w:szCs w:val="22"/>
        </w:rPr>
        <w:t>05277</w:t>
      </w:r>
      <w:r w:rsidRPr="008A238D">
        <w:rPr>
          <w:b/>
          <w:szCs w:val="22"/>
        </w:rPr>
        <w:t>/INFOEM/IP/RR/2024</w:t>
      </w:r>
      <w:r w:rsidRPr="008A238D">
        <w:rPr>
          <w:szCs w:val="22"/>
        </w:rPr>
        <w:t xml:space="preserve"> interpuesto por </w:t>
      </w:r>
      <w:r w:rsidR="008D765E" w:rsidRPr="008A238D">
        <w:rPr>
          <w:b/>
          <w:szCs w:val="22"/>
        </w:rPr>
        <w:t xml:space="preserve">Anónimo </w:t>
      </w:r>
      <w:r w:rsidRPr="008A238D">
        <w:rPr>
          <w:szCs w:val="22"/>
        </w:rPr>
        <w:t xml:space="preserve">a quien en lo subsecuente se le denominará </w:t>
      </w:r>
      <w:r w:rsidRPr="008A238D">
        <w:rPr>
          <w:b/>
          <w:szCs w:val="22"/>
        </w:rPr>
        <w:t>LA PARTE RECURRENTE</w:t>
      </w:r>
      <w:r w:rsidRPr="008A238D">
        <w:rPr>
          <w:szCs w:val="22"/>
        </w:rPr>
        <w:t xml:space="preserve">, en contra de la respuesta emitida por </w:t>
      </w:r>
      <w:r w:rsidR="00E5203E" w:rsidRPr="008A238D">
        <w:rPr>
          <w:szCs w:val="22"/>
        </w:rPr>
        <w:t>la</w:t>
      </w:r>
      <w:r w:rsidRPr="008A238D">
        <w:rPr>
          <w:szCs w:val="22"/>
        </w:rPr>
        <w:t xml:space="preserve"> </w:t>
      </w:r>
      <w:r w:rsidR="00E5203E" w:rsidRPr="008A238D">
        <w:rPr>
          <w:b/>
          <w:szCs w:val="22"/>
        </w:rPr>
        <w:t>Fiscalía General de Justicia del Estado de México</w:t>
      </w:r>
      <w:r w:rsidRPr="008A238D">
        <w:rPr>
          <w:b/>
          <w:szCs w:val="22"/>
        </w:rPr>
        <w:t xml:space="preserve">, </w:t>
      </w:r>
      <w:r w:rsidRPr="008A238D">
        <w:rPr>
          <w:szCs w:val="22"/>
        </w:rPr>
        <w:t xml:space="preserve">en adelante </w:t>
      </w:r>
      <w:r w:rsidRPr="008A238D">
        <w:rPr>
          <w:b/>
          <w:szCs w:val="22"/>
        </w:rPr>
        <w:t>EL SUJETO OBLIGADO</w:t>
      </w:r>
      <w:r w:rsidRPr="008A238D">
        <w:rPr>
          <w:szCs w:val="22"/>
        </w:rPr>
        <w:t>, se emite la presente Resolución con base en los Antecedentes y Considerandos que se exponen a continuación:</w:t>
      </w:r>
    </w:p>
    <w:p w14:paraId="3221CB14" w14:textId="77777777" w:rsidR="002B11D9" w:rsidRPr="008A238D" w:rsidRDefault="002B11D9" w:rsidP="008A238D">
      <w:pPr>
        <w:rPr>
          <w:szCs w:val="22"/>
        </w:rPr>
      </w:pPr>
    </w:p>
    <w:p w14:paraId="5578928F" w14:textId="77777777" w:rsidR="002B11D9" w:rsidRPr="008A238D" w:rsidRDefault="00E43858" w:rsidP="008A238D">
      <w:pPr>
        <w:pStyle w:val="Ttulo1"/>
        <w:rPr>
          <w:szCs w:val="22"/>
        </w:rPr>
      </w:pPr>
      <w:bookmarkStart w:id="2" w:name="_Toc179394497"/>
      <w:r w:rsidRPr="008A238D">
        <w:rPr>
          <w:szCs w:val="22"/>
        </w:rPr>
        <w:t>ANTECEDENTES</w:t>
      </w:r>
      <w:bookmarkEnd w:id="2"/>
    </w:p>
    <w:p w14:paraId="0D9B5F0E" w14:textId="77777777" w:rsidR="002B11D9" w:rsidRPr="008A238D" w:rsidRDefault="002B11D9" w:rsidP="008A238D">
      <w:pPr>
        <w:rPr>
          <w:szCs w:val="22"/>
        </w:rPr>
      </w:pPr>
    </w:p>
    <w:p w14:paraId="1C9A4D2B" w14:textId="77777777" w:rsidR="002B11D9" w:rsidRPr="008A238D" w:rsidRDefault="00E43858" w:rsidP="008A238D">
      <w:pPr>
        <w:pStyle w:val="Ttulo2"/>
        <w:jc w:val="left"/>
        <w:rPr>
          <w:szCs w:val="22"/>
        </w:rPr>
      </w:pPr>
      <w:bookmarkStart w:id="3" w:name="_Toc179394498"/>
      <w:r w:rsidRPr="008A238D">
        <w:rPr>
          <w:szCs w:val="22"/>
        </w:rPr>
        <w:t>DE LA SOLICITUD DE INFORMACIÓN</w:t>
      </w:r>
      <w:bookmarkEnd w:id="3"/>
    </w:p>
    <w:p w14:paraId="668F1D1F" w14:textId="77777777" w:rsidR="002B11D9" w:rsidRPr="008A238D" w:rsidRDefault="00E43858" w:rsidP="008A238D">
      <w:pPr>
        <w:pStyle w:val="Ttulo3"/>
        <w:rPr>
          <w:szCs w:val="22"/>
        </w:rPr>
      </w:pPr>
      <w:bookmarkStart w:id="4" w:name="_Toc179394499"/>
      <w:r w:rsidRPr="008A238D">
        <w:rPr>
          <w:szCs w:val="22"/>
        </w:rPr>
        <w:t>a) Solicitud de información.</w:t>
      </w:r>
      <w:bookmarkEnd w:id="4"/>
    </w:p>
    <w:p w14:paraId="1B5D1870" w14:textId="77777777" w:rsidR="00DE1520" w:rsidRPr="008A238D" w:rsidRDefault="00DE1520" w:rsidP="008A238D">
      <w:pPr>
        <w:pBdr>
          <w:top w:val="nil"/>
          <w:left w:val="nil"/>
          <w:bottom w:val="nil"/>
          <w:right w:val="nil"/>
          <w:between w:val="nil"/>
        </w:pBdr>
        <w:tabs>
          <w:tab w:val="left" w:pos="0"/>
        </w:tabs>
        <w:rPr>
          <w:rFonts w:eastAsia="Palatino Linotype" w:cs="Palatino Linotype"/>
          <w:b/>
          <w:szCs w:val="22"/>
        </w:rPr>
      </w:pPr>
      <w:r w:rsidRPr="008A238D">
        <w:rPr>
          <w:rFonts w:eastAsia="Palatino Linotype" w:cs="Palatino Linotype"/>
          <w:szCs w:val="22"/>
        </w:rPr>
        <w:t xml:space="preserve">El </w:t>
      </w:r>
      <w:r w:rsidRPr="008A238D">
        <w:rPr>
          <w:rFonts w:eastAsia="Palatino Linotype" w:cs="Palatino Linotype"/>
          <w:b/>
          <w:szCs w:val="22"/>
        </w:rPr>
        <w:t>veintiuno de julio de dos mil veinticuatro</w:t>
      </w:r>
      <w:r w:rsidRPr="008A238D">
        <w:rPr>
          <w:rFonts w:eastAsia="Palatino Linotype" w:cs="Palatino Linotype"/>
          <w:szCs w:val="22"/>
        </w:rPr>
        <w:t xml:space="preserve"> </w:t>
      </w:r>
      <w:r w:rsidRPr="008A238D">
        <w:rPr>
          <w:rFonts w:eastAsia="Palatino Linotype" w:cs="Palatino Linotype"/>
          <w:b/>
          <w:szCs w:val="22"/>
        </w:rPr>
        <w:t>LA PARTE RECURRENTE</w:t>
      </w:r>
      <w:r w:rsidRPr="008A238D">
        <w:rPr>
          <w:rFonts w:eastAsia="Palatino Linotype" w:cs="Palatino Linotype"/>
          <w:szCs w:val="22"/>
        </w:rPr>
        <w:t xml:space="preserve"> presentó una solicitud de acceso a la información pública ante el </w:t>
      </w:r>
      <w:r w:rsidRPr="008A238D">
        <w:rPr>
          <w:rFonts w:eastAsia="Palatino Linotype" w:cs="Palatino Linotype"/>
          <w:b/>
          <w:szCs w:val="22"/>
        </w:rPr>
        <w:t>SUJETO OBLIGADO</w:t>
      </w:r>
      <w:r w:rsidRPr="008A238D">
        <w:rPr>
          <w:rFonts w:eastAsia="Palatino Linotype" w:cs="Palatino Linotype"/>
          <w:szCs w:val="22"/>
        </w:rPr>
        <w:t>, a través de la Plataforma Nacional de Transparencia, vinculada al Sistema de Acceso a la Información Mexiquense (SAIMEX). Dicha solicitud quedó registrada con el número de folio</w:t>
      </w:r>
      <w:r w:rsidRPr="008A238D">
        <w:rPr>
          <w:rFonts w:eastAsia="Palatino Linotype" w:cs="Palatino Linotype"/>
          <w:b/>
          <w:szCs w:val="22"/>
        </w:rPr>
        <w:t xml:space="preserve"> 00703/FGJ/IP/2024</w:t>
      </w:r>
      <w:r w:rsidRPr="008A238D">
        <w:rPr>
          <w:rFonts w:eastAsia="Palatino Linotype" w:cs="Palatino Linotype"/>
          <w:szCs w:val="22"/>
        </w:rPr>
        <w:t>y en ella se requirió la siguiente información:</w:t>
      </w:r>
    </w:p>
    <w:p w14:paraId="5D7F42EC" w14:textId="77777777" w:rsidR="002B11D9" w:rsidRPr="008A238D" w:rsidRDefault="002B11D9" w:rsidP="008A238D">
      <w:pPr>
        <w:tabs>
          <w:tab w:val="left" w:pos="4667"/>
        </w:tabs>
        <w:ind w:left="567" w:right="567"/>
        <w:rPr>
          <w:b/>
          <w:szCs w:val="22"/>
        </w:rPr>
      </w:pPr>
    </w:p>
    <w:p w14:paraId="76374773" w14:textId="77777777" w:rsidR="002B11D9" w:rsidRPr="008A238D" w:rsidRDefault="00E43858" w:rsidP="008A238D">
      <w:pPr>
        <w:pStyle w:val="Puesto"/>
      </w:pPr>
      <w:r w:rsidRPr="008A238D">
        <w:t>“</w:t>
      </w:r>
      <w:r w:rsidR="00506902" w:rsidRPr="008A238D">
        <w:t xml:space="preserve">En virtud del artículo 70 de la Ley General de Transparencia y Acceso a la Información Pública (LGTAIP), solicito conocer: 1. ¿Con qué periodicidad se da mantenimiento a equipos e infraestructura? ¿Qué presupuesto se destina a ello cada año? Solicito una lista desglosada de cada uno de los mantenimientos que se han dado en los últimos 3 años. 2. ¿Qué equipos y tecnologías específicas (ej. para análisis de ADN, radiografía forense, escáneres 3D, etc.) están disponibles en los laboratorios de identificación humana? 3. ¿Qué tecnologías nuevas se han implementado recientemente para la identificación de restos </w:t>
      </w:r>
      <w:r w:rsidR="00506902" w:rsidRPr="008A238D">
        <w:lastRenderedPageBreak/>
        <w:t xml:space="preserve">humanos en el estado? ¿Qué resultados se han obtenido con la implementación de estas nuevas tecnologías? 4. ¿Existen planes para la adquisición o implementación de nuevas tecnologías en los próximos cinco años? 5. ¿Qué acuerdos o convenios de colaboración existen entre los Servicios Médicos Forenses/Servicios Periciales y otras instituciones (ej. universidades, laboratorios privados, organizaciones internacionales) para identificación y resguardo? 6. ¿Cuál es el tiempo promedio que toma a los Servicios Médicos Forenses y/o servicios periciales lograr la plena identificación de un cuerpo? 7. ¿Cuál es el tiempo promedio que un cuerpo o restos permanece en los Servicios Médicos Forenses y/o servicios periciales sin identificar, antes de ser trasladado a una fosa común? 8. ¿Cuántos cuerpos no identificados han sido reexaminados con nuevas técnicas de identificación en los últimos cinco años? ¿Cuántos de ellos tuvieron que ser exhumados para la aplicación de esas nuevas técnicas? 9. ¿El registro de restos no identificados en fosas comunes se realiza de manera digital o </w:t>
      </w:r>
      <w:proofErr w:type="gramStart"/>
      <w:r w:rsidR="00506902" w:rsidRPr="008A238D">
        <w:t>manual ?</w:t>
      </w:r>
      <w:proofErr w:type="gramEnd"/>
      <w:r w:rsidR="00506902" w:rsidRPr="008A238D">
        <w:t xml:space="preserve"> ¿Qué datos se registran por cada cuerpo o resto sin identificar? 10. ¿En cuántos casos de los cuerpos sin identificar que se encuentran almacenados en los Servicios Médicos Forenses y/o servicios periciales al momento de hacer la pregunta se realizaron confrontas con huellas dactilares alojadas en el padrón del INE, en el marco del convenio respectivo con dicha institución (si lo hubiere)? En caso negativo, explicar con qué criterio se decide no hacerlo. 11. ¿Qué protocolos, manuales o guías de implementación para la identificación forense y la investigación se implementan en las unidades de servicios periciales y/ o de servicio médico forense? 12. ¿Cuántos cuerpos y/ o restos humanos no identificados egresaron por año de las unidades de servicios periciales y/ o de servicio médico forense? ¿Cuál fue su destino, desglosado por año y sitio al que fueron enviados para su resguardo?</w:t>
      </w:r>
      <w:r w:rsidRPr="008A238D">
        <w:t>” (sic).</w:t>
      </w:r>
    </w:p>
    <w:p w14:paraId="41BD0050" w14:textId="77777777" w:rsidR="002B11D9" w:rsidRPr="008A238D" w:rsidRDefault="002B11D9" w:rsidP="008A238D">
      <w:pPr>
        <w:tabs>
          <w:tab w:val="left" w:pos="4667"/>
        </w:tabs>
        <w:ind w:right="567"/>
        <w:rPr>
          <w:i/>
          <w:szCs w:val="22"/>
        </w:rPr>
      </w:pPr>
    </w:p>
    <w:p w14:paraId="0AC1C885" w14:textId="77777777" w:rsidR="00DE1520" w:rsidRPr="008A238D" w:rsidRDefault="00DE1520" w:rsidP="008A238D">
      <w:pPr>
        <w:tabs>
          <w:tab w:val="left" w:pos="4667"/>
        </w:tabs>
        <w:ind w:right="-28"/>
        <w:rPr>
          <w:szCs w:val="22"/>
        </w:rPr>
      </w:pPr>
      <w:r w:rsidRPr="008A238D">
        <w:rPr>
          <w:szCs w:val="22"/>
        </w:rPr>
        <w:t xml:space="preserve">Es importante mencionar que el medio de impugnación fue interpuesto en un día inhábil conforme al calendario oficial de actividades de este Instituto, por lo que se tuvo por presentado el </w:t>
      </w:r>
      <w:r w:rsidRPr="008A238D">
        <w:rPr>
          <w:b/>
          <w:szCs w:val="22"/>
        </w:rPr>
        <w:t>cinco de agosto de dos mil veinticuatro</w:t>
      </w:r>
      <w:r w:rsidRPr="008A238D">
        <w:rPr>
          <w:szCs w:val="22"/>
        </w:rPr>
        <w:t>.</w:t>
      </w:r>
    </w:p>
    <w:p w14:paraId="4736466C" w14:textId="77777777" w:rsidR="00DE1520" w:rsidRPr="008A238D" w:rsidRDefault="00DE1520" w:rsidP="008A238D">
      <w:pPr>
        <w:tabs>
          <w:tab w:val="left" w:pos="4667"/>
        </w:tabs>
        <w:ind w:right="567"/>
        <w:rPr>
          <w:i/>
          <w:szCs w:val="22"/>
        </w:rPr>
      </w:pPr>
    </w:p>
    <w:p w14:paraId="0838683E" w14:textId="77777777" w:rsidR="002B11D9" w:rsidRPr="008A238D" w:rsidRDefault="00E43858" w:rsidP="008A238D">
      <w:pPr>
        <w:tabs>
          <w:tab w:val="left" w:pos="4667"/>
        </w:tabs>
        <w:ind w:right="567"/>
        <w:rPr>
          <w:b/>
          <w:szCs w:val="22"/>
        </w:rPr>
      </w:pPr>
      <w:r w:rsidRPr="008A238D">
        <w:rPr>
          <w:b/>
          <w:szCs w:val="22"/>
        </w:rPr>
        <w:t>Modalidad de entrega</w:t>
      </w:r>
      <w:r w:rsidRPr="008A238D">
        <w:rPr>
          <w:szCs w:val="22"/>
        </w:rPr>
        <w:t>: a</w:t>
      </w:r>
      <w:r w:rsidRPr="008A238D">
        <w:rPr>
          <w:i/>
          <w:szCs w:val="22"/>
        </w:rPr>
        <w:t xml:space="preserve"> </w:t>
      </w:r>
      <w:r w:rsidRPr="008A238D">
        <w:rPr>
          <w:szCs w:val="22"/>
        </w:rPr>
        <w:t>través del SAIMEX</w:t>
      </w:r>
      <w:r w:rsidR="003107F9" w:rsidRPr="008A238D">
        <w:rPr>
          <w:szCs w:val="22"/>
        </w:rPr>
        <w:t xml:space="preserve"> y </w:t>
      </w:r>
      <w:r w:rsidR="003107F9" w:rsidRPr="008A238D">
        <w:rPr>
          <w:b/>
          <w:szCs w:val="22"/>
        </w:rPr>
        <w:t>correo electrónico</w:t>
      </w:r>
      <w:r w:rsidRPr="008A238D">
        <w:rPr>
          <w:b/>
          <w:szCs w:val="22"/>
        </w:rPr>
        <w:t>.</w:t>
      </w:r>
    </w:p>
    <w:p w14:paraId="7703BF2D" w14:textId="77777777" w:rsidR="002B11D9" w:rsidRPr="008A238D" w:rsidRDefault="002B11D9" w:rsidP="008A238D">
      <w:pPr>
        <w:ind w:right="-28"/>
        <w:rPr>
          <w:i/>
          <w:szCs w:val="22"/>
        </w:rPr>
      </w:pPr>
    </w:p>
    <w:p w14:paraId="65CA2B70" w14:textId="77777777" w:rsidR="002B11D9" w:rsidRPr="008A238D" w:rsidRDefault="00E43858" w:rsidP="008A238D">
      <w:pPr>
        <w:pStyle w:val="Ttulo3"/>
        <w:rPr>
          <w:szCs w:val="22"/>
        </w:rPr>
      </w:pPr>
      <w:bookmarkStart w:id="5" w:name="_Toc179394500"/>
      <w:r w:rsidRPr="008A238D">
        <w:rPr>
          <w:szCs w:val="22"/>
        </w:rPr>
        <w:t>b) Turno de la solicitud de información.</w:t>
      </w:r>
      <w:bookmarkEnd w:id="5"/>
    </w:p>
    <w:p w14:paraId="17F15EE7" w14:textId="77777777" w:rsidR="002B11D9" w:rsidRPr="008A238D" w:rsidRDefault="00E43858" w:rsidP="008A238D">
      <w:pPr>
        <w:rPr>
          <w:szCs w:val="22"/>
        </w:rPr>
      </w:pPr>
      <w:r w:rsidRPr="008A238D">
        <w:rPr>
          <w:szCs w:val="22"/>
        </w:rPr>
        <w:t xml:space="preserve">En cumplimiento al artículo 162 de la Ley de Transparencia y Acceso a la Información Pública del Estado de México y Municipios, el </w:t>
      </w:r>
      <w:r w:rsidR="00506902" w:rsidRPr="008A238D">
        <w:rPr>
          <w:b/>
          <w:szCs w:val="22"/>
        </w:rPr>
        <w:t>cinco</w:t>
      </w:r>
      <w:r w:rsidRPr="008A238D">
        <w:rPr>
          <w:b/>
          <w:szCs w:val="22"/>
        </w:rPr>
        <w:t xml:space="preserve"> de </w:t>
      </w:r>
      <w:r w:rsidR="00506902" w:rsidRPr="008A238D">
        <w:rPr>
          <w:b/>
          <w:szCs w:val="22"/>
        </w:rPr>
        <w:t>agosto</w:t>
      </w:r>
      <w:r w:rsidRPr="008A238D">
        <w:rPr>
          <w:b/>
          <w:szCs w:val="22"/>
        </w:rPr>
        <w:t xml:space="preserve"> de dos mil veinticuatro</w:t>
      </w:r>
      <w:r w:rsidRPr="008A238D">
        <w:rPr>
          <w:szCs w:val="22"/>
        </w:rPr>
        <w:t xml:space="preserve"> el Titular de la </w:t>
      </w:r>
      <w:r w:rsidRPr="008A238D">
        <w:rPr>
          <w:szCs w:val="22"/>
        </w:rPr>
        <w:lastRenderedPageBreak/>
        <w:t xml:space="preserve">Unidad de Transparencia del </w:t>
      </w:r>
      <w:r w:rsidRPr="008A238D">
        <w:rPr>
          <w:b/>
          <w:szCs w:val="22"/>
        </w:rPr>
        <w:t>SUJETO OBLIGADO</w:t>
      </w:r>
      <w:r w:rsidRPr="008A238D">
        <w:rPr>
          <w:szCs w:val="22"/>
        </w:rPr>
        <w:t xml:space="preserve"> turnó la solicitud de información a</w:t>
      </w:r>
      <w:r w:rsidR="00506902" w:rsidRPr="008A238D">
        <w:rPr>
          <w:szCs w:val="22"/>
        </w:rPr>
        <w:t xml:space="preserve">l </w:t>
      </w:r>
      <w:r w:rsidRPr="008A238D">
        <w:rPr>
          <w:szCs w:val="22"/>
        </w:rPr>
        <w:t>servidor</w:t>
      </w:r>
      <w:r w:rsidR="00506902" w:rsidRPr="008A238D">
        <w:rPr>
          <w:szCs w:val="22"/>
        </w:rPr>
        <w:t xml:space="preserve"> público habilitado</w:t>
      </w:r>
      <w:r w:rsidRPr="008A238D">
        <w:rPr>
          <w:szCs w:val="22"/>
        </w:rPr>
        <w:t xml:space="preserve"> que estimó pertinente.</w:t>
      </w:r>
    </w:p>
    <w:p w14:paraId="21D27705" w14:textId="77777777" w:rsidR="002B11D9" w:rsidRPr="008A238D" w:rsidRDefault="002B11D9" w:rsidP="008A238D">
      <w:pPr>
        <w:rPr>
          <w:szCs w:val="22"/>
        </w:rPr>
      </w:pPr>
    </w:p>
    <w:p w14:paraId="222CD003" w14:textId="77777777" w:rsidR="002B11D9" w:rsidRPr="008A238D" w:rsidRDefault="008F496E" w:rsidP="008A238D">
      <w:pPr>
        <w:pStyle w:val="Ttulo3"/>
        <w:rPr>
          <w:szCs w:val="22"/>
        </w:rPr>
      </w:pPr>
      <w:bookmarkStart w:id="6" w:name="_Toc179394501"/>
      <w:r w:rsidRPr="008A238D">
        <w:rPr>
          <w:szCs w:val="22"/>
        </w:rPr>
        <w:t>c</w:t>
      </w:r>
      <w:r w:rsidR="00E43858" w:rsidRPr="008A238D">
        <w:rPr>
          <w:szCs w:val="22"/>
        </w:rPr>
        <w:t>) Respuesta del Sujeto Obligado.</w:t>
      </w:r>
      <w:bookmarkEnd w:id="6"/>
    </w:p>
    <w:p w14:paraId="2C34CAB9" w14:textId="77777777" w:rsidR="002B11D9" w:rsidRPr="008A238D" w:rsidRDefault="00E43858" w:rsidP="008A238D">
      <w:pPr>
        <w:pBdr>
          <w:top w:val="nil"/>
          <w:left w:val="nil"/>
          <w:bottom w:val="nil"/>
          <w:right w:val="nil"/>
          <w:between w:val="nil"/>
        </w:pBdr>
        <w:rPr>
          <w:rFonts w:eastAsia="Palatino Linotype" w:cs="Palatino Linotype"/>
          <w:szCs w:val="22"/>
        </w:rPr>
      </w:pPr>
      <w:r w:rsidRPr="008A238D">
        <w:rPr>
          <w:rFonts w:eastAsia="Palatino Linotype" w:cs="Palatino Linotype"/>
          <w:szCs w:val="22"/>
        </w:rPr>
        <w:t xml:space="preserve">El </w:t>
      </w:r>
      <w:r w:rsidR="00506902" w:rsidRPr="008A238D">
        <w:rPr>
          <w:rFonts w:eastAsia="Palatino Linotype" w:cs="Palatino Linotype"/>
          <w:b/>
          <w:szCs w:val="22"/>
        </w:rPr>
        <w:t>veintiséis</w:t>
      </w:r>
      <w:r w:rsidRPr="008A238D">
        <w:rPr>
          <w:rFonts w:eastAsia="Palatino Linotype" w:cs="Palatino Linotype"/>
          <w:b/>
          <w:szCs w:val="22"/>
        </w:rPr>
        <w:t xml:space="preserve"> de </w:t>
      </w:r>
      <w:r w:rsidR="00506902" w:rsidRPr="008A238D">
        <w:rPr>
          <w:rFonts w:eastAsia="Palatino Linotype" w:cs="Palatino Linotype"/>
          <w:b/>
          <w:szCs w:val="22"/>
        </w:rPr>
        <w:t>agosto</w:t>
      </w:r>
      <w:r w:rsidRPr="008A238D">
        <w:rPr>
          <w:rFonts w:eastAsia="Palatino Linotype" w:cs="Palatino Linotype"/>
          <w:b/>
          <w:szCs w:val="22"/>
        </w:rPr>
        <w:t xml:space="preserve"> de dos mil veinticuatro</w:t>
      </w:r>
      <w:r w:rsidRPr="008A238D">
        <w:rPr>
          <w:rFonts w:eastAsia="Palatino Linotype" w:cs="Palatino Linotype"/>
          <w:szCs w:val="22"/>
        </w:rPr>
        <w:t xml:space="preserve"> el Titular de la Unidad de Transparencia del </w:t>
      </w:r>
      <w:r w:rsidRPr="008A238D">
        <w:rPr>
          <w:rFonts w:eastAsia="Palatino Linotype" w:cs="Palatino Linotype"/>
          <w:b/>
          <w:szCs w:val="22"/>
        </w:rPr>
        <w:t>SUJETO OBLIGADO</w:t>
      </w:r>
      <w:r w:rsidRPr="008A238D">
        <w:rPr>
          <w:rFonts w:eastAsia="Palatino Linotype" w:cs="Palatino Linotype"/>
          <w:szCs w:val="22"/>
        </w:rPr>
        <w:t xml:space="preserve"> notificó la siguiente respuesta a través del SAIMEX:</w:t>
      </w:r>
    </w:p>
    <w:p w14:paraId="0051E790" w14:textId="77777777" w:rsidR="002B11D9" w:rsidRPr="008A238D" w:rsidRDefault="002B11D9" w:rsidP="008A238D">
      <w:pPr>
        <w:tabs>
          <w:tab w:val="left" w:pos="4667"/>
        </w:tabs>
        <w:ind w:left="567" w:right="567"/>
        <w:rPr>
          <w:b/>
          <w:szCs w:val="22"/>
        </w:rPr>
      </w:pPr>
    </w:p>
    <w:p w14:paraId="612D364F" w14:textId="77777777" w:rsidR="00506902" w:rsidRPr="008A238D" w:rsidRDefault="00E43858" w:rsidP="008A238D">
      <w:pPr>
        <w:pStyle w:val="Puesto"/>
      </w:pPr>
      <w:r w:rsidRPr="008A238D">
        <w:t>“</w:t>
      </w:r>
      <w:r w:rsidR="00506902" w:rsidRPr="008A238D">
        <w:t>Metepec, México a 26 de Agosto de 2024</w:t>
      </w:r>
    </w:p>
    <w:p w14:paraId="1E895AFB" w14:textId="77777777" w:rsidR="00506902" w:rsidRPr="008A238D" w:rsidRDefault="00506902" w:rsidP="008A238D">
      <w:pPr>
        <w:pStyle w:val="Puesto"/>
      </w:pPr>
      <w:r w:rsidRPr="008A238D">
        <w:t>Nombre del solicitante:</w:t>
      </w:r>
    </w:p>
    <w:p w14:paraId="16740EBA" w14:textId="77777777" w:rsidR="00506902" w:rsidRPr="008A238D" w:rsidRDefault="00506902" w:rsidP="008A238D">
      <w:pPr>
        <w:pStyle w:val="Puesto"/>
      </w:pPr>
      <w:r w:rsidRPr="008A238D">
        <w:t>Folio de la solicitud: 00703/FGJ/IP/2024</w:t>
      </w:r>
    </w:p>
    <w:p w14:paraId="7D65AA3E" w14:textId="77777777" w:rsidR="00E05D82" w:rsidRPr="008A238D" w:rsidRDefault="00E05D82" w:rsidP="008A238D"/>
    <w:p w14:paraId="404100F6" w14:textId="77777777" w:rsidR="00506902" w:rsidRPr="008A238D" w:rsidRDefault="00506902" w:rsidP="008A238D">
      <w:pPr>
        <w:pStyle w:val="Puesto"/>
      </w:pPr>
      <w:r w:rsidRPr="008A238D">
        <w:t>En respuesta a la solicitud recibida, nos permitimos hacer de su conocimiento que con fundamento en el artículo 53, Fracciones: II, V y VI de la Ley de Transparencia y Acceso a la Información Pública del Estado de México y Municipios, le contestamos que:</w:t>
      </w:r>
    </w:p>
    <w:p w14:paraId="18CEC1B3" w14:textId="77777777" w:rsidR="00E05D82" w:rsidRPr="008A238D" w:rsidRDefault="00E05D82" w:rsidP="008A238D"/>
    <w:p w14:paraId="4EE9ABD2" w14:textId="77777777" w:rsidR="00506902" w:rsidRPr="008A238D" w:rsidRDefault="00506902" w:rsidP="008A238D">
      <w:pPr>
        <w:pStyle w:val="Puesto"/>
      </w:pPr>
      <w:r w:rsidRPr="008A238D">
        <w:t>SE PROPORCIONA RESPUESTA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w:t>
      </w:r>
    </w:p>
    <w:p w14:paraId="75716F2D" w14:textId="77777777" w:rsidR="00E05D82" w:rsidRPr="008A238D" w:rsidRDefault="00E05D82" w:rsidP="008A238D"/>
    <w:p w14:paraId="1BC31406" w14:textId="77777777" w:rsidR="00506902" w:rsidRPr="008A238D" w:rsidRDefault="00506902" w:rsidP="008A238D">
      <w:pPr>
        <w:pStyle w:val="Puesto"/>
      </w:pPr>
      <w:r w:rsidRPr="008A238D">
        <w:t>ATENTAMENTE</w:t>
      </w:r>
    </w:p>
    <w:p w14:paraId="25E3FBA1" w14:textId="77777777" w:rsidR="00E05D82" w:rsidRPr="008A238D" w:rsidRDefault="00E05D82" w:rsidP="008A238D"/>
    <w:p w14:paraId="363913F9" w14:textId="77777777" w:rsidR="002B11D9" w:rsidRPr="008A238D" w:rsidRDefault="00506902" w:rsidP="008A238D">
      <w:pPr>
        <w:pStyle w:val="Puesto"/>
      </w:pPr>
      <w:r w:rsidRPr="008A238D">
        <w:t>LICENCIADA EN DERECHO NORMA ANGÉLICA ZETINA MARTÍNEZ</w:t>
      </w:r>
      <w:r w:rsidR="00E43858" w:rsidRPr="008A238D">
        <w:t>”</w:t>
      </w:r>
    </w:p>
    <w:p w14:paraId="46C0120C" w14:textId="77777777" w:rsidR="002B11D9" w:rsidRPr="008A238D" w:rsidRDefault="002B11D9" w:rsidP="008A238D">
      <w:pPr>
        <w:ind w:right="-28"/>
        <w:rPr>
          <w:szCs w:val="22"/>
        </w:rPr>
      </w:pPr>
    </w:p>
    <w:p w14:paraId="518120FD" w14:textId="77777777" w:rsidR="002B11D9" w:rsidRPr="008A238D" w:rsidRDefault="00E43858" w:rsidP="008A238D">
      <w:pPr>
        <w:ind w:right="-28"/>
        <w:rPr>
          <w:szCs w:val="22"/>
        </w:rPr>
      </w:pPr>
      <w:r w:rsidRPr="008A238D">
        <w:rPr>
          <w:szCs w:val="22"/>
        </w:rPr>
        <w:t xml:space="preserve">Asimismo, </w:t>
      </w:r>
      <w:r w:rsidRPr="008A238D">
        <w:rPr>
          <w:b/>
          <w:szCs w:val="22"/>
        </w:rPr>
        <w:t xml:space="preserve">EL SUJETO OBLIGADO </w:t>
      </w:r>
      <w:r w:rsidRPr="008A238D">
        <w:rPr>
          <w:szCs w:val="22"/>
        </w:rPr>
        <w:t xml:space="preserve">adjuntó a su respuesta </w:t>
      </w:r>
      <w:r w:rsidR="00506902" w:rsidRPr="008A238D">
        <w:rPr>
          <w:szCs w:val="22"/>
        </w:rPr>
        <w:t>el archivo electrónico que se describe</w:t>
      </w:r>
      <w:r w:rsidRPr="008A238D">
        <w:rPr>
          <w:szCs w:val="22"/>
        </w:rPr>
        <w:t xml:space="preserve"> a continuación:</w:t>
      </w:r>
    </w:p>
    <w:p w14:paraId="61DB6073" w14:textId="77777777" w:rsidR="002B11D9" w:rsidRPr="008A238D" w:rsidRDefault="002B11D9" w:rsidP="008A238D">
      <w:pPr>
        <w:ind w:right="-28"/>
        <w:rPr>
          <w:szCs w:val="22"/>
        </w:rPr>
      </w:pPr>
    </w:p>
    <w:p w14:paraId="3810141D" w14:textId="77777777" w:rsidR="001F3976" w:rsidRPr="008A238D" w:rsidRDefault="00E43858" w:rsidP="008A238D">
      <w:pPr>
        <w:numPr>
          <w:ilvl w:val="0"/>
          <w:numId w:val="1"/>
        </w:numPr>
        <w:pBdr>
          <w:top w:val="nil"/>
          <w:left w:val="nil"/>
          <w:bottom w:val="nil"/>
          <w:right w:val="nil"/>
          <w:between w:val="nil"/>
        </w:pBdr>
        <w:ind w:right="-28"/>
        <w:rPr>
          <w:rFonts w:eastAsia="Palatino Linotype" w:cs="Palatino Linotype"/>
          <w:b/>
          <w:i/>
          <w:szCs w:val="22"/>
        </w:rPr>
      </w:pPr>
      <w:r w:rsidRPr="008A238D">
        <w:rPr>
          <w:rFonts w:eastAsia="Palatino Linotype" w:cs="Palatino Linotype"/>
          <w:b/>
          <w:i/>
          <w:szCs w:val="22"/>
        </w:rPr>
        <w:lastRenderedPageBreak/>
        <w:t>“</w:t>
      </w:r>
      <w:r w:rsidR="00506902" w:rsidRPr="008A238D">
        <w:rPr>
          <w:rFonts w:eastAsia="Palatino Linotype" w:cs="Palatino Linotype"/>
          <w:b/>
          <w:i/>
          <w:szCs w:val="22"/>
        </w:rPr>
        <w:t>OFICIO NÚMERO 02697-MAIP-FGJ-2024.pdf</w:t>
      </w:r>
      <w:r w:rsidRPr="008A238D">
        <w:rPr>
          <w:rFonts w:eastAsia="Palatino Linotype" w:cs="Palatino Linotype"/>
          <w:b/>
          <w:i/>
          <w:szCs w:val="22"/>
        </w:rPr>
        <w:t xml:space="preserve">”: </w:t>
      </w:r>
      <w:r w:rsidRPr="008A238D">
        <w:rPr>
          <w:rFonts w:eastAsia="Palatino Linotype" w:cs="Palatino Linotype"/>
          <w:szCs w:val="22"/>
        </w:rPr>
        <w:t xml:space="preserve">documento constante de </w:t>
      </w:r>
      <w:r w:rsidR="00506902" w:rsidRPr="008A238D">
        <w:rPr>
          <w:rFonts w:eastAsia="Palatino Linotype" w:cs="Palatino Linotype"/>
          <w:szCs w:val="22"/>
        </w:rPr>
        <w:t>4</w:t>
      </w:r>
      <w:r w:rsidRPr="008A238D">
        <w:rPr>
          <w:rFonts w:eastAsia="Palatino Linotype" w:cs="Palatino Linotype"/>
          <w:szCs w:val="22"/>
        </w:rPr>
        <w:t xml:space="preserve"> foja</w:t>
      </w:r>
      <w:r w:rsidR="00506902" w:rsidRPr="008A238D">
        <w:rPr>
          <w:rFonts w:eastAsia="Palatino Linotype" w:cs="Palatino Linotype"/>
          <w:szCs w:val="22"/>
        </w:rPr>
        <w:t>s</w:t>
      </w:r>
      <w:r w:rsidRPr="008A238D">
        <w:rPr>
          <w:rFonts w:eastAsia="Palatino Linotype" w:cs="Palatino Linotype"/>
          <w:szCs w:val="22"/>
        </w:rPr>
        <w:t xml:space="preserve"> </w:t>
      </w:r>
      <w:r w:rsidR="00506902" w:rsidRPr="008A238D">
        <w:rPr>
          <w:rFonts w:eastAsia="Palatino Linotype" w:cs="Palatino Linotype"/>
          <w:szCs w:val="22"/>
        </w:rPr>
        <w:t>útiles,</w:t>
      </w:r>
      <w:r w:rsidRPr="008A238D">
        <w:rPr>
          <w:rFonts w:eastAsia="Palatino Linotype" w:cs="Palatino Linotype"/>
          <w:szCs w:val="22"/>
        </w:rPr>
        <w:t xml:space="preserve"> de cuyo contenido se advierte el oficio con número de registro </w:t>
      </w:r>
      <w:r w:rsidR="00506902" w:rsidRPr="008A238D">
        <w:rPr>
          <w:rFonts w:eastAsia="Palatino Linotype" w:cs="Palatino Linotype"/>
          <w:szCs w:val="22"/>
        </w:rPr>
        <w:t>02697/MAIP/FGJ/2024, suscrito por la Titular de la Unidad de Transparencia, por medio del cual responde uno de los cuestionamientos manifestados por el solicitante.</w:t>
      </w:r>
    </w:p>
    <w:p w14:paraId="5BE06B6F" w14:textId="77777777" w:rsidR="00E43858" w:rsidRPr="008A238D" w:rsidRDefault="00E43858" w:rsidP="008A238D">
      <w:pPr>
        <w:pBdr>
          <w:top w:val="nil"/>
          <w:left w:val="nil"/>
          <w:bottom w:val="nil"/>
          <w:right w:val="nil"/>
          <w:between w:val="nil"/>
        </w:pBdr>
        <w:ind w:left="720" w:right="-28"/>
        <w:rPr>
          <w:szCs w:val="22"/>
        </w:rPr>
      </w:pPr>
    </w:p>
    <w:p w14:paraId="4B86656E" w14:textId="77777777" w:rsidR="002B11D9" w:rsidRPr="008A238D" w:rsidRDefault="00E43858" w:rsidP="008A238D">
      <w:pPr>
        <w:pStyle w:val="Ttulo2"/>
        <w:jc w:val="left"/>
        <w:rPr>
          <w:szCs w:val="22"/>
        </w:rPr>
      </w:pPr>
      <w:bookmarkStart w:id="7" w:name="_Toc179394502"/>
      <w:r w:rsidRPr="008A238D">
        <w:rPr>
          <w:szCs w:val="22"/>
        </w:rPr>
        <w:t>DEL RECURSO DE REVISIÓN</w:t>
      </w:r>
      <w:bookmarkEnd w:id="7"/>
    </w:p>
    <w:p w14:paraId="7DEDFA35" w14:textId="77777777" w:rsidR="002B11D9" w:rsidRPr="008A238D" w:rsidRDefault="00E43858" w:rsidP="008A238D">
      <w:pPr>
        <w:pStyle w:val="Ttulo3"/>
        <w:rPr>
          <w:szCs w:val="22"/>
        </w:rPr>
      </w:pPr>
      <w:bookmarkStart w:id="8" w:name="_Toc179394503"/>
      <w:r w:rsidRPr="008A238D">
        <w:rPr>
          <w:szCs w:val="22"/>
        </w:rPr>
        <w:t>a) Interposición del Recurso de Revisión.</w:t>
      </w:r>
      <w:bookmarkEnd w:id="8"/>
    </w:p>
    <w:p w14:paraId="2DA4CDDF" w14:textId="77777777" w:rsidR="002B11D9" w:rsidRPr="008A238D" w:rsidRDefault="00E43858" w:rsidP="008A238D">
      <w:pPr>
        <w:ind w:right="-28"/>
        <w:rPr>
          <w:szCs w:val="22"/>
        </w:rPr>
      </w:pPr>
      <w:r w:rsidRPr="008A238D">
        <w:rPr>
          <w:szCs w:val="22"/>
        </w:rPr>
        <w:t xml:space="preserve">El </w:t>
      </w:r>
      <w:r w:rsidR="00622E78" w:rsidRPr="008A238D">
        <w:rPr>
          <w:b/>
          <w:szCs w:val="22"/>
        </w:rPr>
        <w:t>dos</w:t>
      </w:r>
      <w:r w:rsidRPr="008A238D">
        <w:rPr>
          <w:b/>
          <w:szCs w:val="22"/>
        </w:rPr>
        <w:t xml:space="preserve"> de </w:t>
      </w:r>
      <w:r w:rsidR="00622E78" w:rsidRPr="008A238D">
        <w:rPr>
          <w:b/>
          <w:szCs w:val="22"/>
        </w:rPr>
        <w:t>septiembre</w:t>
      </w:r>
      <w:r w:rsidRPr="008A238D">
        <w:rPr>
          <w:b/>
          <w:szCs w:val="22"/>
        </w:rPr>
        <w:t xml:space="preserve"> de dos mil veinticuatro</w:t>
      </w:r>
      <w:r w:rsidRPr="008A238D">
        <w:rPr>
          <w:szCs w:val="22"/>
        </w:rPr>
        <w:t xml:space="preserve"> </w:t>
      </w:r>
      <w:r w:rsidRPr="008A238D">
        <w:rPr>
          <w:b/>
          <w:szCs w:val="22"/>
        </w:rPr>
        <w:t>LA PARTE RECURRENTE</w:t>
      </w:r>
      <w:r w:rsidRPr="008A238D">
        <w:rPr>
          <w:szCs w:val="22"/>
        </w:rPr>
        <w:t xml:space="preserve"> interpuso el recurso de revisión en contra de la respuesta emitida por el </w:t>
      </w:r>
      <w:r w:rsidRPr="008A238D">
        <w:rPr>
          <w:b/>
          <w:szCs w:val="22"/>
        </w:rPr>
        <w:t>SUJETO OBLIGADO</w:t>
      </w:r>
      <w:r w:rsidRPr="008A238D">
        <w:rPr>
          <w:szCs w:val="22"/>
        </w:rPr>
        <w:t xml:space="preserve">, mismo que fue registrado en el SAIMEX con el número de expediente </w:t>
      </w:r>
      <w:r w:rsidR="00622E78" w:rsidRPr="008A238D">
        <w:rPr>
          <w:b/>
          <w:szCs w:val="22"/>
        </w:rPr>
        <w:t>05277</w:t>
      </w:r>
      <w:r w:rsidRPr="008A238D">
        <w:rPr>
          <w:b/>
          <w:szCs w:val="22"/>
        </w:rPr>
        <w:t>/INFOEM/IP/RR/2024</w:t>
      </w:r>
      <w:r w:rsidRPr="008A238D">
        <w:rPr>
          <w:szCs w:val="22"/>
        </w:rPr>
        <w:t xml:space="preserve"> y en el cual manifiesta lo siguiente:</w:t>
      </w:r>
    </w:p>
    <w:p w14:paraId="267ABF5A" w14:textId="77777777" w:rsidR="002B11D9" w:rsidRPr="008A238D" w:rsidRDefault="002B11D9" w:rsidP="008A238D">
      <w:pPr>
        <w:tabs>
          <w:tab w:val="left" w:pos="4667"/>
        </w:tabs>
        <w:ind w:right="539"/>
        <w:rPr>
          <w:szCs w:val="22"/>
        </w:rPr>
      </w:pPr>
    </w:p>
    <w:p w14:paraId="4E0BA348" w14:textId="77777777" w:rsidR="002B11D9" w:rsidRPr="008A238D" w:rsidRDefault="00E43858" w:rsidP="008A238D">
      <w:pPr>
        <w:tabs>
          <w:tab w:val="left" w:pos="4667"/>
        </w:tabs>
        <w:ind w:left="567" w:right="539"/>
        <w:rPr>
          <w:b/>
          <w:szCs w:val="22"/>
        </w:rPr>
      </w:pPr>
      <w:r w:rsidRPr="008A238D">
        <w:rPr>
          <w:b/>
          <w:szCs w:val="22"/>
        </w:rPr>
        <w:t>ACTO IMPUGNADO</w:t>
      </w:r>
    </w:p>
    <w:p w14:paraId="2F83D4DA" w14:textId="77777777" w:rsidR="00E05D82" w:rsidRPr="008A238D" w:rsidRDefault="00E05D82" w:rsidP="008A238D">
      <w:pPr>
        <w:tabs>
          <w:tab w:val="left" w:pos="4667"/>
        </w:tabs>
        <w:ind w:left="567" w:right="539"/>
        <w:rPr>
          <w:b/>
          <w:szCs w:val="22"/>
        </w:rPr>
      </w:pPr>
    </w:p>
    <w:p w14:paraId="6F8984E9" w14:textId="77777777" w:rsidR="002B11D9" w:rsidRPr="008A238D" w:rsidRDefault="00E43858" w:rsidP="008A238D">
      <w:pPr>
        <w:pStyle w:val="Puesto"/>
      </w:pPr>
      <w:r w:rsidRPr="008A238D">
        <w:t>“</w:t>
      </w:r>
      <w:r w:rsidR="00622E78" w:rsidRPr="008A238D">
        <w:t xml:space="preserve">La información entregada está incompleta ya que no se dio a conocer el número de víctimas ni si eran mujeres o niños. Tampoco se informó sobre la fecha de los hechos ni la fecha de apertura de la </w:t>
      </w:r>
      <w:r w:rsidR="00622E78" w:rsidRPr="008A238D">
        <w:rPr>
          <w:rStyle w:val="nfasissutil"/>
          <w:color w:val="auto"/>
        </w:rPr>
        <w:t>carpeta</w:t>
      </w:r>
      <w:r w:rsidR="00622E78" w:rsidRPr="008A238D">
        <w:t xml:space="preserve"> de investigación, así como tampoco se desglosaron los casos por año. Tampoco se especificó el estado que guarda la carpeta de investigación. Además, la entrega o puesta a disposición de la información está en una modalidad o formato distinto al que elegí.</w:t>
      </w:r>
      <w:r w:rsidRPr="008A238D">
        <w:t>” (sic).</w:t>
      </w:r>
    </w:p>
    <w:p w14:paraId="09BCD70F" w14:textId="77777777" w:rsidR="002B11D9" w:rsidRPr="008A238D" w:rsidRDefault="002B11D9" w:rsidP="008A238D">
      <w:pPr>
        <w:tabs>
          <w:tab w:val="left" w:pos="4667"/>
        </w:tabs>
        <w:ind w:right="567"/>
        <w:rPr>
          <w:b/>
          <w:szCs w:val="22"/>
        </w:rPr>
      </w:pPr>
    </w:p>
    <w:p w14:paraId="2C930A08" w14:textId="77777777" w:rsidR="00622E78" w:rsidRPr="008A238D" w:rsidRDefault="00622E78" w:rsidP="008A238D">
      <w:pPr>
        <w:tabs>
          <w:tab w:val="left" w:pos="4667"/>
        </w:tabs>
        <w:ind w:right="-28"/>
        <w:rPr>
          <w:szCs w:val="22"/>
        </w:rPr>
      </w:pPr>
      <w:r w:rsidRPr="008A238D">
        <w:rPr>
          <w:szCs w:val="22"/>
        </w:rPr>
        <w:t xml:space="preserve">A la interposición del recurso de revisión se anexó el archivo digital denominado </w:t>
      </w:r>
      <w:r w:rsidRPr="008A238D">
        <w:rPr>
          <w:i/>
          <w:szCs w:val="22"/>
        </w:rPr>
        <w:t>“Archivo1725291839475null”</w:t>
      </w:r>
      <w:r w:rsidRPr="008A238D">
        <w:rPr>
          <w:szCs w:val="22"/>
        </w:rPr>
        <w:t xml:space="preserve"> cuyo contenido no se accesible.</w:t>
      </w:r>
    </w:p>
    <w:p w14:paraId="1FF4957F" w14:textId="77777777" w:rsidR="00622E78" w:rsidRPr="008A238D" w:rsidRDefault="00622E78" w:rsidP="008A238D">
      <w:pPr>
        <w:tabs>
          <w:tab w:val="left" w:pos="4667"/>
        </w:tabs>
        <w:ind w:right="567"/>
        <w:rPr>
          <w:b/>
          <w:szCs w:val="22"/>
        </w:rPr>
      </w:pPr>
    </w:p>
    <w:p w14:paraId="0517F2A5" w14:textId="77777777" w:rsidR="002B11D9" w:rsidRPr="008A238D" w:rsidRDefault="00E43858" w:rsidP="008A238D">
      <w:pPr>
        <w:pStyle w:val="Ttulo3"/>
        <w:rPr>
          <w:szCs w:val="22"/>
        </w:rPr>
      </w:pPr>
      <w:bookmarkStart w:id="9" w:name="_Toc179394504"/>
      <w:r w:rsidRPr="008A238D">
        <w:rPr>
          <w:szCs w:val="22"/>
        </w:rPr>
        <w:t>b) Turno del Recurso de Revisión.</w:t>
      </w:r>
      <w:bookmarkEnd w:id="9"/>
    </w:p>
    <w:p w14:paraId="02C45EB0" w14:textId="77777777" w:rsidR="002B11D9" w:rsidRPr="008A238D" w:rsidRDefault="00E43858" w:rsidP="008A238D">
      <w:pPr>
        <w:rPr>
          <w:szCs w:val="22"/>
        </w:rPr>
      </w:pPr>
      <w:r w:rsidRPr="008A238D">
        <w:rPr>
          <w:szCs w:val="22"/>
        </w:rPr>
        <w:t>Con fundamento en el artículo 185, fracción I de la Ley de Transparencia y Acceso a la Información Pública del Estado de México y Municipios, el</w:t>
      </w:r>
      <w:r w:rsidRPr="008A238D">
        <w:rPr>
          <w:b/>
          <w:szCs w:val="22"/>
        </w:rPr>
        <w:t xml:space="preserve"> </w:t>
      </w:r>
      <w:r w:rsidR="00622E78" w:rsidRPr="008A238D">
        <w:rPr>
          <w:b/>
          <w:szCs w:val="22"/>
        </w:rPr>
        <w:t>dos</w:t>
      </w:r>
      <w:r w:rsidRPr="008A238D">
        <w:rPr>
          <w:b/>
          <w:szCs w:val="22"/>
        </w:rPr>
        <w:t xml:space="preserve"> de </w:t>
      </w:r>
      <w:r w:rsidR="00622E78" w:rsidRPr="008A238D">
        <w:rPr>
          <w:b/>
          <w:szCs w:val="22"/>
        </w:rPr>
        <w:t>septiembre</w:t>
      </w:r>
      <w:r w:rsidRPr="008A238D">
        <w:rPr>
          <w:b/>
          <w:szCs w:val="22"/>
        </w:rPr>
        <w:t xml:space="preserve"> de dos mil </w:t>
      </w:r>
      <w:r w:rsidRPr="008A238D">
        <w:rPr>
          <w:b/>
          <w:szCs w:val="22"/>
        </w:rPr>
        <w:lastRenderedPageBreak/>
        <w:t>veinticuatro</w:t>
      </w:r>
      <w:r w:rsidRPr="008A238D">
        <w:rPr>
          <w:szCs w:val="22"/>
        </w:rPr>
        <w:t xml:space="preserve"> se turnó el recurso de revisión a través del SAIMEX a la </w:t>
      </w:r>
      <w:r w:rsidRPr="008A238D">
        <w:rPr>
          <w:b/>
          <w:szCs w:val="22"/>
        </w:rPr>
        <w:t>Comisionada Sharon Cristina Morales Martínez</w:t>
      </w:r>
      <w:r w:rsidRPr="008A238D">
        <w:rPr>
          <w:szCs w:val="22"/>
        </w:rPr>
        <w:t xml:space="preserve">, a efecto de decretar su admisión o desechamiento. </w:t>
      </w:r>
    </w:p>
    <w:p w14:paraId="42714900" w14:textId="77777777" w:rsidR="002B11D9" w:rsidRPr="008A238D" w:rsidRDefault="002B11D9" w:rsidP="008A238D">
      <w:pPr>
        <w:rPr>
          <w:szCs w:val="22"/>
        </w:rPr>
      </w:pPr>
    </w:p>
    <w:p w14:paraId="0F0A4E49" w14:textId="77777777" w:rsidR="002B11D9" w:rsidRPr="008A238D" w:rsidRDefault="00E43858" w:rsidP="008A238D">
      <w:pPr>
        <w:pStyle w:val="Ttulo3"/>
        <w:rPr>
          <w:szCs w:val="22"/>
        </w:rPr>
      </w:pPr>
      <w:bookmarkStart w:id="10" w:name="_Toc179394505"/>
      <w:r w:rsidRPr="008A238D">
        <w:rPr>
          <w:szCs w:val="22"/>
        </w:rPr>
        <w:t>c) Admisión del Recurso de Revisión.</w:t>
      </w:r>
      <w:bookmarkEnd w:id="10"/>
    </w:p>
    <w:p w14:paraId="196A035D" w14:textId="77777777" w:rsidR="002B11D9" w:rsidRPr="008A238D" w:rsidRDefault="00E43858" w:rsidP="008A238D">
      <w:pPr>
        <w:rPr>
          <w:szCs w:val="22"/>
        </w:rPr>
      </w:pPr>
      <w:r w:rsidRPr="008A238D">
        <w:rPr>
          <w:szCs w:val="22"/>
        </w:rPr>
        <w:t xml:space="preserve">El </w:t>
      </w:r>
      <w:r w:rsidR="00622E78" w:rsidRPr="008A238D">
        <w:rPr>
          <w:b/>
          <w:szCs w:val="22"/>
        </w:rPr>
        <w:t>cuatro</w:t>
      </w:r>
      <w:r w:rsidRPr="008A238D">
        <w:rPr>
          <w:b/>
          <w:szCs w:val="22"/>
        </w:rPr>
        <w:t xml:space="preserve"> de </w:t>
      </w:r>
      <w:r w:rsidR="00622E78" w:rsidRPr="008A238D">
        <w:rPr>
          <w:b/>
          <w:szCs w:val="22"/>
        </w:rPr>
        <w:t>septiembre</w:t>
      </w:r>
      <w:r w:rsidRPr="008A238D">
        <w:rPr>
          <w:b/>
          <w:szCs w:val="22"/>
        </w:rPr>
        <w:t xml:space="preserve"> de dos mil veinticuatro</w:t>
      </w:r>
      <w:r w:rsidRPr="008A238D">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30FCD25" w14:textId="77777777" w:rsidR="002B11D9" w:rsidRPr="008A238D" w:rsidRDefault="002B11D9" w:rsidP="008A238D">
      <w:pPr>
        <w:rPr>
          <w:b/>
          <w:szCs w:val="22"/>
        </w:rPr>
      </w:pPr>
    </w:p>
    <w:p w14:paraId="603DCD6C" w14:textId="77777777" w:rsidR="002B11D9" w:rsidRPr="008A238D" w:rsidRDefault="00E43858" w:rsidP="008A238D">
      <w:pPr>
        <w:pStyle w:val="Ttulo3"/>
        <w:rPr>
          <w:szCs w:val="22"/>
        </w:rPr>
      </w:pPr>
      <w:bookmarkStart w:id="11" w:name="_Toc179394506"/>
      <w:r w:rsidRPr="008A238D">
        <w:rPr>
          <w:szCs w:val="22"/>
        </w:rPr>
        <w:t xml:space="preserve">d) </w:t>
      </w:r>
      <w:r w:rsidR="00875119" w:rsidRPr="008A238D">
        <w:rPr>
          <w:szCs w:val="22"/>
        </w:rPr>
        <w:t>Manifestaciones</w:t>
      </w:r>
      <w:r w:rsidRPr="008A238D">
        <w:rPr>
          <w:szCs w:val="22"/>
        </w:rPr>
        <w:t xml:space="preserve"> del Sujeto Obligado.</w:t>
      </w:r>
      <w:bookmarkEnd w:id="11"/>
    </w:p>
    <w:p w14:paraId="3DFE7EED" w14:textId="77777777" w:rsidR="002B11D9" w:rsidRPr="008A238D" w:rsidRDefault="00E43858" w:rsidP="008A238D">
      <w:pPr>
        <w:rPr>
          <w:szCs w:val="22"/>
        </w:rPr>
      </w:pPr>
      <w:r w:rsidRPr="008A238D">
        <w:rPr>
          <w:szCs w:val="22"/>
        </w:rPr>
        <w:t xml:space="preserve">El </w:t>
      </w:r>
      <w:r w:rsidR="00E05D82" w:rsidRPr="008A238D">
        <w:rPr>
          <w:b/>
          <w:szCs w:val="22"/>
        </w:rPr>
        <w:t xml:space="preserve">veintitrés de septiembre de </w:t>
      </w:r>
      <w:r w:rsidRPr="008A238D">
        <w:rPr>
          <w:b/>
          <w:szCs w:val="22"/>
        </w:rPr>
        <w:t>dos mil veinticuatro EL SUJETO OBLIGADO</w:t>
      </w:r>
      <w:r w:rsidRPr="008A238D">
        <w:rPr>
          <w:szCs w:val="22"/>
        </w:rPr>
        <w:t xml:space="preserve"> </w:t>
      </w:r>
      <w:r w:rsidR="00875119" w:rsidRPr="008A238D">
        <w:rPr>
          <w:szCs w:val="22"/>
        </w:rPr>
        <w:t>remitió conforme a su derecho, los archivos digitales que a continuación se describen:</w:t>
      </w:r>
    </w:p>
    <w:p w14:paraId="67582A01" w14:textId="77777777" w:rsidR="00E05D82" w:rsidRPr="008A238D" w:rsidRDefault="00E05D82" w:rsidP="008A238D">
      <w:pPr>
        <w:rPr>
          <w:szCs w:val="22"/>
        </w:rPr>
      </w:pPr>
    </w:p>
    <w:p w14:paraId="3C505562" w14:textId="77777777" w:rsidR="00875119" w:rsidRPr="008A238D" w:rsidRDefault="00875119" w:rsidP="008A238D">
      <w:pPr>
        <w:pStyle w:val="Prrafodelista"/>
        <w:numPr>
          <w:ilvl w:val="0"/>
          <w:numId w:val="5"/>
        </w:numPr>
        <w:rPr>
          <w:b/>
          <w:i/>
          <w:szCs w:val="22"/>
        </w:rPr>
      </w:pPr>
      <w:r w:rsidRPr="008A238D">
        <w:rPr>
          <w:b/>
          <w:i/>
          <w:szCs w:val="22"/>
        </w:rPr>
        <w:t>“</w:t>
      </w:r>
      <w:hyperlink r:id="rId12" w:history="1">
        <w:r w:rsidR="00622E78" w:rsidRPr="008A238D">
          <w:rPr>
            <w:b/>
            <w:i/>
            <w:szCs w:val="22"/>
          </w:rPr>
          <w:t>Of. I.J. RR 5277 OF 2991_2024.pdf</w:t>
        </w:r>
      </w:hyperlink>
      <w:r w:rsidRPr="008A238D">
        <w:rPr>
          <w:szCs w:val="22"/>
        </w:rPr>
        <w:t xml:space="preserve">”: documento constante de 1 foja útil, que contiene </w:t>
      </w:r>
      <w:r w:rsidR="00551CE3" w:rsidRPr="008A238D">
        <w:rPr>
          <w:szCs w:val="22"/>
        </w:rPr>
        <w:t>el oficio número 2991/MAIP/FGJ/2024, suscrito por la Titular de la Unidad de Transparencia, por medio del cual indica que se adjunta el respectivo informe justificado</w:t>
      </w:r>
      <w:r w:rsidRPr="008A238D">
        <w:rPr>
          <w:szCs w:val="22"/>
        </w:rPr>
        <w:t>.</w:t>
      </w:r>
    </w:p>
    <w:p w14:paraId="70E87574" w14:textId="77777777" w:rsidR="00875119" w:rsidRPr="008A238D" w:rsidRDefault="00875119" w:rsidP="008A238D">
      <w:pPr>
        <w:pStyle w:val="Prrafodelista"/>
        <w:numPr>
          <w:ilvl w:val="0"/>
          <w:numId w:val="5"/>
        </w:numPr>
        <w:rPr>
          <w:szCs w:val="22"/>
        </w:rPr>
      </w:pPr>
      <w:r w:rsidRPr="008A238D">
        <w:rPr>
          <w:b/>
          <w:i/>
          <w:szCs w:val="22"/>
        </w:rPr>
        <w:t>“</w:t>
      </w:r>
      <w:r w:rsidR="00551CE3" w:rsidRPr="008A238D">
        <w:rPr>
          <w:b/>
          <w:i/>
          <w:szCs w:val="22"/>
        </w:rPr>
        <w:t>I.J. RR 5277 OF 2992 sol 703_2024.pdf</w:t>
      </w:r>
      <w:r w:rsidRPr="008A238D">
        <w:rPr>
          <w:b/>
          <w:i/>
          <w:szCs w:val="22"/>
        </w:rPr>
        <w:t xml:space="preserve">”: </w:t>
      </w:r>
      <w:r w:rsidRPr="008A238D">
        <w:rPr>
          <w:szCs w:val="22"/>
        </w:rPr>
        <w:t xml:space="preserve">documento constante de </w:t>
      </w:r>
      <w:r w:rsidR="00551CE3" w:rsidRPr="008A238D">
        <w:rPr>
          <w:szCs w:val="22"/>
        </w:rPr>
        <w:t>6</w:t>
      </w:r>
      <w:r w:rsidRPr="008A238D">
        <w:rPr>
          <w:szCs w:val="22"/>
        </w:rPr>
        <w:t xml:space="preserve"> foja</w:t>
      </w:r>
      <w:r w:rsidR="00551CE3" w:rsidRPr="008A238D">
        <w:rPr>
          <w:szCs w:val="22"/>
        </w:rPr>
        <w:t>s</w:t>
      </w:r>
      <w:r w:rsidRPr="008A238D">
        <w:rPr>
          <w:szCs w:val="22"/>
        </w:rPr>
        <w:t xml:space="preserve"> útil</w:t>
      </w:r>
      <w:r w:rsidR="00551CE3" w:rsidRPr="008A238D">
        <w:rPr>
          <w:szCs w:val="22"/>
        </w:rPr>
        <w:t>es</w:t>
      </w:r>
      <w:r w:rsidRPr="008A238D">
        <w:rPr>
          <w:szCs w:val="22"/>
        </w:rPr>
        <w:t xml:space="preserve">, de cuyo contenido se advierte el oficio número </w:t>
      </w:r>
      <w:r w:rsidR="00551CE3" w:rsidRPr="008A238D">
        <w:rPr>
          <w:szCs w:val="22"/>
        </w:rPr>
        <w:t xml:space="preserve">2992/MAIP/FGJ/2024, suscrito por la Titular de la Unidad de Transparencia por medio del cual señala que, </w:t>
      </w:r>
      <w:r w:rsidR="00551CE3" w:rsidRPr="008A238D">
        <w:rPr>
          <w:b/>
          <w:szCs w:val="22"/>
        </w:rPr>
        <w:t xml:space="preserve">LA PARTE RECURRENTE </w:t>
      </w:r>
      <w:r w:rsidR="00551CE3" w:rsidRPr="008A238D">
        <w:rPr>
          <w:szCs w:val="22"/>
        </w:rPr>
        <w:t>se inconforma sobre información que no formó parte de su solicitud inicial.</w:t>
      </w:r>
    </w:p>
    <w:p w14:paraId="20EECFB7" w14:textId="77777777" w:rsidR="002B11D9" w:rsidRPr="008A238D" w:rsidRDefault="002B11D9" w:rsidP="008A238D">
      <w:pPr>
        <w:rPr>
          <w:szCs w:val="22"/>
        </w:rPr>
      </w:pPr>
    </w:p>
    <w:p w14:paraId="04A35A9A" w14:textId="77777777" w:rsidR="002B11D9" w:rsidRPr="008A238D" w:rsidRDefault="00E43858" w:rsidP="008A238D">
      <w:pPr>
        <w:rPr>
          <w:szCs w:val="22"/>
        </w:rPr>
      </w:pPr>
      <w:r w:rsidRPr="008A238D">
        <w:rPr>
          <w:szCs w:val="22"/>
        </w:rPr>
        <w:t xml:space="preserve">Esta información fue puesta a la vista de </w:t>
      </w:r>
      <w:r w:rsidRPr="008A238D">
        <w:rPr>
          <w:b/>
          <w:szCs w:val="22"/>
        </w:rPr>
        <w:t xml:space="preserve">LA PARTE RECURRENTE </w:t>
      </w:r>
      <w:r w:rsidRPr="008A238D">
        <w:rPr>
          <w:szCs w:val="22"/>
        </w:rPr>
        <w:t xml:space="preserve">el </w:t>
      </w:r>
      <w:r w:rsidR="00875119" w:rsidRPr="008A238D">
        <w:rPr>
          <w:b/>
          <w:szCs w:val="22"/>
        </w:rPr>
        <w:t>dos</w:t>
      </w:r>
      <w:r w:rsidRPr="008A238D">
        <w:rPr>
          <w:b/>
          <w:szCs w:val="22"/>
        </w:rPr>
        <w:t xml:space="preserve"> de </w:t>
      </w:r>
      <w:r w:rsidR="008D765E" w:rsidRPr="008A238D">
        <w:rPr>
          <w:b/>
          <w:szCs w:val="22"/>
        </w:rPr>
        <w:t>octubre</w:t>
      </w:r>
      <w:r w:rsidRPr="008A238D">
        <w:rPr>
          <w:b/>
          <w:szCs w:val="22"/>
        </w:rPr>
        <w:t xml:space="preserve"> de dos mil veinticuatro</w:t>
      </w:r>
      <w:r w:rsidRPr="008A238D">
        <w:rPr>
          <w:szCs w:val="22"/>
        </w:rPr>
        <w:t xml:space="preserve"> para que, en un plazo de tres días hábiles, manifestara lo que a su derecho </w:t>
      </w:r>
      <w:r w:rsidRPr="008A238D">
        <w:rPr>
          <w:szCs w:val="22"/>
        </w:rPr>
        <w:lastRenderedPageBreak/>
        <w:t>conviniera, de conformidad con lo establecido en el artículo 185, fracción III de la Ley de Transparencia y Acceso a la Información Pública del Estado de México y Municipios.</w:t>
      </w:r>
    </w:p>
    <w:p w14:paraId="09D7857D" w14:textId="77777777" w:rsidR="002B11D9" w:rsidRPr="008A238D" w:rsidRDefault="002B11D9" w:rsidP="008A238D">
      <w:pPr>
        <w:ind w:right="539"/>
        <w:rPr>
          <w:szCs w:val="22"/>
        </w:rPr>
      </w:pPr>
    </w:p>
    <w:p w14:paraId="2C28C116" w14:textId="77777777" w:rsidR="002B11D9" w:rsidRPr="008A238D" w:rsidRDefault="00E43858" w:rsidP="008A238D">
      <w:pPr>
        <w:pStyle w:val="Ttulo3"/>
        <w:rPr>
          <w:szCs w:val="22"/>
        </w:rPr>
      </w:pPr>
      <w:bookmarkStart w:id="12" w:name="_Toc179394507"/>
      <w:r w:rsidRPr="008A238D">
        <w:rPr>
          <w:szCs w:val="22"/>
        </w:rPr>
        <w:t>e) Manifestaciones de la Parte Recurrente.</w:t>
      </w:r>
      <w:bookmarkEnd w:id="12"/>
    </w:p>
    <w:p w14:paraId="32843712" w14:textId="77777777" w:rsidR="002B11D9" w:rsidRPr="008A238D" w:rsidRDefault="00E43858" w:rsidP="008A238D">
      <w:pPr>
        <w:rPr>
          <w:szCs w:val="22"/>
        </w:rPr>
      </w:pPr>
      <w:r w:rsidRPr="008A238D">
        <w:rPr>
          <w:b/>
          <w:szCs w:val="22"/>
        </w:rPr>
        <w:t xml:space="preserve">LA PARTE RECURRENTE </w:t>
      </w:r>
      <w:r w:rsidRPr="008A238D">
        <w:rPr>
          <w:szCs w:val="22"/>
        </w:rPr>
        <w:t>no realizó manifestación alguna dentro del término legalmente concedido para tal efecto, ni presentó pruebas o alegatos.</w:t>
      </w:r>
    </w:p>
    <w:p w14:paraId="15416B5C" w14:textId="77777777" w:rsidR="002B11D9" w:rsidRPr="008A238D" w:rsidRDefault="002B11D9" w:rsidP="008A238D">
      <w:pPr>
        <w:rPr>
          <w:szCs w:val="22"/>
        </w:rPr>
      </w:pPr>
      <w:bookmarkStart w:id="13" w:name="_heading=h.26in1rg" w:colFirst="0" w:colLast="0"/>
      <w:bookmarkEnd w:id="13"/>
    </w:p>
    <w:p w14:paraId="09C05648" w14:textId="77777777" w:rsidR="002B11D9" w:rsidRPr="008A238D" w:rsidRDefault="002A399C" w:rsidP="008A238D">
      <w:pPr>
        <w:pStyle w:val="Ttulo3"/>
        <w:rPr>
          <w:szCs w:val="22"/>
        </w:rPr>
      </w:pPr>
      <w:bookmarkStart w:id="14" w:name="_Toc179394508"/>
      <w:r w:rsidRPr="008A238D">
        <w:rPr>
          <w:szCs w:val="22"/>
        </w:rPr>
        <w:t>f</w:t>
      </w:r>
      <w:r w:rsidR="00E43858" w:rsidRPr="008A238D">
        <w:rPr>
          <w:szCs w:val="22"/>
        </w:rPr>
        <w:t>) Cierre de instrucción.</w:t>
      </w:r>
      <w:bookmarkEnd w:id="14"/>
    </w:p>
    <w:p w14:paraId="32BAC1ED" w14:textId="77777777" w:rsidR="002B11D9" w:rsidRPr="008A238D" w:rsidRDefault="00E43858" w:rsidP="008A238D">
      <w:pPr>
        <w:rPr>
          <w:szCs w:val="22"/>
        </w:rPr>
      </w:pPr>
      <w:bookmarkStart w:id="15" w:name="_heading=h.35nkun2" w:colFirst="0" w:colLast="0"/>
      <w:bookmarkEnd w:id="15"/>
      <w:r w:rsidRPr="008A238D">
        <w:rPr>
          <w:szCs w:val="22"/>
        </w:rPr>
        <w:t xml:space="preserve">Al no existir diligencias pendientes por desahogar, el </w:t>
      </w:r>
      <w:r w:rsidR="00551CE3" w:rsidRPr="008A238D">
        <w:rPr>
          <w:b/>
          <w:szCs w:val="22"/>
        </w:rPr>
        <w:t>ocho</w:t>
      </w:r>
      <w:r w:rsidRPr="008A238D">
        <w:rPr>
          <w:b/>
          <w:szCs w:val="22"/>
        </w:rPr>
        <w:t xml:space="preserve"> de </w:t>
      </w:r>
      <w:r w:rsidR="00551CE3" w:rsidRPr="008A238D">
        <w:rPr>
          <w:b/>
          <w:szCs w:val="22"/>
        </w:rPr>
        <w:t>octubre</w:t>
      </w:r>
      <w:r w:rsidRPr="008A238D">
        <w:rPr>
          <w:b/>
          <w:szCs w:val="22"/>
        </w:rPr>
        <w:t xml:space="preserve"> de dos mil veinticuatro</w:t>
      </w:r>
      <w:r w:rsidRPr="008A238D">
        <w:rPr>
          <w:szCs w:val="22"/>
        </w:rPr>
        <w:t xml:space="preserve"> la </w:t>
      </w:r>
      <w:r w:rsidRPr="008A238D">
        <w:rPr>
          <w:b/>
          <w:szCs w:val="22"/>
        </w:rPr>
        <w:t xml:space="preserve">Comisionada Sharon Cristina Morales Martínez </w:t>
      </w:r>
      <w:r w:rsidRPr="008A238D">
        <w:rPr>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1AE7CA9" w14:textId="77777777" w:rsidR="002B11D9" w:rsidRPr="008A238D" w:rsidRDefault="002B11D9" w:rsidP="008A238D">
      <w:pPr>
        <w:rPr>
          <w:szCs w:val="22"/>
        </w:rPr>
      </w:pPr>
    </w:p>
    <w:p w14:paraId="5DF137E2" w14:textId="77777777" w:rsidR="002B11D9" w:rsidRPr="008A238D" w:rsidRDefault="00E43858" w:rsidP="008A238D">
      <w:pPr>
        <w:pStyle w:val="Ttulo1"/>
        <w:rPr>
          <w:szCs w:val="22"/>
        </w:rPr>
      </w:pPr>
      <w:bookmarkStart w:id="16" w:name="_Toc179394509"/>
      <w:r w:rsidRPr="008A238D">
        <w:rPr>
          <w:szCs w:val="22"/>
        </w:rPr>
        <w:t>CONSIDERANDOS</w:t>
      </w:r>
      <w:bookmarkEnd w:id="16"/>
    </w:p>
    <w:p w14:paraId="09F9C6CD" w14:textId="77777777" w:rsidR="002B11D9" w:rsidRPr="008A238D" w:rsidRDefault="002B11D9" w:rsidP="008A238D">
      <w:pPr>
        <w:jc w:val="center"/>
        <w:rPr>
          <w:b/>
          <w:szCs w:val="22"/>
        </w:rPr>
      </w:pPr>
    </w:p>
    <w:p w14:paraId="4E4C56F3" w14:textId="77777777" w:rsidR="002B11D9" w:rsidRPr="008A238D" w:rsidRDefault="00E43858" w:rsidP="008A238D">
      <w:pPr>
        <w:pStyle w:val="Ttulo2"/>
        <w:rPr>
          <w:szCs w:val="22"/>
        </w:rPr>
      </w:pPr>
      <w:bookmarkStart w:id="17" w:name="_Toc179394510"/>
      <w:r w:rsidRPr="008A238D">
        <w:rPr>
          <w:szCs w:val="22"/>
        </w:rPr>
        <w:t>PRIMERO. Procedibilidad</w:t>
      </w:r>
      <w:bookmarkEnd w:id="17"/>
    </w:p>
    <w:p w14:paraId="61B0961F" w14:textId="77777777" w:rsidR="002B11D9" w:rsidRPr="008A238D" w:rsidRDefault="00E43858" w:rsidP="008A238D">
      <w:pPr>
        <w:pStyle w:val="Ttulo3"/>
        <w:rPr>
          <w:szCs w:val="22"/>
        </w:rPr>
      </w:pPr>
      <w:bookmarkStart w:id="18" w:name="_Toc179394511"/>
      <w:r w:rsidRPr="008A238D">
        <w:rPr>
          <w:szCs w:val="22"/>
        </w:rPr>
        <w:t>a) Competencia del Instituto.</w:t>
      </w:r>
      <w:bookmarkEnd w:id="18"/>
    </w:p>
    <w:p w14:paraId="4E7C080A" w14:textId="77777777" w:rsidR="002B11D9" w:rsidRPr="008A238D" w:rsidRDefault="00E43858" w:rsidP="008A238D">
      <w:pPr>
        <w:rPr>
          <w:szCs w:val="22"/>
        </w:rPr>
      </w:pPr>
      <w:r w:rsidRPr="008A238D">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8A238D">
        <w:rPr>
          <w:szCs w:val="22"/>
        </w:rPr>
        <w:lastRenderedPageBreak/>
        <w:t>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74D4D3D" w14:textId="77777777" w:rsidR="002B11D9" w:rsidRPr="008A238D" w:rsidRDefault="002B11D9" w:rsidP="008A238D">
      <w:pPr>
        <w:rPr>
          <w:szCs w:val="22"/>
        </w:rPr>
      </w:pPr>
    </w:p>
    <w:p w14:paraId="3B98DC53" w14:textId="77777777" w:rsidR="002B11D9" w:rsidRPr="008A238D" w:rsidRDefault="00E43858" w:rsidP="008A238D">
      <w:pPr>
        <w:pStyle w:val="Ttulo3"/>
        <w:rPr>
          <w:szCs w:val="22"/>
        </w:rPr>
      </w:pPr>
      <w:bookmarkStart w:id="19" w:name="_Toc179394512"/>
      <w:r w:rsidRPr="008A238D">
        <w:rPr>
          <w:szCs w:val="22"/>
        </w:rPr>
        <w:t>b) Legitimidad de la parte recurrente.</w:t>
      </w:r>
      <w:bookmarkEnd w:id="19"/>
    </w:p>
    <w:p w14:paraId="72493AB6" w14:textId="77777777" w:rsidR="002B11D9" w:rsidRPr="008A238D" w:rsidRDefault="00E43858" w:rsidP="008A238D">
      <w:pPr>
        <w:rPr>
          <w:szCs w:val="22"/>
        </w:rPr>
      </w:pPr>
      <w:r w:rsidRPr="008A238D">
        <w:rPr>
          <w:szCs w:val="22"/>
        </w:rPr>
        <w:t>El recurso de revisión fue interpuesto por parte legítima, ya que se presentó por la misma persona que formuló la solicitud de acceso a la Información Pública,</w:t>
      </w:r>
      <w:r w:rsidRPr="008A238D">
        <w:rPr>
          <w:b/>
          <w:szCs w:val="22"/>
        </w:rPr>
        <w:t xml:space="preserve"> </w:t>
      </w:r>
      <w:r w:rsidRPr="008A238D">
        <w:rPr>
          <w:szCs w:val="22"/>
        </w:rPr>
        <w:t>debido a que los datos de acceso</w:t>
      </w:r>
      <w:r w:rsidRPr="008A238D">
        <w:rPr>
          <w:b/>
          <w:szCs w:val="22"/>
        </w:rPr>
        <w:t xml:space="preserve"> </w:t>
      </w:r>
      <w:r w:rsidRPr="008A238D">
        <w:rPr>
          <w:szCs w:val="22"/>
        </w:rPr>
        <w:t>SAIMEX son personales e irrepetibles.</w:t>
      </w:r>
    </w:p>
    <w:p w14:paraId="7E5E3ACB" w14:textId="77777777" w:rsidR="002B11D9" w:rsidRPr="008A238D" w:rsidRDefault="002B11D9" w:rsidP="008A238D">
      <w:pPr>
        <w:rPr>
          <w:szCs w:val="22"/>
        </w:rPr>
      </w:pPr>
    </w:p>
    <w:p w14:paraId="0002867F" w14:textId="77777777" w:rsidR="002B11D9" w:rsidRPr="008A238D" w:rsidRDefault="00E43858" w:rsidP="008A238D">
      <w:pPr>
        <w:pStyle w:val="Ttulo3"/>
        <w:rPr>
          <w:szCs w:val="22"/>
        </w:rPr>
      </w:pPr>
      <w:bookmarkStart w:id="20" w:name="_Toc179394513"/>
      <w:r w:rsidRPr="008A238D">
        <w:rPr>
          <w:szCs w:val="22"/>
        </w:rPr>
        <w:t>c) Plazo para interponer el recurso.</w:t>
      </w:r>
      <w:bookmarkEnd w:id="20"/>
    </w:p>
    <w:p w14:paraId="7BEE5647" w14:textId="77777777" w:rsidR="002B11D9" w:rsidRPr="008A238D" w:rsidRDefault="00E43858" w:rsidP="008A238D">
      <w:pPr>
        <w:rPr>
          <w:szCs w:val="22"/>
        </w:rPr>
      </w:pPr>
      <w:bookmarkStart w:id="21" w:name="_heading=h.1y810tw" w:colFirst="0" w:colLast="0"/>
      <w:bookmarkEnd w:id="21"/>
      <w:r w:rsidRPr="008A238D">
        <w:rPr>
          <w:b/>
          <w:szCs w:val="22"/>
        </w:rPr>
        <w:t>EL SUJETO OBLIGADO</w:t>
      </w:r>
      <w:r w:rsidRPr="008A238D">
        <w:rPr>
          <w:szCs w:val="22"/>
        </w:rPr>
        <w:t xml:space="preserve"> notificó la respuesta a la solicitud de acceso a la Información Pública el </w:t>
      </w:r>
      <w:r w:rsidR="00551CE3" w:rsidRPr="008A238D">
        <w:rPr>
          <w:b/>
          <w:szCs w:val="22"/>
        </w:rPr>
        <w:t>veintiséis</w:t>
      </w:r>
      <w:r w:rsidRPr="008A238D">
        <w:rPr>
          <w:b/>
          <w:szCs w:val="22"/>
        </w:rPr>
        <w:t xml:space="preserve"> de </w:t>
      </w:r>
      <w:r w:rsidR="00551CE3" w:rsidRPr="008A238D">
        <w:rPr>
          <w:b/>
          <w:szCs w:val="22"/>
        </w:rPr>
        <w:t>agosto</w:t>
      </w:r>
      <w:r w:rsidRPr="008A238D">
        <w:rPr>
          <w:b/>
          <w:szCs w:val="22"/>
        </w:rPr>
        <w:t xml:space="preserve"> de dos mil veinticuatro</w:t>
      </w:r>
      <w:r w:rsidRPr="008A238D">
        <w:rPr>
          <w:szCs w:val="22"/>
        </w:rPr>
        <w:t xml:space="preserve"> y el recurso que nos ocupa se interpuso el </w:t>
      </w:r>
      <w:r w:rsidR="00551CE3" w:rsidRPr="008A238D">
        <w:rPr>
          <w:b/>
          <w:szCs w:val="22"/>
        </w:rPr>
        <w:t>dos</w:t>
      </w:r>
      <w:r w:rsidRPr="008A238D">
        <w:rPr>
          <w:b/>
          <w:szCs w:val="22"/>
        </w:rPr>
        <w:t xml:space="preserve"> de </w:t>
      </w:r>
      <w:r w:rsidR="00551CE3" w:rsidRPr="008A238D">
        <w:rPr>
          <w:b/>
          <w:szCs w:val="22"/>
        </w:rPr>
        <w:t>septiembre</w:t>
      </w:r>
      <w:r w:rsidRPr="008A238D">
        <w:rPr>
          <w:b/>
          <w:szCs w:val="22"/>
        </w:rPr>
        <w:t xml:space="preserve"> de dos mil veinticuatro</w:t>
      </w:r>
      <w:r w:rsidRPr="008A238D">
        <w:rPr>
          <w:szCs w:val="22"/>
        </w:rPr>
        <w:t xml:space="preserve"> por lo tanto, éste se encuentra dentro del margen temporal previsto en el artículo 178 de la Ley de Transparencia y Acceso a la Información Pública del Estado de México y Municipios, el cual transcurrió del </w:t>
      </w:r>
      <w:r w:rsidR="00551CE3" w:rsidRPr="008A238D">
        <w:rPr>
          <w:b/>
          <w:szCs w:val="22"/>
        </w:rPr>
        <w:t>veintisiete</w:t>
      </w:r>
      <w:r w:rsidRPr="008A238D">
        <w:rPr>
          <w:b/>
          <w:szCs w:val="22"/>
        </w:rPr>
        <w:t xml:space="preserve"> de </w:t>
      </w:r>
      <w:r w:rsidR="00551CE3" w:rsidRPr="008A238D">
        <w:rPr>
          <w:b/>
          <w:szCs w:val="22"/>
        </w:rPr>
        <w:t>agosto</w:t>
      </w:r>
      <w:r w:rsidRPr="008A238D">
        <w:rPr>
          <w:b/>
          <w:szCs w:val="22"/>
        </w:rPr>
        <w:t xml:space="preserve"> al </w:t>
      </w:r>
      <w:r w:rsidR="00551CE3" w:rsidRPr="008A238D">
        <w:rPr>
          <w:b/>
          <w:szCs w:val="22"/>
        </w:rPr>
        <w:t>diecis</w:t>
      </w:r>
      <w:r w:rsidR="00946782" w:rsidRPr="008A238D">
        <w:rPr>
          <w:b/>
          <w:szCs w:val="22"/>
        </w:rPr>
        <w:t>iete</w:t>
      </w:r>
      <w:r w:rsidRPr="008A238D">
        <w:rPr>
          <w:b/>
          <w:szCs w:val="22"/>
        </w:rPr>
        <w:t xml:space="preserve"> de </w:t>
      </w:r>
      <w:r w:rsidR="00551CE3" w:rsidRPr="008A238D">
        <w:rPr>
          <w:b/>
          <w:szCs w:val="22"/>
        </w:rPr>
        <w:t>septiembre</w:t>
      </w:r>
      <w:r w:rsidRPr="008A238D">
        <w:rPr>
          <w:b/>
          <w:szCs w:val="22"/>
        </w:rPr>
        <w:t xml:space="preserve"> de dos mil veinticuatro</w:t>
      </w:r>
      <w:r w:rsidRPr="008A238D">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170DF14" w14:textId="77777777" w:rsidR="002B11D9" w:rsidRPr="008A238D" w:rsidRDefault="002B11D9" w:rsidP="008A238D">
      <w:pPr>
        <w:rPr>
          <w:szCs w:val="22"/>
        </w:rPr>
      </w:pPr>
    </w:p>
    <w:p w14:paraId="622AB84A" w14:textId="77777777" w:rsidR="002B11D9" w:rsidRPr="008A238D" w:rsidRDefault="00E43858" w:rsidP="008A238D">
      <w:pPr>
        <w:pStyle w:val="Ttulo3"/>
        <w:rPr>
          <w:szCs w:val="22"/>
        </w:rPr>
      </w:pPr>
      <w:bookmarkStart w:id="22" w:name="_Toc179394514"/>
      <w:r w:rsidRPr="008A238D">
        <w:rPr>
          <w:szCs w:val="22"/>
        </w:rPr>
        <w:t>d) Causal de procedencia.</w:t>
      </w:r>
      <w:bookmarkEnd w:id="22"/>
    </w:p>
    <w:p w14:paraId="1BECC74D" w14:textId="77777777" w:rsidR="002B11D9" w:rsidRPr="008A238D" w:rsidRDefault="00E43858" w:rsidP="008A238D">
      <w:pPr>
        <w:rPr>
          <w:szCs w:val="22"/>
        </w:rPr>
      </w:pPr>
      <w:r w:rsidRPr="008A238D">
        <w:rPr>
          <w:szCs w:val="22"/>
        </w:rPr>
        <w:t>Resulta procedente la interposición del recurso de revisión, ya que se actualiza la causal de procedencia señalada en el artículo 179, fracción V de la Ley de Transparencia y Acceso a la Información Pública del Estado de México y Municipios.</w:t>
      </w:r>
    </w:p>
    <w:p w14:paraId="65A6A0CC" w14:textId="77777777" w:rsidR="002B11D9" w:rsidRPr="008A238D" w:rsidRDefault="002B11D9" w:rsidP="008A238D">
      <w:pPr>
        <w:rPr>
          <w:szCs w:val="22"/>
        </w:rPr>
      </w:pPr>
    </w:p>
    <w:p w14:paraId="4473AB6B" w14:textId="77777777" w:rsidR="002B11D9" w:rsidRPr="008A238D" w:rsidRDefault="00E43858" w:rsidP="008A238D">
      <w:pPr>
        <w:pStyle w:val="Ttulo3"/>
        <w:rPr>
          <w:szCs w:val="22"/>
        </w:rPr>
      </w:pPr>
      <w:bookmarkStart w:id="23" w:name="_Toc179394515"/>
      <w:r w:rsidRPr="008A238D">
        <w:rPr>
          <w:szCs w:val="22"/>
        </w:rPr>
        <w:t>e) Requisitos formales para la interposición del recurso.</w:t>
      </w:r>
      <w:bookmarkEnd w:id="23"/>
    </w:p>
    <w:p w14:paraId="248404A2" w14:textId="77777777" w:rsidR="002B11D9" w:rsidRPr="008A238D" w:rsidRDefault="00E43858" w:rsidP="008A238D">
      <w:pPr>
        <w:rPr>
          <w:szCs w:val="22"/>
        </w:rPr>
      </w:pPr>
      <w:r w:rsidRPr="008A238D">
        <w:rPr>
          <w:b/>
          <w:szCs w:val="22"/>
        </w:rPr>
        <w:t xml:space="preserve">LA PARTE RECURRENTE </w:t>
      </w:r>
      <w:r w:rsidRPr="008A238D">
        <w:rPr>
          <w:szCs w:val="22"/>
        </w:rPr>
        <w:t>acreditó todos y cada uno de los elementos formales exigidos por el artículo 180 de la misma normatividad.</w:t>
      </w:r>
    </w:p>
    <w:p w14:paraId="77B28FBE" w14:textId="77777777" w:rsidR="002B11D9" w:rsidRPr="008A238D" w:rsidRDefault="002B11D9" w:rsidP="008A238D">
      <w:pPr>
        <w:rPr>
          <w:szCs w:val="22"/>
        </w:rPr>
      </w:pPr>
    </w:p>
    <w:p w14:paraId="18416483" w14:textId="77777777" w:rsidR="002B11D9" w:rsidRPr="008A238D" w:rsidRDefault="00E43858" w:rsidP="008A238D">
      <w:pPr>
        <w:pStyle w:val="Ttulo2"/>
        <w:rPr>
          <w:szCs w:val="22"/>
        </w:rPr>
      </w:pPr>
      <w:bookmarkStart w:id="24" w:name="_Toc179394516"/>
      <w:r w:rsidRPr="008A238D">
        <w:rPr>
          <w:szCs w:val="22"/>
        </w:rPr>
        <w:t xml:space="preserve">SEGUNDO. </w:t>
      </w:r>
      <w:r w:rsidR="00CD3957" w:rsidRPr="008A238D">
        <w:rPr>
          <w:szCs w:val="22"/>
        </w:rPr>
        <w:t>Análisis dela causal de sobreseimiento</w:t>
      </w:r>
      <w:r w:rsidRPr="008A238D">
        <w:rPr>
          <w:szCs w:val="22"/>
        </w:rPr>
        <w:t>.</w:t>
      </w:r>
      <w:bookmarkEnd w:id="24"/>
    </w:p>
    <w:p w14:paraId="1FB9AC11" w14:textId="77777777" w:rsidR="002B11D9" w:rsidRPr="008A238D" w:rsidRDefault="00E43858" w:rsidP="008A238D">
      <w:pPr>
        <w:pStyle w:val="Ttulo3"/>
        <w:rPr>
          <w:szCs w:val="22"/>
        </w:rPr>
      </w:pPr>
      <w:bookmarkStart w:id="25" w:name="_Toc179394517"/>
      <w:r w:rsidRPr="008A238D">
        <w:rPr>
          <w:szCs w:val="22"/>
        </w:rPr>
        <w:t>a) Mandato de transparencia y responsabilidad del Sujeto Obligado.</w:t>
      </w:r>
      <w:bookmarkEnd w:id="25"/>
    </w:p>
    <w:p w14:paraId="310ABDAD" w14:textId="77777777" w:rsidR="002B11D9" w:rsidRPr="008A238D" w:rsidRDefault="00E43858" w:rsidP="008A238D">
      <w:pPr>
        <w:rPr>
          <w:szCs w:val="22"/>
        </w:rPr>
      </w:pPr>
      <w:r w:rsidRPr="008A238D">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41B63DA" w14:textId="77777777" w:rsidR="002B11D9" w:rsidRPr="008A238D" w:rsidRDefault="002B11D9" w:rsidP="008A238D">
      <w:pPr>
        <w:rPr>
          <w:szCs w:val="22"/>
        </w:rPr>
      </w:pPr>
    </w:p>
    <w:p w14:paraId="29D2590B" w14:textId="77777777" w:rsidR="002B11D9" w:rsidRPr="008A238D" w:rsidRDefault="00E43858" w:rsidP="008A238D">
      <w:pPr>
        <w:spacing w:line="240" w:lineRule="auto"/>
        <w:ind w:left="567" w:right="539"/>
        <w:rPr>
          <w:b/>
          <w:i/>
          <w:szCs w:val="22"/>
        </w:rPr>
      </w:pPr>
      <w:r w:rsidRPr="008A238D">
        <w:rPr>
          <w:b/>
          <w:i/>
          <w:szCs w:val="22"/>
        </w:rPr>
        <w:t>Constitución Política de los Estados Unidos Mexicanos</w:t>
      </w:r>
    </w:p>
    <w:p w14:paraId="05AED357" w14:textId="77777777" w:rsidR="002B11D9" w:rsidRPr="008A238D" w:rsidRDefault="00E43858" w:rsidP="008A238D">
      <w:pPr>
        <w:spacing w:line="240" w:lineRule="auto"/>
        <w:ind w:left="567" w:right="539"/>
        <w:rPr>
          <w:b/>
          <w:i/>
          <w:szCs w:val="22"/>
        </w:rPr>
      </w:pPr>
      <w:r w:rsidRPr="008A238D">
        <w:rPr>
          <w:b/>
          <w:i/>
          <w:szCs w:val="22"/>
        </w:rPr>
        <w:t>“Artículo 6.</w:t>
      </w:r>
    </w:p>
    <w:p w14:paraId="1EEE6A01" w14:textId="77777777" w:rsidR="002B11D9" w:rsidRPr="008A238D" w:rsidRDefault="00E43858" w:rsidP="008A238D">
      <w:pPr>
        <w:spacing w:line="240" w:lineRule="auto"/>
        <w:ind w:left="567" w:right="539"/>
        <w:rPr>
          <w:i/>
          <w:szCs w:val="22"/>
        </w:rPr>
      </w:pPr>
      <w:r w:rsidRPr="008A238D">
        <w:rPr>
          <w:i/>
          <w:szCs w:val="22"/>
        </w:rPr>
        <w:t>(…)</w:t>
      </w:r>
    </w:p>
    <w:p w14:paraId="3B656116" w14:textId="77777777" w:rsidR="002B11D9" w:rsidRPr="008A238D" w:rsidRDefault="00E43858" w:rsidP="008A238D">
      <w:pPr>
        <w:spacing w:line="240" w:lineRule="auto"/>
        <w:ind w:left="567" w:right="539"/>
        <w:rPr>
          <w:i/>
          <w:szCs w:val="22"/>
        </w:rPr>
      </w:pPr>
      <w:r w:rsidRPr="008A238D">
        <w:rPr>
          <w:i/>
          <w:szCs w:val="22"/>
        </w:rPr>
        <w:t>Para efectos de lo dispuesto en el presente artículo se observará lo siguiente:</w:t>
      </w:r>
    </w:p>
    <w:p w14:paraId="3B4A4FBA" w14:textId="77777777" w:rsidR="002B11D9" w:rsidRPr="008A238D" w:rsidRDefault="00E43858" w:rsidP="008A238D">
      <w:pPr>
        <w:spacing w:line="240" w:lineRule="auto"/>
        <w:ind w:left="567" w:right="539"/>
        <w:rPr>
          <w:b/>
          <w:i/>
          <w:szCs w:val="22"/>
        </w:rPr>
      </w:pPr>
      <w:r w:rsidRPr="008A238D">
        <w:rPr>
          <w:b/>
          <w:i/>
          <w:szCs w:val="22"/>
        </w:rPr>
        <w:t>A</w:t>
      </w:r>
      <w:r w:rsidRPr="008A238D">
        <w:rPr>
          <w:i/>
          <w:szCs w:val="22"/>
        </w:rPr>
        <w:t xml:space="preserve">. </w:t>
      </w:r>
      <w:r w:rsidRPr="008A238D">
        <w:rPr>
          <w:b/>
          <w:i/>
          <w:szCs w:val="22"/>
        </w:rPr>
        <w:t>Para el ejercicio del derecho de acceso a la información</w:t>
      </w:r>
      <w:r w:rsidRPr="008A238D">
        <w:rPr>
          <w:i/>
          <w:szCs w:val="22"/>
        </w:rPr>
        <w:t xml:space="preserve">, la Federación y </w:t>
      </w:r>
      <w:r w:rsidRPr="008A238D">
        <w:rPr>
          <w:b/>
          <w:i/>
          <w:szCs w:val="22"/>
        </w:rPr>
        <w:t>las entidades federativas, en el ámbito de sus respectivas competencias, se regirán por los siguientes principios y bases:</w:t>
      </w:r>
    </w:p>
    <w:p w14:paraId="2CE15808" w14:textId="77777777" w:rsidR="002B11D9" w:rsidRPr="008A238D" w:rsidRDefault="00E43858" w:rsidP="008A238D">
      <w:pPr>
        <w:spacing w:line="240" w:lineRule="auto"/>
        <w:ind w:left="567" w:right="539"/>
        <w:rPr>
          <w:i/>
          <w:szCs w:val="22"/>
        </w:rPr>
      </w:pPr>
      <w:r w:rsidRPr="008A238D">
        <w:rPr>
          <w:b/>
          <w:i/>
          <w:szCs w:val="22"/>
        </w:rPr>
        <w:t xml:space="preserve">I. </w:t>
      </w:r>
      <w:r w:rsidRPr="008A238D">
        <w:rPr>
          <w:b/>
          <w:i/>
          <w:szCs w:val="22"/>
        </w:rPr>
        <w:tab/>
        <w:t>Toda la información en posesión de cualquier</w:t>
      </w:r>
      <w:r w:rsidRPr="008A238D">
        <w:rPr>
          <w:i/>
          <w:szCs w:val="22"/>
        </w:rPr>
        <w:t xml:space="preserve"> </w:t>
      </w:r>
      <w:r w:rsidRPr="008A238D">
        <w:rPr>
          <w:b/>
          <w:i/>
          <w:szCs w:val="22"/>
        </w:rPr>
        <w:t>autoridad</w:t>
      </w:r>
      <w:r w:rsidRPr="008A238D">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A238D">
        <w:rPr>
          <w:b/>
          <w:i/>
          <w:szCs w:val="22"/>
        </w:rPr>
        <w:t>municipal</w:t>
      </w:r>
      <w:r w:rsidRPr="008A238D">
        <w:rPr>
          <w:i/>
          <w:szCs w:val="22"/>
        </w:rPr>
        <w:t xml:space="preserve">, </w:t>
      </w:r>
      <w:r w:rsidRPr="008A238D">
        <w:rPr>
          <w:b/>
          <w:i/>
          <w:szCs w:val="22"/>
        </w:rPr>
        <w:t>es pública</w:t>
      </w:r>
      <w:r w:rsidRPr="008A238D">
        <w:rPr>
          <w:i/>
          <w:szCs w:val="22"/>
        </w:rPr>
        <w:t xml:space="preserve"> y sólo podrá ser reservada temporalmente por razones de interés público y seguridad nacional, en los términos que fijen las leyes. </w:t>
      </w:r>
      <w:r w:rsidRPr="008A238D">
        <w:rPr>
          <w:b/>
          <w:i/>
          <w:szCs w:val="22"/>
        </w:rPr>
        <w:t>En la interpretación de este derecho deberá prevalecer el principio de máxima publicidad. Los sujetos obligados deberán documentar todo acto que derive del ejercicio de sus facultades, competencias o funciones</w:t>
      </w:r>
      <w:r w:rsidRPr="008A238D">
        <w:rPr>
          <w:i/>
          <w:szCs w:val="22"/>
        </w:rPr>
        <w:t>, la ley determinará los supuestos específicos bajo los cuales procederá la declaración de inexistencia de la información.”</w:t>
      </w:r>
    </w:p>
    <w:p w14:paraId="5BFAECFE" w14:textId="77777777" w:rsidR="002B11D9" w:rsidRPr="008A238D" w:rsidRDefault="002B11D9" w:rsidP="008A238D">
      <w:pPr>
        <w:spacing w:line="240" w:lineRule="auto"/>
        <w:ind w:left="567" w:right="539"/>
        <w:rPr>
          <w:b/>
          <w:i/>
          <w:szCs w:val="22"/>
        </w:rPr>
      </w:pPr>
    </w:p>
    <w:p w14:paraId="4462AE0E" w14:textId="77777777" w:rsidR="002B11D9" w:rsidRPr="008A238D" w:rsidRDefault="00E43858" w:rsidP="008A238D">
      <w:pPr>
        <w:spacing w:line="240" w:lineRule="auto"/>
        <w:ind w:left="567" w:right="539"/>
        <w:rPr>
          <w:b/>
          <w:i/>
          <w:szCs w:val="22"/>
        </w:rPr>
      </w:pPr>
      <w:r w:rsidRPr="008A238D">
        <w:rPr>
          <w:b/>
          <w:i/>
          <w:szCs w:val="22"/>
        </w:rPr>
        <w:t>Constitución Política del Estado Libre y Soberano de México</w:t>
      </w:r>
    </w:p>
    <w:p w14:paraId="18BC2A80" w14:textId="77777777" w:rsidR="002B11D9" w:rsidRPr="008A238D" w:rsidRDefault="00E43858" w:rsidP="008A238D">
      <w:pPr>
        <w:spacing w:line="240" w:lineRule="auto"/>
        <w:ind w:left="567" w:right="539"/>
        <w:rPr>
          <w:i/>
          <w:szCs w:val="22"/>
        </w:rPr>
      </w:pPr>
      <w:r w:rsidRPr="008A238D">
        <w:rPr>
          <w:b/>
          <w:i/>
          <w:szCs w:val="22"/>
        </w:rPr>
        <w:t>“Artículo 5</w:t>
      </w:r>
      <w:r w:rsidRPr="008A238D">
        <w:rPr>
          <w:i/>
          <w:szCs w:val="22"/>
        </w:rPr>
        <w:t xml:space="preserve">.- </w:t>
      </w:r>
    </w:p>
    <w:p w14:paraId="05B73B0F" w14:textId="77777777" w:rsidR="002B11D9" w:rsidRPr="008A238D" w:rsidRDefault="00E43858" w:rsidP="008A238D">
      <w:pPr>
        <w:spacing w:line="240" w:lineRule="auto"/>
        <w:ind w:left="567" w:right="539"/>
        <w:rPr>
          <w:i/>
          <w:szCs w:val="22"/>
        </w:rPr>
      </w:pPr>
      <w:r w:rsidRPr="008A238D">
        <w:rPr>
          <w:i/>
          <w:szCs w:val="22"/>
        </w:rPr>
        <w:t>(…)</w:t>
      </w:r>
    </w:p>
    <w:p w14:paraId="616157A8" w14:textId="77777777" w:rsidR="002B11D9" w:rsidRPr="008A238D" w:rsidRDefault="00E43858" w:rsidP="008A238D">
      <w:pPr>
        <w:spacing w:line="240" w:lineRule="auto"/>
        <w:ind w:left="567" w:right="539"/>
        <w:rPr>
          <w:i/>
          <w:szCs w:val="22"/>
        </w:rPr>
      </w:pPr>
      <w:r w:rsidRPr="008A238D">
        <w:rPr>
          <w:b/>
          <w:i/>
          <w:szCs w:val="22"/>
        </w:rPr>
        <w:lastRenderedPageBreak/>
        <w:t>El derecho a la información será garantizado por el Estado. La ley establecerá las previsiones que permitan asegurar la protección, el respeto y la difusión de este derecho</w:t>
      </w:r>
      <w:r w:rsidRPr="008A238D">
        <w:rPr>
          <w:i/>
          <w:szCs w:val="22"/>
        </w:rPr>
        <w:t>.</w:t>
      </w:r>
    </w:p>
    <w:p w14:paraId="6E6CC47C" w14:textId="77777777" w:rsidR="002B11D9" w:rsidRPr="008A238D" w:rsidRDefault="00E43858" w:rsidP="008A238D">
      <w:pPr>
        <w:spacing w:line="240" w:lineRule="auto"/>
        <w:ind w:left="567" w:right="539"/>
        <w:rPr>
          <w:i/>
          <w:szCs w:val="22"/>
        </w:rPr>
      </w:pPr>
      <w:r w:rsidRPr="008A238D">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DBABDEF" w14:textId="77777777" w:rsidR="002B11D9" w:rsidRPr="008A238D" w:rsidRDefault="00E43858" w:rsidP="008A238D">
      <w:pPr>
        <w:spacing w:line="240" w:lineRule="auto"/>
        <w:ind w:left="567" w:right="539"/>
        <w:rPr>
          <w:i/>
          <w:szCs w:val="22"/>
        </w:rPr>
      </w:pPr>
      <w:r w:rsidRPr="008A238D">
        <w:rPr>
          <w:b/>
          <w:i/>
          <w:szCs w:val="22"/>
        </w:rPr>
        <w:t>Este derecho se regirá por los principios y bases siguientes</w:t>
      </w:r>
      <w:r w:rsidRPr="008A238D">
        <w:rPr>
          <w:i/>
          <w:szCs w:val="22"/>
        </w:rPr>
        <w:t>:</w:t>
      </w:r>
    </w:p>
    <w:p w14:paraId="60156173" w14:textId="77777777" w:rsidR="002B11D9" w:rsidRPr="008A238D" w:rsidRDefault="00E43858" w:rsidP="008A238D">
      <w:pPr>
        <w:spacing w:line="240" w:lineRule="auto"/>
        <w:ind w:left="567" w:right="539"/>
        <w:rPr>
          <w:i/>
          <w:szCs w:val="22"/>
        </w:rPr>
      </w:pPr>
      <w:r w:rsidRPr="008A238D">
        <w:rPr>
          <w:b/>
          <w:i/>
          <w:szCs w:val="22"/>
        </w:rPr>
        <w:t>I. Toda la información en posesión de cualquier autoridad, entidad, órgano y organismos de los</w:t>
      </w:r>
      <w:r w:rsidRPr="008A238D">
        <w:rPr>
          <w:i/>
          <w:szCs w:val="22"/>
        </w:rPr>
        <w:t xml:space="preserve"> Poderes Ejecutivo, Legislativo y Judicial, órganos autónomos, partidos políticos, fideicomisos y fondos públicos estatales y </w:t>
      </w:r>
      <w:r w:rsidRPr="008A238D">
        <w:rPr>
          <w:b/>
          <w:i/>
          <w:szCs w:val="22"/>
        </w:rPr>
        <w:t>municipales</w:t>
      </w:r>
      <w:r w:rsidRPr="008A238D">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A238D">
        <w:rPr>
          <w:b/>
          <w:i/>
          <w:szCs w:val="22"/>
        </w:rPr>
        <w:t>es pública</w:t>
      </w:r>
      <w:r w:rsidRPr="008A238D">
        <w:rPr>
          <w:i/>
          <w:szCs w:val="22"/>
        </w:rPr>
        <w:t xml:space="preserve"> y sólo podrá ser reservada temporalmente por razones previstas en la Constitución Política de los Estados Unidos Mexicanos de interés público y seguridad, en los términos que fijen las leyes. </w:t>
      </w:r>
      <w:r w:rsidRPr="008A238D">
        <w:rPr>
          <w:b/>
          <w:i/>
          <w:szCs w:val="22"/>
        </w:rPr>
        <w:t>En la interpretación de este derecho deberá prevalecer el principio de máxima publicidad</w:t>
      </w:r>
      <w:r w:rsidRPr="008A238D">
        <w:rPr>
          <w:i/>
          <w:szCs w:val="22"/>
        </w:rPr>
        <w:t xml:space="preserve">. </w:t>
      </w:r>
      <w:r w:rsidRPr="008A238D">
        <w:rPr>
          <w:b/>
          <w:i/>
          <w:szCs w:val="22"/>
        </w:rPr>
        <w:t>Los sujetos obligados deberán documentar todo acto que derive del ejercicio de sus facultades, competencias o funciones</w:t>
      </w:r>
      <w:r w:rsidRPr="008A238D">
        <w:rPr>
          <w:i/>
          <w:szCs w:val="22"/>
        </w:rPr>
        <w:t>, la ley determinará los supuestos específicos bajo los cuales procederá la declaración de inexistencia de la información.”</w:t>
      </w:r>
    </w:p>
    <w:p w14:paraId="2F485AA3" w14:textId="77777777" w:rsidR="002B11D9" w:rsidRPr="008A238D" w:rsidRDefault="002B11D9" w:rsidP="008A238D">
      <w:pPr>
        <w:rPr>
          <w:b/>
          <w:i/>
          <w:szCs w:val="22"/>
        </w:rPr>
      </w:pPr>
    </w:p>
    <w:p w14:paraId="05C9DB3C" w14:textId="77777777" w:rsidR="002B11D9" w:rsidRPr="008A238D" w:rsidRDefault="00E43858" w:rsidP="008A238D">
      <w:pPr>
        <w:rPr>
          <w:i/>
          <w:szCs w:val="22"/>
        </w:rPr>
      </w:pPr>
      <w:r w:rsidRPr="008A238D">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A238D">
        <w:rPr>
          <w:i/>
          <w:szCs w:val="22"/>
        </w:rPr>
        <w:t>por los principios de simplicidad, rapidez, gratuidad del procedimiento, auxilio y orientación a los particulares.</w:t>
      </w:r>
    </w:p>
    <w:p w14:paraId="2BEC533B" w14:textId="77777777" w:rsidR="002B11D9" w:rsidRPr="008A238D" w:rsidRDefault="002B11D9" w:rsidP="008A238D">
      <w:pPr>
        <w:rPr>
          <w:i/>
          <w:szCs w:val="22"/>
        </w:rPr>
      </w:pPr>
    </w:p>
    <w:p w14:paraId="2441CE62" w14:textId="77777777" w:rsidR="002B11D9" w:rsidRPr="008A238D" w:rsidRDefault="00E43858" w:rsidP="008A238D">
      <w:pPr>
        <w:rPr>
          <w:i/>
          <w:szCs w:val="22"/>
        </w:rPr>
      </w:pPr>
      <w:r w:rsidRPr="008A238D">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B97582D" w14:textId="77777777" w:rsidR="002B11D9" w:rsidRPr="008A238D" w:rsidRDefault="002B11D9" w:rsidP="008A238D">
      <w:pPr>
        <w:rPr>
          <w:szCs w:val="22"/>
        </w:rPr>
      </w:pPr>
    </w:p>
    <w:p w14:paraId="481E7044" w14:textId="77777777" w:rsidR="002B11D9" w:rsidRPr="008A238D" w:rsidRDefault="00E43858" w:rsidP="008A238D">
      <w:pPr>
        <w:rPr>
          <w:szCs w:val="22"/>
        </w:rPr>
      </w:pPr>
      <w:r w:rsidRPr="008A238D">
        <w:rPr>
          <w:szCs w:val="22"/>
        </w:rPr>
        <w:t xml:space="preserve">Esto es, que los Sujetos Obligados deben atender las solicitudes de acceso a la información pública que se les sean realizadas, y proporcionar la información pública que obre en su poder, </w:t>
      </w:r>
      <w:r w:rsidRPr="008A238D">
        <w:rPr>
          <w:szCs w:val="22"/>
        </w:rPr>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2C5CA34" w14:textId="77777777" w:rsidR="002B11D9" w:rsidRPr="008A238D" w:rsidRDefault="002B11D9" w:rsidP="008A238D">
      <w:pPr>
        <w:rPr>
          <w:szCs w:val="22"/>
        </w:rPr>
      </w:pPr>
    </w:p>
    <w:p w14:paraId="08EAFD24" w14:textId="77777777" w:rsidR="002B11D9" w:rsidRPr="008A238D" w:rsidRDefault="00E43858" w:rsidP="008A238D">
      <w:pPr>
        <w:rPr>
          <w:szCs w:val="22"/>
        </w:rPr>
      </w:pPr>
      <w:r w:rsidRPr="008A238D">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9FE1629" w14:textId="77777777" w:rsidR="002B11D9" w:rsidRPr="008A238D" w:rsidRDefault="002B11D9" w:rsidP="008A238D">
      <w:pPr>
        <w:rPr>
          <w:szCs w:val="22"/>
        </w:rPr>
      </w:pPr>
    </w:p>
    <w:p w14:paraId="63A4F2B1" w14:textId="77777777" w:rsidR="002B11D9" w:rsidRPr="008A238D" w:rsidRDefault="00E43858" w:rsidP="008A238D">
      <w:pPr>
        <w:rPr>
          <w:szCs w:val="22"/>
        </w:rPr>
      </w:pPr>
      <w:r w:rsidRPr="008A238D">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9FF5B4C" w14:textId="77777777" w:rsidR="002B11D9" w:rsidRPr="008A238D" w:rsidRDefault="002B11D9" w:rsidP="008A238D">
      <w:pPr>
        <w:rPr>
          <w:szCs w:val="22"/>
        </w:rPr>
      </w:pPr>
    </w:p>
    <w:p w14:paraId="645E5B22" w14:textId="77777777" w:rsidR="002B11D9" w:rsidRPr="008A238D" w:rsidRDefault="00E43858" w:rsidP="008A238D">
      <w:pPr>
        <w:rPr>
          <w:szCs w:val="22"/>
        </w:rPr>
      </w:pPr>
      <w:bookmarkStart w:id="26" w:name="_heading=h.2bn6wsx" w:colFirst="0" w:colLast="0"/>
      <w:bookmarkEnd w:id="26"/>
      <w:r w:rsidRPr="008A238D">
        <w:rPr>
          <w:szCs w:val="22"/>
        </w:rPr>
        <w:t xml:space="preserve">Con base en lo anterior, se considera que </w:t>
      </w:r>
      <w:r w:rsidRPr="008A238D">
        <w:rPr>
          <w:b/>
          <w:szCs w:val="22"/>
        </w:rPr>
        <w:t>EL</w:t>
      </w:r>
      <w:r w:rsidRPr="008A238D">
        <w:rPr>
          <w:szCs w:val="22"/>
        </w:rPr>
        <w:t xml:space="preserve"> </w:t>
      </w:r>
      <w:r w:rsidRPr="008A238D">
        <w:rPr>
          <w:b/>
          <w:szCs w:val="22"/>
        </w:rPr>
        <w:t>SUJETO OBLIGADO</w:t>
      </w:r>
      <w:r w:rsidRPr="008A238D">
        <w:rPr>
          <w:szCs w:val="22"/>
        </w:rPr>
        <w:t xml:space="preserve"> se encontraba compelido a atender la solicitud de acceso a la información realizada por </w:t>
      </w:r>
      <w:r w:rsidRPr="008A238D">
        <w:rPr>
          <w:b/>
          <w:szCs w:val="22"/>
        </w:rPr>
        <w:t>LA PARTE RECURRENTE</w:t>
      </w:r>
      <w:r w:rsidRPr="008A238D">
        <w:rPr>
          <w:szCs w:val="22"/>
        </w:rPr>
        <w:t>.</w:t>
      </w:r>
    </w:p>
    <w:p w14:paraId="12DB101B" w14:textId="77777777" w:rsidR="002B11D9" w:rsidRPr="008A238D" w:rsidRDefault="002B11D9" w:rsidP="008A238D">
      <w:pPr>
        <w:rPr>
          <w:szCs w:val="22"/>
        </w:rPr>
      </w:pPr>
    </w:p>
    <w:p w14:paraId="79058CBC" w14:textId="77777777" w:rsidR="002B11D9" w:rsidRPr="008A238D" w:rsidRDefault="00E43858" w:rsidP="008A238D">
      <w:pPr>
        <w:pStyle w:val="Ttulo3"/>
        <w:rPr>
          <w:szCs w:val="22"/>
        </w:rPr>
      </w:pPr>
      <w:bookmarkStart w:id="27" w:name="_Toc179394518"/>
      <w:r w:rsidRPr="008A238D">
        <w:rPr>
          <w:szCs w:val="22"/>
        </w:rPr>
        <w:t>b) Controversia a resolver</w:t>
      </w:r>
      <w:bookmarkEnd w:id="27"/>
    </w:p>
    <w:p w14:paraId="64F4F996" w14:textId="77777777" w:rsidR="00575315" w:rsidRPr="008A238D" w:rsidRDefault="00575315" w:rsidP="008A238D">
      <w:pPr>
        <w:rPr>
          <w:szCs w:val="22"/>
        </w:rPr>
      </w:pPr>
      <w:r w:rsidRPr="008A238D">
        <w:rPr>
          <w:szCs w:val="22"/>
        </w:rPr>
        <w:t xml:space="preserve">Con el objeto de ilustrar la controversia planteada, resulta conveniente precisar que, una vez realizado el estudio de las constancias que integran el expediente en que se actúa, se desprende </w:t>
      </w:r>
      <w:r w:rsidRPr="008A238D">
        <w:rPr>
          <w:szCs w:val="22"/>
        </w:rPr>
        <w:lastRenderedPageBreak/>
        <w:t xml:space="preserve">que </w:t>
      </w:r>
      <w:r w:rsidRPr="008A238D">
        <w:rPr>
          <w:b/>
          <w:szCs w:val="22"/>
        </w:rPr>
        <w:t>LA PARTE RECURRENTE</w:t>
      </w:r>
      <w:r w:rsidRPr="008A238D">
        <w:rPr>
          <w:szCs w:val="22"/>
        </w:rPr>
        <w:t xml:space="preserve"> realizó una serie de interrogantes las cuales fueron respondidas en su totalidad, como a continuación se observa.</w:t>
      </w:r>
    </w:p>
    <w:p w14:paraId="2517E1E9" w14:textId="77777777" w:rsidR="00575315" w:rsidRPr="008A238D" w:rsidRDefault="00575315" w:rsidP="008A238D">
      <w:pPr>
        <w:tabs>
          <w:tab w:val="left" w:pos="4962"/>
        </w:tabs>
        <w:rPr>
          <w:szCs w:val="22"/>
        </w:rPr>
      </w:pPr>
    </w:p>
    <w:tbl>
      <w:tblPr>
        <w:tblStyle w:val="Tablaconcuadrcula"/>
        <w:tblW w:w="0" w:type="auto"/>
        <w:tblLayout w:type="fixed"/>
        <w:tblLook w:val="04A0" w:firstRow="1" w:lastRow="0" w:firstColumn="1" w:lastColumn="0" w:noHBand="0" w:noVBand="1"/>
      </w:tblPr>
      <w:tblGrid>
        <w:gridCol w:w="3256"/>
        <w:gridCol w:w="5778"/>
      </w:tblGrid>
      <w:tr w:rsidR="008A238D" w:rsidRPr="008A238D" w14:paraId="4BC454C4" w14:textId="77777777" w:rsidTr="008F3313">
        <w:tc>
          <w:tcPr>
            <w:tcW w:w="3256" w:type="dxa"/>
          </w:tcPr>
          <w:p w14:paraId="20426922" w14:textId="77777777" w:rsidR="00575315" w:rsidRPr="008A238D" w:rsidRDefault="00575315" w:rsidP="008A238D">
            <w:pPr>
              <w:tabs>
                <w:tab w:val="left" w:pos="4962"/>
              </w:tabs>
              <w:jc w:val="center"/>
              <w:rPr>
                <w:b/>
                <w:szCs w:val="22"/>
              </w:rPr>
            </w:pPr>
            <w:r w:rsidRPr="008A238D">
              <w:rPr>
                <w:b/>
                <w:szCs w:val="22"/>
              </w:rPr>
              <w:t>REQUERIMIENTO</w:t>
            </w:r>
          </w:p>
        </w:tc>
        <w:tc>
          <w:tcPr>
            <w:tcW w:w="5778" w:type="dxa"/>
          </w:tcPr>
          <w:p w14:paraId="2EC80DC0" w14:textId="77777777" w:rsidR="00575315" w:rsidRPr="008A238D" w:rsidRDefault="00575315" w:rsidP="008A238D">
            <w:pPr>
              <w:tabs>
                <w:tab w:val="left" w:pos="4962"/>
              </w:tabs>
              <w:jc w:val="center"/>
              <w:rPr>
                <w:b/>
                <w:szCs w:val="22"/>
              </w:rPr>
            </w:pPr>
            <w:r w:rsidRPr="008A238D">
              <w:rPr>
                <w:b/>
                <w:szCs w:val="22"/>
              </w:rPr>
              <w:t>RESPUESTA</w:t>
            </w:r>
          </w:p>
        </w:tc>
      </w:tr>
      <w:tr w:rsidR="008A238D" w:rsidRPr="008A238D" w14:paraId="54738891" w14:textId="77777777" w:rsidTr="008F3313">
        <w:tc>
          <w:tcPr>
            <w:tcW w:w="3256" w:type="dxa"/>
          </w:tcPr>
          <w:p w14:paraId="45F4D11F" w14:textId="77777777" w:rsidR="00575315" w:rsidRPr="008A238D" w:rsidRDefault="00575315" w:rsidP="008A238D">
            <w:pPr>
              <w:tabs>
                <w:tab w:val="left" w:pos="4962"/>
              </w:tabs>
              <w:rPr>
                <w:i/>
                <w:szCs w:val="22"/>
              </w:rPr>
            </w:pPr>
            <w:r w:rsidRPr="008A238D">
              <w:rPr>
                <w:i/>
                <w:szCs w:val="22"/>
              </w:rPr>
              <w:t>1. ¿Con qué periodicidad se da mantenimiento a equipos e infraestructura? ¿Qué presupuesto se destina a ello cada año? Solicito una lista desglosada de cada uno de los mantenimientos que se han dado en los últimos 3 años.</w:t>
            </w:r>
          </w:p>
        </w:tc>
        <w:tc>
          <w:tcPr>
            <w:tcW w:w="5778" w:type="dxa"/>
          </w:tcPr>
          <w:p w14:paraId="5C077E02" w14:textId="77777777" w:rsidR="00575315" w:rsidRPr="008A238D" w:rsidRDefault="00575315" w:rsidP="008A238D">
            <w:pPr>
              <w:tabs>
                <w:tab w:val="left" w:pos="4962"/>
              </w:tabs>
              <w:rPr>
                <w:i/>
                <w:szCs w:val="22"/>
              </w:rPr>
            </w:pPr>
            <w:r w:rsidRPr="008A238D">
              <w:rPr>
                <w:i/>
                <w:szCs w:val="22"/>
              </w:rPr>
              <w:t>En caso de que algún equipo presente fallas o algún daño que impida continuar con la prestación del servicio; se reporta al área de adquisiciones y se realiza el mantenimiento de acuerdo a las garantías de compra.</w:t>
            </w:r>
          </w:p>
          <w:p w14:paraId="2679F436" w14:textId="77777777" w:rsidR="00575315" w:rsidRPr="008A238D" w:rsidRDefault="00575315" w:rsidP="008A238D">
            <w:pPr>
              <w:tabs>
                <w:tab w:val="left" w:pos="4962"/>
              </w:tabs>
              <w:rPr>
                <w:i/>
                <w:szCs w:val="22"/>
              </w:rPr>
            </w:pPr>
            <w:r w:rsidRPr="008A238D">
              <w:rPr>
                <w:i/>
                <w:szCs w:val="22"/>
              </w:rPr>
              <w:t>Por lo que respecta al presupuesto destinado, el presupuesto de gasto corriente se desagrega a nivel de proyecto, Centro de Costo y Partida Presupuestal, desde su autorización en el Decreto de Presupuesto de Egresos hasta su afectación presupuestal en el Sistema de Planeación y Presupuesto (SPP), y una vez realizada una búsqueda exhaustiva y suficiente en los registros, no es posible atender su pregunta en los términos requeridos.</w:t>
            </w:r>
          </w:p>
          <w:p w14:paraId="2F9A7B28" w14:textId="77777777" w:rsidR="00575315" w:rsidRPr="008A238D" w:rsidRDefault="00575315" w:rsidP="008A238D">
            <w:pPr>
              <w:tabs>
                <w:tab w:val="left" w:pos="4962"/>
              </w:tabs>
              <w:rPr>
                <w:i/>
                <w:szCs w:val="22"/>
              </w:rPr>
            </w:pPr>
            <w:r w:rsidRPr="008A238D">
              <w:rPr>
                <w:i/>
                <w:szCs w:val="22"/>
              </w:rPr>
              <w:t>En cuanto a la lista desglosada de cada uno de los mantenimientos que se ha dado en los últimos tres años, no se cuenta con la información que solicita.</w:t>
            </w:r>
          </w:p>
        </w:tc>
      </w:tr>
      <w:tr w:rsidR="008A238D" w:rsidRPr="008A238D" w14:paraId="7A431BC6" w14:textId="77777777" w:rsidTr="008F3313">
        <w:tc>
          <w:tcPr>
            <w:tcW w:w="3256" w:type="dxa"/>
          </w:tcPr>
          <w:p w14:paraId="6F4B171D" w14:textId="77777777" w:rsidR="00575315" w:rsidRPr="008A238D" w:rsidRDefault="00575315" w:rsidP="008A238D">
            <w:pPr>
              <w:tabs>
                <w:tab w:val="left" w:pos="4962"/>
              </w:tabs>
              <w:rPr>
                <w:i/>
                <w:szCs w:val="22"/>
              </w:rPr>
            </w:pPr>
            <w:r w:rsidRPr="008A238D">
              <w:rPr>
                <w:i/>
                <w:szCs w:val="22"/>
              </w:rPr>
              <w:t>2. ¿Qué equipos y tecnologías específicas (ej. para análisis de ADN, radiografía forense, escáneres 3D, etc.) están disponibles en los laboratorios de identificación humana?</w:t>
            </w:r>
          </w:p>
        </w:tc>
        <w:tc>
          <w:tcPr>
            <w:tcW w:w="5778" w:type="dxa"/>
          </w:tcPr>
          <w:p w14:paraId="2EC297B7" w14:textId="77777777" w:rsidR="00575315" w:rsidRPr="008A238D" w:rsidRDefault="00403485" w:rsidP="008A238D">
            <w:pPr>
              <w:tabs>
                <w:tab w:val="left" w:pos="4962"/>
              </w:tabs>
              <w:rPr>
                <w:i/>
                <w:szCs w:val="22"/>
              </w:rPr>
            </w:pPr>
            <w:r w:rsidRPr="008A238D">
              <w:rPr>
                <w:i/>
                <w:szCs w:val="22"/>
              </w:rPr>
              <w:t>Se cuenta con secuenciadores o analizadores genéticos para la identificación humana.</w:t>
            </w:r>
          </w:p>
        </w:tc>
      </w:tr>
      <w:tr w:rsidR="008A238D" w:rsidRPr="008A238D" w14:paraId="060BC347" w14:textId="77777777" w:rsidTr="008F3313">
        <w:tc>
          <w:tcPr>
            <w:tcW w:w="3256" w:type="dxa"/>
          </w:tcPr>
          <w:p w14:paraId="7B8D6207" w14:textId="77777777" w:rsidR="00575315" w:rsidRPr="008A238D" w:rsidRDefault="00575315" w:rsidP="008A238D">
            <w:pPr>
              <w:tabs>
                <w:tab w:val="left" w:pos="4962"/>
              </w:tabs>
              <w:rPr>
                <w:i/>
                <w:szCs w:val="22"/>
              </w:rPr>
            </w:pPr>
            <w:r w:rsidRPr="008A238D">
              <w:rPr>
                <w:i/>
                <w:szCs w:val="22"/>
              </w:rPr>
              <w:t>3. ¿Qué tecnologías nuevas se han implementado recientemente para la identificación de restos humanos en el estado? ¿Qué resultados se han obtenido con la implementación de estas nuevas tecnologías?</w:t>
            </w:r>
          </w:p>
        </w:tc>
        <w:tc>
          <w:tcPr>
            <w:tcW w:w="5778" w:type="dxa"/>
          </w:tcPr>
          <w:p w14:paraId="79F6A458" w14:textId="77777777" w:rsidR="00575315" w:rsidRPr="008A238D" w:rsidRDefault="00403485" w:rsidP="008A238D">
            <w:pPr>
              <w:tabs>
                <w:tab w:val="left" w:pos="4962"/>
              </w:tabs>
              <w:rPr>
                <w:i/>
                <w:szCs w:val="22"/>
              </w:rPr>
            </w:pPr>
            <w:r w:rsidRPr="008A238D">
              <w:rPr>
                <w:i/>
                <w:szCs w:val="22"/>
              </w:rPr>
              <w:t>No se han implementado nuevas técnicas para la identificación de restos humanos, sin embargo el personal adscrito a los Servicios Médicos Forenses y a las Unidades de Identificación de Cadáveres de identidad Desconocida cuentan con las herramientas necesarias para realizar las intervenciones en materia de identificación humana.</w:t>
            </w:r>
          </w:p>
        </w:tc>
      </w:tr>
      <w:tr w:rsidR="008A238D" w:rsidRPr="008A238D" w14:paraId="2CA117EB" w14:textId="77777777" w:rsidTr="008F3313">
        <w:tc>
          <w:tcPr>
            <w:tcW w:w="3256" w:type="dxa"/>
          </w:tcPr>
          <w:p w14:paraId="0C4F1F49" w14:textId="77777777" w:rsidR="00575315" w:rsidRPr="008A238D" w:rsidRDefault="00575315" w:rsidP="008A238D">
            <w:pPr>
              <w:tabs>
                <w:tab w:val="left" w:pos="4962"/>
              </w:tabs>
              <w:rPr>
                <w:i/>
                <w:szCs w:val="22"/>
              </w:rPr>
            </w:pPr>
            <w:r w:rsidRPr="008A238D">
              <w:rPr>
                <w:i/>
                <w:szCs w:val="22"/>
              </w:rPr>
              <w:t>4. ¿Existen planes para la adquisición o implementación de nuevas tecnologías en los próximos cinco años?</w:t>
            </w:r>
          </w:p>
        </w:tc>
        <w:tc>
          <w:tcPr>
            <w:tcW w:w="5778" w:type="dxa"/>
          </w:tcPr>
          <w:p w14:paraId="526FF89A" w14:textId="77777777" w:rsidR="00575315" w:rsidRPr="008A238D" w:rsidRDefault="00403485" w:rsidP="008A238D">
            <w:pPr>
              <w:tabs>
                <w:tab w:val="left" w:pos="4962"/>
              </w:tabs>
              <w:rPr>
                <w:i/>
                <w:szCs w:val="22"/>
              </w:rPr>
            </w:pPr>
            <w:r w:rsidRPr="008A238D">
              <w:rPr>
                <w:i/>
                <w:szCs w:val="22"/>
              </w:rPr>
              <w:t>El Programa de adquisición se realiza de forma anual de conformidad a lo establecido en la Ley de Contratación Pública del Estado de México y Municipios, cabe señalar que para el presente ejercicio fiscal 2024, no se tiene contemplado la adquisición o implementación de nuevas tecnologías.</w:t>
            </w:r>
          </w:p>
        </w:tc>
      </w:tr>
      <w:tr w:rsidR="008A238D" w:rsidRPr="008A238D" w14:paraId="300E98C4" w14:textId="77777777" w:rsidTr="008F3313">
        <w:tc>
          <w:tcPr>
            <w:tcW w:w="3256" w:type="dxa"/>
          </w:tcPr>
          <w:p w14:paraId="3B1F6265" w14:textId="77777777" w:rsidR="00575315" w:rsidRPr="008A238D" w:rsidRDefault="00575315" w:rsidP="008A238D">
            <w:pPr>
              <w:tabs>
                <w:tab w:val="left" w:pos="4962"/>
              </w:tabs>
              <w:rPr>
                <w:i/>
                <w:szCs w:val="22"/>
              </w:rPr>
            </w:pPr>
            <w:r w:rsidRPr="008A238D">
              <w:rPr>
                <w:i/>
                <w:szCs w:val="22"/>
              </w:rPr>
              <w:lastRenderedPageBreak/>
              <w:t>5. ¿Qué acuerdos o convenios de colaboración existen entre los Servicios Médicos Forenses/Servicios Periciales y otras instituciones (ej. universidades, laboratorios privados, organizaciones internacionales) para identificación y resguardo?</w:t>
            </w:r>
          </w:p>
        </w:tc>
        <w:tc>
          <w:tcPr>
            <w:tcW w:w="5778" w:type="dxa"/>
          </w:tcPr>
          <w:p w14:paraId="3E0E963B" w14:textId="77777777" w:rsidR="00403485" w:rsidRPr="008A238D" w:rsidRDefault="00403485" w:rsidP="008A238D">
            <w:pPr>
              <w:tabs>
                <w:tab w:val="left" w:pos="4962"/>
              </w:tabs>
              <w:rPr>
                <w:i/>
                <w:szCs w:val="22"/>
              </w:rPr>
            </w:pPr>
            <w:r w:rsidRPr="008A238D">
              <w:rPr>
                <w:i/>
                <w:szCs w:val="22"/>
              </w:rPr>
              <w:t xml:space="preserve">No se cuenta con acuerdo o colaboraciones para el resguardo de cadáveres, pero se tienen colaboraciones con otras entidades en materia de identificación de cadáveres, por medio de confronta con los medios de identificación en las bases y/o plataformas de identificación </w:t>
            </w:r>
            <w:proofErr w:type="spellStart"/>
            <w:r w:rsidRPr="008A238D">
              <w:rPr>
                <w:i/>
                <w:szCs w:val="22"/>
              </w:rPr>
              <w:t>numana</w:t>
            </w:r>
            <w:proofErr w:type="spellEnd"/>
            <w:r w:rsidRPr="008A238D">
              <w:rPr>
                <w:i/>
                <w:szCs w:val="22"/>
              </w:rPr>
              <w:t>.</w:t>
            </w:r>
          </w:p>
          <w:p w14:paraId="50A63198" w14:textId="77777777" w:rsidR="00403485" w:rsidRPr="008A238D" w:rsidRDefault="00403485" w:rsidP="008A238D">
            <w:pPr>
              <w:tabs>
                <w:tab w:val="left" w:pos="4962"/>
              </w:tabs>
              <w:rPr>
                <w:i/>
                <w:szCs w:val="22"/>
              </w:rPr>
            </w:pPr>
            <w:r w:rsidRPr="008A238D">
              <w:rPr>
                <w:i/>
                <w:szCs w:val="22"/>
              </w:rPr>
              <w:t>Aunado a lo anterior, existen Unidades encargadas coadyuvar con la identificación y restitución de personas desaparecidas y fallecidas sin identificar, gestionando la información para identificar y brindar la atención a sus familiares, de conformidad con el Acuerdo número 03/2019 del Fiscal General de Justicia del Estado de México, por el que se crea la Unidad de Atención a Familiares de Cadáveres de Identidad Desconocida, la Unidad de Gestión de Información de Cadáveres de Identidad Desconocida, y la Unidad Multidisciplinaria de Identificación de Cadáveres de Identidad</w:t>
            </w:r>
          </w:p>
          <w:p w14:paraId="12C97E18" w14:textId="77777777" w:rsidR="00403485" w:rsidRPr="008A238D" w:rsidRDefault="00403485" w:rsidP="008A238D">
            <w:pPr>
              <w:tabs>
                <w:tab w:val="left" w:pos="4962"/>
              </w:tabs>
              <w:rPr>
                <w:i/>
                <w:szCs w:val="22"/>
              </w:rPr>
            </w:pPr>
            <w:r w:rsidRPr="008A238D">
              <w:rPr>
                <w:i/>
                <w:szCs w:val="22"/>
              </w:rPr>
              <w:t>Desconocida, disponible en la siguiente liga electrónica:</w:t>
            </w:r>
          </w:p>
          <w:p w14:paraId="56F72B72" w14:textId="77777777" w:rsidR="00403485" w:rsidRPr="008A238D" w:rsidRDefault="00403485" w:rsidP="008A238D">
            <w:pPr>
              <w:tabs>
                <w:tab w:val="left" w:pos="4962"/>
              </w:tabs>
              <w:rPr>
                <w:i/>
                <w:szCs w:val="22"/>
              </w:rPr>
            </w:pPr>
            <w:r w:rsidRPr="008A238D">
              <w:rPr>
                <w:i/>
                <w:szCs w:val="22"/>
              </w:rPr>
              <w:t>https://legislacion.edomex.gob.mx/sites/legislacion.edomex.gob.mx/files/files/pdf/gct/2019/abr10</w:t>
            </w:r>
          </w:p>
          <w:p w14:paraId="634A8E40" w14:textId="77777777" w:rsidR="00403485" w:rsidRPr="008A238D" w:rsidRDefault="00403485" w:rsidP="008A238D">
            <w:pPr>
              <w:tabs>
                <w:tab w:val="left" w:pos="4962"/>
              </w:tabs>
              <w:rPr>
                <w:i/>
                <w:szCs w:val="22"/>
              </w:rPr>
            </w:pPr>
            <w:r w:rsidRPr="008A238D">
              <w:rPr>
                <w:i/>
                <w:szCs w:val="22"/>
              </w:rPr>
              <w:t>1.pdf</w:t>
            </w:r>
          </w:p>
          <w:p w14:paraId="3E402549" w14:textId="77777777" w:rsidR="00403485" w:rsidRPr="008A238D" w:rsidRDefault="00403485" w:rsidP="008A238D">
            <w:pPr>
              <w:tabs>
                <w:tab w:val="left" w:pos="4962"/>
              </w:tabs>
              <w:rPr>
                <w:i/>
                <w:szCs w:val="22"/>
              </w:rPr>
            </w:pPr>
            <w:r w:rsidRPr="008A238D">
              <w:rPr>
                <w:i/>
                <w:szCs w:val="22"/>
              </w:rPr>
              <w:t xml:space="preserve">Asimismo, se cuenta con el Convenio de Coordinación suscrito por la Comisión Nacional de Búsqueda de Personas y esta </w:t>
            </w:r>
            <w:proofErr w:type="spellStart"/>
            <w:r w:rsidRPr="008A238D">
              <w:rPr>
                <w:i/>
                <w:szCs w:val="22"/>
              </w:rPr>
              <w:t>Fiscalia</w:t>
            </w:r>
            <w:proofErr w:type="spellEnd"/>
            <w:r w:rsidRPr="008A238D">
              <w:rPr>
                <w:i/>
                <w:szCs w:val="22"/>
              </w:rPr>
              <w:t xml:space="preserve"> General de Justicia, mismo que se encuentra disponible en la siguiente liga electrónica:</w:t>
            </w:r>
          </w:p>
          <w:p w14:paraId="3DE33AE9" w14:textId="77777777" w:rsidR="00403485" w:rsidRPr="008A238D" w:rsidRDefault="00403485" w:rsidP="008A238D">
            <w:pPr>
              <w:tabs>
                <w:tab w:val="left" w:pos="4962"/>
              </w:tabs>
              <w:rPr>
                <w:i/>
                <w:szCs w:val="22"/>
              </w:rPr>
            </w:pPr>
            <w:r w:rsidRPr="008A238D">
              <w:rPr>
                <w:i/>
                <w:szCs w:val="22"/>
              </w:rPr>
              <w:t>https://legislacion.edomex.gob.mx/sites/legislacion.edomex.gob.mx/files/files/pdf/gct/2024/junio/i</w:t>
            </w:r>
          </w:p>
          <w:p w14:paraId="5157CADE" w14:textId="77777777" w:rsidR="00575315" w:rsidRPr="008A238D" w:rsidRDefault="00403485" w:rsidP="008A238D">
            <w:pPr>
              <w:tabs>
                <w:tab w:val="left" w:pos="4962"/>
              </w:tabs>
              <w:rPr>
                <w:i/>
                <w:szCs w:val="22"/>
              </w:rPr>
            </w:pPr>
            <w:r w:rsidRPr="008A238D">
              <w:rPr>
                <w:i/>
                <w:szCs w:val="22"/>
              </w:rPr>
              <w:t>un031/jun031d.pdf</w:t>
            </w:r>
          </w:p>
        </w:tc>
      </w:tr>
      <w:tr w:rsidR="008A238D" w:rsidRPr="008A238D" w14:paraId="0A73E7BE" w14:textId="77777777" w:rsidTr="008F3313">
        <w:tc>
          <w:tcPr>
            <w:tcW w:w="3256" w:type="dxa"/>
          </w:tcPr>
          <w:p w14:paraId="3B07632E" w14:textId="77777777" w:rsidR="00575315" w:rsidRPr="008A238D" w:rsidRDefault="00575315" w:rsidP="008A238D">
            <w:pPr>
              <w:tabs>
                <w:tab w:val="left" w:pos="4962"/>
              </w:tabs>
              <w:rPr>
                <w:i/>
                <w:szCs w:val="22"/>
              </w:rPr>
            </w:pPr>
            <w:r w:rsidRPr="008A238D">
              <w:rPr>
                <w:i/>
                <w:szCs w:val="22"/>
              </w:rPr>
              <w:t>6. ¿Cuál es el tiempo promedio que toma a los Servicios Médicos Forenses y/o servicios periciales lograr la plena identificación de un cuerpo?</w:t>
            </w:r>
          </w:p>
        </w:tc>
        <w:tc>
          <w:tcPr>
            <w:tcW w:w="5778" w:type="dxa"/>
          </w:tcPr>
          <w:p w14:paraId="2574BC98" w14:textId="77777777" w:rsidR="00575315" w:rsidRPr="008A238D" w:rsidRDefault="00403485" w:rsidP="008A238D">
            <w:pPr>
              <w:tabs>
                <w:tab w:val="left" w:pos="4962"/>
              </w:tabs>
              <w:rPr>
                <w:i/>
                <w:szCs w:val="22"/>
              </w:rPr>
            </w:pPr>
            <w:r w:rsidRPr="008A238D">
              <w:rPr>
                <w:i/>
                <w:szCs w:val="22"/>
              </w:rPr>
              <w:t>No es posible establecer tiempo promedio toda vez que, cada caso es único y con diversa complejidad al momento de la intervención; sin embargo, para obtención de datos post mortem se utiliza el Protocolo de Tratamiento e Identificación Forense para la lograr la familiares.</w:t>
            </w:r>
          </w:p>
        </w:tc>
      </w:tr>
      <w:tr w:rsidR="008A238D" w:rsidRPr="008A238D" w14:paraId="48D7567F" w14:textId="77777777" w:rsidTr="008F3313">
        <w:tc>
          <w:tcPr>
            <w:tcW w:w="3256" w:type="dxa"/>
          </w:tcPr>
          <w:p w14:paraId="1B8E134E" w14:textId="77777777" w:rsidR="00575315" w:rsidRPr="008A238D" w:rsidRDefault="00575315" w:rsidP="008A238D">
            <w:pPr>
              <w:tabs>
                <w:tab w:val="left" w:pos="4962"/>
              </w:tabs>
              <w:rPr>
                <w:i/>
                <w:szCs w:val="22"/>
              </w:rPr>
            </w:pPr>
            <w:r w:rsidRPr="008A238D">
              <w:rPr>
                <w:i/>
                <w:szCs w:val="22"/>
              </w:rPr>
              <w:t>7. ¿Cuál es el tiempo promedio que un cuerpo o restos permanece en los Servicios Médicos Forenses y/o servicios periciales sin identificar, antes de ser trasladado a una fosa común?</w:t>
            </w:r>
          </w:p>
        </w:tc>
        <w:tc>
          <w:tcPr>
            <w:tcW w:w="5778" w:type="dxa"/>
          </w:tcPr>
          <w:p w14:paraId="3487626A" w14:textId="77777777" w:rsidR="00575315" w:rsidRPr="008A238D" w:rsidRDefault="00403485" w:rsidP="008A238D">
            <w:pPr>
              <w:tabs>
                <w:tab w:val="left" w:pos="4962"/>
              </w:tabs>
              <w:rPr>
                <w:i/>
                <w:szCs w:val="22"/>
              </w:rPr>
            </w:pPr>
            <w:r w:rsidRPr="008A238D">
              <w:rPr>
                <w:i/>
                <w:szCs w:val="22"/>
              </w:rPr>
              <w:t xml:space="preserve">Conforme al artículo 348 de la ley general de salud. Los cadáveres deberán inhumarse, incinerarse o embalsamarse dentro de las cuarenta y ocho horas siguientes a la muerte, salvo autorización específica de la autoridad sanitaria competente o por disposición del Ministerio Público, o de la autoridad judicial. Por lo que si permanecen más de 48 horas, es para su </w:t>
            </w:r>
            <w:r w:rsidRPr="008A238D">
              <w:rPr>
                <w:i/>
                <w:szCs w:val="22"/>
              </w:rPr>
              <w:lastRenderedPageBreak/>
              <w:t>resguardo hasta la instrucción correspondiente por el Agente del Ministerio Público.</w:t>
            </w:r>
          </w:p>
        </w:tc>
      </w:tr>
      <w:tr w:rsidR="008A238D" w:rsidRPr="008A238D" w14:paraId="5BCB13BE" w14:textId="77777777" w:rsidTr="008F3313">
        <w:tc>
          <w:tcPr>
            <w:tcW w:w="3256" w:type="dxa"/>
          </w:tcPr>
          <w:p w14:paraId="081E25C0" w14:textId="77777777" w:rsidR="00575315" w:rsidRPr="008A238D" w:rsidRDefault="00575315" w:rsidP="008A238D">
            <w:pPr>
              <w:tabs>
                <w:tab w:val="left" w:pos="4962"/>
              </w:tabs>
              <w:rPr>
                <w:i/>
                <w:szCs w:val="22"/>
              </w:rPr>
            </w:pPr>
            <w:r w:rsidRPr="008A238D">
              <w:rPr>
                <w:i/>
                <w:szCs w:val="22"/>
              </w:rPr>
              <w:lastRenderedPageBreak/>
              <w:t>8. ¿Cuántos cuerpos no identificados han sido reexaminados con nuevas técnicas de identificación en los últimos cinco años? ¿Cuántos de ellos tuvieron que ser exhumados para la aplicación de esas nuevas técnicas?</w:t>
            </w:r>
          </w:p>
        </w:tc>
        <w:tc>
          <w:tcPr>
            <w:tcW w:w="5778" w:type="dxa"/>
          </w:tcPr>
          <w:p w14:paraId="079AE18A" w14:textId="77777777" w:rsidR="00575315" w:rsidRPr="008A238D" w:rsidRDefault="00403485" w:rsidP="008A238D">
            <w:pPr>
              <w:tabs>
                <w:tab w:val="left" w:pos="4962"/>
              </w:tabs>
              <w:rPr>
                <w:i/>
                <w:szCs w:val="22"/>
              </w:rPr>
            </w:pPr>
            <w:r w:rsidRPr="008A238D">
              <w:rPr>
                <w:i/>
                <w:szCs w:val="22"/>
              </w:rPr>
              <w:t>A la fecha los cadáveres exhumados han sido para restitución digna a sus familiares, no se cuenta no nuevas técnicas de identificación humana.</w:t>
            </w:r>
          </w:p>
        </w:tc>
      </w:tr>
      <w:tr w:rsidR="008A238D" w:rsidRPr="008A238D" w14:paraId="4ADF138D" w14:textId="77777777" w:rsidTr="008F3313">
        <w:tc>
          <w:tcPr>
            <w:tcW w:w="3256" w:type="dxa"/>
          </w:tcPr>
          <w:p w14:paraId="18C14B19" w14:textId="77777777" w:rsidR="00575315" w:rsidRPr="008A238D" w:rsidRDefault="00575315" w:rsidP="008A238D">
            <w:pPr>
              <w:tabs>
                <w:tab w:val="left" w:pos="4962"/>
              </w:tabs>
              <w:rPr>
                <w:i/>
                <w:szCs w:val="22"/>
              </w:rPr>
            </w:pPr>
            <w:r w:rsidRPr="008A238D">
              <w:rPr>
                <w:i/>
                <w:szCs w:val="22"/>
              </w:rPr>
              <w:t>9. ¿El registro de restos no identificados en fosas comunes se realiza de manera digital o manual? ¿Qué datos se registran por cada cuerpo o resto sin identificar?</w:t>
            </w:r>
          </w:p>
        </w:tc>
        <w:tc>
          <w:tcPr>
            <w:tcW w:w="5778" w:type="dxa"/>
          </w:tcPr>
          <w:p w14:paraId="4A6AC736" w14:textId="77777777" w:rsidR="00575315" w:rsidRPr="008A238D" w:rsidRDefault="00403485" w:rsidP="008A238D">
            <w:pPr>
              <w:pStyle w:val="Prrafodelista"/>
              <w:numPr>
                <w:ilvl w:val="0"/>
                <w:numId w:val="13"/>
              </w:numPr>
              <w:tabs>
                <w:tab w:val="left" w:pos="4962"/>
              </w:tabs>
              <w:rPr>
                <w:i/>
                <w:szCs w:val="22"/>
              </w:rPr>
            </w:pPr>
            <w:r w:rsidRPr="008A238D">
              <w:rPr>
                <w:i/>
                <w:szCs w:val="22"/>
              </w:rPr>
              <w:t>Base de datos AM/P</w:t>
            </w:r>
          </w:p>
          <w:p w14:paraId="7D69473E" w14:textId="77777777" w:rsidR="00403485" w:rsidRPr="008A238D" w:rsidRDefault="00403485" w:rsidP="008A238D">
            <w:pPr>
              <w:pStyle w:val="Prrafodelista"/>
              <w:numPr>
                <w:ilvl w:val="0"/>
                <w:numId w:val="13"/>
              </w:numPr>
              <w:tabs>
                <w:tab w:val="left" w:pos="4962"/>
              </w:tabs>
              <w:rPr>
                <w:i/>
                <w:szCs w:val="22"/>
              </w:rPr>
            </w:pPr>
            <w:r w:rsidRPr="008A238D">
              <w:rPr>
                <w:i/>
                <w:szCs w:val="22"/>
              </w:rPr>
              <w:t>Y los datos que ayuden a una posible identificación (Odontología, Antropología, fotografías, huellas)</w:t>
            </w:r>
          </w:p>
        </w:tc>
      </w:tr>
      <w:tr w:rsidR="008A238D" w:rsidRPr="008A238D" w14:paraId="32B7B649" w14:textId="77777777" w:rsidTr="008F3313">
        <w:tc>
          <w:tcPr>
            <w:tcW w:w="3256" w:type="dxa"/>
          </w:tcPr>
          <w:p w14:paraId="6AFDF624" w14:textId="77777777" w:rsidR="00575315" w:rsidRPr="008A238D" w:rsidRDefault="00575315" w:rsidP="008A238D">
            <w:pPr>
              <w:tabs>
                <w:tab w:val="left" w:pos="4962"/>
              </w:tabs>
              <w:rPr>
                <w:i/>
                <w:szCs w:val="22"/>
              </w:rPr>
            </w:pPr>
            <w:r w:rsidRPr="008A238D">
              <w:rPr>
                <w:i/>
                <w:szCs w:val="22"/>
              </w:rPr>
              <w:t>10. ¿En cuántos casos de los cuerpos sin identificar que se encuentran almacenados en los Servicios Médicos Forenses y/o servicios periciales al momento de hacer la pregunta se realizaron confrontas con huellas dactilares alojadas en el padrón del INE, en el marco del convenio respectivo con dicha institución (si lo hubiere)? En caso negativo, explicar con qué criterio se decide no hacerlo.</w:t>
            </w:r>
          </w:p>
        </w:tc>
        <w:tc>
          <w:tcPr>
            <w:tcW w:w="5778" w:type="dxa"/>
          </w:tcPr>
          <w:p w14:paraId="2BD8AED4" w14:textId="77777777" w:rsidR="00575315" w:rsidRPr="008A238D" w:rsidRDefault="00403485" w:rsidP="008A238D">
            <w:pPr>
              <w:tabs>
                <w:tab w:val="left" w:pos="4962"/>
              </w:tabs>
              <w:rPr>
                <w:i/>
                <w:szCs w:val="22"/>
              </w:rPr>
            </w:pPr>
            <w:r w:rsidRPr="008A238D">
              <w:rPr>
                <w:i/>
                <w:szCs w:val="22"/>
              </w:rPr>
              <w:t>Se realizan confrontas dactilares a los cadáveres de identidad desconocida que se encuentran en fosa común, con los datos que se han compartido en términos del convenio firmado con el INE, sin embargo, es de señalar que el trámite de restitución de los cadáveres se realiza ante el Agente del Ministerio Público investigador que se encuentra integrando la carpeta de investigación.</w:t>
            </w:r>
          </w:p>
        </w:tc>
      </w:tr>
      <w:tr w:rsidR="008A238D" w:rsidRPr="008A238D" w14:paraId="36BC35EC" w14:textId="77777777" w:rsidTr="008F3313">
        <w:tc>
          <w:tcPr>
            <w:tcW w:w="3256" w:type="dxa"/>
          </w:tcPr>
          <w:p w14:paraId="4CD8DBFF" w14:textId="77777777" w:rsidR="00575315" w:rsidRPr="008A238D" w:rsidRDefault="00575315" w:rsidP="008A238D">
            <w:pPr>
              <w:tabs>
                <w:tab w:val="left" w:pos="4962"/>
              </w:tabs>
              <w:rPr>
                <w:i/>
                <w:szCs w:val="22"/>
              </w:rPr>
            </w:pPr>
            <w:r w:rsidRPr="008A238D">
              <w:rPr>
                <w:i/>
                <w:szCs w:val="22"/>
              </w:rPr>
              <w:t>11. ¿Qué protocolos, manuales o guías de implementación para la identificación forense y la investigación se implementan en las unidades de servicios periciales y/ o de servicio médico forense?</w:t>
            </w:r>
          </w:p>
        </w:tc>
        <w:tc>
          <w:tcPr>
            <w:tcW w:w="5778" w:type="dxa"/>
          </w:tcPr>
          <w:p w14:paraId="367C986F" w14:textId="77777777" w:rsidR="00403485" w:rsidRPr="008A238D" w:rsidRDefault="00403485" w:rsidP="008A238D">
            <w:pPr>
              <w:tabs>
                <w:tab w:val="left" w:pos="4962"/>
              </w:tabs>
              <w:rPr>
                <w:i/>
                <w:szCs w:val="22"/>
              </w:rPr>
            </w:pPr>
            <w:r w:rsidRPr="008A238D">
              <w:rPr>
                <w:i/>
                <w:szCs w:val="22"/>
              </w:rPr>
              <w:t>Protocolo para el Tratamiento e Identificación Forense, de la Fiscalía General de la</w:t>
            </w:r>
          </w:p>
          <w:p w14:paraId="64F0A926" w14:textId="77777777" w:rsidR="00403485" w:rsidRPr="008A238D" w:rsidRDefault="00403485" w:rsidP="008A238D">
            <w:pPr>
              <w:tabs>
                <w:tab w:val="left" w:pos="4962"/>
              </w:tabs>
              <w:rPr>
                <w:i/>
                <w:szCs w:val="22"/>
              </w:rPr>
            </w:pPr>
            <w:r w:rsidRPr="008A238D">
              <w:rPr>
                <w:i/>
                <w:szCs w:val="22"/>
              </w:rPr>
              <w:t>República publicada el quince de octubre del año 2015.</w:t>
            </w:r>
          </w:p>
          <w:p w14:paraId="7F95F3F0" w14:textId="77777777" w:rsidR="00575315" w:rsidRPr="008A238D" w:rsidRDefault="00403485" w:rsidP="008A238D">
            <w:pPr>
              <w:tabs>
                <w:tab w:val="left" w:pos="4962"/>
              </w:tabs>
              <w:rPr>
                <w:i/>
                <w:szCs w:val="22"/>
              </w:rPr>
            </w:pPr>
            <w:r w:rsidRPr="008A238D">
              <w:rPr>
                <w:i/>
                <w:szCs w:val="22"/>
              </w:rPr>
              <w:t>https://www.gob.mx/fgr/documentos/protocolo-para-el-tratamiento-e-identificacion-forense</w:t>
            </w:r>
          </w:p>
        </w:tc>
      </w:tr>
      <w:tr w:rsidR="00575315" w:rsidRPr="008A238D" w14:paraId="7CE20092" w14:textId="77777777" w:rsidTr="008F3313">
        <w:tc>
          <w:tcPr>
            <w:tcW w:w="3256" w:type="dxa"/>
          </w:tcPr>
          <w:p w14:paraId="6D6D82C3" w14:textId="77777777" w:rsidR="00575315" w:rsidRPr="008A238D" w:rsidRDefault="00575315" w:rsidP="008A238D">
            <w:pPr>
              <w:tabs>
                <w:tab w:val="left" w:pos="4962"/>
              </w:tabs>
              <w:rPr>
                <w:i/>
                <w:szCs w:val="22"/>
              </w:rPr>
            </w:pPr>
            <w:r w:rsidRPr="008A238D">
              <w:rPr>
                <w:i/>
                <w:szCs w:val="22"/>
              </w:rPr>
              <w:lastRenderedPageBreak/>
              <w:t>12. ¿Cuántos cuerpos y/ o restos humanos no identificados egresaron por año de las unidades de servicios periciales y/ o de servicio médico forense? ¿Cuál fue su destino, desglosado por año y sitio al que fueron enviados para su resguardo?</w:t>
            </w:r>
          </w:p>
        </w:tc>
        <w:tc>
          <w:tcPr>
            <w:tcW w:w="5778" w:type="dxa"/>
          </w:tcPr>
          <w:p w14:paraId="1D3E5F7D" w14:textId="77777777" w:rsidR="00575315" w:rsidRPr="008A238D" w:rsidRDefault="00403485" w:rsidP="008A238D">
            <w:pPr>
              <w:tabs>
                <w:tab w:val="left" w:pos="4962"/>
              </w:tabs>
              <w:rPr>
                <w:i/>
                <w:szCs w:val="22"/>
              </w:rPr>
            </w:pPr>
            <w:r w:rsidRPr="008A238D">
              <w:rPr>
                <w:i/>
                <w:noProof/>
                <w:szCs w:val="22"/>
                <w:lang w:eastAsia="es-MX"/>
              </w:rPr>
              <w:drawing>
                <wp:inline distT="0" distB="0" distL="0" distR="0" wp14:anchorId="43ED46E3" wp14:editId="00C53AED">
                  <wp:extent cx="3753317" cy="18192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7746" cy="1826269"/>
                          </a:xfrm>
                          <a:prstGeom prst="rect">
                            <a:avLst/>
                          </a:prstGeom>
                        </pic:spPr>
                      </pic:pic>
                    </a:graphicData>
                  </a:graphic>
                </wp:inline>
              </w:drawing>
            </w:r>
          </w:p>
        </w:tc>
      </w:tr>
    </w:tbl>
    <w:p w14:paraId="053CC9CB" w14:textId="77777777" w:rsidR="00575315" w:rsidRPr="008A238D" w:rsidRDefault="00575315" w:rsidP="008A238D">
      <w:pPr>
        <w:tabs>
          <w:tab w:val="left" w:pos="4962"/>
        </w:tabs>
        <w:rPr>
          <w:szCs w:val="22"/>
        </w:rPr>
      </w:pPr>
    </w:p>
    <w:p w14:paraId="081621D4" w14:textId="77777777" w:rsidR="00575315" w:rsidRPr="008A238D" w:rsidRDefault="00575315" w:rsidP="008A238D">
      <w:pPr>
        <w:tabs>
          <w:tab w:val="left" w:pos="4962"/>
        </w:tabs>
        <w:rPr>
          <w:szCs w:val="22"/>
        </w:rPr>
      </w:pPr>
      <w:r w:rsidRPr="008A238D">
        <w:rPr>
          <w:szCs w:val="22"/>
        </w:rPr>
        <w:t xml:space="preserve">Ahora bien, en la interposición del presente recurso </w:t>
      </w:r>
      <w:r w:rsidRPr="008A238D">
        <w:rPr>
          <w:b/>
          <w:szCs w:val="22"/>
        </w:rPr>
        <w:t>LA PARTE RECURRENTE</w:t>
      </w:r>
      <w:r w:rsidRPr="008A238D">
        <w:rPr>
          <w:szCs w:val="22"/>
        </w:rPr>
        <w:t xml:space="preserve"> se inconformó de la entrega de la información </w:t>
      </w:r>
      <w:r w:rsidR="00886851" w:rsidRPr="008A238D">
        <w:rPr>
          <w:szCs w:val="22"/>
        </w:rPr>
        <w:t>incompleta</w:t>
      </w:r>
      <w:r w:rsidRPr="008A238D">
        <w:rPr>
          <w:szCs w:val="22"/>
        </w:rPr>
        <w:t xml:space="preserve">, </w:t>
      </w:r>
      <w:r w:rsidR="00886851" w:rsidRPr="008A238D">
        <w:rPr>
          <w:szCs w:val="22"/>
        </w:rPr>
        <w:t>precisando que no se dio a conocer el número de víctimas, si eran mujeres o niños, que tampoco se informó sobre la fecha de los hechos ni la fecha de apertura de la carpeta de investigación, que no se desglosaron los casos por año, que no se especificó el estado que guarda la carpeta de investigación y que la entrega o puesta a disposición de la información está en una modalidad o formato distinto al elegido</w:t>
      </w:r>
      <w:r w:rsidR="00886851" w:rsidRPr="008A238D">
        <w:rPr>
          <w:i/>
          <w:szCs w:val="22"/>
        </w:rPr>
        <w:t xml:space="preserve"> </w:t>
      </w:r>
      <w:r w:rsidRPr="008A238D">
        <w:rPr>
          <w:szCs w:val="22"/>
        </w:rPr>
        <w:t xml:space="preserve">, por lo cual, el estudio se centrará en determinar si las respuestas proporcionadas por el </w:t>
      </w:r>
      <w:r w:rsidRPr="008A238D">
        <w:rPr>
          <w:b/>
          <w:szCs w:val="22"/>
        </w:rPr>
        <w:t>SUJETO OBLIGADO</w:t>
      </w:r>
      <w:r w:rsidR="00886851" w:rsidRPr="008A238D">
        <w:rPr>
          <w:szCs w:val="22"/>
        </w:rPr>
        <w:t xml:space="preserve"> fueron remitidas de manera completa</w:t>
      </w:r>
      <w:r w:rsidRPr="008A238D">
        <w:rPr>
          <w:szCs w:val="22"/>
        </w:rPr>
        <w:t>.</w:t>
      </w:r>
    </w:p>
    <w:p w14:paraId="541C7484" w14:textId="77777777" w:rsidR="00876140" w:rsidRPr="008A238D" w:rsidRDefault="00876140" w:rsidP="008A238D">
      <w:pPr>
        <w:tabs>
          <w:tab w:val="left" w:pos="4962"/>
        </w:tabs>
        <w:rPr>
          <w:szCs w:val="22"/>
        </w:rPr>
      </w:pPr>
    </w:p>
    <w:p w14:paraId="62AED620" w14:textId="77777777" w:rsidR="00876140" w:rsidRPr="008A238D" w:rsidRDefault="00876140" w:rsidP="008A238D">
      <w:pPr>
        <w:ind w:right="49"/>
        <w:rPr>
          <w:szCs w:val="22"/>
        </w:rPr>
      </w:pPr>
      <w:r w:rsidRPr="008A238D">
        <w:rPr>
          <w:szCs w:val="22"/>
        </w:rPr>
        <w:t xml:space="preserve">Ante tal situación, resulta oportuno mencionar que se advierte que el particular solo se inconforma sobre la omisión del </w:t>
      </w:r>
      <w:r w:rsidRPr="008A238D">
        <w:rPr>
          <w:b/>
          <w:szCs w:val="22"/>
        </w:rPr>
        <w:t xml:space="preserve">SUJETO OBLIGADO </w:t>
      </w:r>
      <w:r w:rsidRPr="008A238D">
        <w:rPr>
          <w:szCs w:val="22"/>
        </w:rPr>
        <w:t>para responder los elementos señal</w:t>
      </w:r>
      <w:r w:rsidR="00E05D82" w:rsidRPr="008A238D">
        <w:rPr>
          <w:szCs w:val="22"/>
        </w:rPr>
        <w:t>ados en el párrafo que antecede</w:t>
      </w:r>
      <w:r w:rsidRPr="008A238D">
        <w:rPr>
          <w:szCs w:val="22"/>
        </w:rPr>
        <w:t>; motivo por lo cual, los requerimientos que fueron respondidos, se declaran como actos consentidos por el propio solicitante, por lo que no pueden producirse efectos jurídicos tendentes a revocar, confirmar o modificar el acto reclamado.</w:t>
      </w:r>
    </w:p>
    <w:p w14:paraId="68597239" w14:textId="77777777" w:rsidR="00876140" w:rsidRPr="008A238D" w:rsidRDefault="00876140" w:rsidP="008A238D">
      <w:pPr>
        <w:ind w:right="49"/>
        <w:rPr>
          <w:szCs w:val="22"/>
        </w:rPr>
      </w:pPr>
    </w:p>
    <w:p w14:paraId="4A7FE46D" w14:textId="77777777" w:rsidR="00876140" w:rsidRPr="008A238D" w:rsidRDefault="00876140" w:rsidP="008A238D">
      <w:pPr>
        <w:rPr>
          <w:szCs w:val="22"/>
        </w:rPr>
      </w:pPr>
      <w:r w:rsidRPr="008A238D">
        <w:rPr>
          <w:szCs w:val="22"/>
        </w:rPr>
        <w:t>Sirve de sustento, la tesis jurisprudencial número VI.3o.C. J/60, publicada en el Semanario Judicial de la Federación y su Gaceta bajo el número de registro 176,608 que a la letra dice:</w:t>
      </w:r>
    </w:p>
    <w:p w14:paraId="276AFCC5" w14:textId="77777777" w:rsidR="00876140" w:rsidRPr="008A238D" w:rsidRDefault="00876140" w:rsidP="008A238D">
      <w:pPr>
        <w:rPr>
          <w:szCs w:val="22"/>
        </w:rPr>
      </w:pPr>
    </w:p>
    <w:p w14:paraId="4E6FDCDE" w14:textId="77777777" w:rsidR="00876140" w:rsidRPr="008A238D" w:rsidRDefault="00876140" w:rsidP="008A238D">
      <w:pPr>
        <w:pStyle w:val="Puesto"/>
      </w:pPr>
      <w:r w:rsidRPr="008A238D">
        <w:rPr>
          <w:b/>
        </w:rPr>
        <w:t xml:space="preserve">“ACTOS CONSENTIDOS. SON LOS QUE NO SE IMPUGNAN MEDIANTE EL RECURSO IDÓNEO. </w:t>
      </w:r>
      <w:r w:rsidRPr="008A238D">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4791F8B" w14:textId="77777777" w:rsidR="00876140" w:rsidRPr="008A238D" w:rsidRDefault="00876140" w:rsidP="008A238D">
      <w:pPr>
        <w:tabs>
          <w:tab w:val="left" w:pos="4962"/>
        </w:tabs>
        <w:rPr>
          <w:szCs w:val="22"/>
        </w:rPr>
      </w:pPr>
    </w:p>
    <w:p w14:paraId="25BBEABE" w14:textId="77777777" w:rsidR="00886851" w:rsidRPr="008A238D" w:rsidRDefault="00575315" w:rsidP="008A238D">
      <w:pPr>
        <w:rPr>
          <w:szCs w:val="22"/>
        </w:rPr>
      </w:pPr>
      <w:r w:rsidRPr="008A238D">
        <w:rPr>
          <w:szCs w:val="22"/>
        </w:rPr>
        <w:t xml:space="preserve">No pasa desapercibido señalar que, </w:t>
      </w:r>
      <w:r w:rsidRPr="008A238D">
        <w:rPr>
          <w:b/>
          <w:szCs w:val="22"/>
        </w:rPr>
        <w:t xml:space="preserve">EL SUJETO OBLIGADO, </w:t>
      </w:r>
      <w:r w:rsidRPr="008A238D">
        <w:rPr>
          <w:szCs w:val="22"/>
        </w:rPr>
        <w:t>en el apartado de manifestaciones, ratificó su respuesta primigenia, señalando que todos los cuestionamientos generados por el solicitante fueron respondidos</w:t>
      </w:r>
      <w:r w:rsidR="00886851" w:rsidRPr="008A238D">
        <w:rPr>
          <w:szCs w:val="22"/>
        </w:rPr>
        <w:t xml:space="preserve"> y que la inconformidad presentada por </w:t>
      </w:r>
      <w:r w:rsidR="00886851" w:rsidRPr="008A238D">
        <w:rPr>
          <w:b/>
          <w:szCs w:val="22"/>
        </w:rPr>
        <w:t xml:space="preserve">LA PARTE RECURRENTE </w:t>
      </w:r>
      <w:r w:rsidR="00886851" w:rsidRPr="008A238D">
        <w:rPr>
          <w:szCs w:val="22"/>
        </w:rPr>
        <w:t>no guarda relación con la solicitud inicial.</w:t>
      </w:r>
    </w:p>
    <w:p w14:paraId="35294D4C" w14:textId="77777777" w:rsidR="00886851" w:rsidRPr="008A238D" w:rsidRDefault="00886851" w:rsidP="008A238D">
      <w:pPr>
        <w:rPr>
          <w:szCs w:val="22"/>
        </w:rPr>
      </w:pPr>
    </w:p>
    <w:p w14:paraId="0C872106" w14:textId="77777777" w:rsidR="002B11D9" w:rsidRPr="008A238D" w:rsidRDefault="00E43858" w:rsidP="008A238D">
      <w:pPr>
        <w:pStyle w:val="Ttulo3"/>
        <w:tabs>
          <w:tab w:val="left" w:pos="6015"/>
        </w:tabs>
        <w:rPr>
          <w:szCs w:val="22"/>
        </w:rPr>
      </w:pPr>
      <w:bookmarkStart w:id="28" w:name="_Toc179394519"/>
      <w:r w:rsidRPr="008A238D">
        <w:rPr>
          <w:szCs w:val="22"/>
        </w:rPr>
        <w:t>c) Estudio de la controversia.</w:t>
      </w:r>
      <w:bookmarkEnd w:id="28"/>
    </w:p>
    <w:p w14:paraId="370A9070" w14:textId="77777777" w:rsidR="00876140" w:rsidRPr="008A238D" w:rsidRDefault="00E43858" w:rsidP="008A238D">
      <w:pPr>
        <w:rPr>
          <w:szCs w:val="22"/>
        </w:rPr>
      </w:pPr>
      <w:r w:rsidRPr="008A238D">
        <w:rPr>
          <w:szCs w:val="22"/>
        </w:rPr>
        <w:t>Una vez acotado lo anterior, con el fin de asegurar un correc</w:t>
      </w:r>
      <w:r w:rsidR="00ED4973" w:rsidRPr="008A238D">
        <w:rPr>
          <w:szCs w:val="22"/>
        </w:rPr>
        <w:t xml:space="preserve">to </w:t>
      </w:r>
      <w:r w:rsidR="00876140" w:rsidRPr="008A238D">
        <w:rPr>
          <w:szCs w:val="22"/>
        </w:rPr>
        <w:t>pronunciamiento</w:t>
      </w:r>
      <w:r w:rsidR="00ED4973" w:rsidRPr="008A238D">
        <w:rPr>
          <w:szCs w:val="22"/>
        </w:rPr>
        <w:t xml:space="preserve">, es importante </w:t>
      </w:r>
      <w:r w:rsidR="00876140" w:rsidRPr="008A238D">
        <w:rPr>
          <w:szCs w:val="22"/>
        </w:rPr>
        <w:t>realizar una comparación entre los cuestionamientos enlistados en la solicitud de acceso a la información, frente a los razonamientos precisados en el acto impugnado de la solicitante, quedando de la siguiente forma:</w:t>
      </w:r>
    </w:p>
    <w:p w14:paraId="2B53E770" w14:textId="77777777" w:rsidR="00876140" w:rsidRPr="008A238D" w:rsidRDefault="00876140" w:rsidP="008A238D">
      <w:pPr>
        <w:rPr>
          <w:szCs w:val="22"/>
        </w:rPr>
      </w:pPr>
    </w:p>
    <w:tbl>
      <w:tblPr>
        <w:tblStyle w:val="Tablaconcuadrcula"/>
        <w:tblW w:w="9067" w:type="dxa"/>
        <w:tblLayout w:type="fixed"/>
        <w:tblLook w:val="04A0" w:firstRow="1" w:lastRow="0" w:firstColumn="1" w:lastColumn="0" w:noHBand="0" w:noVBand="1"/>
      </w:tblPr>
      <w:tblGrid>
        <w:gridCol w:w="4815"/>
        <w:gridCol w:w="4252"/>
      </w:tblGrid>
      <w:tr w:rsidR="008A238D" w:rsidRPr="008A238D" w14:paraId="1571123B" w14:textId="77777777" w:rsidTr="008F3313">
        <w:trPr>
          <w:tblHeader/>
        </w:trPr>
        <w:tc>
          <w:tcPr>
            <w:tcW w:w="4815" w:type="dxa"/>
            <w:shd w:val="pct15" w:color="auto" w:fill="auto"/>
          </w:tcPr>
          <w:p w14:paraId="4CE289DB" w14:textId="77777777" w:rsidR="002A399C" w:rsidRPr="008A238D" w:rsidRDefault="002A399C" w:rsidP="008A238D">
            <w:pPr>
              <w:tabs>
                <w:tab w:val="left" w:pos="4962"/>
              </w:tabs>
              <w:jc w:val="center"/>
              <w:rPr>
                <w:b/>
                <w:szCs w:val="22"/>
              </w:rPr>
            </w:pPr>
            <w:r w:rsidRPr="008A238D">
              <w:rPr>
                <w:b/>
                <w:szCs w:val="22"/>
              </w:rPr>
              <w:t>REQUERIMIENTO</w:t>
            </w:r>
          </w:p>
        </w:tc>
        <w:tc>
          <w:tcPr>
            <w:tcW w:w="4252" w:type="dxa"/>
            <w:shd w:val="pct15" w:color="auto" w:fill="auto"/>
          </w:tcPr>
          <w:p w14:paraId="29CF6C0E" w14:textId="77777777" w:rsidR="002A399C" w:rsidRPr="008A238D" w:rsidRDefault="002A399C" w:rsidP="008A238D">
            <w:pPr>
              <w:tabs>
                <w:tab w:val="left" w:pos="4962"/>
              </w:tabs>
              <w:jc w:val="center"/>
              <w:rPr>
                <w:b/>
                <w:szCs w:val="22"/>
              </w:rPr>
            </w:pPr>
            <w:r w:rsidRPr="008A238D">
              <w:rPr>
                <w:b/>
                <w:szCs w:val="22"/>
              </w:rPr>
              <w:t>ACTO IMPUGNADO</w:t>
            </w:r>
          </w:p>
        </w:tc>
      </w:tr>
      <w:tr w:rsidR="008A238D" w:rsidRPr="008A238D" w14:paraId="4D1AC2DC" w14:textId="77777777" w:rsidTr="008F3313">
        <w:tc>
          <w:tcPr>
            <w:tcW w:w="4815" w:type="dxa"/>
          </w:tcPr>
          <w:p w14:paraId="2DD51D4E" w14:textId="77777777" w:rsidR="002A399C" w:rsidRPr="008A238D" w:rsidRDefault="002A399C" w:rsidP="008A238D">
            <w:pPr>
              <w:tabs>
                <w:tab w:val="left" w:pos="4962"/>
              </w:tabs>
              <w:rPr>
                <w:i/>
                <w:szCs w:val="22"/>
              </w:rPr>
            </w:pPr>
            <w:r w:rsidRPr="008A238D">
              <w:rPr>
                <w:i/>
                <w:szCs w:val="22"/>
              </w:rPr>
              <w:t>1. ¿Con qué periodicidad se da mantenimiento a equipos e infraestructura? ¿Qué presupuesto se destina a ello cada año? Solicito una lista desglosada de cada uno de los mantenimientos que se han dado en los últimos 3 años.</w:t>
            </w:r>
          </w:p>
        </w:tc>
        <w:tc>
          <w:tcPr>
            <w:tcW w:w="4252" w:type="dxa"/>
            <w:vMerge w:val="restart"/>
          </w:tcPr>
          <w:p w14:paraId="63D1F1D4" w14:textId="77777777" w:rsidR="002A399C" w:rsidRPr="008A238D" w:rsidRDefault="002A399C" w:rsidP="008A238D">
            <w:pPr>
              <w:tabs>
                <w:tab w:val="left" w:pos="4962"/>
              </w:tabs>
              <w:rPr>
                <w:szCs w:val="22"/>
              </w:rPr>
            </w:pPr>
            <w:r w:rsidRPr="008A238D">
              <w:rPr>
                <w:i/>
                <w:szCs w:val="22"/>
              </w:rPr>
              <w:t xml:space="preserve">“La información entregada está incompleta… no se dio a conocer el </w:t>
            </w:r>
            <w:r w:rsidRPr="008A238D">
              <w:rPr>
                <w:b/>
                <w:i/>
                <w:szCs w:val="22"/>
              </w:rPr>
              <w:t>número de víctimas ni si eran mujeres o niños</w:t>
            </w:r>
            <w:r w:rsidRPr="008A238D">
              <w:rPr>
                <w:i/>
                <w:szCs w:val="22"/>
              </w:rPr>
              <w:t xml:space="preserve">. Tampoco se informó sobre la fecha de los hechos ni la </w:t>
            </w:r>
            <w:r w:rsidRPr="008A238D">
              <w:rPr>
                <w:b/>
                <w:i/>
                <w:szCs w:val="22"/>
              </w:rPr>
              <w:t>fecha de apertura de la carpeta de investigación</w:t>
            </w:r>
            <w:r w:rsidRPr="008A238D">
              <w:rPr>
                <w:i/>
                <w:szCs w:val="22"/>
              </w:rPr>
              <w:t xml:space="preserve">, así como tampoco se desglosaron los casos por año. Tampoco se especificó el </w:t>
            </w:r>
            <w:r w:rsidRPr="008A238D">
              <w:rPr>
                <w:b/>
                <w:i/>
                <w:szCs w:val="22"/>
              </w:rPr>
              <w:t>estado que guarda la carpeta de investigación</w:t>
            </w:r>
            <w:r w:rsidRPr="008A238D">
              <w:rPr>
                <w:i/>
                <w:szCs w:val="22"/>
              </w:rPr>
              <w:t xml:space="preserve">. Además, </w:t>
            </w:r>
            <w:r w:rsidRPr="008A238D">
              <w:rPr>
                <w:b/>
                <w:i/>
                <w:szCs w:val="22"/>
              </w:rPr>
              <w:t>la entrega o puesta a disposición de la información está en una modalidad o formato distinto al que elegí.</w:t>
            </w:r>
            <w:r w:rsidRPr="008A238D">
              <w:rPr>
                <w:i/>
                <w:szCs w:val="22"/>
              </w:rPr>
              <w:t xml:space="preserve">” </w:t>
            </w:r>
            <w:r w:rsidRPr="008A238D">
              <w:rPr>
                <w:szCs w:val="22"/>
              </w:rPr>
              <w:t>(Sic).</w:t>
            </w:r>
          </w:p>
          <w:p w14:paraId="08375093" w14:textId="77777777" w:rsidR="002A399C" w:rsidRPr="008A238D" w:rsidRDefault="002A399C" w:rsidP="008A238D">
            <w:pPr>
              <w:tabs>
                <w:tab w:val="left" w:pos="4962"/>
              </w:tabs>
              <w:rPr>
                <w:i/>
                <w:szCs w:val="22"/>
              </w:rPr>
            </w:pPr>
          </w:p>
        </w:tc>
      </w:tr>
      <w:tr w:rsidR="008A238D" w:rsidRPr="008A238D" w14:paraId="28C0744D" w14:textId="77777777" w:rsidTr="008F3313">
        <w:tc>
          <w:tcPr>
            <w:tcW w:w="4815" w:type="dxa"/>
          </w:tcPr>
          <w:p w14:paraId="16B25940" w14:textId="77777777" w:rsidR="002A399C" w:rsidRPr="008A238D" w:rsidRDefault="002A399C" w:rsidP="008A238D">
            <w:pPr>
              <w:tabs>
                <w:tab w:val="left" w:pos="4962"/>
              </w:tabs>
              <w:rPr>
                <w:i/>
                <w:szCs w:val="22"/>
              </w:rPr>
            </w:pPr>
            <w:r w:rsidRPr="008A238D">
              <w:rPr>
                <w:i/>
                <w:szCs w:val="22"/>
              </w:rPr>
              <w:t>2. ¿Qué equipos y tecnologías específicas (ej. para análisis de ADN, radiografía forense, escáneres 3D, etc.) están disponibles en los laboratorios de identificación humana?</w:t>
            </w:r>
          </w:p>
        </w:tc>
        <w:tc>
          <w:tcPr>
            <w:tcW w:w="4252" w:type="dxa"/>
            <w:vMerge/>
          </w:tcPr>
          <w:p w14:paraId="5316B23B" w14:textId="77777777" w:rsidR="002A399C" w:rsidRPr="008A238D" w:rsidRDefault="002A399C" w:rsidP="008A238D">
            <w:pPr>
              <w:tabs>
                <w:tab w:val="left" w:pos="4962"/>
              </w:tabs>
              <w:rPr>
                <w:i/>
                <w:szCs w:val="22"/>
              </w:rPr>
            </w:pPr>
          </w:p>
        </w:tc>
      </w:tr>
      <w:tr w:rsidR="008A238D" w:rsidRPr="008A238D" w14:paraId="398057C4" w14:textId="77777777" w:rsidTr="008F3313">
        <w:tc>
          <w:tcPr>
            <w:tcW w:w="4815" w:type="dxa"/>
          </w:tcPr>
          <w:p w14:paraId="7A3A72E7" w14:textId="77777777" w:rsidR="002A399C" w:rsidRPr="008A238D" w:rsidRDefault="002A399C" w:rsidP="008A238D">
            <w:pPr>
              <w:tabs>
                <w:tab w:val="left" w:pos="4962"/>
              </w:tabs>
              <w:rPr>
                <w:i/>
                <w:szCs w:val="22"/>
              </w:rPr>
            </w:pPr>
            <w:r w:rsidRPr="008A238D">
              <w:rPr>
                <w:i/>
                <w:szCs w:val="22"/>
              </w:rPr>
              <w:t xml:space="preserve">3. ¿Qué tecnologías nuevas se han implementado recientemente para la identificación de restos </w:t>
            </w:r>
            <w:r w:rsidRPr="008A238D">
              <w:rPr>
                <w:i/>
                <w:szCs w:val="22"/>
              </w:rPr>
              <w:lastRenderedPageBreak/>
              <w:t>humanos en el estado? ¿Qué resultados se han obtenido con la implementación de estas nuevas tecnologías?</w:t>
            </w:r>
          </w:p>
        </w:tc>
        <w:tc>
          <w:tcPr>
            <w:tcW w:w="4252" w:type="dxa"/>
            <w:vMerge/>
          </w:tcPr>
          <w:p w14:paraId="2F570C51" w14:textId="77777777" w:rsidR="002A399C" w:rsidRPr="008A238D" w:rsidRDefault="002A399C" w:rsidP="008A238D">
            <w:pPr>
              <w:tabs>
                <w:tab w:val="left" w:pos="4962"/>
              </w:tabs>
              <w:rPr>
                <w:i/>
                <w:szCs w:val="22"/>
              </w:rPr>
            </w:pPr>
          </w:p>
        </w:tc>
      </w:tr>
      <w:tr w:rsidR="008A238D" w:rsidRPr="008A238D" w14:paraId="3C81D5E0" w14:textId="77777777" w:rsidTr="008F3313">
        <w:tc>
          <w:tcPr>
            <w:tcW w:w="4815" w:type="dxa"/>
          </w:tcPr>
          <w:p w14:paraId="0BB3D9F7" w14:textId="77777777" w:rsidR="002A399C" w:rsidRPr="008A238D" w:rsidRDefault="002A399C" w:rsidP="008A238D">
            <w:pPr>
              <w:tabs>
                <w:tab w:val="left" w:pos="4962"/>
              </w:tabs>
              <w:rPr>
                <w:i/>
                <w:szCs w:val="22"/>
              </w:rPr>
            </w:pPr>
            <w:r w:rsidRPr="008A238D">
              <w:rPr>
                <w:i/>
                <w:szCs w:val="22"/>
              </w:rPr>
              <w:t>4. ¿Existen planes para la adquisición o implementación de nuevas tecnologías en los próximos cinco años?</w:t>
            </w:r>
          </w:p>
        </w:tc>
        <w:tc>
          <w:tcPr>
            <w:tcW w:w="4252" w:type="dxa"/>
            <w:vMerge/>
          </w:tcPr>
          <w:p w14:paraId="0DBD9174" w14:textId="77777777" w:rsidR="002A399C" w:rsidRPr="008A238D" w:rsidRDefault="002A399C" w:rsidP="008A238D">
            <w:pPr>
              <w:tabs>
                <w:tab w:val="left" w:pos="4962"/>
              </w:tabs>
              <w:rPr>
                <w:i/>
                <w:szCs w:val="22"/>
              </w:rPr>
            </w:pPr>
          </w:p>
        </w:tc>
      </w:tr>
      <w:tr w:rsidR="008A238D" w:rsidRPr="008A238D" w14:paraId="0497FCCD" w14:textId="77777777" w:rsidTr="008F3313">
        <w:tc>
          <w:tcPr>
            <w:tcW w:w="4815" w:type="dxa"/>
          </w:tcPr>
          <w:p w14:paraId="5BF6B7D5" w14:textId="77777777" w:rsidR="002A399C" w:rsidRPr="008A238D" w:rsidRDefault="002A399C" w:rsidP="008A238D">
            <w:pPr>
              <w:tabs>
                <w:tab w:val="left" w:pos="4962"/>
              </w:tabs>
              <w:rPr>
                <w:i/>
                <w:szCs w:val="22"/>
              </w:rPr>
            </w:pPr>
            <w:r w:rsidRPr="008A238D">
              <w:rPr>
                <w:i/>
                <w:szCs w:val="22"/>
              </w:rPr>
              <w:t>5. ¿Qué acuerdos o convenios de colaboración existen entre los Servicios Médicos Forenses/Servicios Periciales y otras instituciones (ej. universidades, laboratorios privados, organizaciones internacionales) para identificación y resguardo?</w:t>
            </w:r>
          </w:p>
        </w:tc>
        <w:tc>
          <w:tcPr>
            <w:tcW w:w="4252" w:type="dxa"/>
            <w:vMerge/>
          </w:tcPr>
          <w:p w14:paraId="22F74ED5" w14:textId="77777777" w:rsidR="002A399C" w:rsidRPr="008A238D" w:rsidRDefault="002A399C" w:rsidP="008A238D">
            <w:pPr>
              <w:tabs>
                <w:tab w:val="left" w:pos="4962"/>
              </w:tabs>
              <w:rPr>
                <w:i/>
                <w:szCs w:val="22"/>
              </w:rPr>
            </w:pPr>
          </w:p>
        </w:tc>
      </w:tr>
      <w:tr w:rsidR="008A238D" w:rsidRPr="008A238D" w14:paraId="168A5160" w14:textId="77777777" w:rsidTr="008F3313">
        <w:tc>
          <w:tcPr>
            <w:tcW w:w="4815" w:type="dxa"/>
          </w:tcPr>
          <w:p w14:paraId="55C9F985" w14:textId="77777777" w:rsidR="002A399C" w:rsidRPr="008A238D" w:rsidRDefault="002A399C" w:rsidP="008A238D">
            <w:pPr>
              <w:tabs>
                <w:tab w:val="left" w:pos="4962"/>
              </w:tabs>
              <w:rPr>
                <w:i/>
                <w:szCs w:val="22"/>
              </w:rPr>
            </w:pPr>
            <w:r w:rsidRPr="008A238D">
              <w:rPr>
                <w:i/>
                <w:szCs w:val="22"/>
              </w:rPr>
              <w:t>6. ¿Cuál es el tiempo promedio que toma a los Servicios Médicos Forenses y/o servicios periciales lograr la plena identificación de un cuerpo?</w:t>
            </w:r>
          </w:p>
        </w:tc>
        <w:tc>
          <w:tcPr>
            <w:tcW w:w="4252" w:type="dxa"/>
            <w:vMerge/>
          </w:tcPr>
          <w:p w14:paraId="4076543C" w14:textId="77777777" w:rsidR="002A399C" w:rsidRPr="008A238D" w:rsidRDefault="002A399C" w:rsidP="008A238D">
            <w:pPr>
              <w:tabs>
                <w:tab w:val="left" w:pos="4962"/>
              </w:tabs>
              <w:rPr>
                <w:i/>
                <w:szCs w:val="22"/>
              </w:rPr>
            </w:pPr>
          </w:p>
        </w:tc>
      </w:tr>
      <w:tr w:rsidR="008A238D" w:rsidRPr="008A238D" w14:paraId="45FA7201" w14:textId="77777777" w:rsidTr="008F3313">
        <w:tc>
          <w:tcPr>
            <w:tcW w:w="4815" w:type="dxa"/>
          </w:tcPr>
          <w:p w14:paraId="53607F9A" w14:textId="77777777" w:rsidR="002A399C" w:rsidRPr="008A238D" w:rsidRDefault="002A399C" w:rsidP="008A238D">
            <w:pPr>
              <w:tabs>
                <w:tab w:val="left" w:pos="4962"/>
              </w:tabs>
              <w:rPr>
                <w:i/>
                <w:szCs w:val="22"/>
              </w:rPr>
            </w:pPr>
            <w:r w:rsidRPr="008A238D">
              <w:rPr>
                <w:i/>
                <w:szCs w:val="22"/>
              </w:rPr>
              <w:t>7. ¿Cuál es el tiempo promedio que un cuerpo o restos permanece en los Servicios Médicos Forenses y/o servicios periciales sin identificar, antes de ser trasladado a una fosa común?</w:t>
            </w:r>
          </w:p>
        </w:tc>
        <w:tc>
          <w:tcPr>
            <w:tcW w:w="4252" w:type="dxa"/>
            <w:vMerge/>
          </w:tcPr>
          <w:p w14:paraId="380C2BD6" w14:textId="77777777" w:rsidR="002A399C" w:rsidRPr="008A238D" w:rsidRDefault="002A399C" w:rsidP="008A238D">
            <w:pPr>
              <w:tabs>
                <w:tab w:val="left" w:pos="4962"/>
              </w:tabs>
              <w:rPr>
                <w:i/>
                <w:szCs w:val="22"/>
              </w:rPr>
            </w:pPr>
          </w:p>
        </w:tc>
      </w:tr>
      <w:tr w:rsidR="008A238D" w:rsidRPr="008A238D" w14:paraId="6B5E9600" w14:textId="77777777" w:rsidTr="008F3313">
        <w:tc>
          <w:tcPr>
            <w:tcW w:w="4815" w:type="dxa"/>
          </w:tcPr>
          <w:p w14:paraId="33F47238" w14:textId="77777777" w:rsidR="002A399C" w:rsidRPr="008A238D" w:rsidRDefault="002A399C" w:rsidP="008A238D">
            <w:pPr>
              <w:tabs>
                <w:tab w:val="left" w:pos="4962"/>
              </w:tabs>
              <w:rPr>
                <w:i/>
                <w:szCs w:val="22"/>
              </w:rPr>
            </w:pPr>
            <w:r w:rsidRPr="008A238D">
              <w:rPr>
                <w:i/>
                <w:szCs w:val="22"/>
              </w:rPr>
              <w:t>8. ¿Cuántos cuerpos no identificados han sido reexaminados con nuevas técnicas de identificación en los últimos cinco años? ¿Cuántos de ellos tuvieron que ser exhumados para la aplicación de esas nuevas técnicas?</w:t>
            </w:r>
          </w:p>
        </w:tc>
        <w:tc>
          <w:tcPr>
            <w:tcW w:w="4252" w:type="dxa"/>
            <w:vMerge/>
          </w:tcPr>
          <w:p w14:paraId="43CEB0BA" w14:textId="77777777" w:rsidR="002A399C" w:rsidRPr="008A238D" w:rsidRDefault="002A399C" w:rsidP="008A238D">
            <w:pPr>
              <w:tabs>
                <w:tab w:val="left" w:pos="4962"/>
              </w:tabs>
              <w:rPr>
                <w:i/>
                <w:szCs w:val="22"/>
              </w:rPr>
            </w:pPr>
          </w:p>
        </w:tc>
      </w:tr>
      <w:tr w:rsidR="008A238D" w:rsidRPr="008A238D" w14:paraId="1AB94E02" w14:textId="77777777" w:rsidTr="008F3313">
        <w:tc>
          <w:tcPr>
            <w:tcW w:w="4815" w:type="dxa"/>
          </w:tcPr>
          <w:p w14:paraId="26AD7450" w14:textId="77777777" w:rsidR="002A399C" w:rsidRPr="008A238D" w:rsidRDefault="002A399C" w:rsidP="008A238D">
            <w:pPr>
              <w:tabs>
                <w:tab w:val="left" w:pos="4962"/>
              </w:tabs>
              <w:rPr>
                <w:i/>
                <w:szCs w:val="22"/>
              </w:rPr>
            </w:pPr>
            <w:r w:rsidRPr="008A238D">
              <w:rPr>
                <w:i/>
                <w:szCs w:val="22"/>
              </w:rPr>
              <w:t>9. ¿El registro de restos no identificados en fosas comunes se realiza de manera digital o manual? ¿Qué datos se registran por cada cuerpo o resto sin identificar?</w:t>
            </w:r>
          </w:p>
        </w:tc>
        <w:tc>
          <w:tcPr>
            <w:tcW w:w="4252" w:type="dxa"/>
            <w:vMerge/>
          </w:tcPr>
          <w:p w14:paraId="6753F3B5" w14:textId="77777777" w:rsidR="002A399C" w:rsidRPr="008A238D" w:rsidRDefault="002A399C" w:rsidP="008A238D">
            <w:pPr>
              <w:tabs>
                <w:tab w:val="left" w:pos="4962"/>
              </w:tabs>
              <w:rPr>
                <w:i/>
                <w:szCs w:val="22"/>
              </w:rPr>
            </w:pPr>
          </w:p>
        </w:tc>
      </w:tr>
      <w:tr w:rsidR="008A238D" w:rsidRPr="008A238D" w14:paraId="41E652DD" w14:textId="77777777" w:rsidTr="008F3313">
        <w:tc>
          <w:tcPr>
            <w:tcW w:w="4815" w:type="dxa"/>
          </w:tcPr>
          <w:p w14:paraId="51F261BE" w14:textId="77777777" w:rsidR="002A399C" w:rsidRPr="008A238D" w:rsidRDefault="002A399C" w:rsidP="008A238D">
            <w:pPr>
              <w:tabs>
                <w:tab w:val="left" w:pos="4962"/>
              </w:tabs>
              <w:rPr>
                <w:i/>
                <w:szCs w:val="22"/>
              </w:rPr>
            </w:pPr>
            <w:r w:rsidRPr="008A238D">
              <w:rPr>
                <w:i/>
                <w:szCs w:val="22"/>
              </w:rPr>
              <w:t>10. ¿En cuántos casos de los cuerpos sin identificar que se encuentran almacenados en los Servicios Médicos Forenses y/o servicios periciales al momento de hacer la pregunta se realizaron confrontas con huellas dactilares alojadas en el padrón del INE, en el marco del convenio respectivo con dicha institución (si lo hubiere)? En caso negativo, explicar con qué criterio se decide no hacerlo.</w:t>
            </w:r>
          </w:p>
        </w:tc>
        <w:tc>
          <w:tcPr>
            <w:tcW w:w="4252" w:type="dxa"/>
            <w:vMerge/>
          </w:tcPr>
          <w:p w14:paraId="5A9C86A5" w14:textId="77777777" w:rsidR="002A399C" w:rsidRPr="008A238D" w:rsidRDefault="002A399C" w:rsidP="008A238D">
            <w:pPr>
              <w:tabs>
                <w:tab w:val="left" w:pos="4962"/>
              </w:tabs>
              <w:rPr>
                <w:i/>
                <w:szCs w:val="22"/>
              </w:rPr>
            </w:pPr>
          </w:p>
        </w:tc>
      </w:tr>
      <w:tr w:rsidR="008A238D" w:rsidRPr="008A238D" w14:paraId="0AE032BE" w14:textId="77777777" w:rsidTr="008F3313">
        <w:tc>
          <w:tcPr>
            <w:tcW w:w="4815" w:type="dxa"/>
          </w:tcPr>
          <w:p w14:paraId="3C05C9D8" w14:textId="77777777" w:rsidR="002A399C" w:rsidRPr="008A238D" w:rsidRDefault="002A399C" w:rsidP="008A238D">
            <w:pPr>
              <w:tabs>
                <w:tab w:val="left" w:pos="4962"/>
              </w:tabs>
              <w:rPr>
                <w:i/>
                <w:szCs w:val="22"/>
              </w:rPr>
            </w:pPr>
            <w:r w:rsidRPr="008A238D">
              <w:rPr>
                <w:i/>
                <w:szCs w:val="22"/>
              </w:rPr>
              <w:lastRenderedPageBreak/>
              <w:t>11. ¿Qué protocolos, manuales o guías de implementación para la identificación forense y la investigación se implementan en las unidades de servicios periciales y/ o de servicio médico forense?</w:t>
            </w:r>
          </w:p>
        </w:tc>
        <w:tc>
          <w:tcPr>
            <w:tcW w:w="4252" w:type="dxa"/>
            <w:vMerge/>
          </w:tcPr>
          <w:p w14:paraId="451D29FA" w14:textId="77777777" w:rsidR="002A399C" w:rsidRPr="008A238D" w:rsidRDefault="002A399C" w:rsidP="008A238D">
            <w:pPr>
              <w:tabs>
                <w:tab w:val="left" w:pos="4962"/>
              </w:tabs>
              <w:rPr>
                <w:i/>
                <w:szCs w:val="22"/>
              </w:rPr>
            </w:pPr>
          </w:p>
        </w:tc>
      </w:tr>
      <w:tr w:rsidR="002A399C" w:rsidRPr="008A238D" w14:paraId="5C2517FE" w14:textId="77777777" w:rsidTr="008F3313">
        <w:tc>
          <w:tcPr>
            <w:tcW w:w="4815" w:type="dxa"/>
          </w:tcPr>
          <w:p w14:paraId="56074B1C" w14:textId="77777777" w:rsidR="002A399C" w:rsidRPr="008A238D" w:rsidRDefault="002A399C" w:rsidP="008A238D">
            <w:pPr>
              <w:tabs>
                <w:tab w:val="left" w:pos="4962"/>
              </w:tabs>
              <w:rPr>
                <w:i/>
                <w:szCs w:val="22"/>
              </w:rPr>
            </w:pPr>
            <w:r w:rsidRPr="008A238D">
              <w:rPr>
                <w:i/>
                <w:szCs w:val="22"/>
              </w:rPr>
              <w:t>12. ¿Cuántos cuerpos y/ o restos humanos no identificados egresaron por año de las unidades de servicios periciales y/ o de servicio médico forense? ¿Cuál fue su destino, desglosado por año y sitio al que fueron enviados para su resguardo?</w:t>
            </w:r>
          </w:p>
        </w:tc>
        <w:tc>
          <w:tcPr>
            <w:tcW w:w="4252" w:type="dxa"/>
            <w:vMerge/>
          </w:tcPr>
          <w:p w14:paraId="70D951D4" w14:textId="77777777" w:rsidR="002A399C" w:rsidRPr="008A238D" w:rsidRDefault="002A399C" w:rsidP="008A238D">
            <w:pPr>
              <w:tabs>
                <w:tab w:val="left" w:pos="4962"/>
              </w:tabs>
              <w:rPr>
                <w:i/>
                <w:szCs w:val="22"/>
              </w:rPr>
            </w:pPr>
          </w:p>
        </w:tc>
      </w:tr>
    </w:tbl>
    <w:p w14:paraId="16164D5C" w14:textId="77777777" w:rsidR="00876140" w:rsidRPr="008A238D" w:rsidRDefault="00876140" w:rsidP="008A238D">
      <w:pPr>
        <w:rPr>
          <w:szCs w:val="22"/>
        </w:rPr>
      </w:pPr>
    </w:p>
    <w:p w14:paraId="70A26CFA" w14:textId="77777777" w:rsidR="00CC6C3B" w:rsidRPr="008A238D" w:rsidRDefault="002A399C" w:rsidP="008A238D">
      <w:pPr>
        <w:rPr>
          <w:szCs w:val="22"/>
        </w:rPr>
      </w:pPr>
      <w:r w:rsidRPr="008A238D">
        <w:rPr>
          <w:szCs w:val="22"/>
        </w:rPr>
        <w:t>Es así</w:t>
      </w:r>
      <w:r w:rsidR="00876140" w:rsidRPr="008A238D">
        <w:rPr>
          <w:szCs w:val="22"/>
        </w:rPr>
        <w:t xml:space="preserve"> que</w:t>
      </w:r>
      <w:r w:rsidRPr="008A238D">
        <w:rPr>
          <w:szCs w:val="22"/>
        </w:rPr>
        <w:t>,</w:t>
      </w:r>
      <w:r w:rsidR="00876140" w:rsidRPr="008A238D">
        <w:rPr>
          <w:szCs w:val="22"/>
        </w:rPr>
        <w:t xml:space="preserve"> tras el análisis de las constancias que obran en el expediente electrónico del SAIMEX, no se advierte que </w:t>
      </w:r>
      <w:r w:rsidR="00876140" w:rsidRPr="008A238D">
        <w:rPr>
          <w:b/>
          <w:szCs w:val="22"/>
        </w:rPr>
        <w:t xml:space="preserve">LA PARTRE RECURRENTE </w:t>
      </w:r>
      <w:r w:rsidR="00876140" w:rsidRPr="008A238D">
        <w:rPr>
          <w:szCs w:val="22"/>
        </w:rPr>
        <w:t xml:space="preserve">haya realizado algún requerimiento en su solicitud de acceso a la información que guarde relación con las manifestaciones expuestas en </w:t>
      </w:r>
      <w:r w:rsidRPr="008A238D">
        <w:rPr>
          <w:szCs w:val="22"/>
        </w:rPr>
        <w:t>su</w:t>
      </w:r>
      <w:r w:rsidR="00876140" w:rsidRPr="008A238D">
        <w:rPr>
          <w:szCs w:val="22"/>
        </w:rPr>
        <w:t xml:space="preserve"> acto impugnado</w:t>
      </w:r>
      <w:r w:rsidRPr="008A238D">
        <w:rPr>
          <w:szCs w:val="22"/>
        </w:rPr>
        <w:t>.</w:t>
      </w:r>
    </w:p>
    <w:p w14:paraId="223BB99E" w14:textId="77777777" w:rsidR="00CC6C3B" w:rsidRPr="008A238D" w:rsidRDefault="00CC6C3B" w:rsidP="008A238D">
      <w:pPr>
        <w:rPr>
          <w:szCs w:val="22"/>
        </w:rPr>
      </w:pPr>
    </w:p>
    <w:p w14:paraId="684CB38B" w14:textId="77777777" w:rsidR="0078667E" w:rsidRPr="008A238D" w:rsidRDefault="0078667E" w:rsidP="008A238D">
      <w:pPr>
        <w:widowControl w:val="0"/>
        <w:tabs>
          <w:tab w:val="left" w:pos="1701"/>
          <w:tab w:val="left" w:pos="1843"/>
        </w:tabs>
        <w:autoSpaceDE w:val="0"/>
        <w:autoSpaceDN w:val="0"/>
        <w:adjustRightInd w:val="0"/>
        <w:rPr>
          <w:rFonts w:eastAsiaTheme="minorEastAsia" w:cs="Arial"/>
          <w:szCs w:val="22"/>
          <w:lang w:val="es-ES_tradnl"/>
        </w:rPr>
      </w:pPr>
      <w:r w:rsidRPr="008A238D">
        <w:rPr>
          <w:szCs w:val="22"/>
          <w:lang w:eastAsia="es-MX"/>
        </w:rPr>
        <w:t xml:space="preserve">De esta manera, se advierte una </w:t>
      </w:r>
      <w:r w:rsidRPr="008A238D">
        <w:rPr>
          <w:rFonts w:eastAsia="Calibri" w:cs="Arial"/>
          <w:szCs w:val="22"/>
        </w:rPr>
        <w:t xml:space="preserve">situación que </w:t>
      </w:r>
      <w:r w:rsidRPr="008A238D">
        <w:rPr>
          <w:rFonts w:eastAsiaTheme="minorEastAsia" w:cs="Arial"/>
          <w:szCs w:val="22"/>
          <w:lang w:val="es-ES_tradnl"/>
        </w:rPr>
        <w:t xml:space="preserve">es considerada como </w:t>
      </w:r>
      <w:r w:rsidRPr="008A238D">
        <w:rPr>
          <w:rFonts w:eastAsiaTheme="minorEastAsia" w:cs="Arial"/>
          <w:b/>
          <w:i/>
          <w:szCs w:val="22"/>
          <w:lang w:val="es-ES_tradnl"/>
        </w:rPr>
        <w:t xml:space="preserve">plus </w:t>
      </w:r>
      <w:proofErr w:type="spellStart"/>
      <w:r w:rsidRPr="008A238D">
        <w:rPr>
          <w:rFonts w:eastAsiaTheme="minorEastAsia" w:cs="Arial"/>
          <w:b/>
          <w:i/>
          <w:szCs w:val="22"/>
          <w:lang w:val="es-ES_tradnl"/>
        </w:rPr>
        <w:t>petitio</w:t>
      </w:r>
      <w:proofErr w:type="spellEnd"/>
      <w:r w:rsidRPr="008A238D">
        <w:rPr>
          <w:rFonts w:eastAsiaTheme="minorEastAsia" w:cs="Arial"/>
          <w:b/>
          <w:szCs w:val="22"/>
          <w:lang w:val="es-ES_tradnl"/>
        </w:rPr>
        <w:t xml:space="preserve">, </w:t>
      </w:r>
      <w:r w:rsidRPr="008A238D">
        <w:rPr>
          <w:rFonts w:eastAsiaTheme="minorEastAsia" w:cs="Arial"/>
          <w:szCs w:val="22"/>
          <w:lang w:val="es-ES_tradnl"/>
        </w:rPr>
        <w:t>es decir, actos relativos a nuevos requerimientos, que no se encuentran relacionados con la pretensión inicial al momento de confrontar la ampliación de la solicitud, operando de esta manera el principio de preclusión, es decir, la pérdida de una oportunidad procesal por no haber observado el orden o tiempo establecido en algún precepto normativo para la consumación de un acto determinado; sirva de apoyo el artículo 155, fracción III de la Ley de Transparencia Local y criterio 01/2017 de la segunda época, establecido por el Instituto Nacional de Transparencia, Acceso a la Información y Protección de Datos Personales:</w:t>
      </w:r>
    </w:p>
    <w:p w14:paraId="6190D0D5" w14:textId="77777777" w:rsidR="0078667E" w:rsidRPr="008A238D" w:rsidRDefault="0078667E" w:rsidP="008A238D">
      <w:pPr>
        <w:widowControl w:val="0"/>
        <w:tabs>
          <w:tab w:val="left" w:pos="1701"/>
          <w:tab w:val="left" w:pos="1843"/>
        </w:tabs>
        <w:autoSpaceDE w:val="0"/>
        <w:autoSpaceDN w:val="0"/>
        <w:adjustRightInd w:val="0"/>
        <w:ind w:right="899"/>
        <w:rPr>
          <w:i/>
          <w:szCs w:val="22"/>
        </w:rPr>
      </w:pPr>
    </w:p>
    <w:p w14:paraId="0BA86674" w14:textId="77777777" w:rsidR="0078667E" w:rsidRPr="008A238D" w:rsidRDefault="0078667E" w:rsidP="008A238D">
      <w:pPr>
        <w:pStyle w:val="Puesto"/>
      </w:pPr>
      <w:r w:rsidRPr="008A238D">
        <w:rPr>
          <w:b/>
        </w:rPr>
        <w:t>“Artículo 155</w:t>
      </w:r>
      <w:r w:rsidRPr="008A238D">
        <w:t xml:space="preserve">. Para presentar una solicitud por escrito, no se podrán exigir mayores requisitos que los siguientes: </w:t>
      </w:r>
    </w:p>
    <w:p w14:paraId="566F3945" w14:textId="77777777" w:rsidR="0078667E" w:rsidRPr="008A238D" w:rsidRDefault="0078667E" w:rsidP="008A238D">
      <w:pPr>
        <w:pStyle w:val="Puesto"/>
      </w:pPr>
      <w:r w:rsidRPr="008A238D">
        <w:rPr>
          <w:b/>
        </w:rPr>
        <w:t>(</w:t>
      </w:r>
      <w:r w:rsidRPr="008A238D">
        <w:t>…)</w:t>
      </w:r>
    </w:p>
    <w:p w14:paraId="03F4F0B3" w14:textId="77777777" w:rsidR="0078667E" w:rsidRPr="008A238D" w:rsidRDefault="0078667E" w:rsidP="008A238D">
      <w:pPr>
        <w:pStyle w:val="Puesto"/>
        <w:rPr>
          <w:b/>
        </w:rPr>
      </w:pPr>
      <w:r w:rsidRPr="008A238D">
        <w:rPr>
          <w:b/>
        </w:rPr>
        <w:t>III. La descripción de la información solicitada;”</w:t>
      </w:r>
    </w:p>
    <w:p w14:paraId="66C2B454" w14:textId="77777777" w:rsidR="0078667E" w:rsidRPr="008A238D" w:rsidRDefault="0078667E" w:rsidP="008A238D">
      <w:pPr>
        <w:pStyle w:val="Puesto"/>
      </w:pPr>
    </w:p>
    <w:p w14:paraId="568CE849" w14:textId="77777777" w:rsidR="0078667E" w:rsidRPr="008A238D" w:rsidRDefault="0078667E" w:rsidP="008A238D">
      <w:pPr>
        <w:pStyle w:val="Puesto"/>
        <w:rPr>
          <w:b/>
        </w:rPr>
      </w:pPr>
      <w:r w:rsidRPr="008A238D">
        <w:rPr>
          <w:b/>
        </w:rPr>
        <w:t>“Criterio 01/2017</w:t>
      </w:r>
    </w:p>
    <w:p w14:paraId="76B81654" w14:textId="77777777" w:rsidR="0078667E" w:rsidRPr="008A238D" w:rsidRDefault="0078667E" w:rsidP="008A238D">
      <w:pPr>
        <w:pStyle w:val="Puesto"/>
      </w:pPr>
      <w:r w:rsidRPr="008A238D">
        <w:rPr>
          <w:b/>
        </w:rPr>
        <w:lastRenderedPageBreak/>
        <w:t>Es improcedente ampliar las solicitudes de acceso a información</w:t>
      </w:r>
      <w:r w:rsidRPr="008A238D">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8A238D">
        <w:rPr>
          <w:b/>
        </w:rPr>
        <w:t>amplíen los alcances de la solicitud de información inicial</w:t>
      </w:r>
      <w:r w:rsidRPr="008A238D">
        <w:t>, los nuevos contenidos no podrán constituir materia del procedimiento a sustanciarse por el Instituto Nacional de Transparencia, Acceso a la Información y Protección de Datos Personales; actualizándose la hipótesis de improcedencia respectiva.”</w:t>
      </w:r>
    </w:p>
    <w:p w14:paraId="0F3D7E3E" w14:textId="77777777" w:rsidR="00CC6C3B" w:rsidRPr="008A238D" w:rsidRDefault="00CC6C3B" w:rsidP="008A238D">
      <w:pPr>
        <w:rPr>
          <w:szCs w:val="22"/>
        </w:rPr>
      </w:pPr>
    </w:p>
    <w:p w14:paraId="4520CF63" w14:textId="77777777" w:rsidR="00CD3957" w:rsidRPr="008A238D" w:rsidRDefault="00CD3957" w:rsidP="008A238D">
      <w:pPr>
        <w:pStyle w:val="Prrafodelista"/>
        <w:widowControl w:val="0"/>
        <w:autoSpaceDE w:val="0"/>
        <w:autoSpaceDN w:val="0"/>
        <w:adjustRightInd w:val="0"/>
        <w:ind w:left="0"/>
        <w:rPr>
          <w:rFonts w:cs="Arial"/>
          <w:szCs w:val="22"/>
          <w:lang w:eastAsia="es-MX"/>
        </w:rPr>
      </w:pPr>
      <w:r w:rsidRPr="008A238D">
        <w:rPr>
          <w:rFonts w:cs="Arial"/>
          <w:szCs w:val="22"/>
          <w:lang w:eastAsia="es-MX"/>
        </w:rPr>
        <w:t>Como consecuencia de lo relatado anteriormente, se advierte que, se actualizó en el presente asunto la causal de sobreseimiento prevista en el artículo 192, fracción IV, con relación al 191, fracción VII de la Ley de Transparencia y Acceso a la Información Pública del Estado de México y Municipios que a la letra apuntan lo siguiente:</w:t>
      </w:r>
    </w:p>
    <w:p w14:paraId="16C0F204" w14:textId="77777777" w:rsidR="00CD3957" w:rsidRPr="008A238D" w:rsidRDefault="00CD3957" w:rsidP="008A238D">
      <w:pPr>
        <w:pStyle w:val="Prrafodelista"/>
        <w:widowControl w:val="0"/>
        <w:autoSpaceDE w:val="0"/>
        <w:autoSpaceDN w:val="0"/>
        <w:adjustRightInd w:val="0"/>
        <w:ind w:left="0"/>
        <w:rPr>
          <w:rFonts w:cs="Arial"/>
          <w:szCs w:val="22"/>
          <w:lang w:eastAsia="es-MX"/>
        </w:rPr>
      </w:pPr>
    </w:p>
    <w:p w14:paraId="03115042" w14:textId="77777777" w:rsidR="00CD3957" w:rsidRPr="008A238D" w:rsidRDefault="00CD3957" w:rsidP="008A238D">
      <w:pPr>
        <w:pStyle w:val="Puesto"/>
        <w:rPr>
          <w:lang w:eastAsia="es-MX"/>
        </w:rPr>
      </w:pPr>
      <w:r w:rsidRPr="008A238D">
        <w:rPr>
          <w:b/>
          <w:lang w:eastAsia="es-MX"/>
        </w:rPr>
        <w:t>Artículo 192.</w:t>
      </w:r>
      <w:r w:rsidRPr="008A238D">
        <w:rPr>
          <w:lang w:eastAsia="es-MX"/>
        </w:rPr>
        <w:t xml:space="preserve"> El recurso será sobreseído, en todo o en parte, cuando una vez admitido, se actualicen alguno de los siguientes supuestos:</w:t>
      </w:r>
    </w:p>
    <w:p w14:paraId="4A40AE6C" w14:textId="77777777" w:rsidR="00CD3957" w:rsidRPr="008A238D" w:rsidRDefault="00CD3957" w:rsidP="008A238D">
      <w:pPr>
        <w:pStyle w:val="Puesto"/>
        <w:rPr>
          <w:lang w:eastAsia="es-MX"/>
        </w:rPr>
      </w:pPr>
      <w:r w:rsidRPr="008A238D">
        <w:rPr>
          <w:lang w:eastAsia="es-MX"/>
        </w:rPr>
        <w:t>(…)</w:t>
      </w:r>
    </w:p>
    <w:p w14:paraId="2E7032CA" w14:textId="77777777" w:rsidR="00CD3957" w:rsidRPr="008A238D" w:rsidRDefault="00CD3957" w:rsidP="008A238D">
      <w:pPr>
        <w:pStyle w:val="Puesto"/>
      </w:pPr>
      <w:r w:rsidRPr="008A238D">
        <w:rPr>
          <w:b/>
        </w:rPr>
        <w:t>IV</w:t>
      </w:r>
      <w:r w:rsidRPr="008A238D">
        <w:t>. Admitido el recurso de revisión, aparezca alguna causal de improcedencia en los términos de la presente Ley; y</w:t>
      </w:r>
    </w:p>
    <w:p w14:paraId="215939CA" w14:textId="77777777" w:rsidR="00CD3957" w:rsidRPr="008A238D" w:rsidRDefault="00CD3957" w:rsidP="008A238D">
      <w:pPr>
        <w:pStyle w:val="Puesto"/>
      </w:pPr>
    </w:p>
    <w:p w14:paraId="770ABC04" w14:textId="77777777" w:rsidR="00CD3957" w:rsidRPr="008A238D" w:rsidRDefault="00CD3957" w:rsidP="008A238D">
      <w:pPr>
        <w:pStyle w:val="Puesto"/>
      </w:pPr>
      <w:r w:rsidRPr="008A238D">
        <w:rPr>
          <w:b/>
        </w:rPr>
        <w:t xml:space="preserve">Artículo 191. </w:t>
      </w:r>
      <w:r w:rsidRPr="008A238D">
        <w:t>El recurso será desechado por improcedente cuando:</w:t>
      </w:r>
    </w:p>
    <w:p w14:paraId="71DBEA26" w14:textId="77777777" w:rsidR="00CD3957" w:rsidRPr="008A238D" w:rsidRDefault="00CD3957" w:rsidP="008A238D">
      <w:pPr>
        <w:pStyle w:val="Puesto"/>
      </w:pPr>
      <w:r w:rsidRPr="008A238D">
        <w:rPr>
          <w:b/>
        </w:rPr>
        <w:t>(…</w:t>
      </w:r>
      <w:r w:rsidRPr="008A238D">
        <w:t>)</w:t>
      </w:r>
    </w:p>
    <w:p w14:paraId="1CB2A805" w14:textId="77777777" w:rsidR="00CD3957" w:rsidRPr="008A238D" w:rsidRDefault="00CD3957" w:rsidP="008A238D">
      <w:pPr>
        <w:pStyle w:val="Puesto"/>
      </w:pPr>
      <w:r w:rsidRPr="008A238D">
        <w:rPr>
          <w:b/>
        </w:rPr>
        <w:t xml:space="preserve">VII. </w:t>
      </w:r>
      <w:r w:rsidRPr="008A238D">
        <w:t>El recurrente amplíe su solicitud en el recurso de revisión, únicamente respecto de los nuevos contenidos”;</w:t>
      </w:r>
    </w:p>
    <w:p w14:paraId="0CE4972B" w14:textId="77777777" w:rsidR="00CD3957" w:rsidRPr="008A238D" w:rsidRDefault="00CD3957" w:rsidP="008A238D">
      <w:pPr>
        <w:suppressAutoHyphens/>
        <w:rPr>
          <w:rFonts w:cs="Arial"/>
          <w:szCs w:val="22"/>
        </w:rPr>
      </w:pPr>
    </w:p>
    <w:p w14:paraId="38880DCF" w14:textId="77777777" w:rsidR="00CD3957" w:rsidRPr="008A238D" w:rsidRDefault="00CD3957" w:rsidP="008A238D">
      <w:pPr>
        <w:suppressAutoHyphens/>
        <w:rPr>
          <w:rFonts w:eastAsia="Batang" w:cs="Arial"/>
          <w:szCs w:val="22"/>
        </w:rPr>
      </w:pPr>
      <w:r w:rsidRPr="008A238D">
        <w:rPr>
          <w:rFonts w:eastAsia="Batang" w:cs="Arial"/>
          <w:szCs w:val="22"/>
        </w:rPr>
        <w:t>Sirve de sustento a lo anterior lo siguientes criterios:</w:t>
      </w:r>
    </w:p>
    <w:p w14:paraId="56869916" w14:textId="77777777" w:rsidR="00CD3957" w:rsidRPr="008A238D" w:rsidRDefault="00CD3957" w:rsidP="008A238D">
      <w:pPr>
        <w:suppressAutoHyphens/>
        <w:rPr>
          <w:rFonts w:eastAsia="Batang" w:cs="Arial"/>
          <w:szCs w:val="22"/>
        </w:rPr>
      </w:pPr>
    </w:p>
    <w:p w14:paraId="04ABC77F" w14:textId="77777777" w:rsidR="00CD3957" w:rsidRPr="008A238D" w:rsidRDefault="00CD3957" w:rsidP="008A238D">
      <w:pPr>
        <w:pStyle w:val="Prrafodelista"/>
        <w:numPr>
          <w:ilvl w:val="0"/>
          <w:numId w:val="12"/>
        </w:numPr>
        <w:suppressAutoHyphens/>
        <w:contextualSpacing w:val="0"/>
        <w:rPr>
          <w:rFonts w:eastAsia="Batang" w:cs="Arial"/>
          <w:szCs w:val="22"/>
          <w:lang w:val="es-AR"/>
        </w:rPr>
      </w:pPr>
      <w:r w:rsidRPr="008A238D">
        <w:rPr>
          <w:rFonts w:eastAsia="Batang" w:cs="Arial"/>
          <w:szCs w:val="22"/>
        </w:rPr>
        <w:t xml:space="preserve">Tesis aislada I.7o.C.54 K, emitida por el </w:t>
      </w:r>
      <w:r w:rsidRPr="008A238D">
        <w:rPr>
          <w:rFonts w:eastAsia="Batang" w:cs="Arial"/>
          <w:szCs w:val="22"/>
          <w:lang w:val="es-AR"/>
        </w:rPr>
        <w:t>Séptimo Tribunal Colegiado en Materia Civil del Primer Circuito, publicado en el Semanario Judicial de la Federación  y su Gaceta, tomo XXIX, Enero de 2009, página 2837, con número de registro digital 168019, que establece lo siguiente:</w:t>
      </w:r>
    </w:p>
    <w:p w14:paraId="4D111932" w14:textId="77777777" w:rsidR="008F3313" w:rsidRPr="008A238D" w:rsidRDefault="008F3313" w:rsidP="008A238D">
      <w:pPr>
        <w:pStyle w:val="Puesto"/>
        <w:rPr>
          <w:rFonts w:eastAsia="Batang"/>
          <w:lang w:val="es-AR"/>
        </w:rPr>
      </w:pPr>
    </w:p>
    <w:p w14:paraId="240066A3" w14:textId="77777777" w:rsidR="00CD3957" w:rsidRPr="008A238D" w:rsidRDefault="00CD3957" w:rsidP="008A238D">
      <w:pPr>
        <w:pStyle w:val="Puesto"/>
        <w:rPr>
          <w:rFonts w:eastAsia="Batang"/>
          <w:lang w:val="es-AR"/>
        </w:rPr>
      </w:pPr>
      <w:r w:rsidRPr="008A238D">
        <w:rPr>
          <w:rFonts w:eastAsia="Batang"/>
          <w:lang w:val="es-AR"/>
        </w:rPr>
        <w:t>“</w:t>
      </w:r>
      <w:r w:rsidRPr="008A238D">
        <w:rPr>
          <w:rFonts w:eastAsia="Batang"/>
          <w:b/>
          <w:lang w:val="es-AR"/>
        </w:rPr>
        <w:t>SOBRESEIMIENTO EN EL JUICIO DE AMPARO DIRECTO. IMPIDE EL ESTUDIO DE LAS VIOLACIONES PROCESALES PLANTEADAS EN LOS CONCEPTOS DE VIOLACIÓN.</w:t>
      </w:r>
      <w:r w:rsidRPr="008A238D">
        <w:rPr>
          <w:rFonts w:eastAsia="Batang"/>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3E6E3C07" w14:textId="77777777" w:rsidR="00CD3957" w:rsidRPr="008A238D" w:rsidRDefault="00CD3957" w:rsidP="008A238D">
      <w:pPr>
        <w:suppressAutoHyphens/>
        <w:spacing w:line="276" w:lineRule="auto"/>
        <w:ind w:left="850" w:right="901"/>
        <w:rPr>
          <w:rFonts w:eastAsia="Batang" w:cs="Arial"/>
          <w:i/>
          <w:szCs w:val="22"/>
          <w:lang w:val="es-AR"/>
        </w:rPr>
      </w:pPr>
    </w:p>
    <w:p w14:paraId="2601B6F4" w14:textId="77777777" w:rsidR="00CD3957" w:rsidRPr="008A238D" w:rsidRDefault="00CD3957" w:rsidP="008A238D">
      <w:pPr>
        <w:pStyle w:val="Ttulo3"/>
        <w:rPr>
          <w:szCs w:val="22"/>
        </w:rPr>
      </w:pPr>
      <w:bookmarkStart w:id="29" w:name="_Toc173842047"/>
      <w:bookmarkStart w:id="30" w:name="_Toc175826955"/>
      <w:bookmarkStart w:id="31" w:name="_Toc179394520"/>
      <w:r w:rsidRPr="008A238D">
        <w:rPr>
          <w:szCs w:val="22"/>
        </w:rPr>
        <w:t>d) Conclusión</w:t>
      </w:r>
      <w:bookmarkEnd w:id="29"/>
      <w:r w:rsidRPr="008A238D">
        <w:rPr>
          <w:szCs w:val="22"/>
        </w:rPr>
        <w:t>.</w:t>
      </w:r>
      <w:bookmarkEnd w:id="30"/>
      <w:bookmarkEnd w:id="31"/>
    </w:p>
    <w:p w14:paraId="2AD48363" w14:textId="77777777" w:rsidR="00CD3957" w:rsidRPr="008A238D" w:rsidRDefault="00CD3957" w:rsidP="008A238D">
      <w:pPr>
        <w:rPr>
          <w:rFonts w:cs="Tahoma"/>
          <w:bCs/>
          <w:iCs/>
          <w:szCs w:val="22"/>
        </w:rPr>
      </w:pPr>
      <w:bookmarkStart w:id="32" w:name="_Hlk165381027"/>
      <w:r w:rsidRPr="008A238D">
        <w:rPr>
          <w:rFonts w:cs="Arial"/>
          <w:szCs w:val="22"/>
        </w:rPr>
        <w:t xml:space="preserve">En mérito de lo anterior, se arriba a la conclusión de que </w:t>
      </w:r>
      <w:r w:rsidRPr="008A238D">
        <w:rPr>
          <w:rFonts w:cs="Arial"/>
          <w:b/>
          <w:szCs w:val="22"/>
        </w:rPr>
        <w:t xml:space="preserve">LA PARTE RECURRENTE </w:t>
      </w:r>
      <w:r w:rsidRPr="008A238D">
        <w:rPr>
          <w:rFonts w:cs="Arial"/>
          <w:szCs w:val="22"/>
        </w:rPr>
        <w:t xml:space="preserve">al momento de manifestar sus razones o motivos de inconformidad, amplío su solicitud, es decir requirió información novedosa al </w:t>
      </w:r>
      <w:r w:rsidRPr="008A238D">
        <w:rPr>
          <w:rFonts w:cs="Arial"/>
          <w:b/>
          <w:szCs w:val="22"/>
        </w:rPr>
        <w:t>SUJETO OBLIGADO</w:t>
      </w:r>
      <w:r w:rsidRPr="008A238D">
        <w:rPr>
          <w:rFonts w:cs="Arial"/>
          <w:szCs w:val="22"/>
        </w:rPr>
        <w:t>, situación que la Ley de Transparencia local, como se ha señalado anteriormente prevé como una causal de sobreseimiento una vez que es admitido el recurso de revisión.</w:t>
      </w:r>
    </w:p>
    <w:p w14:paraId="35C13127" w14:textId="77777777" w:rsidR="00CD3957" w:rsidRPr="008A238D" w:rsidRDefault="00CD3957" w:rsidP="008A238D">
      <w:pPr>
        <w:ind w:right="-93"/>
        <w:rPr>
          <w:rFonts w:cs="Tahoma"/>
          <w:bCs/>
          <w:szCs w:val="22"/>
        </w:rPr>
      </w:pPr>
    </w:p>
    <w:p w14:paraId="43DC41C1" w14:textId="130C6A6D" w:rsidR="00CD3957" w:rsidRPr="00F054BA" w:rsidRDefault="00CD3957" w:rsidP="00F054BA">
      <w:pPr>
        <w:ind w:right="-93"/>
        <w:rPr>
          <w:rFonts w:cs="Tahoma"/>
          <w:bCs/>
          <w:szCs w:val="22"/>
        </w:rPr>
      </w:pPr>
      <w:r w:rsidRPr="008A238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Start w:id="33" w:name="_GoBack"/>
      <w:bookmarkEnd w:id="32"/>
      <w:bookmarkEnd w:id="33"/>
    </w:p>
    <w:p w14:paraId="73D365B9" w14:textId="77777777" w:rsidR="00CD3957" w:rsidRPr="008A238D" w:rsidRDefault="00CD3957" w:rsidP="008A238D">
      <w:pPr>
        <w:pStyle w:val="Ttulo1"/>
        <w:rPr>
          <w:szCs w:val="22"/>
        </w:rPr>
      </w:pPr>
      <w:bookmarkStart w:id="34" w:name="_Toc173842048"/>
      <w:bookmarkStart w:id="35" w:name="_Toc175826956"/>
      <w:bookmarkStart w:id="36" w:name="_Toc179394521"/>
      <w:r w:rsidRPr="008A238D">
        <w:rPr>
          <w:szCs w:val="22"/>
        </w:rPr>
        <w:t>RESUELVE</w:t>
      </w:r>
      <w:bookmarkEnd w:id="34"/>
      <w:bookmarkEnd w:id="35"/>
      <w:bookmarkEnd w:id="36"/>
    </w:p>
    <w:p w14:paraId="0FF25788" w14:textId="77777777" w:rsidR="00CD3957" w:rsidRPr="008A238D" w:rsidRDefault="00CD3957" w:rsidP="008A238D">
      <w:pPr>
        <w:ind w:right="113"/>
        <w:rPr>
          <w:rFonts w:cs="Arial"/>
          <w:b/>
          <w:szCs w:val="22"/>
        </w:rPr>
      </w:pPr>
    </w:p>
    <w:p w14:paraId="5F14B07B" w14:textId="77777777" w:rsidR="00E05D82" w:rsidRPr="008A238D" w:rsidRDefault="00CD3957" w:rsidP="008A238D">
      <w:pPr>
        <w:rPr>
          <w:lang w:val="es-ES"/>
        </w:rPr>
      </w:pPr>
      <w:r w:rsidRPr="008A238D">
        <w:rPr>
          <w:b/>
          <w:szCs w:val="22"/>
        </w:rPr>
        <w:t xml:space="preserve">PRIMERO. </w:t>
      </w:r>
      <w:r w:rsidR="00E05D82" w:rsidRPr="008A238D">
        <w:t xml:space="preserve">Se </w:t>
      </w:r>
      <w:r w:rsidR="00E05D82" w:rsidRPr="008A238D">
        <w:rPr>
          <w:b/>
        </w:rPr>
        <w:t>SOBRESEE</w:t>
      </w:r>
      <w:r w:rsidR="00E05D82" w:rsidRPr="008A238D">
        <w:t xml:space="preserve"> el Recurso de Revisión número </w:t>
      </w:r>
      <w:r w:rsidR="00E05D82" w:rsidRPr="008A238D">
        <w:rPr>
          <w:rFonts w:eastAsia="Palatino Linotype" w:cs="Palatino Linotype"/>
          <w:b/>
        </w:rPr>
        <w:t xml:space="preserve">05277/INFOEM/IP/RR/2024 </w:t>
      </w:r>
      <w:r w:rsidR="00E05D82" w:rsidRPr="008A238D">
        <w:rPr>
          <w:lang w:val="es-ES"/>
        </w:rPr>
        <w:t xml:space="preserve">porque una vez admitido se actualizó la causal </w:t>
      </w:r>
      <w:r w:rsidR="00DE1520" w:rsidRPr="008A238D">
        <w:rPr>
          <w:lang w:val="es-ES"/>
        </w:rPr>
        <w:t xml:space="preserve">de sobreseimiento </w:t>
      </w:r>
      <w:r w:rsidR="00E05D82" w:rsidRPr="008A238D">
        <w:rPr>
          <w:lang w:val="es-ES"/>
        </w:rPr>
        <w:t>establecida en el artículo 192 fracción IV</w:t>
      </w:r>
      <w:r w:rsidR="00DE1520" w:rsidRPr="008A238D">
        <w:rPr>
          <w:lang w:val="es-ES"/>
        </w:rPr>
        <w:t xml:space="preserve"> </w:t>
      </w:r>
      <w:r w:rsidR="00DE1520" w:rsidRPr="008A238D">
        <w:t>por</w:t>
      </w:r>
      <w:r w:rsidR="00DE1520" w:rsidRPr="008A238D">
        <w:rPr>
          <w:lang w:val="es-ES"/>
        </w:rPr>
        <w:t xml:space="preserve"> ser improcedente</w:t>
      </w:r>
      <w:r w:rsidR="00E05D82" w:rsidRPr="008A238D">
        <w:rPr>
          <w:lang w:val="es-ES"/>
        </w:rPr>
        <w:t>,</w:t>
      </w:r>
      <w:r w:rsidR="00DE1520" w:rsidRPr="008A238D">
        <w:rPr>
          <w:lang w:val="es-ES"/>
        </w:rPr>
        <w:t xml:space="preserve"> en relación al diverso numeral 191, fracción VII</w:t>
      </w:r>
      <w:r w:rsidR="00E05D82" w:rsidRPr="008A238D">
        <w:rPr>
          <w:lang w:val="es-ES"/>
        </w:rPr>
        <w:t xml:space="preserve"> de la </w:t>
      </w:r>
      <w:r w:rsidR="00E05D82" w:rsidRPr="008A238D">
        <w:rPr>
          <w:lang w:eastAsia="es-ES_tradnl"/>
        </w:rPr>
        <w:lastRenderedPageBreak/>
        <w:t>Ley de Transparencia y Acceso a la Información Pública del Estado de México y Municipios</w:t>
      </w:r>
      <w:r w:rsidR="00E05D82" w:rsidRPr="008A238D">
        <w:rPr>
          <w:lang w:val="es-ES"/>
        </w:rPr>
        <w:t xml:space="preserve">, en términos del Considerando </w:t>
      </w:r>
      <w:r w:rsidR="00E05D82" w:rsidRPr="008A238D">
        <w:rPr>
          <w:b/>
          <w:lang w:val="es-ES"/>
        </w:rPr>
        <w:t>SEGUNDO</w:t>
      </w:r>
      <w:r w:rsidR="00E05D82" w:rsidRPr="008A238D">
        <w:rPr>
          <w:lang w:val="es-ES"/>
        </w:rPr>
        <w:t xml:space="preserve"> de la presente resolución.</w:t>
      </w:r>
    </w:p>
    <w:p w14:paraId="37C341BD" w14:textId="77777777" w:rsidR="00E05D82" w:rsidRPr="008A238D" w:rsidRDefault="00E05D82" w:rsidP="008A238D">
      <w:pPr>
        <w:widowControl w:val="0"/>
        <w:rPr>
          <w:b/>
          <w:szCs w:val="22"/>
        </w:rPr>
      </w:pPr>
    </w:p>
    <w:p w14:paraId="58BDCE71" w14:textId="77777777" w:rsidR="00CD3957" w:rsidRPr="008A238D" w:rsidRDefault="00CD3957" w:rsidP="008A238D">
      <w:pPr>
        <w:ind w:right="-93"/>
        <w:rPr>
          <w:szCs w:val="22"/>
        </w:rPr>
      </w:pPr>
      <w:r w:rsidRPr="008A238D">
        <w:rPr>
          <w:rFonts w:eastAsia="Calibri" w:cs="Tahoma"/>
          <w:b/>
          <w:bCs/>
          <w:szCs w:val="22"/>
          <w:lang w:eastAsia="en-US"/>
        </w:rPr>
        <w:t>SEGUNDO.</w:t>
      </w:r>
      <w:r w:rsidRPr="008A238D">
        <w:rPr>
          <w:rFonts w:eastAsia="Calibri" w:cs="Tahoma"/>
          <w:szCs w:val="22"/>
        </w:rPr>
        <w:t xml:space="preserve"> </w:t>
      </w:r>
      <w:r w:rsidRPr="008A238D">
        <w:rPr>
          <w:szCs w:val="22"/>
        </w:rPr>
        <w:t>Notifíquese la presente resolución mediante Sistema de Acceso a la Información Mexiquense (</w:t>
      </w:r>
      <w:r w:rsidRPr="008A238D">
        <w:rPr>
          <w:b/>
          <w:szCs w:val="22"/>
        </w:rPr>
        <w:t>SAIMEX</w:t>
      </w:r>
      <w:r w:rsidRPr="008A238D">
        <w:rPr>
          <w:szCs w:val="22"/>
        </w:rPr>
        <w:t xml:space="preserve">), al Titular de la Unidad de Transparencia del </w:t>
      </w:r>
      <w:r w:rsidRPr="008A238D">
        <w:rPr>
          <w:b/>
          <w:bCs/>
          <w:szCs w:val="22"/>
        </w:rPr>
        <w:t>SUJETO OBLIGADO</w:t>
      </w:r>
      <w:r w:rsidRPr="008A238D">
        <w:rPr>
          <w:szCs w:val="22"/>
        </w:rPr>
        <w:t>, para su conocimiento.</w:t>
      </w:r>
    </w:p>
    <w:p w14:paraId="04A5BCA4" w14:textId="77777777" w:rsidR="00CD3957" w:rsidRPr="008A238D" w:rsidRDefault="00CD3957" w:rsidP="008A238D">
      <w:pPr>
        <w:rPr>
          <w:b/>
          <w:szCs w:val="22"/>
        </w:rPr>
      </w:pPr>
    </w:p>
    <w:p w14:paraId="65428F28" w14:textId="77777777" w:rsidR="00CD3957" w:rsidRPr="008A238D" w:rsidRDefault="00CD3957" w:rsidP="008A238D">
      <w:pPr>
        <w:rPr>
          <w:b/>
          <w:szCs w:val="22"/>
        </w:rPr>
      </w:pPr>
      <w:r w:rsidRPr="008A238D">
        <w:rPr>
          <w:b/>
          <w:szCs w:val="22"/>
        </w:rPr>
        <w:t>TERCERO.</w:t>
      </w:r>
      <w:r w:rsidRPr="008A238D">
        <w:rPr>
          <w:szCs w:val="22"/>
        </w:rPr>
        <w:t xml:space="preserve"> Notifíquese a </w:t>
      </w:r>
      <w:r w:rsidRPr="008A238D">
        <w:rPr>
          <w:b/>
          <w:szCs w:val="22"/>
        </w:rPr>
        <w:t>LA PARTE RECURRENTE</w:t>
      </w:r>
      <w:r w:rsidRPr="008A238D">
        <w:rPr>
          <w:szCs w:val="22"/>
        </w:rPr>
        <w:t xml:space="preserve"> la presente resolución vía Sistema de Acceso a la Información Mexiquense (SAIMEX)</w:t>
      </w:r>
      <w:r w:rsidR="003107F9" w:rsidRPr="008A238D">
        <w:rPr>
          <w:szCs w:val="22"/>
        </w:rPr>
        <w:t xml:space="preserve"> y </w:t>
      </w:r>
      <w:r w:rsidR="003107F9" w:rsidRPr="008A238D">
        <w:rPr>
          <w:b/>
          <w:szCs w:val="22"/>
        </w:rPr>
        <w:t>correo electrónico</w:t>
      </w:r>
      <w:r w:rsidRPr="008A238D">
        <w:rPr>
          <w:b/>
          <w:szCs w:val="22"/>
        </w:rPr>
        <w:t>.</w:t>
      </w:r>
    </w:p>
    <w:p w14:paraId="457AD87C" w14:textId="77777777" w:rsidR="00CD3957" w:rsidRPr="008A238D" w:rsidRDefault="00CD3957" w:rsidP="008A238D">
      <w:pPr>
        <w:rPr>
          <w:szCs w:val="22"/>
        </w:rPr>
      </w:pPr>
    </w:p>
    <w:p w14:paraId="14CFD68E" w14:textId="77777777" w:rsidR="00CD3957" w:rsidRPr="008A238D" w:rsidRDefault="00CD3957" w:rsidP="008A238D">
      <w:pPr>
        <w:rPr>
          <w:szCs w:val="22"/>
        </w:rPr>
      </w:pPr>
      <w:r w:rsidRPr="008A238D">
        <w:rPr>
          <w:b/>
          <w:szCs w:val="22"/>
        </w:rPr>
        <w:t>CUARTO</w:t>
      </w:r>
      <w:r w:rsidRPr="008A238D">
        <w:rPr>
          <w:szCs w:val="22"/>
        </w:rPr>
        <w:t xml:space="preserve">. Hágase del conocimiento a </w:t>
      </w:r>
      <w:r w:rsidRPr="008A238D">
        <w:rPr>
          <w:b/>
          <w:szCs w:val="22"/>
        </w:rPr>
        <w:t>LA PARTE RECURRENTE</w:t>
      </w:r>
      <w:r w:rsidRPr="008A238D">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466C055" w14:textId="77777777" w:rsidR="002B11D9" w:rsidRDefault="002B11D9" w:rsidP="008A238D">
      <w:pPr>
        <w:ind w:right="113"/>
        <w:rPr>
          <w:b/>
          <w:szCs w:val="22"/>
        </w:rPr>
      </w:pPr>
    </w:p>
    <w:p w14:paraId="1EFD8A33" w14:textId="77777777" w:rsidR="002B11D9" w:rsidRPr="008A238D" w:rsidRDefault="00E43858" w:rsidP="008A238D">
      <w:pPr>
        <w:rPr>
          <w:szCs w:val="22"/>
        </w:rPr>
      </w:pPr>
      <w:r w:rsidRPr="008A238D">
        <w:rPr>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5184" w:rsidRPr="008A238D">
        <w:rPr>
          <w:szCs w:val="22"/>
        </w:rPr>
        <w:t>TRIGÉSIMA</w:t>
      </w:r>
      <w:r w:rsidRPr="008A238D">
        <w:rPr>
          <w:szCs w:val="22"/>
        </w:rPr>
        <w:t xml:space="preserve"> </w:t>
      </w:r>
      <w:r w:rsidR="002A399C" w:rsidRPr="008A238D">
        <w:rPr>
          <w:szCs w:val="22"/>
        </w:rPr>
        <w:t>SEXTA</w:t>
      </w:r>
      <w:r w:rsidR="00D11569" w:rsidRPr="008A238D">
        <w:rPr>
          <w:szCs w:val="22"/>
        </w:rPr>
        <w:t xml:space="preserve"> </w:t>
      </w:r>
      <w:r w:rsidRPr="008A238D">
        <w:rPr>
          <w:szCs w:val="22"/>
        </w:rPr>
        <w:t xml:space="preserve">SESIÓN ORDINARIA, CELEBRADA EL </w:t>
      </w:r>
      <w:r w:rsidR="00C74C27" w:rsidRPr="008A238D">
        <w:rPr>
          <w:szCs w:val="22"/>
        </w:rPr>
        <w:t>NUEVE</w:t>
      </w:r>
      <w:r w:rsidRPr="008A238D">
        <w:rPr>
          <w:szCs w:val="22"/>
        </w:rPr>
        <w:t xml:space="preserve"> DE </w:t>
      </w:r>
      <w:r w:rsidR="00C74C27" w:rsidRPr="008A238D">
        <w:rPr>
          <w:szCs w:val="22"/>
        </w:rPr>
        <w:t>OCTUBRE</w:t>
      </w:r>
      <w:r w:rsidRPr="008A238D">
        <w:rPr>
          <w:szCs w:val="22"/>
        </w:rPr>
        <w:t xml:space="preserve"> DE DOS MIL VEINTICUATRO ANTE EL SECRETARIO TÉCNICO DEL PLENO, ALEXIS TAPIA RAMÍREZ.</w:t>
      </w:r>
    </w:p>
    <w:p w14:paraId="7FAB7FFE" w14:textId="77777777" w:rsidR="002B11D9" w:rsidRPr="008A238D" w:rsidRDefault="00E43858" w:rsidP="008A238D">
      <w:pPr>
        <w:tabs>
          <w:tab w:val="left" w:pos="2325"/>
        </w:tabs>
        <w:rPr>
          <w:sz w:val="14"/>
          <w:szCs w:val="22"/>
        </w:rPr>
      </w:pPr>
      <w:r w:rsidRPr="008A238D">
        <w:rPr>
          <w:sz w:val="14"/>
          <w:szCs w:val="22"/>
        </w:rPr>
        <w:t>SCMM/AGZ/DEMF/DLM</w:t>
      </w:r>
    </w:p>
    <w:p w14:paraId="715A3FB0" w14:textId="77777777" w:rsidR="002B11D9" w:rsidRPr="008A238D" w:rsidRDefault="002B11D9" w:rsidP="008A238D">
      <w:pPr>
        <w:ind w:right="-93"/>
        <w:rPr>
          <w:szCs w:val="22"/>
        </w:rPr>
      </w:pPr>
    </w:p>
    <w:p w14:paraId="2E4A2C10" w14:textId="77777777" w:rsidR="002B11D9" w:rsidRPr="008A238D" w:rsidRDefault="002B11D9" w:rsidP="008A238D">
      <w:pPr>
        <w:ind w:right="-93"/>
        <w:rPr>
          <w:szCs w:val="22"/>
        </w:rPr>
      </w:pPr>
    </w:p>
    <w:p w14:paraId="6E8935A8" w14:textId="77777777" w:rsidR="002B11D9" w:rsidRPr="008A238D" w:rsidRDefault="002B11D9" w:rsidP="008A238D">
      <w:pPr>
        <w:ind w:right="-93"/>
        <w:rPr>
          <w:szCs w:val="22"/>
        </w:rPr>
      </w:pPr>
    </w:p>
    <w:p w14:paraId="20DC51B0" w14:textId="77777777" w:rsidR="002B11D9" w:rsidRPr="008A238D" w:rsidRDefault="002B11D9" w:rsidP="008A238D">
      <w:pPr>
        <w:ind w:right="-93"/>
        <w:rPr>
          <w:szCs w:val="22"/>
        </w:rPr>
      </w:pPr>
    </w:p>
    <w:p w14:paraId="3F3696E4" w14:textId="77777777" w:rsidR="002B11D9" w:rsidRPr="008A238D" w:rsidRDefault="002B11D9" w:rsidP="008A238D">
      <w:pPr>
        <w:ind w:right="-93"/>
        <w:rPr>
          <w:szCs w:val="22"/>
        </w:rPr>
      </w:pPr>
    </w:p>
    <w:p w14:paraId="2C478D62" w14:textId="77777777" w:rsidR="002B11D9" w:rsidRPr="008A238D" w:rsidRDefault="002B11D9" w:rsidP="008A238D">
      <w:pPr>
        <w:ind w:right="-93"/>
        <w:rPr>
          <w:szCs w:val="22"/>
        </w:rPr>
      </w:pPr>
    </w:p>
    <w:p w14:paraId="5007B94C" w14:textId="77777777" w:rsidR="002B11D9" w:rsidRPr="008A238D" w:rsidRDefault="002B11D9" w:rsidP="008A238D">
      <w:pPr>
        <w:ind w:right="-93"/>
        <w:rPr>
          <w:szCs w:val="22"/>
        </w:rPr>
      </w:pPr>
    </w:p>
    <w:p w14:paraId="535C8A80" w14:textId="77777777" w:rsidR="002B11D9" w:rsidRPr="008A238D" w:rsidRDefault="002B11D9" w:rsidP="008A238D">
      <w:pPr>
        <w:ind w:right="-93"/>
        <w:rPr>
          <w:szCs w:val="22"/>
        </w:rPr>
      </w:pPr>
    </w:p>
    <w:p w14:paraId="203A2DF0" w14:textId="77777777" w:rsidR="002B11D9" w:rsidRPr="008A238D" w:rsidRDefault="002B11D9" w:rsidP="008A238D">
      <w:pPr>
        <w:tabs>
          <w:tab w:val="center" w:pos="4568"/>
        </w:tabs>
        <w:ind w:right="-93"/>
        <w:rPr>
          <w:szCs w:val="22"/>
        </w:rPr>
      </w:pPr>
    </w:p>
    <w:p w14:paraId="73011711" w14:textId="77777777" w:rsidR="002B11D9" w:rsidRPr="008A238D" w:rsidRDefault="002B11D9" w:rsidP="008A238D">
      <w:pPr>
        <w:tabs>
          <w:tab w:val="center" w:pos="4568"/>
        </w:tabs>
        <w:ind w:right="-93"/>
        <w:rPr>
          <w:szCs w:val="22"/>
        </w:rPr>
      </w:pPr>
    </w:p>
    <w:p w14:paraId="0BDEE0F0" w14:textId="77777777" w:rsidR="002B11D9" w:rsidRPr="008A238D" w:rsidRDefault="002B11D9" w:rsidP="008A238D">
      <w:pPr>
        <w:tabs>
          <w:tab w:val="center" w:pos="4568"/>
        </w:tabs>
        <w:ind w:right="-93"/>
        <w:rPr>
          <w:szCs w:val="22"/>
        </w:rPr>
      </w:pPr>
    </w:p>
    <w:p w14:paraId="0068111C" w14:textId="77777777" w:rsidR="002B11D9" w:rsidRPr="008A238D" w:rsidRDefault="002B11D9" w:rsidP="008A238D">
      <w:pPr>
        <w:tabs>
          <w:tab w:val="center" w:pos="4568"/>
        </w:tabs>
        <w:ind w:right="-93"/>
        <w:rPr>
          <w:szCs w:val="22"/>
        </w:rPr>
      </w:pPr>
    </w:p>
    <w:p w14:paraId="3365224F" w14:textId="77777777" w:rsidR="002B11D9" w:rsidRPr="008A238D" w:rsidRDefault="002B11D9" w:rsidP="008A238D">
      <w:pPr>
        <w:tabs>
          <w:tab w:val="center" w:pos="4568"/>
        </w:tabs>
        <w:ind w:right="-93"/>
        <w:rPr>
          <w:szCs w:val="22"/>
        </w:rPr>
      </w:pPr>
    </w:p>
    <w:p w14:paraId="49E200F3" w14:textId="77777777" w:rsidR="002B11D9" w:rsidRPr="008A238D" w:rsidRDefault="002B11D9" w:rsidP="008A238D">
      <w:pPr>
        <w:tabs>
          <w:tab w:val="center" w:pos="4568"/>
        </w:tabs>
        <w:ind w:right="-93"/>
        <w:rPr>
          <w:szCs w:val="22"/>
        </w:rPr>
      </w:pPr>
    </w:p>
    <w:p w14:paraId="7E4B40BE" w14:textId="77777777" w:rsidR="002B11D9" w:rsidRPr="008A238D" w:rsidRDefault="002B11D9" w:rsidP="008A238D">
      <w:pPr>
        <w:tabs>
          <w:tab w:val="center" w:pos="4568"/>
        </w:tabs>
        <w:ind w:right="-93"/>
        <w:rPr>
          <w:szCs w:val="22"/>
        </w:rPr>
      </w:pPr>
    </w:p>
    <w:p w14:paraId="27FFAA64" w14:textId="77777777" w:rsidR="002B11D9" w:rsidRPr="008A238D" w:rsidRDefault="002B11D9" w:rsidP="008A238D">
      <w:pPr>
        <w:tabs>
          <w:tab w:val="center" w:pos="4568"/>
        </w:tabs>
        <w:ind w:right="-93"/>
        <w:rPr>
          <w:szCs w:val="22"/>
        </w:rPr>
      </w:pPr>
    </w:p>
    <w:p w14:paraId="1638916D" w14:textId="77777777" w:rsidR="002B11D9" w:rsidRPr="008A238D" w:rsidRDefault="002B11D9" w:rsidP="008A238D">
      <w:pPr>
        <w:tabs>
          <w:tab w:val="center" w:pos="4568"/>
        </w:tabs>
        <w:ind w:right="-93"/>
        <w:rPr>
          <w:szCs w:val="22"/>
        </w:rPr>
      </w:pPr>
    </w:p>
    <w:p w14:paraId="132FC6EF" w14:textId="77777777" w:rsidR="002B11D9" w:rsidRPr="008A238D" w:rsidRDefault="002B11D9" w:rsidP="008A238D">
      <w:pPr>
        <w:tabs>
          <w:tab w:val="center" w:pos="4568"/>
        </w:tabs>
        <w:ind w:right="-93"/>
        <w:rPr>
          <w:szCs w:val="22"/>
        </w:rPr>
      </w:pPr>
    </w:p>
    <w:p w14:paraId="2AEF8B7A" w14:textId="77777777" w:rsidR="002B11D9" w:rsidRPr="008A238D" w:rsidRDefault="002B11D9" w:rsidP="008A238D">
      <w:pPr>
        <w:tabs>
          <w:tab w:val="center" w:pos="4568"/>
        </w:tabs>
        <w:ind w:right="-93"/>
        <w:rPr>
          <w:szCs w:val="22"/>
        </w:rPr>
      </w:pPr>
    </w:p>
    <w:p w14:paraId="42C69A31" w14:textId="77777777" w:rsidR="002B11D9" w:rsidRPr="008A238D" w:rsidRDefault="002B11D9" w:rsidP="008A238D">
      <w:pPr>
        <w:tabs>
          <w:tab w:val="center" w:pos="4568"/>
        </w:tabs>
        <w:ind w:right="-93"/>
        <w:rPr>
          <w:szCs w:val="22"/>
        </w:rPr>
      </w:pPr>
    </w:p>
    <w:p w14:paraId="58161F98" w14:textId="77777777" w:rsidR="002B11D9" w:rsidRPr="008A238D" w:rsidRDefault="002B11D9" w:rsidP="008A238D">
      <w:pPr>
        <w:tabs>
          <w:tab w:val="center" w:pos="4568"/>
        </w:tabs>
        <w:ind w:right="-93"/>
        <w:rPr>
          <w:szCs w:val="22"/>
        </w:rPr>
      </w:pPr>
    </w:p>
    <w:p w14:paraId="63C6E33B" w14:textId="77777777" w:rsidR="002B11D9" w:rsidRPr="008A238D" w:rsidRDefault="002B11D9" w:rsidP="008A238D">
      <w:pPr>
        <w:tabs>
          <w:tab w:val="center" w:pos="4568"/>
        </w:tabs>
        <w:ind w:right="-93"/>
        <w:rPr>
          <w:szCs w:val="22"/>
        </w:rPr>
      </w:pPr>
    </w:p>
    <w:p w14:paraId="6008468B" w14:textId="77777777" w:rsidR="002B11D9" w:rsidRPr="008A238D" w:rsidRDefault="002B11D9" w:rsidP="008A238D">
      <w:pPr>
        <w:tabs>
          <w:tab w:val="center" w:pos="4568"/>
        </w:tabs>
        <w:ind w:right="-93"/>
        <w:rPr>
          <w:szCs w:val="22"/>
        </w:rPr>
      </w:pPr>
    </w:p>
    <w:p w14:paraId="388722DB" w14:textId="77777777" w:rsidR="002B11D9" w:rsidRPr="008A238D" w:rsidRDefault="002B11D9" w:rsidP="008A238D">
      <w:pPr>
        <w:tabs>
          <w:tab w:val="center" w:pos="4568"/>
        </w:tabs>
        <w:ind w:right="-93"/>
        <w:rPr>
          <w:szCs w:val="22"/>
        </w:rPr>
      </w:pPr>
    </w:p>
    <w:p w14:paraId="3350F5AA" w14:textId="77777777" w:rsidR="002B11D9" w:rsidRPr="008A238D" w:rsidRDefault="002B11D9" w:rsidP="008A238D">
      <w:pPr>
        <w:rPr>
          <w:szCs w:val="22"/>
        </w:rPr>
      </w:pPr>
    </w:p>
    <w:sectPr w:rsidR="002B11D9" w:rsidRPr="008A238D">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E8AB" w14:textId="77777777" w:rsidR="00AE2224" w:rsidRDefault="00AE2224">
      <w:pPr>
        <w:spacing w:line="240" w:lineRule="auto"/>
      </w:pPr>
      <w:r>
        <w:separator/>
      </w:r>
    </w:p>
  </w:endnote>
  <w:endnote w:type="continuationSeparator" w:id="0">
    <w:p w14:paraId="704757E1" w14:textId="77777777" w:rsidR="00AE2224" w:rsidRDefault="00AE2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Calibri"/>
    <w:charset w:val="00"/>
    <w:family w:val="swiss"/>
    <w:pitch w:val="variable"/>
    <w:sig w:usb0="00000001" w:usb1="00000003" w:usb2="00000000" w:usb3="00000000" w:csb0="0000019F" w:csb1="00000000"/>
  </w:font>
  <w:font w:name="Aptos">
    <w:altName w:val="Times New Roman"/>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B63A2" w14:textId="77777777" w:rsidR="00403485" w:rsidRDefault="00403485">
    <w:pPr>
      <w:tabs>
        <w:tab w:val="center" w:pos="4550"/>
        <w:tab w:val="left" w:pos="5818"/>
      </w:tabs>
      <w:ind w:right="260"/>
      <w:jc w:val="right"/>
      <w:rPr>
        <w:color w:val="071320"/>
        <w:sz w:val="24"/>
        <w:szCs w:val="24"/>
      </w:rPr>
    </w:pPr>
  </w:p>
  <w:p w14:paraId="167A2495" w14:textId="77777777" w:rsidR="00403485" w:rsidRDefault="0040348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29C8F" w14:textId="77777777" w:rsidR="00403485" w:rsidRDefault="0040348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054BA">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054BA">
      <w:rPr>
        <w:noProof/>
        <w:color w:val="0A1D30"/>
        <w:sz w:val="24"/>
        <w:szCs w:val="24"/>
      </w:rPr>
      <w:t>22</w:t>
    </w:r>
    <w:r>
      <w:rPr>
        <w:color w:val="0A1D30"/>
        <w:sz w:val="24"/>
        <w:szCs w:val="24"/>
      </w:rPr>
      <w:fldChar w:fldCharType="end"/>
    </w:r>
  </w:p>
  <w:p w14:paraId="72CD1847" w14:textId="77777777" w:rsidR="00403485" w:rsidRDefault="0040348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D0F2D" w14:textId="77777777" w:rsidR="00AE2224" w:rsidRDefault="00AE2224">
      <w:pPr>
        <w:spacing w:line="240" w:lineRule="auto"/>
      </w:pPr>
      <w:r>
        <w:separator/>
      </w:r>
    </w:p>
  </w:footnote>
  <w:footnote w:type="continuationSeparator" w:id="0">
    <w:p w14:paraId="21BCD9F8" w14:textId="77777777" w:rsidR="00AE2224" w:rsidRDefault="00AE22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CD036" w14:textId="77777777" w:rsidR="00403485" w:rsidRDefault="00403485">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03485" w14:paraId="675BB33F" w14:textId="77777777">
      <w:trPr>
        <w:trHeight w:val="144"/>
        <w:jc w:val="right"/>
      </w:trPr>
      <w:tc>
        <w:tcPr>
          <w:tcW w:w="2727" w:type="dxa"/>
        </w:tcPr>
        <w:p w14:paraId="40AC9709" w14:textId="77777777" w:rsidR="00403485" w:rsidRDefault="00403485">
          <w:pPr>
            <w:tabs>
              <w:tab w:val="right" w:pos="8838"/>
            </w:tabs>
            <w:ind w:left="-74" w:right="-105"/>
            <w:rPr>
              <w:b/>
            </w:rPr>
          </w:pPr>
          <w:r>
            <w:rPr>
              <w:b/>
            </w:rPr>
            <w:t>Recurso de Revisión:</w:t>
          </w:r>
        </w:p>
      </w:tc>
      <w:tc>
        <w:tcPr>
          <w:tcW w:w="3402" w:type="dxa"/>
        </w:tcPr>
        <w:p w14:paraId="382B11EE" w14:textId="77777777" w:rsidR="00403485" w:rsidRPr="00E43858" w:rsidRDefault="00403485" w:rsidP="00E5203E">
          <w:pPr>
            <w:tabs>
              <w:tab w:val="right" w:pos="8838"/>
            </w:tabs>
            <w:ind w:left="-74" w:right="-105"/>
          </w:pPr>
          <w:r>
            <w:t>05277</w:t>
          </w:r>
          <w:r w:rsidRPr="00E43858">
            <w:t xml:space="preserve">/INFOEM/IP/RR/2024 </w:t>
          </w:r>
        </w:p>
      </w:tc>
    </w:tr>
    <w:tr w:rsidR="00403485" w14:paraId="11B2FF61" w14:textId="77777777">
      <w:trPr>
        <w:trHeight w:val="283"/>
        <w:jc w:val="right"/>
      </w:trPr>
      <w:tc>
        <w:tcPr>
          <w:tcW w:w="2727" w:type="dxa"/>
        </w:tcPr>
        <w:p w14:paraId="43F86548" w14:textId="77777777" w:rsidR="00403485" w:rsidRDefault="00403485">
          <w:pPr>
            <w:tabs>
              <w:tab w:val="right" w:pos="8838"/>
            </w:tabs>
            <w:ind w:left="-74" w:right="-105"/>
            <w:rPr>
              <w:b/>
            </w:rPr>
          </w:pPr>
          <w:r>
            <w:rPr>
              <w:b/>
            </w:rPr>
            <w:t>Sujeto Obligado:</w:t>
          </w:r>
        </w:p>
      </w:tc>
      <w:tc>
        <w:tcPr>
          <w:tcW w:w="3402" w:type="dxa"/>
        </w:tcPr>
        <w:p w14:paraId="2B525C7D" w14:textId="77777777" w:rsidR="00403485" w:rsidRDefault="00403485">
          <w:pPr>
            <w:tabs>
              <w:tab w:val="left" w:pos="2834"/>
              <w:tab w:val="right" w:pos="8838"/>
            </w:tabs>
            <w:ind w:left="-108" w:right="-105"/>
          </w:pPr>
          <w:r w:rsidRPr="00E5203E">
            <w:t>Fiscalía General de Justicia del Estado de México</w:t>
          </w:r>
        </w:p>
      </w:tc>
    </w:tr>
    <w:tr w:rsidR="00403485" w14:paraId="3CF26CC8" w14:textId="77777777">
      <w:trPr>
        <w:trHeight w:val="283"/>
        <w:jc w:val="right"/>
      </w:trPr>
      <w:tc>
        <w:tcPr>
          <w:tcW w:w="2727" w:type="dxa"/>
        </w:tcPr>
        <w:p w14:paraId="1AFBE928" w14:textId="77777777" w:rsidR="00403485" w:rsidRDefault="00403485">
          <w:pPr>
            <w:tabs>
              <w:tab w:val="right" w:pos="8838"/>
            </w:tabs>
            <w:ind w:left="-74" w:right="-105"/>
            <w:rPr>
              <w:b/>
            </w:rPr>
          </w:pPr>
          <w:r>
            <w:rPr>
              <w:b/>
            </w:rPr>
            <w:t>Comisionada Ponente:</w:t>
          </w:r>
        </w:p>
      </w:tc>
      <w:tc>
        <w:tcPr>
          <w:tcW w:w="3402" w:type="dxa"/>
        </w:tcPr>
        <w:p w14:paraId="4D2C70DB" w14:textId="77777777" w:rsidR="00403485" w:rsidRDefault="00403485">
          <w:pPr>
            <w:tabs>
              <w:tab w:val="right" w:pos="8838"/>
            </w:tabs>
            <w:ind w:left="-108" w:right="-105"/>
          </w:pPr>
          <w:r>
            <w:t>Sharon Cristina Morales Martínez</w:t>
          </w:r>
        </w:p>
      </w:tc>
    </w:tr>
  </w:tbl>
  <w:p w14:paraId="3B440BB9" w14:textId="77777777" w:rsidR="00403485" w:rsidRDefault="00403485">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0514129" wp14:editId="283DBB35">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D8E9" w14:textId="77777777" w:rsidR="00403485" w:rsidRDefault="00403485">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403485" w14:paraId="025D485C" w14:textId="77777777">
      <w:trPr>
        <w:trHeight w:val="1435"/>
      </w:trPr>
      <w:tc>
        <w:tcPr>
          <w:tcW w:w="283" w:type="dxa"/>
          <w:shd w:val="clear" w:color="auto" w:fill="auto"/>
        </w:tcPr>
        <w:p w14:paraId="218146D3" w14:textId="77777777" w:rsidR="00403485" w:rsidRDefault="00403485">
          <w:pPr>
            <w:tabs>
              <w:tab w:val="right" w:pos="4273"/>
            </w:tabs>
            <w:rPr>
              <w:rFonts w:ascii="Garamond" w:eastAsia="Garamond" w:hAnsi="Garamond" w:cs="Garamond"/>
            </w:rPr>
          </w:pPr>
        </w:p>
      </w:tc>
      <w:tc>
        <w:tcPr>
          <w:tcW w:w="6379" w:type="dxa"/>
          <w:shd w:val="clear" w:color="auto" w:fill="auto"/>
        </w:tcPr>
        <w:p w14:paraId="7786E0DE" w14:textId="77777777" w:rsidR="00403485" w:rsidRDefault="0040348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403485" w14:paraId="581A7EC8" w14:textId="77777777">
            <w:trPr>
              <w:trHeight w:val="144"/>
            </w:trPr>
            <w:tc>
              <w:tcPr>
                <w:tcW w:w="2790" w:type="dxa"/>
              </w:tcPr>
              <w:p w14:paraId="0C6DAB26" w14:textId="77777777" w:rsidR="00403485" w:rsidRDefault="00403485">
                <w:pPr>
                  <w:tabs>
                    <w:tab w:val="right" w:pos="8838"/>
                  </w:tabs>
                  <w:ind w:left="-74" w:right="-105"/>
                  <w:rPr>
                    <w:b/>
                  </w:rPr>
                </w:pPr>
                <w:bookmarkStart w:id="0" w:name="_heading=h.147n2zr" w:colFirst="0" w:colLast="0"/>
                <w:bookmarkEnd w:id="0"/>
                <w:r>
                  <w:rPr>
                    <w:b/>
                  </w:rPr>
                  <w:t>Recurso de Revisión:</w:t>
                </w:r>
              </w:p>
            </w:tc>
            <w:tc>
              <w:tcPr>
                <w:tcW w:w="3345" w:type="dxa"/>
              </w:tcPr>
              <w:p w14:paraId="664B8614" w14:textId="77777777" w:rsidR="00403485" w:rsidRPr="00E43858" w:rsidRDefault="00403485" w:rsidP="00E43858">
                <w:pPr>
                  <w:tabs>
                    <w:tab w:val="right" w:pos="8838"/>
                  </w:tabs>
                  <w:ind w:left="-74" w:right="-105"/>
                </w:pPr>
                <w:r>
                  <w:t>05277</w:t>
                </w:r>
                <w:r w:rsidRPr="00E43858">
                  <w:t xml:space="preserve">/INFOEM/IP/RR/2024 </w:t>
                </w:r>
              </w:p>
            </w:tc>
            <w:tc>
              <w:tcPr>
                <w:tcW w:w="3405" w:type="dxa"/>
              </w:tcPr>
              <w:p w14:paraId="7A638CB9" w14:textId="77777777" w:rsidR="00403485" w:rsidRDefault="00403485">
                <w:pPr>
                  <w:tabs>
                    <w:tab w:val="right" w:pos="8838"/>
                  </w:tabs>
                  <w:ind w:left="-74" w:right="-105"/>
                </w:pPr>
              </w:p>
            </w:tc>
          </w:tr>
          <w:tr w:rsidR="00403485" w14:paraId="2B53C730" w14:textId="77777777">
            <w:trPr>
              <w:trHeight w:val="144"/>
            </w:trPr>
            <w:tc>
              <w:tcPr>
                <w:tcW w:w="2790" w:type="dxa"/>
              </w:tcPr>
              <w:p w14:paraId="0B7E95F4" w14:textId="77777777" w:rsidR="00403485" w:rsidRDefault="00403485">
                <w:pPr>
                  <w:tabs>
                    <w:tab w:val="right" w:pos="8838"/>
                  </w:tabs>
                  <w:ind w:left="-74" w:right="-105"/>
                  <w:rPr>
                    <w:b/>
                  </w:rPr>
                </w:pPr>
                <w:bookmarkStart w:id="1" w:name="_heading=h.3o7alnk" w:colFirst="0" w:colLast="0"/>
                <w:bookmarkEnd w:id="1"/>
                <w:r>
                  <w:rPr>
                    <w:b/>
                  </w:rPr>
                  <w:t>Recurrente:</w:t>
                </w:r>
              </w:p>
            </w:tc>
            <w:tc>
              <w:tcPr>
                <w:tcW w:w="3345" w:type="dxa"/>
              </w:tcPr>
              <w:p w14:paraId="124B5635" w14:textId="77777777" w:rsidR="00403485" w:rsidRDefault="008D765E" w:rsidP="008F496E">
                <w:pPr>
                  <w:tabs>
                    <w:tab w:val="left" w:pos="3122"/>
                    <w:tab w:val="right" w:pos="8838"/>
                  </w:tabs>
                  <w:ind w:left="-105" w:right="-105"/>
                </w:pPr>
                <w:r w:rsidRPr="008D765E">
                  <w:t>Anónimo</w:t>
                </w:r>
              </w:p>
            </w:tc>
            <w:tc>
              <w:tcPr>
                <w:tcW w:w="3405" w:type="dxa"/>
              </w:tcPr>
              <w:p w14:paraId="6F36FB4E" w14:textId="77777777" w:rsidR="00403485" w:rsidRDefault="00403485">
                <w:pPr>
                  <w:tabs>
                    <w:tab w:val="left" w:pos="3122"/>
                    <w:tab w:val="right" w:pos="8838"/>
                  </w:tabs>
                  <w:ind w:left="-105" w:right="-105"/>
                </w:pPr>
              </w:p>
            </w:tc>
          </w:tr>
          <w:tr w:rsidR="00403485" w14:paraId="016589D9" w14:textId="77777777">
            <w:trPr>
              <w:trHeight w:val="283"/>
            </w:trPr>
            <w:tc>
              <w:tcPr>
                <w:tcW w:w="2790" w:type="dxa"/>
              </w:tcPr>
              <w:p w14:paraId="480D4CFC" w14:textId="77777777" w:rsidR="00403485" w:rsidRDefault="00403485">
                <w:pPr>
                  <w:tabs>
                    <w:tab w:val="right" w:pos="8838"/>
                  </w:tabs>
                  <w:ind w:left="-74" w:right="-105"/>
                  <w:rPr>
                    <w:b/>
                  </w:rPr>
                </w:pPr>
                <w:r>
                  <w:rPr>
                    <w:b/>
                  </w:rPr>
                  <w:t>Sujeto Obligado:</w:t>
                </w:r>
              </w:p>
            </w:tc>
            <w:tc>
              <w:tcPr>
                <w:tcW w:w="3345" w:type="dxa"/>
              </w:tcPr>
              <w:p w14:paraId="414F4380" w14:textId="77777777" w:rsidR="00403485" w:rsidRDefault="00403485">
                <w:pPr>
                  <w:tabs>
                    <w:tab w:val="left" w:pos="2834"/>
                    <w:tab w:val="right" w:pos="8838"/>
                  </w:tabs>
                  <w:ind w:left="-108" w:right="-105"/>
                </w:pPr>
                <w:r w:rsidRPr="00E5203E">
                  <w:t>Fiscalía General de Justicia del Estado de México</w:t>
                </w:r>
              </w:p>
            </w:tc>
            <w:tc>
              <w:tcPr>
                <w:tcW w:w="3405" w:type="dxa"/>
              </w:tcPr>
              <w:p w14:paraId="18DD6B2E" w14:textId="77777777" w:rsidR="00403485" w:rsidRDefault="00403485">
                <w:pPr>
                  <w:tabs>
                    <w:tab w:val="left" w:pos="2834"/>
                    <w:tab w:val="right" w:pos="8838"/>
                  </w:tabs>
                  <w:ind w:left="-108" w:right="-105"/>
                </w:pPr>
              </w:p>
            </w:tc>
          </w:tr>
          <w:tr w:rsidR="00403485" w14:paraId="0949A408" w14:textId="77777777">
            <w:trPr>
              <w:trHeight w:val="283"/>
            </w:trPr>
            <w:tc>
              <w:tcPr>
                <w:tcW w:w="2790" w:type="dxa"/>
              </w:tcPr>
              <w:p w14:paraId="2F65FDE9" w14:textId="77777777" w:rsidR="00403485" w:rsidRDefault="00403485">
                <w:pPr>
                  <w:tabs>
                    <w:tab w:val="right" w:pos="8838"/>
                  </w:tabs>
                  <w:ind w:left="-74" w:right="-105"/>
                  <w:rPr>
                    <w:b/>
                  </w:rPr>
                </w:pPr>
                <w:r>
                  <w:rPr>
                    <w:b/>
                  </w:rPr>
                  <w:t>Comisionada Ponente:</w:t>
                </w:r>
              </w:p>
            </w:tc>
            <w:tc>
              <w:tcPr>
                <w:tcW w:w="3345" w:type="dxa"/>
              </w:tcPr>
              <w:p w14:paraId="76CA9056" w14:textId="77777777" w:rsidR="00403485" w:rsidRDefault="00403485">
                <w:pPr>
                  <w:tabs>
                    <w:tab w:val="right" w:pos="8838"/>
                  </w:tabs>
                  <w:ind w:left="-108" w:right="-105"/>
                </w:pPr>
                <w:r>
                  <w:t>Sharon Cristina Morales Martínez</w:t>
                </w:r>
              </w:p>
            </w:tc>
            <w:tc>
              <w:tcPr>
                <w:tcW w:w="3405" w:type="dxa"/>
              </w:tcPr>
              <w:p w14:paraId="54101D87" w14:textId="77777777" w:rsidR="00403485" w:rsidRDefault="00403485">
                <w:pPr>
                  <w:tabs>
                    <w:tab w:val="right" w:pos="8838"/>
                  </w:tabs>
                  <w:ind w:left="-108" w:right="-105"/>
                </w:pPr>
              </w:p>
            </w:tc>
          </w:tr>
        </w:tbl>
        <w:p w14:paraId="69266E2B" w14:textId="77777777" w:rsidR="00403485" w:rsidRDefault="00403485">
          <w:pPr>
            <w:tabs>
              <w:tab w:val="right" w:pos="8838"/>
            </w:tabs>
            <w:ind w:left="-28"/>
            <w:rPr>
              <w:rFonts w:ascii="Arial" w:eastAsia="Arial" w:hAnsi="Arial" w:cs="Arial"/>
              <w:b/>
            </w:rPr>
          </w:pPr>
        </w:p>
      </w:tc>
    </w:tr>
  </w:tbl>
  <w:p w14:paraId="4FAD91A4" w14:textId="77777777" w:rsidR="00403485" w:rsidRDefault="00AE2224">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63439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4870A8"/>
    <w:multiLevelType w:val="hybridMultilevel"/>
    <w:tmpl w:val="3544F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9"/>
  </w:num>
  <w:num w:numId="5">
    <w:abstractNumId w:val="0"/>
  </w:num>
  <w:num w:numId="6">
    <w:abstractNumId w:val="8"/>
  </w:num>
  <w:num w:numId="7">
    <w:abstractNumId w:val="12"/>
  </w:num>
  <w:num w:numId="8">
    <w:abstractNumId w:val="10"/>
  </w:num>
  <w:num w:numId="9">
    <w:abstractNumId w:val="3"/>
  </w:num>
  <w:num w:numId="10">
    <w:abstractNumId w:val="5"/>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1444A"/>
    <w:rsid w:val="00050E16"/>
    <w:rsid w:val="000E42CA"/>
    <w:rsid w:val="00147C8B"/>
    <w:rsid w:val="00193492"/>
    <w:rsid w:val="001D3677"/>
    <w:rsid w:val="001F3976"/>
    <w:rsid w:val="002A2FDD"/>
    <w:rsid w:val="002A399C"/>
    <w:rsid w:val="002A72FE"/>
    <w:rsid w:val="002B11D9"/>
    <w:rsid w:val="003107F9"/>
    <w:rsid w:val="0033679A"/>
    <w:rsid w:val="00403485"/>
    <w:rsid w:val="00406571"/>
    <w:rsid w:val="0047718C"/>
    <w:rsid w:val="00483D29"/>
    <w:rsid w:val="004A011D"/>
    <w:rsid w:val="004D118F"/>
    <w:rsid w:val="004D4360"/>
    <w:rsid w:val="004F59D6"/>
    <w:rsid w:val="00506902"/>
    <w:rsid w:val="005315C2"/>
    <w:rsid w:val="00551CE3"/>
    <w:rsid w:val="00575315"/>
    <w:rsid w:val="006027DF"/>
    <w:rsid w:val="00622E78"/>
    <w:rsid w:val="0078667E"/>
    <w:rsid w:val="00795C3B"/>
    <w:rsid w:val="00860E7A"/>
    <w:rsid w:val="00875119"/>
    <w:rsid w:val="00876140"/>
    <w:rsid w:val="00886851"/>
    <w:rsid w:val="008A238D"/>
    <w:rsid w:val="008D765E"/>
    <w:rsid w:val="008F3313"/>
    <w:rsid w:val="008F496E"/>
    <w:rsid w:val="00911794"/>
    <w:rsid w:val="009459E1"/>
    <w:rsid w:val="00946782"/>
    <w:rsid w:val="00964083"/>
    <w:rsid w:val="00A11BCA"/>
    <w:rsid w:val="00AE2224"/>
    <w:rsid w:val="00B1246E"/>
    <w:rsid w:val="00B55678"/>
    <w:rsid w:val="00BD06D1"/>
    <w:rsid w:val="00C74C27"/>
    <w:rsid w:val="00CC6C3B"/>
    <w:rsid w:val="00CD3957"/>
    <w:rsid w:val="00D0620A"/>
    <w:rsid w:val="00D11569"/>
    <w:rsid w:val="00DD7930"/>
    <w:rsid w:val="00DE1520"/>
    <w:rsid w:val="00E05D82"/>
    <w:rsid w:val="00E27DD5"/>
    <w:rsid w:val="00E43858"/>
    <w:rsid w:val="00E51E50"/>
    <w:rsid w:val="00E5203E"/>
    <w:rsid w:val="00EB0438"/>
    <w:rsid w:val="00ED4973"/>
    <w:rsid w:val="00F054BA"/>
    <w:rsid w:val="00F86BF3"/>
    <w:rsid w:val="00F94C2B"/>
    <w:rsid w:val="00FB5184"/>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33BB6F"/>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nfasissutil">
    <w:name w:val="Subtle Emphasis"/>
    <w:basedOn w:val="Fuentedeprrafopredeter"/>
    <w:uiPriority w:val="19"/>
    <w:qFormat/>
    <w:rsid w:val="00E05D8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95058">
      <w:bodyDiv w:val="1"/>
      <w:marLeft w:val="0"/>
      <w:marRight w:val="0"/>
      <w:marTop w:val="0"/>
      <w:marBottom w:val="0"/>
      <w:divBdr>
        <w:top w:val="none" w:sz="0" w:space="0" w:color="auto"/>
        <w:left w:val="none" w:sz="0" w:space="0" w:color="auto"/>
        <w:bottom w:val="none" w:sz="0" w:space="0" w:color="auto"/>
        <w:right w:val="none" w:sz="0" w:space="0" w:color="auto"/>
      </w:divBdr>
      <w:divsChild>
        <w:div w:id="1460801384">
          <w:marLeft w:val="0"/>
          <w:marRight w:val="0"/>
          <w:marTop w:val="0"/>
          <w:marBottom w:val="0"/>
          <w:divBdr>
            <w:top w:val="double" w:sz="12" w:space="0" w:color="7166BD"/>
            <w:left w:val="double" w:sz="12" w:space="0" w:color="7166BD"/>
            <w:bottom w:val="double" w:sz="12" w:space="0" w:color="7166BD"/>
            <w:right w:val="double" w:sz="12" w:space="0" w:color="7166BD"/>
          </w:divBdr>
        </w:div>
      </w:divsChild>
    </w:div>
    <w:div w:id="876626333">
      <w:bodyDiv w:val="1"/>
      <w:marLeft w:val="0"/>
      <w:marRight w:val="0"/>
      <w:marTop w:val="0"/>
      <w:marBottom w:val="0"/>
      <w:divBdr>
        <w:top w:val="none" w:sz="0" w:space="0" w:color="auto"/>
        <w:left w:val="none" w:sz="0" w:space="0" w:color="auto"/>
        <w:bottom w:val="none" w:sz="0" w:space="0" w:color="auto"/>
        <w:right w:val="none" w:sz="0" w:space="0" w:color="auto"/>
      </w:divBdr>
      <w:divsChild>
        <w:div w:id="1882283835">
          <w:marLeft w:val="0"/>
          <w:marRight w:val="0"/>
          <w:marTop w:val="0"/>
          <w:marBottom w:val="0"/>
          <w:divBdr>
            <w:top w:val="double" w:sz="12" w:space="0" w:color="7166BD"/>
            <w:left w:val="double" w:sz="12" w:space="0" w:color="7166BD"/>
            <w:bottom w:val="double" w:sz="12" w:space="0" w:color="7166BD"/>
            <w:right w:val="double" w:sz="12" w:space="0" w:color="7166BD"/>
          </w:divBdr>
        </w:div>
      </w:divsChild>
    </w:div>
    <w:div w:id="200266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aimex.org.mx/saimex/solicitud/downloadAttach/2228456.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3CB006-A820-48A8-BF43-DEC5783F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6032</Words>
  <Characters>33176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7</cp:revision>
  <cp:lastPrinted>2024-10-10T16:29:00Z</cp:lastPrinted>
  <dcterms:created xsi:type="dcterms:W3CDTF">2024-10-08T01:13:00Z</dcterms:created>
  <dcterms:modified xsi:type="dcterms:W3CDTF">2024-10-10T16:29:00Z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