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C077" w14:textId="4EF6750D" w:rsidR="00737F8A" w:rsidRPr="00AF23C0" w:rsidRDefault="00737F8A" w:rsidP="003B5EB6">
      <w:pPr>
        <w:spacing w:line="360" w:lineRule="auto"/>
        <w:jc w:val="both"/>
        <w:rPr>
          <w:rFonts w:ascii="Palatino Linotype" w:eastAsiaTheme="minorEastAsia" w:hAnsi="Palatino Linotype"/>
          <w:lang w:val="es-ES_tradnl" w:eastAsia="es-ES"/>
        </w:rPr>
      </w:pPr>
      <w:r w:rsidRPr="00E461CE">
        <w:rPr>
          <w:rFonts w:ascii="Palatino Linotype" w:eastAsiaTheme="minorEastAsia" w:hAnsi="Palatino Linotype"/>
          <w:lang w:val="es-ES_tradnl" w:eastAsia="es-ES"/>
        </w:rPr>
        <w:t xml:space="preserve">Resolución del Pleno del Instituto de </w:t>
      </w:r>
      <w:r w:rsidRPr="00AF23C0">
        <w:rPr>
          <w:rFonts w:ascii="Palatino Linotype" w:eastAsiaTheme="minorEastAsia" w:hAnsi="Palatino Linotype"/>
          <w:lang w:val="es-ES_tradnl" w:eastAsia="es-ES"/>
        </w:rPr>
        <w:t xml:space="preserve">Transparencia, Acceso a la Información Pública y Protección de Datos Personales del Estado de México y Municipios, con domicilio en Metepec, Estado </w:t>
      </w:r>
      <w:r w:rsidR="006329E1" w:rsidRPr="00AF23C0">
        <w:rPr>
          <w:rFonts w:ascii="Palatino Linotype" w:eastAsiaTheme="minorEastAsia" w:hAnsi="Palatino Linotype"/>
          <w:lang w:val="es-ES_tradnl" w:eastAsia="es-ES"/>
        </w:rPr>
        <w:t xml:space="preserve">de México; de fecha </w:t>
      </w:r>
      <w:r w:rsidR="00D1179C">
        <w:rPr>
          <w:rFonts w:ascii="Palatino Linotype" w:hAnsi="Palatino Linotype"/>
          <w:szCs w:val="26"/>
        </w:rPr>
        <w:t>diecisiete</w:t>
      </w:r>
      <w:r w:rsidR="005E66BC" w:rsidRPr="00AF23C0">
        <w:rPr>
          <w:rFonts w:ascii="Palatino Linotype" w:hAnsi="Palatino Linotype"/>
          <w:szCs w:val="26"/>
        </w:rPr>
        <w:t xml:space="preserve"> </w:t>
      </w:r>
      <w:r w:rsidR="009C012B">
        <w:rPr>
          <w:rFonts w:ascii="Palatino Linotype" w:hAnsi="Palatino Linotype"/>
          <w:szCs w:val="26"/>
        </w:rPr>
        <w:t xml:space="preserve">(17) </w:t>
      </w:r>
      <w:r w:rsidR="005E66BC" w:rsidRPr="00AF23C0">
        <w:rPr>
          <w:rFonts w:ascii="Palatino Linotype" w:hAnsi="Palatino Linotype"/>
          <w:szCs w:val="26"/>
        </w:rPr>
        <w:t>de enero de dos mil veinticuatro</w:t>
      </w:r>
      <w:r w:rsidR="005E66BC" w:rsidRPr="00AF23C0">
        <w:rPr>
          <w:rFonts w:ascii="Palatino Linotype" w:eastAsiaTheme="minorEastAsia" w:hAnsi="Palatino Linotype"/>
          <w:lang w:val="es-ES_tradnl" w:eastAsia="es-ES"/>
        </w:rPr>
        <w:t>.</w:t>
      </w:r>
    </w:p>
    <w:p w14:paraId="49776B2C" w14:textId="77777777" w:rsidR="00737F8A" w:rsidRPr="00AF23C0" w:rsidRDefault="00737F8A" w:rsidP="003B5EB6">
      <w:pPr>
        <w:spacing w:line="360" w:lineRule="auto"/>
        <w:jc w:val="both"/>
        <w:rPr>
          <w:rFonts w:ascii="Palatino Linotype" w:eastAsiaTheme="minorEastAsia" w:hAnsi="Palatino Linotype"/>
          <w:lang w:val="es-ES_tradnl" w:eastAsia="es-ES"/>
        </w:rPr>
      </w:pPr>
    </w:p>
    <w:p w14:paraId="05575DF1" w14:textId="278A4B67" w:rsidR="00737F8A" w:rsidRPr="00AF23C0" w:rsidRDefault="006329E1" w:rsidP="003B5EB6">
      <w:pPr>
        <w:spacing w:line="360" w:lineRule="auto"/>
        <w:jc w:val="both"/>
        <w:rPr>
          <w:rFonts w:ascii="Palatino Linotype" w:hAnsi="Palatino Linotype"/>
        </w:rPr>
      </w:pPr>
      <w:r w:rsidRPr="00AF23C0">
        <w:rPr>
          <w:rFonts w:ascii="Palatino Linotype" w:hAnsi="Palatino Linotype"/>
          <w:b/>
        </w:rPr>
        <w:t>VISTO</w:t>
      </w:r>
      <w:r w:rsidRPr="00AF23C0">
        <w:rPr>
          <w:rFonts w:ascii="Palatino Linotype" w:hAnsi="Palatino Linotype"/>
        </w:rPr>
        <w:t xml:space="preserve"> el expediente electrónico formado</w:t>
      </w:r>
      <w:r w:rsidR="00737F8A" w:rsidRPr="00AF23C0">
        <w:rPr>
          <w:rFonts w:ascii="Palatino Linotype" w:hAnsi="Palatino Linotype"/>
        </w:rPr>
        <w:t xml:space="preserve"> con motivo de</w:t>
      </w:r>
      <w:r w:rsidRPr="00AF23C0">
        <w:rPr>
          <w:rFonts w:ascii="Palatino Linotype" w:hAnsi="Palatino Linotype"/>
        </w:rPr>
        <w:t>l recurso</w:t>
      </w:r>
      <w:r w:rsidR="00737F8A" w:rsidRPr="00AF23C0">
        <w:rPr>
          <w:rFonts w:ascii="Palatino Linotype" w:hAnsi="Palatino Linotype"/>
        </w:rPr>
        <w:t xml:space="preserve"> de revisión </w:t>
      </w:r>
      <w:r w:rsidR="001A42BE" w:rsidRPr="00AF23C0">
        <w:rPr>
          <w:rFonts w:ascii="Palatino Linotype" w:hAnsi="Palatino Linotype"/>
          <w:b/>
          <w:bCs/>
        </w:rPr>
        <w:t>03933/INFOEM/IP/RR/2023</w:t>
      </w:r>
      <w:r w:rsidR="00737F8A" w:rsidRPr="00AF23C0">
        <w:rPr>
          <w:rFonts w:ascii="Palatino Linotype" w:hAnsi="Palatino Linotype"/>
          <w:b/>
        </w:rPr>
        <w:t>,</w:t>
      </w:r>
      <w:r w:rsidR="00737F8A" w:rsidRPr="00AF23C0">
        <w:rPr>
          <w:rFonts w:ascii="Palatino Linotype" w:hAnsi="Palatino Linotype" w:cs="Arial"/>
          <w:b/>
          <w:bCs/>
        </w:rPr>
        <w:t xml:space="preserve"> </w:t>
      </w:r>
      <w:r w:rsidR="001061B4" w:rsidRPr="00AF23C0">
        <w:rPr>
          <w:rFonts w:ascii="Palatino Linotype" w:eastAsiaTheme="minorEastAsia" w:hAnsi="Palatino Linotype"/>
          <w:lang w:val="es-ES_tradnl" w:eastAsia="es-ES"/>
        </w:rPr>
        <w:t>promovido por</w:t>
      </w:r>
      <w:r w:rsidR="00085A4D" w:rsidRPr="00AF23C0">
        <w:rPr>
          <w:rFonts w:ascii="Palatino Linotype" w:eastAsiaTheme="minorEastAsia" w:hAnsi="Palatino Linotype"/>
          <w:b/>
          <w:bCs/>
          <w:color w:val="FF0000"/>
          <w:lang w:eastAsia="es-ES"/>
        </w:rPr>
        <w:t> </w:t>
      </w:r>
      <w:r w:rsidR="00E5635A">
        <w:rPr>
          <w:rFonts w:ascii="Palatino Linotype" w:eastAsiaTheme="minorEastAsia" w:hAnsi="Palatino Linotype"/>
          <w:b/>
          <w:bCs/>
          <w:color w:val="000000" w:themeColor="text1"/>
          <w:lang w:eastAsia="es-ES"/>
        </w:rPr>
        <w:t>XXX XXX XXX</w:t>
      </w:r>
      <w:r w:rsidR="00085A4D" w:rsidRPr="009C012B">
        <w:rPr>
          <w:rFonts w:ascii="Palatino Linotype" w:eastAsiaTheme="minorEastAsia" w:hAnsi="Palatino Linotype"/>
          <w:b/>
          <w:bCs/>
          <w:color w:val="000000" w:themeColor="text1"/>
          <w:lang w:eastAsia="es-ES"/>
        </w:rPr>
        <w:t xml:space="preserve"> </w:t>
      </w:r>
      <w:r w:rsidR="001061B4" w:rsidRPr="00AF23C0">
        <w:rPr>
          <w:rFonts w:ascii="Palatino Linotype" w:eastAsiaTheme="minorEastAsia" w:hAnsi="Palatino Linotype"/>
          <w:lang w:val="es-ES" w:eastAsia="es-ES"/>
        </w:rPr>
        <w:t xml:space="preserve">y a </w:t>
      </w:r>
      <w:r w:rsidR="00737F8A" w:rsidRPr="00AF23C0">
        <w:rPr>
          <w:rFonts w:ascii="Palatino Linotype" w:eastAsiaTheme="minorEastAsia" w:hAnsi="Palatino Linotype"/>
          <w:lang w:val="es-ES" w:eastAsia="es-ES"/>
        </w:rPr>
        <w:t xml:space="preserve">quien en lo </w:t>
      </w:r>
      <w:r w:rsidR="00737F8A" w:rsidRPr="00AF23C0">
        <w:rPr>
          <w:rFonts w:ascii="Palatino Linotype" w:hAnsi="Palatino Linotype"/>
        </w:rPr>
        <w:t xml:space="preserve">sucesivo se identificará como </w:t>
      </w:r>
      <w:r w:rsidR="00737F8A" w:rsidRPr="00AF23C0">
        <w:rPr>
          <w:rFonts w:ascii="Palatino Linotype" w:hAnsi="Palatino Linotype"/>
          <w:b/>
        </w:rPr>
        <w:t xml:space="preserve">EL </w:t>
      </w:r>
      <w:r w:rsidR="00737F8A" w:rsidRPr="00AF23C0">
        <w:rPr>
          <w:rFonts w:ascii="Palatino Linotype" w:hAnsi="Palatino Linotype" w:cs="Arial"/>
          <w:b/>
        </w:rPr>
        <w:t>RECURRENTE</w:t>
      </w:r>
      <w:r w:rsidR="00737F8A" w:rsidRPr="00AF23C0">
        <w:rPr>
          <w:rFonts w:ascii="Palatino Linotype" w:hAnsi="Palatino Linotype" w:cs="Arial"/>
        </w:rPr>
        <w:t xml:space="preserve">, en contra de la respuesta del </w:t>
      </w:r>
      <w:r w:rsidR="001431A9" w:rsidRPr="00AF23C0">
        <w:rPr>
          <w:rFonts w:ascii="Palatino Linotype" w:eastAsiaTheme="minorEastAsia" w:hAnsi="Palatino Linotype"/>
          <w:b/>
          <w:bCs/>
          <w:lang w:val="es-ES_tradnl" w:eastAsia="es-ES"/>
        </w:rPr>
        <w:t xml:space="preserve">AYUNTAMIENTO DE </w:t>
      </w:r>
      <w:r w:rsidR="009C012B">
        <w:rPr>
          <w:rFonts w:ascii="Palatino Linotype" w:eastAsiaTheme="minorEastAsia" w:hAnsi="Palatino Linotype"/>
          <w:b/>
          <w:bCs/>
          <w:lang w:val="es-ES_tradnl" w:eastAsia="es-ES"/>
        </w:rPr>
        <w:t>IXTLAHUACA</w:t>
      </w:r>
      <w:r w:rsidR="00737F8A" w:rsidRPr="00AF23C0">
        <w:rPr>
          <w:rFonts w:ascii="Palatino Linotype" w:hAnsi="Palatino Linotype" w:cs="Arial"/>
          <w:b/>
        </w:rPr>
        <w:t>,</w:t>
      </w:r>
      <w:r w:rsidR="00737F8A" w:rsidRPr="00AF23C0">
        <w:rPr>
          <w:rFonts w:ascii="Palatino Linotype" w:hAnsi="Palatino Linotype"/>
          <w:b/>
        </w:rPr>
        <w:t xml:space="preserve"> </w:t>
      </w:r>
      <w:r w:rsidR="00737F8A" w:rsidRPr="00AF23C0">
        <w:rPr>
          <w:rFonts w:ascii="Palatino Linotype" w:hAnsi="Palatino Linotype"/>
        </w:rPr>
        <w:t>en lo sucesivo el</w:t>
      </w:r>
      <w:r w:rsidR="00737F8A" w:rsidRPr="00AF23C0">
        <w:rPr>
          <w:rFonts w:ascii="Palatino Linotype" w:hAnsi="Palatino Linotype"/>
          <w:b/>
        </w:rPr>
        <w:t xml:space="preserve"> SUJETO OBLIGADO</w:t>
      </w:r>
      <w:r w:rsidR="00737F8A" w:rsidRPr="00AF23C0">
        <w:rPr>
          <w:rFonts w:ascii="Palatino Linotype" w:hAnsi="Palatino Linotype"/>
        </w:rPr>
        <w:t>, por lo que se procede a dictar la presente resolución, con base en los siguientes:</w:t>
      </w:r>
    </w:p>
    <w:p w14:paraId="03BB89B2" w14:textId="77777777" w:rsidR="00737F8A" w:rsidRPr="00AF23C0" w:rsidRDefault="00737F8A" w:rsidP="003B5EB6">
      <w:pPr>
        <w:spacing w:line="360" w:lineRule="auto"/>
        <w:jc w:val="both"/>
        <w:rPr>
          <w:rFonts w:ascii="Palatino Linotype" w:hAnsi="Palatino Linotype"/>
        </w:rPr>
      </w:pPr>
    </w:p>
    <w:p w14:paraId="4C9E2C68" w14:textId="77777777" w:rsidR="00737F8A" w:rsidRPr="00AF23C0" w:rsidRDefault="00737F8A" w:rsidP="003B5EB6">
      <w:pPr>
        <w:keepNext/>
        <w:keepLines/>
        <w:spacing w:line="360" w:lineRule="auto"/>
        <w:jc w:val="center"/>
        <w:outlineLvl w:val="0"/>
        <w:rPr>
          <w:rFonts w:ascii="Palatino Linotype" w:eastAsiaTheme="majorEastAsia" w:hAnsi="Palatino Linotype" w:cstheme="majorBidi"/>
          <w:b/>
        </w:rPr>
      </w:pPr>
      <w:bookmarkStart w:id="0" w:name="_Toc83301633"/>
      <w:r w:rsidRPr="00AF23C0">
        <w:rPr>
          <w:rFonts w:ascii="Palatino Linotype" w:eastAsiaTheme="majorEastAsia" w:hAnsi="Palatino Linotype" w:cstheme="majorBidi"/>
          <w:b/>
        </w:rPr>
        <w:t>ANTECEDENTES</w:t>
      </w:r>
      <w:bookmarkEnd w:id="0"/>
    </w:p>
    <w:p w14:paraId="6B1A7B34" w14:textId="77777777" w:rsidR="00737F8A" w:rsidRPr="00AF23C0" w:rsidRDefault="00737F8A" w:rsidP="003B5EB6">
      <w:pPr>
        <w:spacing w:line="360" w:lineRule="auto"/>
        <w:rPr>
          <w:rFonts w:ascii="Palatino Linotype" w:eastAsiaTheme="minorEastAsia" w:hAnsi="Palatino Linotype"/>
        </w:rPr>
      </w:pPr>
    </w:p>
    <w:p w14:paraId="71F56988" w14:textId="77777777" w:rsidR="00737F8A" w:rsidRPr="00AF23C0" w:rsidRDefault="0014508D" w:rsidP="003B5EB6">
      <w:pPr>
        <w:numPr>
          <w:ilvl w:val="0"/>
          <w:numId w:val="1"/>
        </w:numPr>
        <w:spacing w:line="360" w:lineRule="auto"/>
        <w:ind w:left="0" w:firstLine="0"/>
        <w:contextualSpacing/>
        <w:jc w:val="both"/>
        <w:rPr>
          <w:rFonts w:ascii="Palatino Linotype" w:hAnsi="Palatino Linotype" w:cs="Arial"/>
          <w:lang w:val="es-ES" w:eastAsia="es-ES"/>
        </w:rPr>
      </w:pPr>
      <w:r w:rsidRPr="00AF23C0">
        <w:rPr>
          <w:rFonts w:ascii="Palatino Linotype" w:eastAsia="Calibri" w:hAnsi="Palatino Linotype" w:cs="Arial"/>
          <w:lang w:val="es-ES" w:eastAsia="es-ES"/>
        </w:rPr>
        <w:t xml:space="preserve">El </w:t>
      </w:r>
      <w:r w:rsidR="00085A4D" w:rsidRPr="00AF23C0">
        <w:rPr>
          <w:rFonts w:ascii="Palatino Linotype" w:eastAsia="Calibri" w:hAnsi="Palatino Linotype" w:cs="Arial"/>
          <w:lang w:val="es-ES" w:eastAsia="es-ES"/>
        </w:rPr>
        <w:t>dieciséis de junio</w:t>
      </w:r>
      <w:r w:rsidRPr="00AF23C0">
        <w:rPr>
          <w:rFonts w:ascii="Palatino Linotype" w:eastAsia="Calibri" w:hAnsi="Palatino Linotype" w:cs="Arial"/>
          <w:lang w:val="es-ES" w:eastAsia="es-ES"/>
        </w:rPr>
        <w:t xml:space="preserve"> de dos mil veintitrés</w:t>
      </w:r>
      <w:r w:rsidR="00737F8A" w:rsidRPr="00AF23C0">
        <w:rPr>
          <w:rFonts w:ascii="Palatino Linotype" w:eastAsia="Calibri" w:hAnsi="Palatino Linotype" w:cs="Arial"/>
          <w:lang w:val="es-ES" w:eastAsia="es-ES"/>
        </w:rPr>
        <w:t>,</w:t>
      </w:r>
      <w:r w:rsidR="00737F8A" w:rsidRPr="00AF23C0">
        <w:rPr>
          <w:rFonts w:ascii="Palatino Linotype" w:eastAsia="Calibri" w:hAnsi="Palatino Linotype"/>
          <w:lang w:val="es-ES" w:eastAsia="es-ES"/>
        </w:rPr>
        <w:t xml:space="preserve"> </w:t>
      </w:r>
      <w:r w:rsidR="00737F8A" w:rsidRPr="00AF23C0">
        <w:rPr>
          <w:rFonts w:ascii="Palatino Linotype" w:eastAsia="Calibri" w:hAnsi="Palatino Linotype"/>
          <w:b/>
          <w:lang w:val="es-ES" w:eastAsia="es-ES"/>
        </w:rPr>
        <w:t>EL RECURRENTE</w:t>
      </w:r>
      <w:r w:rsidR="00737F8A" w:rsidRPr="00AF23C0">
        <w:rPr>
          <w:rFonts w:ascii="Palatino Linotype" w:eastAsiaTheme="minorEastAsia" w:hAnsi="Palatino Linotype"/>
          <w:b/>
          <w:lang w:val="es-ES_tradnl" w:eastAsia="es-ES"/>
        </w:rPr>
        <w:t>,</w:t>
      </w:r>
      <w:r w:rsidR="00737F8A" w:rsidRPr="00AF23C0">
        <w:rPr>
          <w:rFonts w:ascii="Palatino Linotype" w:eastAsia="Calibri" w:hAnsi="Palatino Linotype" w:cs="Arial"/>
          <w:lang w:val="es-ES" w:eastAsia="es-ES"/>
        </w:rPr>
        <w:t xml:space="preserve"> ante el </w:t>
      </w:r>
      <w:r w:rsidR="00737F8A" w:rsidRPr="00AF23C0">
        <w:rPr>
          <w:rFonts w:ascii="Palatino Linotype" w:eastAsia="Calibri" w:hAnsi="Palatino Linotype" w:cs="Arial"/>
          <w:b/>
          <w:lang w:val="es-ES" w:eastAsia="es-ES"/>
        </w:rPr>
        <w:t>SUJETO OBLIGADO</w:t>
      </w:r>
      <w:r w:rsidR="00737F8A" w:rsidRPr="00AF23C0">
        <w:rPr>
          <w:rFonts w:ascii="Palatino Linotype" w:eastAsia="Calibri" w:hAnsi="Palatino Linotype" w:cs="Arial"/>
          <w:lang w:val="es-ES_tradnl" w:eastAsia="es-ES"/>
        </w:rPr>
        <w:t xml:space="preserve"> vía </w:t>
      </w:r>
      <w:r w:rsidR="00737F8A" w:rsidRPr="00AF23C0">
        <w:rPr>
          <w:rFonts w:ascii="Palatino Linotype" w:eastAsia="Calibri" w:hAnsi="Palatino Linotype" w:cs="Arial"/>
          <w:lang w:val="es-ES" w:eastAsia="es-ES"/>
        </w:rPr>
        <w:t>Sistema de Acceso a la Información Mexiquense (</w:t>
      </w:r>
      <w:r w:rsidR="00737F8A" w:rsidRPr="00AF23C0">
        <w:rPr>
          <w:rFonts w:ascii="Palatino Linotype" w:eastAsia="Calibri" w:hAnsi="Palatino Linotype" w:cs="Arial"/>
          <w:b/>
          <w:lang w:val="es-ES" w:eastAsia="es-ES"/>
        </w:rPr>
        <w:t>SAIMEX)</w:t>
      </w:r>
      <w:r w:rsidRPr="00AF23C0">
        <w:rPr>
          <w:rFonts w:ascii="Palatino Linotype" w:eastAsia="Calibri" w:hAnsi="Palatino Linotype" w:cs="Arial"/>
          <w:lang w:val="es-ES" w:eastAsia="es-ES"/>
        </w:rPr>
        <w:t>, presentó la solicitud de información registrada con el número</w:t>
      </w:r>
      <w:r w:rsidR="00737F8A" w:rsidRPr="00AF23C0">
        <w:rPr>
          <w:rFonts w:ascii="Palatino Linotype" w:eastAsia="Calibri" w:hAnsi="Palatino Linotype" w:cs="Arial"/>
          <w:lang w:val="es-ES" w:eastAsia="es-ES"/>
        </w:rPr>
        <w:t xml:space="preserve"> </w:t>
      </w:r>
      <w:r w:rsidR="00085A4D" w:rsidRPr="00AF23C0">
        <w:rPr>
          <w:rFonts w:ascii="Palatino Linotype" w:hAnsi="Palatino Linotype"/>
          <w:b/>
          <w:bCs/>
        </w:rPr>
        <w:t>00089/IXTLAHUA/IP/2023</w:t>
      </w:r>
      <w:r w:rsidR="00737F8A" w:rsidRPr="00AF23C0">
        <w:rPr>
          <w:rFonts w:ascii="Palatino Linotype" w:eastAsiaTheme="minorEastAsia" w:hAnsi="Palatino Linotype"/>
          <w:b/>
          <w:lang w:val="es-ES_tradnl" w:eastAsia="es-ES"/>
        </w:rPr>
        <w:t xml:space="preserve">, </w:t>
      </w:r>
      <w:r w:rsidR="00737F8A" w:rsidRPr="00AF23C0">
        <w:rPr>
          <w:rFonts w:ascii="Palatino Linotype" w:eastAsia="Calibri" w:hAnsi="Palatino Linotype" w:cs="Arial"/>
          <w:lang w:val="es-ES" w:eastAsia="es-ES"/>
        </w:rPr>
        <w:t>mediante la cual solicitó lo siguiente:</w:t>
      </w:r>
    </w:p>
    <w:p w14:paraId="6EDE791E" w14:textId="77777777" w:rsidR="00403D88" w:rsidRPr="00AF23C0" w:rsidRDefault="00403D88" w:rsidP="001431A9">
      <w:pPr>
        <w:pStyle w:val="Prrafodelista"/>
        <w:spacing w:line="360" w:lineRule="auto"/>
        <w:ind w:left="1069" w:right="567"/>
        <w:jc w:val="both"/>
        <w:rPr>
          <w:rFonts w:ascii="Palatino Linotype" w:hAnsi="Palatino Linotype"/>
          <w:i/>
          <w:sz w:val="24"/>
        </w:rPr>
      </w:pPr>
    </w:p>
    <w:p w14:paraId="67D977B2" w14:textId="77777777" w:rsidR="00403D88" w:rsidRPr="00AF23C0" w:rsidRDefault="00737F8A" w:rsidP="00085A4D">
      <w:pPr>
        <w:pStyle w:val="Prrafodelista"/>
        <w:spacing w:line="360" w:lineRule="auto"/>
        <w:ind w:left="1069" w:right="567"/>
        <w:jc w:val="both"/>
        <w:rPr>
          <w:rFonts w:ascii="Palatino Linotype" w:hAnsi="Palatino Linotype"/>
          <w:i/>
          <w:sz w:val="24"/>
        </w:rPr>
      </w:pPr>
      <w:r w:rsidRPr="00AF23C0">
        <w:rPr>
          <w:rFonts w:ascii="Palatino Linotype" w:hAnsi="Palatino Linotype"/>
          <w:i/>
          <w:sz w:val="24"/>
        </w:rPr>
        <w:t>“</w:t>
      </w:r>
      <w:r w:rsidR="00085A4D" w:rsidRPr="00AF23C0">
        <w:rPr>
          <w:rFonts w:ascii="Palatino Linotype" w:hAnsi="Palatino Linotype"/>
          <w:i/>
          <w:sz w:val="24"/>
        </w:rPr>
        <w:t xml:space="preserve">on fundamento en lo dispuesto en los artículos 1°, 6°, 8° párrafo primero y 35 fracción V de la Constitución Federal; 5 párrafos primero, tercero, vigésimo cuarto, trigésimo y trigésimo primero de la Constitución Local; 4, 7, 15, 23 fracción IV y párrafo último, 24 fracciones XI y XIX, 53 fracciones II y V, 92 fracción XLVII, 150, 152, 155 y 160 de la Ley de Transparencia y Acceso a la Información Pública del Estado de México y Municipios y demás disposiciones relativas y aplicables, solicito se me proporcione vía SAIMEX la </w:t>
      </w:r>
      <w:r w:rsidR="00085A4D" w:rsidRPr="00AF23C0">
        <w:rPr>
          <w:rFonts w:ascii="Palatino Linotype" w:hAnsi="Palatino Linotype"/>
          <w:i/>
          <w:sz w:val="24"/>
        </w:rPr>
        <w:lastRenderedPageBreak/>
        <w:t>información pública consistente en los montos totales de los ingresos provenientes por concepto de expedición y refrendo de licencias de funcionamiento recaudados por el Ayuntamiento de Ixtlahuaca durante el ejercicio fiscal del año dos mil veintidós (2022); y adicionalmente solicito que se me señale el nombre de los responsables de recibir, administrar y ejercer dichos recursos e indicarme su destino.</w:t>
      </w:r>
      <w:r w:rsidR="0014508D" w:rsidRPr="00AF23C0">
        <w:rPr>
          <w:rFonts w:ascii="Palatino Linotype" w:hAnsi="Palatino Linotype"/>
          <w:i/>
          <w:sz w:val="24"/>
        </w:rPr>
        <w:t xml:space="preserve">” </w:t>
      </w:r>
      <w:r w:rsidRPr="00AF23C0">
        <w:rPr>
          <w:rFonts w:ascii="Palatino Linotype" w:hAnsi="Palatino Linotype"/>
          <w:i/>
          <w:sz w:val="24"/>
        </w:rPr>
        <w:t xml:space="preserve">(Sic) </w:t>
      </w:r>
    </w:p>
    <w:p w14:paraId="1CD1D4FD" w14:textId="77777777" w:rsidR="00556AAD" w:rsidRPr="00AF23C0" w:rsidRDefault="00556AAD" w:rsidP="00403D88">
      <w:pPr>
        <w:spacing w:line="360" w:lineRule="auto"/>
        <w:contextualSpacing/>
        <w:jc w:val="both"/>
        <w:rPr>
          <w:rFonts w:ascii="Palatino Linotype" w:eastAsia="Calibri" w:hAnsi="Palatino Linotype"/>
          <w:i/>
          <w:sz w:val="20"/>
          <w:szCs w:val="20"/>
          <w:lang w:val="es-ES" w:eastAsia="es-ES"/>
        </w:rPr>
      </w:pPr>
    </w:p>
    <w:p w14:paraId="38E4A1E9" w14:textId="77777777" w:rsidR="00737F8A" w:rsidRPr="00AF23C0" w:rsidRDefault="004B4CDB" w:rsidP="00085A4D">
      <w:pPr>
        <w:numPr>
          <w:ilvl w:val="0"/>
          <w:numId w:val="1"/>
        </w:numPr>
        <w:spacing w:line="360" w:lineRule="auto"/>
        <w:ind w:left="0" w:firstLine="0"/>
        <w:contextualSpacing/>
        <w:jc w:val="both"/>
        <w:rPr>
          <w:rFonts w:ascii="Palatino Linotype" w:hAnsi="Palatino Linotype" w:cs="Arial"/>
          <w:b/>
          <w:bCs/>
          <w:lang w:eastAsia="es-ES"/>
        </w:rPr>
      </w:pPr>
      <w:r w:rsidRPr="00AF23C0">
        <w:rPr>
          <w:rFonts w:ascii="Palatino Linotype" w:eastAsiaTheme="minorEastAsia" w:hAnsi="Palatino Linotype"/>
          <w:lang w:val="es-ES_tradnl" w:eastAsia="es-ES"/>
        </w:rPr>
        <w:t xml:space="preserve">En fecha </w:t>
      </w:r>
      <w:r w:rsidR="00085A4D" w:rsidRPr="00AF23C0">
        <w:rPr>
          <w:rFonts w:ascii="Palatino Linotype" w:eastAsiaTheme="minorEastAsia" w:hAnsi="Palatino Linotype"/>
          <w:lang w:val="es-ES_tradnl" w:eastAsia="es-ES"/>
        </w:rPr>
        <w:t>veinte de junio</w:t>
      </w:r>
      <w:r w:rsidRPr="00AF23C0">
        <w:rPr>
          <w:rFonts w:ascii="Palatino Linotype" w:eastAsiaTheme="minorEastAsia" w:hAnsi="Palatino Linotype"/>
          <w:lang w:val="es-ES_tradnl" w:eastAsia="es-ES"/>
        </w:rPr>
        <w:t xml:space="preserve"> de dos mil veintitrés</w:t>
      </w:r>
      <w:r w:rsidR="00737F8A" w:rsidRPr="00AF23C0">
        <w:rPr>
          <w:rFonts w:ascii="Palatino Linotype" w:eastAsiaTheme="minorEastAsia" w:hAnsi="Palatino Linotype"/>
          <w:lang w:val="es-ES_tradnl" w:eastAsia="es-ES"/>
        </w:rPr>
        <w:t xml:space="preserve"> </w:t>
      </w:r>
      <w:r w:rsidR="00737F8A" w:rsidRPr="00AF23C0">
        <w:rPr>
          <w:rFonts w:ascii="Palatino Linotype" w:eastAsia="Calibri" w:hAnsi="Palatino Linotype"/>
          <w:lang w:val="es-ES" w:eastAsia="es-ES"/>
        </w:rPr>
        <w:t xml:space="preserve">el </w:t>
      </w:r>
      <w:r w:rsidR="00737F8A" w:rsidRPr="00AF23C0">
        <w:rPr>
          <w:rFonts w:ascii="Palatino Linotype" w:eastAsia="Calibri" w:hAnsi="Palatino Linotype" w:cs="Arial"/>
          <w:b/>
          <w:lang w:val="es-AR" w:eastAsia="es-ES"/>
        </w:rPr>
        <w:t>SUJETO OBLIGADO</w:t>
      </w:r>
      <w:r w:rsidR="00737F8A" w:rsidRPr="00AF23C0">
        <w:rPr>
          <w:rFonts w:ascii="Palatino Linotype" w:eastAsia="Calibri" w:hAnsi="Palatino Linotype" w:cs="Arial"/>
          <w:b/>
          <w:i/>
          <w:lang w:val="es-AR" w:eastAsia="es-ES"/>
        </w:rPr>
        <w:t xml:space="preserve"> </w:t>
      </w:r>
      <w:r w:rsidRPr="00AF23C0">
        <w:rPr>
          <w:rFonts w:ascii="Palatino Linotype" w:hAnsi="Palatino Linotype" w:cs="Arial"/>
          <w:lang w:val="es-ES" w:eastAsia="es-ES"/>
        </w:rPr>
        <w:t>dio respuesta a la solicitud</w:t>
      </w:r>
      <w:r w:rsidR="00737F8A" w:rsidRPr="00AF23C0">
        <w:rPr>
          <w:rFonts w:ascii="Palatino Linotype" w:hAnsi="Palatino Linotype" w:cs="Arial"/>
          <w:lang w:val="es-ES" w:eastAsia="es-ES"/>
        </w:rPr>
        <w:t xml:space="preserve"> de información </w:t>
      </w:r>
      <w:r w:rsidR="00085A4D" w:rsidRPr="00AF23C0">
        <w:rPr>
          <w:rFonts w:ascii="Palatino Linotype" w:hAnsi="Palatino Linotype" w:cs="Arial"/>
          <w:lang w:val="es-ES" w:eastAsia="es-ES"/>
        </w:rPr>
        <w:t xml:space="preserve">a través del archivo </w:t>
      </w:r>
      <w:hyperlink r:id="rId8" w:tgtFrame="_blank" w:history="1">
        <w:r w:rsidR="00085A4D" w:rsidRPr="00AF23C0">
          <w:rPr>
            <w:rStyle w:val="Hipervnculo"/>
            <w:rFonts w:ascii="Palatino Linotype" w:hAnsi="Palatino Linotype" w:cs="Arial"/>
            <w:b/>
            <w:bCs/>
            <w:color w:val="auto"/>
            <w:u w:val="none"/>
            <w:lang w:eastAsia="es-ES"/>
          </w:rPr>
          <w:t>RESP. SOL 0089.pdf</w:t>
        </w:r>
      </w:hyperlink>
      <w:r w:rsidR="00085A4D" w:rsidRPr="00AF23C0">
        <w:rPr>
          <w:rFonts w:ascii="Palatino Linotype" w:hAnsi="Palatino Linotype" w:cs="Arial"/>
          <w:b/>
          <w:bCs/>
          <w:lang w:eastAsia="es-ES"/>
        </w:rPr>
        <w:t xml:space="preserve"> </w:t>
      </w:r>
      <w:r w:rsidR="00085A4D" w:rsidRPr="00AF23C0">
        <w:rPr>
          <w:rFonts w:ascii="Palatino Linotype" w:hAnsi="Palatino Linotype" w:cs="Arial"/>
          <w:bCs/>
          <w:lang w:eastAsia="es-ES"/>
        </w:rPr>
        <w:t xml:space="preserve">por medio del cual la Tesorera Municipal L.C. Carmen de Jesús González </w:t>
      </w:r>
      <w:r w:rsidR="00085A4D" w:rsidRPr="00AF23C0">
        <w:rPr>
          <w:rFonts w:ascii="Palatino Linotype" w:hAnsi="Palatino Linotype" w:cs="Arial"/>
          <w:lang w:val="es-ES" w:eastAsia="es-ES"/>
        </w:rPr>
        <w:t xml:space="preserve">informa </w:t>
      </w:r>
      <w:r w:rsidR="00CE2E2E" w:rsidRPr="00AF23C0">
        <w:rPr>
          <w:rFonts w:ascii="Palatino Linotype" w:hAnsi="Palatino Linotype" w:cs="Arial"/>
          <w:lang w:val="es-ES" w:eastAsia="es-ES"/>
        </w:rPr>
        <w:t>lo siguiente</w:t>
      </w:r>
      <w:r w:rsidR="00737F8A" w:rsidRPr="00AF23C0">
        <w:rPr>
          <w:rFonts w:ascii="Palatino Linotype" w:hAnsi="Palatino Linotype" w:cs="Arial"/>
          <w:lang w:val="es-ES" w:eastAsia="es-ES"/>
        </w:rPr>
        <w:t>:</w:t>
      </w:r>
    </w:p>
    <w:p w14:paraId="362443BB" w14:textId="77777777" w:rsidR="00CE2E2E" w:rsidRPr="00AF23C0" w:rsidRDefault="00CE2E2E" w:rsidP="00CE2E2E">
      <w:pPr>
        <w:spacing w:line="360" w:lineRule="auto"/>
        <w:contextualSpacing/>
        <w:jc w:val="both"/>
        <w:rPr>
          <w:rFonts w:ascii="Palatino Linotype" w:eastAsia="Calibri" w:hAnsi="Palatino Linotype"/>
          <w:lang w:val="es-ES" w:eastAsia="es-ES"/>
        </w:rPr>
      </w:pPr>
    </w:p>
    <w:p w14:paraId="28473FD7" w14:textId="77777777" w:rsidR="00085A4D" w:rsidRPr="00AF23C0" w:rsidRDefault="00CE2E2E" w:rsidP="00085A4D">
      <w:pPr>
        <w:spacing w:line="360" w:lineRule="auto"/>
        <w:ind w:left="567" w:right="-28"/>
        <w:contextualSpacing/>
        <w:jc w:val="both"/>
        <w:rPr>
          <w:rFonts w:ascii="Palatino Linotype" w:eastAsia="Calibri" w:hAnsi="Palatino Linotype"/>
          <w:i/>
          <w:lang w:val="es-ES" w:eastAsia="es-ES"/>
        </w:rPr>
      </w:pPr>
      <w:r w:rsidRPr="00AF23C0">
        <w:rPr>
          <w:rFonts w:ascii="Palatino Linotype" w:eastAsia="Calibri" w:hAnsi="Palatino Linotype"/>
          <w:lang w:val="es-ES" w:eastAsia="es-ES"/>
        </w:rPr>
        <w:t>“</w:t>
      </w:r>
      <w:r w:rsidR="00085A4D" w:rsidRPr="00AF23C0">
        <w:rPr>
          <w:rFonts w:ascii="Palatino Linotype" w:eastAsia="Calibri" w:hAnsi="Palatino Linotype"/>
          <w:i/>
          <w:lang w:val="es-ES" w:eastAsia="es-ES"/>
        </w:rPr>
        <w:t>Al respecto, se informa que el monto recaudado durante el ejercicio 2022 por el concepto de Expedición o Refrendo Anual de Licencias de Funcionamiento es de $ 1,626,586.00; dicho recurso es destinado para diferentes gastos para el buen funcionamiento del Municipio.</w:t>
      </w:r>
    </w:p>
    <w:p w14:paraId="5068EBF4" w14:textId="77777777" w:rsidR="00CE2E2E" w:rsidRPr="00AF23C0" w:rsidRDefault="00085A4D" w:rsidP="00085A4D">
      <w:pPr>
        <w:spacing w:line="360" w:lineRule="auto"/>
        <w:ind w:left="567" w:right="-28"/>
        <w:contextualSpacing/>
        <w:jc w:val="both"/>
        <w:rPr>
          <w:rFonts w:ascii="Palatino Linotype" w:eastAsia="Calibri" w:hAnsi="Palatino Linotype"/>
          <w:lang w:val="es-ES" w:eastAsia="es-ES"/>
        </w:rPr>
      </w:pPr>
      <w:r w:rsidRPr="00AF23C0">
        <w:rPr>
          <w:rFonts w:ascii="Palatino Linotype" w:eastAsia="Calibri" w:hAnsi="Palatino Linotype"/>
          <w:i/>
          <w:lang w:val="es-ES" w:eastAsia="es-ES"/>
        </w:rPr>
        <w:t xml:space="preserve">Los responsables de recibir, administrar y ejercer dichos recursos es el Presidente Municipal y Tesorera Municipal.” </w:t>
      </w:r>
      <w:r w:rsidR="00CE2E2E" w:rsidRPr="00AF23C0">
        <w:rPr>
          <w:rFonts w:ascii="Palatino Linotype" w:eastAsia="Calibri" w:hAnsi="Palatino Linotype"/>
          <w:lang w:val="es-ES" w:eastAsia="es-ES"/>
        </w:rPr>
        <w:t>(Sic)</w:t>
      </w:r>
    </w:p>
    <w:p w14:paraId="6430C91A" w14:textId="77777777" w:rsidR="008063E5" w:rsidRPr="00AF23C0" w:rsidRDefault="008063E5" w:rsidP="003B5EB6">
      <w:pPr>
        <w:spacing w:line="360" w:lineRule="auto"/>
        <w:contextualSpacing/>
        <w:jc w:val="both"/>
        <w:rPr>
          <w:rFonts w:ascii="Palatino Linotype" w:hAnsi="Palatino Linotype"/>
          <w:b/>
          <w:bCs/>
        </w:rPr>
      </w:pPr>
    </w:p>
    <w:p w14:paraId="3E9FE601" w14:textId="5B520B59" w:rsidR="00737F8A" w:rsidRPr="00AF23C0" w:rsidRDefault="008063E5" w:rsidP="003B5EB6">
      <w:pPr>
        <w:numPr>
          <w:ilvl w:val="0"/>
          <w:numId w:val="1"/>
        </w:numPr>
        <w:spacing w:line="360" w:lineRule="auto"/>
        <w:ind w:left="0" w:firstLine="0"/>
        <w:contextualSpacing/>
        <w:jc w:val="both"/>
        <w:rPr>
          <w:rFonts w:ascii="Palatino Linotype" w:hAnsi="Palatino Linotype"/>
          <w:bCs/>
        </w:rPr>
      </w:pPr>
      <w:r w:rsidRPr="00AF23C0">
        <w:rPr>
          <w:rFonts w:ascii="Palatino Linotype" w:hAnsi="Palatino Linotype"/>
          <w:bCs/>
        </w:rPr>
        <w:t xml:space="preserve">Inconforme con lo anterior, en fecha </w:t>
      </w:r>
      <w:r w:rsidR="00085A4D" w:rsidRPr="00AF23C0">
        <w:rPr>
          <w:rFonts w:ascii="Palatino Linotype" w:hAnsi="Palatino Linotype"/>
          <w:bCs/>
        </w:rPr>
        <w:t>seis de junio</w:t>
      </w:r>
      <w:r w:rsidRPr="00AF23C0">
        <w:rPr>
          <w:rFonts w:ascii="Palatino Linotype" w:hAnsi="Palatino Linotype"/>
          <w:bCs/>
        </w:rPr>
        <w:t xml:space="preserve"> de dos mil </w:t>
      </w:r>
      <w:r w:rsidR="009C012B" w:rsidRPr="00AF23C0">
        <w:rPr>
          <w:rFonts w:ascii="Palatino Linotype" w:hAnsi="Palatino Linotype"/>
          <w:bCs/>
        </w:rPr>
        <w:t>veintitrés, el</w:t>
      </w:r>
      <w:r w:rsidRPr="00AF23C0">
        <w:rPr>
          <w:rFonts w:ascii="Palatino Linotype" w:hAnsi="Palatino Linotype"/>
          <w:bCs/>
        </w:rPr>
        <w:t xml:space="preserve"> </w:t>
      </w:r>
      <w:r w:rsidRPr="00AF23C0">
        <w:rPr>
          <w:rFonts w:ascii="Palatino Linotype" w:hAnsi="Palatino Linotype"/>
          <w:b/>
          <w:bCs/>
        </w:rPr>
        <w:t xml:space="preserve">SUJETO OBLIGADO </w:t>
      </w:r>
      <w:r w:rsidRPr="00AF23C0">
        <w:rPr>
          <w:rFonts w:ascii="Palatino Linotype" w:hAnsi="Palatino Linotype"/>
          <w:bCs/>
        </w:rPr>
        <w:t>interpuso recurso de revisión, arguyendo lo siguiente:</w:t>
      </w:r>
    </w:p>
    <w:p w14:paraId="17477BFF" w14:textId="77777777" w:rsidR="006F597E" w:rsidRPr="00AF23C0" w:rsidRDefault="006F597E" w:rsidP="003B5EB6">
      <w:pPr>
        <w:spacing w:line="360" w:lineRule="auto"/>
        <w:contextualSpacing/>
        <w:jc w:val="both"/>
        <w:rPr>
          <w:rFonts w:ascii="Palatino Linotype" w:eastAsiaTheme="minorEastAsia" w:hAnsi="Palatino Linotype" w:cs="Arial"/>
          <w:b/>
          <w:i/>
          <w:lang w:eastAsia="es-ES"/>
        </w:rPr>
      </w:pPr>
    </w:p>
    <w:p w14:paraId="2C6CB1FD" w14:textId="77777777" w:rsidR="00737F8A" w:rsidRPr="00AF23C0" w:rsidRDefault="00737F8A" w:rsidP="003B5EB6">
      <w:pPr>
        <w:spacing w:line="360" w:lineRule="auto"/>
        <w:ind w:left="567" w:right="567"/>
        <w:contextualSpacing/>
        <w:jc w:val="both"/>
        <w:rPr>
          <w:rFonts w:ascii="Palatino Linotype" w:hAnsi="Palatino Linotype"/>
          <w:i/>
        </w:rPr>
      </w:pPr>
      <w:r w:rsidRPr="00AF23C0">
        <w:rPr>
          <w:rFonts w:ascii="Palatino Linotype" w:eastAsiaTheme="minorEastAsia" w:hAnsi="Palatino Linotype"/>
          <w:b/>
          <w:lang w:val="es-ES_tradnl" w:eastAsia="es-ES"/>
        </w:rPr>
        <w:t>Acto impugnado</w:t>
      </w:r>
      <w:r w:rsidRPr="00AF23C0">
        <w:rPr>
          <w:rFonts w:ascii="Palatino Linotype" w:eastAsiaTheme="minorEastAsia" w:hAnsi="Palatino Linotype"/>
          <w:b/>
          <w:i/>
          <w:lang w:val="es-ES_tradnl" w:eastAsia="es-ES"/>
        </w:rPr>
        <w:t>:</w:t>
      </w:r>
      <w:r w:rsidRPr="00AF23C0">
        <w:rPr>
          <w:rFonts w:ascii="Palatino Linotype" w:hAnsi="Palatino Linotype"/>
          <w:i/>
        </w:rPr>
        <w:t xml:space="preserve"> “</w:t>
      </w:r>
      <w:r w:rsidR="00085A4D" w:rsidRPr="00AF23C0">
        <w:rPr>
          <w:rFonts w:ascii="Palatino Linotype" w:hAnsi="Palatino Linotype"/>
          <w:i/>
        </w:rPr>
        <w:t>LA RESPUESTA A LA SOLICITUD DE INFORMACIÓN NÚMERO 00089/IXTLAHUA/IP/2023.</w:t>
      </w:r>
      <w:r w:rsidRPr="00AF23C0">
        <w:rPr>
          <w:rFonts w:ascii="Palatino Linotype" w:hAnsi="Palatino Linotype"/>
          <w:i/>
        </w:rPr>
        <w:t xml:space="preserve">” (Sic) </w:t>
      </w:r>
    </w:p>
    <w:p w14:paraId="60F51445" w14:textId="77777777" w:rsidR="00737F8A" w:rsidRPr="00AF23C0" w:rsidRDefault="00737F8A" w:rsidP="003B5EB6">
      <w:pPr>
        <w:spacing w:line="360" w:lineRule="auto"/>
        <w:ind w:left="567" w:right="567"/>
        <w:contextualSpacing/>
        <w:jc w:val="both"/>
        <w:rPr>
          <w:rFonts w:ascii="Palatino Linotype" w:eastAsia="Calibri" w:hAnsi="Palatino Linotype" w:cs="Arial"/>
          <w:i/>
          <w:lang w:val="es-ES" w:eastAsia="es-ES"/>
        </w:rPr>
      </w:pPr>
    </w:p>
    <w:p w14:paraId="35178158" w14:textId="77777777" w:rsidR="00737F8A" w:rsidRPr="00AF23C0" w:rsidRDefault="00737F8A" w:rsidP="003B5EB6">
      <w:pPr>
        <w:spacing w:line="360" w:lineRule="auto"/>
        <w:ind w:left="567" w:right="567"/>
        <w:contextualSpacing/>
        <w:jc w:val="both"/>
        <w:rPr>
          <w:rFonts w:ascii="Palatino Linotype" w:eastAsia="Calibri" w:hAnsi="Palatino Linotype" w:cs="Arial"/>
          <w:i/>
          <w:lang w:val="es-ES" w:eastAsia="es-ES"/>
        </w:rPr>
      </w:pPr>
      <w:r w:rsidRPr="00AF23C0">
        <w:rPr>
          <w:rFonts w:ascii="Palatino Linotype" w:eastAsiaTheme="minorEastAsia" w:hAnsi="Palatino Linotype"/>
          <w:b/>
          <w:lang w:val="es-ES_tradnl" w:eastAsia="es-ES"/>
        </w:rPr>
        <w:t>Razones o Motivos de inconformidad:</w:t>
      </w:r>
      <w:r w:rsidRPr="00AF23C0">
        <w:rPr>
          <w:rFonts w:ascii="Palatino Linotype" w:eastAsiaTheme="majorEastAsia" w:hAnsi="Palatino Linotype" w:cstheme="majorBidi"/>
          <w:b/>
          <w:lang w:val="es-ES" w:eastAsia="es-ES"/>
        </w:rPr>
        <w:t xml:space="preserve"> </w:t>
      </w:r>
      <w:r w:rsidRPr="00AF23C0">
        <w:rPr>
          <w:rFonts w:ascii="Palatino Linotype" w:eastAsiaTheme="majorEastAsia" w:hAnsi="Palatino Linotype" w:cstheme="majorBidi"/>
          <w:i/>
          <w:lang w:val="es-ES" w:eastAsia="es-ES"/>
        </w:rPr>
        <w:t>“</w:t>
      </w:r>
      <w:r w:rsidR="00085A4D" w:rsidRPr="00AF23C0">
        <w:rPr>
          <w:rFonts w:ascii="Palatino Linotype" w:eastAsiaTheme="majorEastAsia" w:hAnsi="Palatino Linotype" w:cstheme="majorBidi"/>
          <w:i/>
          <w:lang w:eastAsia="es-ES"/>
        </w:rPr>
        <w:t> EL SUJETO OBLIGADO OMITE SEÑALAR PUNTUAL Y DETALLADAMENTE LOS RUBROS ESPECIFICOS A DONDE SON DESTINADOS O DIRIGIDOS LOS RECURSOS ECONÓMICOS RECAUDADOS.</w:t>
      </w:r>
      <w:r w:rsidRPr="00AF23C0">
        <w:rPr>
          <w:rFonts w:ascii="Palatino Linotype" w:hAnsi="Palatino Linotype"/>
          <w:i/>
        </w:rPr>
        <w:t>” (Sic)</w:t>
      </w:r>
    </w:p>
    <w:p w14:paraId="61C9E47C" w14:textId="77777777" w:rsidR="00737F8A" w:rsidRPr="00AF23C0" w:rsidRDefault="00737F8A" w:rsidP="003B5EB6">
      <w:pPr>
        <w:spacing w:line="360" w:lineRule="auto"/>
        <w:contextualSpacing/>
        <w:jc w:val="both"/>
        <w:rPr>
          <w:rFonts w:ascii="Palatino Linotype" w:eastAsia="Calibri" w:hAnsi="Palatino Linotype" w:cs="Arial"/>
          <w:lang w:val="es-AR" w:eastAsia="es-ES"/>
        </w:rPr>
      </w:pPr>
    </w:p>
    <w:p w14:paraId="194F48E2" w14:textId="77777777" w:rsidR="00737F8A" w:rsidRPr="00AF23C0" w:rsidRDefault="00737F8A" w:rsidP="003B5EB6">
      <w:pPr>
        <w:numPr>
          <w:ilvl w:val="0"/>
          <w:numId w:val="1"/>
        </w:numPr>
        <w:spacing w:line="360" w:lineRule="auto"/>
        <w:ind w:left="0" w:firstLine="0"/>
        <w:contextualSpacing/>
        <w:jc w:val="both"/>
        <w:rPr>
          <w:rFonts w:ascii="Palatino Linotype" w:eastAsia="Calibri" w:hAnsi="Palatino Linotype" w:cs="Arial"/>
          <w:lang w:val="es-AR" w:eastAsia="es-ES"/>
        </w:rPr>
      </w:pPr>
      <w:r w:rsidRPr="00AF23C0">
        <w:rPr>
          <w:rFonts w:ascii="Palatino Linotype" w:hAnsi="Palatino Linotype" w:cs="Arial"/>
          <w:lang w:val="es-ES" w:eastAsia="es-ES"/>
        </w:rPr>
        <w:t xml:space="preserve">Se registró el recurso de revisión bajo el número de expediente </w:t>
      </w:r>
      <w:r w:rsidRPr="00AF23C0">
        <w:rPr>
          <w:rFonts w:ascii="Palatino Linotype" w:eastAsiaTheme="minorEastAsia" w:hAnsi="Palatino Linotype" w:cs="Arial"/>
          <w:bCs/>
          <w:lang w:val="es-ES_tradnl" w:eastAsia="es-ES"/>
        </w:rPr>
        <w:t xml:space="preserve">al rubro indicado, asimismo con fundamento en lo dispuesto por el </w:t>
      </w:r>
      <w:r w:rsidRPr="00AF23C0">
        <w:rPr>
          <w:rFonts w:ascii="Palatino Linotype" w:eastAsia="Calibri" w:hAnsi="Palatino Linotype" w:cs="Arial"/>
          <w:lang w:val="es-ES" w:eastAsia="es-ES"/>
        </w:rPr>
        <w:t xml:space="preserve">artículo 185 fracción I de la </w:t>
      </w:r>
      <w:r w:rsidRPr="00AF23C0">
        <w:rPr>
          <w:rFonts w:ascii="Palatino Linotype" w:eastAsia="Calibri" w:hAnsi="Palatino Linotype" w:cs="Arial"/>
          <w:b/>
          <w:lang w:val="es-ES" w:eastAsia="es-ES"/>
        </w:rPr>
        <w:t xml:space="preserve">Ley de Transparencia y Acceso a la Información Pública del Estado de México y Municipios </w:t>
      </w:r>
      <w:r w:rsidRPr="00AF23C0">
        <w:rPr>
          <w:rFonts w:ascii="Palatino Linotype" w:hAnsi="Palatino Linotype" w:cs="Arial"/>
          <w:lang w:val="es-ES" w:eastAsia="es-ES"/>
        </w:rPr>
        <w:t xml:space="preserve">se turnó a la </w:t>
      </w:r>
      <w:r w:rsidRPr="00AF23C0">
        <w:rPr>
          <w:rFonts w:ascii="Palatino Linotype" w:hAnsi="Palatino Linotype" w:cs="Arial"/>
          <w:b/>
          <w:lang w:val="es-ES" w:eastAsia="es-ES"/>
        </w:rPr>
        <w:t xml:space="preserve">Comisionada María del Rosario Mejía Ayala, </w:t>
      </w:r>
      <w:r w:rsidRPr="00AF23C0">
        <w:rPr>
          <w:rFonts w:ascii="Palatino Linotype" w:hAnsi="Palatino Linotype" w:cs="Arial"/>
          <w:lang w:val="es-ES" w:eastAsia="es-ES"/>
        </w:rPr>
        <w:t xml:space="preserve">con el objeto de </w:t>
      </w:r>
      <w:r w:rsidRPr="00AF23C0">
        <w:rPr>
          <w:rFonts w:ascii="Palatino Linotype" w:hAnsi="Palatino Linotype" w:cs="Arial"/>
          <w:lang w:eastAsia="es-ES"/>
        </w:rPr>
        <w:t xml:space="preserve">su análisis. </w:t>
      </w:r>
    </w:p>
    <w:p w14:paraId="11ABC5CB" w14:textId="77777777" w:rsidR="00737F8A" w:rsidRPr="00AF23C0" w:rsidRDefault="00737F8A" w:rsidP="003B5EB6">
      <w:pPr>
        <w:spacing w:line="360" w:lineRule="auto"/>
        <w:contextualSpacing/>
        <w:jc w:val="both"/>
        <w:rPr>
          <w:rFonts w:ascii="Palatino Linotype" w:eastAsia="Calibri" w:hAnsi="Palatino Linotype" w:cs="Arial"/>
          <w:lang w:val="es-AR" w:eastAsia="es-ES"/>
        </w:rPr>
      </w:pPr>
    </w:p>
    <w:p w14:paraId="05CFBF5C"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AF23C0">
        <w:rPr>
          <w:rFonts w:ascii="Palatino Linotype" w:eastAsia="Calibri" w:hAnsi="Palatino Linotype" w:cs="Arial"/>
          <w:lang w:val="es-ES" w:eastAsia="es-ES"/>
        </w:rPr>
        <w:t>El Comisionado Ponente con fundamento en l</w:t>
      </w:r>
      <w:r w:rsidR="00D10B35" w:rsidRPr="00AF23C0">
        <w:rPr>
          <w:rFonts w:ascii="Palatino Linotype" w:eastAsia="Calibri" w:hAnsi="Palatino Linotype" w:cs="Arial"/>
          <w:lang w:val="es-ES" w:eastAsia="es-ES"/>
        </w:rPr>
        <w:t xml:space="preserve">o dispuesto por el artículo 18 </w:t>
      </w:r>
      <w:r w:rsidRPr="00AF23C0">
        <w:rPr>
          <w:rFonts w:ascii="Palatino Linotype" w:eastAsia="Calibri" w:hAnsi="Palatino Linotype" w:cs="Arial"/>
          <w:lang w:val="es-ES" w:eastAsia="es-ES"/>
        </w:rPr>
        <w:t>fracción II de la ley de la materia, a tra</w:t>
      </w:r>
      <w:r w:rsidR="00D10B35" w:rsidRPr="00AF23C0">
        <w:rPr>
          <w:rFonts w:ascii="Palatino Linotype" w:eastAsia="Calibri" w:hAnsi="Palatino Linotype" w:cs="Arial"/>
          <w:lang w:val="es-ES" w:eastAsia="es-ES"/>
        </w:rPr>
        <w:t>vés del a</w:t>
      </w:r>
      <w:r w:rsidR="008063E5" w:rsidRPr="00AF23C0">
        <w:rPr>
          <w:rFonts w:ascii="Palatino Linotype" w:eastAsia="Calibri" w:hAnsi="Palatino Linotype" w:cs="Arial"/>
          <w:lang w:val="es-ES" w:eastAsia="es-ES"/>
        </w:rPr>
        <w:t xml:space="preserve">cuerdo de admisión de </w:t>
      </w:r>
      <w:r w:rsidR="00085A4D" w:rsidRPr="00AF23C0">
        <w:rPr>
          <w:rFonts w:ascii="Palatino Linotype" w:eastAsia="Calibri" w:hAnsi="Palatino Linotype" w:cs="Arial"/>
          <w:lang w:val="es-ES" w:eastAsia="es-ES"/>
        </w:rPr>
        <w:t xml:space="preserve">catorce de julio </w:t>
      </w:r>
      <w:r w:rsidR="008063E5" w:rsidRPr="00AF23C0">
        <w:rPr>
          <w:rFonts w:ascii="Palatino Linotype" w:eastAsia="Calibri" w:hAnsi="Palatino Linotype" w:cs="Arial"/>
          <w:lang w:val="es-ES" w:eastAsia="es-ES"/>
        </w:rPr>
        <w:t>de dos mil veintitrés</w:t>
      </w:r>
      <w:r w:rsidRPr="00AF23C0">
        <w:rPr>
          <w:rFonts w:ascii="Palatino Linotype" w:eastAsia="Calibri" w:hAnsi="Palatino Linotype" w:cs="Arial"/>
          <w:lang w:val="es-ES" w:eastAsia="es-ES"/>
        </w:rPr>
        <w:t xml:space="preserve">, puso a disposición de las partes el expediente electrónico </w:t>
      </w:r>
      <w:r w:rsidRPr="00AF23C0">
        <w:rPr>
          <w:rFonts w:ascii="Palatino Linotype" w:eastAsia="Calibri" w:hAnsi="Palatino Linotype" w:cs="Arial"/>
          <w:lang w:val="es-ES_tradnl" w:eastAsia="es-ES"/>
        </w:rPr>
        <w:t xml:space="preserve">vía </w:t>
      </w:r>
      <w:r w:rsidRPr="00AF23C0">
        <w:rPr>
          <w:rFonts w:ascii="Palatino Linotype" w:eastAsia="Calibri" w:hAnsi="Palatino Linotype" w:cs="Arial"/>
          <w:b/>
          <w:lang w:val="es-ES" w:eastAsia="es-ES"/>
        </w:rPr>
        <w:t xml:space="preserve">SAIMEX </w:t>
      </w:r>
      <w:r w:rsidRPr="00AF23C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F23C0">
        <w:rPr>
          <w:rFonts w:ascii="Palatino Linotype" w:eastAsia="Calibri" w:hAnsi="Palatino Linotype" w:cs="Arial"/>
          <w:b/>
          <w:lang w:val="es-ES" w:eastAsia="es-ES"/>
        </w:rPr>
        <w:t>SUJETO OBLIGADO</w:t>
      </w:r>
      <w:r w:rsidRPr="00AF23C0">
        <w:rPr>
          <w:rFonts w:ascii="Palatino Linotype" w:eastAsia="Calibri" w:hAnsi="Palatino Linotype" w:cs="Arial"/>
          <w:lang w:val="es-ES" w:eastAsia="es-ES"/>
        </w:rPr>
        <w:t xml:space="preserve"> presentara el informe justificado procedente. </w:t>
      </w:r>
    </w:p>
    <w:p w14:paraId="0DECF242" w14:textId="77777777" w:rsidR="00737F8A" w:rsidRPr="00AF23C0" w:rsidRDefault="00737F8A" w:rsidP="003B5EB6">
      <w:pPr>
        <w:spacing w:line="360" w:lineRule="auto"/>
        <w:contextualSpacing/>
        <w:jc w:val="both"/>
        <w:rPr>
          <w:rFonts w:ascii="Palatino Linotype" w:eastAsiaTheme="minorEastAsia" w:hAnsi="Palatino Linotype" w:cstheme="minorBidi"/>
          <w:i/>
          <w:lang w:val="es-ES_tradnl" w:eastAsia="es-ES"/>
        </w:rPr>
      </w:pPr>
    </w:p>
    <w:p w14:paraId="56168C8A" w14:textId="60E2A424" w:rsidR="00537748" w:rsidRPr="00AF23C0" w:rsidRDefault="00737F8A"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AF23C0">
        <w:rPr>
          <w:rFonts w:ascii="Palatino Linotype" w:eastAsia="Calibri" w:hAnsi="Palatino Linotype" w:cs="Arial"/>
          <w:lang w:val="es-ES" w:eastAsia="es-ES"/>
        </w:rPr>
        <w:t xml:space="preserve">De las constancias que obran en el expediente electrónico SAIMEX, se advierte que el </w:t>
      </w:r>
      <w:r w:rsidR="009C012B" w:rsidRPr="00AF23C0">
        <w:rPr>
          <w:rFonts w:ascii="Palatino Linotype" w:eastAsia="Calibri" w:hAnsi="Palatino Linotype" w:cs="Arial"/>
          <w:b/>
          <w:lang w:val="es-ES" w:eastAsia="es-ES"/>
        </w:rPr>
        <w:t>RECURRENTE</w:t>
      </w:r>
      <w:r w:rsidR="009C012B" w:rsidRPr="00AF23C0">
        <w:rPr>
          <w:rFonts w:ascii="Palatino Linotype" w:eastAsia="Calibri" w:hAnsi="Palatino Linotype" w:cs="Arial"/>
          <w:lang w:val="es-ES" w:eastAsia="es-ES"/>
        </w:rPr>
        <w:t xml:space="preserve"> no</w:t>
      </w:r>
      <w:r w:rsidR="00D10B35" w:rsidRPr="00AF23C0">
        <w:rPr>
          <w:rFonts w:ascii="Palatino Linotype" w:eastAsia="Calibri" w:hAnsi="Palatino Linotype" w:cs="Arial"/>
          <w:lang w:val="es-ES" w:eastAsia="es-ES"/>
        </w:rPr>
        <w:t xml:space="preserve"> realizó manifestación, por su parte, el </w:t>
      </w:r>
      <w:r w:rsidR="00D10B35" w:rsidRPr="00AF23C0">
        <w:rPr>
          <w:rFonts w:ascii="Palatino Linotype" w:eastAsia="Calibri" w:hAnsi="Palatino Linotype" w:cs="Arial"/>
          <w:b/>
          <w:lang w:val="es-ES" w:eastAsia="es-ES"/>
        </w:rPr>
        <w:t>Sujeto Obligado</w:t>
      </w:r>
      <w:r w:rsidR="00D10B35" w:rsidRPr="00AF23C0">
        <w:rPr>
          <w:rFonts w:ascii="Palatino Linotype" w:eastAsia="Calibri" w:hAnsi="Palatino Linotype" w:cs="Arial"/>
          <w:lang w:val="es-ES" w:eastAsia="es-ES"/>
        </w:rPr>
        <w:t xml:space="preserve"> </w:t>
      </w:r>
      <w:r w:rsidR="00085A4D" w:rsidRPr="00AF23C0">
        <w:rPr>
          <w:rFonts w:ascii="Palatino Linotype" w:eastAsia="Calibri" w:hAnsi="Palatino Linotype" w:cs="Arial"/>
          <w:lang w:val="es-ES" w:eastAsia="es-ES"/>
        </w:rPr>
        <w:t>rindió</w:t>
      </w:r>
      <w:r w:rsidR="000F27E2" w:rsidRPr="00AF23C0">
        <w:rPr>
          <w:rFonts w:ascii="Palatino Linotype" w:eastAsia="Calibri" w:hAnsi="Palatino Linotype" w:cs="Arial"/>
          <w:lang w:val="es-ES" w:eastAsia="es-ES"/>
        </w:rPr>
        <w:t xml:space="preserve"> su informe justificado en el siguiente sentido</w:t>
      </w:r>
      <w:r w:rsidR="00D10B35" w:rsidRPr="00AF23C0">
        <w:rPr>
          <w:rFonts w:ascii="Palatino Linotype" w:eastAsia="Calibri" w:hAnsi="Palatino Linotype" w:cs="Arial"/>
          <w:lang w:val="es-ES" w:eastAsia="es-ES"/>
        </w:rPr>
        <w:t>:</w:t>
      </w:r>
    </w:p>
    <w:p w14:paraId="3A1A7DAC" w14:textId="77777777" w:rsidR="00537748" w:rsidRPr="00AF23C0" w:rsidRDefault="00537748" w:rsidP="003B5EB6">
      <w:pPr>
        <w:spacing w:line="360" w:lineRule="auto"/>
        <w:contextualSpacing/>
        <w:jc w:val="both"/>
        <w:rPr>
          <w:rFonts w:ascii="Palatino Linotype" w:eastAsiaTheme="minorEastAsia" w:hAnsi="Palatino Linotype" w:cstheme="minorBidi"/>
          <w:i/>
          <w:lang w:val="es-ES_tradnl" w:eastAsia="es-ES"/>
        </w:rPr>
      </w:pPr>
    </w:p>
    <w:p w14:paraId="25540CC6" w14:textId="77777777" w:rsidR="00085A4D" w:rsidRPr="00AF23C0" w:rsidRDefault="00085A4D" w:rsidP="00085A4D">
      <w:pPr>
        <w:pStyle w:val="Prrafodelista"/>
        <w:numPr>
          <w:ilvl w:val="0"/>
          <w:numId w:val="30"/>
        </w:numPr>
        <w:spacing w:line="360" w:lineRule="auto"/>
        <w:jc w:val="both"/>
        <w:rPr>
          <w:rFonts w:ascii="Palatino Linotype" w:hAnsi="Palatino Linotype"/>
          <w:b/>
        </w:rPr>
      </w:pPr>
      <w:r w:rsidRPr="00AF23C0">
        <w:rPr>
          <w:rFonts w:ascii="Palatino Linotype" w:hAnsi="Palatino Linotype"/>
          <w:b/>
        </w:rPr>
        <w:t>INFORME JUSTIFICADO.pdf</w:t>
      </w:r>
    </w:p>
    <w:p w14:paraId="247AC0E1" w14:textId="77777777" w:rsidR="0071091E" w:rsidRPr="00AF23C0" w:rsidRDefault="00711979" w:rsidP="00711979">
      <w:pPr>
        <w:spacing w:line="360" w:lineRule="auto"/>
        <w:jc w:val="both"/>
        <w:rPr>
          <w:rFonts w:ascii="Palatino Linotype" w:hAnsi="Palatino Linotype"/>
        </w:rPr>
        <w:sectPr w:rsidR="0071091E" w:rsidRPr="00AF23C0" w:rsidSect="00737F8A">
          <w:headerReference w:type="even" r:id="rId9"/>
          <w:headerReference w:type="default" r:id="rId10"/>
          <w:headerReference w:type="first" r:id="rId11"/>
          <w:pgSz w:w="12240" w:h="15840"/>
          <w:pgMar w:top="80" w:right="1608" w:bottom="1418" w:left="1588" w:header="709" w:footer="919" w:gutter="0"/>
          <w:pgNumType w:start="1"/>
          <w:cols w:space="708"/>
          <w:titlePg/>
          <w:docGrid w:linePitch="360"/>
        </w:sectPr>
      </w:pPr>
      <w:r w:rsidRPr="00AF23C0">
        <w:rPr>
          <w:rFonts w:ascii="Palatino Linotype" w:hAnsi="Palatino Linotype"/>
        </w:rPr>
        <w:lastRenderedPageBreak/>
        <w:t>Por medio del cual la Titular de la Unidad de Transparencia y Acceso a la Información Pública Municipal confirma su respuesta inicial.</w:t>
      </w:r>
    </w:p>
    <w:p w14:paraId="14462D04" w14:textId="77777777" w:rsidR="0071091E" w:rsidRPr="00AF23C0" w:rsidRDefault="0071091E" w:rsidP="00711979">
      <w:pPr>
        <w:spacing w:line="360" w:lineRule="auto"/>
        <w:rPr>
          <w:rFonts w:ascii="Palatino Linotype" w:hAnsi="Palatino Linotype"/>
        </w:rPr>
        <w:sectPr w:rsidR="0071091E" w:rsidRPr="00AF23C0" w:rsidSect="0071091E">
          <w:type w:val="continuous"/>
          <w:pgSz w:w="12240" w:h="15840"/>
          <w:pgMar w:top="80" w:right="1608" w:bottom="1418" w:left="1588" w:header="709" w:footer="919" w:gutter="0"/>
          <w:pgNumType w:start="1"/>
          <w:cols w:space="708"/>
          <w:titlePg/>
          <w:docGrid w:linePitch="360"/>
        </w:sectPr>
      </w:pPr>
    </w:p>
    <w:p w14:paraId="6339AB8C" w14:textId="77777777" w:rsidR="00737F8A" w:rsidRPr="00AF23C0" w:rsidRDefault="00737F8A" w:rsidP="0071197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El </w:t>
      </w:r>
      <w:r w:rsidR="0050165E" w:rsidRPr="00AF23C0">
        <w:rPr>
          <w:rFonts w:ascii="Palatino Linotype" w:eastAsiaTheme="minorEastAsia" w:hAnsi="Palatino Linotype"/>
          <w:lang w:val="es-ES_tradnl" w:eastAsia="es-ES"/>
        </w:rPr>
        <w:t xml:space="preserve">once de </w:t>
      </w:r>
      <w:r w:rsidR="009B5C00" w:rsidRPr="00AF23C0">
        <w:rPr>
          <w:rFonts w:ascii="Palatino Linotype" w:eastAsiaTheme="minorEastAsia" w:hAnsi="Palatino Linotype"/>
          <w:lang w:val="es-ES_tradnl" w:eastAsia="es-ES"/>
        </w:rPr>
        <w:t>enero de dos mil veinticuatro</w:t>
      </w:r>
      <w:r w:rsidR="0050165E" w:rsidRPr="00AF23C0">
        <w:rPr>
          <w:rFonts w:ascii="Palatino Linotype" w:eastAsiaTheme="minorEastAsia" w:hAnsi="Palatino Linotype"/>
          <w:lang w:val="es-ES_tradnl" w:eastAsia="es-ES"/>
        </w:rPr>
        <w:t>,</w:t>
      </w:r>
      <w:r w:rsidRPr="00AF23C0">
        <w:rPr>
          <w:rFonts w:ascii="Palatino Linotype" w:eastAsiaTheme="minorEastAsia" w:hAnsi="Palatino Linotype"/>
          <w:lang w:val="es-ES_tradnl" w:eastAsia="es-ES"/>
        </w:rPr>
        <w:t xml:space="preserve"> se notificó el acuerdo mediante el cual se aprobó la ampliación de plazo para emitir resolución. </w:t>
      </w:r>
    </w:p>
    <w:p w14:paraId="3677036F"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0ECB908B"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274E875"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4A06A0AD" w14:textId="460C1D0C"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Por ello, es menester precisar </w:t>
      </w:r>
      <w:r w:rsidR="009C012B" w:rsidRPr="00AF23C0">
        <w:rPr>
          <w:rFonts w:ascii="Palatino Linotype" w:eastAsiaTheme="minorEastAsia" w:hAnsi="Palatino Linotype"/>
          <w:lang w:val="es-ES_tradnl" w:eastAsia="es-ES"/>
        </w:rPr>
        <w:t>que,</w:t>
      </w:r>
      <w:r w:rsidRPr="00AF23C0">
        <w:rPr>
          <w:rFonts w:ascii="Palatino Linotype" w:eastAsiaTheme="minorEastAsia" w:hAnsi="Palatino Linotype"/>
          <w:lang w:val="es-ES_tradnl" w:eastAsia="es-ES"/>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B4EF452"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1EFFE813"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Así, en términos de lo que establecen los artículos 8.1 y 25 de la Convención Americana sobre Derechos Humanos, los recursos deben ser sencillos y resolverse en </w:t>
      </w:r>
      <w:r w:rsidRPr="00AF23C0">
        <w:rPr>
          <w:rFonts w:ascii="Palatino Linotype" w:eastAsiaTheme="minorEastAsia" w:hAnsi="Palatino Linotype"/>
          <w:lang w:val="es-ES_tradnl" w:eastAsia="es-ES"/>
        </w:rPr>
        <w:lastRenderedPageBreak/>
        <w:t>el menor tiempo posible, tomando en consideración la dilación total del procedimiento; esto es, en un plazo razonable.</w:t>
      </w:r>
    </w:p>
    <w:p w14:paraId="5A76E529"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1E4241F2"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E8918A"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6B2456E9"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Por ello, excepcionalmente, si un asunto es resuelto con posterioridad a los plazos señalados por la norma debe analizarse la razonabilidad de dicha dilación atendiendo a los siguientes criterios:   </w:t>
      </w:r>
    </w:p>
    <w:p w14:paraId="6C272B8B"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35BE59ED" w14:textId="77777777" w:rsidR="00737F8A" w:rsidRPr="00AF23C0" w:rsidRDefault="00737F8A" w:rsidP="003B5EB6">
      <w:pPr>
        <w:spacing w:line="360" w:lineRule="auto"/>
        <w:ind w:left="851"/>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a) Complejidad del Asunto: La complejidad de la prueba, la pluralidad de sujetos procesales, el tiempo transcurrido, las características y contexto del recurso. </w:t>
      </w:r>
    </w:p>
    <w:p w14:paraId="628C9843" w14:textId="77777777" w:rsidR="00737F8A" w:rsidRPr="00AF23C0" w:rsidRDefault="00737F8A" w:rsidP="003B5EB6">
      <w:pPr>
        <w:spacing w:line="360" w:lineRule="auto"/>
        <w:ind w:left="851"/>
        <w:contextualSpacing/>
        <w:jc w:val="both"/>
        <w:rPr>
          <w:rFonts w:ascii="Palatino Linotype" w:eastAsiaTheme="minorEastAsia" w:hAnsi="Palatino Linotype"/>
          <w:lang w:val="es-ES_tradnl" w:eastAsia="es-ES"/>
        </w:rPr>
      </w:pPr>
    </w:p>
    <w:p w14:paraId="46BA20E6" w14:textId="77777777" w:rsidR="00737F8A" w:rsidRPr="00AF23C0" w:rsidRDefault="00737F8A" w:rsidP="003B5EB6">
      <w:pPr>
        <w:spacing w:line="360" w:lineRule="auto"/>
        <w:ind w:left="851"/>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b) Actividad Procesal del interesado. Acciones u omisiones del interesado.</w:t>
      </w:r>
    </w:p>
    <w:p w14:paraId="6D8CFA3C" w14:textId="77777777" w:rsidR="00737F8A" w:rsidRPr="00AF23C0" w:rsidRDefault="00737F8A" w:rsidP="003B5EB6">
      <w:pPr>
        <w:spacing w:line="360" w:lineRule="auto"/>
        <w:ind w:left="851"/>
        <w:contextualSpacing/>
        <w:jc w:val="both"/>
        <w:rPr>
          <w:rFonts w:ascii="Palatino Linotype" w:eastAsiaTheme="minorEastAsia" w:hAnsi="Palatino Linotype"/>
          <w:lang w:val="es-ES_tradnl" w:eastAsia="es-ES"/>
        </w:rPr>
      </w:pPr>
    </w:p>
    <w:p w14:paraId="5468B21A" w14:textId="77777777" w:rsidR="00737F8A" w:rsidRPr="00AF23C0" w:rsidRDefault="00737F8A" w:rsidP="003B5EB6">
      <w:pPr>
        <w:spacing w:line="360" w:lineRule="auto"/>
        <w:ind w:left="851"/>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c) Conducta de la Autoridad: Las Acciones u omisiones realizadas en el procedimiento. Así como si la autoridad actuó con la debida diligencia.</w:t>
      </w:r>
    </w:p>
    <w:p w14:paraId="4F857546" w14:textId="77777777" w:rsidR="00737F8A" w:rsidRPr="00AF23C0" w:rsidRDefault="00737F8A" w:rsidP="003B5EB6">
      <w:pPr>
        <w:spacing w:line="360" w:lineRule="auto"/>
        <w:ind w:left="851"/>
        <w:contextualSpacing/>
        <w:jc w:val="both"/>
        <w:rPr>
          <w:rFonts w:ascii="Palatino Linotype" w:eastAsiaTheme="minorEastAsia" w:hAnsi="Palatino Linotype"/>
          <w:lang w:val="es-ES_tradnl" w:eastAsia="es-ES"/>
        </w:rPr>
      </w:pPr>
    </w:p>
    <w:p w14:paraId="4DF0D280" w14:textId="77777777" w:rsidR="00737F8A" w:rsidRPr="00AF23C0" w:rsidRDefault="00737F8A" w:rsidP="003B5EB6">
      <w:pPr>
        <w:spacing w:line="360" w:lineRule="auto"/>
        <w:ind w:left="851"/>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d) La afectación generada en la situación jurídica de la persona involucrada en el proceso: Violación a sus derechos humanos.</w:t>
      </w:r>
    </w:p>
    <w:p w14:paraId="2AC84AB3"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60E67278"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C23D57"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4DB7DA9E"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Argumento que encuentra sustento en la jurisprudencia P./J. 32/92 emitida por el Pleno de la Suprema Corte de Justicia de la Nación de rubro </w:t>
      </w:r>
      <w:r w:rsidRPr="00AF23C0">
        <w:rPr>
          <w:rFonts w:ascii="Palatino Linotype" w:eastAsiaTheme="minorEastAsia" w:hAnsi="Palatino Linotype"/>
          <w:i/>
          <w:lang w:val="es-ES_tradnl" w:eastAsia="es-ES"/>
        </w:rPr>
        <w:t>“TÉRMINOS PROCESALES. PARA DETERMINAR SI UN FUNCIONARIO JUDICIAL ACTUÓ INDEBIDAMENTE POR NO RESPETARLOS SE DEBE ATENDER AL PRESUPUESTO QUE CONSIDERÓ EL LEGISLADOR AL FIJARLOS Y LAS CARACTERÍSTICAS DEL CASO.”</w:t>
      </w:r>
      <w:r w:rsidRPr="00AF23C0">
        <w:rPr>
          <w:rFonts w:ascii="Palatino Linotype" w:eastAsiaTheme="minorEastAsia" w:hAnsi="Palatino Linotype"/>
          <w:lang w:val="es-ES_tradnl" w:eastAsia="es-ES"/>
        </w:rPr>
        <w:t>, visible en la Gaceta del Seminario Judicial de la Federación con el registro digital 205635.</w:t>
      </w:r>
    </w:p>
    <w:p w14:paraId="214AB917"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4AAB6B17"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3832FD"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6008E162"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14:paraId="4FBB65C3"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633BB8AA"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14:paraId="05282EE6"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719BD890" w14:textId="77777777" w:rsidR="00737F8A" w:rsidRPr="00AF23C0" w:rsidRDefault="00737F8A" w:rsidP="003B5EB6">
      <w:pPr>
        <w:spacing w:line="360" w:lineRule="auto"/>
        <w:ind w:left="851" w:right="822"/>
        <w:contextualSpacing/>
        <w:jc w:val="both"/>
        <w:rPr>
          <w:rFonts w:ascii="Palatino Linotype" w:eastAsiaTheme="minorEastAsia" w:hAnsi="Palatino Linotype"/>
          <w:lang w:val="es-ES_tradnl" w:eastAsia="es-ES"/>
        </w:rPr>
      </w:pPr>
      <w:r w:rsidRPr="00AF23C0">
        <w:rPr>
          <w:rFonts w:ascii="Palatino Linotype" w:eastAsiaTheme="minorEastAsia" w:hAnsi="Palatino Linotype"/>
          <w:i/>
          <w:lang w:val="es-ES_tradnl" w:eastAsia="es-ES"/>
        </w:rPr>
        <w:t>“PLAZO RAZONABLE PARA RESOLVER. DIMENSIÓN Y EFECTOS DE ESTE CONCEPTO CUANDO SE ADUCE EXCESIVA CARGA DE TRABAJO.”</w:t>
      </w:r>
      <w:r w:rsidRPr="00AF23C0">
        <w:rPr>
          <w:rFonts w:ascii="Palatino Linotype" w:eastAsiaTheme="minorEastAsia" w:hAnsi="Palatino Linotype"/>
          <w:lang w:val="es-ES_tradnl" w:eastAsia="es-ES"/>
        </w:rPr>
        <w:t xml:space="preserve"> consultable en el Seminario Judicial de la Federación y su gaceta, con el registro digital 2002351.</w:t>
      </w:r>
    </w:p>
    <w:p w14:paraId="02CFF032" w14:textId="77777777" w:rsidR="00737F8A" w:rsidRPr="00AF23C0" w:rsidRDefault="00737F8A" w:rsidP="003B5EB6">
      <w:pPr>
        <w:spacing w:line="360" w:lineRule="auto"/>
        <w:ind w:left="851" w:right="822"/>
        <w:contextualSpacing/>
        <w:jc w:val="both"/>
        <w:rPr>
          <w:rFonts w:ascii="Palatino Linotype" w:eastAsiaTheme="minorEastAsia" w:hAnsi="Palatino Linotype"/>
          <w:b/>
          <w:lang w:val="es-ES_tradnl" w:eastAsia="es-ES"/>
        </w:rPr>
      </w:pPr>
    </w:p>
    <w:p w14:paraId="7E3E6695" w14:textId="77777777" w:rsidR="00737F8A" w:rsidRPr="00AF23C0" w:rsidRDefault="00737F8A" w:rsidP="003B5EB6">
      <w:pPr>
        <w:spacing w:line="360" w:lineRule="auto"/>
        <w:ind w:left="851" w:right="822"/>
        <w:contextualSpacing/>
        <w:jc w:val="both"/>
        <w:rPr>
          <w:rFonts w:ascii="Palatino Linotype" w:eastAsiaTheme="minorEastAsia" w:hAnsi="Palatino Linotype"/>
          <w:lang w:val="es-ES_tradnl" w:eastAsia="es-ES"/>
        </w:rPr>
      </w:pPr>
      <w:r w:rsidRPr="00AF23C0">
        <w:rPr>
          <w:rFonts w:ascii="Palatino Linotype" w:eastAsiaTheme="minorEastAsia" w:hAnsi="Palatino Linotype"/>
          <w:i/>
          <w:lang w:val="es-ES_tradnl" w:eastAsia="es-ES"/>
        </w:rPr>
        <w:t>“PLAZO RAZONABLE PARA RESOLVER. CONCEPTO Y ELEMENTOS QUE LO INTEGRAN A LA LUZ DEL DERECHO INTERNACIONAL DE LOS DERECHOS HUMANOS.”</w:t>
      </w:r>
      <w:r w:rsidRPr="00AF23C0">
        <w:rPr>
          <w:rFonts w:ascii="Palatino Linotype" w:eastAsiaTheme="minorEastAsia" w:hAnsi="Palatino Linotype"/>
          <w:lang w:val="es-ES_tradnl" w:eastAsia="es-ES"/>
        </w:rPr>
        <w:t>, visible en el Seminario Judicial de la Federación y su gaceta, con el registro digital 2002350.</w:t>
      </w:r>
    </w:p>
    <w:p w14:paraId="3AF259B8"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7E68AE7F" w14:textId="77777777" w:rsidR="00737F8A" w:rsidRPr="00AF23C0"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23C0">
        <w:rPr>
          <w:rFonts w:ascii="Palatino Linotype" w:eastAsiaTheme="minorEastAsia" w:hAnsi="Palatino Linotype"/>
          <w:lang w:val="es-ES_tradnl" w:eastAsia="es-ES"/>
        </w:rPr>
        <w:t xml:space="preserve">Por ello, este Organismo Garante comprometido con la tutela de los derechos humanos confiados, señala que este exceso de plazo legal para resolver el presente asunto, resulta de carácter excepcional. </w:t>
      </w:r>
    </w:p>
    <w:p w14:paraId="10FB495B" w14:textId="77777777" w:rsidR="00737F8A" w:rsidRPr="00AF23C0" w:rsidRDefault="00737F8A" w:rsidP="003B5EB6">
      <w:pPr>
        <w:spacing w:line="360" w:lineRule="auto"/>
        <w:contextualSpacing/>
        <w:jc w:val="both"/>
        <w:rPr>
          <w:rFonts w:ascii="Palatino Linotype" w:eastAsiaTheme="minorEastAsia" w:hAnsi="Palatino Linotype"/>
          <w:lang w:val="es-ES_tradnl" w:eastAsia="es-ES"/>
        </w:rPr>
      </w:pPr>
    </w:p>
    <w:p w14:paraId="1339EE6B" w14:textId="77777777" w:rsidR="00737F8A" w:rsidRPr="00AF23C0" w:rsidRDefault="00711979" w:rsidP="003B5EB6">
      <w:pPr>
        <w:numPr>
          <w:ilvl w:val="0"/>
          <w:numId w:val="1"/>
        </w:numPr>
        <w:tabs>
          <w:tab w:val="left" w:pos="426"/>
        </w:tabs>
        <w:spacing w:line="360" w:lineRule="auto"/>
        <w:ind w:left="0" w:firstLine="0"/>
        <w:contextualSpacing/>
        <w:jc w:val="both"/>
        <w:rPr>
          <w:rFonts w:ascii="Palatino Linotype" w:eastAsia="MS Mincho" w:hAnsi="Palatino Linotype"/>
        </w:rPr>
      </w:pPr>
      <w:r w:rsidRPr="00AF23C0">
        <w:rPr>
          <w:rFonts w:ascii="Palatino Linotype" w:eastAsiaTheme="minorEastAsia" w:hAnsi="Palatino Linotype"/>
          <w:lang w:val="es-ES_tradnl" w:eastAsia="es-ES"/>
        </w:rPr>
        <w:lastRenderedPageBreak/>
        <w:t xml:space="preserve">En fecha diecisiete </w:t>
      </w:r>
      <w:r w:rsidR="008F5665" w:rsidRPr="00AF23C0">
        <w:rPr>
          <w:rFonts w:ascii="Palatino Linotype" w:eastAsiaTheme="minorEastAsia" w:hAnsi="Palatino Linotype"/>
          <w:lang w:val="es-ES_tradnl" w:eastAsia="es-ES"/>
        </w:rPr>
        <w:t xml:space="preserve">de </w:t>
      </w:r>
      <w:r w:rsidR="009B5C00" w:rsidRPr="00AF23C0">
        <w:rPr>
          <w:rFonts w:ascii="Palatino Linotype" w:eastAsiaTheme="minorEastAsia" w:hAnsi="Palatino Linotype"/>
          <w:lang w:val="es-ES_tradnl" w:eastAsia="es-ES"/>
        </w:rPr>
        <w:t>enero de dos mil veinticuatro</w:t>
      </w:r>
      <w:r w:rsidR="008F5665" w:rsidRPr="00AF23C0">
        <w:rPr>
          <w:rFonts w:ascii="Palatino Linotype" w:eastAsiaTheme="minorEastAsia" w:hAnsi="Palatino Linotype"/>
          <w:lang w:val="es-ES_tradnl" w:eastAsia="es-ES"/>
        </w:rPr>
        <w:t>, la Comisionada</w:t>
      </w:r>
      <w:r w:rsidR="00737F8A" w:rsidRPr="00AF23C0">
        <w:rPr>
          <w:rFonts w:ascii="Palatino Linotype" w:eastAsiaTheme="minorEastAsia" w:hAnsi="Palatino Linotype"/>
          <w:lang w:val="es-ES_tradnl" w:eastAsia="es-ES"/>
        </w:rPr>
        <w:t xml:space="preserve"> Ponente decretó el cierre de instrucción</w:t>
      </w:r>
      <w:r w:rsidR="008F5665" w:rsidRPr="00AF23C0">
        <w:rPr>
          <w:rFonts w:ascii="Palatino Linotype" w:eastAsiaTheme="minorEastAsia" w:hAnsi="Palatino Linotype"/>
          <w:lang w:val="es-ES_tradnl" w:eastAsia="es-ES"/>
        </w:rPr>
        <w:t xml:space="preserve"> </w:t>
      </w:r>
      <w:r w:rsidR="008F5665" w:rsidRPr="00AF23C0">
        <w:rPr>
          <w:rFonts w:ascii="Palatino Linotype" w:hAnsi="Palatino Linotype"/>
        </w:rPr>
        <w:t xml:space="preserve">y al no existir diligencias por realizar y se turnó el expediente a resolución correspondiente, por lo que no habiendo más que hacer constar, y </w:t>
      </w:r>
      <w:r w:rsidR="008F5665" w:rsidRPr="00AF23C0">
        <w:rPr>
          <w:rFonts w:ascii="Palatino Linotype" w:hAnsi="Palatino Linotype" w:cs="Arial"/>
        </w:rPr>
        <w:t>---------------------------------------------------------------------------------------------------</w:t>
      </w:r>
    </w:p>
    <w:p w14:paraId="307C47DA" w14:textId="77777777" w:rsidR="00737F8A" w:rsidRPr="00AF23C0" w:rsidRDefault="00737F8A" w:rsidP="003B5EB6">
      <w:pPr>
        <w:spacing w:line="360" w:lineRule="auto"/>
        <w:contextualSpacing/>
        <w:jc w:val="both"/>
        <w:rPr>
          <w:rFonts w:ascii="Palatino Linotype" w:eastAsiaTheme="minorEastAsia" w:hAnsi="Palatino Linotype"/>
          <w:b/>
          <w:u w:val="single"/>
          <w:lang w:val="es-ES_tradnl" w:eastAsia="es-ES"/>
        </w:rPr>
      </w:pPr>
    </w:p>
    <w:p w14:paraId="2ADD4CE4" w14:textId="77777777" w:rsidR="00737F8A" w:rsidRPr="00AF23C0" w:rsidRDefault="00737F8A" w:rsidP="003B5EB6">
      <w:pPr>
        <w:keepNext/>
        <w:keepLines/>
        <w:spacing w:line="360" w:lineRule="auto"/>
        <w:jc w:val="center"/>
        <w:outlineLvl w:val="0"/>
        <w:rPr>
          <w:rFonts w:ascii="Palatino Linotype" w:eastAsiaTheme="majorEastAsia" w:hAnsi="Palatino Linotype" w:cstheme="majorBidi"/>
        </w:rPr>
      </w:pPr>
      <w:bookmarkStart w:id="1" w:name="_Toc83301634"/>
      <w:r w:rsidRPr="00AF23C0">
        <w:rPr>
          <w:rFonts w:ascii="Palatino Linotype" w:eastAsiaTheme="majorEastAsia" w:hAnsi="Palatino Linotype" w:cstheme="majorBidi"/>
          <w:b/>
        </w:rPr>
        <w:t>CONSIDERANDO</w:t>
      </w:r>
      <w:bookmarkEnd w:id="1"/>
      <w:r w:rsidRPr="00AF23C0">
        <w:rPr>
          <w:rFonts w:ascii="Palatino Linotype" w:eastAsiaTheme="majorEastAsia" w:hAnsi="Palatino Linotype" w:cstheme="majorBidi"/>
          <w:b/>
        </w:rPr>
        <w:t xml:space="preserve"> </w:t>
      </w:r>
    </w:p>
    <w:p w14:paraId="06DB8060" w14:textId="77777777" w:rsidR="00737F8A" w:rsidRPr="00AF23C0" w:rsidRDefault="00737F8A" w:rsidP="003B5EB6">
      <w:pPr>
        <w:spacing w:line="360" w:lineRule="auto"/>
        <w:rPr>
          <w:rFonts w:ascii="Palatino Linotype" w:eastAsiaTheme="minorEastAsia" w:hAnsi="Palatino Linotype"/>
        </w:rPr>
      </w:pPr>
    </w:p>
    <w:p w14:paraId="2DD8A989" w14:textId="77777777" w:rsidR="009C03E3" w:rsidRPr="00AF23C0" w:rsidRDefault="00737F8A" w:rsidP="003B5EB6">
      <w:pPr>
        <w:keepNext/>
        <w:keepLines/>
        <w:spacing w:line="360" w:lineRule="auto"/>
        <w:outlineLvl w:val="1"/>
        <w:rPr>
          <w:rFonts w:ascii="Palatino Linotype" w:eastAsiaTheme="majorEastAsia" w:hAnsi="Palatino Linotype" w:cstheme="majorBidi"/>
          <w:b/>
        </w:rPr>
      </w:pPr>
      <w:bookmarkStart w:id="2" w:name="_Toc83301635"/>
      <w:r w:rsidRPr="00AF23C0">
        <w:rPr>
          <w:rFonts w:ascii="Palatino Linotype" w:eastAsiaTheme="majorEastAsia" w:hAnsi="Palatino Linotype" w:cstheme="majorBidi"/>
          <w:b/>
        </w:rPr>
        <w:t>PRIMERO. De la competencia</w:t>
      </w:r>
      <w:bookmarkEnd w:id="2"/>
    </w:p>
    <w:p w14:paraId="6BECAB42" w14:textId="77777777" w:rsidR="009C03E3" w:rsidRPr="00AF23C0" w:rsidRDefault="009C03E3" w:rsidP="009C03E3">
      <w:pPr>
        <w:rPr>
          <w:rFonts w:eastAsiaTheme="majorEastAsia"/>
        </w:rPr>
      </w:pPr>
    </w:p>
    <w:p w14:paraId="7172EF8C" w14:textId="77777777" w:rsidR="009C03E3" w:rsidRPr="00AF23C0" w:rsidRDefault="009C03E3" w:rsidP="009C03E3">
      <w:pPr>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AF23C0">
        <w:rPr>
          <w:rFonts w:ascii="Palatino Linotype" w:hAnsi="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15CAF57" w14:textId="77777777" w:rsidR="009C03E3" w:rsidRPr="00AF23C0" w:rsidRDefault="009C03E3" w:rsidP="009C03E3">
      <w:pPr>
        <w:tabs>
          <w:tab w:val="left" w:pos="426"/>
        </w:tabs>
        <w:spacing w:line="360" w:lineRule="auto"/>
        <w:contextualSpacing/>
        <w:jc w:val="both"/>
        <w:rPr>
          <w:rFonts w:ascii="Palatino Linotype" w:hAnsi="Palatino Linotype"/>
          <w:color w:val="000000" w:themeColor="text1"/>
        </w:rPr>
      </w:pPr>
    </w:p>
    <w:p w14:paraId="3BBF8295" w14:textId="77777777" w:rsidR="00737F8A" w:rsidRPr="00AF23C0" w:rsidRDefault="00737F8A" w:rsidP="003B5EB6">
      <w:pPr>
        <w:keepNext/>
        <w:keepLines/>
        <w:spacing w:line="360" w:lineRule="auto"/>
        <w:outlineLvl w:val="1"/>
        <w:rPr>
          <w:rFonts w:ascii="Palatino Linotype" w:eastAsiaTheme="majorEastAsia" w:hAnsi="Palatino Linotype" w:cstheme="majorBidi"/>
          <w:b/>
        </w:rPr>
      </w:pPr>
      <w:bookmarkStart w:id="3" w:name="_Toc83301636"/>
      <w:r w:rsidRPr="00AF23C0">
        <w:rPr>
          <w:rFonts w:ascii="Palatino Linotype" w:eastAsiaTheme="majorEastAsia" w:hAnsi="Palatino Linotype" w:cstheme="majorBidi"/>
          <w:b/>
        </w:rPr>
        <w:t>SEGUNDO. De la oportunidad y procedencia.</w:t>
      </w:r>
      <w:bookmarkEnd w:id="3"/>
    </w:p>
    <w:p w14:paraId="3D017023" w14:textId="77777777" w:rsidR="00737F8A" w:rsidRPr="00AF23C0" w:rsidRDefault="00737F8A" w:rsidP="003B5EB6">
      <w:pPr>
        <w:spacing w:line="360" w:lineRule="auto"/>
        <w:rPr>
          <w:rFonts w:ascii="Palatino Linotype" w:eastAsiaTheme="minorEastAsia" w:hAnsi="Palatino Linotype"/>
        </w:rPr>
      </w:pPr>
    </w:p>
    <w:p w14:paraId="7B37B8AA" w14:textId="77777777" w:rsidR="005B5936" w:rsidRPr="00AF23C0" w:rsidRDefault="005B5936" w:rsidP="003B5EB6">
      <w:pPr>
        <w:numPr>
          <w:ilvl w:val="0"/>
          <w:numId w:val="1"/>
        </w:numPr>
        <w:spacing w:line="360" w:lineRule="auto"/>
        <w:ind w:left="0" w:right="48" w:firstLine="0"/>
        <w:contextualSpacing/>
        <w:jc w:val="both"/>
        <w:rPr>
          <w:rFonts w:ascii="Palatino Linotype" w:hAnsi="Palatino Linotype"/>
        </w:rPr>
      </w:pPr>
      <w:r w:rsidRPr="00AF23C0">
        <w:rPr>
          <w:rFonts w:ascii="Palatino Linotype" w:eastAsia="Calibri" w:hAnsi="Palatino Linotype" w:cs="Arial"/>
        </w:rPr>
        <w:t xml:space="preserve">El medio de impugnación fue presentado a través del </w:t>
      </w:r>
      <w:r w:rsidRPr="00AF23C0">
        <w:rPr>
          <w:rFonts w:ascii="Palatino Linotype" w:eastAsia="Calibri" w:hAnsi="Palatino Linotype" w:cs="Arial"/>
          <w:b/>
        </w:rPr>
        <w:t>SAIMEX,</w:t>
      </w:r>
      <w:r w:rsidRPr="00AF23C0">
        <w:rPr>
          <w:rFonts w:ascii="Palatino Linotype" w:eastAsia="Calibri" w:hAnsi="Palatino Linotype" w:cs="Arial"/>
        </w:rPr>
        <w:t xml:space="preserve"> en el formato previamente aprobado para tal efecto y dentro del plazo legal de quince días hábiles </w:t>
      </w:r>
      <w:r w:rsidRPr="00AF23C0">
        <w:rPr>
          <w:rFonts w:ascii="Palatino Linotype" w:eastAsia="Calibri" w:hAnsi="Palatino Linotype" w:cs="Arial"/>
        </w:rPr>
        <w:lastRenderedPageBreak/>
        <w:t xml:space="preserve">otorgados; para el caso en particular es de señalar que el </w:t>
      </w:r>
      <w:r w:rsidRPr="00AF23C0">
        <w:rPr>
          <w:rFonts w:ascii="Palatino Linotype" w:eastAsia="Calibri" w:hAnsi="Palatino Linotype" w:cs="Arial"/>
          <w:b/>
        </w:rPr>
        <w:t>SUJETO OBLIGADO</w:t>
      </w:r>
      <w:r w:rsidRPr="00AF23C0">
        <w:rPr>
          <w:rFonts w:ascii="Palatino Linotype" w:eastAsia="Calibri" w:hAnsi="Palatino Linotype" w:cs="Arial"/>
        </w:rPr>
        <w:t xml:space="preserve"> entregó respuesta el </w:t>
      </w:r>
      <w:r w:rsidR="00711979" w:rsidRPr="00AF23C0">
        <w:rPr>
          <w:rFonts w:ascii="Palatino Linotype" w:eastAsia="Calibri" w:hAnsi="Palatino Linotype" w:cs="Arial"/>
        </w:rPr>
        <w:t>veinte de junio</w:t>
      </w:r>
      <w:r w:rsidR="008F5665" w:rsidRPr="00AF23C0">
        <w:rPr>
          <w:rFonts w:ascii="Palatino Linotype" w:eastAsia="Calibri" w:hAnsi="Palatino Linotype" w:cs="Arial"/>
        </w:rPr>
        <w:t xml:space="preserve"> de dos mil veintitrés</w:t>
      </w:r>
      <w:r w:rsidRPr="00AF23C0">
        <w:rPr>
          <w:rFonts w:ascii="Palatino Linotype" w:eastAsia="Calibri" w:hAnsi="Palatino Linotype" w:cs="Arial"/>
        </w:rPr>
        <w:t xml:space="preserve">, </w:t>
      </w:r>
      <w:r w:rsidRPr="00AF23C0">
        <w:rPr>
          <w:rFonts w:ascii="Palatino Linotype" w:hAnsi="Palatino Linotype" w:cs="Arial"/>
        </w:rPr>
        <w:t xml:space="preserve">de tal forma que el plazo para interponer el recurso transcurrió del día </w:t>
      </w:r>
      <w:r w:rsidR="00711979" w:rsidRPr="00AF23C0">
        <w:rPr>
          <w:rFonts w:ascii="Palatino Linotype" w:hAnsi="Palatino Linotype" w:cs="Arial"/>
        </w:rPr>
        <w:t>veintiuno de junio</w:t>
      </w:r>
      <w:r w:rsidR="009B5C00" w:rsidRPr="00AF23C0">
        <w:rPr>
          <w:rFonts w:ascii="Palatino Linotype" w:hAnsi="Palatino Linotype" w:cs="Arial"/>
        </w:rPr>
        <w:t xml:space="preserve"> de dos mil veintitrés al </w:t>
      </w:r>
      <w:r w:rsidR="00711979" w:rsidRPr="00AF23C0">
        <w:rPr>
          <w:rFonts w:ascii="Palatino Linotype" w:hAnsi="Palatino Linotype" w:cs="Arial"/>
        </w:rPr>
        <w:t>once de julio</w:t>
      </w:r>
      <w:r w:rsidR="008F5665" w:rsidRPr="00AF23C0">
        <w:rPr>
          <w:rFonts w:ascii="Palatino Linotype" w:hAnsi="Palatino Linotype" w:cs="Arial"/>
        </w:rPr>
        <w:t xml:space="preserve"> de dos mil veintitrés</w:t>
      </w:r>
      <w:r w:rsidRPr="00AF23C0">
        <w:rPr>
          <w:rFonts w:ascii="Palatino Linotype" w:hAnsi="Palatino Linotype" w:cs="Arial"/>
        </w:rPr>
        <w:t xml:space="preserve">; en consecuencia, si el </w:t>
      </w:r>
      <w:r w:rsidR="009B5C00" w:rsidRPr="00AF23C0">
        <w:rPr>
          <w:rFonts w:ascii="Palatino Linotype" w:hAnsi="Palatino Linotype" w:cs="Arial"/>
          <w:b/>
        </w:rPr>
        <w:t>PARTICULAR</w:t>
      </w:r>
      <w:r w:rsidRPr="00AF23C0">
        <w:rPr>
          <w:rFonts w:ascii="Palatino Linotype" w:hAnsi="Palatino Linotype" w:cs="Arial"/>
        </w:rPr>
        <w:t xml:space="preserve"> presentó s</w:t>
      </w:r>
      <w:r w:rsidR="008F5665" w:rsidRPr="00AF23C0">
        <w:rPr>
          <w:rFonts w:ascii="Palatino Linotype" w:hAnsi="Palatino Linotype" w:cs="Arial"/>
        </w:rPr>
        <w:t xml:space="preserve">u inconformidad </w:t>
      </w:r>
      <w:r w:rsidR="00711979" w:rsidRPr="00AF23C0">
        <w:rPr>
          <w:rFonts w:ascii="Palatino Linotype" w:hAnsi="Palatino Linotype" w:cs="Arial"/>
        </w:rPr>
        <w:t xml:space="preserve">el día seis de julio </w:t>
      </w:r>
      <w:r w:rsidR="005D47E3" w:rsidRPr="00AF23C0">
        <w:rPr>
          <w:rFonts w:ascii="Palatino Linotype" w:hAnsi="Palatino Linotype" w:cs="Arial"/>
        </w:rPr>
        <w:t>de</w:t>
      </w:r>
      <w:r w:rsidR="008F5665" w:rsidRPr="00AF23C0">
        <w:rPr>
          <w:rFonts w:ascii="Palatino Linotype" w:hAnsi="Palatino Linotype" w:cs="Arial"/>
        </w:rPr>
        <w:t xml:space="preserve"> dos mil veintitrés</w:t>
      </w:r>
      <w:r w:rsidRPr="00AF23C0">
        <w:rPr>
          <w:rFonts w:ascii="Palatino Linotype" w:hAnsi="Palatino Linotype" w:cs="Arial"/>
        </w:rPr>
        <w:t>,</w:t>
      </w:r>
      <w:r w:rsidR="008F5665" w:rsidRPr="00AF23C0">
        <w:rPr>
          <w:rFonts w:ascii="Palatino Linotype" w:hAnsi="Palatino Linotype" w:cs="Arial"/>
        </w:rPr>
        <w:t xml:space="preserve"> este </w:t>
      </w:r>
      <w:r w:rsidRPr="00AF23C0">
        <w:rPr>
          <w:rFonts w:ascii="Palatino Linotype" w:hAnsi="Palatino Linotype" w:cs="Arial"/>
        </w:rPr>
        <w:t xml:space="preserve"> se encuentra dentro de los márgenes temporales previstos en el artículo 178 de la </w:t>
      </w:r>
      <w:r w:rsidRPr="00AF23C0">
        <w:rPr>
          <w:rFonts w:ascii="Palatino Linotype" w:hAnsi="Palatino Linotype" w:cs="Arial"/>
          <w:b/>
        </w:rPr>
        <w:t xml:space="preserve">Ley de Transparencia y Acceso a la Información Pública del Estado de México y Municipios </w:t>
      </w:r>
      <w:r w:rsidRPr="00AF23C0">
        <w:rPr>
          <w:rFonts w:ascii="Palatino Linotype" w:hAnsi="Palatino Linotype" w:cs="Arial"/>
        </w:rPr>
        <w:t xml:space="preserve">vigente. </w:t>
      </w:r>
    </w:p>
    <w:p w14:paraId="23B45CAD" w14:textId="77777777" w:rsidR="00737F8A" w:rsidRPr="00AF23C0" w:rsidRDefault="00737F8A" w:rsidP="003B5EB6">
      <w:pPr>
        <w:spacing w:line="360" w:lineRule="auto"/>
        <w:ind w:right="49"/>
        <w:contextualSpacing/>
        <w:jc w:val="both"/>
        <w:rPr>
          <w:rFonts w:ascii="Palatino Linotype" w:eastAsiaTheme="minorEastAsia" w:hAnsi="Palatino Linotype"/>
          <w:lang w:val="es-ES_tradnl" w:eastAsia="es-ES"/>
        </w:rPr>
      </w:pPr>
    </w:p>
    <w:p w14:paraId="595429B2" w14:textId="77777777" w:rsidR="00737F8A" w:rsidRPr="00AF23C0" w:rsidRDefault="00737F8A" w:rsidP="003B5EB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23C0">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 w:name="_Toc452722829"/>
      <w:bookmarkStart w:id="5" w:name="_Toc454373811"/>
      <w:bookmarkStart w:id="6" w:name="_Toc476675991"/>
    </w:p>
    <w:p w14:paraId="0CD06B22" w14:textId="77777777" w:rsidR="00537748" w:rsidRPr="00D1179C" w:rsidRDefault="00537748" w:rsidP="003B5EB6">
      <w:pPr>
        <w:spacing w:line="360" w:lineRule="auto"/>
        <w:ind w:right="49"/>
        <w:contextualSpacing/>
        <w:jc w:val="both"/>
        <w:rPr>
          <w:rFonts w:ascii="Palatino Linotype" w:eastAsiaTheme="minorEastAsia" w:hAnsi="Palatino Linotype"/>
          <w:lang w:val="es-ES_tradnl" w:eastAsia="es-ES"/>
        </w:rPr>
      </w:pPr>
    </w:p>
    <w:p w14:paraId="32AAA62F" w14:textId="77777777" w:rsidR="004444F2" w:rsidRPr="00D1179C" w:rsidRDefault="00737F8A" w:rsidP="00D1179C">
      <w:pPr>
        <w:pStyle w:val="Ttulo2"/>
        <w:rPr>
          <w:rFonts w:ascii="Palatino Linotype" w:eastAsia="MS Gothic" w:hAnsi="Palatino Linotype"/>
          <w:b/>
          <w:color w:val="auto"/>
          <w:lang w:val="es-ES_tradnl"/>
        </w:rPr>
      </w:pPr>
      <w:bookmarkStart w:id="7" w:name="_Toc65713731"/>
      <w:bookmarkStart w:id="8" w:name="_Toc94119614"/>
      <w:r w:rsidRPr="00D1179C">
        <w:rPr>
          <w:rFonts w:ascii="Palatino Linotype" w:eastAsia="MS Gothic" w:hAnsi="Palatino Linotype"/>
          <w:b/>
          <w:color w:val="auto"/>
          <w:lang w:val="es-ES_tradnl"/>
        </w:rPr>
        <w:t xml:space="preserve">TERCERO. </w:t>
      </w:r>
      <w:bookmarkEnd w:id="7"/>
      <w:bookmarkEnd w:id="8"/>
      <w:r w:rsidR="00D1179C" w:rsidRPr="00D1179C">
        <w:rPr>
          <w:rFonts w:ascii="Palatino Linotype" w:hAnsi="Palatino Linotype"/>
          <w:b/>
          <w:color w:val="auto"/>
        </w:rPr>
        <w:t>De las causales del sobreseimiento.</w:t>
      </w:r>
    </w:p>
    <w:p w14:paraId="57B620B4" w14:textId="77777777" w:rsidR="00D1179C" w:rsidRDefault="00D1179C" w:rsidP="00D1179C">
      <w:pPr>
        <w:spacing w:line="360" w:lineRule="auto"/>
        <w:ind w:right="49"/>
        <w:contextualSpacing/>
        <w:jc w:val="both"/>
        <w:rPr>
          <w:rFonts w:ascii="Palatino Linotype" w:eastAsia="Palatino Linotype" w:hAnsi="Palatino Linotype" w:cs="Palatino Linotype"/>
          <w:lang w:val="es-ES" w:eastAsia="es-ES"/>
        </w:rPr>
      </w:pPr>
    </w:p>
    <w:p w14:paraId="01118C1C" w14:textId="77777777" w:rsidR="00D1179C" w:rsidRPr="00D1179C" w:rsidRDefault="00D1179C" w:rsidP="00D1179C">
      <w:pPr>
        <w:numPr>
          <w:ilvl w:val="0"/>
          <w:numId w:val="1"/>
        </w:numPr>
        <w:spacing w:line="360" w:lineRule="auto"/>
        <w:ind w:left="0" w:right="49" w:firstLine="0"/>
        <w:contextualSpacing/>
        <w:jc w:val="both"/>
        <w:rPr>
          <w:rFonts w:ascii="Palatino Linotype" w:eastAsia="Palatino Linotype" w:hAnsi="Palatino Linotype" w:cs="Palatino Linotype"/>
          <w:lang w:val="es-ES" w:eastAsia="es-ES"/>
        </w:rPr>
      </w:pPr>
      <w:r w:rsidRPr="00D1179C">
        <w:rPr>
          <w:rFonts w:ascii="Palatino Linotype" w:eastAsia="Calibri" w:hAnsi="Palatino Linotype" w:cs="Tahoma"/>
          <w:iCs/>
          <w:lang w:val="es-ES" w:eastAsia="es-ES_tradnl"/>
        </w:rPr>
        <w:t xml:space="preserve">El </w:t>
      </w:r>
      <w:r w:rsidRPr="00D1179C">
        <w:rPr>
          <w:rFonts w:ascii="Palatino Linotype" w:hAnsi="Palatino Linotype" w:cs="Arial"/>
          <w:szCs w:val="23"/>
        </w:rPr>
        <w:t xml:space="preserve">recurso revisión tiene como finalidad reparar cualquier posible afectación al Derecho de Acceso a la Información Pública en términos del Título Octavo de la Ley de </w:t>
      </w:r>
      <w:r w:rsidRPr="00D1179C">
        <w:rPr>
          <w:rFonts w:ascii="Palatino Linotype" w:eastAsia="Calibri" w:hAnsi="Palatino Linotype" w:cs="Arial"/>
        </w:rPr>
        <w:t>Transparencia, Acceso a la Información Pública del Estado de México y Municipios</w:t>
      </w:r>
      <w:r w:rsidRPr="00D1179C">
        <w:rPr>
          <w:rFonts w:ascii="Palatino Linotype" w:hAnsi="Palatino Linotype" w:cs="Arial"/>
          <w:szCs w:val="23"/>
        </w:rPr>
        <w:t xml:space="preserve">, y determinar la confirmación; revocación o modificación; desechamiento o </w:t>
      </w:r>
      <w:r w:rsidRPr="00D1179C">
        <w:rPr>
          <w:rFonts w:ascii="Palatino Linotype" w:hAnsi="Palatino Linotype" w:cs="Arial"/>
          <w:b/>
          <w:u w:val="single"/>
        </w:rPr>
        <w:t>sobreseimiento</w:t>
      </w:r>
      <w:r w:rsidRPr="00D1179C">
        <w:rPr>
          <w:rFonts w:ascii="Palatino Linotype" w:hAnsi="Palatino Linotype" w:cs="Arial"/>
        </w:rPr>
        <w:t xml:space="preserve">; y, en su caso, ordenar la entrega de la información respecto a la falta de respuesta por parte del </w:t>
      </w:r>
      <w:r w:rsidRPr="00D1179C">
        <w:rPr>
          <w:rFonts w:ascii="Palatino Linotype" w:hAnsi="Palatino Linotype" w:cs="Arial"/>
          <w:b/>
        </w:rPr>
        <w:t>SUJETO</w:t>
      </w:r>
      <w:r w:rsidRPr="00D1179C">
        <w:rPr>
          <w:rFonts w:ascii="Palatino Linotype" w:hAnsi="Palatino Linotype" w:cs="Arial"/>
        </w:rPr>
        <w:t xml:space="preserve"> </w:t>
      </w:r>
      <w:r w:rsidRPr="00D1179C">
        <w:rPr>
          <w:rFonts w:ascii="Palatino Linotype" w:hAnsi="Palatino Linotype" w:cs="Arial"/>
          <w:b/>
        </w:rPr>
        <w:t>OBLIGADO</w:t>
      </w:r>
      <w:r w:rsidRPr="00D1179C">
        <w:rPr>
          <w:rFonts w:ascii="Palatino Linotype" w:hAnsi="Palatino Linotype" w:cs="Arial"/>
        </w:rPr>
        <w:t>.</w:t>
      </w:r>
    </w:p>
    <w:p w14:paraId="1938C52C" w14:textId="77777777" w:rsidR="00D1179C" w:rsidRPr="00586F37" w:rsidRDefault="00D1179C" w:rsidP="00D1179C">
      <w:pPr>
        <w:pStyle w:val="Prrafodelista"/>
        <w:spacing w:line="360" w:lineRule="auto"/>
        <w:ind w:left="0" w:right="49"/>
        <w:jc w:val="both"/>
        <w:rPr>
          <w:rFonts w:ascii="Palatino Linotype" w:eastAsia="Calibri" w:hAnsi="Palatino Linotype" w:cs="Tahoma"/>
          <w:iCs/>
          <w:sz w:val="24"/>
          <w:lang w:val="es-ES" w:eastAsia="es-ES_tradnl"/>
        </w:rPr>
      </w:pPr>
    </w:p>
    <w:p w14:paraId="31F0E8E7" w14:textId="77777777" w:rsidR="00D1179C" w:rsidRPr="00DE2189" w:rsidRDefault="00D1179C" w:rsidP="00D1179C">
      <w:pPr>
        <w:pStyle w:val="Prrafodelista"/>
        <w:numPr>
          <w:ilvl w:val="0"/>
          <w:numId w:val="1"/>
        </w:numPr>
        <w:spacing w:line="360" w:lineRule="auto"/>
        <w:ind w:left="0" w:right="49" w:firstLine="0"/>
        <w:jc w:val="both"/>
        <w:rPr>
          <w:rFonts w:ascii="Palatino Linotype" w:eastAsia="Calibri" w:hAnsi="Palatino Linotype" w:cs="Tahoma"/>
          <w:sz w:val="24"/>
          <w:lang w:val="es-ES" w:eastAsia="es-ES_tradnl"/>
        </w:rPr>
      </w:pPr>
      <w:r w:rsidRPr="0063625D">
        <w:rPr>
          <w:rFonts w:ascii="Palatino Linotype" w:eastAsia="Calibri" w:hAnsi="Palatino Linotype" w:cs="Tahoma"/>
          <w:iCs/>
          <w:sz w:val="24"/>
          <w:lang w:val="es-ES" w:eastAsia="es-ES_tradnl"/>
        </w:rPr>
        <w:t xml:space="preserve">De </w:t>
      </w:r>
      <w:r w:rsidRPr="0063625D">
        <w:rPr>
          <w:rFonts w:ascii="Palatino Linotype" w:eastAsia="Calibri" w:hAnsi="Palatino Linotype"/>
          <w:sz w:val="24"/>
        </w:rPr>
        <w:t xml:space="preserve">acuerdo con el precepto legal contenido en la fracción IV del artículo 192 de la </w:t>
      </w:r>
      <w:r w:rsidRPr="0063625D">
        <w:rPr>
          <w:rFonts w:ascii="Palatino Linotype" w:eastAsia="Calibri" w:hAnsi="Palatino Linotype"/>
          <w:b/>
          <w:sz w:val="24"/>
        </w:rPr>
        <w:t xml:space="preserve">Ley de Transparencia y Acceso a la Información Pública del Estado de México y </w:t>
      </w:r>
      <w:r w:rsidRPr="0063625D">
        <w:rPr>
          <w:rFonts w:ascii="Palatino Linotype" w:eastAsia="Calibri" w:hAnsi="Palatino Linotype"/>
          <w:b/>
          <w:sz w:val="24"/>
        </w:rPr>
        <w:lastRenderedPageBreak/>
        <w:t>Municipios</w:t>
      </w:r>
      <w:r w:rsidRPr="0063625D">
        <w:rPr>
          <w:rFonts w:ascii="Palatino Linotype" w:eastAsia="Calibri" w:hAnsi="Palatino Linotype"/>
          <w:sz w:val="24"/>
        </w:rPr>
        <w:t>, el recurso será sobreseído, cuando una vez admitido, aparezca alguna causal de improcedencia en términos de la misma Ley.</w:t>
      </w:r>
    </w:p>
    <w:p w14:paraId="0223A294" w14:textId="77777777" w:rsidR="00D1179C" w:rsidRDefault="00D1179C" w:rsidP="00D1179C">
      <w:pPr>
        <w:pStyle w:val="Prrafodelista"/>
        <w:spacing w:line="360" w:lineRule="auto"/>
        <w:ind w:left="0" w:right="-28"/>
        <w:jc w:val="both"/>
        <w:rPr>
          <w:rFonts w:ascii="Palatino Linotype" w:eastAsia="Calibri" w:hAnsi="Palatino Linotype" w:cs="Tahoma"/>
          <w:sz w:val="24"/>
          <w:lang w:val="es-ES" w:eastAsia="es-ES_tradnl"/>
        </w:rPr>
      </w:pPr>
    </w:p>
    <w:p w14:paraId="2C20A986" w14:textId="77777777" w:rsidR="00D1179C" w:rsidRPr="00D1179C" w:rsidRDefault="00D1179C" w:rsidP="00D1179C">
      <w:pPr>
        <w:pStyle w:val="Prrafodelista"/>
        <w:numPr>
          <w:ilvl w:val="1"/>
          <w:numId w:val="1"/>
        </w:numPr>
        <w:spacing w:line="360" w:lineRule="auto"/>
        <w:ind w:left="1134" w:right="-28" w:hanging="567"/>
        <w:jc w:val="both"/>
        <w:rPr>
          <w:rFonts w:ascii="Palatino Linotype" w:eastAsiaTheme="majorEastAsia" w:hAnsi="Palatino Linotype" w:cstheme="majorBidi"/>
          <w:b/>
          <w:iCs/>
        </w:rPr>
      </w:pPr>
      <w:bookmarkStart w:id="9" w:name="_Toc365136"/>
      <w:r w:rsidRPr="00D1179C">
        <w:rPr>
          <w:rFonts w:ascii="Palatino Linotype" w:eastAsiaTheme="majorEastAsia" w:hAnsi="Palatino Linotype" w:cstheme="majorBidi"/>
          <w:b/>
          <w:iCs/>
        </w:rPr>
        <w:t>De la solicitud de información</w:t>
      </w:r>
      <w:bookmarkEnd w:id="9"/>
      <w:r w:rsidRPr="00D1179C">
        <w:rPr>
          <w:rFonts w:ascii="Palatino Linotype" w:eastAsiaTheme="majorEastAsia" w:hAnsi="Palatino Linotype" w:cstheme="majorBidi"/>
          <w:b/>
          <w:iCs/>
        </w:rPr>
        <w:t>.</w:t>
      </w:r>
    </w:p>
    <w:p w14:paraId="7C1439C8" w14:textId="77777777" w:rsidR="00D1179C" w:rsidRPr="00D1179C" w:rsidRDefault="00D1179C" w:rsidP="00D1179C">
      <w:pPr>
        <w:spacing w:line="360" w:lineRule="auto"/>
        <w:ind w:right="-28"/>
        <w:jc w:val="both"/>
        <w:rPr>
          <w:rFonts w:ascii="Palatino Linotype" w:eastAsiaTheme="majorEastAsia" w:hAnsi="Palatino Linotype" w:cstheme="majorBidi"/>
          <w:b/>
          <w:iCs/>
        </w:rPr>
      </w:pPr>
    </w:p>
    <w:p w14:paraId="2EF99A6B" w14:textId="77777777" w:rsidR="00252E46" w:rsidRPr="00D1179C" w:rsidRDefault="00403D88" w:rsidP="00D1179C">
      <w:pPr>
        <w:numPr>
          <w:ilvl w:val="0"/>
          <w:numId w:val="1"/>
        </w:numPr>
        <w:spacing w:line="360" w:lineRule="auto"/>
        <w:ind w:left="0" w:right="49" w:firstLine="0"/>
        <w:contextualSpacing/>
        <w:jc w:val="both"/>
        <w:rPr>
          <w:rFonts w:ascii="Palatino Linotype" w:eastAsia="Palatino Linotype" w:hAnsi="Palatino Linotype" w:cs="Palatino Linotype"/>
          <w:lang w:val="es-ES" w:eastAsia="es-ES"/>
        </w:rPr>
      </w:pPr>
      <w:r w:rsidRPr="00AF23C0">
        <w:rPr>
          <w:rFonts w:ascii="Palatino Linotype" w:eastAsia="Palatino Linotype" w:hAnsi="Palatino Linotype" w:cs="Palatino Linotype"/>
          <w:lang w:val="es-ES" w:eastAsia="es-ES"/>
        </w:rPr>
        <w:t xml:space="preserve">Se solicitó tener acceso, a la </w:t>
      </w:r>
      <w:r w:rsidR="00D1179C">
        <w:rPr>
          <w:rFonts w:ascii="Palatino Linotype" w:eastAsia="Palatino Linotype" w:hAnsi="Palatino Linotype" w:cs="Palatino Linotype"/>
          <w:lang w:val="es-ES" w:eastAsia="es-ES"/>
        </w:rPr>
        <w:t xml:space="preserve">siguiente </w:t>
      </w:r>
      <w:r w:rsidRPr="00AF23C0">
        <w:rPr>
          <w:rFonts w:ascii="Palatino Linotype" w:eastAsia="Palatino Linotype" w:hAnsi="Palatino Linotype" w:cs="Palatino Linotype"/>
          <w:lang w:val="es-ES" w:eastAsia="es-ES"/>
        </w:rPr>
        <w:t>información</w:t>
      </w:r>
      <w:r w:rsidR="00D1179C">
        <w:rPr>
          <w:rFonts w:ascii="Palatino Linotype" w:eastAsia="Palatino Linotype" w:hAnsi="Palatino Linotype" w:cs="Palatino Linotype"/>
          <w:lang w:val="es-ES" w:eastAsia="es-ES"/>
        </w:rPr>
        <w:t>:  “</w:t>
      </w:r>
      <w:r w:rsidR="00DD6E2D" w:rsidRPr="00D1179C">
        <w:rPr>
          <w:rFonts w:ascii="Palatino Linotype" w:eastAsia="Palatino Linotype" w:hAnsi="Palatino Linotype" w:cs="Palatino Linotype"/>
          <w:i/>
          <w:lang w:eastAsia="es-ES"/>
        </w:rPr>
        <w:t>Con fundamento en lo dispuesto en los artículos 1°, 6°, 8° párrafo primero y 35 fracción V de la Constitución Federal; 5 párrafos primero, tercero, vigésimo cuarto, trigésimo y trigésimo primero de la Constitución Local; 4, 7, 15, 23 fracción IV y párrafo último, 24 fracciones XI y XIX, 53 fracciones II y V, 92 fracción XLVII, 150, 152, 155 y 160 de la Ley de Transparencia y Acceso a la Información Pública del Estado de México y Municipios y demás disposiciones relativas y aplicables, solicito se me proporcione vía SAIMEX la información pública consistente en los montos totales de los ingresos provenientes por concepto de expedición y refrendo de licencias de funcionamiento recaudados por el Ayuntamiento de Ixtlahuaca durante el ejercicio fiscal del año dos mil veintidós (2022); y adicionalmente solicito que se me señale el nombre de los responsables de recibir, administrar y ejercer dichos recursos e indicarme su destino.</w:t>
      </w:r>
      <w:r w:rsidR="00556AAD" w:rsidRPr="00D1179C">
        <w:rPr>
          <w:rFonts w:ascii="Palatino Linotype" w:eastAsia="Palatino Linotype" w:hAnsi="Palatino Linotype" w:cs="Palatino Linotype"/>
          <w:i/>
          <w:lang w:eastAsia="es-ES"/>
        </w:rPr>
        <w:t>” (</w:t>
      </w:r>
      <w:r w:rsidR="00556AAD" w:rsidRPr="00D1179C">
        <w:rPr>
          <w:rFonts w:ascii="Palatino Linotype" w:eastAsia="Palatino Linotype" w:hAnsi="Palatino Linotype" w:cs="Palatino Linotype"/>
          <w:lang w:eastAsia="es-ES"/>
        </w:rPr>
        <w:t>Sic)</w:t>
      </w:r>
    </w:p>
    <w:p w14:paraId="38A5B431" w14:textId="77777777" w:rsidR="00F01688" w:rsidRPr="00AF23C0" w:rsidRDefault="00F01688" w:rsidP="00F01688">
      <w:pPr>
        <w:pStyle w:val="Prrafodelista"/>
        <w:spacing w:line="360" w:lineRule="auto"/>
        <w:ind w:right="49"/>
        <w:jc w:val="both"/>
        <w:rPr>
          <w:rFonts w:ascii="Palatino Linotype" w:eastAsia="Palatino Linotype" w:hAnsi="Palatino Linotype" w:cs="Palatino Linotype"/>
          <w:i/>
          <w:lang w:val="es-ES" w:eastAsia="es-ES"/>
        </w:rPr>
      </w:pPr>
    </w:p>
    <w:p w14:paraId="47FE93EB" w14:textId="3EBB684D" w:rsidR="00F01688" w:rsidRPr="00B31DE5" w:rsidRDefault="00252E46" w:rsidP="00B31DE5">
      <w:pPr>
        <w:numPr>
          <w:ilvl w:val="0"/>
          <w:numId w:val="18"/>
        </w:numPr>
        <w:spacing w:line="360" w:lineRule="auto"/>
        <w:ind w:left="0" w:firstLine="0"/>
        <w:contextualSpacing/>
        <w:jc w:val="both"/>
        <w:rPr>
          <w:rFonts w:ascii="Palatino Linotype" w:hAnsi="Palatino Linotype"/>
          <w:lang w:val="es-ES_tradnl" w:eastAsia="es-ES"/>
        </w:rPr>
      </w:pPr>
      <w:r w:rsidRPr="00AF23C0">
        <w:rPr>
          <w:rFonts w:ascii="Palatino Linotype" w:hAnsi="Palatino Linotype"/>
          <w:lang w:val="es-ES_tradnl" w:eastAsia="es-ES"/>
        </w:rPr>
        <w:t xml:space="preserve">En </w:t>
      </w:r>
      <w:r w:rsidR="00F01688" w:rsidRPr="00AF23C0">
        <w:rPr>
          <w:rFonts w:ascii="Palatino Linotype" w:hAnsi="Palatino Linotype"/>
          <w:lang w:val="es-ES_tradnl" w:eastAsia="es-ES"/>
        </w:rPr>
        <w:t>respuesta</w:t>
      </w:r>
      <w:r w:rsidR="00D1179C">
        <w:rPr>
          <w:rFonts w:ascii="Palatino Linotype" w:hAnsi="Palatino Linotype"/>
          <w:lang w:val="es-ES_tradnl" w:eastAsia="es-ES"/>
        </w:rPr>
        <w:t>,</w:t>
      </w:r>
      <w:r w:rsidR="00F01688" w:rsidRPr="00AF23C0">
        <w:rPr>
          <w:rFonts w:ascii="Palatino Linotype" w:hAnsi="Palatino Linotype"/>
          <w:lang w:val="es-ES_tradnl" w:eastAsia="es-ES"/>
        </w:rPr>
        <w:t xml:space="preserve"> el </w:t>
      </w:r>
      <w:r w:rsidR="00F01688" w:rsidRPr="00AF23C0">
        <w:rPr>
          <w:rFonts w:ascii="Palatino Linotype" w:hAnsi="Palatino Linotype"/>
          <w:b/>
          <w:lang w:val="es-ES_tradnl" w:eastAsia="es-ES"/>
        </w:rPr>
        <w:t xml:space="preserve">SUJETO OBLIGADO </w:t>
      </w:r>
      <w:r w:rsidR="00F01688" w:rsidRPr="00AF23C0">
        <w:rPr>
          <w:rFonts w:ascii="Palatino Linotype" w:hAnsi="Palatino Linotype"/>
          <w:lang w:val="es-ES_tradnl" w:eastAsia="es-ES"/>
        </w:rPr>
        <w:t>informó</w:t>
      </w:r>
      <w:r w:rsidR="00D1179C">
        <w:rPr>
          <w:rFonts w:ascii="Palatino Linotype" w:hAnsi="Palatino Linotype"/>
          <w:lang w:val="es-ES_tradnl" w:eastAsia="es-ES"/>
        </w:rPr>
        <w:t xml:space="preserve"> lo </w:t>
      </w:r>
      <w:r w:rsidR="009C012B">
        <w:rPr>
          <w:rFonts w:ascii="Palatino Linotype" w:hAnsi="Palatino Linotype"/>
          <w:lang w:val="es-ES_tradnl" w:eastAsia="es-ES"/>
        </w:rPr>
        <w:t>siguiente</w:t>
      </w:r>
      <w:r w:rsidR="009C012B" w:rsidRPr="00AF23C0">
        <w:rPr>
          <w:rFonts w:ascii="Palatino Linotype" w:hAnsi="Palatino Linotype"/>
          <w:lang w:val="es-ES_tradnl" w:eastAsia="es-ES"/>
        </w:rPr>
        <w:t>:</w:t>
      </w:r>
      <w:r w:rsidR="009C012B" w:rsidRPr="00B31DE5">
        <w:rPr>
          <w:rFonts w:ascii="Palatino Linotype" w:eastAsia="Calibri" w:hAnsi="Palatino Linotype"/>
          <w:i/>
          <w:lang w:val="es-ES" w:eastAsia="es-ES"/>
        </w:rPr>
        <w:t xml:space="preserve"> “</w:t>
      </w:r>
      <w:r w:rsidR="00DD6E2D" w:rsidRPr="00B31DE5">
        <w:rPr>
          <w:rFonts w:ascii="Palatino Linotype" w:eastAsia="Calibri" w:hAnsi="Palatino Linotype"/>
          <w:i/>
          <w:lang w:val="es-ES" w:eastAsia="es-ES"/>
        </w:rPr>
        <w:t>Al respecto, se informa que el monto recaudado durante el ejercicio 2022 por el concepto de Expedición o Refrendo Anual de Licencias de Funcionamiento es de $ 1,626,586.00; dicho recurso es destinado para diferentes gastos para el buen funcionamiento del Municipio.</w:t>
      </w:r>
      <w:r w:rsidR="00B31DE5">
        <w:rPr>
          <w:rFonts w:ascii="Palatino Linotype" w:hAnsi="Palatino Linotype"/>
          <w:lang w:val="es-ES_tradnl" w:eastAsia="es-ES"/>
        </w:rPr>
        <w:t xml:space="preserve"> </w:t>
      </w:r>
      <w:r w:rsidR="00DD6E2D" w:rsidRPr="00B31DE5">
        <w:rPr>
          <w:rFonts w:ascii="Palatino Linotype" w:eastAsia="Calibri" w:hAnsi="Palatino Linotype"/>
          <w:i/>
          <w:lang w:val="es-ES" w:eastAsia="es-ES"/>
        </w:rPr>
        <w:t>Los responsables de recibir, administrar y ejercer dichos recursos es el Presidente Municipal y Tesorera Municipal.” (Sic)</w:t>
      </w:r>
    </w:p>
    <w:p w14:paraId="0C7D693A" w14:textId="77777777" w:rsidR="00F01688" w:rsidRPr="00AF23C0" w:rsidRDefault="00F01688" w:rsidP="00F01688">
      <w:pPr>
        <w:spacing w:line="360" w:lineRule="auto"/>
        <w:contextualSpacing/>
        <w:jc w:val="both"/>
        <w:rPr>
          <w:rFonts w:ascii="Palatino Linotype" w:hAnsi="Palatino Linotype"/>
          <w:lang w:val="es-ES_tradnl" w:eastAsia="es-ES"/>
        </w:rPr>
      </w:pPr>
    </w:p>
    <w:p w14:paraId="423A9B28" w14:textId="77777777" w:rsidR="00D1179C" w:rsidRPr="00B31DE5"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hAnsi="Palatino Linotype"/>
          <w:lang w:val="es-ES_tradnl" w:eastAsia="es-ES"/>
        </w:rPr>
        <w:lastRenderedPageBreak/>
        <w:t>No obstante, el</w:t>
      </w:r>
      <w:r w:rsidR="00F01688" w:rsidRPr="00D1179C">
        <w:rPr>
          <w:rFonts w:ascii="Palatino Linotype" w:hAnsi="Palatino Linotype"/>
          <w:lang w:val="es-ES_tradnl" w:eastAsia="es-ES"/>
        </w:rPr>
        <w:t xml:space="preserve"> </w:t>
      </w:r>
      <w:r w:rsidR="00F01688" w:rsidRPr="00D1179C">
        <w:rPr>
          <w:rFonts w:ascii="Palatino Linotype" w:hAnsi="Palatino Linotype"/>
          <w:b/>
          <w:lang w:val="es-ES_tradnl" w:eastAsia="es-ES"/>
        </w:rPr>
        <w:t xml:space="preserve">RECURRENTE </w:t>
      </w:r>
      <w:r w:rsidRPr="00536D2E">
        <w:rPr>
          <w:rFonts w:ascii="Palatino Linotype" w:hAnsi="Palatino Linotype" w:cs="Arial"/>
          <w:lang w:val="es-ES" w:eastAsia="es-ES"/>
        </w:rPr>
        <w:t>se inconformó por medio del recurso de revisión, donde manifestó</w:t>
      </w:r>
      <w:r>
        <w:rPr>
          <w:rFonts w:ascii="Palatino Linotype" w:hAnsi="Palatino Linotype" w:cs="Arial"/>
          <w:lang w:val="es-ES" w:eastAsia="es-ES"/>
        </w:rPr>
        <w:t>, lo siguiente:</w:t>
      </w:r>
    </w:p>
    <w:p w14:paraId="5D5F1323" w14:textId="77777777" w:rsidR="00B31DE5" w:rsidRPr="00D1179C" w:rsidRDefault="00B31DE5" w:rsidP="00B31DE5">
      <w:pPr>
        <w:spacing w:line="360" w:lineRule="auto"/>
        <w:contextualSpacing/>
        <w:jc w:val="both"/>
        <w:rPr>
          <w:rFonts w:ascii="Palatino Linotype" w:hAnsi="Palatino Linotype"/>
          <w:lang w:val="es-ES_tradnl" w:eastAsia="es-ES"/>
        </w:rPr>
      </w:pPr>
    </w:p>
    <w:p w14:paraId="236E1C1B" w14:textId="77777777" w:rsidR="00D1179C" w:rsidRDefault="00D1179C" w:rsidP="00D1179C">
      <w:pPr>
        <w:pStyle w:val="Prrafodelista"/>
        <w:ind w:left="567" w:right="567"/>
        <w:jc w:val="both"/>
        <w:rPr>
          <w:rFonts w:ascii="Palatino Linotype" w:hAnsi="Palatino Linotype"/>
          <w:i/>
        </w:rPr>
      </w:pPr>
      <w:r w:rsidRPr="00D1179C">
        <w:rPr>
          <w:rFonts w:ascii="Palatino Linotype" w:eastAsiaTheme="minorEastAsia" w:hAnsi="Palatino Linotype"/>
          <w:b/>
          <w:lang w:val="es-ES_tradnl" w:eastAsia="es-ES"/>
        </w:rPr>
        <w:t>Acto impugnado</w:t>
      </w:r>
      <w:r w:rsidRPr="00D1179C">
        <w:rPr>
          <w:rFonts w:ascii="Palatino Linotype" w:eastAsiaTheme="minorEastAsia" w:hAnsi="Palatino Linotype"/>
          <w:b/>
          <w:i/>
          <w:lang w:val="es-ES_tradnl" w:eastAsia="es-ES"/>
        </w:rPr>
        <w:t>:</w:t>
      </w:r>
      <w:r w:rsidRPr="00D1179C">
        <w:rPr>
          <w:rFonts w:ascii="Palatino Linotype" w:hAnsi="Palatino Linotype"/>
          <w:i/>
        </w:rPr>
        <w:t xml:space="preserve"> “LA RESPUESTA A LA SOLICITUD DE INFORMACIÓN NÚMERO 00089/IXTLAHUA/IP/2023.” (Sic) </w:t>
      </w:r>
    </w:p>
    <w:p w14:paraId="5238EAFC" w14:textId="77777777" w:rsidR="00D1179C" w:rsidRPr="00D1179C" w:rsidRDefault="00D1179C" w:rsidP="00D1179C">
      <w:pPr>
        <w:pStyle w:val="Prrafodelista"/>
        <w:ind w:left="567" w:right="567"/>
        <w:jc w:val="both"/>
        <w:rPr>
          <w:rFonts w:ascii="Palatino Linotype" w:hAnsi="Palatino Linotype"/>
          <w:i/>
        </w:rPr>
      </w:pPr>
    </w:p>
    <w:p w14:paraId="6C9BA1B5" w14:textId="77777777" w:rsidR="00D1179C" w:rsidRPr="00D1179C" w:rsidRDefault="00D1179C" w:rsidP="00D1179C">
      <w:pPr>
        <w:pStyle w:val="Prrafodelista"/>
        <w:ind w:left="567" w:right="567"/>
        <w:jc w:val="both"/>
        <w:rPr>
          <w:rFonts w:ascii="Palatino Linotype" w:eastAsia="Calibri" w:hAnsi="Palatino Linotype" w:cs="Arial"/>
          <w:i/>
          <w:lang w:val="es-ES" w:eastAsia="es-ES"/>
        </w:rPr>
      </w:pPr>
      <w:r w:rsidRPr="00D1179C">
        <w:rPr>
          <w:rFonts w:ascii="Palatino Linotype" w:eastAsiaTheme="minorEastAsia" w:hAnsi="Palatino Linotype"/>
          <w:b/>
          <w:lang w:val="es-ES_tradnl" w:eastAsia="es-ES"/>
        </w:rPr>
        <w:t>Razones o Motivos de inconformidad:</w:t>
      </w:r>
      <w:r w:rsidRPr="00D1179C">
        <w:rPr>
          <w:rFonts w:ascii="Palatino Linotype" w:eastAsiaTheme="majorEastAsia" w:hAnsi="Palatino Linotype" w:cstheme="majorBidi"/>
          <w:b/>
          <w:lang w:val="es-ES" w:eastAsia="es-ES"/>
        </w:rPr>
        <w:t xml:space="preserve"> </w:t>
      </w:r>
      <w:r w:rsidRPr="00D1179C">
        <w:rPr>
          <w:rFonts w:ascii="Palatino Linotype" w:eastAsiaTheme="majorEastAsia" w:hAnsi="Palatino Linotype" w:cstheme="majorBidi"/>
          <w:i/>
          <w:lang w:val="es-ES" w:eastAsia="es-ES"/>
        </w:rPr>
        <w:t>“E</w:t>
      </w:r>
      <w:r w:rsidRPr="00D1179C">
        <w:rPr>
          <w:rFonts w:ascii="Palatino Linotype" w:eastAsiaTheme="majorEastAsia" w:hAnsi="Palatino Linotype" w:cstheme="majorBidi"/>
          <w:i/>
          <w:lang w:eastAsia="es-ES"/>
        </w:rPr>
        <w:t>L SUJETO OBLIGADO OMITE SEÑALAR PUNTUAL Y DETALLADAMENTE LOS RUBROS ESPECIFICOS A DONDE SON DESTINADOS O DIRIGIDOS LOS RECURSOS ECONÓMICOS RECAUDADOS.</w:t>
      </w:r>
      <w:r w:rsidRPr="00D1179C">
        <w:rPr>
          <w:rFonts w:ascii="Palatino Linotype" w:hAnsi="Palatino Linotype"/>
          <w:i/>
        </w:rPr>
        <w:t>.” (Sic)</w:t>
      </w:r>
    </w:p>
    <w:p w14:paraId="299786A1" w14:textId="77777777" w:rsidR="00D1179C" w:rsidRDefault="00D1179C" w:rsidP="00D1179C">
      <w:pPr>
        <w:spacing w:line="360" w:lineRule="auto"/>
        <w:contextualSpacing/>
        <w:jc w:val="both"/>
        <w:rPr>
          <w:rFonts w:ascii="Palatino Linotype" w:hAnsi="Palatino Linotype"/>
          <w:lang w:val="es-ES_tradnl" w:eastAsia="es-ES"/>
        </w:rPr>
      </w:pPr>
    </w:p>
    <w:p w14:paraId="35149B4A" w14:textId="77777777" w:rsidR="00D1179C"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hAnsi="Palatino Linotype"/>
          <w:color w:val="000000"/>
        </w:rPr>
        <w:t xml:space="preserve">Ahora </w:t>
      </w:r>
      <w:r w:rsidRPr="00D1179C">
        <w:rPr>
          <w:rFonts w:ascii="Palatino Linotype" w:eastAsia="MS Mincho" w:hAnsi="Palatino Linotype"/>
          <w:lang w:val="es-ES_tradnl" w:eastAsia="es-ES"/>
        </w:rPr>
        <w:t xml:space="preserve">bien, hay </w:t>
      </w:r>
      <w:r w:rsidRPr="00D1179C">
        <w:rPr>
          <w:rFonts w:ascii="Palatino Linotype" w:eastAsia="Palatino Linotype" w:hAnsi="Palatino Linotype" w:cs="Palatino Linotype"/>
        </w:rPr>
        <w:t xml:space="preserve">elementos entregados en respuesta por parte del </w:t>
      </w:r>
      <w:r w:rsidRPr="00D1179C">
        <w:rPr>
          <w:rFonts w:ascii="Palatino Linotype" w:eastAsia="Palatino Linotype" w:hAnsi="Palatino Linotype" w:cs="Palatino Linotype"/>
          <w:b/>
        </w:rPr>
        <w:t>SUJETO OBLIGADO</w:t>
      </w:r>
      <w:r w:rsidRPr="00D1179C">
        <w:rPr>
          <w:rFonts w:ascii="Palatino Linotype" w:eastAsia="Palatino Linotype" w:hAnsi="Palatino Linotype" w:cs="Palatino Linotype"/>
        </w:rPr>
        <w:t xml:space="preserve"> sobre los cuales </w:t>
      </w:r>
      <w:r w:rsidRPr="00D1179C">
        <w:rPr>
          <w:rFonts w:ascii="Palatino Linotype" w:eastAsia="Palatino Linotype" w:hAnsi="Palatino Linotype" w:cs="Palatino Linotype"/>
          <w:bCs/>
        </w:rPr>
        <w:t xml:space="preserve">el </w:t>
      </w:r>
      <w:r w:rsidRPr="00D1179C">
        <w:rPr>
          <w:rFonts w:ascii="Palatino Linotype" w:eastAsia="Palatino Linotype" w:hAnsi="Palatino Linotype" w:cs="Palatino Linotype"/>
          <w:b/>
        </w:rPr>
        <w:t>RECURRENTE</w:t>
      </w:r>
      <w:r w:rsidRPr="00D1179C">
        <w:rPr>
          <w:rFonts w:ascii="Palatino Linotype" w:eastAsia="Palatino Linotype" w:hAnsi="Palatino Linotype" w:cs="Palatino Linotype"/>
          <w:bCs/>
        </w:rPr>
        <w:t xml:space="preserve"> no</w:t>
      </w:r>
      <w:r w:rsidRPr="00D1179C">
        <w:rPr>
          <w:rFonts w:ascii="Palatino Linotype" w:eastAsia="Palatino Linotype" w:hAnsi="Palatino Linotype" w:cs="Palatino Linotype"/>
        </w:rPr>
        <w:t xml:space="preserve"> se inconformó.</w:t>
      </w:r>
    </w:p>
    <w:p w14:paraId="729646B0" w14:textId="77777777" w:rsidR="00D1179C" w:rsidRDefault="00D1179C" w:rsidP="00D1179C">
      <w:pPr>
        <w:spacing w:line="360" w:lineRule="auto"/>
        <w:contextualSpacing/>
        <w:jc w:val="both"/>
        <w:rPr>
          <w:rFonts w:ascii="Palatino Linotype" w:hAnsi="Palatino Linotype"/>
          <w:lang w:val="es-ES_tradnl" w:eastAsia="es-ES"/>
        </w:rPr>
      </w:pPr>
    </w:p>
    <w:p w14:paraId="0A22C1DB" w14:textId="77777777" w:rsidR="00D1179C" w:rsidRPr="00D1179C"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hAnsi="Palatino Linotype"/>
          <w:color w:val="000000"/>
        </w:rPr>
        <w:t xml:space="preserve">En </w:t>
      </w:r>
      <w:r w:rsidRPr="00D1179C">
        <w:rPr>
          <w:rFonts w:ascii="Palatino Linotype" w:eastAsia="MS Mincho" w:hAnsi="Palatino Linotype"/>
          <w:lang w:val="es-ES_tradnl" w:eastAsia="es-ES"/>
        </w:rPr>
        <w:t xml:space="preserve">este sentido, </w:t>
      </w:r>
      <w:r w:rsidRPr="00D1179C">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7273A208" w14:textId="77777777" w:rsidR="00D1179C" w:rsidRPr="00D1179C" w:rsidRDefault="00D1179C" w:rsidP="00D1179C">
      <w:pPr>
        <w:rPr>
          <w:rFonts w:ascii="Palatino Linotype" w:hAnsi="Palatino Linotype" w:cs="Arial"/>
          <w:lang w:val="es-ES" w:eastAsia="es-ES"/>
        </w:rPr>
      </w:pPr>
    </w:p>
    <w:p w14:paraId="591C04F1" w14:textId="77777777" w:rsidR="00D1179C"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hAnsi="Palatino Linotype" w:cs="Arial"/>
          <w:lang w:val="es-ES" w:eastAsia="es-ES"/>
        </w:rPr>
        <w:t xml:space="preserve">Sirve </w:t>
      </w:r>
      <w:r w:rsidRPr="00D1179C">
        <w:rPr>
          <w:rFonts w:ascii="Palatino Linotype" w:eastAsia="MS Mincho" w:hAnsi="Palatino Linotype"/>
          <w:lang w:val="es-ES_tradnl" w:eastAsia="es-ES"/>
        </w:rPr>
        <w:t xml:space="preserve">de sustento, </w:t>
      </w:r>
      <w:r w:rsidRPr="00D1179C">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22F66B18" w14:textId="77777777" w:rsidR="00D1179C" w:rsidRDefault="00D1179C" w:rsidP="00D1179C">
      <w:pPr>
        <w:spacing w:line="360" w:lineRule="auto"/>
        <w:contextualSpacing/>
        <w:jc w:val="both"/>
        <w:rPr>
          <w:rFonts w:ascii="Palatino Linotype" w:hAnsi="Palatino Linotype"/>
          <w:color w:val="000000"/>
          <w:sz w:val="22"/>
        </w:rPr>
      </w:pPr>
    </w:p>
    <w:p w14:paraId="62772D84" w14:textId="77777777" w:rsidR="00D1179C" w:rsidRPr="00B31DE5" w:rsidRDefault="00D1179C" w:rsidP="00B31DE5">
      <w:pPr>
        <w:tabs>
          <w:tab w:val="left" w:pos="851"/>
        </w:tabs>
        <w:ind w:left="567" w:right="616"/>
        <w:jc w:val="both"/>
        <w:rPr>
          <w:rFonts w:ascii="Palatino Linotype" w:eastAsia="Palatino Linotype" w:hAnsi="Palatino Linotype" w:cs="Palatino Linotype"/>
          <w:i/>
          <w:sz w:val="22"/>
          <w:szCs w:val="22"/>
        </w:rPr>
      </w:pPr>
      <w:r w:rsidRPr="008D285B">
        <w:rPr>
          <w:rFonts w:ascii="Palatino Linotype" w:eastAsia="Palatino Linotype" w:hAnsi="Palatino Linotype" w:cs="Palatino Linotype"/>
          <w:b/>
          <w:i/>
          <w:sz w:val="22"/>
          <w:szCs w:val="22"/>
        </w:rPr>
        <w:t xml:space="preserve">“ACTOS CONSENTIDOS. SON LOS QUE NO SE IMPUGNAN MEDIANTE EL RECURSO IDÓNEO. </w:t>
      </w:r>
      <w:r w:rsidRPr="008D285B">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1A0AD4" w14:textId="77777777" w:rsidR="00D1179C"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hAnsi="Palatino Linotype"/>
          <w:color w:val="000000"/>
        </w:rPr>
        <w:lastRenderedPageBreak/>
        <w:t xml:space="preserve">De </w:t>
      </w:r>
      <w:r w:rsidRPr="00D1179C">
        <w:rPr>
          <w:rFonts w:ascii="Palatino Linotype" w:eastAsia="MS Mincho" w:hAnsi="Palatino Linotype"/>
          <w:lang w:val="es-ES_tradnl" w:eastAsia="es-ES"/>
        </w:rPr>
        <w:t xml:space="preserve">la </w:t>
      </w:r>
      <w:r w:rsidRPr="00D1179C">
        <w:rPr>
          <w:rFonts w:ascii="Palatino Linotype" w:eastAsia="Palatino Linotype" w:hAnsi="Palatino Linotype" w:cs="Palatino Linotype"/>
        </w:rPr>
        <w:t xml:space="preserve">interpretación del criterio antes citado, se advierte que cuando el Particular impugnó la respuesta del </w:t>
      </w:r>
      <w:r w:rsidRPr="00D1179C">
        <w:rPr>
          <w:rFonts w:ascii="Palatino Linotype" w:eastAsia="Palatino Linotype" w:hAnsi="Palatino Linotype" w:cs="Palatino Linotype"/>
          <w:b/>
        </w:rPr>
        <w:t>SUJETO OBLIGADO</w:t>
      </w:r>
      <w:r w:rsidRPr="00D1179C">
        <w:rPr>
          <w:rFonts w:ascii="Palatino Linotype" w:eastAsia="Palatino Linotype" w:hAnsi="Palatino Linotype" w:cs="Palatino Linotype"/>
        </w:rPr>
        <w:t xml:space="preserve">, no expresó razón o motivo de inconformidad en contra de los rubros solicitados, por tanto, estos deben declararse atendidos, pues se entiende que la </w:t>
      </w:r>
      <w:r w:rsidRPr="00D1179C">
        <w:rPr>
          <w:rFonts w:ascii="Palatino Linotype" w:eastAsia="Palatino Linotype" w:hAnsi="Palatino Linotype" w:cs="Palatino Linotype"/>
          <w:b/>
          <w:bCs/>
        </w:rPr>
        <w:t>RECURRENTE</w:t>
      </w:r>
      <w:r w:rsidRPr="00D1179C">
        <w:rPr>
          <w:rFonts w:ascii="Palatino Linotype" w:eastAsia="Palatino Linotype" w:hAnsi="Palatino Linotype" w:cs="Palatino Linotype"/>
        </w:rPr>
        <w:t xml:space="preserve"> está conforme con la respuesta proporcionada por el</w:t>
      </w:r>
      <w:r w:rsidRPr="00D1179C">
        <w:rPr>
          <w:rFonts w:ascii="Palatino Linotype" w:eastAsia="Palatino Linotype" w:hAnsi="Palatino Linotype" w:cs="Palatino Linotype"/>
          <w:b/>
        </w:rPr>
        <w:t xml:space="preserve"> SUJETO OBLIGADO,</w:t>
      </w:r>
      <w:r w:rsidRPr="00D1179C">
        <w:rPr>
          <w:rFonts w:ascii="Palatino Linotype" w:eastAsia="Palatino Linotype" w:hAnsi="Palatino Linotype" w:cs="Palatino Linotype"/>
        </w:rPr>
        <w:t xml:space="preserve"> al no contravenir la misma.</w:t>
      </w:r>
    </w:p>
    <w:p w14:paraId="2F1E33BE" w14:textId="77777777" w:rsidR="00D1179C" w:rsidRDefault="00D1179C" w:rsidP="00D1179C">
      <w:pPr>
        <w:spacing w:line="360" w:lineRule="auto"/>
        <w:contextualSpacing/>
        <w:jc w:val="both"/>
        <w:rPr>
          <w:rFonts w:ascii="Palatino Linotype" w:hAnsi="Palatino Linotype"/>
          <w:lang w:val="es-ES_tradnl" w:eastAsia="es-ES"/>
        </w:rPr>
      </w:pPr>
    </w:p>
    <w:p w14:paraId="34B3D9DD" w14:textId="77777777" w:rsidR="00D1179C" w:rsidRPr="00D1179C"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hAnsi="Palatino Linotype"/>
          <w:color w:val="000000"/>
        </w:rPr>
        <w:t xml:space="preserve">Ante </w:t>
      </w:r>
      <w:r w:rsidRPr="00D1179C">
        <w:rPr>
          <w:rFonts w:ascii="Palatino Linotype" w:eastAsia="MS Mincho" w:hAnsi="Palatino Linotype"/>
          <w:lang w:val="es-ES_tradnl" w:eastAsia="es-ES"/>
        </w:rPr>
        <w:t xml:space="preserve">ello, </w:t>
      </w:r>
      <w:r w:rsidRPr="00D1179C">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72B9C4F4" w14:textId="77777777" w:rsidR="00D1179C" w:rsidRDefault="00D1179C" w:rsidP="00D1179C">
      <w:pPr>
        <w:rPr>
          <w:rFonts w:ascii="Palatino Linotype" w:eastAsia="MS Mincho" w:hAnsi="Palatino Linotype" w:cs="Arial"/>
        </w:rPr>
      </w:pPr>
    </w:p>
    <w:p w14:paraId="5BC5C464" w14:textId="77777777" w:rsidR="00D1179C" w:rsidRDefault="00D1179C" w:rsidP="00D1179C">
      <w:pPr>
        <w:ind w:left="567" w:right="539"/>
        <w:contextualSpacing/>
        <w:jc w:val="both"/>
        <w:rPr>
          <w:rFonts w:ascii="Palatino Linotype" w:eastAsia="MS Mincho" w:hAnsi="Palatino Linotype" w:cs="Arial"/>
        </w:rPr>
      </w:pPr>
      <w:r w:rsidRPr="00BC2F3D">
        <w:rPr>
          <w:rFonts w:ascii="Palatino Linotype" w:eastAsia="Palatino Linotype" w:hAnsi="Palatino Linotype" w:cs="Palatino Linotype"/>
          <w:b/>
          <w:i/>
          <w:sz w:val="22"/>
          <w:szCs w:val="22"/>
        </w:rPr>
        <w:t xml:space="preserve">“REVISIÓN EN AMPARO. LOS RESOLUTIVOS NO COMBATIDOS DEBEN DECLARARSE FIRMES. </w:t>
      </w:r>
      <w:r w:rsidRPr="00BC2F3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0C24FE" w14:textId="77777777" w:rsidR="00D1179C" w:rsidRPr="00D1179C" w:rsidRDefault="00D1179C" w:rsidP="00D1179C">
      <w:pPr>
        <w:rPr>
          <w:rFonts w:ascii="Palatino Linotype" w:eastAsia="MS Mincho" w:hAnsi="Palatino Linotype" w:cs="Arial"/>
        </w:rPr>
      </w:pPr>
    </w:p>
    <w:p w14:paraId="65F3F6FE" w14:textId="77777777" w:rsidR="00D1179C"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eastAsia="MS Mincho" w:hAnsi="Palatino Linotype" w:cs="Arial"/>
        </w:rPr>
        <w:t xml:space="preserve">En este sentido, </w:t>
      </w:r>
      <w:r w:rsidRPr="00D1179C">
        <w:rPr>
          <w:rFonts w:ascii="Palatino Linotype" w:hAnsi="Palatino Linotype" w:cs="Arial"/>
        </w:rPr>
        <w:t xml:space="preserve">este Instituto no se encuentra facultado para dudar de la veracidad de las respuestas emitidas por los Sujetos Obligados ni de la que ponen a disposición de los solicitantes; situación que se aleja de las atribuciones de este Instituto </w:t>
      </w:r>
      <w:r w:rsidRPr="00D1179C">
        <w:rPr>
          <w:rFonts w:ascii="Palatino Linotype" w:hAnsi="Palatino Linotype"/>
          <w:color w:val="000000"/>
        </w:rPr>
        <w:t xml:space="preserve">máxime que al momento que ponen a disposición ésta, la misma tiene el carácter oficial y se presume veraz, tan es así quedó registrada en el </w:t>
      </w:r>
      <w:r w:rsidRPr="00D1179C">
        <w:rPr>
          <w:rFonts w:ascii="Palatino Linotype" w:hAnsi="Palatino Linotype"/>
          <w:b/>
          <w:bCs/>
          <w:color w:val="000000"/>
        </w:rPr>
        <w:t>SAIMEX</w:t>
      </w:r>
      <w:r w:rsidRPr="00D1179C">
        <w:rPr>
          <w:rFonts w:ascii="Palatino Linotype" w:hAnsi="Palatino Linotype" w:cs="Arial"/>
          <w:b/>
          <w:bCs/>
          <w:lang w:val="es-ES_tradnl"/>
        </w:rPr>
        <w:t>.</w:t>
      </w:r>
    </w:p>
    <w:p w14:paraId="5B575C7E" w14:textId="77777777" w:rsidR="00D1179C" w:rsidRDefault="00D1179C" w:rsidP="00D1179C">
      <w:pPr>
        <w:spacing w:line="360" w:lineRule="auto"/>
        <w:contextualSpacing/>
        <w:jc w:val="both"/>
        <w:rPr>
          <w:rFonts w:ascii="Palatino Linotype" w:hAnsi="Palatino Linotype"/>
          <w:lang w:val="es-ES_tradnl" w:eastAsia="es-ES"/>
        </w:rPr>
      </w:pPr>
    </w:p>
    <w:p w14:paraId="41842F08" w14:textId="77777777" w:rsidR="00D1179C" w:rsidRPr="00B31DE5" w:rsidRDefault="00D1179C" w:rsidP="00D1179C">
      <w:pPr>
        <w:numPr>
          <w:ilvl w:val="0"/>
          <w:numId w:val="18"/>
        </w:numPr>
        <w:spacing w:line="360" w:lineRule="auto"/>
        <w:ind w:left="0" w:firstLine="0"/>
        <w:contextualSpacing/>
        <w:jc w:val="both"/>
        <w:rPr>
          <w:rFonts w:ascii="Palatino Linotype" w:hAnsi="Palatino Linotype"/>
          <w:lang w:val="es-ES_tradnl" w:eastAsia="es-ES"/>
        </w:rPr>
      </w:pPr>
      <w:r w:rsidRPr="00D1179C">
        <w:rPr>
          <w:rFonts w:ascii="Palatino Linotype" w:hAnsi="Palatino Linotype" w:cs="Arial"/>
          <w:color w:val="000000"/>
        </w:rPr>
        <w:t xml:space="preserve">Sirve </w:t>
      </w:r>
      <w:r w:rsidRPr="00D1179C">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70D16E8" w14:textId="77777777" w:rsidR="00B31DE5" w:rsidRDefault="00B31DE5" w:rsidP="00B31DE5">
      <w:pPr>
        <w:rPr>
          <w:rFonts w:ascii="Palatino Linotype" w:hAnsi="Palatino Linotype"/>
          <w:lang w:val="es-ES_tradnl" w:eastAsia="es-ES"/>
        </w:rPr>
      </w:pPr>
    </w:p>
    <w:p w14:paraId="1C348352" w14:textId="77777777" w:rsidR="00B31DE5" w:rsidRPr="005B0FC4" w:rsidRDefault="00B31DE5" w:rsidP="00B31DE5">
      <w:pPr>
        <w:ind w:left="567" w:right="539"/>
        <w:jc w:val="both"/>
        <w:rPr>
          <w:rFonts w:ascii="Palatino Linotype" w:hAnsi="Palatino Linotype" w:cs="Arial"/>
          <w:i/>
        </w:rPr>
      </w:pPr>
      <w:r w:rsidRPr="0043337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43337D">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p>
    <w:p w14:paraId="259EADBE" w14:textId="77777777" w:rsidR="00B31DE5" w:rsidRDefault="00B31DE5" w:rsidP="00B31DE5">
      <w:pPr>
        <w:spacing w:line="360" w:lineRule="auto"/>
        <w:ind w:right="49"/>
        <w:contextualSpacing/>
        <w:jc w:val="both"/>
        <w:rPr>
          <w:rFonts w:ascii="Palatino Linotype" w:hAnsi="Palatino Linotype" w:cs="Arial"/>
          <w:color w:val="000000"/>
        </w:rPr>
      </w:pPr>
    </w:p>
    <w:p w14:paraId="537C1A67" w14:textId="77777777" w:rsidR="00B31DE5" w:rsidRPr="00B31DE5" w:rsidRDefault="00B31DE5" w:rsidP="00B31DE5">
      <w:pPr>
        <w:pStyle w:val="Prrafodelista"/>
        <w:numPr>
          <w:ilvl w:val="0"/>
          <w:numId w:val="33"/>
        </w:numPr>
        <w:rPr>
          <w:rFonts w:ascii="Palatino Linotype" w:eastAsiaTheme="minorEastAsia" w:hAnsi="Palatino Linotype"/>
          <w:b/>
          <w:bCs/>
          <w:i/>
          <w:iCs/>
          <w:szCs w:val="28"/>
          <w:lang w:val="es-ES_tradnl" w:eastAsia="es-ES"/>
        </w:rPr>
      </w:pPr>
      <w:r w:rsidRPr="00B31DE5">
        <w:rPr>
          <w:rFonts w:ascii="Palatino Linotype" w:eastAsiaTheme="minorEastAsia" w:hAnsi="Palatino Linotype"/>
          <w:b/>
          <w:bCs/>
          <w:i/>
          <w:iCs/>
          <w:szCs w:val="28"/>
          <w:lang w:val="es-ES_tradnl" w:eastAsia="es-ES"/>
        </w:rPr>
        <w:t>De la Plus Petitio.</w:t>
      </w:r>
    </w:p>
    <w:p w14:paraId="5B0DCD17" w14:textId="77777777" w:rsidR="00B31DE5" w:rsidRPr="00B31DE5" w:rsidRDefault="00B31DE5" w:rsidP="00B31DE5">
      <w:pPr>
        <w:rPr>
          <w:rFonts w:ascii="Palatino Linotype" w:hAnsi="Palatino Linotype"/>
          <w:lang w:val="es-ES_tradnl" w:eastAsia="es-ES"/>
        </w:rPr>
      </w:pPr>
    </w:p>
    <w:p w14:paraId="3B81C5DF" w14:textId="77777777" w:rsidR="00B31DE5" w:rsidRP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Ahora bien, </w:t>
      </w:r>
      <w:r w:rsidRPr="002B61B1">
        <w:rPr>
          <w:rFonts w:ascii="Palatino Linotype" w:eastAsiaTheme="minorEastAsia" w:hAnsi="Palatino Linotype"/>
          <w:lang w:val="es-ES_tradnl" w:eastAsia="es-ES"/>
        </w:rPr>
        <w:t xml:space="preserve">resulta necesario reiterar las razones o motivos de inconformidad manifestados en el recurso de revisión </w:t>
      </w:r>
      <w:r>
        <w:rPr>
          <w:rFonts w:ascii="Palatino Linotype" w:eastAsia="Calibri" w:hAnsi="Palatino Linotype" w:cs="Tahoma"/>
          <w:b/>
          <w:bCs/>
          <w:lang w:eastAsia="en-US"/>
        </w:rPr>
        <w:t>03933/INFOEM/IP/RR/2023</w:t>
      </w:r>
      <w:r w:rsidRPr="002B61B1">
        <w:rPr>
          <w:rFonts w:ascii="Palatino Linotype" w:eastAsiaTheme="minorEastAsia" w:hAnsi="Palatino Linotype"/>
          <w:lang w:val="es-ES_tradnl" w:eastAsia="es-ES"/>
        </w:rPr>
        <w:t>, en los siguientes términos:</w:t>
      </w:r>
      <w:r>
        <w:rPr>
          <w:rFonts w:ascii="Palatino Linotype" w:hAnsi="Palatino Linotype"/>
          <w:lang w:val="es-ES_tradnl" w:eastAsia="es-ES"/>
        </w:rPr>
        <w:t xml:space="preserve"> </w:t>
      </w:r>
      <w:r w:rsidRPr="00B31DE5">
        <w:rPr>
          <w:rFonts w:ascii="Palatino Linotype" w:hAnsi="Palatino Linotype"/>
          <w:i/>
        </w:rPr>
        <w:t xml:space="preserve">“EL SUJETO OBLIGADO </w:t>
      </w:r>
      <w:r w:rsidRPr="00B31DE5">
        <w:rPr>
          <w:rFonts w:ascii="Palatino Linotype" w:hAnsi="Palatino Linotype"/>
          <w:b/>
          <w:i/>
          <w:u w:val="single"/>
        </w:rPr>
        <w:t>OMITE SEÑALAR PUNTUAL Y DETALLADAMENTE LOS RUBROS ESPECIFICOS A DONDE SON DESTINADOS O DIRIGIDOS LOS RECURSOS ECONÓMICOS RECAUDADOS.</w:t>
      </w:r>
      <w:r w:rsidRPr="00B31DE5">
        <w:rPr>
          <w:rFonts w:ascii="Palatino Linotype" w:hAnsi="Palatino Linotype"/>
          <w:i/>
        </w:rPr>
        <w:t>” (Sic)</w:t>
      </w:r>
    </w:p>
    <w:p w14:paraId="7C90BFAB" w14:textId="77777777" w:rsidR="00B31DE5" w:rsidRPr="00B31DE5" w:rsidRDefault="00B31DE5" w:rsidP="00B31DE5">
      <w:pPr>
        <w:spacing w:line="360" w:lineRule="auto"/>
        <w:contextualSpacing/>
        <w:jc w:val="both"/>
        <w:rPr>
          <w:rFonts w:ascii="Palatino Linotype" w:hAnsi="Palatino Linotype"/>
          <w:lang w:val="es-ES_tradnl" w:eastAsia="es-ES"/>
        </w:rPr>
      </w:pPr>
    </w:p>
    <w:p w14:paraId="58160425" w14:textId="77777777" w:rsid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sidRPr="00B31DE5">
        <w:rPr>
          <w:rFonts w:ascii="Palatino Linotype" w:hAnsi="Palatino Linotype"/>
          <w:lang w:val="es-ES_tradnl" w:eastAsia="es-ES"/>
        </w:rPr>
        <w:t xml:space="preserve">Conforme </w:t>
      </w:r>
      <w:r w:rsidRPr="00B31DE5">
        <w:rPr>
          <w:rFonts w:ascii="Palatino Linotype" w:hAnsi="Palatino Linotype"/>
          <w:color w:val="000000"/>
          <w:lang w:val="es-ES_tradnl"/>
        </w:rPr>
        <w:t xml:space="preserve">a lo anterior, </w:t>
      </w:r>
      <w:r w:rsidRPr="00B31DE5">
        <w:rPr>
          <w:rFonts w:ascii="Palatino Linotype" w:eastAsiaTheme="minorEastAsia" w:hAnsi="Palatino Linotype" w:cs="Arial"/>
          <w:lang w:eastAsia="es-ES"/>
        </w:rPr>
        <w:t xml:space="preserve">el sistema de medios de impugnación se centra en el análisis de los agravios o motivos de inconformidad, los que deben tener relación </w:t>
      </w:r>
      <w:r w:rsidRPr="00B31DE5">
        <w:rPr>
          <w:rFonts w:ascii="Palatino Linotype" w:eastAsiaTheme="minorEastAsia" w:hAnsi="Palatino Linotype" w:cs="Arial"/>
          <w:lang w:eastAsia="es-ES"/>
        </w:rPr>
        <w:lastRenderedPageBreak/>
        <w:t>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5FA9F78D" w14:textId="77777777" w:rsidR="00B31DE5" w:rsidRPr="00B31DE5" w:rsidRDefault="00B31DE5" w:rsidP="00B31DE5">
      <w:pPr>
        <w:rPr>
          <w:rFonts w:ascii="Palatino Linotype" w:hAnsi="Palatino Linotype"/>
          <w:color w:val="000000"/>
          <w:lang w:val="es-ES_tradnl"/>
        </w:rPr>
      </w:pPr>
    </w:p>
    <w:p w14:paraId="168ABC95" w14:textId="77777777" w:rsid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sidRPr="00B31DE5">
        <w:rPr>
          <w:rFonts w:ascii="Palatino Linotype" w:hAnsi="Palatino Linotype"/>
          <w:color w:val="000000"/>
          <w:lang w:val="es-ES_tradnl"/>
        </w:rPr>
        <w:t xml:space="preserve">Es </w:t>
      </w:r>
      <w:r w:rsidRPr="00B31DE5">
        <w:rPr>
          <w:rFonts w:ascii="Palatino Linotype" w:eastAsiaTheme="minorEastAsia" w:hAnsi="Palatino Linotype" w:cs="Arial"/>
          <w:lang w:val="es-ES_tradnl"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63716A3B" w14:textId="77777777" w:rsidR="00B31DE5" w:rsidRDefault="00B31DE5" w:rsidP="00B31DE5">
      <w:pPr>
        <w:spacing w:line="360" w:lineRule="auto"/>
        <w:contextualSpacing/>
        <w:jc w:val="both"/>
        <w:rPr>
          <w:rFonts w:ascii="Palatino Linotype" w:hAnsi="Palatino Linotype"/>
          <w:color w:val="000000"/>
          <w:sz w:val="22"/>
          <w:lang w:val="es-ES_tradnl"/>
        </w:rPr>
      </w:pPr>
    </w:p>
    <w:p w14:paraId="11054BED" w14:textId="77777777" w:rsidR="00B31DE5" w:rsidRPr="007F1583" w:rsidRDefault="00B31DE5" w:rsidP="00B31DE5">
      <w:pPr>
        <w:ind w:left="567" w:right="539"/>
        <w:contextualSpacing/>
        <w:jc w:val="both"/>
        <w:rPr>
          <w:rFonts w:ascii="Palatino Linotype" w:eastAsiaTheme="minorEastAsia" w:hAnsi="Palatino Linotype" w:cs="Arial"/>
          <w:i/>
          <w:sz w:val="22"/>
          <w:szCs w:val="22"/>
          <w:lang w:val="es-ES_tradnl" w:eastAsia="es-ES"/>
        </w:rPr>
      </w:pPr>
      <w:r w:rsidRPr="007F1583">
        <w:rPr>
          <w:rFonts w:ascii="Palatino Linotype" w:eastAsiaTheme="minorEastAsia" w:hAnsi="Palatino Linotype" w:cs="Arial"/>
          <w:b/>
          <w:bCs/>
          <w:i/>
          <w:sz w:val="22"/>
          <w:szCs w:val="22"/>
          <w:lang w:val="es-ES_tradnl" w:eastAsia="es-ES"/>
        </w:rPr>
        <w:t>“Artículo 191.</w:t>
      </w:r>
      <w:r w:rsidRPr="007F1583">
        <w:rPr>
          <w:rFonts w:ascii="Palatino Linotype" w:eastAsiaTheme="minorEastAsia" w:hAnsi="Palatino Linotype" w:cs="Arial"/>
          <w:i/>
          <w:sz w:val="22"/>
          <w:szCs w:val="22"/>
          <w:lang w:val="es-ES_tradnl" w:eastAsia="es-ES"/>
        </w:rPr>
        <w:t xml:space="preserve"> El recurso será desechado por improcedente cuando:</w:t>
      </w:r>
    </w:p>
    <w:p w14:paraId="133E8B8E" w14:textId="77777777" w:rsidR="00B31DE5" w:rsidRPr="007F1583" w:rsidRDefault="00B31DE5" w:rsidP="00B31DE5">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t>(…)</w:t>
      </w:r>
    </w:p>
    <w:p w14:paraId="617C92DC" w14:textId="77777777" w:rsidR="00B31DE5" w:rsidRPr="00F4351F" w:rsidRDefault="00B31DE5" w:rsidP="00B31DE5">
      <w:pPr>
        <w:ind w:left="567" w:right="539"/>
        <w:contextualSpacing/>
        <w:jc w:val="both"/>
        <w:rPr>
          <w:rFonts w:ascii="Palatino Linotype" w:eastAsiaTheme="minorEastAsia" w:hAnsi="Palatino Linotype" w:cs="Arial"/>
          <w:b/>
          <w:bCs/>
          <w:i/>
          <w:sz w:val="22"/>
          <w:szCs w:val="22"/>
          <w:lang w:val="es-ES_tradnl" w:eastAsia="es-ES"/>
        </w:rPr>
      </w:pPr>
      <w:r w:rsidRPr="00F4351F">
        <w:rPr>
          <w:rFonts w:ascii="Palatino Linotype" w:eastAsiaTheme="minorEastAsia" w:hAnsi="Palatino Linotype" w:cs="Arial"/>
          <w:b/>
          <w:bCs/>
          <w:i/>
          <w:sz w:val="22"/>
          <w:szCs w:val="22"/>
          <w:lang w:val="es-ES_tradnl" w:eastAsia="es-ES"/>
        </w:rPr>
        <w:t>VII. El recurrente amplíe su solicitud en el recurso de revisión, únicamente respecto de los nuevos contenidos.</w:t>
      </w:r>
    </w:p>
    <w:p w14:paraId="031AFEAE" w14:textId="77777777" w:rsidR="00B31DE5" w:rsidRPr="00B31DE5" w:rsidRDefault="00B31DE5" w:rsidP="00B31DE5">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t>(…)</w:t>
      </w:r>
      <w:r w:rsidRPr="007F1583">
        <w:rPr>
          <w:rFonts w:ascii="Palatino Linotype" w:eastAsiaTheme="minorEastAsia" w:hAnsi="Palatino Linotype" w:cs="Arial"/>
          <w:i/>
          <w:sz w:val="22"/>
          <w:szCs w:val="22"/>
          <w:lang w:val="es-ES_tradnl" w:eastAsia="es-ES"/>
        </w:rPr>
        <w:t xml:space="preserve">” </w:t>
      </w:r>
    </w:p>
    <w:p w14:paraId="3DA91D3F" w14:textId="77777777" w:rsidR="00B31DE5" w:rsidRPr="00B31DE5" w:rsidRDefault="00B31DE5" w:rsidP="00B31DE5">
      <w:pPr>
        <w:spacing w:line="360" w:lineRule="auto"/>
        <w:contextualSpacing/>
        <w:jc w:val="both"/>
        <w:rPr>
          <w:rFonts w:ascii="Palatino Linotype" w:hAnsi="Palatino Linotype"/>
          <w:lang w:val="es-ES_tradnl" w:eastAsia="es-ES"/>
        </w:rPr>
      </w:pPr>
    </w:p>
    <w:p w14:paraId="1BD3D108" w14:textId="77777777" w:rsid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sidRPr="00B31DE5">
        <w:rPr>
          <w:rFonts w:ascii="Palatino Linotype" w:hAnsi="Palatino Linotype"/>
          <w:color w:val="000000"/>
          <w:lang w:val="es-ES_tradnl"/>
        </w:rPr>
        <w:t xml:space="preserve">Por </w:t>
      </w:r>
      <w:r w:rsidRPr="00B31DE5">
        <w:rPr>
          <w:rFonts w:ascii="Palatino Linotype" w:eastAsiaTheme="minorEastAsia" w:hAnsi="Palatino Linotype" w:cs="Arial"/>
          <w:lang w:eastAsia="es-ES"/>
        </w:rPr>
        <w:t xml:space="preserve">lo anterior, resulta improcedente el referido motivo de inconformidad, ya que </w:t>
      </w:r>
      <w:r w:rsidRPr="00B31DE5">
        <w:rPr>
          <w:rFonts w:ascii="Palatino Linotype" w:hAnsi="Palatino Linotype" w:cs="Arial"/>
          <w:color w:val="000000"/>
        </w:rPr>
        <w:t xml:space="preserve">se aprecia que la </w:t>
      </w:r>
      <w:r w:rsidRPr="00B31DE5">
        <w:rPr>
          <w:rFonts w:ascii="Palatino Linotype" w:hAnsi="Palatino Linotype" w:cs="Arial"/>
          <w:b/>
          <w:bCs/>
          <w:color w:val="000000"/>
        </w:rPr>
        <w:t>RECURRENTE</w:t>
      </w:r>
      <w:r w:rsidRPr="00B31DE5">
        <w:rPr>
          <w:rFonts w:ascii="Palatino Linotype" w:hAnsi="Palatino Linotype" w:cs="Arial"/>
          <w:color w:val="000000"/>
        </w:rPr>
        <w:t xml:space="preserve"> se excede dentro de su inconformidad respecto a lo requerido originalmente en la solicitud de información, siendo el caso que pretende ampliar lo solicitado de origen, lo que hace que se surta lo que en la teoría jurídica se le denomina </w:t>
      </w:r>
      <w:r w:rsidRPr="00B31DE5">
        <w:rPr>
          <w:rFonts w:ascii="Palatino Linotype" w:hAnsi="Palatino Linotype" w:cs="Arial"/>
          <w:b/>
          <w:bCs/>
          <w:i/>
          <w:iCs/>
          <w:color w:val="000000"/>
        </w:rPr>
        <w:t>plus petitio.</w:t>
      </w:r>
    </w:p>
    <w:p w14:paraId="2806F3E7" w14:textId="77777777" w:rsidR="00B31DE5" w:rsidRDefault="00B31DE5" w:rsidP="00B31DE5">
      <w:pPr>
        <w:spacing w:line="360" w:lineRule="auto"/>
        <w:contextualSpacing/>
        <w:jc w:val="both"/>
        <w:rPr>
          <w:rFonts w:ascii="Palatino Linotype" w:hAnsi="Palatino Linotype"/>
          <w:lang w:val="es-ES_tradnl" w:eastAsia="es-ES"/>
        </w:rPr>
      </w:pPr>
    </w:p>
    <w:p w14:paraId="2DC7B026" w14:textId="77777777" w:rsidR="00B31DE5" w:rsidRP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sidRPr="00B31DE5">
        <w:rPr>
          <w:rFonts w:ascii="Palatino Linotype" w:hAnsi="Palatino Linotype"/>
          <w:color w:val="000000"/>
          <w:lang w:val="es-ES_tradnl"/>
        </w:rPr>
        <w:lastRenderedPageBreak/>
        <w:t xml:space="preserve">Sirve </w:t>
      </w:r>
      <w:r w:rsidRPr="00B31DE5">
        <w:rPr>
          <w:rFonts w:ascii="Palatino Linotype" w:hAnsi="Palatino Linotype" w:cs="Arial"/>
          <w:color w:val="000000"/>
        </w:rPr>
        <w:t>de apoyo el criterio 01/17 emitido por el Instituto Nacional de Transparencia, Acceso a la Información y Protección de Datos Personales que establece lo siguiente:</w:t>
      </w:r>
    </w:p>
    <w:p w14:paraId="60BD635E" w14:textId="77777777" w:rsidR="00B31DE5" w:rsidRPr="00B31DE5" w:rsidRDefault="00B31DE5" w:rsidP="00B31DE5">
      <w:pPr>
        <w:spacing w:line="360" w:lineRule="auto"/>
        <w:contextualSpacing/>
        <w:jc w:val="both"/>
        <w:rPr>
          <w:rFonts w:ascii="Palatino Linotype" w:hAnsi="Palatino Linotype"/>
          <w:lang w:val="es-ES_tradnl" w:eastAsia="es-ES"/>
        </w:rPr>
      </w:pPr>
    </w:p>
    <w:p w14:paraId="5C99E483" w14:textId="77777777" w:rsidR="00B31DE5" w:rsidRPr="005A1BEC" w:rsidRDefault="00B31DE5" w:rsidP="00B31DE5">
      <w:pPr>
        <w:ind w:left="567" w:right="539"/>
        <w:contextualSpacing/>
        <w:jc w:val="both"/>
        <w:rPr>
          <w:rFonts w:ascii="Palatino Linotype" w:hAnsi="Palatino Linotype" w:cs="Arial"/>
          <w:i/>
          <w:color w:val="000000"/>
          <w:sz w:val="22"/>
          <w:szCs w:val="22"/>
        </w:rPr>
      </w:pPr>
      <w:r w:rsidRPr="005A1BEC">
        <w:rPr>
          <w:rFonts w:ascii="Palatino Linotype" w:hAnsi="Palatino Linotype" w:cs="Arial"/>
          <w:b/>
          <w:i/>
          <w:color w:val="000000"/>
          <w:sz w:val="22"/>
          <w:szCs w:val="22"/>
        </w:rPr>
        <w:t>Es improcedente ampliar las solicitudes de acceso a información, a través de la interposición del recurso de revisión.</w:t>
      </w:r>
      <w:r w:rsidRPr="005A1BEC">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6E06DDA" w14:textId="77777777" w:rsidR="00B31DE5" w:rsidRPr="005A1BEC" w:rsidRDefault="00B31DE5" w:rsidP="00B31DE5">
      <w:pPr>
        <w:ind w:left="567" w:right="539"/>
        <w:contextualSpacing/>
        <w:jc w:val="both"/>
        <w:rPr>
          <w:rFonts w:ascii="Palatino Linotype" w:hAnsi="Palatino Linotype" w:cs="Arial"/>
          <w:color w:val="000000"/>
          <w:sz w:val="22"/>
          <w:szCs w:val="22"/>
        </w:rPr>
      </w:pPr>
    </w:p>
    <w:p w14:paraId="3AE30C21" w14:textId="77777777" w:rsidR="00B31DE5" w:rsidRPr="005A1BEC" w:rsidRDefault="00B31DE5" w:rsidP="00B31DE5">
      <w:pPr>
        <w:ind w:left="567" w:right="539"/>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Resoluciones:</w:t>
      </w:r>
    </w:p>
    <w:p w14:paraId="33550FDA" w14:textId="77777777" w:rsidR="00B31DE5" w:rsidRPr="005A1BEC" w:rsidRDefault="00B31DE5" w:rsidP="00B31DE5">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614DEB12" w14:textId="77777777" w:rsidR="00B31DE5" w:rsidRPr="005A1BEC" w:rsidRDefault="00B31DE5" w:rsidP="00B31DE5">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0130/16. Comisión Nacional del Agua. 09 de agosto de 2016. Por unanimidad. Comisionado Ponente María Patricia Kurczyn Villalobos.</w:t>
      </w:r>
    </w:p>
    <w:p w14:paraId="053FF952" w14:textId="77777777" w:rsidR="00B31DE5" w:rsidRPr="005A1BEC" w:rsidRDefault="00B31DE5" w:rsidP="00B31DE5">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0342/16. Colegio de Bachilleres. 24 de agosto de 2016. Por unanimidad. Comisionada Ponente Ximena Puente de la Mora.</w:t>
      </w:r>
    </w:p>
    <w:p w14:paraId="024C61DC" w14:textId="77777777" w:rsidR="00B31DE5" w:rsidRPr="00B31DE5" w:rsidRDefault="00B31DE5" w:rsidP="00B31DE5">
      <w:pPr>
        <w:spacing w:line="360" w:lineRule="auto"/>
        <w:contextualSpacing/>
        <w:jc w:val="both"/>
        <w:rPr>
          <w:rFonts w:ascii="Palatino Linotype" w:hAnsi="Palatino Linotype"/>
          <w:lang w:val="es-ES_tradnl" w:eastAsia="es-ES"/>
        </w:rPr>
      </w:pPr>
    </w:p>
    <w:p w14:paraId="4752E8B2" w14:textId="77777777" w:rsid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sidRPr="00B31DE5">
        <w:rPr>
          <w:rFonts w:ascii="Palatino Linotype" w:hAnsi="Palatino Linotype"/>
          <w:color w:val="000000"/>
          <w:lang w:val="es-ES_tradnl"/>
        </w:rPr>
        <w:t xml:space="preserve">Asimismo, </w:t>
      </w:r>
      <w:r w:rsidRPr="00B31DE5">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52B5E236" w14:textId="77777777" w:rsidR="00B31DE5" w:rsidRDefault="00B31DE5" w:rsidP="00B31DE5">
      <w:pPr>
        <w:spacing w:line="360" w:lineRule="auto"/>
        <w:contextualSpacing/>
        <w:jc w:val="both"/>
        <w:rPr>
          <w:rFonts w:ascii="Palatino Linotype" w:hAnsi="Palatino Linotype"/>
          <w:lang w:val="es-ES_tradnl" w:eastAsia="es-ES"/>
        </w:rPr>
      </w:pPr>
    </w:p>
    <w:p w14:paraId="26B41187" w14:textId="77777777" w:rsidR="00B31DE5" w:rsidRPr="00B31DE5" w:rsidRDefault="00B31DE5" w:rsidP="00B31DE5">
      <w:pPr>
        <w:ind w:left="567" w:right="539"/>
        <w:contextualSpacing/>
        <w:jc w:val="both"/>
        <w:rPr>
          <w:rFonts w:ascii="Palatino Linotype" w:hAnsi="Palatino Linotype"/>
          <w:color w:val="000000"/>
          <w:sz w:val="22"/>
          <w:szCs w:val="22"/>
          <w:lang w:val="es-ES_tradnl"/>
        </w:rPr>
      </w:pPr>
      <w:r w:rsidRPr="005A1BEC">
        <w:rPr>
          <w:rFonts w:ascii="Palatino Linotype" w:hAnsi="Palatino Linotype" w:cs="Arial"/>
          <w:b/>
          <w:i/>
          <w:color w:val="000000"/>
          <w:sz w:val="22"/>
          <w:szCs w:val="22"/>
        </w:rPr>
        <w:t xml:space="preserve">AGRAVIOS EN LA REVISION. DEBEN ESTAR EN RELACION DIRECTA CON LOS FUNDAMENTOS Y CONSIDERACIONES DE LA SENTENCIA.- </w:t>
      </w:r>
      <w:r w:rsidRPr="005A1BEC">
        <w:rPr>
          <w:rFonts w:ascii="Palatino Linotype" w:hAnsi="Palatino Linotype" w:cs="Arial"/>
          <w:i/>
          <w:color w:val="000000"/>
          <w:sz w:val="22"/>
          <w:szCs w:val="22"/>
        </w:rPr>
        <w:t xml:space="preserve">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w:t>
      </w:r>
      <w:r w:rsidRPr="005A1BEC">
        <w:rPr>
          <w:rFonts w:ascii="Palatino Linotype" w:hAnsi="Palatino Linotype" w:cs="Arial"/>
          <w:i/>
          <w:color w:val="000000"/>
          <w:sz w:val="22"/>
          <w:szCs w:val="22"/>
        </w:rPr>
        <w:lastRenderedPageBreak/>
        <w:t>materia, toda vez que esta se limita al estudio integral del fallo que se combate, con vista de los motivos de inconformidad que plantean los recurrentes.</w:t>
      </w:r>
    </w:p>
    <w:p w14:paraId="65112EB3" w14:textId="77777777" w:rsidR="00B31DE5" w:rsidRDefault="00B31DE5" w:rsidP="00B31DE5">
      <w:pPr>
        <w:spacing w:line="360" w:lineRule="auto"/>
        <w:contextualSpacing/>
        <w:jc w:val="both"/>
        <w:rPr>
          <w:rFonts w:ascii="Palatino Linotype" w:hAnsi="Palatino Linotype"/>
          <w:lang w:val="es-ES_tradnl" w:eastAsia="es-ES"/>
        </w:rPr>
      </w:pPr>
    </w:p>
    <w:p w14:paraId="5F396DE1" w14:textId="77777777" w:rsidR="00B31DE5" w:rsidRP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sidRPr="00B31DE5">
        <w:rPr>
          <w:rFonts w:ascii="Palatino Linotype" w:hAnsi="Palatino Linotype"/>
          <w:color w:val="000000"/>
          <w:lang w:val="es-ES_tradnl"/>
        </w:rPr>
        <w:t>Consecuentemente</w:t>
      </w:r>
      <w:r w:rsidRPr="00B31DE5">
        <w:rPr>
          <w:rFonts w:ascii="Palatino Linotype" w:hAnsi="Palatino Linotype" w:cs="Arial"/>
          <w:color w:val="000000"/>
        </w:rPr>
        <w:t xml:space="preserve">, en términos del artículo 191, fracción VII de la Ley de Transparencia y Acceso a la Información Pública del Estado de México y Municipios, este Instituto </w:t>
      </w:r>
      <w:r w:rsidRPr="00B31DE5">
        <w:rPr>
          <w:rFonts w:ascii="Palatino Linotype" w:eastAsia="Calibri" w:hAnsi="Palatino Linotype"/>
          <w:lang w:val="es-CO"/>
        </w:rPr>
        <w:t xml:space="preserve">determina el </w:t>
      </w:r>
      <w:r w:rsidRPr="00B31DE5">
        <w:rPr>
          <w:rFonts w:ascii="Palatino Linotype" w:eastAsia="Calibri" w:hAnsi="Palatino Linotype"/>
          <w:b/>
          <w:lang w:val="es-CO"/>
        </w:rPr>
        <w:t xml:space="preserve">SOBRESEIMIENTO </w:t>
      </w:r>
      <w:r w:rsidRPr="00B31DE5">
        <w:rPr>
          <w:rFonts w:ascii="Palatino Linotype" w:eastAsia="Calibri" w:hAnsi="Palatino Linotype"/>
          <w:lang w:val="es-CO"/>
        </w:rPr>
        <w:t>del presente recurso de revisión,</w:t>
      </w:r>
      <w:r w:rsidRPr="00B31DE5">
        <w:rPr>
          <w:rFonts w:ascii="Palatino Linotype" w:hAnsi="Palatino Linotype"/>
        </w:rPr>
        <w:t xml:space="preserve"> por</w:t>
      </w:r>
      <w:r w:rsidRPr="00B31DE5">
        <w:rPr>
          <w:rFonts w:ascii="Palatino Linotype" w:hAnsi="Palatino Linotype"/>
          <w:spacing w:val="1"/>
        </w:rPr>
        <w:t xml:space="preserve"> </w:t>
      </w:r>
      <w:r w:rsidRPr="00B31DE5">
        <w:rPr>
          <w:rFonts w:ascii="Palatino Linotype" w:hAnsi="Palatino Linotype"/>
        </w:rPr>
        <w:t>resultar</w:t>
      </w:r>
      <w:r w:rsidRPr="00B31DE5">
        <w:rPr>
          <w:rFonts w:ascii="Palatino Linotype" w:hAnsi="Palatino Linotype"/>
          <w:spacing w:val="1"/>
        </w:rPr>
        <w:t xml:space="preserve"> </w:t>
      </w:r>
      <w:r w:rsidRPr="00B31DE5">
        <w:rPr>
          <w:rFonts w:ascii="Palatino Linotype" w:hAnsi="Palatino Linotype"/>
        </w:rPr>
        <w:t>improcedente, de acuerdo con el artículo 192 fracción IV del mismo ordenamiento legal.</w:t>
      </w:r>
    </w:p>
    <w:p w14:paraId="39393D4F" w14:textId="77777777" w:rsidR="00B31DE5" w:rsidRDefault="00B31DE5" w:rsidP="00B31DE5">
      <w:pPr>
        <w:spacing w:line="360" w:lineRule="auto"/>
        <w:contextualSpacing/>
        <w:jc w:val="both"/>
        <w:rPr>
          <w:rFonts w:ascii="Palatino Linotype" w:hAnsi="Palatino Linotype"/>
        </w:rPr>
      </w:pPr>
    </w:p>
    <w:p w14:paraId="63F1E11B" w14:textId="77777777" w:rsidR="00B31DE5" w:rsidRPr="00F011DD" w:rsidRDefault="00B31DE5" w:rsidP="00B31DE5">
      <w:pPr>
        <w:ind w:left="567" w:right="539"/>
        <w:contextualSpacing/>
        <w:jc w:val="both"/>
        <w:rPr>
          <w:rFonts w:ascii="Palatino Linotype" w:hAnsi="Palatino Linotype"/>
          <w:i/>
          <w:iCs/>
          <w:sz w:val="22"/>
          <w:szCs w:val="22"/>
        </w:rPr>
      </w:pPr>
      <w:r w:rsidRPr="00F011DD">
        <w:rPr>
          <w:rFonts w:ascii="Palatino Linotype" w:hAnsi="Palatino Linotype"/>
          <w:b/>
          <w:bCs/>
          <w:i/>
          <w:iCs/>
          <w:sz w:val="22"/>
          <w:szCs w:val="22"/>
        </w:rPr>
        <w:t>“Artículo 192.</w:t>
      </w:r>
      <w:r w:rsidRPr="00F011DD">
        <w:rPr>
          <w:rFonts w:ascii="Palatino Linotype" w:hAnsi="Palatino Linotype"/>
          <w:i/>
          <w:iCs/>
          <w:sz w:val="22"/>
          <w:szCs w:val="22"/>
        </w:rPr>
        <w:t xml:space="preserve"> El recurso será sobreseído, en todo o en parte, cuando una vez admitido, se actualicen alguno de los siguientes supuestos: </w:t>
      </w:r>
    </w:p>
    <w:p w14:paraId="5155A7BE" w14:textId="77777777" w:rsidR="00B31DE5" w:rsidRPr="00F011DD" w:rsidRDefault="00B31DE5" w:rsidP="00B31DE5">
      <w:pPr>
        <w:ind w:left="567" w:right="539"/>
        <w:contextualSpacing/>
        <w:jc w:val="both"/>
        <w:rPr>
          <w:rFonts w:ascii="Palatino Linotype" w:hAnsi="Palatino Linotype"/>
          <w:i/>
          <w:iCs/>
          <w:sz w:val="22"/>
          <w:szCs w:val="22"/>
        </w:rPr>
      </w:pPr>
      <w:r w:rsidRPr="00F011DD">
        <w:rPr>
          <w:rFonts w:ascii="Palatino Linotype" w:hAnsi="Palatino Linotype"/>
          <w:i/>
          <w:iCs/>
          <w:sz w:val="22"/>
          <w:szCs w:val="22"/>
        </w:rPr>
        <w:t>(…)</w:t>
      </w:r>
    </w:p>
    <w:p w14:paraId="5E11032E" w14:textId="77777777" w:rsidR="00B31DE5" w:rsidRPr="00F011DD" w:rsidRDefault="00B31DE5" w:rsidP="00B31DE5">
      <w:pPr>
        <w:ind w:left="567" w:right="539"/>
        <w:contextualSpacing/>
        <w:jc w:val="both"/>
        <w:rPr>
          <w:rFonts w:ascii="Palatino Linotype" w:hAnsi="Palatino Linotype"/>
          <w:b/>
          <w:bCs/>
          <w:i/>
          <w:iCs/>
          <w:sz w:val="22"/>
          <w:szCs w:val="22"/>
        </w:rPr>
      </w:pPr>
      <w:r w:rsidRPr="00F011DD">
        <w:rPr>
          <w:rFonts w:ascii="Palatino Linotype" w:hAnsi="Palatino Linotype"/>
          <w:b/>
          <w:bCs/>
          <w:i/>
          <w:iCs/>
          <w:sz w:val="22"/>
          <w:szCs w:val="22"/>
        </w:rPr>
        <w:t xml:space="preserve">IV. Admitido el recurso de revisión, aparezca alguna causal de improcedencia en los términos de la presente Ley; </w:t>
      </w:r>
    </w:p>
    <w:p w14:paraId="4DB3EFC6" w14:textId="77777777" w:rsidR="00B31DE5" w:rsidRPr="00B31DE5" w:rsidRDefault="00B31DE5" w:rsidP="00B31DE5">
      <w:pPr>
        <w:spacing w:line="360" w:lineRule="auto"/>
        <w:ind w:left="567"/>
        <w:contextualSpacing/>
        <w:jc w:val="both"/>
        <w:rPr>
          <w:rFonts w:ascii="Palatino Linotype" w:hAnsi="Palatino Linotype"/>
          <w:lang w:val="es-ES_tradnl" w:eastAsia="es-ES"/>
        </w:rPr>
      </w:pPr>
      <w:r w:rsidRPr="00F011DD">
        <w:rPr>
          <w:rFonts w:ascii="Palatino Linotype" w:hAnsi="Palatino Linotype"/>
          <w:i/>
          <w:iCs/>
          <w:sz w:val="22"/>
          <w:szCs w:val="22"/>
        </w:rPr>
        <w:t>(…)”</w:t>
      </w:r>
    </w:p>
    <w:p w14:paraId="0B0266A2" w14:textId="77777777" w:rsidR="00B31DE5" w:rsidRPr="00B31DE5" w:rsidRDefault="00B31DE5" w:rsidP="00B31DE5">
      <w:pPr>
        <w:spacing w:line="360" w:lineRule="auto"/>
        <w:contextualSpacing/>
        <w:jc w:val="both"/>
        <w:rPr>
          <w:rFonts w:ascii="Palatino Linotype" w:hAnsi="Palatino Linotype"/>
          <w:lang w:val="es-ES_tradnl" w:eastAsia="es-ES"/>
        </w:rPr>
      </w:pPr>
    </w:p>
    <w:p w14:paraId="7628174F" w14:textId="77777777" w:rsidR="00B31DE5" w:rsidRPr="00B31DE5" w:rsidRDefault="00B31DE5" w:rsidP="00B31DE5">
      <w:pPr>
        <w:numPr>
          <w:ilvl w:val="0"/>
          <w:numId w:val="18"/>
        </w:numPr>
        <w:spacing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Por </w:t>
      </w:r>
      <w:r w:rsidRPr="007F12B6">
        <w:rPr>
          <w:rFonts w:ascii="Palatino Linotype" w:eastAsiaTheme="minorEastAsia" w:hAnsi="Palatino Linotype"/>
          <w:color w:val="000000"/>
          <w:lang w:val="es-ES"/>
        </w:rPr>
        <w:t xml:space="preserve">lo anteriormente expuesto y fundado, este </w:t>
      </w:r>
      <w:r w:rsidRPr="007F12B6">
        <w:rPr>
          <w:rFonts w:ascii="Palatino Linotype" w:eastAsiaTheme="minorEastAsia" w:hAnsi="Palatino Linotype"/>
          <w:b/>
          <w:bCs/>
          <w:color w:val="000000"/>
          <w:lang w:val="es-ES"/>
        </w:rPr>
        <w:t>ÓRGANO GARANTE</w:t>
      </w:r>
      <w:r w:rsidRPr="007F12B6">
        <w:rPr>
          <w:rFonts w:ascii="Palatino Linotype" w:eastAsiaTheme="minorEastAsia" w:hAnsi="Palatino Linotype"/>
          <w:color w:val="000000"/>
          <w:lang w:val="es-ES"/>
        </w:rPr>
        <w:t xml:space="preserve"> emite los siguientes:</w:t>
      </w:r>
    </w:p>
    <w:p w14:paraId="7B133652" w14:textId="77777777" w:rsidR="00800796" w:rsidRPr="00AF23C0" w:rsidRDefault="00800796" w:rsidP="00800796">
      <w:pPr>
        <w:spacing w:line="360" w:lineRule="auto"/>
        <w:contextualSpacing/>
        <w:jc w:val="both"/>
        <w:rPr>
          <w:rFonts w:ascii="Palatino Linotype" w:hAnsi="Palatino Linotype"/>
          <w:color w:val="000000" w:themeColor="text1"/>
        </w:rPr>
      </w:pPr>
    </w:p>
    <w:p w14:paraId="2B17D51C" w14:textId="77777777" w:rsidR="00737F8A" w:rsidRPr="00AF23C0" w:rsidRDefault="00737F8A" w:rsidP="003B5EB6">
      <w:pPr>
        <w:keepNext/>
        <w:keepLines/>
        <w:spacing w:line="360" w:lineRule="auto"/>
        <w:jc w:val="center"/>
        <w:outlineLvl w:val="0"/>
        <w:rPr>
          <w:rFonts w:ascii="Palatino Linotype" w:eastAsiaTheme="majorEastAsia" w:hAnsi="Palatino Linotype" w:cstheme="majorBidi"/>
          <w:b/>
          <w:lang w:eastAsia="en-US"/>
        </w:rPr>
      </w:pPr>
      <w:bookmarkStart w:id="10" w:name="_Toc528153792"/>
      <w:bookmarkStart w:id="11" w:name="_Toc71158406"/>
      <w:bookmarkStart w:id="12" w:name="_Toc83301643"/>
      <w:r w:rsidRPr="00AF23C0">
        <w:rPr>
          <w:rFonts w:ascii="Palatino Linotype" w:eastAsiaTheme="majorEastAsia" w:hAnsi="Palatino Linotype" w:cstheme="majorBidi"/>
          <w:b/>
          <w:lang w:eastAsia="en-US"/>
        </w:rPr>
        <w:t>R E S O L U T I V O S</w:t>
      </w:r>
      <w:bookmarkEnd w:id="10"/>
      <w:bookmarkEnd w:id="11"/>
      <w:bookmarkEnd w:id="12"/>
    </w:p>
    <w:bookmarkEnd w:id="4"/>
    <w:bookmarkEnd w:id="5"/>
    <w:bookmarkEnd w:id="6"/>
    <w:p w14:paraId="4C576D9C" w14:textId="77777777" w:rsidR="00737F8A" w:rsidRPr="00AF23C0" w:rsidRDefault="00737F8A" w:rsidP="003B5EB6">
      <w:pPr>
        <w:spacing w:line="360" w:lineRule="auto"/>
        <w:ind w:right="48"/>
        <w:jc w:val="both"/>
        <w:rPr>
          <w:rFonts w:ascii="Palatino Linotype" w:hAnsi="Palatino Linotype" w:cs="Arial"/>
          <w:b/>
        </w:rPr>
      </w:pPr>
    </w:p>
    <w:p w14:paraId="5114DCBA" w14:textId="77777777" w:rsidR="00B31DE5" w:rsidRPr="00464C9A" w:rsidRDefault="00B31DE5" w:rsidP="00B31DE5">
      <w:pPr>
        <w:spacing w:line="360" w:lineRule="auto"/>
        <w:jc w:val="both"/>
        <w:rPr>
          <w:rFonts w:ascii="Palatino Linotype" w:eastAsiaTheme="minorEastAsia" w:hAnsi="Palatino Linotype" w:cs="Arial"/>
          <w:bCs/>
          <w:lang w:val="es-ES_tradnl" w:eastAsia="es-ES"/>
        </w:rPr>
      </w:pPr>
      <w:r w:rsidRPr="00464C9A">
        <w:rPr>
          <w:rFonts w:ascii="Palatino Linotype" w:hAnsi="Palatino Linotype" w:cs="Arial"/>
          <w:b/>
          <w:lang w:val="es-ES_tradnl" w:eastAsia="es-ES"/>
        </w:rPr>
        <w:t xml:space="preserve">PRIMERO. </w:t>
      </w:r>
      <w:r w:rsidRPr="00464C9A">
        <w:rPr>
          <w:rFonts w:ascii="Palatino Linotype" w:hAnsi="Palatino Linotype"/>
        </w:rPr>
        <w:t xml:space="preserve">Se </w:t>
      </w:r>
      <w:r w:rsidRPr="00464C9A">
        <w:rPr>
          <w:rFonts w:ascii="Palatino Linotype" w:hAnsi="Palatino Linotype"/>
          <w:b/>
        </w:rPr>
        <w:t>SOBRESEE por improcedente</w:t>
      </w:r>
      <w:r w:rsidRPr="00464C9A">
        <w:rPr>
          <w:rFonts w:ascii="Palatino Linotype" w:hAnsi="Palatino Linotype"/>
        </w:rPr>
        <w:t xml:space="preserve"> el recurso de revisión número </w:t>
      </w:r>
      <w:r w:rsidRPr="00464C9A">
        <w:rPr>
          <w:rFonts w:ascii="Palatino Linotype" w:hAnsi="Palatino Linotype"/>
          <w:b/>
        </w:rPr>
        <w:t>0</w:t>
      </w:r>
      <w:r>
        <w:rPr>
          <w:rFonts w:ascii="Palatino Linotype" w:hAnsi="Palatino Linotype"/>
          <w:b/>
        </w:rPr>
        <w:t>3933</w:t>
      </w:r>
      <w:r w:rsidRPr="00464C9A">
        <w:rPr>
          <w:rFonts w:ascii="Palatino Linotype" w:hAnsi="Palatino Linotype"/>
          <w:b/>
        </w:rPr>
        <w:t>/INFOEM/IP/RR/202</w:t>
      </w:r>
      <w:r>
        <w:rPr>
          <w:rFonts w:ascii="Palatino Linotype" w:hAnsi="Palatino Linotype"/>
          <w:b/>
        </w:rPr>
        <w:t xml:space="preserve">3 </w:t>
      </w:r>
      <w:r w:rsidRPr="00F4351F">
        <w:rPr>
          <w:rFonts w:ascii="Palatino Linotype" w:hAnsi="Palatino Linotype"/>
          <w:bCs/>
        </w:rPr>
        <w:t xml:space="preserve">de conformidad con el 192, fracción IV, en relación </w:t>
      </w:r>
      <w:r>
        <w:rPr>
          <w:rFonts w:ascii="Palatino Linotype" w:hAnsi="Palatino Linotype"/>
          <w:bCs/>
        </w:rPr>
        <w:t xml:space="preserve">con el artículo 191, fracción VII </w:t>
      </w:r>
      <w:r w:rsidRPr="00F4351F">
        <w:rPr>
          <w:rFonts w:ascii="Palatino Linotype" w:hAnsi="Palatino Linotype"/>
          <w:bCs/>
        </w:rPr>
        <w:t>de la Ley de Transparencia y Acceso a la Información Pública del Estado de México y Municipios</w:t>
      </w:r>
      <w:r w:rsidRPr="00464C9A">
        <w:rPr>
          <w:rFonts w:ascii="Palatino Linotype" w:hAnsi="Palatino Linotype"/>
        </w:rPr>
        <w:t xml:space="preserve">, en términos del Considerando </w:t>
      </w:r>
      <w:r w:rsidRPr="00464C9A">
        <w:rPr>
          <w:rFonts w:ascii="Palatino Linotype" w:hAnsi="Palatino Linotype"/>
          <w:b/>
        </w:rPr>
        <w:t>TERCERO</w:t>
      </w:r>
      <w:r w:rsidRPr="00464C9A">
        <w:rPr>
          <w:rFonts w:ascii="Palatino Linotype" w:hAnsi="Palatino Linotype"/>
        </w:rPr>
        <w:t xml:space="preserve"> de la presente resolución.</w:t>
      </w:r>
    </w:p>
    <w:p w14:paraId="2864AA5B" w14:textId="77777777" w:rsidR="00B31DE5" w:rsidRPr="00000F02" w:rsidRDefault="00B31DE5" w:rsidP="00B31DE5">
      <w:pPr>
        <w:spacing w:line="360" w:lineRule="auto"/>
        <w:jc w:val="both"/>
        <w:rPr>
          <w:rFonts w:ascii="Palatino Linotype" w:hAnsi="Palatino Linotype"/>
          <w:lang w:val="es-ES_tradnl" w:eastAsia="es-ES"/>
        </w:rPr>
      </w:pPr>
    </w:p>
    <w:p w14:paraId="38E83648" w14:textId="77777777" w:rsidR="00B31DE5" w:rsidRPr="00000F02" w:rsidRDefault="00B31DE5" w:rsidP="00B31DE5">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lastRenderedPageBreak/>
        <w:t>SEGUNDO.</w:t>
      </w:r>
      <w:r w:rsidRPr="00000F02">
        <w:rPr>
          <w:rFonts w:ascii="Palatino Linotype" w:eastAsiaTheme="majorEastAsia" w:hAnsi="Palatino Linotype" w:cstheme="majorBidi"/>
          <w:b/>
          <w:color w:val="2E74B5" w:themeColor="accent1" w:themeShade="BF"/>
          <w:lang w:val="es-ES_tradnl" w:eastAsia="es-ES"/>
        </w:rPr>
        <w:t xml:space="preserve"> </w:t>
      </w:r>
      <w:r w:rsidRPr="00640032">
        <w:rPr>
          <w:rFonts w:ascii="Palatino Linotype" w:eastAsia="Calibri" w:hAnsi="Palatino Linotype" w:cs="Arial"/>
          <w:b/>
          <w:bCs/>
          <w:lang w:val="es-ES"/>
        </w:rPr>
        <w:t xml:space="preserve">REMÍTASE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 xml:space="preserve">(SAIMEX) </w:t>
      </w:r>
      <w:r w:rsidRPr="00640032">
        <w:rPr>
          <w:rFonts w:ascii="Palatino Linotype" w:eastAsia="Calibri" w:hAnsi="Palatino Linotype" w:cs="Arial"/>
          <w:bCs/>
          <w:lang w:val="es-ES"/>
        </w:rPr>
        <w:t>la presente resolución al Titular de la Unidad de Transparencia del</w:t>
      </w:r>
      <w:r w:rsidRPr="00640032">
        <w:rPr>
          <w:rFonts w:ascii="Palatino Linotype" w:eastAsia="Calibri" w:hAnsi="Palatino Linotype" w:cs="Arial"/>
          <w:b/>
          <w:bCs/>
          <w:lang w:val="es-ES"/>
        </w:rPr>
        <w:t xml:space="preserve"> SUJETO OBLIGADO.</w:t>
      </w:r>
    </w:p>
    <w:p w14:paraId="3F773E19" w14:textId="77777777" w:rsidR="00B31DE5" w:rsidRPr="00000F02" w:rsidRDefault="00B31DE5" w:rsidP="00B31DE5">
      <w:pPr>
        <w:spacing w:line="360" w:lineRule="auto"/>
        <w:jc w:val="both"/>
        <w:rPr>
          <w:rFonts w:ascii="Palatino Linotype" w:eastAsia="Calibri" w:hAnsi="Palatino Linotype" w:cs="Arial"/>
          <w:lang w:val="es-ES" w:eastAsia="es-ES"/>
        </w:rPr>
      </w:pPr>
    </w:p>
    <w:p w14:paraId="5C962C08" w14:textId="14FF9936" w:rsidR="00B31DE5" w:rsidRDefault="00B31DE5" w:rsidP="00B31DE5">
      <w:pPr>
        <w:tabs>
          <w:tab w:val="left" w:pos="8080"/>
        </w:tabs>
        <w:spacing w:line="360" w:lineRule="auto"/>
        <w:ind w:right="49"/>
        <w:contextualSpacing/>
        <w:jc w:val="both"/>
        <w:rPr>
          <w:rFonts w:ascii="Palatino Linotype" w:eastAsia="Calibri" w:hAnsi="Palatino Linotype" w:cs="Arial"/>
          <w:b/>
          <w:bCs/>
          <w:lang w:val="es-ES"/>
        </w:rPr>
      </w:pPr>
      <w:r w:rsidRPr="00000F02">
        <w:rPr>
          <w:rFonts w:ascii="Palatino Linotype" w:eastAsia="Palatino Linotype" w:hAnsi="Palatino Linotype" w:cs="Palatino Linotype"/>
          <w:b/>
          <w:lang w:val="es-ES_tradnl" w:eastAsia="es-ES"/>
        </w:rPr>
        <w:t xml:space="preserve">TERCERO. </w:t>
      </w:r>
      <w:r w:rsidRPr="00640032">
        <w:rPr>
          <w:rFonts w:ascii="Palatino Linotype" w:hAnsi="Palatino Linotype"/>
          <w:b/>
          <w:bCs/>
          <w:lang w:val="es-ES"/>
        </w:rPr>
        <w:t xml:space="preserve">Notifíquese </w:t>
      </w:r>
      <w:r w:rsidRPr="00640032">
        <w:rPr>
          <w:rFonts w:ascii="Palatino Linotype" w:hAnsi="Palatino Linotype"/>
          <w:bCs/>
          <w:lang w:val="es-ES"/>
        </w:rPr>
        <w:t>a</w:t>
      </w:r>
      <w:r>
        <w:rPr>
          <w:rFonts w:ascii="Palatino Linotype" w:hAnsi="Palatino Linotype"/>
          <w:bCs/>
          <w:lang w:val="es-ES"/>
        </w:rPr>
        <w:t>l</w:t>
      </w:r>
      <w:r w:rsidRPr="00640032">
        <w:rPr>
          <w:rFonts w:ascii="Palatino Linotype" w:hAnsi="Palatino Linotype"/>
          <w:bCs/>
          <w:lang w:val="es-ES"/>
        </w:rPr>
        <w:t xml:space="preserve"> </w:t>
      </w:r>
      <w:r>
        <w:rPr>
          <w:rFonts w:ascii="Palatino Linotype" w:hAnsi="Palatino Linotype"/>
          <w:b/>
          <w:bCs/>
          <w:lang w:val="es-ES"/>
        </w:rPr>
        <w:t>RECURRENTE</w:t>
      </w:r>
      <w:r w:rsidRPr="00640032">
        <w:rPr>
          <w:rFonts w:ascii="Palatino Linotype" w:hAnsi="Palatino Linotype"/>
        </w:rPr>
        <w:t xml:space="preserve"> </w:t>
      </w:r>
      <w:r w:rsidRPr="00640032">
        <w:rPr>
          <w:rFonts w:ascii="Palatino Linotype" w:hAnsi="Palatino Linotype"/>
          <w:lang w:val="es-ES"/>
        </w:rPr>
        <w:t>la presente resolución</w:t>
      </w:r>
      <w:r>
        <w:rPr>
          <w:rFonts w:ascii="Palatino Linotype" w:hAnsi="Palatino Linotype"/>
          <w:lang w:val="es-ES"/>
        </w:rPr>
        <w:t xml:space="preserv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(SAIMEX)</w:t>
      </w:r>
      <w:r>
        <w:rPr>
          <w:rFonts w:ascii="Palatino Linotype" w:eastAsia="Calibri" w:hAnsi="Palatino Linotype" w:cs="Arial"/>
          <w:b/>
          <w:bCs/>
          <w:lang w:val="es-ES"/>
        </w:rPr>
        <w:t>.</w:t>
      </w:r>
    </w:p>
    <w:p w14:paraId="08241EC7" w14:textId="77777777" w:rsidR="00B31DE5" w:rsidRPr="0063625D" w:rsidRDefault="00B31DE5" w:rsidP="00B31DE5">
      <w:pPr>
        <w:tabs>
          <w:tab w:val="left" w:pos="8080"/>
        </w:tabs>
        <w:spacing w:line="360" w:lineRule="auto"/>
        <w:ind w:right="49"/>
        <w:contextualSpacing/>
        <w:jc w:val="both"/>
        <w:rPr>
          <w:rFonts w:ascii="Palatino Linotype" w:eastAsia="Calibri" w:hAnsi="Palatino Linotype" w:cs="Arial"/>
          <w:b/>
          <w:bCs/>
          <w:lang w:val="es-ES"/>
        </w:rPr>
      </w:pPr>
    </w:p>
    <w:p w14:paraId="6CBD7309" w14:textId="77777777" w:rsidR="00B31DE5" w:rsidRPr="007F12B6" w:rsidRDefault="00B31DE5" w:rsidP="00B31DE5">
      <w:pPr>
        <w:spacing w:line="360" w:lineRule="auto"/>
        <w:jc w:val="both"/>
        <w:rPr>
          <w:rFonts w:ascii="Palatino Linotype" w:eastAsia="MS Mincho" w:hAnsi="Palatino Linotype"/>
          <w:lang w:val="es-ES" w:eastAsia="es-ES"/>
        </w:rPr>
      </w:pPr>
      <w:r w:rsidRPr="0093562D">
        <w:rPr>
          <w:rFonts w:ascii="Palatino Linotype" w:hAnsi="Palatino Linotype" w:cs="Arial"/>
          <w:b/>
          <w:color w:val="000000" w:themeColor="text1"/>
          <w:lang w:val="es-ES_tradnl" w:eastAsia="es-ES"/>
        </w:rPr>
        <w:t xml:space="preserve">CUARTO. </w:t>
      </w:r>
      <w:r w:rsidRPr="00640032">
        <w:rPr>
          <w:rFonts w:ascii="Palatino Linotype" w:eastAsia="MS Mincho" w:hAnsi="Palatino Linotype"/>
          <w:lang w:val="es-ES"/>
        </w:rPr>
        <w:t>Se hace del conocimiento de</w:t>
      </w:r>
      <w:r>
        <w:rPr>
          <w:rFonts w:ascii="Palatino Linotype" w:eastAsia="MS Mincho" w:hAnsi="Palatino Linotype"/>
          <w:lang w:val="es-ES"/>
        </w:rPr>
        <w:t xml:space="preserve"> la</w:t>
      </w:r>
      <w:r w:rsidRPr="00640032">
        <w:rPr>
          <w:rFonts w:ascii="Palatino Linotype" w:eastAsia="MS Mincho" w:hAnsi="Palatino Linotype"/>
          <w:lang w:val="es-ES"/>
        </w:rPr>
        <w:t xml:space="preserve"> </w:t>
      </w:r>
      <w:r>
        <w:rPr>
          <w:rFonts w:ascii="Palatino Linotype" w:hAnsi="Palatino Linotype"/>
          <w:b/>
          <w:bCs/>
          <w:lang w:val="es-ES"/>
        </w:rPr>
        <w:t>RECURRENTE</w:t>
      </w:r>
      <w:r>
        <w:rPr>
          <w:rFonts w:ascii="Palatino Linotype" w:hAnsi="Palatino Linotype"/>
        </w:rPr>
        <w:t xml:space="preserve"> </w:t>
      </w:r>
      <w:r w:rsidRPr="0064003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0032">
        <w:rPr>
          <w:rFonts w:ascii="Palatino Linotype" w:eastAsia="MS Mincho" w:hAnsi="Palatino Linotype"/>
          <w:bCs/>
          <w:lang w:val="es-ES"/>
        </w:rPr>
        <w:t>vía juicio de amparo</w:t>
      </w:r>
      <w:r w:rsidRPr="00640032">
        <w:rPr>
          <w:rFonts w:ascii="Palatino Linotype" w:eastAsia="MS Mincho" w:hAnsi="Palatino Linotype"/>
          <w:lang w:val="es-ES"/>
        </w:rPr>
        <w:t> en los términos de las leyes aplicables.</w:t>
      </w:r>
    </w:p>
    <w:p w14:paraId="3AF309B2" w14:textId="77777777" w:rsidR="00B31DE5" w:rsidRPr="007F12B6" w:rsidRDefault="00B31DE5" w:rsidP="00B31DE5">
      <w:pPr>
        <w:shd w:val="clear" w:color="auto" w:fill="FFFFFF"/>
        <w:spacing w:line="360" w:lineRule="auto"/>
        <w:contextualSpacing/>
        <w:jc w:val="both"/>
        <w:rPr>
          <w:rFonts w:ascii="Palatino Linotype" w:eastAsiaTheme="minorEastAsia" w:hAnsi="Palatino Linotype" w:cs="Arial"/>
          <w:lang w:val="es-ES_tradnl" w:eastAsia="es-ES"/>
        </w:rPr>
      </w:pPr>
    </w:p>
    <w:p w14:paraId="61AD9236" w14:textId="7CB06B1E" w:rsidR="00737F8A" w:rsidRPr="003B5EB6" w:rsidRDefault="00B31DE5" w:rsidP="003B5EB6">
      <w:pPr>
        <w:spacing w:line="360" w:lineRule="auto"/>
        <w:ind w:right="49"/>
        <w:jc w:val="both"/>
        <w:rPr>
          <w:rFonts w:ascii="Palatino Linotype" w:eastAsiaTheme="minorEastAsia" w:hAnsi="Palatino Linotype" w:cs="Arial"/>
          <w:lang w:val="es-ES_tradnl" w:eastAsia="es-ES"/>
        </w:rPr>
      </w:pPr>
      <w:r w:rsidRPr="007F12B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45402">
        <w:rPr>
          <w:rFonts w:ascii="Palatino Linotype" w:hAnsi="Palatino Linotype"/>
        </w:rPr>
        <w:t>;</w:t>
      </w:r>
      <w:r w:rsidRPr="007F12B6">
        <w:rPr>
          <w:rFonts w:ascii="Palatino Linotype" w:hAnsi="Palatino Linotype"/>
        </w:rPr>
        <w:t xml:space="preserve"> EN LA </w:t>
      </w:r>
      <w:r>
        <w:rPr>
          <w:rFonts w:ascii="Palatino Linotype" w:hAnsi="Palatino Linotype"/>
        </w:rPr>
        <w:t>PRIMERA</w:t>
      </w:r>
      <w:r w:rsidRPr="007F12B6">
        <w:rPr>
          <w:rFonts w:ascii="Palatino Linotype" w:hAnsi="Palatino Linotype"/>
        </w:rPr>
        <w:t xml:space="preserve"> SESIÓN ORDINARIA CELEBRADA EL </w:t>
      </w:r>
      <w:r>
        <w:rPr>
          <w:rFonts w:ascii="Palatino Linotype" w:hAnsi="Palatino Linotype"/>
        </w:rPr>
        <w:t xml:space="preserve">DIECISIETE </w:t>
      </w:r>
      <w:r w:rsidR="009C012B">
        <w:rPr>
          <w:rFonts w:ascii="Palatino Linotype" w:hAnsi="Palatino Linotype"/>
        </w:rPr>
        <w:t xml:space="preserve">(17) </w:t>
      </w:r>
      <w:r>
        <w:rPr>
          <w:rFonts w:ascii="Palatino Linotype" w:hAnsi="Palatino Linotype"/>
        </w:rPr>
        <w:t>DE ENERO DE DOS MIL VEINTICUATRO</w:t>
      </w:r>
      <w:r w:rsidRPr="007F12B6">
        <w:rPr>
          <w:rFonts w:ascii="Palatino Linotype" w:hAnsi="Palatino Linotype"/>
        </w:rPr>
        <w:t>, ANTE EL SECRETARIO TÉCNICO DEL PLENO ALEXIS TAPIA RAMÍREZ.</w:t>
      </w:r>
      <w:r w:rsidRPr="00B31DE5">
        <w:rPr>
          <w:rFonts w:ascii="Palatino Linotype" w:hAnsi="Palatino Linotype"/>
        </w:rPr>
        <w:t xml:space="preserve"> </w:t>
      </w:r>
    </w:p>
    <w:p w14:paraId="5ACF1082"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54B944D6"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62929803"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2CDE95DD"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722812E7"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066A1D09"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2FE89226" w14:textId="77777777" w:rsidR="00737F8A" w:rsidRPr="003B5EB6" w:rsidRDefault="00737F8A" w:rsidP="003B5EB6">
      <w:pPr>
        <w:spacing w:line="360" w:lineRule="auto"/>
        <w:rPr>
          <w:rFonts w:ascii="Palatino Linotype" w:hAnsi="Palatino Linotype"/>
        </w:rPr>
      </w:pPr>
    </w:p>
    <w:p w14:paraId="083B9845" w14:textId="77777777" w:rsidR="00737F8A" w:rsidRPr="003B5EB6" w:rsidRDefault="00737F8A" w:rsidP="003B5EB6">
      <w:pPr>
        <w:spacing w:line="360" w:lineRule="auto"/>
        <w:rPr>
          <w:rFonts w:ascii="Palatino Linotype" w:hAnsi="Palatino Linotype"/>
        </w:rPr>
      </w:pPr>
    </w:p>
    <w:p w14:paraId="714D4816" w14:textId="77777777" w:rsidR="00737F8A" w:rsidRPr="003B5EB6" w:rsidRDefault="00737F8A" w:rsidP="003B5EB6">
      <w:pPr>
        <w:spacing w:line="360" w:lineRule="auto"/>
        <w:rPr>
          <w:rFonts w:ascii="Palatino Linotype" w:hAnsi="Palatino Linotype"/>
        </w:rPr>
      </w:pPr>
    </w:p>
    <w:p w14:paraId="3CD35699" w14:textId="77777777" w:rsidR="00737F8A" w:rsidRPr="003B5EB6" w:rsidRDefault="00737F8A" w:rsidP="003B5EB6">
      <w:pPr>
        <w:spacing w:line="360" w:lineRule="auto"/>
        <w:rPr>
          <w:rFonts w:ascii="Palatino Linotype" w:hAnsi="Palatino Linotype"/>
        </w:rPr>
      </w:pPr>
    </w:p>
    <w:p w14:paraId="12AE06EC" w14:textId="77777777" w:rsidR="00737F8A" w:rsidRPr="003B5EB6" w:rsidRDefault="00737F8A" w:rsidP="003B5EB6">
      <w:pPr>
        <w:spacing w:line="360" w:lineRule="auto"/>
        <w:rPr>
          <w:rFonts w:ascii="Palatino Linotype" w:hAnsi="Palatino Linotype"/>
        </w:rPr>
      </w:pPr>
    </w:p>
    <w:p w14:paraId="394C4F52" w14:textId="77777777" w:rsidR="00737F8A" w:rsidRPr="003B5EB6" w:rsidRDefault="00737F8A" w:rsidP="003B5EB6">
      <w:pPr>
        <w:spacing w:line="360" w:lineRule="auto"/>
        <w:rPr>
          <w:rFonts w:ascii="Palatino Linotype" w:hAnsi="Palatino Linotype"/>
        </w:rPr>
      </w:pPr>
    </w:p>
    <w:p w14:paraId="3F8BD07C" w14:textId="77777777" w:rsidR="00737F8A" w:rsidRPr="003B5EB6" w:rsidRDefault="00737F8A" w:rsidP="003B5EB6">
      <w:pPr>
        <w:spacing w:line="360" w:lineRule="auto"/>
        <w:rPr>
          <w:rFonts w:ascii="Palatino Linotype" w:hAnsi="Palatino Linotype"/>
        </w:rPr>
      </w:pPr>
    </w:p>
    <w:p w14:paraId="71C9FAC3" w14:textId="77777777" w:rsidR="00737F8A" w:rsidRPr="003B5EB6" w:rsidRDefault="00737F8A" w:rsidP="003B5EB6">
      <w:pPr>
        <w:spacing w:line="360" w:lineRule="auto"/>
        <w:rPr>
          <w:rFonts w:ascii="Palatino Linotype" w:hAnsi="Palatino Linotype"/>
        </w:rPr>
      </w:pPr>
    </w:p>
    <w:p w14:paraId="6CA6033F" w14:textId="77777777" w:rsidR="00737F8A" w:rsidRPr="003B5EB6" w:rsidRDefault="00737F8A" w:rsidP="003B5EB6">
      <w:pPr>
        <w:spacing w:line="360" w:lineRule="auto"/>
        <w:rPr>
          <w:rFonts w:ascii="Palatino Linotype" w:hAnsi="Palatino Linotype"/>
        </w:rPr>
      </w:pPr>
    </w:p>
    <w:p w14:paraId="37D78432" w14:textId="77777777" w:rsidR="00737F8A" w:rsidRPr="003B5EB6" w:rsidRDefault="00737F8A" w:rsidP="003B5EB6">
      <w:pPr>
        <w:spacing w:line="360" w:lineRule="auto"/>
        <w:rPr>
          <w:rFonts w:ascii="Palatino Linotype" w:hAnsi="Palatino Linotype"/>
        </w:rPr>
      </w:pPr>
    </w:p>
    <w:p w14:paraId="61F732D3" w14:textId="77777777" w:rsidR="00737F8A" w:rsidRPr="003B5EB6" w:rsidRDefault="00737F8A" w:rsidP="003B5EB6">
      <w:pPr>
        <w:spacing w:line="360" w:lineRule="auto"/>
        <w:rPr>
          <w:rFonts w:ascii="Palatino Linotype" w:hAnsi="Palatino Linotype"/>
        </w:rPr>
      </w:pPr>
    </w:p>
    <w:p w14:paraId="6365BF7D" w14:textId="77777777" w:rsidR="00737F8A" w:rsidRPr="003B5EB6" w:rsidRDefault="00737F8A" w:rsidP="003B5EB6">
      <w:pPr>
        <w:spacing w:line="360" w:lineRule="auto"/>
        <w:rPr>
          <w:rFonts w:ascii="Palatino Linotype" w:hAnsi="Palatino Linotype"/>
        </w:rPr>
      </w:pPr>
    </w:p>
    <w:p w14:paraId="516FFB65" w14:textId="77777777" w:rsidR="00737F8A" w:rsidRPr="003B5EB6" w:rsidRDefault="00737F8A" w:rsidP="003B5EB6">
      <w:pPr>
        <w:spacing w:line="360" w:lineRule="auto"/>
        <w:rPr>
          <w:rFonts w:ascii="Palatino Linotype" w:hAnsi="Palatino Linotype"/>
        </w:rPr>
      </w:pPr>
    </w:p>
    <w:sectPr w:rsidR="00737F8A" w:rsidRPr="003B5EB6" w:rsidSect="0071091E">
      <w:type w:val="continuous"/>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B43F" w14:textId="77777777" w:rsidR="001F113D" w:rsidRDefault="001F113D" w:rsidP="00737F8A">
      <w:r>
        <w:separator/>
      </w:r>
    </w:p>
  </w:endnote>
  <w:endnote w:type="continuationSeparator" w:id="0">
    <w:p w14:paraId="57713F5A" w14:textId="77777777" w:rsidR="001F113D" w:rsidRDefault="001F113D"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A577" w14:textId="77777777" w:rsidR="001F113D" w:rsidRDefault="001F113D" w:rsidP="00737F8A">
      <w:r>
        <w:separator/>
      </w:r>
    </w:p>
  </w:footnote>
  <w:footnote w:type="continuationSeparator" w:id="0">
    <w:p w14:paraId="77489ABA" w14:textId="77777777" w:rsidR="001F113D" w:rsidRDefault="001F113D" w:rsidP="0073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7CF3" w14:textId="77777777" w:rsidR="004B4CDB" w:rsidRDefault="001F113D">
    <w:pPr>
      <w:pStyle w:val="Encabezado"/>
    </w:pPr>
    <w:r>
      <w:rPr>
        <w:noProof/>
      </w:rPr>
      <w:pict w14:anchorId="54A8B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4B4CDB" w:rsidRPr="005C106F" w14:paraId="638A6ED0" w14:textId="77777777" w:rsidTr="00737F8A">
      <w:trPr>
        <w:trHeight w:val="1435"/>
      </w:trPr>
      <w:tc>
        <w:tcPr>
          <w:tcW w:w="2268" w:type="dxa"/>
          <w:shd w:val="clear" w:color="auto" w:fill="auto"/>
        </w:tcPr>
        <w:p w14:paraId="7050CA44" w14:textId="77777777" w:rsidR="004B4CDB" w:rsidRPr="005C106F" w:rsidRDefault="004B4CDB" w:rsidP="00737F8A">
          <w:pPr>
            <w:tabs>
              <w:tab w:val="right" w:pos="4273"/>
            </w:tabs>
            <w:rPr>
              <w:rFonts w:ascii="Garamond" w:eastAsia="Calibri" w:hAnsi="Garamond"/>
              <w:sz w:val="16"/>
              <w:szCs w:val="16"/>
              <w:lang w:eastAsia="en-US"/>
            </w:rPr>
          </w:pPr>
        </w:p>
      </w:tc>
      <w:tc>
        <w:tcPr>
          <w:tcW w:w="6946" w:type="dxa"/>
          <w:shd w:val="clear" w:color="auto" w:fill="auto"/>
        </w:tcPr>
        <w:p w14:paraId="666C94A0" w14:textId="77777777" w:rsidR="004B4CDB" w:rsidRDefault="004B4CDB" w:rsidP="00737F8A"/>
        <w:tbl>
          <w:tblPr>
            <w:tblW w:w="6662" w:type="dxa"/>
            <w:tblInd w:w="40" w:type="dxa"/>
            <w:tblLayout w:type="fixed"/>
            <w:tblLook w:val="0420" w:firstRow="1" w:lastRow="0" w:firstColumn="0" w:lastColumn="0" w:noHBand="0" w:noVBand="1"/>
          </w:tblPr>
          <w:tblGrid>
            <w:gridCol w:w="2551"/>
            <w:gridCol w:w="4111"/>
          </w:tblGrid>
          <w:tr w:rsidR="004B4CDB" w14:paraId="46B162BA" w14:textId="77777777" w:rsidTr="00737F8A">
            <w:trPr>
              <w:trHeight w:val="150"/>
            </w:trPr>
            <w:tc>
              <w:tcPr>
                <w:tcW w:w="2551" w:type="dxa"/>
                <w:shd w:val="clear" w:color="auto" w:fill="auto"/>
              </w:tcPr>
              <w:p w14:paraId="6E8EBD20" w14:textId="77777777" w:rsidR="004B4CDB" w:rsidRPr="00020E73" w:rsidRDefault="004B4CDB" w:rsidP="00737F8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4FA7041" w14:textId="77777777" w:rsidR="004B4CDB" w:rsidRPr="00020E73" w:rsidRDefault="00347D2A" w:rsidP="00737F8A">
                <w:pPr>
                  <w:tabs>
                    <w:tab w:val="right" w:pos="8838"/>
                  </w:tabs>
                  <w:ind w:left="-108" w:right="-102"/>
                  <w:jc w:val="both"/>
                  <w:rPr>
                    <w:rFonts w:ascii="Palatino Linotype" w:eastAsia="Calibri" w:hAnsi="Palatino Linotype" w:cs="Tahoma"/>
                    <w:bCs/>
                    <w:sz w:val="22"/>
                    <w:szCs w:val="22"/>
                    <w:lang w:val="es-ES" w:eastAsia="en-US"/>
                  </w:rPr>
                </w:pPr>
                <w:r>
                  <w:rPr>
                    <w:rFonts w:ascii="Palatino Linotype" w:hAnsi="Palatino Linotype"/>
                    <w:b/>
                    <w:bCs/>
                  </w:rPr>
                  <w:t>03933</w:t>
                </w:r>
                <w:r w:rsidR="008159ED">
                  <w:rPr>
                    <w:rFonts w:ascii="Palatino Linotype" w:hAnsi="Palatino Linotype"/>
                    <w:b/>
                    <w:bCs/>
                  </w:rPr>
                  <w:t>/INFOEM/IP/RR/2023</w:t>
                </w:r>
              </w:p>
            </w:tc>
          </w:tr>
          <w:tr w:rsidR="004B4CDB" w:rsidRPr="00537748" w14:paraId="2ADAB491" w14:textId="77777777" w:rsidTr="00737F8A">
            <w:trPr>
              <w:trHeight w:val="295"/>
            </w:trPr>
            <w:tc>
              <w:tcPr>
                <w:tcW w:w="2551" w:type="dxa"/>
                <w:shd w:val="clear" w:color="auto" w:fill="auto"/>
              </w:tcPr>
              <w:p w14:paraId="1E254FD1" w14:textId="77777777" w:rsidR="004B4CDB" w:rsidRPr="00020E73" w:rsidRDefault="004B4CDB" w:rsidP="00737F8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873BB07" w14:textId="77777777" w:rsidR="004B4CDB" w:rsidRPr="00537748" w:rsidRDefault="001431A9" w:rsidP="00347D2A">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Theme="minorEastAsia" w:hAnsi="Palatino Linotype"/>
                    <w:b/>
                    <w:bCs/>
                    <w:lang w:val="es-ES_tradnl" w:eastAsia="es-ES"/>
                  </w:rPr>
                  <w:t xml:space="preserve">Ayuntamiento de </w:t>
                </w:r>
                <w:r w:rsidR="00347D2A">
                  <w:rPr>
                    <w:rFonts w:ascii="Palatino Linotype" w:eastAsiaTheme="minorEastAsia" w:hAnsi="Palatino Linotype"/>
                    <w:b/>
                    <w:bCs/>
                    <w:lang w:val="es-ES_tradnl" w:eastAsia="es-ES"/>
                  </w:rPr>
                  <w:t>Ixtlahuaca</w:t>
                </w:r>
              </w:p>
            </w:tc>
          </w:tr>
          <w:tr w:rsidR="004B4CDB" w14:paraId="5EE6763C" w14:textId="77777777" w:rsidTr="00737F8A">
            <w:trPr>
              <w:trHeight w:val="295"/>
            </w:trPr>
            <w:tc>
              <w:tcPr>
                <w:tcW w:w="2551" w:type="dxa"/>
                <w:shd w:val="clear" w:color="auto" w:fill="auto"/>
              </w:tcPr>
              <w:p w14:paraId="234DDAEC" w14:textId="77777777" w:rsidR="004B4CDB" w:rsidRPr="00020E73" w:rsidRDefault="004B4CDB" w:rsidP="00737F8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CD444B5" w14:textId="77777777" w:rsidR="004B4CDB" w:rsidRPr="00020E73" w:rsidRDefault="004B4CDB" w:rsidP="00737F8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65CBDB3" w14:textId="77777777" w:rsidR="004B4CDB" w:rsidRPr="00020E73" w:rsidRDefault="004B4CDB" w:rsidP="00737F8A">
                <w:pPr>
                  <w:tabs>
                    <w:tab w:val="right" w:pos="8838"/>
                  </w:tabs>
                  <w:ind w:left="-108" w:right="171"/>
                  <w:jc w:val="both"/>
                  <w:rPr>
                    <w:rFonts w:ascii="Palatino Linotype" w:eastAsia="Calibri" w:hAnsi="Palatino Linotype" w:cs="Tahoma"/>
                    <w:b/>
                    <w:sz w:val="22"/>
                    <w:szCs w:val="22"/>
                    <w:lang w:val="es-ES" w:eastAsia="en-US"/>
                  </w:rPr>
                </w:pPr>
              </w:p>
            </w:tc>
          </w:tr>
        </w:tbl>
        <w:p w14:paraId="4A52BF87" w14:textId="77777777" w:rsidR="004B4CDB" w:rsidRPr="005C106F" w:rsidRDefault="004B4CDB" w:rsidP="00737F8A">
          <w:pPr>
            <w:tabs>
              <w:tab w:val="right" w:pos="8838"/>
            </w:tabs>
            <w:ind w:left="-28"/>
            <w:jc w:val="both"/>
            <w:rPr>
              <w:rFonts w:ascii="Arial" w:eastAsia="Calibri" w:hAnsi="Arial" w:cs="Arial"/>
              <w:b/>
              <w:sz w:val="22"/>
              <w:szCs w:val="22"/>
              <w:lang w:eastAsia="en-US"/>
            </w:rPr>
          </w:pPr>
        </w:p>
      </w:tc>
    </w:tr>
  </w:tbl>
  <w:p w14:paraId="50CA1A6C" w14:textId="77777777" w:rsidR="004B4CDB" w:rsidRPr="00443C6B" w:rsidRDefault="001F113D" w:rsidP="00737F8A">
    <w:pPr>
      <w:pStyle w:val="Encabezado"/>
      <w:rPr>
        <w:sz w:val="14"/>
      </w:rPr>
    </w:pPr>
    <w:r>
      <w:rPr>
        <w:noProof/>
        <w:sz w:val="14"/>
      </w:rPr>
      <w:pict w14:anchorId="672B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4B4CDB" w:rsidRPr="00330DA7" w14:paraId="75E8CF47" w14:textId="77777777" w:rsidTr="00737F8A">
      <w:trPr>
        <w:trHeight w:val="1435"/>
      </w:trPr>
      <w:tc>
        <w:tcPr>
          <w:tcW w:w="2268" w:type="dxa"/>
          <w:shd w:val="clear" w:color="auto" w:fill="auto"/>
        </w:tcPr>
        <w:p w14:paraId="07A1F485" w14:textId="77777777" w:rsidR="004B4CDB" w:rsidRPr="00330DA7" w:rsidRDefault="004B4CDB" w:rsidP="00737F8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4B4CDB" w:rsidRPr="00330DA7" w14:paraId="37A1AB7C" w14:textId="77777777" w:rsidTr="00737F8A">
            <w:trPr>
              <w:trHeight w:val="144"/>
            </w:trPr>
            <w:tc>
              <w:tcPr>
                <w:tcW w:w="2444" w:type="dxa"/>
                <w:shd w:val="clear" w:color="auto" w:fill="auto"/>
              </w:tcPr>
              <w:p w14:paraId="6B2E5573" w14:textId="77777777" w:rsidR="004B4CDB" w:rsidRPr="00800796" w:rsidRDefault="004B4CDB" w:rsidP="00737F8A">
                <w:pPr>
                  <w:tabs>
                    <w:tab w:val="right" w:pos="8838"/>
                  </w:tabs>
                  <w:ind w:left="-264" w:right="-105" w:firstLine="195"/>
                  <w:rPr>
                    <w:rFonts w:ascii="Palatino Linotype" w:eastAsia="Calibri" w:hAnsi="Palatino Linotype" w:cs="Tahoma"/>
                    <w:b/>
                    <w:sz w:val="22"/>
                    <w:szCs w:val="22"/>
                    <w:lang w:val="es-ES" w:eastAsia="en-US"/>
                  </w:rPr>
                </w:pPr>
                <w:r w:rsidRPr="00800796">
                  <w:rPr>
                    <w:rFonts w:ascii="Palatino Linotype" w:eastAsia="Calibri" w:hAnsi="Palatino Linotype" w:cs="Tahoma"/>
                    <w:b/>
                    <w:sz w:val="22"/>
                    <w:szCs w:val="22"/>
                    <w:lang w:val="es-ES" w:eastAsia="en-US"/>
                  </w:rPr>
                  <w:t>Recurso de Revisión:</w:t>
                </w:r>
              </w:p>
            </w:tc>
            <w:tc>
              <w:tcPr>
                <w:tcW w:w="4218" w:type="dxa"/>
                <w:shd w:val="clear" w:color="auto" w:fill="auto"/>
              </w:tcPr>
              <w:p w14:paraId="6B911363" w14:textId="77777777" w:rsidR="004B4CDB" w:rsidRPr="00800796" w:rsidRDefault="00347D2A" w:rsidP="00737F8A">
                <w:pPr>
                  <w:tabs>
                    <w:tab w:val="right" w:pos="8838"/>
                  </w:tabs>
                  <w:ind w:left="-74" w:right="-105"/>
                  <w:jc w:val="both"/>
                  <w:rPr>
                    <w:rFonts w:ascii="Palatino Linotype" w:eastAsia="Calibri" w:hAnsi="Palatino Linotype" w:cs="Tahoma"/>
                    <w:bCs/>
                    <w:sz w:val="22"/>
                    <w:szCs w:val="22"/>
                    <w:lang w:val="es-ES" w:eastAsia="en-US"/>
                  </w:rPr>
                </w:pPr>
                <w:r>
                  <w:rPr>
                    <w:rFonts w:ascii="Palatino Linotype" w:hAnsi="Palatino Linotype"/>
                    <w:b/>
                    <w:bCs/>
                  </w:rPr>
                  <w:t>03933</w:t>
                </w:r>
                <w:r w:rsidR="008159ED" w:rsidRPr="00800796">
                  <w:rPr>
                    <w:rFonts w:ascii="Palatino Linotype" w:hAnsi="Palatino Linotype"/>
                    <w:b/>
                    <w:bCs/>
                  </w:rPr>
                  <w:t>/INFOEM/IP/RR/2023</w:t>
                </w:r>
              </w:p>
            </w:tc>
          </w:tr>
          <w:tr w:rsidR="004B4CDB" w:rsidRPr="00330DA7" w14:paraId="1A7CFF7B" w14:textId="77777777" w:rsidTr="00737F8A">
            <w:trPr>
              <w:trHeight w:val="144"/>
            </w:trPr>
            <w:tc>
              <w:tcPr>
                <w:tcW w:w="2444" w:type="dxa"/>
                <w:shd w:val="clear" w:color="auto" w:fill="auto"/>
              </w:tcPr>
              <w:p w14:paraId="503C8AE3" w14:textId="77777777" w:rsidR="004B4CDB" w:rsidRPr="00800796" w:rsidRDefault="004B4CDB" w:rsidP="00737F8A">
                <w:pPr>
                  <w:tabs>
                    <w:tab w:val="right" w:pos="8838"/>
                  </w:tabs>
                  <w:ind w:left="-74" w:right="-105"/>
                  <w:rPr>
                    <w:rFonts w:ascii="Palatino Linotype" w:eastAsia="Calibri" w:hAnsi="Palatino Linotype" w:cs="Tahoma"/>
                    <w:b/>
                    <w:sz w:val="22"/>
                    <w:szCs w:val="22"/>
                    <w:lang w:val="es-ES" w:eastAsia="en-US"/>
                  </w:rPr>
                </w:pPr>
                <w:r w:rsidRPr="00800796">
                  <w:rPr>
                    <w:rFonts w:ascii="Palatino Linotype" w:eastAsia="Calibri" w:hAnsi="Palatino Linotype" w:cs="Tahoma"/>
                    <w:b/>
                    <w:sz w:val="22"/>
                    <w:szCs w:val="22"/>
                    <w:lang w:val="es-ES" w:eastAsia="en-US"/>
                  </w:rPr>
                  <w:t>Recurrente:</w:t>
                </w:r>
              </w:p>
            </w:tc>
            <w:tc>
              <w:tcPr>
                <w:tcW w:w="4218" w:type="dxa"/>
                <w:shd w:val="clear" w:color="auto" w:fill="auto"/>
              </w:tcPr>
              <w:p w14:paraId="3DA9144F" w14:textId="1ADD7E90" w:rsidR="004B4CDB" w:rsidRPr="00800796" w:rsidRDefault="00E5635A" w:rsidP="00737F8A">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b/>
                    <w:bCs/>
                    <w:color w:val="000000" w:themeColor="text1"/>
                    <w:sz w:val="22"/>
                    <w:szCs w:val="22"/>
                    <w:lang w:eastAsia="en-US"/>
                  </w:rPr>
                  <w:t>XXX XXX XXX</w:t>
                </w:r>
                <w:r w:rsidR="00347D2A" w:rsidRPr="00745402">
                  <w:rPr>
                    <w:rFonts w:ascii="Palatino Linotype" w:eastAsia="Calibri" w:hAnsi="Palatino Linotype" w:cs="Tahoma"/>
                    <w:b/>
                    <w:bCs/>
                    <w:color w:val="000000" w:themeColor="text1"/>
                    <w:sz w:val="22"/>
                    <w:szCs w:val="22"/>
                    <w:lang w:eastAsia="en-US"/>
                  </w:rPr>
                  <w:t> </w:t>
                </w:r>
              </w:p>
            </w:tc>
          </w:tr>
          <w:tr w:rsidR="004B4CDB" w:rsidRPr="00330DA7" w14:paraId="60ED8FE6" w14:textId="77777777" w:rsidTr="00737F8A">
            <w:trPr>
              <w:trHeight w:val="283"/>
            </w:trPr>
            <w:tc>
              <w:tcPr>
                <w:tcW w:w="2444" w:type="dxa"/>
                <w:shd w:val="clear" w:color="auto" w:fill="auto"/>
              </w:tcPr>
              <w:p w14:paraId="4861D0EC" w14:textId="77777777" w:rsidR="004B4CDB" w:rsidRPr="00800796" w:rsidRDefault="004B4CDB" w:rsidP="00737F8A">
                <w:pPr>
                  <w:tabs>
                    <w:tab w:val="right" w:pos="8838"/>
                  </w:tabs>
                  <w:ind w:left="-74" w:right="-105"/>
                  <w:rPr>
                    <w:rFonts w:ascii="Palatino Linotype" w:eastAsia="Calibri" w:hAnsi="Palatino Linotype" w:cs="Tahoma"/>
                    <w:b/>
                    <w:sz w:val="22"/>
                    <w:szCs w:val="22"/>
                    <w:lang w:val="es-ES" w:eastAsia="en-US"/>
                  </w:rPr>
                </w:pPr>
                <w:r w:rsidRPr="00800796">
                  <w:rPr>
                    <w:rFonts w:ascii="Palatino Linotype" w:eastAsia="Calibri" w:hAnsi="Palatino Linotype" w:cs="Tahoma"/>
                    <w:b/>
                    <w:sz w:val="22"/>
                    <w:szCs w:val="22"/>
                    <w:lang w:val="es-ES" w:eastAsia="en-US"/>
                  </w:rPr>
                  <w:t>Sujeto Obligado:</w:t>
                </w:r>
              </w:p>
            </w:tc>
            <w:tc>
              <w:tcPr>
                <w:tcW w:w="4218" w:type="dxa"/>
                <w:shd w:val="clear" w:color="auto" w:fill="auto"/>
              </w:tcPr>
              <w:p w14:paraId="6B98D343" w14:textId="77777777" w:rsidR="004B4CDB" w:rsidRPr="00800796" w:rsidRDefault="00347D2A" w:rsidP="00737F8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Theme="minorEastAsia" w:hAnsi="Palatino Linotype"/>
                    <w:b/>
                    <w:bCs/>
                    <w:lang w:val="es-ES_tradnl" w:eastAsia="es-ES"/>
                  </w:rPr>
                  <w:t>Ayuntamiento de Ixtlahuaca</w:t>
                </w:r>
              </w:p>
            </w:tc>
          </w:tr>
          <w:tr w:rsidR="004B4CDB" w:rsidRPr="00330DA7" w14:paraId="4A3011E8" w14:textId="77777777" w:rsidTr="00737F8A">
            <w:trPr>
              <w:trHeight w:val="283"/>
            </w:trPr>
            <w:tc>
              <w:tcPr>
                <w:tcW w:w="2444" w:type="dxa"/>
                <w:shd w:val="clear" w:color="auto" w:fill="auto"/>
              </w:tcPr>
              <w:p w14:paraId="14B64D63" w14:textId="77777777" w:rsidR="004B4CDB" w:rsidRPr="00800796" w:rsidRDefault="004B4CDB" w:rsidP="00737F8A">
                <w:pPr>
                  <w:tabs>
                    <w:tab w:val="right" w:pos="8838"/>
                  </w:tabs>
                  <w:ind w:left="-74" w:right="-105"/>
                  <w:rPr>
                    <w:rFonts w:ascii="Palatino Linotype" w:eastAsia="Calibri" w:hAnsi="Palatino Linotype" w:cs="Tahoma"/>
                    <w:b/>
                    <w:sz w:val="22"/>
                    <w:szCs w:val="22"/>
                    <w:lang w:val="es-ES" w:eastAsia="en-US"/>
                  </w:rPr>
                </w:pPr>
                <w:r w:rsidRPr="00800796">
                  <w:rPr>
                    <w:rFonts w:ascii="Palatino Linotype" w:eastAsia="Calibri" w:hAnsi="Palatino Linotype" w:cs="Tahoma"/>
                    <w:b/>
                    <w:sz w:val="22"/>
                    <w:szCs w:val="22"/>
                    <w:lang w:val="es-ES" w:eastAsia="en-US"/>
                  </w:rPr>
                  <w:t>Comisionada ponente:</w:t>
                </w:r>
              </w:p>
            </w:tc>
            <w:tc>
              <w:tcPr>
                <w:tcW w:w="4218" w:type="dxa"/>
                <w:shd w:val="clear" w:color="auto" w:fill="auto"/>
              </w:tcPr>
              <w:p w14:paraId="30C398D8" w14:textId="77777777" w:rsidR="004B4CDB" w:rsidRPr="00800796" w:rsidRDefault="004B4CDB" w:rsidP="00737F8A">
                <w:pPr>
                  <w:tabs>
                    <w:tab w:val="right" w:pos="8838"/>
                  </w:tabs>
                  <w:ind w:left="-74" w:right="-105"/>
                  <w:jc w:val="both"/>
                  <w:rPr>
                    <w:rFonts w:ascii="Palatino Linotype" w:eastAsia="Calibri" w:hAnsi="Palatino Linotype" w:cs="Tahoma"/>
                    <w:sz w:val="22"/>
                    <w:szCs w:val="22"/>
                    <w:lang w:val="es-ES" w:eastAsia="en-US"/>
                  </w:rPr>
                </w:pPr>
                <w:r w:rsidRPr="00800796">
                  <w:rPr>
                    <w:rFonts w:ascii="Palatino Linotype" w:eastAsia="Calibri" w:hAnsi="Palatino Linotype" w:cs="Tahoma"/>
                    <w:sz w:val="22"/>
                    <w:szCs w:val="22"/>
                    <w:lang w:val="es-ES" w:eastAsia="en-US"/>
                  </w:rPr>
                  <w:t>María del Rosario Mejía Ayala</w:t>
                </w:r>
              </w:p>
              <w:p w14:paraId="5ACB740E" w14:textId="77777777" w:rsidR="004B4CDB" w:rsidRPr="00800796" w:rsidRDefault="004B4CDB" w:rsidP="00737F8A">
                <w:pPr>
                  <w:tabs>
                    <w:tab w:val="right" w:pos="8838"/>
                  </w:tabs>
                  <w:ind w:left="-74" w:right="-105"/>
                  <w:jc w:val="both"/>
                  <w:rPr>
                    <w:rFonts w:ascii="Palatino Linotype" w:eastAsia="Calibri" w:hAnsi="Palatino Linotype" w:cs="Tahoma"/>
                    <w:b/>
                    <w:sz w:val="22"/>
                    <w:szCs w:val="22"/>
                    <w:lang w:val="es-ES" w:eastAsia="en-US"/>
                  </w:rPr>
                </w:pPr>
              </w:p>
            </w:tc>
          </w:tr>
        </w:tbl>
        <w:p w14:paraId="312BBC70" w14:textId="77777777" w:rsidR="004B4CDB" w:rsidRPr="00330DA7" w:rsidRDefault="004B4CDB" w:rsidP="00737F8A">
          <w:pPr>
            <w:tabs>
              <w:tab w:val="right" w:pos="8838"/>
            </w:tabs>
            <w:ind w:left="-28"/>
            <w:jc w:val="both"/>
            <w:rPr>
              <w:rFonts w:ascii="Arial" w:eastAsia="Calibri" w:hAnsi="Arial" w:cs="Arial"/>
              <w:b/>
              <w:sz w:val="22"/>
              <w:szCs w:val="22"/>
              <w:lang w:eastAsia="en-US"/>
            </w:rPr>
          </w:pPr>
        </w:p>
      </w:tc>
    </w:tr>
  </w:tbl>
  <w:p w14:paraId="7F64D8A4" w14:textId="77777777" w:rsidR="004B4CDB" w:rsidRPr="00827FA0" w:rsidRDefault="001F113D" w:rsidP="00737F8A">
    <w:pPr>
      <w:pStyle w:val="Encabezado"/>
      <w:rPr>
        <w:sz w:val="2"/>
        <w:szCs w:val="22"/>
      </w:rPr>
    </w:pPr>
    <w:r>
      <w:rPr>
        <w:noProof/>
        <w:sz w:val="2"/>
        <w:szCs w:val="22"/>
      </w:rPr>
      <w:pict w14:anchorId="1139E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61F"/>
    <w:multiLevelType w:val="hybridMultilevel"/>
    <w:tmpl w:val="2B769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1DBF"/>
    <w:multiLevelType w:val="hybridMultilevel"/>
    <w:tmpl w:val="B820176E"/>
    <w:lvl w:ilvl="0" w:tplc="1B641D2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6C0D97"/>
    <w:multiLevelType w:val="hybridMultilevel"/>
    <w:tmpl w:val="1F92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016DA6"/>
    <w:multiLevelType w:val="multilevel"/>
    <w:tmpl w:val="9E0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83257"/>
    <w:multiLevelType w:val="hybridMultilevel"/>
    <w:tmpl w:val="AE74157A"/>
    <w:lvl w:ilvl="0" w:tplc="2ABA998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307EF1"/>
    <w:multiLevelType w:val="hybridMultilevel"/>
    <w:tmpl w:val="25D6F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72EAC"/>
    <w:multiLevelType w:val="hybridMultilevel"/>
    <w:tmpl w:val="83AA7302"/>
    <w:lvl w:ilvl="0" w:tplc="838C057A">
      <w:start w:val="5"/>
      <w:numFmt w:val="decimal"/>
      <w:lvlText w:val="%1."/>
      <w:lvlJc w:val="left"/>
      <w:pPr>
        <w:ind w:left="720" w:hanging="360"/>
      </w:pPr>
      <w:rPr>
        <w:rFonts w:eastAsia="Calibri" w:cs="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B7CD9"/>
    <w:multiLevelType w:val="hybridMultilevel"/>
    <w:tmpl w:val="BE0EA4A4"/>
    <w:lvl w:ilvl="0" w:tplc="080A0017">
      <w:start w:val="1"/>
      <w:numFmt w:val="lowerLetter"/>
      <w:lvlText w:val="%1)"/>
      <w:lvlJc w:val="left"/>
      <w:pPr>
        <w:ind w:left="1495" w:hanging="360"/>
      </w:p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0" w15:restartNumberingAfterBreak="0">
    <w:nsid w:val="206459AD"/>
    <w:multiLevelType w:val="hybridMultilevel"/>
    <w:tmpl w:val="EDD83E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416C26"/>
    <w:multiLevelType w:val="hybridMultilevel"/>
    <w:tmpl w:val="59A22B6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2" w15:restartNumberingAfterBreak="0">
    <w:nsid w:val="24DD6932"/>
    <w:multiLevelType w:val="hybridMultilevel"/>
    <w:tmpl w:val="BC687C6E"/>
    <w:lvl w:ilvl="0" w:tplc="721633D0">
      <w:start w:val="1"/>
      <w:numFmt w:val="lowerLetter"/>
      <w:lvlText w:val="%1)"/>
      <w:lvlJc w:val="left"/>
      <w:pPr>
        <w:ind w:left="775" w:hanging="360"/>
      </w:pPr>
      <w:rPr>
        <w:rFonts w:hint="default"/>
        <w:b/>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13" w15:restartNumberingAfterBreak="0">
    <w:nsid w:val="25847F56"/>
    <w:multiLevelType w:val="multilevel"/>
    <w:tmpl w:val="D14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8640C"/>
    <w:multiLevelType w:val="hybridMultilevel"/>
    <w:tmpl w:val="A240F898"/>
    <w:lvl w:ilvl="0" w:tplc="1EBC8CD0">
      <w:start w:val="1"/>
      <w:numFmt w:val="upperRoman"/>
      <w:lvlText w:val="%1."/>
      <w:lvlJc w:val="left"/>
      <w:pPr>
        <w:ind w:left="1080" w:hanging="720"/>
      </w:pPr>
      <w:rPr>
        <w:rFonts w:eastAsiaTheme="majorEastAsia" w:cstheme="maj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0696174"/>
    <w:multiLevelType w:val="hybridMultilevel"/>
    <w:tmpl w:val="EDD83E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9028AC"/>
    <w:multiLevelType w:val="hybridMultilevel"/>
    <w:tmpl w:val="0476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1" w15:restartNumberingAfterBreak="0">
    <w:nsid w:val="4E6074B4"/>
    <w:multiLevelType w:val="hybridMultilevel"/>
    <w:tmpl w:val="E5A6D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006094"/>
    <w:multiLevelType w:val="hybridMultilevel"/>
    <w:tmpl w:val="BEA44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546CAD"/>
    <w:multiLevelType w:val="hybridMultilevel"/>
    <w:tmpl w:val="F486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A37076"/>
    <w:multiLevelType w:val="hybridMultilevel"/>
    <w:tmpl w:val="E4FC4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4B69F3"/>
    <w:multiLevelType w:val="hybridMultilevel"/>
    <w:tmpl w:val="DC845050"/>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26" w15:restartNumberingAfterBreak="0">
    <w:nsid w:val="6FE61733"/>
    <w:multiLevelType w:val="hybridMultilevel"/>
    <w:tmpl w:val="76003DC6"/>
    <w:lvl w:ilvl="0" w:tplc="2CDA0B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8" w15:restartNumberingAfterBreak="0">
    <w:nsid w:val="71C26DCE"/>
    <w:multiLevelType w:val="hybridMultilevel"/>
    <w:tmpl w:val="94D656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7A3BA3"/>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16cid:durableId="1617253594">
    <w:abstractNumId w:val="18"/>
  </w:num>
  <w:num w:numId="2" w16cid:durableId="1655377161">
    <w:abstractNumId w:val="15"/>
  </w:num>
  <w:num w:numId="3" w16cid:durableId="1873151713">
    <w:abstractNumId w:val="22"/>
  </w:num>
  <w:num w:numId="4" w16cid:durableId="1296788166">
    <w:abstractNumId w:val="23"/>
  </w:num>
  <w:num w:numId="5" w16cid:durableId="302542860">
    <w:abstractNumId w:val="3"/>
  </w:num>
  <w:num w:numId="6" w16cid:durableId="1612665469">
    <w:abstractNumId w:val="13"/>
  </w:num>
  <w:num w:numId="7" w16cid:durableId="13006442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865882">
    <w:abstractNumId w:val="24"/>
  </w:num>
  <w:num w:numId="9" w16cid:durableId="2135055280">
    <w:abstractNumId w:val="2"/>
  </w:num>
  <w:num w:numId="10" w16cid:durableId="1642266844">
    <w:abstractNumId w:val="11"/>
  </w:num>
  <w:num w:numId="11" w16cid:durableId="35787518">
    <w:abstractNumId w:val="30"/>
  </w:num>
  <w:num w:numId="12" w16cid:durableId="1473520245">
    <w:abstractNumId w:val="29"/>
  </w:num>
  <w:num w:numId="13" w16cid:durableId="611597453">
    <w:abstractNumId w:val="31"/>
  </w:num>
  <w:num w:numId="14" w16cid:durableId="1176309937">
    <w:abstractNumId w:val="19"/>
  </w:num>
  <w:num w:numId="15" w16cid:durableId="650523826">
    <w:abstractNumId w:val="16"/>
  </w:num>
  <w:num w:numId="16" w16cid:durableId="1244223448">
    <w:abstractNumId w:val="0"/>
  </w:num>
  <w:num w:numId="17" w16cid:durableId="1641760796">
    <w:abstractNumId w:val="27"/>
  </w:num>
  <w:num w:numId="18" w16cid:durableId="1036590014">
    <w:abstractNumId w:val="20"/>
  </w:num>
  <w:num w:numId="19" w16cid:durableId="125706180">
    <w:abstractNumId w:val="7"/>
  </w:num>
  <w:num w:numId="20" w16cid:durableId="1975285378">
    <w:abstractNumId w:val="12"/>
  </w:num>
  <w:num w:numId="21" w16cid:durableId="1659067811">
    <w:abstractNumId w:val="25"/>
  </w:num>
  <w:num w:numId="22" w16cid:durableId="806701214">
    <w:abstractNumId w:val="9"/>
  </w:num>
  <w:num w:numId="23" w16cid:durableId="623728136">
    <w:abstractNumId w:val="8"/>
  </w:num>
  <w:num w:numId="24" w16cid:durableId="351222320">
    <w:abstractNumId w:val="28"/>
  </w:num>
  <w:num w:numId="25" w16cid:durableId="554239246">
    <w:abstractNumId w:val="4"/>
  </w:num>
  <w:num w:numId="26" w16cid:durableId="840853162">
    <w:abstractNumId w:val="17"/>
  </w:num>
  <w:num w:numId="27" w16cid:durableId="411196255">
    <w:abstractNumId w:val="26"/>
  </w:num>
  <w:num w:numId="28" w16cid:durableId="1391032305">
    <w:abstractNumId w:val="10"/>
  </w:num>
  <w:num w:numId="29" w16cid:durableId="697778730">
    <w:abstractNumId w:val="5"/>
  </w:num>
  <w:num w:numId="30" w16cid:durableId="1843473419">
    <w:abstractNumId w:val="21"/>
  </w:num>
  <w:num w:numId="31" w16cid:durableId="544025557">
    <w:abstractNumId w:val="6"/>
  </w:num>
  <w:num w:numId="32" w16cid:durableId="570386050">
    <w:abstractNumId w:val="14"/>
  </w:num>
  <w:num w:numId="33" w16cid:durableId="97911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8A"/>
    <w:rsid w:val="00007A3C"/>
    <w:rsid w:val="0006574C"/>
    <w:rsid w:val="00084E0D"/>
    <w:rsid w:val="00085A4D"/>
    <w:rsid w:val="000C37CF"/>
    <w:rsid w:val="000F27E2"/>
    <w:rsid w:val="001061B4"/>
    <w:rsid w:val="00125D0F"/>
    <w:rsid w:val="001431A9"/>
    <w:rsid w:val="0014508D"/>
    <w:rsid w:val="00170347"/>
    <w:rsid w:val="0017374A"/>
    <w:rsid w:val="001860CD"/>
    <w:rsid w:val="001902C1"/>
    <w:rsid w:val="001A0507"/>
    <w:rsid w:val="001A42BE"/>
    <w:rsid w:val="001C4FCC"/>
    <w:rsid w:val="001D4372"/>
    <w:rsid w:val="001E18BA"/>
    <w:rsid w:val="001F113D"/>
    <w:rsid w:val="00201F40"/>
    <w:rsid w:val="00214EBE"/>
    <w:rsid w:val="00252E46"/>
    <w:rsid w:val="00270C88"/>
    <w:rsid w:val="0028715F"/>
    <w:rsid w:val="00295FC9"/>
    <w:rsid w:val="002D3972"/>
    <w:rsid w:val="00301553"/>
    <w:rsid w:val="00302C55"/>
    <w:rsid w:val="00347D2A"/>
    <w:rsid w:val="00364E1F"/>
    <w:rsid w:val="003B5EB6"/>
    <w:rsid w:val="003C1A4F"/>
    <w:rsid w:val="003E0F59"/>
    <w:rsid w:val="00403D88"/>
    <w:rsid w:val="00436EAD"/>
    <w:rsid w:val="004444F2"/>
    <w:rsid w:val="00464583"/>
    <w:rsid w:val="004B4CDB"/>
    <w:rsid w:val="004B732F"/>
    <w:rsid w:val="004E78FD"/>
    <w:rsid w:val="004F210A"/>
    <w:rsid w:val="0050165E"/>
    <w:rsid w:val="00505709"/>
    <w:rsid w:val="00537748"/>
    <w:rsid w:val="0054279A"/>
    <w:rsid w:val="00556AAD"/>
    <w:rsid w:val="00575658"/>
    <w:rsid w:val="00581997"/>
    <w:rsid w:val="005B5936"/>
    <w:rsid w:val="005D47E3"/>
    <w:rsid w:val="005D7E09"/>
    <w:rsid w:val="005E66BC"/>
    <w:rsid w:val="00616A92"/>
    <w:rsid w:val="006329E1"/>
    <w:rsid w:val="00697126"/>
    <w:rsid w:val="006E7F0F"/>
    <w:rsid w:val="006F597E"/>
    <w:rsid w:val="0071091E"/>
    <w:rsid w:val="00711979"/>
    <w:rsid w:val="00733FC7"/>
    <w:rsid w:val="00737F8A"/>
    <w:rsid w:val="00745402"/>
    <w:rsid w:val="007475E2"/>
    <w:rsid w:val="0076490B"/>
    <w:rsid w:val="0076643E"/>
    <w:rsid w:val="00770990"/>
    <w:rsid w:val="00780B15"/>
    <w:rsid w:val="007B2BB2"/>
    <w:rsid w:val="00800796"/>
    <w:rsid w:val="008063E5"/>
    <w:rsid w:val="008159ED"/>
    <w:rsid w:val="00876658"/>
    <w:rsid w:val="008A6DA4"/>
    <w:rsid w:val="008C64D9"/>
    <w:rsid w:val="008D5984"/>
    <w:rsid w:val="008E0DE0"/>
    <w:rsid w:val="008E3D5B"/>
    <w:rsid w:val="008F5665"/>
    <w:rsid w:val="008F5C14"/>
    <w:rsid w:val="0090494B"/>
    <w:rsid w:val="00935FE6"/>
    <w:rsid w:val="00946481"/>
    <w:rsid w:val="009719BA"/>
    <w:rsid w:val="00996E1C"/>
    <w:rsid w:val="009A52ED"/>
    <w:rsid w:val="009B5C00"/>
    <w:rsid w:val="009B5CC7"/>
    <w:rsid w:val="009C012B"/>
    <w:rsid w:val="009C03E3"/>
    <w:rsid w:val="009D3602"/>
    <w:rsid w:val="00A12C1C"/>
    <w:rsid w:val="00A2502B"/>
    <w:rsid w:val="00A35AD2"/>
    <w:rsid w:val="00A8411B"/>
    <w:rsid w:val="00A9237E"/>
    <w:rsid w:val="00AB3ECD"/>
    <w:rsid w:val="00AE5724"/>
    <w:rsid w:val="00AF23C0"/>
    <w:rsid w:val="00B14794"/>
    <w:rsid w:val="00B31DE5"/>
    <w:rsid w:val="00B74A62"/>
    <w:rsid w:val="00B92D9B"/>
    <w:rsid w:val="00BA697F"/>
    <w:rsid w:val="00BE54F4"/>
    <w:rsid w:val="00C029E5"/>
    <w:rsid w:val="00C37843"/>
    <w:rsid w:val="00C41017"/>
    <w:rsid w:val="00C60AFC"/>
    <w:rsid w:val="00CA08D6"/>
    <w:rsid w:val="00CD027D"/>
    <w:rsid w:val="00CE2E2E"/>
    <w:rsid w:val="00D10B35"/>
    <w:rsid w:val="00D1179C"/>
    <w:rsid w:val="00D32D47"/>
    <w:rsid w:val="00D47318"/>
    <w:rsid w:val="00D50CE8"/>
    <w:rsid w:val="00D83BF7"/>
    <w:rsid w:val="00D918F4"/>
    <w:rsid w:val="00DC384E"/>
    <w:rsid w:val="00DD6E2D"/>
    <w:rsid w:val="00DF627A"/>
    <w:rsid w:val="00E21419"/>
    <w:rsid w:val="00E27B9D"/>
    <w:rsid w:val="00E461CE"/>
    <w:rsid w:val="00E5635A"/>
    <w:rsid w:val="00E63492"/>
    <w:rsid w:val="00EC0DD7"/>
    <w:rsid w:val="00ED32AE"/>
    <w:rsid w:val="00F01688"/>
    <w:rsid w:val="00F11B88"/>
    <w:rsid w:val="00F22F94"/>
    <w:rsid w:val="00F712C0"/>
    <w:rsid w:val="00F751CA"/>
    <w:rsid w:val="00F82E24"/>
    <w:rsid w:val="00F84B7C"/>
    <w:rsid w:val="00FD02D8"/>
    <w:rsid w:val="00FE7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14950"/>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CE"/>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con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con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6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00796"/>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715">
      <w:bodyDiv w:val="1"/>
      <w:marLeft w:val="0"/>
      <w:marRight w:val="0"/>
      <w:marTop w:val="0"/>
      <w:marBottom w:val="0"/>
      <w:divBdr>
        <w:top w:val="none" w:sz="0" w:space="0" w:color="auto"/>
        <w:left w:val="none" w:sz="0" w:space="0" w:color="auto"/>
        <w:bottom w:val="none" w:sz="0" w:space="0" w:color="auto"/>
        <w:right w:val="none" w:sz="0" w:space="0" w:color="auto"/>
      </w:divBdr>
      <w:divsChild>
        <w:div w:id="2047899633">
          <w:marLeft w:val="0"/>
          <w:marRight w:val="0"/>
          <w:marTop w:val="0"/>
          <w:marBottom w:val="0"/>
          <w:divBdr>
            <w:top w:val="none" w:sz="0" w:space="0" w:color="auto"/>
            <w:left w:val="none" w:sz="0" w:space="0" w:color="auto"/>
            <w:bottom w:val="none" w:sz="0" w:space="0" w:color="auto"/>
            <w:right w:val="none" w:sz="0" w:space="0" w:color="auto"/>
          </w:divBdr>
        </w:div>
      </w:divsChild>
    </w:div>
    <w:div w:id="244458565">
      <w:bodyDiv w:val="1"/>
      <w:marLeft w:val="0"/>
      <w:marRight w:val="0"/>
      <w:marTop w:val="0"/>
      <w:marBottom w:val="0"/>
      <w:divBdr>
        <w:top w:val="none" w:sz="0" w:space="0" w:color="auto"/>
        <w:left w:val="none" w:sz="0" w:space="0" w:color="auto"/>
        <w:bottom w:val="none" w:sz="0" w:space="0" w:color="auto"/>
        <w:right w:val="none" w:sz="0" w:space="0" w:color="auto"/>
      </w:divBdr>
      <w:divsChild>
        <w:div w:id="996346928">
          <w:marLeft w:val="0"/>
          <w:marRight w:val="0"/>
          <w:marTop w:val="0"/>
          <w:marBottom w:val="0"/>
          <w:divBdr>
            <w:top w:val="none" w:sz="0" w:space="0" w:color="auto"/>
            <w:left w:val="none" w:sz="0" w:space="0" w:color="auto"/>
            <w:bottom w:val="none" w:sz="0" w:space="0" w:color="auto"/>
            <w:right w:val="none" w:sz="0" w:space="0" w:color="auto"/>
          </w:divBdr>
        </w:div>
      </w:divsChild>
    </w:div>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 w:id="19879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16976.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92C7-AD44-4268-B0F6-8D30FB3B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3920</Words>
  <Characters>21564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5</cp:revision>
  <cp:lastPrinted>2024-01-17T17:57:00Z</cp:lastPrinted>
  <dcterms:created xsi:type="dcterms:W3CDTF">2024-01-11T21:18:00Z</dcterms:created>
  <dcterms:modified xsi:type="dcterms:W3CDTF">2024-02-16T15:46:00Z</dcterms:modified>
</cp:coreProperties>
</file>