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FB5E"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07FAED8A"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VISTO</w:t>
      </w:r>
      <w:r w:rsidRPr="00401A2A">
        <w:rPr>
          <w:rFonts w:ascii="Palatino Linotype" w:eastAsia="Palatino Linotype" w:hAnsi="Palatino Linotype" w:cs="Palatino Linotype"/>
          <w:sz w:val="22"/>
          <w:szCs w:val="22"/>
        </w:rPr>
        <w:t xml:space="preserve"> el expediente formado con motivo del recurso de revisión </w:t>
      </w:r>
      <w:r w:rsidRPr="00401A2A">
        <w:rPr>
          <w:rFonts w:ascii="Palatino Linotype" w:eastAsia="Palatino Linotype" w:hAnsi="Palatino Linotype" w:cs="Palatino Linotype"/>
          <w:b/>
          <w:sz w:val="22"/>
          <w:szCs w:val="22"/>
        </w:rPr>
        <w:t>04914/INFOEM/IP/RR/2024</w:t>
      </w:r>
      <w:r w:rsidRPr="00401A2A">
        <w:rPr>
          <w:rFonts w:ascii="Palatino Linotype" w:eastAsia="Palatino Linotype" w:hAnsi="Palatino Linotype" w:cs="Palatino Linotype"/>
          <w:sz w:val="22"/>
          <w:szCs w:val="22"/>
        </w:rPr>
        <w:t xml:space="preserve">, interpuesto por </w:t>
      </w:r>
      <w:r w:rsidRPr="00401A2A">
        <w:rPr>
          <w:rFonts w:ascii="Palatino Linotype" w:eastAsia="Palatino Linotype" w:hAnsi="Palatino Linotype" w:cs="Palatino Linotype"/>
          <w:b/>
          <w:sz w:val="22"/>
          <w:szCs w:val="22"/>
        </w:rPr>
        <w:t>un particular que no proporcionó su nombre,</w:t>
      </w:r>
      <w:r w:rsidRPr="00401A2A">
        <w:rPr>
          <w:rFonts w:ascii="Palatino Linotype" w:eastAsia="Palatino Linotype" w:hAnsi="Palatino Linotype" w:cs="Palatino Linotype"/>
          <w:sz w:val="22"/>
          <w:szCs w:val="22"/>
        </w:rPr>
        <w:t xml:space="preserve"> al cual en lo sucesivo se le denominara la </w:t>
      </w:r>
      <w:r w:rsidRPr="00401A2A">
        <w:rPr>
          <w:rFonts w:ascii="Palatino Linotype" w:eastAsia="Palatino Linotype" w:hAnsi="Palatino Linotype" w:cs="Palatino Linotype"/>
          <w:b/>
          <w:sz w:val="22"/>
          <w:szCs w:val="22"/>
        </w:rPr>
        <w:t>Recurrente,</w:t>
      </w:r>
      <w:r w:rsidRPr="00401A2A">
        <w:rPr>
          <w:rFonts w:ascii="Palatino Linotype" w:eastAsia="Palatino Linotype" w:hAnsi="Palatino Linotype" w:cs="Palatino Linotype"/>
          <w:sz w:val="22"/>
          <w:szCs w:val="22"/>
        </w:rPr>
        <w:t xml:space="preserve"> en contra de la respuesta a su solicitud de información con número de folio</w:t>
      </w:r>
      <w:r w:rsidRPr="00401A2A">
        <w:rPr>
          <w:rFonts w:ascii="Palatino Linotype" w:eastAsia="Palatino Linotype" w:hAnsi="Palatino Linotype" w:cs="Palatino Linotype"/>
          <w:b/>
        </w:rPr>
        <w:t xml:space="preserve"> </w:t>
      </w:r>
      <w:r w:rsidRPr="00401A2A">
        <w:rPr>
          <w:rFonts w:ascii="Palatino Linotype" w:eastAsia="Palatino Linotype" w:hAnsi="Palatino Linotype" w:cs="Palatino Linotype"/>
          <w:b/>
          <w:sz w:val="22"/>
          <w:szCs w:val="22"/>
        </w:rPr>
        <w:t xml:space="preserve">00155/OFICIALIA/IP/2024, </w:t>
      </w:r>
      <w:r w:rsidRPr="00401A2A">
        <w:rPr>
          <w:rFonts w:ascii="Palatino Linotype" w:eastAsia="Palatino Linotype" w:hAnsi="Palatino Linotype" w:cs="Palatino Linotype"/>
          <w:sz w:val="22"/>
          <w:szCs w:val="22"/>
        </w:rPr>
        <w:t>por parte de la</w:t>
      </w:r>
      <w:r w:rsidRPr="00401A2A">
        <w:rPr>
          <w:rFonts w:ascii="Palatino Linotype" w:eastAsia="Palatino Linotype" w:hAnsi="Palatino Linotype" w:cs="Palatino Linotype"/>
          <w:b/>
          <w:sz w:val="22"/>
          <w:szCs w:val="22"/>
        </w:rPr>
        <w:t xml:space="preserve"> Oficialía Mayor, </w:t>
      </w:r>
      <w:r w:rsidRPr="00401A2A">
        <w:rPr>
          <w:rFonts w:ascii="Palatino Linotype" w:eastAsia="Palatino Linotype" w:hAnsi="Palatino Linotype" w:cs="Palatino Linotype"/>
          <w:sz w:val="22"/>
          <w:szCs w:val="22"/>
        </w:rPr>
        <w:t xml:space="preserve">en lo sucesivo el </w:t>
      </w:r>
      <w:r w:rsidRPr="00401A2A">
        <w:rPr>
          <w:rFonts w:ascii="Palatino Linotype" w:eastAsia="Palatino Linotype" w:hAnsi="Palatino Linotype" w:cs="Palatino Linotype"/>
          <w:b/>
          <w:sz w:val="22"/>
          <w:szCs w:val="22"/>
        </w:rPr>
        <w:t xml:space="preserve">Sujeto Obligado, </w:t>
      </w:r>
      <w:r w:rsidRPr="00401A2A">
        <w:rPr>
          <w:rFonts w:ascii="Palatino Linotype" w:eastAsia="Palatino Linotype" w:hAnsi="Palatino Linotype" w:cs="Palatino Linotype"/>
          <w:sz w:val="22"/>
          <w:szCs w:val="22"/>
        </w:rPr>
        <w:t xml:space="preserve">se procede a dictar la presente resolución con base en los siguientes: </w:t>
      </w:r>
    </w:p>
    <w:p w14:paraId="407776F0" w14:textId="77777777" w:rsidR="00A26BBC" w:rsidRPr="00401A2A" w:rsidRDefault="0058160B">
      <w:pPr>
        <w:spacing w:before="240" w:after="240" w:line="360" w:lineRule="auto"/>
        <w:jc w:val="center"/>
        <w:rPr>
          <w:rFonts w:ascii="Palatino Linotype" w:eastAsia="Palatino Linotype" w:hAnsi="Palatino Linotype" w:cs="Palatino Linotype"/>
          <w:b/>
          <w:sz w:val="22"/>
          <w:szCs w:val="22"/>
        </w:rPr>
      </w:pPr>
      <w:r w:rsidRPr="00401A2A">
        <w:rPr>
          <w:rFonts w:ascii="Palatino Linotype" w:eastAsia="Palatino Linotype" w:hAnsi="Palatino Linotype" w:cs="Palatino Linotype"/>
          <w:b/>
          <w:sz w:val="22"/>
          <w:szCs w:val="22"/>
        </w:rPr>
        <w:t>I. A N T E C E D E N T E S</w:t>
      </w:r>
    </w:p>
    <w:p w14:paraId="421AAAAE"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1. Solicitud de acceso a la información.</w:t>
      </w:r>
      <w:r w:rsidRPr="00401A2A">
        <w:rPr>
          <w:rFonts w:ascii="Palatino Linotype" w:eastAsia="Palatino Linotype" w:hAnsi="Palatino Linotype" w:cs="Palatino Linotype"/>
          <w:sz w:val="22"/>
          <w:szCs w:val="22"/>
        </w:rPr>
        <w:t xml:space="preserve"> Con fecha </w:t>
      </w:r>
      <w:r w:rsidRPr="00401A2A">
        <w:rPr>
          <w:rFonts w:ascii="Palatino Linotype" w:eastAsia="Palatino Linotype" w:hAnsi="Palatino Linotype" w:cs="Palatino Linotype"/>
          <w:b/>
          <w:sz w:val="22"/>
          <w:szCs w:val="22"/>
        </w:rPr>
        <w:t>nueve de agosto de dos mil veinticuatro,</w:t>
      </w:r>
      <w:r w:rsidRPr="00401A2A">
        <w:rPr>
          <w:rFonts w:ascii="Palatino Linotype" w:eastAsia="Palatino Linotype" w:hAnsi="Palatino Linotype" w:cs="Palatino Linotype"/>
          <w:sz w:val="22"/>
          <w:szCs w:val="22"/>
        </w:rPr>
        <w:t xml:space="preserve"> la parte </w:t>
      </w:r>
      <w:r w:rsidRPr="00401A2A">
        <w:rPr>
          <w:rFonts w:ascii="Palatino Linotype" w:eastAsia="Palatino Linotype" w:hAnsi="Palatino Linotype" w:cs="Palatino Linotype"/>
          <w:b/>
          <w:sz w:val="22"/>
          <w:szCs w:val="22"/>
        </w:rPr>
        <w:t xml:space="preserve">Recurrente </w:t>
      </w:r>
      <w:r w:rsidRPr="00401A2A">
        <w:rPr>
          <w:rFonts w:ascii="Palatino Linotype" w:eastAsia="Palatino Linotype" w:hAnsi="Palatino Linotype" w:cs="Palatino Linotype"/>
          <w:sz w:val="22"/>
          <w:szCs w:val="22"/>
        </w:rPr>
        <w:t xml:space="preserve">presentó, través del Sistema de Acceso a la Información Mexiquense, en lo subsecuente el </w:t>
      </w:r>
      <w:r w:rsidRPr="00401A2A">
        <w:rPr>
          <w:rFonts w:ascii="Palatino Linotype" w:eastAsia="Palatino Linotype" w:hAnsi="Palatino Linotype" w:cs="Palatino Linotype"/>
          <w:b/>
          <w:sz w:val="22"/>
          <w:szCs w:val="22"/>
        </w:rPr>
        <w:t>SAIMEX,</w:t>
      </w:r>
      <w:r w:rsidRPr="00401A2A">
        <w:rPr>
          <w:rFonts w:ascii="Palatino Linotype" w:eastAsia="Palatino Linotype" w:hAnsi="Palatino Linotype" w:cs="Palatino Linotype"/>
          <w:sz w:val="22"/>
          <w:szCs w:val="22"/>
        </w:rPr>
        <w:t xml:space="preserve"> ante el </w:t>
      </w:r>
      <w:r w:rsidRPr="00401A2A">
        <w:rPr>
          <w:rFonts w:ascii="Palatino Linotype" w:eastAsia="Palatino Linotype" w:hAnsi="Palatino Linotype" w:cs="Palatino Linotype"/>
          <w:b/>
          <w:sz w:val="22"/>
          <w:szCs w:val="22"/>
        </w:rPr>
        <w:t>Sujeto Obligado</w:t>
      </w:r>
      <w:r w:rsidRPr="00401A2A">
        <w:rPr>
          <w:rFonts w:ascii="Palatino Linotype" w:eastAsia="Palatino Linotype" w:hAnsi="Palatino Linotype" w:cs="Palatino Linotype"/>
          <w:sz w:val="22"/>
          <w:szCs w:val="22"/>
        </w:rPr>
        <w:t>, la solicitud de acceso a la información pública, a la que se le asignó el número</w:t>
      </w:r>
      <w:r w:rsidRPr="00401A2A">
        <w:rPr>
          <w:rFonts w:ascii="Palatino Linotype" w:eastAsia="Palatino Linotype" w:hAnsi="Palatino Linotype" w:cs="Palatino Linotype"/>
          <w:b/>
          <w:sz w:val="22"/>
          <w:szCs w:val="22"/>
        </w:rPr>
        <w:t xml:space="preserve"> 00155/OFICIALIA/IP/2024, </w:t>
      </w:r>
      <w:r w:rsidRPr="00401A2A">
        <w:rPr>
          <w:rFonts w:ascii="Palatino Linotype" w:eastAsia="Palatino Linotype" w:hAnsi="Palatino Linotype" w:cs="Palatino Linotype"/>
          <w:sz w:val="22"/>
          <w:szCs w:val="22"/>
        </w:rPr>
        <w:t xml:space="preserve">mediante la cual requirió la información siguiente: </w:t>
      </w:r>
    </w:p>
    <w:p w14:paraId="1412B8B8" w14:textId="77777777" w:rsidR="00A26BBC" w:rsidRPr="00401A2A" w:rsidRDefault="0058160B">
      <w:pPr>
        <w:spacing w:before="240"/>
        <w:ind w:left="851" w:right="616"/>
        <w:jc w:val="both"/>
        <w:rPr>
          <w:rFonts w:ascii="Palatino Linotype" w:eastAsia="Palatino Linotype" w:hAnsi="Palatino Linotype" w:cs="Palatino Linotype"/>
          <w:i/>
          <w:sz w:val="22"/>
          <w:szCs w:val="22"/>
        </w:rPr>
      </w:pPr>
      <w:bookmarkStart w:id="0" w:name="_heading=h.gjdgxs" w:colFirst="0" w:colLast="0"/>
      <w:bookmarkEnd w:id="0"/>
      <w:r w:rsidRPr="00401A2A">
        <w:rPr>
          <w:rFonts w:ascii="Palatino Linotype" w:eastAsia="Palatino Linotype" w:hAnsi="Palatino Linotype" w:cs="Palatino Linotype"/>
          <w:i/>
          <w:sz w:val="22"/>
          <w:szCs w:val="22"/>
        </w:rPr>
        <w:t xml:space="preserve">“solicito se me informa si </w:t>
      </w:r>
      <w:proofErr w:type="spellStart"/>
      <w:r w:rsidRPr="00401A2A">
        <w:rPr>
          <w:rFonts w:ascii="Palatino Linotype" w:eastAsia="Palatino Linotype" w:hAnsi="Palatino Linotype" w:cs="Palatino Linotype"/>
          <w:i/>
          <w:sz w:val="22"/>
          <w:szCs w:val="22"/>
        </w:rPr>
        <w:t>exite</w:t>
      </w:r>
      <w:proofErr w:type="spellEnd"/>
      <w:r w:rsidRPr="00401A2A">
        <w:rPr>
          <w:rFonts w:ascii="Palatino Linotype" w:eastAsia="Palatino Linotype" w:hAnsi="Palatino Linotype" w:cs="Palatino Linotype"/>
          <w:i/>
          <w:sz w:val="22"/>
          <w:szCs w:val="22"/>
        </w:rPr>
        <w:t xml:space="preserve"> </w:t>
      </w:r>
      <w:proofErr w:type="spellStart"/>
      <w:r w:rsidRPr="00401A2A">
        <w:rPr>
          <w:rFonts w:ascii="Palatino Linotype" w:eastAsia="Palatino Linotype" w:hAnsi="Palatino Linotype" w:cs="Palatino Linotype"/>
          <w:i/>
          <w:sz w:val="22"/>
          <w:szCs w:val="22"/>
        </w:rPr>
        <w:t>algun</w:t>
      </w:r>
      <w:proofErr w:type="spellEnd"/>
      <w:r w:rsidRPr="00401A2A">
        <w:rPr>
          <w:rFonts w:ascii="Palatino Linotype" w:eastAsia="Palatino Linotype" w:hAnsi="Palatino Linotype" w:cs="Palatino Linotype"/>
          <w:i/>
          <w:sz w:val="22"/>
          <w:szCs w:val="22"/>
        </w:rPr>
        <w:t xml:space="preserve"> motivo de </w:t>
      </w:r>
      <w:proofErr w:type="spellStart"/>
      <w:r w:rsidRPr="00401A2A">
        <w:rPr>
          <w:rFonts w:ascii="Palatino Linotype" w:eastAsia="Palatino Linotype" w:hAnsi="Palatino Linotype" w:cs="Palatino Linotype"/>
          <w:i/>
          <w:sz w:val="22"/>
          <w:szCs w:val="22"/>
        </w:rPr>
        <w:t>por que</w:t>
      </w:r>
      <w:proofErr w:type="spellEnd"/>
      <w:r w:rsidRPr="00401A2A">
        <w:rPr>
          <w:rFonts w:ascii="Palatino Linotype" w:eastAsia="Palatino Linotype" w:hAnsi="Palatino Linotype" w:cs="Palatino Linotype"/>
          <w:i/>
          <w:sz w:val="22"/>
          <w:szCs w:val="22"/>
        </w:rPr>
        <w:t xml:space="preserve"> la </w:t>
      </w:r>
      <w:proofErr w:type="spellStart"/>
      <w:r w:rsidRPr="00401A2A">
        <w:rPr>
          <w:rFonts w:ascii="Palatino Linotype" w:eastAsia="Palatino Linotype" w:hAnsi="Palatino Linotype" w:cs="Palatino Linotype"/>
          <w:i/>
          <w:sz w:val="22"/>
          <w:szCs w:val="22"/>
        </w:rPr>
        <w:t>pagina</w:t>
      </w:r>
      <w:proofErr w:type="spellEnd"/>
      <w:r w:rsidRPr="00401A2A">
        <w:rPr>
          <w:rFonts w:ascii="Palatino Linotype" w:eastAsia="Palatino Linotype" w:hAnsi="Palatino Linotype" w:cs="Palatino Linotype"/>
          <w:i/>
          <w:sz w:val="22"/>
          <w:szCs w:val="22"/>
        </w:rPr>
        <w:t xml:space="preserve"> de la Secretaria del agua </w:t>
      </w:r>
      <w:proofErr w:type="spellStart"/>
      <w:r w:rsidRPr="00401A2A">
        <w:rPr>
          <w:rFonts w:ascii="Palatino Linotype" w:eastAsia="Palatino Linotype" w:hAnsi="Palatino Linotype" w:cs="Palatino Linotype"/>
          <w:i/>
          <w:sz w:val="22"/>
          <w:szCs w:val="22"/>
        </w:rPr>
        <w:t>tine</w:t>
      </w:r>
      <w:proofErr w:type="spellEnd"/>
      <w:r w:rsidRPr="00401A2A">
        <w:rPr>
          <w:rFonts w:ascii="Palatino Linotype" w:eastAsia="Palatino Linotype" w:hAnsi="Palatino Linotype" w:cs="Palatino Linotype"/>
          <w:i/>
          <w:sz w:val="22"/>
          <w:szCs w:val="22"/>
        </w:rPr>
        <w:t xml:space="preserve"> </w:t>
      </w:r>
      <w:proofErr w:type="spellStart"/>
      <w:r w:rsidRPr="00401A2A">
        <w:rPr>
          <w:rFonts w:ascii="Palatino Linotype" w:eastAsia="Palatino Linotype" w:hAnsi="Palatino Linotype" w:cs="Palatino Linotype"/>
          <w:i/>
          <w:sz w:val="22"/>
          <w:szCs w:val="22"/>
        </w:rPr>
        <w:t>informacion</w:t>
      </w:r>
      <w:proofErr w:type="spellEnd"/>
      <w:r w:rsidRPr="00401A2A">
        <w:rPr>
          <w:rFonts w:ascii="Palatino Linotype" w:eastAsia="Palatino Linotype" w:hAnsi="Palatino Linotype" w:cs="Palatino Linotype"/>
          <w:i/>
          <w:sz w:val="22"/>
          <w:szCs w:val="22"/>
        </w:rPr>
        <w:t xml:space="preserve"> de su </w:t>
      </w:r>
      <w:proofErr w:type="spellStart"/>
      <w:r w:rsidRPr="00401A2A">
        <w:rPr>
          <w:rFonts w:ascii="Palatino Linotype" w:eastAsia="Palatino Linotype" w:hAnsi="Palatino Linotype" w:cs="Palatino Linotype"/>
          <w:i/>
          <w:sz w:val="22"/>
          <w:szCs w:val="22"/>
        </w:rPr>
        <w:t>desentralisado</w:t>
      </w:r>
      <w:proofErr w:type="spellEnd"/>
      <w:r w:rsidRPr="00401A2A">
        <w:rPr>
          <w:rFonts w:ascii="Palatino Linotype" w:eastAsia="Palatino Linotype" w:hAnsi="Palatino Linotype" w:cs="Palatino Linotype"/>
          <w:i/>
          <w:sz w:val="22"/>
          <w:szCs w:val="22"/>
        </w:rPr>
        <w:t xml:space="preserve"> como es la CAEM,2 por que la </w:t>
      </w:r>
      <w:proofErr w:type="spellStart"/>
      <w:r w:rsidRPr="00401A2A">
        <w:rPr>
          <w:rFonts w:ascii="Palatino Linotype" w:eastAsia="Palatino Linotype" w:hAnsi="Palatino Linotype" w:cs="Palatino Linotype"/>
          <w:i/>
          <w:sz w:val="22"/>
          <w:szCs w:val="22"/>
        </w:rPr>
        <w:t>Caem</w:t>
      </w:r>
      <w:proofErr w:type="spellEnd"/>
      <w:r w:rsidRPr="00401A2A">
        <w:rPr>
          <w:rFonts w:ascii="Palatino Linotype" w:eastAsia="Palatino Linotype" w:hAnsi="Palatino Linotype" w:cs="Palatino Linotype"/>
          <w:i/>
          <w:sz w:val="22"/>
          <w:szCs w:val="22"/>
        </w:rPr>
        <w:t xml:space="preserve"> no tiene su </w:t>
      </w:r>
      <w:proofErr w:type="spellStart"/>
      <w:r w:rsidRPr="00401A2A">
        <w:rPr>
          <w:rFonts w:ascii="Palatino Linotype" w:eastAsia="Palatino Linotype" w:hAnsi="Palatino Linotype" w:cs="Palatino Linotype"/>
          <w:i/>
          <w:sz w:val="22"/>
          <w:szCs w:val="22"/>
        </w:rPr>
        <w:t>pagina</w:t>
      </w:r>
      <w:proofErr w:type="spellEnd"/>
      <w:r w:rsidRPr="00401A2A">
        <w:rPr>
          <w:rFonts w:ascii="Palatino Linotype" w:eastAsia="Palatino Linotype" w:hAnsi="Palatino Linotype" w:cs="Palatino Linotype"/>
          <w:i/>
          <w:sz w:val="22"/>
          <w:szCs w:val="22"/>
        </w:rPr>
        <w:t xml:space="preserve"> Propia ya que no desapareció y sigue siendo descentralizado de una dependencia centras como es la Secretaria del agua, la pregunta es ya que la </w:t>
      </w:r>
      <w:proofErr w:type="spellStart"/>
      <w:r w:rsidRPr="00401A2A">
        <w:rPr>
          <w:rFonts w:ascii="Palatino Linotype" w:eastAsia="Palatino Linotype" w:hAnsi="Palatino Linotype" w:cs="Palatino Linotype"/>
          <w:i/>
          <w:sz w:val="22"/>
          <w:szCs w:val="22"/>
        </w:rPr>
        <w:t>Oiciialia</w:t>
      </w:r>
      <w:proofErr w:type="spellEnd"/>
      <w:r w:rsidRPr="00401A2A">
        <w:rPr>
          <w:rFonts w:ascii="Palatino Linotype" w:eastAsia="Palatino Linotype" w:hAnsi="Palatino Linotype" w:cs="Palatino Linotype"/>
          <w:i/>
          <w:sz w:val="22"/>
          <w:szCs w:val="22"/>
        </w:rPr>
        <w:t xml:space="preserve"> mayor es la encargada de administrar las </w:t>
      </w:r>
      <w:proofErr w:type="spellStart"/>
      <w:r w:rsidRPr="00401A2A">
        <w:rPr>
          <w:rFonts w:ascii="Palatino Linotype" w:eastAsia="Palatino Linotype" w:hAnsi="Palatino Linotype" w:cs="Palatino Linotype"/>
          <w:i/>
          <w:sz w:val="22"/>
          <w:szCs w:val="22"/>
        </w:rPr>
        <w:t>Paginas</w:t>
      </w:r>
      <w:proofErr w:type="spellEnd"/>
      <w:r w:rsidRPr="00401A2A">
        <w:rPr>
          <w:rFonts w:ascii="Palatino Linotype" w:eastAsia="Palatino Linotype" w:hAnsi="Palatino Linotype" w:cs="Palatino Linotype"/>
          <w:i/>
          <w:sz w:val="22"/>
          <w:szCs w:val="22"/>
        </w:rPr>
        <w:t xml:space="preserve"> de internet de las dependencias de Gobierno del estado de </w:t>
      </w:r>
      <w:proofErr w:type="spellStart"/>
      <w:r w:rsidRPr="00401A2A">
        <w:rPr>
          <w:rFonts w:ascii="Palatino Linotype" w:eastAsia="Palatino Linotype" w:hAnsi="Palatino Linotype" w:cs="Palatino Linotype"/>
          <w:i/>
          <w:sz w:val="22"/>
          <w:szCs w:val="22"/>
        </w:rPr>
        <w:t>Mexico</w:t>
      </w:r>
      <w:proofErr w:type="spellEnd"/>
      <w:r w:rsidRPr="00401A2A">
        <w:rPr>
          <w:rFonts w:ascii="Palatino Linotype" w:eastAsia="Palatino Linotype" w:hAnsi="Palatino Linotype" w:cs="Palatino Linotype"/>
          <w:i/>
          <w:sz w:val="22"/>
          <w:szCs w:val="22"/>
        </w:rPr>
        <w:t xml:space="preserve">, y en su caso que sustento hay para tener en una sola </w:t>
      </w:r>
      <w:proofErr w:type="spellStart"/>
      <w:r w:rsidRPr="00401A2A">
        <w:rPr>
          <w:rFonts w:ascii="Palatino Linotype" w:eastAsia="Palatino Linotype" w:hAnsi="Palatino Linotype" w:cs="Palatino Linotype"/>
          <w:i/>
          <w:sz w:val="22"/>
          <w:szCs w:val="22"/>
        </w:rPr>
        <w:t>pagina</w:t>
      </w:r>
      <w:proofErr w:type="spellEnd"/>
      <w:r w:rsidRPr="00401A2A">
        <w:rPr>
          <w:rFonts w:ascii="Palatino Linotype" w:eastAsia="Palatino Linotype" w:hAnsi="Palatino Linotype" w:cs="Palatino Linotype"/>
          <w:i/>
          <w:sz w:val="22"/>
          <w:szCs w:val="22"/>
        </w:rPr>
        <w:t xml:space="preserve"> la </w:t>
      </w:r>
      <w:proofErr w:type="spellStart"/>
      <w:r w:rsidRPr="00401A2A">
        <w:rPr>
          <w:rFonts w:ascii="Palatino Linotype" w:eastAsia="Palatino Linotype" w:hAnsi="Palatino Linotype" w:cs="Palatino Linotype"/>
          <w:i/>
          <w:sz w:val="22"/>
          <w:szCs w:val="22"/>
        </w:rPr>
        <w:t>informacion</w:t>
      </w:r>
      <w:proofErr w:type="spellEnd"/>
      <w:r w:rsidRPr="00401A2A">
        <w:rPr>
          <w:rFonts w:ascii="Palatino Linotype" w:eastAsia="Palatino Linotype" w:hAnsi="Palatino Linotype" w:cs="Palatino Linotype"/>
          <w:i/>
          <w:sz w:val="22"/>
          <w:szCs w:val="22"/>
        </w:rPr>
        <w:t xml:space="preserve"> de las dos </w:t>
      </w:r>
      <w:proofErr w:type="spellStart"/>
      <w:r w:rsidRPr="00401A2A">
        <w:rPr>
          <w:rFonts w:ascii="Palatino Linotype" w:eastAsia="Palatino Linotype" w:hAnsi="Palatino Linotype" w:cs="Palatino Linotype"/>
          <w:i/>
          <w:sz w:val="22"/>
          <w:szCs w:val="22"/>
        </w:rPr>
        <w:t>dependenciasd</w:t>
      </w:r>
      <w:proofErr w:type="spellEnd"/>
      <w:r w:rsidRPr="00401A2A">
        <w:rPr>
          <w:rFonts w:ascii="Palatino Linotype" w:eastAsia="Palatino Linotype" w:hAnsi="Palatino Linotype" w:cs="Palatino Linotype"/>
          <w:i/>
          <w:sz w:val="22"/>
          <w:szCs w:val="22"/>
        </w:rPr>
        <w:t xml:space="preserve">, ya que las dos tiene </w:t>
      </w:r>
      <w:proofErr w:type="spellStart"/>
      <w:r w:rsidRPr="00401A2A">
        <w:rPr>
          <w:rFonts w:ascii="Palatino Linotype" w:eastAsia="Palatino Linotype" w:hAnsi="Palatino Linotype" w:cs="Palatino Linotype"/>
          <w:i/>
          <w:sz w:val="22"/>
          <w:szCs w:val="22"/>
        </w:rPr>
        <w:t>mision</w:t>
      </w:r>
      <w:proofErr w:type="spellEnd"/>
      <w:r w:rsidRPr="00401A2A">
        <w:rPr>
          <w:rFonts w:ascii="Palatino Linotype" w:eastAsia="Palatino Linotype" w:hAnsi="Palatino Linotype" w:cs="Palatino Linotype"/>
          <w:i/>
          <w:sz w:val="22"/>
          <w:szCs w:val="22"/>
        </w:rPr>
        <w:t xml:space="preserve"> y visones distintas y atiendes a temas diferentes del agua” (Sic)</w:t>
      </w:r>
    </w:p>
    <w:p w14:paraId="2D4526B7" w14:textId="77777777" w:rsidR="00A26BBC" w:rsidRPr="00401A2A" w:rsidRDefault="00A26BBC">
      <w:pPr>
        <w:ind w:left="851" w:right="902"/>
        <w:jc w:val="both"/>
        <w:rPr>
          <w:rFonts w:ascii="Palatino Linotype" w:eastAsia="Palatino Linotype" w:hAnsi="Palatino Linotype" w:cs="Palatino Linotype"/>
          <w:i/>
          <w:sz w:val="22"/>
          <w:szCs w:val="22"/>
        </w:rPr>
      </w:pPr>
    </w:p>
    <w:p w14:paraId="50EAF2FA" w14:textId="77777777" w:rsidR="00A26BBC" w:rsidRPr="00401A2A" w:rsidRDefault="0058160B">
      <w:pPr>
        <w:spacing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Modalidad de Entrega:</w:t>
      </w:r>
      <w:r w:rsidRPr="00401A2A">
        <w:rPr>
          <w:rFonts w:ascii="Palatino Linotype" w:eastAsia="Palatino Linotype" w:hAnsi="Palatino Linotype" w:cs="Palatino Linotype"/>
          <w:sz w:val="22"/>
          <w:szCs w:val="22"/>
        </w:rPr>
        <w:t xml:space="preserve"> A través de SAIMEX.</w:t>
      </w:r>
    </w:p>
    <w:p w14:paraId="60783902" w14:textId="77777777" w:rsidR="00A26BBC" w:rsidRPr="00401A2A" w:rsidRDefault="00A26BBC">
      <w:pPr>
        <w:spacing w:line="360" w:lineRule="auto"/>
        <w:jc w:val="both"/>
        <w:rPr>
          <w:rFonts w:ascii="Palatino Linotype" w:eastAsia="Palatino Linotype" w:hAnsi="Palatino Linotype" w:cs="Palatino Linotype"/>
          <w:sz w:val="22"/>
          <w:szCs w:val="22"/>
        </w:rPr>
      </w:pPr>
    </w:p>
    <w:p w14:paraId="7F2FF9E8" w14:textId="77777777" w:rsidR="00A26BBC" w:rsidRPr="00401A2A" w:rsidRDefault="0058160B">
      <w:pPr>
        <w:spacing w:after="240" w:line="360" w:lineRule="auto"/>
        <w:jc w:val="both"/>
        <w:rPr>
          <w:rFonts w:ascii="Palatino Linotype" w:eastAsia="Palatino Linotype" w:hAnsi="Palatino Linotype" w:cs="Palatino Linotype"/>
          <w:b/>
          <w:sz w:val="22"/>
          <w:szCs w:val="22"/>
        </w:rPr>
      </w:pPr>
      <w:r w:rsidRPr="00401A2A">
        <w:rPr>
          <w:rFonts w:ascii="Palatino Linotype" w:eastAsia="Palatino Linotype" w:hAnsi="Palatino Linotype" w:cs="Palatino Linotype"/>
          <w:b/>
          <w:sz w:val="22"/>
          <w:szCs w:val="22"/>
        </w:rPr>
        <w:lastRenderedPageBreak/>
        <w:t xml:space="preserve">2. Respuesta. </w:t>
      </w:r>
      <w:r w:rsidRPr="00401A2A">
        <w:rPr>
          <w:rFonts w:ascii="Palatino Linotype" w:eastAsia="Palatino Linotype" w:hAnsi="Palatino Linotype" w:cs="Palatino Linotype"/>
          <w:sz w:val="22"/>
          <w:szCs w:val="22"/>
        </w:rPr>
        <w:t xml:space="preserve">Con fecha </w:t>
      </w:r>
      <w:r w:rsidRPr="00401A2A">
        <w:rPr>
          <w:rFonts w:ascii="Palatino Linotype" w:eastAsia="Palatino Linotype" w:hAnsi="Palatino Linotype" w:cs="Palatino Linotype"/>
          <w:b/>
          <w:sz w:val="22"/>
          <w:szCs w:val="22"/>
        </w:rPr>
        <w:t>doce de agosto de dos mil veinticuatro</w:t>
      </w:r>
      <w:r w:rsidRPr="00401A2A">
        <w:rPr>
          <w:rFonts w:ascii="Palatino Linotype" w:eastAsia="Palatino Linotype" w:hAnsi="Palatino Linotype" w:cs="Palatino Linotype"/>
          <w:sz w:val="22"/>
          <w:szCs w:val="22"/>
        </w:rPr>
        <w:t xml:space="preserve">, el </w:t>
      </w:r>
      <w:r w:rsidRPr="00401A2A">
        <w:rPr>
          <w:rFonts w:ascii="Palatino Linotype" w:eastAsia="Palatino Linotype" w:hAnsi="Palatino Linotype" w:cs="Palatino Linotype"/>
          <w:b/>
          <w:sz w:val="22"/>
          <w:szCs w:val="22"/>
        </w:rPr>
        <w:t xml:space="preserve">Sujeto Obligado </w:t>
      </w:r>
      <w:r w:rsidRPr="00401A2A">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E9346F8" w14:textId="77777777" w:rsidR="00A26BBC" w:rsidRPr="00401A2A" w:rsidRDefault="0058160B">
      <w:pPr>
        <w:spacing w:before="240" w:after="240"/>
        <w:ind w:left="851" w:right="902"/>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 xml:space="preserve">“Se notifica incompetencia total para atender el requerimiento de </w:t>
      </w:r>
      <w:proofErr w:type="spellStart"/>
      <w:r w:rsidRPr="00401A2A">
        <w:rPr>
          <w:rFonts w:ascii="Palatino Linotype" w:eastAsia="Palatino Linotype" w:hAnsi="Palatino Linotype" w:cs="Palatino Linotype"/>
          <w:i/>
          <w:sz w:val="22"/>
          <w:szCs w:val="22"/>
        </w:rPr>
        <w:t>informaciòn</w:t>
      </w:r>
      <w:proofErr w:type="spellEnd"/>
      <w:r w:rsidRPr="00401A2A">
        <w:rPr>
          <w:rFonts w:ascii="Palatino Linotype" w:eastAsia="Palatino Linotype" w:hAnsi="Palatino Linotype" w:cs="Palatino Linotype"/>
          <w:i/>
          <w:sz w:val="22"/>
          <w:szCs w:val="22"/>
        </w:rPr>
        <w:t>” (Sic)</w:t>
      </w:r>
    </w:p>
    <w:p w14:paraId="23168484" w14:textId="77777777" w:rsidR="00A26BBC" w:rsidRPr="00401A2A" w:rsidRDefault="0058160B">
      <w:pPr>
        <w:spacing w:before="240" w:after="240" w:line="360" w:lineRule="auto"/>
        <w:ind w:right="49"/>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 xml:space="preserve">El </w:t>
      </w:r>
      <w:r w:rsidRPr="00401A2A">
        <w:rPr>
          <w:rFonts w:ascii="Palatino Linotype" w:eastAsia="Palatino Linotype" w:hAnsi="Palatino Linotype" w:cs="Palatino Linotype"/>
          <w:b/>
          <w:sz w:val="22"/>
          <w:szCs w:val="22"/>
        </w:rPr>
        <w:t>Sujeto Obligado</w:t>
      </w:r>
      <w:r w:rsidRPr="00401A2A">
        <w:rPr>
          <w:rFonts w:ascii="Palatino Linotype" w:eastAsia="Palatino Linotype" w:hAnsi="Palatino Linotype" w:cs="Palatino Linotype"/>
          <w:sz w:val="22"/>
          <w:szCs w:val="22"/>
        </w:rPr>
        <w:t xml:space="preserve"> adjuntó el archivo electrónico denominado “</w:t>
      </w:r>
      <w:hyperlink r:id="rId8">
        <w:r w:rsidRPr="00401A2A">
          <w:rPr>
            <w:rFonts w:ascii="Palatino Linotype" w:eastAsia="Palatino Linotype" w:hAnsi="Palatino Linotype" w:cs="Palatino Linotype"/>
            <w:sz w:val="22"/>
            <w:szCs w:val="22"/>
          </w:rPr>
          <w:t>Incompetencia 154-155-156.pdf</w:t>
        </w:r>
      </w:hyperlink>
      <w:r w:rsidRPr="00401A2A">
        <w:rPr>
          <w:rFonts w:ascii="Palatino Linotype" w:eastAsia="Palatino Linotype" w:hAnsi="Palatino Linotype" w:cs="Palatino Linotype"/>
          <w:sz w:val="22"/>
          <w:szCs w:val="22"/>
        </w:rPr>
        <w:t xml:space="preserve">”, el cual contiene el oficio número 234A 00000/UT-464-2024, por medio del cual el Encargado de Despacho de la Coordinación Jurídica y de atender Temas de Transparencia, Acceso a la Información Pública y Protección de Datos Personales, informó al solicitante su notoria incompetencia para atender diversos cuestionamientos planteados en sus requerimientos de información, por lo que le sugirió interponer de nueva cuenta su solicitud de acceso ante el Sujeto Obligado Secretaría del Agua del Gobierno del Estado de México.  </w:t>
      </w:r>
    </w:p>
    <w:p w14:paraId="31E68F80" w14:textId="77777777" w:rsidR="00A26BBC" w:rsidRPr="00401A2A" w:rsidRDefault="0058160B">
      <w:pPr>
        <w:spacing w:before="240" w:after="240" w:line="360" w:lineRule="auto"/>
        <w:ind w:right="49"/>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 xml:space="preserve">3. Interposición del recurso de revisión. </w:t>
      </w:r>
      <w:r w:rsidRPr="00401A2A">
        <w:rPr>
          <w:rFonts w:ascii="Palatino Linotype" w:eastAsia="Palatino Linotype" w:hAnsi="Palatino Linotype" w:cs="Palatino Linotype"/>
          <w:sz w:val="22"/>
          <w:szCs w:val="22"/>
        </w:rPr>
        <w:t xml:space="preserve">Inconforme con los términos de la respuesta emitida por parte del </w:t>
      </w:r>
      <w:r w:rsidRPr="00401A2A">
        <w:rPr>
          <w:rFonts w:ascii="Palatino Linotype" w:eastAsia="Palatino Linotype" w:hAnsi="Palatino Linotype" w:cs="Palatino Linotype"/>
          <w:b/>
          <w:sz w:val="22"/>
          <w:szCs w:val="22"/>
        </w:rPr>
        <w:t>Sujeto Obligado</w:t>
      </w:r>
      <w:r w:rsidRPr="00401A2A">
        <w:rPr>
          <w:rFonts w:ascii="Palatino Linotype" w:eastAsia="Palatino Linotype" w:hAnsi="Palatino Linotype" w:cs="Palatino Linotype"/>
          <w:sz w:val="22"/>
          <w:szCs w:val="22"/>
        </w:rPr>
        <w:t xml:space="preserve">, el </w:t>
      </w:r>
      <w:r w:rsidRPr="00401A2A">
        <w:rPr>
          <w:rFonts w:ascii="Palatino Linotype" w:eastAsia="Palatino Linotype" w:hAnsi="Palatino Linotype" w:cs="Palatino Linotype"/>
          <w:b/>
          <w:sz w:val="22"/>
          <w:szCs w:val="22"/>
        </w:rPr>
        <w:t>diecinueve de agosto del año dos mil veinticuatro,</w:t>
      </w:r>
      <w:r w:rsidRPr="00401A2A">
        <w:rPr>
          <w:rFonts w:ascii="Palatino Linotype" w:eastAsia="Palatino Linotype" w:hAnsi="Palatino Linotype" w:cs="Palatino Linotype"/>
          <w:sz w:val="22"/>
          <w:szCs w:val="22"/>
        </w:rPr>
        <w:t xml:space="preserve"> la parte </w:t>
      </w:r>
      <w:r w:rsidRPr="00401A2A">
        <w:rPr>
          <w:rFonts w:ascii="Palatino Linotype" w:eastAsia="Palatino Linotype" w:hAnsi="Palatino Linotype" w:cs="Palatino Linotype"/>
          <w:b/>
          <w:sz w:val="22"/>
          <w:szCs w:val="22"/>
        </w:rPr>
        <w:t>Recurrente</w:t>
      </w:r>
      <w:r w:rsidRPr="00401A2A">
        <w:rPr>
          <w:rFonts w:ascii="Palatino Linotype" w:eastAsia="Palatino Linotype" w:hAnsi="Palatino Linotype" w:cs="Palatino Linotype"/>
          <w:sz w:val="22"/>
          <w:szCs w:val="22"/>
        </w:rPr>
        <w:t xml:space="preserve"> interpuso el recurso de revisión a través de </w:t>
      </w:r>
      <w:r w:rsidRPr="00401A2A">
        <w:rPr>
          <w:rFonts w:ascii="Palatino Linotype" w:eastAsia="Palatino Linotype" w:hAnsi="Palatino Linotype" w:cs="Palatino Linotype"/>
          <w:b/>
          <w:sz w:val="22"/>
          <w:szCs w:val="22"/>
        </w:rPr>
        <w:t xml:space="preserve">SAIMEX, </w:t>
      </w:r>
      <w:r w:rsidRPr="00401A2A">
        <w:rPr>
          <w:rFonts w:ascii="Palatino Linotype" w:eastAsia="Palatino Linotype" w:hAnsi="Palatino Linotype" w:cs="Palatino Linotype"/>
          <w:sz w:val="22"/>
          <w:szCs w:val="22"/>
        </w:rPr>
        <w:t>en donde se manifestó de la siguiente manera:</w:t>
      </w:r>
    </w:p>
    <w:p w14:paraId="751BE947" w14:textId="77777777" w:rsidR="00A26BBC" w:rsidRPr="00401A2A" w:rsidRDefault="0058160B">
      <w:pPr>
        <w:tabs>
          <w:tab w:val="left" w:pos="2745"/>
        </w:tabs>
        <w:spacing w:line="360" w:lineRule="auto"/>
        <w:ind w:left="851" w:right="616"/>
        <w:jc w:val="both"/>
        <w:rPr>
          <w:rFonts w:ascii="Palatino Linotype" w:eastAsia="Palatino Linotype" w:hAnsi="Palatino Linotype" w:cs="Palatino Linotype"/>
          <w:b/>
          <w:sz w:val="22"/>
          <w:szCs w:val="22"/>
        </w:rPr>
      </w:pPr>
      <w:r w:rsidRPr="00401A2A">
        <w:rPr>
          <w:rFonts w:ascii="Palatino Linotype" w:eastAsia="Palatino Linotype" w:hAnsi="Palatino Linotype" w:cs="Palatino Linotype"/>
          <w:b/>
          <w:sz w:val="22"/>
          <w:szCs w:val="22"/>
        </w:rPr>
        <w:t xml:space="preserve">Acto impugnado: </w:t>
      </w:r>
    </w:p>
    <w:p w14:paraId="4AD14972" w14:textId="77777777" w:rsidR="00A26BBC" w:rsidRPr="00401A2A" w:rsidRDefault="0058160B">
      <w:pPr>
        <w:tabs>
          <w:tab w:val="left" w:pos="2745"/>
        </w:tabs>
        <w:ind w:left="851" w:right="618"/>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 xml:space="preserve">“se niegan a </w:t>
      </w:r>
      <w:proofErr w:type="spellStart"/>
      <w:r w:rsidRPr="00401A2A">
        <w:rPr>
          <w:rFonts w:ascii="Palatino Linotype" w:eastAsia="Palatino Linotype" w:hAnsi="Palatino Linotype" w:cs="Palatino Linotype"/>
          <w:i/>
          <w:sz w:val="22"/>
          <w:szCs w:val="22"/>
        </w:rPr>
        <w:t>enytrgra</w:t>
      </w:r>
      <w:proofErr w:type="spellEnd"/>
      <w:r w:rsidRPr="00401A2A">
        <w:rPr>
          <w:rFonts w:ascii="Palatino Linotype" w:eastAsia="Palatino Linotype" w:hAnsi="Palatino Linotype" w:cs="Palatino Linotype"/>
          <w:i/>
          <w:sz w:val="22"/>
          <w:szCs w:val="22"/>
        </w:rPr>
        <w:t xml:space="preserve"> la </w:t>
      </w:r>
      <w:proofErr w:type="spellStart"/>
      <w:r w:rsidRPr="00401A2A">
        <w:rPr>
          <w:rFonts w:ascii="Palatino Linotype" w:eastAsia="Palatino Linotype" w:hAnsi="Palatino Linotype" w:cs="Palatino Linotype"/>
          <w:i/>
          <w:sz w:val="22"/>
          <w:szCs w:val="22"/>
        </w:rPr>
        <w:t>informacion</w:t>
      </w:r>
      <w:proofErr w:type="spellEnd"/>
      <w:r w:rsidRPr="00401A2A">
        <w:rPr>
          <w:rFonts w:ascii="Palatino Linotype" w:eastAsia="Palatino Linotype" w:hAnsi="Palatino Linotype" w:cs="Palatino Linotype"/>
          <w:i/>
          <w:sz w:val="22"/>
          <w:szCs w:val="22"/>
        </w:rPr>
        <w:t xml:space="preserve"> ya que ustedes son los encargados de controlar las </w:t>
      </w:r>
      <w:proofErr w:type="spellStart"/>
      <w:r w:rsidRPr="00401A2A">
        <w:rPr>
          <w:rFonts w:ascii="Palatino Linotype" w:eastAsia="Palatino Linotype" w:hAnsi="Palatino Linotype" w:cs="Palatino Linotype"/>
          <w:i/>
          <w:sz w:val="22"/>
          <w:szCs w:val="22"/>
        </w:rPr>
        <w:t>paginas</w:t>
      </w:r>
      <w:proofErr w:type="spellEnd"/>
      <w:r w:rsidRPr="00401A2A">
        <w:rPr>
          <w:rFonts w:ascii="Palatino Linotype" w:eastAsia="Palatino Linotype" w:hAnsi="Palatino Linotype" w:cs="Palatino Linotype"/>
          <w:i/>
          <w:sz w:val="22"/>
          <w:szCs w:val="22"/>
        </w:rPr>
        <w:t xml:space="preserve"> de las </w:t>
      </w:r>
      <w:proofErr w:type="spellStart"/>
      <w:r w:rsidRPr="00401A2A">
        <w:rPr>
          <w:rFonts w:ascii="Palatino Linotype" w:eastAsia="Palatino Linotype" w:hAnsi="Palatino Linotype" w:cs="Palatino Linotype"/>
          <w:i/>
          <w:sz w:val="22"/>
          <w:szCs w:val="22"/>
        </w:rPr>
        <w:t>dependecnias</w:t>
      </w:r>
      <w:proofErr w:type="spellEnd"/>
      <w:r w:rsidRPr="00401A2A">
        <w:rPr>
          <w:rFonts w:ascii="Palatino Linotype" w:eastAsia="Palatino Linotype" w:hAnsi="Palatino Linotype" w:cs="Palatino Linotype"/>
          <w:i/>
          <w:sz w:val="22"/>
          <w:szCs w:val="22"/>
        </w:rPr>
        <w:t xml:space="preserve"> del estado y son sus administradores atravesé de la Agencia Digital” (Sic)</w:t>
      </w:r>
    </w:p>
    <w:p w14:paraId="59FB6F9B" w14:textId="77777777" w:rsidR="00A26BBC" w:rsidRPr="00401A2A" w:rsidRDefault="00A26BBC">
      <w:pPr>
        <w:ind w:left="851" w:right="616"/>
        <w:jc w:val="both"/>
        <w:rPr>
          <w:rFonts w:ascii="Palatino Linotype" w:eastAsia="Palatino Linotype" w:hAnsi="Palatino Linotype" w:cs="Palatino Linotype"/>
          <w:i/>
          <w:sz w:val="22"/>
          <w:szCs w:val="22"/>
        </w:rPr>
      </w:pPr>
    </w:p>
    <w:p w14:paraId="1DF57B4E" w14:textId="77777777" w:rsidR="00A26BBC" w:rsidRPr="00401A2A" w:rsidRDefault="0058160B">
      <w:pPr>
        <w:spacing w:line="360" w:lineRule="auto"/>
        <w:ind w:left="851" w:right="616"/>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Razones o motivos de inconformidad</w:t>
      </w:r>
      <w:r w:rsidRPr="00401A2A">
        <w:rPr>
          <w:rFonts w:ascii="Palatino Linotype" w:eastAsia="Palatino Linotype" w:hAnsi="Palatino Linotype" w:cs="Palatino Linotype"/>
          <w:sz w:val="22"/>
          <w:szCs w:val="22"/>
        </w:rPr>
        <w:t xml:space="preserve">. </w:t>
      </w:r>
    </w:p>
    <w:p w14:paraId="6D882BAF" w14:textId="77777777" w:rsidR="00A26BBC" w:rsidRPr="00401A2A" w:rsidRDefault="0058160B">
      <w:pPr>
        <w:tabs>
          <w:tab w:val="left" w:pos="2745"/>
        </w:tabs>
        <w:ind w:left="851" w:right="618"/>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 xml:space="preserve">“se niegan a </w:t>
      </w:r>
      <w:proofErr w:type="spellStart"/>
      <w:r w:rsidRPr="00401A2A">
        <w:rPr>
          <w:rFonts w:ascii="Palatino Linotype" w:eastAsia="Palatino Linotype" w:hAnsi="Palatino Linotype" w:cs="Palatino Linotype"/>
          <w:i/>
          <w:sz w:val="22"/>
          <w:szCs w:val="22"/>
        </w:rPr>
        <w:t>enytrgra</w:t>
      </w:r>
      <w:proofErr w:type="spellEnd"/>
      <w:r w:rsidRPr="00401A2A">
        <w:rPr>
          <w:rFonts w:ascii="Palatino Linotype" w:eastAsia="Palatino Linotype" w:hAnsi="Palatino Linotype" w:cs="Palatino Linotype"/>
          <w:i/>
          <w:sz w:val="22"/>
          <w:szCs w:val="22"/>
        </w:rPr>
        <w:t xml:space="preserve"> la </w:t>
      </w:r>
      <w:proofErr w:type="spellStart"/>
      <w:r w:rsidRPr="00401A2A">
        <w:rPr>
          <w:rFonts w:ascii="Palatino Linotype" w:eastAsia="Palatino Linotype" w:hAnsi="Palatino Linotype" w:cs="Palatino Linotype"/>
          <w:i/>
          <w:sz w:val="22"/>
          <w:szCs w:val="22"/>
        </w:rPr>
        <w:t>informacion</w:t>
      </w:r>
      <w:proofErr w:type="spellEnd"/>
      <w:r w:rsidRPr="00401A2A">
        <w:rPr>
          <w:rFonts w:ascii="Palatino Linotype" w:eastAsia="Palatino Linotype" w:hAnsi="Palatino Linotype" w:cs="Palatino Linotype"/>
          <w:i/>
          <w:sz w:val="22"/>
          <w:szCs w:val="22"/>
        </w:rPr>
        <w:t xml:space="preserve"> ya que ustedes son los encargados de controlar las </w:t>
      </w:r>
      <w:proofErr w:type="spellStart"/>
      <w:r w:rsidRPr="00401A2A">
        <w:rPr>
          <w:rFonts w:ascii="Palatino Linotype" w:eastAsia="Palatino Linotype" w:hAnsi="Palatino Linotype" w:cs="Palatino Linotype"/>
          <w:i/>
          <w:sz w:val="22"/>
          <w:szCs w:val="22"/>
        </w:rPr>
        <w:t>paginas</w:t>
      </w:r>
      <w:proofErr w:type="spellEnd"/>
      <w:r w:rsidRPr="00401A2A">
        <w:rPr>
          <w:rFonts w:ascii="Palatino Linotype" w:eastAsia="Palatino Linotype" w:hAnsi="Palatino Linotype" w:cs="Palatino Linotype"/>
          <w:i/>
          <w:sz w:val="22"/>
          <w:szCs w:val="22"/>
        </w:rPr>
        <w:t xml:space="preserve"> de las </w:t>
      </w:r>
      <w:proofErr w:type="spellStart"/>
      <w:r w:rsidRPr="00401A2A">
        <w:rPr>
          <w:rFonts w:ascii="Palatino Linotype" w:eastAsia="Palatino Linotype" w:hAnsi="Palatino Linotype" w:cs="Palatino Linotype"/>
          <w:i/>
          <w:sz w:val="22"/>
          <w:szCs w:val="22"/>
        </w:rPr>
        <w:t>dependecnias</w:t>
      </w:r>
      <w:proofErr w:type="spellEnd"/>
      <w:r w:rsidRPr="00401A2A">
        <w:rPr>
          <w:rFonts w:ascii="Palatino Linotype" w:eastAsia="Palatino Linotype" w:hAnsi="Palatino Linotype" w:cs="Palatino Linotype"/>
          <w:i/>
          <w:sz w:val="22"/>
          <w:szCs w:val="22"/>
        </w:rPr>
        <w:t xml:space="preserve"> del estado y son sus administradores atravesé de la Agencia Digital” (Sic)</w:t>
      </w:r>
    </w:p>
    <w:p w14:paraId="1C00DC4D" w14:textId="77777777" w:rsidR="00A26BBC" w:rsidRPr="00401A2A" w:rsidRDefault="00A26BBC">
      <w:pPr>
        <w:tabs>
          <w:tab w:val="left" w:pos="2745"/>
        </w:tabs>
        <w:ind w:left="851" w:right="618"/>
        <w:jc w:val="both"/>
        <w:rPr>
          <w:rFonts w:ascii="Palatino Linotype" w:eastAsia="Palatino Linotype" w:hAnsi="Palatino Linotype" w:cs="Palatino Linotype"/>
          <w:i/>
          <w:sz w:val="22"/>
          <w:szCs w:val="22"/>
        </w:rPr>
      </w:pPr>
      <w:bookmarkStart w:id="1" w:name="_heading=h.30j0zll" w:colFirst="0" w:colLast="0"/>
      <w:bookmarkEnd w:id="1"/>
    </w:p>
    <w:p w14:paraId="681035E2" w14:textId="77777777" w:rsidR="00A26BBC" w:rsidRPr="00401A2A" w:rsidRDefault="0058160B">
      <w:pPr>
        <w:spacing w:line="360" w:lineRule="auto"/>
        <w:ind w:right="51"/>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lastRenderedPageBreak/>
        <w:t xml:space="preserve">4. Turno. </w:t>
      </w:r>
      <w:r w:rsidRPr="00401A2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01A2A">
        <w:rPr>
          <w:rFonts w:ascii="Palatino Linotype" w:eastAsia="Palatino Linotype" w:hAnsi="Palatino Linotype" w:cs="Palatino Linotype"/>
          <w:b/>
          <w:sz w:val="22"/>
          <w:szCs w:val="22"/>
        </w:rPr>
        <w:t xml:space="preserve">Guadalupe Ramírez Peña, </w:t>
      </w:r>
      <w:r w:rsidRPr="00401A2A">
        <w:rPr>
          <w:rFonts w:ascii="Palatino Linotype" w:eastAsia="Palatino Linotype" w:hAnsi="Palatino Linotype" w:cs="Palatino Linotype"/>
          <w:sz w:val="22"/>
          <w:szCs w:val="22"/>
        </w:rPr>
        <w:t>a efecto de que analizara sobre su admisión o su desechamiento.</w:t>
      </w:r>
    </w:p>
    <w:p w14:paraId="50F01CFB" w14:textId="77777777" w:rsidR="00A26BBC" w:rsidRPr="00401A2A" w:rsidRDefault="00A26BBC">
      <w:pPr>
        <w:spacing w:line="360" w:lineRule="auto"/>
        <w:ind w:right="51"/>
        <w:jc w:val="both"/>
        <w:rPr>
          <w:rFonts w:ascii="Palatino Linotype" w:eastAsia="Palatino Linotype" w:hAnsi="Palatino Linotype" w:cs="Palatino Linotype"/>
          <w:sz w:val="22"/>
          <w:szCs w:val="22"/>
        </w:rPr>
      </w:pPr>
    </w:p>
    <w:p w14:paraId="2694A905" w14:textId="77777777" w:rsidR="00A26BBC" w:rsidRPr="00401A2A" w:rsidRDefault="0058160B">
      <w:pPr>
        <w:spacing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5. Admisión del Recurso de revisión.</w:t>
      </w:r>
      <w:r w:rsidRPr="00401A2A">
        <w:rPr>
          <w:rFonts w:ascii="Palatino Linotype" w:eastAsia="Palatino Linotype" w:hAnsi="Palatino Linotype" w:cs="Palatino Linotype"/>
          <w:sz w:val="22"/>
          <w:szCs w:val="22"/>
        </w:rPr>
        <w:t xml:space="preserve"> Con fecha</w:t>
      </w:r>
      <w:r w:rsidRPr="00401A2A">
        <w:rPr>
          <w:rFonts w:ascii="Palatino Linotype" w:eastAsia="Palatino Linotype" w:hAnsi="Palatino Linotype" w:cs="Palatino Linotype"/>
          <w:b/>
          <w:sz w:val="22"/>
          <w:szCs w:val="22"/>
        </w:rPr>
        <w:t xml:space="preserve"> veintidós de agosto de dos mil veinticuatro, </w:t>
      </w:r>
      <w:r w:rsidRPr="00401A2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01A2A">
        <w:rPr>
          <w:rFonts w:ascii="Palatino Linotype" w:eastAsia="Palatino Linotype" w:hAnsi="Palatino Linotype" w:cs="Palatino Linotype"/>
          <w:b/>
          <w:sz w:val="22"/>
          <w:szCs w:val="22"/>
        </w:rPr>
        <w:t xml:space="preserve">Sujeto Obligado </w:t>
      </w:r>
      <w:r w:rsidRPr="00401A2A">
        <w:rPr>
          <w:rFonts w:ascii="Palatino Linotype" w:eastAsia="Palatino Linotype" w:hAnsi="Palatino Linotype" w:cs="Palatino Linotype"/>
          <w:sz w:val="22"/>
          <w:szCs w:val="22"/>
        </w:rPr>
        <w:t>presentara su informe justificado.</w:t>
      </w:r>
    </w:p>
    <w:p w14:paraId="3024E482"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6. Manifestaciones</w:t>
      </w:r>
      <w:r w:rsidRPr="00401A2A">
        <w:rPr>
          <w:rFonts w:ascii="Palatino Linotype" w:eastAsia="Palatino Linotype" w:hAnsi="Palatino Linotype" w:cs="Palatino Linotype"/>
          <w:sz w:val="22"/>
          <w:szCs w:val="22"/>
        </w:rPr>
        <w:t xml:space="preserve">. De las constancias que integran el expediente en que se actúa se advierte que el </w:t>
      </w:r>
      <w:r w:rsidRPr="00401A2A">
        <w:rPr>
          <w:rFonts w:ascii="Palatino Linotype" w:eastAsia="Palatino Linotype" w:hAnsi="Palatino Linotype" w:cs="Palatino Linotype"/>
          <w:b/>
          <w:sz w:val="22"/>
          <w:szCs w:val="22"/>
        </w:rPr>
        <w:t>Sujeto Obligado,</w:t>
      </w:r>
      <w:r w:rsidRPr="00401A2A">
        <w:rPr>
          <w:rFonts w:ascii="Palatino Linotype" w:eastAsia="Palatino Linotype" w:hAnsi="Palatino Linotype" w:cs="Palatino Linotype"/>
          <w:sz w:val="22"/>
          <w:szCs w:val="22"/>
        </w:rPr>
        <w:t xml:space="preserve"> en fecha</w:t>
      </w:r>
      <w:r w:rsidRPr="00401A2A">
        <w:rPr>
          <w:rFonts w:ascii="Palatino Linotype" w:eastAsia="Palatino Linotype" w:hAnsi="Palatino Linotype" w:cs="Palatino Linotype"/>
          <w:b/>
          <w:sz w:val="22"/>
          <w:szCs w:val="22"/>
        </w:rPr>
        <w:t xml:space="preserve"> nueve de septiembre del año en curso, remitió en</w:t>
      </w:r>
      <w:r w:rsidRPr="00401A2A">
        <w:rPr>
          <w:rFonts w:ascii="Palatino Linotype" w:eastAsia="Palatino Linotype" w:hAnsi="Palatino Linotype" w:cs="Palatino Linotype"/>
          <w:sz w:val="22"/>
          <w:szCs w:val="22"/>
        </w:rPr>
        <w:t xml:space="preserve"> remitió el archivo electrónico denominado </w:t>
      </w:r>
      <w:r w:rsidRPr="00401A2A">
        <w:rPr>
          <w:rFonts w:ascii="Palatino Linotype" w:eastAsia="Palatino Linotype" w:hAnsi="Palatino Linotype" w:cs="Palatino Linotype"/>
          <w:i/>
          <w:sz w:val="22"/>
          <w:szCs w:val="22"/>
        </w:rPr>
        <w:t>“</w:t>
      </w:r>
      <w:hyperlink r:id="rId9">
        <w:r w:rsidRPr="00401A2A">
          <w:rPr>
            <w:rFonts w:ascii="Palatino Linotype" w:eastAsia="Palatino Linotype" w:hAnsi="Palatino Linotype" w:cs="Palatino Linotype"/>
            <w:sz w:val="22"/>
            <w:szCs w:val="22"/>
          </w:rPr>
          <w:t>Informe 4914.pdf</w:t>
        </w:r>
      </w:hyperlink>
      <w:r w:rsidRPr="00401A2A">
        <w:rPr>
          <w:rFonts w:ascii="Palatino Linotype" w:eastAsia="Palatino Linotype" w:hAnsi="Palatino Linotype" w:cs="Palatino Linotype"/>
          <w:sz w:val="22"/>
          <w:szCs w:val="22"/>
        </w:rPr>
        <w:t xml:space="preserve">”, el cual contiene el informe justificado del </w:t>
      </w:r>
      <w:r w:rsidRPr="00401A2A">
        <w:rPr>
          <w:rFonts w:ascii="Palatino Linotype" w:eastAsia="Palatino Linotype" w:hAnsi="Palatino Linotype" w:cs="Palatino Linotype"/>
          <w:b/>
          <w:sz w:val="22"/>
          <w:szCs w:val="22"/>
        </w:rPr>
        <w:t>Sujeto Obligado</w:t>
      </w:r>
      <w:r w:rsidRPr="00401A2A">
        <w:rPr>
          <w:rFonts w:ascii="Palatino Linotype" w:eastAsia="Palatino Linotype" w:hAnsi="Palatino Linotype" w:cs="Palatino Linotype"/>
          <w:sz w:val="22"/>
          <w:szCs w:val="22"/>
        </w:rPr>
        <w:t xml:space="preserve">, por medio del cual modificó su respuesta y que la información requerida es una consulta y no así una solicitud de acceso a la información pública. </w:t>
      </w:r>
    </w:p>
    <w:p w14:paraId="125F11D7"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 xml:space="preserve">Además, señaló que la Agencia Digital del Estado de México, antes Dirección General del Sistema Estatal de Informática, empezó en funciones a través del acuerdo en la Gaceta de Gobierno Publicado el veinticinco de abril del 2024, proporcionando el link para su consulta, el cual establecieron las acciones, procedimientos y mecanismos para llevar a cabo la transferencia de los recursos financieros, humanos y materiales necesarios para cumplir con sus funciones y/o atribuciones, siendo únicamente la Subdirección de Soporte de Nómina y </w:t>
      </w:r>
      <w:r w:rsidRPr="00401A2A">
        <w:rPr>
          <w:rFonts w:ascii="Palatino Linotype" w:eastAsia="Palatino Linotype" w:hAnsi="Palatino Linotype" w:cs="Palatino Linotype"/>
          <w:sz w:val="22"/>
          <w:szCs w:val="22"/>
        </w:rPr>
        <w:lastRenderedPageBreak/>
        <w:t xml:space="preserve">el Departamento de Base de Datos de Nómina, las unidades administrativas que fueron específicamente transferidas a la Oficialía Mayor. </w:t>
      </w:r>
    </w:p>
    <w:p w14:paraId="643C2AF0"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 xml:space="preserve">Concluyendo que dicha Agencia Digital depende directamente de la persona Titular del Poder Ejecutivo Estatal, en términos del fundamento legal que señaló. </w:t>
      </w:r>
    </w:p>
    <w:p w14:paraId="73481E1D" w14:textId="77777777" w:rsidR="00A26BBC" w:rsidRPr="00401A2A" w:rsidRDefault="0058160B">
      <w:pPr>
        <w:spacing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 xml:space="preserve">Archivo, que se puso a la vista de la parte </w:t>
      </w:r>
      <w:r w:rsidRPr="00401A2A">
        <w:rPr>
          <w:rFonts w:ascii="Palatino Linotype" w:eastAsia="Palatino Linotype" w:hAnsi="Palatino Linotype" w:cs="Palatino Linotype"/>
          <w:b/>
          <w:sz w:val="22"/>
          <w:szCs w:val="22"/>
        </w:rPr>
        <w:t>Recurrente</w:t>
      </w:r>
      <w:r w:rsidRPr="00401A2A">
        <w:rPr>
          <w:rFonts w:ascii="Palatino Linotype" w:eastAsia="Palatino Linotype" w:hAnsi="Palatino Linotype" w:cs="Palatino Linotype"/>
          <w:sz w:val="22"/>
          <w:szCs w:val="22"/>
        </w:rPr>
        <w:t xml:space="preserve">, en fecha </w:t>
      </w:r>
      <w:r w:rsidRPr="00401A2A">
        <w:rPr>
          <w:rFonts w:ascii="Palatino Linotype" w:eastAsia="Palatino Linotype" w:hAnsi="Palatino Linotype" w:cs="Palatino Linotype"/>
          <w:b/>
          <w:sz w:val="22"/>
          <w:szCs w:val="22"/>
        </w:rPr>
        <w:t>once de septiembre de dos mil veinticuatro</w:t>
      </w:r>
      <w:r w:rsidRPr="00401A2A">
        <w:rPr>
          <w:rFonts w:ascii="Palatino Linotype" w:eastAsia="Palatino Linotype" w:hAnsi="Palatino Linotype" w:cs="Palatino Linotype"/>
          <w:sz w:val="22"/>
          <w:szCs w:val="22"/>
        </w:rPr>
        <w:t>,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p w14:paraId="30B83213"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 xml:space="preserve">7. Cierre de instrucción. </w:t>
      </w:r>
      <w:r w:rsidRPr="00401A2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401A2A">
        <w:rPr>
          <w:rFonts w:ascii="Palatino Linotype" w:eastAsia="Palatino Linotype" w:hAnsi="Palatino Linotype" w:cs="Palatino Linotype"/>
          <w:b/>
          <w:sz w:val="22"/>
          <w:szCs w:val="22"/>
        </w:rPr>
        <w:t>dieciocho de septiembre de dos mil veinticuatro</w:t>
      </w:r>
      <w:r w:rsidRPr="00401A2A">
        <w:rPr>
          <w:rFonts w:ascii="Palatino Linotype" w:eastAsia="Palatino Linotype" w:hAnsi="Palatino Linotype" w:cs="Palatino Linotype"/>
          <w:sz w:val="22"/>
          <w:szCs w:val="22"/>
        </w:rPr>
        <w:t>,</w:t>
      </w:r>
      <w:r w:rsidRPr="00401A2A">
        <w:rPr>
          <w:rFonts w:ascii="Palatino Linotype" w:eastAsia="Palatino Linotype" w:hAnsi="Palatino Linotype" w:cs="Palatino Linotype"/>
          <w:b/>
          <w:sz w:val="22"/>
          <w:szCs w:val="22"/>
        </w:rPr>
        <w:t xml:space="preserve"> </w:t>
      </w:r>
      <w:r w:rsidRPr="00401A2A">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2565E031"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5670BF" w14:textId="77777777" w:rsidR="00A26BBC" w:rsidRPr="00401A2A" w:rsidRDefault="0058160B">
      <w:pPr>
        <w:widowControl w:val="0"/>
        <w:spacing w:line="360" w:lineRule="auto"/>
        <w:jc w:val="center"/>
        <w:rPr>
          <w:rFonts w:ascii="Palatino Linotype" w:eastAsia="Palatino Linotype" w:hAnsi="Palatino Linotype" w:cs="Palatino Linotype"/>
          <w:b/>
          <w:sz w:val="22"/>
          <w:szCs w:val="22"/>
        </w:rPr>
      </w:pPr>
      <w:r w:rsidRPr="00401A2A">
        <w:rPr>
          <w:rFonts w:ascii="Palatino Linotype" w:eastAsia="Palatino Linotype" w:hAnsi="Palatino Linotype" w:cs="Palatino Linotype"/>
          <w:b/>
          <w:sz w:val="22"/>
          <w:szCs w:val="22"/>
        </w:rPr>
        <w:t>II. C O N S I D E R A N D O S</w:t>
      </w:r>
    </w:p>
    <w:p w14:paraId="1F302B07" w14:textId="77777777" w:rsidR="00A26BBC" w:rsidRPr="00401A2A" w:rsidRDefault="00A26BBC">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15EF64A4" w14:textId="77777777" w:rsidR="00A26BBC" w:rsidRPr="00401A2A" w:rsidRDefault="0058160B">
      <w:pPr>
        <w:spacing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b/>
          <w:sz w:val="22"/>
          <w:szCs w:val="22"/>
        </w:rPr>
        <w:t>Primero. Competencia.</w:t>
      </w:r>
      <w:r w:rsidRPr="00401A2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401A2A">
        <w:rPr>
          <w:rFonts w:ascii="Palatino Linotype" w:eastAsia="Palatino Linotype" w:hAnsi="Palatino Linotype" w:cs="Palatino Linotype"/>
          <w:sz w:val="22"/>
          <w:szCs w:val="22"/>
        </w:rPr>
        <w:lastRenderedPageBreak/>
        <w:t>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BF4AACB"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bookmarkStart w:id="2" w:name="_heading=h.tyjcwt" w:colFirst="0" w:colLast="0"/>
      <w:bookmarkEnd w:id="2"/>
      <w:r w:rsidRPr="00401A2A">
        <w:rPr>
          <w:rFonts w:ascii="Palatino Linotype" w:eastAsia="Palatino Linotype" w:hAnsi="Palatino Linotype" w:cs="Palatino Linotype"/>
          <w:b/>
          <w:sz w:val="22"/>
          <w:szCs w:val="22"/>
        </w:rPr>
        <w:t xml:space="preserve">Segundo. Oportunidad y Procedibilidad del Recurso de Revisión. </w:t>
      </w:r>
      <w:r w:rsidRPr="00401A2A">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448DE9A"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4A907DE8" w14:textId="77777777" w:rsidR="00A26BBC" w:rsidRPr="00401A2A" w:rsidRDefault="0058160B">
      <w:pPr>
        <w:ind w:left="851" w:right="900"/>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b/>
          <w:i/>
          <w:sz w:val="22"/>
          <w:szCs w:val="22"/>
        </w:rPr>
        <w:t xml:space="preserve">“Artículo 178. </w:t>
      </w:r>
      <w:r w:rsidRPr="00401A2A">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43AFD75"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401A2A">
        <w:rPr>
          <w:rFonts w:ascii="Palatino Linotype" w:eastAsia="Palatino Linotype" w:hAnsi="Palatino Linotype" w:cs="Palatino Linotype"/>
          <w:b/>
          <w:sz w:val="22"/>
          <w:szCs w:val="22"/>
        </w:rPr>
        <w:t>Sujeto Obligado</w:t>
      </w:r>
      <w:r w:rsidRPr="00401A2A">
        <w:rPr>
          <w:rFonts w:ascii="Palatino Linotype" w:eastAsia="Palatino Linotype" w:hAnsi="Palatino Linotype" w:cs="Palatino Linotype"/>
          <w:sz w:val="22"/>
          <w:szCs w:val="22"/>
        </w:rPr>
        <w:t xml:space="preserve"> remitió la respuesta a la solicitud de información el día </w:t>
      </w:r>
      <w:r w:rsidRPr="00401A2A">
        <w:rPr>
          <w:rFonts w:ascii="Palatino Linotype" w:eastAsia="Palatino Linotype" w:hAnsi="Palatino Linotype" w:cs="Palatino Linotype"/>
          <w:b/>
          <w:sz w:val="22"/>
          <w:szCs w:val="22"/>
        </w:rPr>
        <w:t>doce de agosto de dos mil veinticuatro,</w:t>
      </w:r>
      <w:r w:rsidRPr="00401A2A">
        <w:rPr>
          <w:rFonts w:ascii="Palatino Linotype" w:eastAsia="Palatino Linotype" w:hAnsi="Palatino Linotype" w:cs="Palatino Linotype"/>
          <w:sz w:val="22"/>
          <w:szCs w:val="22"/>
        </w:rPr>
        <w:t xml:space="preserve"> mientras que el recurso de revisión interpuesto por la parte </w:t>
      </w:r>
      <w:r w:rsidRPr="00401A2A">
        <w:rPr>
          <w:rFonts w:ascii="Palatino Linotype" w:eastAsia="Palatino Linotype" w:hAnsi="Palatino Linotype" w:cs="Palatino Linotype"/>
          <w:b/>
          <w:sz w:val="22"/>
          <w:szCs w:val="22"/>
        </w:rPr>
        <w:t>Recurrente</w:t>
      </w:r>
      <w:r w:rsidRPr="00401A2A">
        <w:rPr>
          <w:rFonts w:ascii="Palatino Linotype" w:eastAsia="Palatino Linotype" w:hAnsi="Palatino Linotype" w:cs="Palatino Linotype"/>
          <w:sz w:val="22"/>
          <w:szCs w:val="22"/>
        </w:rPr>
        <w:t xml:space="preserve">, se tuvo por presentado el día </w:t>
      </w:r>
      <w:r w:rsidRPr="00401A2A">
        <w:rPr>
          <w:rFonts w:ascii="Palatino Linotype" w:eastAsia="Palatino Linotype" w:hAnsi="Palatino Linotype" w:cs="Palatino Linotype"/>
          <w:b/>
          <w:sz w:val="22"/>
          <w:szCs w:val="22"/>
        </w:rPr>
        <w:t xml:space="preserve">diecinueve de agosto del año dos mil veinticuatro, </w:t>
      </w:r>
      <w:r w:rsidRPr="00401A2A">
        <w:rPr>
          <w:rFonts w:ascii="Palatino Linotype" w:eastAsia="Palatino Linotype" w:hAnsi="Palatino Linotype" w:cs="Palatino Linotype"/>
          <w:sz w:val="22"/>
          <w:szCs w:val="22"/>
        </w:rPr>
        <w:t>esto es, al quinto hábil en que tuvo conocimiento de la respuesta impugnada.</w:t>
      </w:r>
    </w:p>
    <w:p w14:paraId="061A329F" w14:textId="77777777" w:rsidR="00A26BBC" w:rsidRPr="00401A2A" w:rsidRDefault="0058160B">
      <w:pPr>
        <w:spacing w:before="240" w:after="240" w:line="360" w:lineRule="auto"/>
        <w:ind w:right="49"/>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lastRenderedPageBreak/>
        <w:t xml:space="preserve">Por cuanto hace a la procedibilidad del recurso de revisión, es de suma importancia señalar que la parte </w:t>
      </w:r>
      <w:r w:rsidRPr="00401A2A">
        <w:rPr>
          <w:rFonts w:ascii="Palatino Linotype" w:eastAsia="Palatino Linotype" w:hAnsi="Palatino Linotype" w:cs="Palatino Linotype"/>
          <w:b/>
          <w:sz w:val="22"/>
          <w:szCs w:val="22"/>
        </w:rPr>
        <w:t>Recurrente</w:t>
      </w:r>
      <w:r w:rsidRPr="00401A2A">
        <w:rPr>
          <w:rFonts w:ascii="Palatino Linotype" w:eastAsia="Palatino Linotype" w:hAnsi="Palatino Linotype" w:cs="Palatino Linotype"/>
          <w:sz w:val="22"/>
          <w:szCs w:val="22"/>
        </w:rPr>
        <w:t>, no proporcionó un nombre como tal</w:t>
      </w:r>
      <w:r w:rsidRPr="00401A2A">
        <w:rPr>
          <w:rFonts w:ascii="Palatino Linotype" w:eastAsia="Palatino Linotype" w:hAnsi="Palatino Linotype" w:cs="Palatino Linotype"/>
          <w:b/>
          <w:sz w:val="22"/>
          <w:szCs w:val="22"/>
        </w:rPr>
        <w:t>,</w:t>
      </w:r>
      <w:r w:rsidRPr="00401A2A">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614AB52" w14:textId="77777777" w:rsidR="00A26BBC" w:rsidRPr="00401A2A" w:rsidRDefault="0058160B">
      <w:pPr>
        <w:spacing w:before="240" w:after="240" w:line="276" w:lineRule="auto"/>
        <w:ind w:left="851"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w:t>
      </w:r>
      <w:r w:rsidRPr="00401A2A">
        <w:rPr>
          <w:rFonts w:ascii="Palatino Linotype" w:eastAsia="Palatino Linotype" w:hAnsi="Palatino Linotype" w:cs="Palatino Linotype"/>
          <w:b/>
          <w:i/>
          <w:sz w:val="22"/>
          <w:szCs w:val="22"/>
        </w:rPr>
        <w:t xml:space="preserve">Las solicitudes </w:t>
      </w:r>
      <w:r w:rsidRPr="00401A2A">
        <w:rPr>
          <w:rFonts w:ascii="Palatino Linotype" w:eastAsia="Palatino Linotype" w:hAnsi="Palatino Linotype" w:cs="Palatino Linotype"/>
          <w:i/>
          <w:sz w:val="22"/>
          <w:szCs w:val="22"/>
        </w:rPr>
        <w:t xml:space="preserve">anónimas, con </w:t>
      </w:r>
      <w:r w:rsidRPr="00401A2A">
        <w:rPr>
          <w:rFonts w:ascii="Palatino Linotype" w:eastAsia="Palatino Linotype" w:hAnsi="Palatino Linotype" w:cs="Palatino Linotype"/>
          <w:b/>
          <w:i/>
          <w:sz w:val="22"/>
          <w:szCs w:val="22"/>
        </w:rPr>
        <w:t>nombre incompleto o seudónimo</w:t>
      </w:r>
      <w:r w:rsidRPr="00401A2A">
        <w:rPr>
          <w:rFonts w:ascii="Palatino Linotype" w:eastAsia="Palatino Linotype" w:hAnsi="Palatino Linotype" w:cs="Palatino Linotype"/>
          <w:i/>
          <w:sz w:val="22"/>
          <w:szCs w:val="22"/>
        </w:rPr>
        <w:t xml:space="preserve"> </w:t>
      </w:r>
      <w:r w:rsidRPr="00401A2A">
        <w:rPr>
          <w:rFonts w:ascii="Palatino Linotype" w:eastAsia="Palatino Linotype" w:hAnsi="Palatino Linotype" w:cs="Palatino Linotype"/>
          <w:b/>
          <w:i/>
          <w:sz w:val="22"/>
          <w:szCs w:val="22"/>
        </w:rPr>
        <w:t>serán procedentes para su trámite por parte del sujeto obligado ante quien se presente</w:t>
      </w:r>
      <w:r w:rsidRPr="00401A2A">
        <w:rPr>
          <w:rFonts w:ascii="Palatino Linotype" w:eastAsia="Palatino Linotype" w:hAnsi="Palatino Linotype" w:cs="Palatino Linotype"/>
          <w:i/>
          <w:sz w:val="22"/>
          <w:szCs w:val="22"/>
        </w:rPr>
        <w:t>. No podrá requerirse información adicional con motivo del nombre proporcionado por el solicitante."(Sic)</w:t>
      </w:r>
    </w:p>
    <w:p w14:paraId="51FD2D0C" w14:textId="77777777" w:rsidR="00A26BBC" w:rsidRPr="00401A2A" w:rsidRDefault="0058160B">
      <w:pPr>
        <w:spacing w:before="240" w:after="240" w:line="360" w:lineRule="auto"/>
        <w:ind w:right="49"/>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8B61167"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r w:rsidRPr="00401A2A">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IV de la ley de la materia, que a la letra dice:</w:t>
      </w:r>
    </w:p>
    <w:p w14:paraId="7BC699C5" w14:textId="77777777" w:rsidR="00A26BBC" w:rsidRPr="00401A2A" w:rsidRDefault="0058160B">
      <w:pPr>
        <w:ind w:left="851"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w:t>
      </w:r>
      <w:r w:rsidRPr="00401A2A">
        <w:rPr>
          <w:rFonts w:ascii="Palatino Linotype" w:eastAsia="Palatino Linotype" w:hAnsi="Palatino Linotype" w:cs="Palatino Linotype"/>
          <w:b/>
          <w:i/>
          <w:sz w:val="22"/>
          <w:szCs w:val="22"/>
        </w:rPr>
        <w:t xml:space="preserve">Artículo 179. </w:t>
      </w:r>
      <w:r w:rsidRPr="00401A2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06166D" w14:textId="77777777" w:rsidR="00A26BBC" w:rsidRPr="00401A2A" w:rsidRDefault="0058160B">
      <w:pPr>
        <w:ind w:left="851"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w:t>
      </w:r>
    </w:p>
    <w:p w14:paraId="3D9710D1" w14:textId="77777777" w:rsidR="00A26BBC" w:rsidRPr="00401A2A" w:rsidRDefault="0058160B">
      <w:pPr>
        <w:ind w:left="851"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 xml:space="preserve">IV. La declaración de incompetencia por el sujeto obligado…” </w:t>
      </w:r>
    </w:p>
    <w:p w14:paraId="676CE4C2" w14:textId="77777777" w:rsidR="00A26BBC" w:rsidRPr="00401A2A" w:rsidRDefault="00A26BBC">
      <w:pPr>
        <w:ind w:left="851" w:right="616"/>
        <w:jc w:val="both"/>
        <w:rPr>
          <w:rFonts w:ascii="Palatino Linotype" w:eastAsia="Palatino Linotype" w:hAnsi="Palatino Linotype" w:cs="Palatino Linotype"/>
          <w:i/>
          <w:sz w:val="22"/>
          <w:szCs w:val="22"/>
        </w:rPr>
      </w:pPr>
    </w:p>
    <w:p w14:paraId="5790E794" w14:textId="77777777" w:rsidR="00A26BBC" w:rsidRPr="00401A2A" w:rsidRDefault="0058160B">
      <w:pPr>
        <w:spacing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b/>
        </w:rPr>
        <w:t xml:space="preserve">Tercero. Análisis de las causales de sobreseimiento. </w:t>
      </w:r>
      <w:r w:rsidRPr="00401A2A">
        <w:rPr>
          <w:rFonts w:ascii="Palatino Linotype" w:eastAsia="Palatino Linotype" w:hAnsi="Palatino Linotype" w:cs="Palatino Linotype"/>
        </w:rPr>
        <w:t xml:space="preserve">Es menester resaltar que en el procedimiento de acceso a la información pública y de los medios de impugnación </w:t>
      </w:r>
      <w:r w:rsidRPr="00401A2A">
        <w:rPr>
          <w:rFonts w:ascii="Palatino Linotype" w:eastAsia="Palatino Linotype" w:hAnsi="Palatino Linotype" w:cs="Palatino Linotype"/>
        </w:rPr>
        <w:lastRenderedPageBreak/>
        <w:t>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D10F154" w14:textId="77777777" w:rsidR="00A26BBC" w:rsidRPr="00401A2A" w:rsidRDefault="0058160B">
      <w:pPr>
        <w:spacing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rPr>
        <w:b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E07182E" w14:textId="77777777" w:rsidR="00A26BBC" w:rsidRPr="00401A2A" w:rsidRDefault="00A26BBC">
      <w:pPr>
        <w:spacing w:line="360" w:lineRule="auto"/>
        <w:jc w:val="both"/>
        <w:rPr>
          <w:rFonts w:ascii="Palatino Linotype" w:eastAsia="Palatino Linotype" w:hAnsi="Palatino Linotype" w:cs="Palatino Linotype"/>
        </w:rPr>
      </w:pPr>
    </w:p>
    <w:p w14:paraId="31376F82" w14:textId="77777777" w:rsidR="00A26BBC" w:rsidRPr="00401A2A" w:rsidRDefault="0058160B">
      <w:pPr>
        <w:spacing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rPr>
        <w:t>De manera preliminar en el caso concreto conviene analizar si se actualiza alguna de las causales de sobreseimiento del recurso de revisión.</w:t>
      </w:r>
    </w:p>
    <w:p w14:paraId="36BD9D0D" w14:textId="77777777" w:rsidR="00A26BBC" w:rsidRPr="00401A2A" w:rsidRDefault="00A26BBC">
      <w:pPr>
        <w:spacing w:line="360" w:lineRule="auto"/>
        <w:jc w:val="both"/>
        <w:rPr>
          <w:rFonts w:ascii="Palatino Linotype" w:eastAsia="Palatino Linotype" w:hAnsi="Palatino Linotype" w:cs="Palatino Linotype"/>
        </w:rPr>
      </w:pPr>
    </w:p>
    <w:p w14:paraId="233ED8DC" w14:textId="77777777" w:rsidR="00A26BBC" w:rsidRPr="00401A2A" w:rsidRDefault="0058160B">
      <w:pPr>
        <w:spacing w:line="360" w:lineRule="auto"/>
        <w:jc w:val="both"/>
        <w:rPr>
          <w:rFonts w:ascii="Palatino Linotype" w:eastAsia="Palatino Linotype" w:hAnsi="Palatino Linotype" w:cs="Palatino Linotype"/>
          <w:b/>
        </w:rPr>
      </w:pPr>
      <w:r w:rsidRPr="00401A2A">
        <w:rPr>
          <w:rFonts w:ascii="Palatino Linotype" w:eastAsia="Palatino Linotype" w:hAnsi="Palatino Linotype" w:cs="Palatino Linotype"/>
        </w:rPr>
        <w:t>Atento a lo establecido por la Jurisprudencia número 940, publicada en la página 1538 de la Segunda Parte del Apéndice del Semanario Judicial de la Federación 1917-1918 que a la letra señala:</w:t>
      </w:r>
    </w:p>
    <w:p w14:paraId="3D12414B" w14:textId="77777777" w:rsidR="00A26BBC" w:rsidRPr="00401A2A" w:rsidRDefault="0058160B">
      <w:pPr>
        <w:pBdr>
          <w:top w:val="nil"/>
          <w:left w:val="nil"/>
          <w:bottom w:val="nil"/>
          <w:right w:val="nil"/>
          <w:between w:val="nil"/>
        </w:pBdr>
        <w:spacing w:before="240" w:after="240"/>
        <w:ind w:left="567" w:right="616"/>
        <w:jc w:val="both"/>
      </w:pPr>
      <w:r w:rsidRPr="00401A2A">
        <w:rPr>
          <w:rFonts w:ascii="Palatino Linotype" w:eastAsia="Palatino Linotype" w:hAnsi="Palatino Linotype" w:cs="Palatino Linotype"/>
          <w:i/>
          <w:sz w:val="22"/>
          <w:szCs w:val="22"/>
        </w:rPr>
        <w:lastRenderedPageBreak/>
        <w:t>“Improcedencia: Sea que las partes la aleguen o no, debe examinarse previamente la procedencia del juicio de amparo, por ser cuestión de orden público en el juicio de garantías.”(Sic)</w:t>
      </w:r>
    </w:p>
    <w:p w14:paraId="005FBE21" w14:textId="77777777" w:rsidR="00A26BBC" w:rsidRPr="00401A2A" w:rsidRDefault="0058160B">
      <w:pPr>
        <w:pBdr>
          <w:top w:val="nil"/>
          <w:left w:val="nil"/>
          <w:bottom w:val="nil"/>
          <w:right w:val="nil"/>
          <w:between w:val="nil"/>
        </w:pBdr>
        <w:spacing w:before="240" w:after="240"/>
        <w:ind w:right="49"/>
        <w:jc w:val="both"/>
        <w:rPr>
          <w:rFonts w:ascii="Palatino Linotype" w:eastAsia="Palatino Linotype" w:hAnsi="Palatino Linotype" w:cs="Palatino Linotype"/>
        </w:rPr>
      </w:pPr>
      <w:r w:rsidRPr="00401A2A">
        <w:rPr>
          <w:rFonts w:ascii="Palatino Linotype" w:eastAsia="Palatino Linotype" w:hAnsi="Palatino Linotype" w:cs="Palatino Linotype"/>
        </w:rPr>
        <w:t>Por su parte los artículos 186, 191 y 192 de la Ley en cita, disponen lo siguiente:</w:t>
      </w:r>
    </w:p>
    <w:p w14:paraId="740DB055" w14:textId="77777777" w:rsidR="00A26BBC" w:rsidRPr="00401A2A" w:rsidRDefault="0058160B">
      <w:pPr>
        <w:pBdr>
          <w:top w:val="nil"/>
          <w:left w:val="nil"/>
          <w:bottom w:val="nil"/>
          <w:right w:val="nil"/>
          <w:between w:val="nil"/>
        </w:pBdr>
        <w:spacing w:before="240" w:after="240"/>
        <w:ind w:left="851" w:right="49"/>
        <w:jc w:val="both"/>
      </w:pPr>
      <w:r w:rsidRPr="00401A2A">
        <w:rPr>
          <w:rFonts w:ascii="Palatino Linotype" w:eastAsia="Palatino Linotype" w:hAnsi="Palatino Linotype" w:cs="Palatino Linotype"/>
          <w:i/>
          <w:sz w:val="22"/>
          <w:szCs w:val="22"/>
        </w:rPr>
        <w:t>“Artículo 186. Las resoluciones del Instituto podrán:</w:t>
      </w:r>
    </w:p>
    <w:p w14:paraId="4C329D7F" w14:textId="77777777" w:rsidR="00A26BBC" w:rsidRPr="00401A2A" w:rsidRDefault="0058160B">
      <w:pPr>
        <w:pBdr>
          <w:top w:val="nil"/>
          <w:left w:val="nil"/>
          <w:bottom w:val="nil"/>
          <w:right w:val="nil"/>
          <w:between w:val="nil"/>
        </w:pBdr>
        <w:spacing w:before="240"/>
        <w:ind w:left="851" w:right="49"/>
        <w:jc w:val="both"/>
      </w:pPr>
      <w:r w:rsidRPr="00401A2A">
        <w:rPr>
          <w:rFonts w:ascii="Palatino Linotype" w:eastAsia="Palatino Linotype" w:hAnsi="Palatino Linotype" w:cs="Palatino Linotype"/>
          <w:b/>
          <w:i/>
          <w:sz w:val="22"/>
          <w:szCs w:val="22"/>
        </w:rPr>
        <w:t>I. Desechar o sobreseer el recurso;</w:t>
      </w:r>
    </w:p>
    <w:p w14:paraId="4CD0F983" w14:textId="77777777" w:rsidR="00A26BBC" w:rsidRPr="00401A2A" w:rsidRDefault="0058160B">
      <w:pPr>
        <w:pBdr>
          <w:top w:val="nil"/>
          <w:left w:val="nil"/>
          <w:bottom w:val="nil"/>
          <w:right w:val="nil"/>
          <w:between w:val="nil"/>
        </w:pBdr>
        <w:ind w:left="851" w:right="49"/>
        <w:jc w:val="both"/>
      </w:pPr>
      <w:r w:rsidRPr="00401A2A">
        <w:rPr>
          <w:rFonts w:ascii="Palatino Linotype" w:eastAsia="Palatino Linotype" w:hAnsi="Palatino Linotype" w:cs="Palatino Linotype"/>
          <w:i/>
          <w:sz w:val="22"/>
          <w:szCs w:val="22"/>
        </w:rPr>
        <w:t>II. Confirmar la respuesta del sujeto obligado;</w:t>
      </w:r>
    </w:p>
    <w:p w14:paraId="0800F168" w14:textId="77777777" w:rsidR="00A26BBC" w:rsidRPr="00401A2A" w:rsidRDefault="0058160B">
      <w:pPr>
        <w:pBdr>
          <w:top w:val="nil"/>
          <w:left w:val="nil"/>
          <w:bottom w:val="nil"/>
          <w:right w:val="nil"/>
          <w:between w:val="nil"/>
        </w:pBdr>
        <w:ind w:left="851" w:right="49"/>
        <w:jc w:val="both"/>
      </w:pPr>
      <w:r w:rsidRPr="00401A2A">
        <w:rPr>
          <w:rFonts w:ascii="Palatino Linotype" w:eastAsia="Palatino Linotype" w:hAnsi="Palatino Linotype" w:cs="Palatino Linotype"/>
          <w:i/>
          <w:sz w:val="22"/>
          <w:szCs w:val="22"/>
        </w:rPr>
        <w:t>III. Revocar o modificar la respuesta del sujeto obligado; y</w:t>
      </w:r>
    </w:p>
    <w:p w14:paraId="2739DBF4" w14:textId="77777777" w:rsidR="00A26BBC" w:rsidRPr="00401A2A" w:rsidRDefault="0058160B">
      <w:pPr>
        <w:pBdr>
          <w:top w:val="nil"/>
          <w:left w:val="nil"/>
          <w:bottom w:val="nil"/>
          <w:right w:val="nil"/>
          <w:between w:val="nil"/>
        </w:pBdr>
        <w:ind w:left="851" w:right="49"/>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IV. Ordenar la entrega de la información…”</w:t>
      </w:r>
    </w:p>
    <w:p w14:paraId="71B7E9D1" w14:textId="77777777" w:rsidR="00A26BBC" w:rsidRPr="00401A2A" w:rsidRDefault="00A26BBC">
      <w:pPr>
        <w:pBdr>
          <w:top w:val="nil"/>
          <w:left w:val="nil"/>
          <w:bottom w:val="nil"/>
          <w:right w:val="nil"/>
          <w:between w:val="nil"/>
        </w:pBdr>
        <w:ind w:left="851" w:right="49"/>
        <w:jc w:val="both"/>
      </w:pPr>
    </w:p>
    <w:p w14:paraId="3791F063"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 xml:space="preserve"> Artículo 191. El recurso será desechado por improcedente cuando:</w:t>
      </w:r>
    </w:p>
    <w:p w14:paraId="74BFCA5F"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I. Sea extemporáneo por haber transcurrido el plazo establecido en la presente Ley, a partir de la respuesta;</w:t>
      </w:r>
    </w:p>
    <w:p w14:paraId="7CC3987E"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II. Se esté tramitando ante el Poder Judicial de la Federación algún recurso o medio de defensa interpuesto por el recurrente;</w:t>
      </w:r>
    </w:p>
    <w:p w14:paraId="76BE0EE2"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III. No actualice alguno de los supuestos previstos en la presente Ley;</w:t>
      </w:r>
    </w:p>
    <w:p w14:paraId="744DF0B4"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IV. No se haya desahogado la prevención en los términos establecidos en la presente Ley;</w:t>
      </w:r>
    </w:p>
    <w:p w14:paraId="6D182C4A"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V. Se impugne la veracidad de la información proporcionada;</w:t>
      </w:r>
    </w:p>
    <w:p w14:paraId="5367F94F"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b/>
          <w:i/>
          <w:sz w:val="22"/>
          <w:szCs w:val="22"/>
          <w:u w:val="single"/>
        </w:rPr>
        <w:t>VI. Se trate de una consulta</w:t>
      </w:r>
      <w:r w:rsidRPr="00401A2A">
        <w:rPr>
          <w:rFonts w:ascii="Palatino Linotype" w:eastAsia="Palatino Linotype" w:hAnsi="Palatino Linotype" w:cs="Palatino Linotype"/>
          <w:b/>
          <w:i/>
          <w:sz w:val="22"/>
          <w:szCs w:val="22"/>
        </w:rPr>
        <w:t xml:space="preserve">, </w:t>
      </w:r>
      <w:r w:rsidRPr="00401A2A">
        <w:rPr>
          <w:rFonts w:ascii="Palatino Linotype" w:eastAsia="Palatino Linotype" w:hAnsi="Palatino Linotype" w:cs="Palatino Linotype"/>
          <w:i/>
          <w:sz w:val="22"/>
          <w:szCs w:val="22"/>
        </w:rPr>
        <w:t>o trámite en específico; y</w:t>
      </w:r>
    </w:p>
    <w:p w14:paraId="56D4313A"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VII. El recurrente amplíe su solicitud en el recurso de revisión, únicamente respecto de los nuevos contenidos.”</w:t>
      </w:r>
    </w:p>
    <w:p w14:paraId="25715CA2" w14:textId="77777777" w:rsidR="00A26BBC" w:rsidRPr="00401A2A" w:rsidRDefault="00A26BBC">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08FB6F2C"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“Artículo 192. El recurso será sobreseído, en todo o en parte, cuando una vez admitido, se actualicen alguno de los siguientes supuestos:</w:t>
      </w:r>
    </w:p>
    <w:p w14:paraId="30E4A6EE"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I. El recurrente se desista expresamente del recurso;</w:t>
      </w:r>
    </w:p>
    <w:p w14:paraId="4EE4B7ED"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II. El recurrente fallezca o, tratándose de personas jurídicas colectivas, se disuelva;</w:t>
      </w:r>
    </w:p>
    <w:p w14:paraId="3770D32B"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III. El sujeto obligado responsable del acto lo modifique o revoque de tal manera que el recurso de revisión quede sin materia;</w:t>
      </w:r>
    </w:p>
    <w:p w14:paraId="7E61EAD0"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0D7A37BC" w14:textId="77777777" w:rsidR="00A26BBC" w:rsidRPr="00401A2A" w:rsidRDefault="0058160B">
      <w:pPr>
        <w:pBdr>
          <w:top w:val="nil"/>
          <w:left w:val="nil"/>
          <w:bottom w:val="nil"/>
          <w:right w:val="nil"/>
          <w:between w:val="nil"/>
        </w:pBdr>
        <w:ind w:left="851" w:right="616"/>
        <w:jc w:val="both"/>
      </w:pPr>
      <w:r w:rsidRPr="00401A2A">
        <w:rPr>
          <w:rFonts w:ascii="Palatino Linotype" w:eastAsia="Palatino Linotype" w:hAnsi="Palatino Linotype" w:cs="Palatino Linotype"/>
          <w:i/>
          <w:sz w:val="22"/>
          <w:szCs w:val="22"/>
        </w:rPr>
        <w:t>V. Cuando por cualquier motivo quede sin materia el recurso.” (Sic)</w:t>
      </w:r>
    </w:p>
    <w:p w14:paraId="24B8D8AD" w14:textId="77777777" w:rsidR="00A26BBC" w:rsidRPr="00401A2A" w:rsidRDefault="00A26BBC">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p>
    <w:p w14:paraId="625D3339" w14:textId="77777777" w:rsidR="00A26BBC" w:rsidRPr="00401A2A" w:rsidRDefault="0058160B">
      <w:pPr>
        <w:pBdr>
          <w:top w:val="nil"/>
          <w:left w:val="nil"/>
          <w:bottom w:val="nil"/>
          <w:right w:val="nil"/>
          <w:between w:val="nil"/>
        </w:pBdr>
        <w:spacing w:before="240" w:after="240" w:line="360" w:lineRule="auto"/>
        <w:ind w:right="49"/>
        <w:jc w:val="both"/>
      </w:pPr>
      <w:r w:rsidRPr="00401A2A">
        <w:rPr>
          <w:rFonts w:ascii="Palatino Linotype" w:eastAsia="Palatino Linotype" w:hAnsi="Palatino Linotype" w:cs="Palatino Linotype"/>
        </w:rPr>
        <w:t xml:space="preserve">En el presente caso, en el análisis oficioso este Organismo Garante advierte que, una vez admitido el Recurso de Revisión y en su estudio a detalle, surgió una causal de </w:t>
      </w:r>
      <w:r w:rsidRPr="00401A2A">
        <w:rPr>
          <w:rFonts w:ascii="Palatino Linotype" w:eastAsia="Palatino Linotype" w:hAnsi="Palatino Linotype" w:cs="Palatino Linotype"/>
        </w:rPr>
        <w:lastRenderedPageBreak/>
        <w:t>improcedencia, prevista en el artículo 191 fracción VI de la Ley de Transparencia y Acceso a la Información Pública del Estado de México y Municipios</w:t>
      </w:r>
    </w:p>
    <w:p w14:paraId="2C82EB66" w14:textId="77777777" w:rsidR="00A26BBC" w:rsidRPr="00401A2A" w:rsidRDefault="0058160B">
      <w:pPr>
        <w:pBdr>
          <w:top w:val="nil"/>
          <w:left w:val="nil"/>
          <w:bottom w:val="nil"/>
          <w:right w:val="nil"/>
          <w:between w:val="nil"/>
        </w:pBdr>
        <w:spacing w:before="240" w:after="240" w:line="360" w:lineRule="auto"/>
        <w:ind w:right="49"/>
        <w:jc w:val="both"/>
      </w:pPr>
      <w:r w:rsidRPr="00401A2A">
        <w:rPr>
          <w:rFonts w:ascii="Palatino Linotype" w:eastAsia="Palatino Linotype" w:hAnsi="Palatino Linotype" w:cs="Palatino Linotype"/>
        </w:rPr>
        <w:t>Cobrando aplicación lo previsto en la fracción IV del artículo 192, en razón a que al haber sido el recurso y al actualizarse una causal de improcedencia, debe ser sobreseído.</w:t>
      </w:r>
    </w:p>
    <w:p w14:paraId="358D6BCA" w14:textId="77777777" w:rsidR="00A26BBC" w:rsidRPr="00401A2A" w:rsidRDefault="0058160B">
      <w:pPr>
        <w:pBdr>
          <w:top w:val="nil"/>
          <w:left w:val="nil"/>
          <w:bottom w:val="nil"/>
          <w:right w:val="nil"/>
          <w:between w:val="nil"/>
        </w:pBdr>
        <w:spacing w:before="240" w:after="240" w:line="360" w:lineRule="auto"/>
        <w:ind w:right="49"/>
        <w:jc w:val="both"/>
      </w:pPr>
      <w:r w:rsidRPr="00401A2A">
        <w:rPr>
          <w:rFonts w:ascii="Palatino Linotype" w:eastAsia="Palatino Linotype" w:hAnsi="Palatino Linotype" w:cs="Palatino Linotype"/>
        </w:rPr>
        <w:t>En atención de lo anterior, se procede a analizar las cuestiones de hecho que dieron lugar a la improcedencia en concordancia con el apartado de causales de sobreseimiento.</w:t>
      </w:r>
    </w:p>
    <w:p w14:paraId="0D6D0605" w14:textId="77777777" w:rsidR="00A26BBC" w:rsidRPr="00401A2A" w:rsidRDefault="0058160B">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Así,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 fracción VI del artículo 191 de la misma Ley citado con antelación, por no existir elementos de procedencia, en virtud de que el mismo no actualiza alguno de los supuestos previstos en el citado artículo 179, toda vez que la parte </w:t>
      </w:r>
      <w:r w:rsidRPr="00401A2A">
        <w:rPr>
          <w:rFonts w:ascii="Palatino Linotype" w:eastAsia="Palatino Linotype" w:hAnsi="Palatino Linotype" w:cs="Palatino Linotype"/>
          <w:b/>
        </w:rPr>
        <w:t>RECURRENTE</w:t>
      </w:r>
      <w:r w:rsidRPr="00401A2A">
        <w:rPr>
          <w:rFonts w:ascii="Palatino Linotype" w:eastAsia="Palatino Linotype" w:hAnsi="Palatino Linotype" w:cs="Palatino Linotype"/>
        </w:rPr>
        <w:t>, mediante la solicitud de acceso a la información pública, requiere que le sea contestada una consulta para un caso específico.</w:t>
      </w:r>
    </w:p>
    <w:p w14:paraId="2A8C94EE" w14:textId="77777777" w:rsidR="00A26BBC" w:rsidRPr="00401A2A" w:rsidRDefault="0058160B">
      <w:pPr>
        <w:pBdr>
          <w:top w:val="nil"/>
          <w:left w:val="nil"/>
          <w:bottom w:val="nil"/>
          <w:right w:val="nil"/>
          <w:between w:val="nil"/>
        </w:pBdr>
        <w:spacing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rPr>
        <w:t>En ese sentido, del análisis a la solicitud de información motivo del recurso de revisión que ahora se resuelve,</w:t>
      </w:r>
      <w:r w:rsidRPr="00401A2A">
        <w:rPr>
          <w:rFonts w:ascii="Palatino Linotype" w:eastAsia="Palatino Linotype" w:hAnsi="Palatino Linotype" w:cs="Palatino Linotype"/>
          <w:b/>
          <w:u w:val="single"/>
        </w:rPr>
        <w:t xml:space="preserve"> no se advirtió que este desee tener acceso a un documento específico</w:t>
      </w:r>
      <w:r w:rsidRPr="00401A2A">
        <w:rPr>
          <w:rFonts w:ascii="Palatino Linotype" w:eastAsia="Palatino Linotype" w:hAnsi="Palatino Linotype" w:cs="Palatino Linotype"/>
        </w:rPr>
        <w:t xml:space="preserve">, sino que únicamente requiere que el </w:t>
      </w:r>
      <w:r w:rsidRPr="00401A2A">
        <w:rPr>
          <w:rFonts w:ascii="Palatino Linotype" w:eastAsia="Palatino Linotype" w:hAnsi="Palatino Linotype" w:cs="Palatino Linotype"/>
          <w:b/>
        </w:rPr>
        <w:t>SUJETO OBLIGADO</w:t>
      </w:r>
      <w:r w:rsidRPr="00401A2A">
        <w:rPr>
          <w:rFonts w:ascii="Palatino Linotype" w:eastAsia="Palatino Linotype" w:hAnsi="Palatino Linotype" w:cs="Palatino Linotype"/>
        </w:rPr>
        <w:t xml:space="preserve"> le diera motivo de porqué la página de la Secretaría del Agua tiene información de su descentralizado como es la Comisión del Agua del Estado de México, porqué la Comisión del Agua del Estado de México no tiene su página propia, es decir, lo que </w:t>
      </w:r>
      <w:r w:rsidRPr="00401A2A">
        <w:rPr>
          <w:rFonts w:ascii="Palatino Linotype" w:eastAsia="Palatino Linotype" w:hAnsi="Palatino Linotype" w:cs="Palatino Linotype"/>
        </w:rPr>
        <w:lastRenderedPageBreak/>
        <w:t>pretende saber el particular porqué tienen una sola página web las dos dependencias.</w:t>
      </w:r>
    </w:p>
    <w:p w14:paraId="6E3A4141" w14:textId="77777777" w:rsidR="00A26BBC" w:rsidRPr="00401A2A" w:rsidRDefault="00A26BBC"/>
    <w:p w14:paraId="4BE64FCD" w14:textId="77777777" w:rsidR="00A26BBC" w:rsidRPr="00401A2A" w:rsidRDefault="0058160B">
      <w:pPr>
        <w:pBdr>
          <w:top w:val="nil"/>
          <w:left w:val="nil"/>
          <w:bottom w:val="nil"/>
          <w:right w:val="nil"/>
          <w:between w:val="nil"/>
        </w:pBdr>
        <w:spacing w:line="360" w:lineRule="auto"/>
        <w:jc w:val="both"/>
      </w:pPr>
      <w:r w:rsidRPr="00401A2A">
        <w:rPr>
          <w:rFonts w:ascii="Palatino Linotype" w:eastAsia="Palatino Linotype" w:hAnsi="Palatino Linotype" w:cs="Palatino Linotype"/>
        </w:rPr>
        <w:t>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5D90489B" w14:textId="77777777" w:rsidR="00A26BBC" w:rsidRPr="00401A2A" w:rsidRDefault="00A26BBC"/>
    <w:p w14:paraId="033E5A0C" w14:textId="77777777" w:rsidR="00A26BBC" w:rsidRPr="00401A2A" w:rsidRDefault="0058160B">
      <w:pPr>
        <w:pBdr>
          <w:top w:val="nil"/>
          <w:left w:val="nil"/>
          <w:bottom w:val="nil"/>
          <w:right w:val="nil"/>
          <w:between w:val="nil"/>
        </w:pBdr>
        <w:spacing w:line="360" w:lineRule="auto"/>
        <w:jc w:val="both"/>
      </w:pPr>
      <w:r w:rsidRPr="00401A2A">
        <w:rPr>
          <w:rFonts w:ascii="Palatino Linotype" w:eastAsia="Palatino Linotype" w:hAnsi="Palatino Linotype" w:cs="Palatino Linotype"/>
        </w:rPr>
        <w:t>Se robustece esto, con el Criterio 03/17 emitido por el Instituto Nacional de Transparencia, Acceso a la Información y Protección de Datos Personales, el cual establece lo siguiente: </w:t>
      </w:r>
    </w:p>
    <w:p w14:paraId="0A113BE1" w14:textId="77777777" w:rsidR="00A26BBC" w:rsidRPr="00401A2A" w:rsidRDefault="00A26BBC"/>
    <w:p w14:paraId="5232DF16" w14:textId="77777777" w:rsidR="00A26BBC" w:rsidRPr="00401A2A" w:rsidRDefault="0058160B">
      <w:pPr>
        <w:pBdr>
          <w:top w:val="nil"/>
          <w:left w:val="nil"/>
          <w:bottom w:val="nil"/>
          <w:right w:val="nil"/>
          <w:between w:val="nil"/>
        </w:pBdr>
        <w:ind w:left="567" w:right="567"/>
        <w:jc w:val="both"/>
      </w:pPr>
      <w:r w:rsidRPr="00401A2A">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401A2A">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4A5303E" w14:textId="77777777" w:rsidR="00A26BBC" w:rsidRPr="00401A2A" w:rsidRDefault="00A26BBC"/>
    <w:p w14:paraId="50387C3C" w14:textId="77777777" w:rsidR="00A26BBC" w:rsidRPr="00401A2A" w:rsidRDefault="0058160B">
      <w:pPr>
        <w:pBdr>
          <w:top w:val="nil"/>
          <w:left w:val="nil"/>
          <w:bottom w:val="nil"/>
          <w:right w:val="nil"/>
          <w:between w:val="nil"/>
        </w:pBdr>
        <w:spacing w:line="360" w:lineRule="auto"/>
        <w:jc w:val="both"/>
      </w:pPr>
      <w:r w:rsidRPr="00401A2A">
        <w:rPr>
          <w:rFonts w:ascii="Palatino Linotype" w:eastAsia="Palatino Linotype" w:hAnsi="Palatino Linotype" w:cs="Palatino Linotype"/>
        </w:rPr>
        <w:t xml:space="preserve">Por otro lado, es importante mencionar que el requerimiento de la parte </w:t>
      </w:r>
      <w:r w:rsidRPr="00401A2A">
        <w:rPr>
          <w:rFonts w:ascii="Palatino Linotype" w:eastAsia="Palatino Linotype" w:hAnsi="Palatino Linotype" w:cs="Palatino Linotype"/>
          <w:b/>
        </w:rPr>
        <w:t>RECURRENTE</w:t>
      </w:r>
      <w:r w:rsidRPr="00401A2A">
        <w:rPr>
          <w:rFonts w:ascii="Palatino Linotype" w:eastAsia="Palatino Linotype" w:hAnsi="Palatino Linotype" w:cs="Palatino Linotype"/>
        </w:rPr>
        <w:t xml:space="preserve"> es tendiente a obligar a la autoridad a que actúe en el sentido de contestar lo solicitado, lo cual no es factible atenderse vía acceso a la información </w:t>
      </w:r>
      <w:r w:rsidRPr="00401A2A">
        <w:rPr>
          <w:rFonts w:ascii="Palatino Linotype" w:eastAsia="Palatino Linotype" w:hAnsi="Palatino Linotype" w:cs="Palatino Linotype"/>
        </w:rPr>
        <w:lastRenderedPageBreak/>
        <w:t xml:space="preserve">pública, toda vez, que la atención a dicho requerimiento no se pueden colmar con documentos que obren en los archivos del </w:t>
      </w:r>
      <w:r w:rsidRPr="00401A2A">
        <w:rPr>
          <w:rFonts w:ascii="Palatino Linotype" w:eastAsia="Palatino Linotype" w:hAnsi="Palatino Linotype" w:cs="Palatino Linotype"/>
          <w:b/>
        </w:rPr>
        <w:t>SUJETO OBLIGADO</w:t>
      </w:r>
      <w:r w:rsidRPr="00401A2A">
        <w:rPr>
          <w:rFonts w:ascii="Palatino Linotype" w:eastAsia="Palatino Linotype" w:hAnsi="Palatino Linotype" w:cs="Palatino Linotype"/>
        </w:rPr>
        <w:t xml:space="preserve">. </w:t>
      </w:r>
    </w:p>
    <w:p w14:paraId="2202EF1A" w14:textId="77777777" w:rsidR="00A26BBC" w:rsidRPr="00401A2A" w:rsidRDefault="00A26BBC"/>
    <w:p w14:paraId="659B8219" w14:textId="77777777" w:rsidR="00A26BBC" w:rsidRPr="00401A2A" w:rsidRDefault="0058160B">
      <w:pPr>
        <w:pBdr>
          <w:top w:val="nil"/>
          <w:left w:val="nil"/>
          <w:bottom w:val="nil"/>
          <w:right w:val="nil"/>
          <w:between w:val="nil"/>
        </w:pBdr>
        <w:spacing w:line="360" w:lineRule="auto"/>
        <w:jc w:val="both"/>
      </w:pPr>
      <w:r w:rsidRPr="00401A2A">
        <w:rPr>
          <w:rFonts w:ascii="Palatino Linotype" w:eastAsia="Palatino Linotype" w:hAnsi="Palatino Linotype" w:cs="Palatino Linotype"/>
        </w:rPr>
        <w:t xml:space="preserve">Es por lo anterior que se advierte que la solicitud </w:t>
      </w:r>
      <w:r w:rsidRPr="00401A2A">
        <w:rPr>
          <w:rFonts w:ascii="Palatino Linotype" w:eastAsia="Palatino Linotype" w:hAnsi="Palatino Linotype" w:cs="Palatino Linotype"/>
          <w:b/>
        </w:rPr>
        <w:t xml:space="preserve">no constituye un derecho de acceso a la información </w:t>
      </w:r>
      <w:r w:rsidRPr="00401A2A">
        <w:rPr>
          <w:rFonts w:ascii="Palatino Linotype" w:eastAsia="Palatino Linotype" w:hAnsi="Palatino Linotype" w:cs="Palatino Linotype"/>
        </w:rPr>
        <w:t xml:space="preserve">y, por lo tanto, no es atendible mediante una solicitud de acceso a la información pública, ya que se tratan de una petición formulada por la parte Solicitante, </w:t>
      </w:r>
      <w:r w:rsidRPr="00401A2A">
        <w:rPr>
          <w:rFonts w:ascii="Palatino Linotype" w:eastAsia="Palatino Linotype" w:hAnsi="Palatino Linotype" w:cs="Palatino Linotype"/>
          <w:b/>
          <w:u w:val="single"/>
        </w:rPr>
        <w:t>situación que conlleva a afirmar que se está en presencia del ejercicio del derecho de petición. </w:t>
      </w:r>
    </w:p>
    <w:p w14:paraId="19DAE821" w14:textId="77777777" w:rsidR="00A26BBC" w:rsidRPr="00401A2A" w:rsidRDefault="00A26BBC"/>
    <w:p w14:paraId="7E07F4CE" w14:textId="77777777" w:rsidR="00A26BBC" w:rsidRPr="00401A2A" w:rsidRDefault="0058160B">
      <w:pPr>
        <w:pBdr>
          <w:top w:val="nil"/>
          <w:left w:val="nil"/>
          <w:bottom w:val="nil"/>
          <w:right w:val="nil"/>
          <w:between w:val="nil"/>
        </w:pBdr>
        <w:spacing w:line="360" w:lineRule="auto"/>
        <w:jc w:val="both"/>
      </w:pPr>
      <w:r w:rsidRPr="00401A2A">
        <w:rPr>
          <w:rFonts w:ascii="Palatino Linotype" w:eastAsia="Palatino Linotype" w:hAnsi="Palatino Linotype" w:cs="Palatino Linotype"/>
        </w:rPr>
        <w:t xml:space="preserve">A efecto de sustentar lo anterior, es preciso mencionar que David Cienfuegos Salgado, concibe al derecho de petición como </w:t>
      </w:r>
      <w:r w:rsidRPr="00401A2A">
        <w:rPr>
          <w:rFonts w:ascii="Palatino Linotype" w:eastAsia="Palatino Linotype" w:hAnsi="Palatino Linotype" w:cs="Palatino Linotype"/>
          <w:i/>
        </w:rPr>
        <w:t>“</w:t>
      </w:r>
      <w:r w:rsidRPr="00401A2A">
        <w:rPr>
          <w:rFonts w:ascii="Palatino Linotype" w:eastAsia="Palatino Linotype" w:hAnsi="Palatino Linotype" w:cs="Palatino Linotype"/>
          <w:b/>
          <w:i/>
          <w:u w:val="single"/>
        </w:rPr>
        <w:t>el derecho de toda persona a ser escuchado por quienes ejercen el poder públic</w:t>
      </w:r>
      <w:r w:rsidRPr="00401A2A">
        <w:rPr>
          <w:rFonts w:ascii="Palatino Linotype" w:eastAsia="Palatino Linotype" w:hAnsi="Palatino Linotype" w:cs="Palatino Linotype"/>
          <w:i/>
        </w:rPr>
        <w:t>o.”  </w:t>
      </w:r>
    </w:p>
    <w:p w14:paraId="1247733B" w14:textId="77777777" w:rsidR="00A26BBC" w:rsidRPr="00401A2A" w:rsidRDefault="00A26BBC"/>
    <w:p w14:paraId="5A1C6397" w14:textId="77777777" w:rsidR="00A26BBC" w:rsidRPr="00401A2A" w:rsidRDefault="0058160B">
      <w:pPr>
        <w:pBdr>
          <w:top w:val="nil"/>
          <w:left w:val="nil"/>
          <w:bottom w:val="nil"/>
          <w:right w:val="nil"/>
          <w:between w:val="nil"/>
        </w:pBdr>
        <w:spacing w:line="360" w:lineRule="auto"/>
        <w:jc w:val="both"/>
      </w:pPr>
      <w:r w:rsidRPr="00401A2A">
        <w:rPr>
          <w:rFonts w:ascii="Palatino Linotype" w:eastAsia="Palatino Linotype" w:hAnsi="Palatino Linotype" w:cs="Palatino Linotype"/>
        </w:rPr>
        <w:t xml:space="preserve">De la misma manera, Miguel Carbonell en su libro </w:t>
      </w:r>
      <w:r w:rsidRPr="00401A2A">
        <w:rPr>
          <w:rFonts w:ascii="Palatino Linotype" w:eastAsia="Palatino Linotype" w:hAnsi="Palatino Linotype" w:cs="Palatino Linotype"/>
          <w:i/>
        </w:rPr>
        <w:t>“Los derechos fundamentales”</w:t>
      </w:r>
      <w:r w:rsidRPr="00401A2A">
        <w:rPr>
          <w:rFonts w:ascii="Palatino Linotype" w:eastAsia="Palatino Linotype" w:hAnsi="Palatino Linotype" w:cs="Palatino Linotype"/>
        </w:rPr>
        <w:t xml:space="preserve"> refiere que el </w:t>
      </w:r>
      <w:r w:rsidRPr="00401A2A">
        <w:rPr>
          <w:rFonts w:ascii="Palatino Linotype" w:eastAsia="Palatino Linotype" w:hAnsi="Palatino Linotype" w:cs="Palatino Linotype"/>
          <w:u w:val="single"/>
        </w:rPr>
        <w:t>derecho de petición se ha entendido de dos distintas maneras</w:t>
      </w:r>
      <w:r w:rsidRPr="00401A2A">
        <w:rPr>
          <w:rFonts w:ascii="Palatino Linotype" w:eastAsia="Palatino Linotype" w:hAnsi="Palatino Linotype" w:cs="Palatino Linotype"/>
        </w:rPr>
        <w:t xml:space="preserve">, a saber: como un derecho fundamental de participación política ya que </w:t>
      </w:r>
      <w:r w:rsidRPr="00401A2A">
        <w:rPr>
          <w:rFonts w:ascii="Palatino Linotype" w:eastAsia="Palatino Linotype" w:hAnsi="Palatino Linotype" w:cs="Palatino Linotype"/>
          <w:u w:val="single"/>
        </w:rPr>
        <w:t xml:space="preserve">permite a los </w:t>
      </w:r>
      <w:r w:rsidRPr="00401A2A">
        <w:rPr>
          <w:rFonts w:ascii="Palatino Linotype" w:eastAsia="Palatino Linotype" w:hAnsi="Palatino Linotype" w:cs="Palatino Linotype"/>
        </w:rPr>
        <w:t xml:space="preserve">particulares trasladar a las autoridades sus </w:t>
      </w:r>
      <w:r w:rsidRPr="00401A2A">
        <w:rPr>
          <w:rFonts w:ascii="Palatino Linotype" w:eastAsia="Palatino Linotype" w:hAnsi="Palatino Linotype" w:cs="Palatino Linotype"/>
          <w:b/>
        </w:rPr>
        <w:t>inquietudes, quejas</w:t>
      </w:r>
      <w:r w:rsidRPr="00401A2A">
        <w:rPr>
          <w:rFonts w:ascii="Palatino Linotype" w:eastAsia="Palatino Linotype" w:hAnsi="Palatino Linotype" w:cs="Palatino Linotype"/>
        </w:rPr>
        <w:t xml:space="preserve">, sugerencias y requerimientos en cualquier materia o asunto; y como una </w:t>
      </w:r>
      <w:r w:rsidRPr="00401A2A">
        <w:rPr>
          <w:rFonts w:ascii="Palatino Linotype" w:eastAsia="Palatino Linotype" w:hAnsi="Palatino Linotype" w:cs="Palatino Linotype"/>
          <w:b/>
        </w:rPr>
        <w:t>forma específica de la libertad de expresión</w:t>
      </w:r>
      <w:r w:rsidRPr="00401A2A">
        <w:rPr>
          <w:rFonts w:ascii="Palatino Linotype" w:eastAsia="Palatino Linotype" w:hAnsi="Palatino Linotype" w:cs="Palatino Linotype"/>
        </w:rPr>
        <w:t>, en tanto que permite expresarse frente a las autoridades. </w:t>
      </w:r>
    </w:p>
    <w:p w14:paraId="0E258ACD" w14:textId="77777777" w:rsidR="00A26BBC" w:rsidRPr="00401A2A" w:rsidRDefault="00A26BBC"/>
    <w:p w14:paraId="514A8003" w14:textId="77777777" w:rsidR="00A26BBC" w:rsidRPr="00401A2A" w:rsidRDefault="0058160B">
      <w:pPr>
        <w:pBdr>
          <w:top w:val="nil"/>
          <w:left w:val="nil"/>
          <w:bottom w:val="nil"/>
          <w:right w:val="nil"/>
          <w:between w:val="nil"/>
        </w:pBdr>
        <w:spacing w:line="360" w:lineRule="auto"/>
        <w:jc w:val="both"/>
      </w:pPr>
      <w:r w:rsidRPr="00401A2A">
        <w:rPr>
          <w:rFonts w:ascii="Palatino Linotype" w:eastAsia="Palatino Linotype" w:hAnsi="Palatino Linotype" w:cs="Palatino Linotype"/>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321DCD01" w14:textId="77777777" w:rsidR="00A26BBC" w:rsidRPr="00401A2A" w:rsidRDefault="00A26BBC">
      <w:pPr>
        <w:spacing w:line="360" w:lineRule="auto"/>
      </w:pPr>
    </w:p>
    <w:p w14:paraId="3C4E7801" w14:textId="77777777" w:rsidR="00A26BBC" w:rsidRPr="00401A2A" w:rsidRDefault="0058160B">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401A2A">
        <w:rPr>
          <w:rFonts w:ascii="Palatino Linotype" w:eastAsia="Palatino Linotype" w:hAnsi="Palatino Linotype" w:cs="Palatino Linotype"/>
        </w:rPr>
        <w:lastRenderedPageBreak/>
        <w:t xml:space="preserve">Por otro lado, el autor anteriormente citado, indica que el </w:t>
      </w:r>
      <w:r w:rsidRPr="00401A2A">
        <w:rPr>
          <w:rFonts w:ascii="Palatino Linotype" w:eastAsia="Palatino Linotype" w:hAnsi="Palatino Linotype" w:cs="Palatino Linotype"/>
          <w:b/>
        </w:rPr>
        <w:t>derecho de acceso a la información pública</w:t>
      </w:r>
      <w:r w:rsidRPr="00401A2A">
        <w:rPr>
          <w:rFonts w:ascii="Palatino Linotype" w:eastAsia="Palatino Linotype" w:hAnsi="Palatino Linotype" w:cs="Palatino Linotype"/>
        </w:rPr>
        <w:t xml:space="preserve"> es el derecho de conocer la </w:t>
      </w:r>
      <w:r w:rsidRPr="00401A2A">
        <w:rPr>
          <w:rFonts w:ascii="Palatino Linotype" w:eastAsia="Palatino Linotype" w:hAnsi="Palatino Linotype" w:cs="Palatino Linotype"/>
          <w:u w:val="single"/>
        </w:rPr>
        <w:t>información de carácter público que se genera o está en posesión de los órganos del poder público</w:t>
      </w:r>
      <w:r w:rsidRPr="00401A2A">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295E93A2" w14:textId="77777777" w:rsidR="00A26BBC" w:rsidRPr="00401A2A" w:rsidRDefault="00A26BBC">
      <w:pPr>
        <w:pBdr>
          <w:top w:val="nil"/>
          <w:left w:val="nil"/>
          <w:bottom w:val="nil"/>
          <w:right w:val="nil"/>
          <w:between w:val="nil"/>
        </w:pBdr>
        <w:spacing w:line="360" w:lineRule="auto"/>
        <w:ind w:right="99"/>
        <w:jc w:val="both"/>
        <w:rPr>
          <w:rFonts w:ascii="Palatino Linotype" w:eastAsia="Palatino Linotype" w:hAnsi="Palatino Linotype" w:cs="Palatino Linotype"/>
        </w:rPr>
      </w:pPr>
    </w:p>
    <w:p w14:paraId="2C527C74" w14:textId="77777777" w:rsidR="00A26BBC" w:rsidRPr="00401A2A" w:rsidRDefault="0058160B">
      <w:pPr>
        <w:pBdr>
          <w:top w:val="nil"/>
          <w:left w:val="nil"/>
          <w:bottom w:val="nil"/>
          <w:right w:val="nil"/>
          <w:between w:val="nil"/>
        </w:pBdr>
        <w:spacing w:line="360" w:lineRule="auto"/>
        <w:ind w:right="99"/>
        <w:jc w:val="both"/>
      </w:pPr>
      <w:r w:rsidRPr="00401A2A">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737D365E" w14:textId="77777777" w:rsidR="00A26BBC" w:rsidRPr="00401A2A" w:rsidRDefault="00A26BBC">
      <w:pPr>
        <w:spacing w:line="360" w:lineRule="auto"/>
      </w:pPr>
    </w:p>
    <w:p w14:paraId="259BB840" w14:textId="77777777" w:rsidR="00A26BBC" w:rsidRPr="00401A2A" w:rsidRDefault="0058160B">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De lo anterior, se puede concluir que la distinción entre el </w:t>
      </w:r>
      <w:r w:rsidRPr="00401A2A">
        <w:rPr>
          <w:rFonts w:ascii="Palatino Linotype" w:eastAsia="Palatino Linotype" w:hAnsi="Palatino Linotype" w:cs="Palatino Linotype"/>
          <w:b/>
        </w:rPr>
        <w:t>derecho de petición</w:t>
      </w:r>
      <w:r w:rsidRPr="00401A2A">
        <w:rPr>
          <w:rFonts w:ascii="Palatino Linotype" w:eastAsia="Palatino Linotype" w:hAnsi="Palatino Linotype" w:cs="Palatino Linotype"/>
        </w:rPr>
        <w:t xml:space="preserve"> y el derecho de acceso a la información descansa, principalmente, en que </w:t>
      </w:r>
      <w:r w:rsidRPr="00401A2A">
        <w:rPr>
          <w:rFonts w:ascii="Palatino Linotype" w:eastAsia="Palatino Linotype" w:hAnsi="Palatino Linotype" w:cs="Palatino Linotype"/>
          <w:b/>
          <w:u w:val="single"/>
        </w:rPr>
        <w:t>la pretensión del peticionario consiste generalmente en obligar a la autoridad responsable a que actúe en el sentido de contestar lo solicitado</w:t>
      </w:r>
      <w:r w:rsidRPr="00401A2A">
        <w:rPr>
          <w:rFonts w:ascii="Palatino Linotype" w:eastAsia="Palatino Linotype" w:hAnsi="Palatino Linotype" w:cs="Palatino Linotype"/>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1F82BB7" w14:textId="77777777" w:rsidR="00A26BBC" w:rsidRPr="00401A2A" w:rsidRDefault="00A26BBC">
      <w:pPr>
        <w:pBdr>
          <w:top w:val="nil"/>
          <w:left w:val="nil"/>
          <w:bottom w:val="nil"/>
          <w:right w:val="nil"/>
          <w:between w:val="nil"/>
        </w:pBdr>
        <w:spacing w:line="360" w:lineRule="auto"/>
        <w:ind w:right="99"/>
        <w:jc w:val="both"/>
        <w:rPr>
          <w:rFonts w:ascii="Palatino Linotype" w:eastAsia="Palatino Linotype" w:hAnsi="Palatino Linotype" w:cs="Palatino Linotype"/>
        </w:rPr>
      </w:pPr>
    </w:p>
    <w:p w14:paraId="08B1FBBA" w14:textId="77777777" w:rsidR="00A26BBC" w:rsidRPr="00401A2A" w:rsidRDefault="0058160B">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Con base a lo anterior, tenemos que la parte </w:t>
      </w:r>
      <w:r w:rsidRPr="00401A2A">
        <w:rPr>
          <w:rFonts w:ascii="Palatino Linotype" w:eastAsia="Palatino Linotype" w:hAnsi="Palatino Linotype" w:cs="Palatino Linotype"/>
          <w:b/>
        </w:rPr>
        <w:t>RECURRENTE</w:t>
      </w:r>
      <w:r w:rsidRPr="00401A2A">
        <w:rPr>
          <w:rFonts w:ascii="Palatino Linotype" w:eastAsia="Palatino Linotype" w:hAnsi="Palatino Linotype" w:cs="Palatino Linotype"/>
        </w:rPr>
        <w:t xml:space="preserve"> en su solicitud de información requiere de una explicación o bien una razón a una consulta sobre un caso específico por parte del </w:t>
      </w:r>
      <w:r w:rsidRPr="00401A2A">
        <w:rPr>
          <w:rFonts w:ascii="Palatino Linotype" w:eastAsia="Palatino Linotype" w:hAnsi="Palatino Linotype" w:cs="Palatino Linotype"/>
          <w:b/>
        </w:rPr>
        <w:t>SUJETO OBLIGADO</w:t>
      </w:r>
      <w:r w:rsidRPr="00401A2A">
        <w:rPr>
          <w:rFonts w:ascii="Palatino Linotype" w:eastAsia="Palatino Linotype" w:hAnsi="Palatino Linotype" w:cs="Palatino Linotype"/>
        </w:rPr>
        <w:t xml:space="preserve">; por consiguiente, la entrega de </w:t>
      </w:r>
      <w:r w:rsidRPr="00401A2A">
        <w:rPr>
          <w:rFonts w:ascii="Palatino Linotype" w:eastAsia="Palatino Linotype" w:hAnsi="Palatino Linotype" w:cs="Palatino Linotype"/>
        </w:rPr>
        <w:lastRenderedPageBreak/>
        <w:t>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2F12C5CB" w14:textId="77777777" w:rsidR="00A26BBC" w:rsidRPr="00401A2A" w:rsidRDefault="00A26BBC">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7E3AD190" w14:textId="77777777" w:rsidR="00A26BBC" w:rsidRPr="00401A2A" w:rsidRDefault="0058160B">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w:t>
      </w:r>
      <w:r w:rsidRPr="00401A2A">
        <w:rPr>
          <w:rFonts w:ascii="Palatino Linotype" w:eastAsia="Palatino Linotype" w:hAnsi="Palatino Linotype" w:cs="Palatino Linotype"/>
        </w:rPr>
        <w:lastRenderedPageBreak/>
        <w:t xml:space="preserve">las manifestaciones expuestas por el particular ya que son tendentes a que el </w:t>
      </w:r>
      <w:r w:rsidRPr="00401A2A">
        <w:rPr>
          <w:rFonts w:ascii="Palatino Linotype" w:eastAsia="Palatino Linotype" w:hAnsi="Palatino Linotype" w:cs="Palatino Linotype"/>
          <w:b/>
        </w:rPr>
        <w:t>SUJETO OBLIGADO</w:t>
      </w:r>
      <w:r w:rsidRPr="00401A2A">
        <w:rPr>
          <w:rFonts w:ascii="Palatino Linotype" w:eastAsia="Palatino Linotype" w:hAnsi="Palatino Linotype" w:cs="Palatino Linotype"/>
        </w:rPr>
        <w:t xml:space="preserve"> aclare una inquietud.</w:t>
      </w:r>
    </w:p>
    <w:p w14:paraId="318672D4" w14:textId="77777777" w:rsidR="00A26BBC" w:rsidRPr="00401A2A" w:rsidRDefault="00A26BBC">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0DF0100D" w14:textId="77777777" w:rsidR="00A26BBC" w:rsidRPr="00401A2A" w:rsidRDefault="0058160B">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Por consiguiente, resta solamente señalar al </w:t>
      </w:r>
      <w:r w:rsidRPr="00401A2A">
        <w:rPr>
          <w:rFonts w:ascii="Palatino Linotype" w:eastAsia="Palatino Linotype" w:hAnsi="Palatino Linotype" w:cs="Palatino Linotype"/>
          <w:b/>
        </w:rPr>
        <w:t>RECURRENTE</w:t>
      </w:r>
      <w:r w:rsidRPr="00401A2A">
        <w:rPr>
          <w:rFonts w:ascii="Palatino Linotype" w:eastAsia="Palatino Linotype" w:hAnsi="Palatino Linotype" w:cs="Palatino Linotype"/>
        </w:rPr>
        <w:t>, que quedan a salvo sus derechos que considere ejercibles a través de las vías y autoridades que estime procedentes; máxime que este Instituto se encuentra impedido para pronunciarse sobre la veracidad o no de lo que señala en su solicitud; así como ordenar a la Oficialía Mayor la entrega del documento en donde conste la información solicitada.</w:t>
      </w:r>
    </w:p>
    <w:p w14:paraId="4DA47ED1" w14:textId="77777777" w:rsidR="00A26BBC" w:rsidRPr="00401A2A" w:rsidRDefault="00A26BBC">
      <w:pPr>
        <w:pBdr>
          <w:top w:val="nil"/>
          <w:left w:val="nil"/>
          <w:bottom w:val="nil"/>
          <w:right w:val="nil"/>
          <w:between w:val="nil"/>
        </w:pBdr>
        <w:spacing w:line="360" w:lineRule="auto"/>
        <w:ind w:right="99"/>
        <w:jc w:val="both"/>
        <w:rPr>
          <w:rFonts w:ascii="Palatino Linotype" w:eastAsia="Palatino Linotype" w:hAnsi="Palatino Linotype" w:cs="Palatino Linotype"/>
        </w:rPr>
      </w:pPr>
    </w:p>
    <w:p w14:paraId="3AA1E554" w14:textId="77777777" w:rsidR="00A26BBC" w:rsidRPr="00401A2A" w:rsidRDefault="0058160B">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En virtud de los argumentos expuestos con anterioridad así como del análisis realizado a las constancias que obran en el expediente electrónico del SAIMEX, identificado con folio </w:t>
      </w:r>
      <w:r w:rsidRPr="00401A2A">
        <w:rPr>
          <w:rFonts w:ascii="Palatino Linotype" w:eastAsia="Palatino Linotype" w:hAnsi="Palatino Linotype" w:cs="Palatino Linotype"/>
          <w:b/>
        </w:rPr>
        <w:t>00155/OFICIALIA/IP/2024,</w:t>
      </w:r>
      <w:r w:rsidRPr="00401A2A">
        <w:rPr>
          <w:rFonts w:ascii="Palatino Linotype" w:eastAsia="Palatino Linotype" w:hAnsi="Palatino Linotype" w:cs="Palatino Linotype"/>
        </w:rPr>
        <w:t xml:space="preserve"> se determina sobreseer el presente recurso de revisión número </w:t>
      </w:r>
      <w:r w:rsidRPr="00401A2A">
        <w:rPr>
          <w:rFonts w:ascii="Palatino Linotype" w:eastAsia="Palatino Linotype" w:hAnsi="Palatino Linotype" w:cs="Palatino Linotype"/>
          <w:b/>
        </w:rPr>
        <w:t>04914/INFOEM/IP/RR/2024,</w:t>
      </w:r>
      <w:r w:rsidRPr="00401A2A">
        <w:rPr>
          <w:rFonts w:ascii="Verdana" w:eastAsia="Verdana" w:hAnsi="Verdana" w:cs="Verdana"/>
          <w:b/>
        </w:rPr>
        <w:t xml:space="preserve"> </w:t>
      </w:r>
      <w:r w:rsidRPr="00401A2A">
        <w:rPr>
          <w:rFonts w:ascii="Palatino Linotype" w:eastAsia="Palatino Linotype" w:hAnsi="Palatino Linotype" w:cs="Palatino Linotype"/>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6FE79357" w14:textId="77777777" w:rsidR="00A26BBC" w:rsidRPr="00401A2A" w:rsidRDefault="00A26BBC">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220C69EB" w14:textId="77777777" w:rsidR="00A26BBC" w:rsidRPr="00401A2A" w:rsidRDefault="0058160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w:t>
      </w:r>
      <w:r w:rsidRPr="00401A2A">
        <w:rPr>
          <w:rFonts w:ascii="Palatino Linotype" w:eastAsia="Palatino Linotype" w:hAnsi="Palatino Linotype" w:cs="Palatino Linotype"/>
          <w:b/>
          <w:i/>
          <w:sz w:val="22"/>
          <w:szCs w:val="22"/>
        </w:rPr>
        <w:t>Artículo 192.</w:t>
      </w:r>
      <w:r w:rsidRPr="00401A2A">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514812D8" w14:textId="77777777" w:rsidR="00A26BBC" w:rsidRPr="00401A2A" w:rsidRDefault="0058160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w:t>
      </w:r>
    </w:p>
    <w:p w14:paraId="5507C454" w14:textId="77777777" w:rsidR="00A26BBC" w:rsidRPr="00401A2A" w:rsidRDefault="0058160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b/>
          <w:i/>
          <w:sz w:val="22"/>
          <w:szCs w:val="22"/>
        </w:rPr>
        <w:t>IV</w:t>
      </w:r>
      <w:r w:rsidRPr="00401A2A">
        <w:rPr>
          <w:rFonts w:ascii="Palatino Linotype" w:eastAsia="Palatino Linotype" w:hAnsi="Palatino Linotype" w:cs="Palatino Linotype"/>
          <w:i/>
          <w:sz w:val="22"/>
          <w:szCs w:val="22"/>
        </w:rPr>
        <w:t xml:space="preserve">. Admitido el recurso de revisión, </w:t>
      </w:r>
      <w:r w:rsidRPr="00401A2A">
        <w:rPr>
          <w:rFonts w:ascii="Palatino Linotype" w:eastAsia="Palatino Linotype" w:hAnsi="Palatino Linotype" w:cs="Palatino Linotype"/>
          <w:b/>
          <w:i/>
          <w:sz w:val="22"/>
          <w:szCs w:val="22"/>
        </w:rPr>
        <w:t>aparezca alguna causal de improcedencia</w:t>
      </w:r>
      <w:r w:rsidRPr="00401A2A">
        <w:rPr>
          <w:rFonts w:ascii="Palatino Linotype" w:eastAsia="Palatino Linotype" w:hAnsi="Palatino Linotype" w:cs="Palatino Linotype"/>
          <w:i/>
          <w:sz w:val="22"/>
          <w:szCs w:val="22"/>
        </w:rPr>
        <w:t xml:space="preserve"> en los términos de la presente Ley…</w:t>
      </w:r>
    </w:p>
    <w:p w14:paraId="2603BEE2" w14:textId="77777777" w:rsidR="00A26BBC" w:rsidRPr="00401A2A" w:rsidRDefault="0058160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b/>
          <w:i/>
          <w:sz w:val="22"/>
          <w:szCs w:val="22"/>
        </w:rPr>
        <w:t>Artículo 191</w:t>
      </w:r>
      <w:r w:rsidRPr="00401A2A">
        <w:rPr>
          <w:rFonts w:ascii="Palatino Linotype" w:eastAsia="Palatino Linotype" w:hAnsi="Palatino Linotype" w:cs="Palatino Linotype"/>
          <w:i/>
          <w:sz w:val="22"/>
          <w:szCs w:val="22"/>
        </w:rPr>
        <w:t xml:space="preserve">. </w:t>
      </w:r>
      <w:r w:rsidRPr="00401A2A">
        <w:rPr>
          <w:rFonts w:ascii="Palatino Linotype" w:eastAsia="Palatino Linotype" w:hAnsi="Palatino Linotype" w:cs="Palatino Linotype"/>
          <w:b/>
          <w:i/>
          <w:sz w:val="22"/>
          <w:szCs w:val="22"/>
        </w:rPr>
        <w:t>El recurso</w:t>
      </w:r>
      <w:r w:rsidRPr="00401A2A">
        <w:rPr>
          <w:rFonts w:ascii="Palatino Linotype" w:eastAsia="Palatino Linotype" w:hAnsi="Palatino Linotype" w:cs="Palatino Linotype"/>
          <w:i/>
          <w:sz w:val="22"/>
          <w:szCs w:val="22"/>
        </w:rPr>
        <w:t xml:space="preserve"> </w:t>
      </w:r>
      <w:r w:rsidRPr="00401A2A">
        <w:rPr>
          <w:rFonts w:ascii="Palatino Linotype" w:eastAsia="Palatino Linotype" w:hAnsi="Palatino Linotype" w:cs="Palatino Linotype"/>
          <w:b/>
          <w:i/>
          <w:sz w:val="22"/>
          <w:szCs w:val="22"/>
        </w:rPr>
        <w:t xml:space="preserve">será </w:t>
      </w:r>
      <w:r w:rsidRPr="00401A2A">
        <w:rPr>
          <w:rFonts w:ascii="Palatino Linotype" w:eastAsia="Palatino Linotype" w:hAnsi="Palatino Linotype" w:cs="Palatino Linotype"/>
          <w:i/>
          <w:sz w:val="22"/>
          <w:szCs w:val="22"/>
        </w:rPr>
        <w:t xml:space="preserve">desechado por </w:t>
      </w:r>
      <w:r w:rsidRPr="00401A2A">
        <w:rPr>
          <w:rFonts w:ascii="Palatino Linotype" w:eastAsia="Palatino Linotype" w:hAnsi="Palatino Linotype" w:cs="Palatino Linotype"/>
          <w:b/>
          <w:i/>
          <w:sz w:val="22"/>
          <w:szCs w:val="22"/>
        </w:rPr>
        <w:t>improcedente cuando</w:t>
      </w:r>
      <w:r w:rsidRPr="00401A2A">
        <w:rPr>
          <w:rFonts w:ascii="Palatino Linotype" w:eastAsia="Palatino Linotype" w:hAnsi="Palatino Linotype" w:cs="Palatino Linotype"/>
          <w:i/>
          <w:sz w:val="22"/>
          <w:szCs w:val="22"/>
        </w:rPr>
        <w:t>:</w:t>
      </w:r>
    </w:p>
    <w:p w14:paraId="78BE9AF2" w14:textId="77777777" w:rsidR="00A26BBC" w:rsidRPr="00401A2A" w:rsidRDefault="0058160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i/>
          <w:sz w:val="22"/>
          <w:szCs w:val="22"/>
        </w:rPr>
        <w:t>…</w:t>
      </w:r>
    </w:p>
    <w:p w14:paraId="434B349E" w14:textId="77777777" w:rsidR="00A26BBC" w:rsidRPr="00401A2A" w:rsidRDefault="0058160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401A2A">
        <w:rPr>
          <w:rFonts w:ascii="Palatino Linotype" w:eastAsia="Palatino Linotype" w:hAnsi="Palatino Linotype" w:cs="Palatino Linotype"/>
          <w:b/>
          <w:i/>
          <w:sz w:val="22"/>
          <w:szCs w:val="22"/>
        </w:rPr>
        <w:t>VI. Se trate de una consulta</w:t>
      </w:r>
      <w:r w:rsidRPr="00401A2A">
        <w:rPr>
          <w:rFonts w:ascii="Palatino Linotype" w:eastAsia="Palatino Linotype" w:hAnsi="Palatino Linotype" w:cs="Palatino Linotype"/>
          <w:i/>
          <w:sz w:val="22"/>
          <w:szCs w:val="22"/>
        </w:rPr>
        <w:t>, o tramite en específico... (Sic)</w:t>
      </w:r>
    </w:p>
    <w:p w14:paraId="372E713C" w14:textId="77777777" w:rsidR="00A26BBC" w:rsidRPr="00401A2A" w:rsidRDefault="00A26BBC">
      <w:pPr>
        <w:spacing w:before="240" w:line="360" w:lineRule="auto"/>
        <w:jc w:val="both"/>
        <w:rPr>
          <w:rFonts w:ascii="Palatino Linotype" w:eastAsia="Palatino Linotype" w:hAnsi="Palatino Linotype" w:cs="Palatino Linotype"/>
        </w:rPr>
      </w:pPr>
    </w:p>
    <w:p w14:paraId="0BBACA7D" w14:textId="77777777" w:rsidR="00A26BBC" w:rsidRPr="00401A2A" w:rsidRDefault="0058160B">
      <w:pPr>
        <w:spacing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Siendo el </w:t>
      </w:r>
      <w:r w:rsidRPr="00401A2A">
        <w:rPr>
          <w:rFonts w:ascii="Palatino Linotype" w:eastAsia="Palatino Linotype" w:hAnsi="Palatino Linotype" w:cs="Palatino Linotype"/>
          <w:i/>
        </w:rPr>
        <w:t>sobreseimiento</w:t>
      </w:r>
      <w:r w:rsidRPr="00401A2A">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lo anterior con apoyo en el criterio del Poder Judicial de la Federación con rubro:</w:t>
      </w:r>
    </w:p>
    <w:p w14:paraId="17F6E006" w14:textId="77777777" w:rsidR="00A26BBC" w:rsidRPr="00401A2A" w:rsidRDefault="00A26BBC">
      <w:pPr>
        <w:spacing w:line="360" w:lineRule="auto"/>
        <w:jc w:val="both"/>
        <w:rPr>
          <w:rFonts w:ascii="Palatino Linotype" w:eastAsia="Palatino Linotype" w:hAnsi="Palatino Linotype" w:cs="Palatino Linotype"/>
        </w:rPr>
      </w:pPr>
    </w:p>
    <w:p w14:paraId="74FD0C03" w14:textId="77777777" w:rsidR="00A26BBC" w:rsidRPr="00401A2A" w:rsidRDefault="0058160B">
      <w:pPr>
        <w:spacing w:after="240"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sz w:val="22"/>
          <w:szCs w:val="22"/>
        </w:rPr>
        <w:t>“</w:t>
      </w:r>
      <w:r w:rsidRPr="00401A2A">
        <w:rPr>
          <w:rFonts w:ascii="Palatino Linotype" w:eastAsia="Palatino Linotype" w:hAnsi="Palatino Linotype" w:cs="Palatino Linotype"/>
          <w:b/>
          <w:sz w:val="22"/>
          <w:szCs w:val="22"/>
        </w:rPr>
        <w:t>SOBRESEIMIENTO, NO PERMITE ENTRAR AL ESTUDIO DE LAS CUESTIONES DE FONDO”</w:t>
      </w:r>
      <w:r w:rsidRPr="00401A2A">
        <w:rPr>
          <w:rFonts w:ascii="Palatino Linotype" w:eastAsia="Palatino Linotype" w:hAnsi="Palatino Linotype" w:cs="Palatino Linotype"/>
          <w:b/>
          <w:vertAlign w:val="superscript"/>
        </w:rPr>
        <w:footnoteReference w:id="1"/>
      </w:r>
      <w:r w:rsidRPr="00401A2A">
        <w:rPr>
          <w:rFonts w:ascii="Palatino Linotype" w:eastAsia="Palatino Linotype" w:hAnsi="Palatino Linotype" w:cs="Palatino Linotype"/>
          <w:b/>
        </w:rPr>
        <w:t>.</w:t>
      </w:r>
    </w:p>
    <w:p w14:paraId="2AC2B405" w14:textId="77777777" w:rsidR="00A26BBC" w:rsidRPr="00401A2A" w:rsidRDefault="0058160B">
      <w:pPr>
        <w:spacing w:before="240" w:after="240"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rPr>
        <w:t xml:space="preserve">Cabe destacar que la decisión de este órgano colegiado de sobreseer el recurso de revisión no implica una limitación o negación a la justicia, según lo ha establecido el Poder Judicial Federal, en el criterio con rubro </w:t>
      </w:r>
      <w:r w:rsidRPr="00401A2A">
        <w:rPr>
          <w:rFonts w:ascii="Palatino Linotype" w:eastAsia="Palatino Linotype" w:hAnsi="Palatino Linotype" w:cs="Palatino Linotype"/>
          <w:sz w:val="22"/>
          <w:szCs w:val="22"/>
        </w:rPr>
        <w:t>“</w:t>
      </w:r>
      <w:r w:rsidRPr="00401A2A">
        <w:rPr>
          <w:rFonts w:ascii="Palatino Linotype" w:eastAsia="Palatino Linotype" w:hAnsi="Palatino Linotype" w:cs="Palatino Linotype"/>
          <w:b/>
          <w:sz w:val="22"/>
          <w:szCs w:val="22"/>
        </w:rPr>
        <w:t>DESECHAMIENTO O SOBRESEIMIENTO EN EL JUICIO DE AMPARO. NO IMPLICA DENEGACIÓN DE JUSTICIA NI GENERA INSEGURIDAD JURÍDICA</w:t>
      </w:r>
      <w:r w:rsidRPr="00401A2A">
        <w:rPr>
          <w:rFonts w:ascii="Palatino Linotype" w:eastAsia="Palatino Linotype" w:hAnsi="Palatino Linotype" w:cs="Palatino Linotype"/>
          <w:b/>
        </w:rPr>
        <w:t>”</w:t>
      </w:r>
      <w:r w:rsidRPr="00401A2A">
        <w:rPr>
          <w:rFonts w:ascii="Palatino Linotype" w:eastAsia="Palatino Linotype" w:hAnsi="Palatino Linotype" w:cs="Palatino Linotype"/>
          <w:b/>
          <w:vertAlign w:val="superscript"/>
        </w:rPr>
        <w:footnoteReference w:id="2"/>
      </w:r>
      <w:r w:rsidRPr="00401A2A">
        <w:rPr>
          <w:rFonts w:ascii="Palatino Linotype" w:eastAsia="Palatino Linotype" w:hAnsi="Palatino Linotype" w:cs="Palatino Linotype"/>
        </w:rPr>
        <w:t xml:space="preserve"> que es aplicable por analogía.</w:t>
      </w:r>
    </w:p>
    <w:p w14:paraId="0A80F112" w14:textId="77777777" w:rsidR="00A26BBC" w:rsidRPr="00401A2A" w:rsidRDefault="0058160B">
      <w:pPr>
        <w:spacing w:line="360" w:lineRule="auto"/>
        <w:ind w:right="49"/>
        <w:jc w:val="both"/>
        <w:rPr>
          <w:rFonts w:ascii="Palatino Linotype" w:eastAsia="Palatino Linotype" w:hAnsi="Palatino Linotype" w:cs="Palatino Linotype"/>
        </w:rPr>
      </w:pPr>
      <w:r w:rsidRPr="00401A2A">
        <w:rPr>
          <w:rFonts w:ascii="Palatino Linotype" w:eastAsia="Palatino Linotype" w:hAnsi="Palatino Linotype" w:cs="Palatino Linotype"/>
        </w:rPr>
        <w:lastRenderedPageBreak/>
        <w:t>Así las cosas, 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14:paraId="0FACFD6F" w14:textId="77777777" w:rsidR="00A26BBC" w:rsidRPr="00401A2A" w:rsidRDefault="00A26BBC">
      <w:pPr>
        <w:spacing w:line="360" w:lineRule="auto"/>
        <w:ind w:right="49"/>
        <w:jc w:val="both"/>
        <w:rPr>
          <w:rFonts w:ascii="Palatino Linotype" w:eastAsia="Palatino Linotype" w:hAnsi="Palatino Linotype" w:cs="Palatino Linotype"/>
        </w:rPr>
      </w:pPr>
    </w:p>
    <w:p w14:paraId="7A834025" w14:textId="77777777" w:rsidR="00A26BBC" w:rsidRPr="00401A2A" w:rsidRDefault="0058160B">
      <w:pPr>
        <w:spacing w:line="360" w:lineRule="auto"/>
        <w:ind w:left="360"/>
        <w:jc w:val="center"/>
        <w:rPr>
          <w:rFonts w:ascii="Palatino Linotype" w:eastAsia="Palatino Linotype" w:hAnsi="Palatino Linotype" w:cs="Palatino Linotype"/>
          <w:b/>
        </w:rPr>
      </w:pPr>
      <w:r w:rsidRPr="00401A2A">
        <w:rPr>
          <w:rFonts w:ascii="Palatino Linotype" w:eastAsia="Palatino Linotype" w:hAnsi="Palatino Linotype" w:cs="Palatino Linotype"/>
          <w:b/>
        </w:rPr>
        <w:t>III. R E S U E L V E:</w:t>
      </w:r>
    </w:p>
    <w:p w14:paraId="1840CDD2" w14:textId="77777777" w:rsidR="00A26BBC" w:rsidRPr="00401A2A" w:rsidRDefault="00A26BBC">
      <w:pPr>
        <w:spacing w:line="360" w:lineRule="auto"/>
        <w:ind w:left="360"/>
        <w:jc w:val="center"/>
        <w:rPr>
          <w:rFonts w:ascii="Palatino Linotype" w:eastAsia="Palatino Linotype" w:hAnsi="Palatino Linotype" w:cs="Palatino Linotype"/>
          <w:b/>
        </w:rPr>
      </w:pPr>
    </w:p>
    <w:p w14:paraId="0924A6DE" w14:textId="77777777" w:rsidR="00A26BBC" w:rsidRPr="00401A2A" w:rsidRDefault="0058160B">
      <w:pPr>
        <w:spacing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b/>
        </w:rPr>
        <w:t>Primero.</w:t>
      </w:r>
      <w:r w:rsidRPr="00401A2A">
        <w:rPr>
          <w:rFonts w:ascii="Palatino Linotype" w:eastAsia="Palatino Linotype" w:hAnsi="Palatino Linotype" w:cs="Palatino Linotype"/>
        </w:rPr>
        <w:t xml:space="preserve"> Se </w:t>
      </w:r>
      <w:r w:rsidRPr="00401A2A">
        <w:rPr>
          <w:rFonts w:ascii="Palatino Linotype" w:eastAsia="Palatino Linotype" w:hAnsi="Palatino Linotype" w:cs="Palatino Linotype"/>
          <w:b/>
        </w:rPr>
        <w:t>SOBRESEE</w:t>
      </w:r>
      <w:r w:rsidRPr="00401A2A">
        <w:rPr>
          <w:rFonts w:ascii="Palatino Linotype" w:eastAsia="Palatino Linotype" w:hAnsi="Palatino Linotype" w:cs="Palatino Linotype"/>
        </w:rPr>
        <w:t xml:space="preserve"> el recurso de revisión número </w:t>
      </w:r>
      <w:r w:rsidRPr="00401A2A">
        <w:rPr>
          <w:rFonts w:ascii="Palatino Linotype" w:eastAsia="Palatino Linotype" w:hAnsi="Palatino Linotype" w:cs="Palatino Linotype"/>
          <w:b/>
        </w:rPr>
        <w:t>04914/INFOEM/IP/RR/2024</w:t>
      </w:r>
      <w:r w:rsidRPr="00401A2A">
        <w:rPr>
          <w:rFonts w:ascii="Palatino Linotype" w:eastAsia="Palatino Linotype" w:hAnsi="Palatino Linotype" w:cs="Palatino Linotype"/>
        </w:rPr>
        <w:t xml:space="preserve">, por actualizarse la causal de improcedencia inmersa en la fracción VI del artículo 191 relacionada con la fracción IV del artículo 192 de la Ley de Transparencia y Acceso a la Información Pública del Estado de México y Municipios, vigente en la entidad, en términos del Considerando </w:t>
      </w:r>
      <w:r w:rsidRPr="00401A2A">
        <w:rPr>
          <w:rFonts w:ascii="Palatino Linotype" w:eastAsia="Palatino Linotype" w:hAnsi="Palatino Linotype" w:cs="Palatino Linotype"/>
          <w:b/>
        </w:rPr>
        <w:t>TERCERO</w:t>
      </w:r>
      <w:r w:rsidRPr="00401A2A">
        <w:rPr>
          <w:rFonts w:ascii="Palatino Linotype" w:eastAsia="Palatino Linotype" w:hAnsi="Palatino Linotype" w:cs="Palatino Linotype"/>
        </w:rPr>
        <w:t xml:space="preserve"> de la presente resolución.</w:t>
      </w:r>
    </w:p>
    <w:p w14:paraId="5E224141" w14:textId="77777777" w:rsidR="00A26BBC" w:rsidRPr="00401A2A" w:rsidRDefault="00A26BBC">
      <w:pPr>
        <w:spacing w:line="360" w:lineRule="auto"/>
        <w:jc w:val="both"/>
        <w:rPr>
          <w:rFonts w:ascii="Palatino Linotype" w:eastAsia="Palatino Linotype" w:hAnsi="Palatino Linotype" w:cs="Palatino Linotype"/>
          <w:b/>
        </w:rPr>
      </w:pPr>
    </w:p>
    <w:p w14:paraId="632E33B4" w14:textId="77777777" w:rsidR="00A26BBC" w:rsidRPr="00401A2A" w:rsidRDefault="0058160B">
      <w:pPr>
        <w:spacing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b/>
        </w:rPr>
        <w:t>Segundo. Notifíquese vía SAIMEX</w:t>
      </w:r>
      <w:r w:rsidRPr="00401A2A">
        <w:rPr>
          <w:rFonts w:ascii="Palatino Linotype" w:eastAsia="Palatino Linotype" w:hAnsi="Palatino Linotype" w:cs="Palatino Linotype"/>
          <w:b/>
          <w:i/>
        </w:rPr>
        <w:t xml:space="preserve">, </w:t>
      </w:r>
      <w:r w:rsidRPr="00401A2A">
        <w:rPr>
          <w:rFonts w:ascii="Palatino Linotype" w:eastAsia="Palatino Linotype" w:hAnsi="Palatino Linotype" w:cs="Palatino Linotype"/>
        </w:rPr>
        <w:t xml:space="preserve">al Responsable de la Unidad de Transparencia del </w:t>
      </w:r>
      <w:r w:rsidRPr="00401A2A">
        <w:rPr>
          <w:rFonts w:ascii="Palatino Linotype" w:eastAsia="Palatino Linotype" w:hAnsi="Palatino Linotype" w:cs="Palatino Linotype"/>
          <w:b/>
        </w:rPr>
        <w:t>SUJETO OBLIGADO</w:t>
      </w:r>
      <w:r w:rsidRPr="00401A2A">
        <w:rPr>
          <w:rFonts w:ascii="Palatino Linotype" w:eastAsia="Palatino Linotype" w:hAnsi="Palatino Linotype" w:cs="Palatino Linotype"/>
        </w:rPr>
        <w:t xml:space="preserve"> la presente resolución, para su conocimiento, lo anterior en términos del artículo 189 de la Ley de Transparencia y Acceso a la Información Pública del Estado de México y Municipios.</w:t>
      </w:r>
    </w:p>
    <w:p w14:paraId="7E82591A" w14:textId="77777777" w:rsidR="00A26BBC" w:rsidRPr="00401A2A" w:rsidRDefault="00A26BBC">
      <w:pPr>
        <w:spacing w:line="360" w:lineRule="auto"/>
        <w:jc w:val="both"/>
        <w:rPr>
          <w:rFonts w:ascii="Palatino Linotype" w:eastAsia="Palatino Linotype" w:hAnsi="Palatino Linotype" w:cs="Palatino Linotype"/>
        </w:rPr>
      </w:pPr>
    </w:p>
    <w:p w14:paraId="69A13D0B" w14:textId="77777777" w:rsidR="00A26BBC" w:rsidRPr="00401A2A" w:rsidRDefault="0058160B">
      <w:pPr>
        <w:spacing w:after="240" w:line="360" w:lineRule="auto"/>
        <w:jc w:val="both"/>
        <w:rPr>
          <w:rFonts w:ascii="Palatino Linotype" w:eastAsia="Palatino Linotype" w:hAnsi="Palatino Linotype" w:cs="Palatino Linotype"/>
        </w:rPr>
      </w:pPr>
      <w:r w:rsidRPr="00401A2A">
        <w:rPr>
          <w:rFonts w:ascii="Palatino Linotype" w:eastAsia="Palatino Linotype" w:hAnsi="Palatino Linotype" w:cs="Palatino Linotype"/>
          <w:b/>
        </w:rPr>
        <w:t xml:space="preserve">Tercero. </w:t>
      </w:r>
      <w:r w:rsidRPr="00401A2A">
        <w:rPr>
          <w:rFonts w:ascii="Palatino Linotype" w:eastAsia="Palatino Linotype" w:hAnsi="Palatino Linotype" w:cs="Palatino Linotype"/>
          <w:b/>
          <w:sz w:val="28"/>
          <w:szCs w:val="28"/>
        </w:rPr>
        <w:t> </w:t>
      </w:r>
      <w:r w:rsidRPr="00401A2A">
        <w:rPr>
          <w:rFonts w:ascii="Palatino Linotype" w:eastAsia="Palatino Linotype" w:hAnsi="Palatino Linotype" w:cs="Palatino Linotype"/>
          <w:b/>
        </w:rPr>
        <w:t xml:space="preserve">Notifíquese </w:t>
      </w:r>
      <w:r w:rsidRPr="00401A2A">
        <w:rPr>
          <w:rFonts w:ascii="Palatino Linotype" w:eastAsia="Palatino Linotype" w:hAnsi="Palatino Linotype" w:cs="Palatino Linotype"/>
        </w:rPr>
        <w:t>vía SAIMEX</w:t>
      </w:r>
      <w:r w:rsidRPr="00401A2A">
        <w:rPr>
          <w:rFonts w:ascii="Palatino Linotype" w:eastAsia="Palatino Linotype" w:hAnsi="Palatino Linotype" w:cs="Palatino Linotype"/>
          <w:b/>
        </w:rPr>
        <w:t xml:space="preserve">, </w:t>
      </w:r>
      <w:r w:rsidRPr="00401A2A">
        <w:rPr>
          <w:rFonts w:ascii="Palatino Linotype" w:eastAsia="Palatino Linotype" w:hAnsi="Palatino Linotype" w:cs="Palatino Linotype"/>
        </w:rPr>
        <w:t xml:space="preserve">la presente resolución al </w:t>
      </w:r>
      <w:r w:rsidRPr="00401A2A">
        <w:rPr>
          <w:rFonts w:ascii="Palatino Linotype" w:eastAsia="Palatino Linotype" w:hAnsi="Palatino Linotype" w:cs="Palatino Linotype"/>
          <w:b/>
        </w:rPr>
        <w:t>RECURRENTE</w:t>
      </w:r>
      <w:r w:rsidRPr="00401A2A">
        <w:rPr>
          <w:rFonts w:ascii="Palatino Linotype" w:eastAsia="Palatino Linotype" w:hAnsi="Palatino Linotype" w:cs="Palatino Linotype"/>
        </w:rPr>
        <w:t xml:space="preserve">, y hágase del conocimiento que en caso de que considere que la presente resolución le causa algún perjuicio, podrá promover el Juicio de Amparo en los términos de las </w:t>
      </w:r>
      <w:r w:rsidRPr="00401A2A">
        <w:rPr>
          <w:rFonts w:ascii="Palatino Linotype" w:eastAsia="Palatino Linotype" w:hAnsi="Palatino Linotype" w:cs="Palatino Linotype"/>
        </w:rPr>
        <w:lastRenderedPageBreak/>
        <w:t>leyes aplicables, de acuerdo a lo estipulado por el artículo 196 de la Ley de Transparencia y Acceso a la Información Pública del Estado de México y Municipios.</w:t>
      </w:r>
    </w:p>
    <w:p w14:paraId="69AFBFE9" w14:textId="77777777" w:rsidR="00A26BBC" w:rsidRPr="00401A2A" w:rsidRDefault="0058160B">
      <w:pPr>
        <w:spacing w:before="240" w:after="240" w:line="360" w:lineRule="auto"/>
        <w:jc w:val="both"/>
        <w:rPr>
          <w:rFonts w:ascii="Palatino Linotype" w:eastAsia="Palatino Linotype" w:hAnsi="Palatino Linotype" w:cs="Palatino Linotype"/>
          <w:sz w:val="22"/>
          <w:szCs w:val="22"/>
        </w:rPr>
      </w:pPr>
      <w:bookmarkStart w:id="3" w:name="_heading=h.1fob9te" w:colFirst="0" w:colLast="0"/>
      <w:bookmarkEnd w:id="3"/>
      <w:r w:rsidRPr="00401A2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DEL DOS MIL VEINTICUATRO, ANTE EL SECRETARIO TÉCNICO DEL PLENO ALEXIS TAPIA RAMÍREZ.</w:t>
      </w:r>
    </w:p>
    <w:p w14:paraId="16624396"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52C78138"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4AB5363B"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24EE5D10"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6774EA4E"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0B4D94B8"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3A4F1D47"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0822FCBF"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4146D798"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55C9C280"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38379200"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46E8DA40"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6E099154"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001939AF"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62C68CEB"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761902DD" w14:textId="77777777" w:rsidR="00401A2A" w:rsidRPr="00401A2A" w:rsidRDefault="00401A2A">
      <w:pPr>
        <w:spacing w:before="240" w:after="240" w:line="360" w:lineRule="auto"/>
        <w:jc w:val="both"/>
        <w:rPr>
          <w:rFonts w:ascii="Palatino Linotype" w:eastAsia="Palatino Linotype" w:hAnsi="Palatino Linotype" w:cs="Palatino Linotype"/>
          <w:sz w:val="22"/>
          <w:szCs w:val="22"/>
        </w:rPr>
      </w:pPr>
    </w:p>
    <w:p w14:paraId="388FCA8D"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7F5A5D35"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48B6C03A"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25F94238"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666E2D51"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2BCD6780"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p w14:paraId="020862A2" w14:textId="77777777" w:rsidR="00A26BBC" w:rsidRPr="00401A2A" w:rsidRDefault="00A26BBC">
      <w:pPr>
        <w:spacing w:before="240" w:after="240" w:line="360" w:lineRule="auto"/>
        <w:jc w:val="both"/>
        <w:rPr>
          <w:rFonts w:ascii="Palatino Linotype" w:eastAsia="Palatino Linotype" w:hAnsi="Palatino Linotype" w:cs="Palatino Linotype"/>
          <w:sz w:val="22"/>
          <w:szCs w:val="22"/>
        </w:rPr>
      </w:pPr>
    </w:p>
    <w:sectPr w:rsidR="00A26BBC" w:rsidRPr="00401A2A">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F4BE" w14:textId="77777777" w:rsidR="00181EF5" w:rsidRDefault="00181EF5">
      <w:r>
        <w:separator/>
      </w:r>
    </w:p>
  </w:endnote>
  <w:endnote w:type="continuationSeparator" w:id="0">
    <w:p w14:paraId="4A5DAF44" w14:textId="77777777" w:rsidR="00181EF5" w:rsidRDefault="0018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D85" w14:textId="77777777" w:rsidR="00A26BBC" w:rsidRDefault="0058160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1A2A">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1A2A">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32EEEED5" w14:textId="77777777" w:rsidR="00A26BBC" w:rsidRDefault="00A26BB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EBBE" w14:textId="77777777" w:rsidR="00A26BBC" w:rsidRDefault="0058160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01A2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01A2A">
      <w:rPr>
        <w:rFonts w:ascii="Palatino Linotype" w:eastAsia="Palatino Linotype" w:hAnsi="Palatino Linotype" w:cs="Palatino Linotype"/>
        <w:b/>
        <w:noProof/>
        <w:color w:val="000000"/>
        <w:sz w:val="20"/>
        <w:szCs w:val="20"/>
      </w:rPr>
      <w:t>18</w:t>
    </w:r>
    <w:r>
      <w:rPr>
        <w:rFonts w:ascii="Palatino Linotype" w:eastAsia="Palatino Linotype" w:hAnsi="Palatino Linotype" w:cs="Palatino Linotype"/>
        <w:b/>
        <w:color w:val="000000"/>
        <w:sz w:val="20"/>
        <w:szCs w:val="20"/>
      </w:rPr>
      <w:fldChar w:fldCharType="end"/>
    </w:r>
  </w:p>
  <w:p w14:paraId="5DCFC425" w14:textId="77777777" w:rsidR="00A26BBC" w:rsidRDefault="00A26BB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305C" w14:textId="77777777" w:rsidR="00181EF5" w:rsidRDefault="00181EF5">
      <w:r>
        <w:separator/>
      </w:r>
    </w:p>
  </w:footnote>
  <w:footnote w:type="continuationSeparator" w:id="0">
    <w:p w14:paraId="67A75847" w14:textId="77777777" w:rsidR="00181EF5" w:rsidRDefault="00181EF5">
      <w:r>
        <w:continuationSeparator/>
      </w:r>
    </w:p>
  </w:footnote>
  <w:footnote w:id="1">
    <w:p w14:paraId="024DC8C7" w14:textId="77777777" w:rsidR="00A26BBC" w:rsidRDefault="0058160B">
      <w:pPr>
        <w:pBdr>
          <w:top w:val="nil"/>
          <w:left w:val="nil"/>
          <w:bottom w:val="nil"/>
          <w:right w:val="nil"/>
          <w:between w:val="nil"/>
        </w:pBdr>
        <w:spacing w:before="120" w:after="120"/>
        <w:jc w:val="both"/>
        <w:rPr>
          <w:rFonts w:ascii="Palatino Linotype" w:eastAsia="Palatino Linotype" w:hAnsi="Palatino Linotype" w:cs="Palatino Linotype"/>
          <w:color w:val="000000"/>
          <w:sz w:val="18"/>
          <w:szCs w:val="18"/>
          <w:highlight w:val="white"/>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Localización</w:t>
      </w:r>
      <w:r>
        <w:rPr>
          <w:rFonts w:ascii="Palatino Linotype" w:eastAsia="Palatino Linotype" w:hAnsi="Palatino Linotype" w:cs="Palatino Linotype"/>
          <w:color w:val="000000"/>
          <w:sz w:val="18"/>
          <w:szCs w:val="18"/>
        </w:rPr>
        <w:t>: 2</w:t>
      </w:r>
      <w:r>
        <w:rPr>
          <w:rFonts w:ascii="Palatino Linotype" w:eastAsia="Palatino Linotype" w:hAnsi="Palatino Linotype" w:cs="Palatino Linotype"/>
          <w:color w:val="000000"/>
          <w:sz w:val="18"/>
          <w:szCs w:val="18"/>
          <w:highlight w:val="white"/>
        </w:rPr>
        <w:t>13609. II.2o.183 K. Tribunales Colegiados de Circuito. Octava Época. Semanario Judicial de la Federación. Tomo XIII, Febrero de 1994, Pág. 420</w:t>
      </w:r>
    </w:p>
    <w:p w14:paraId="7D1C1F14" w14:textId="77777777" w:rsidR="00A26BBC" w:rsidRDefault="0058160B">
      <w:pPr>
        <w:pBdr>
          <w:top w:val="nil"/>
          <w:left w:val="nil"/>
          <w:bottom w:val="nil"/>
          <w:right w:val="nil"/>
          <w:between w:val="nil"/>
        </w:pBdr>
        <w:spacing w:before="120" w:after="120"/>
        <w:jc w:val="both"/>
        <w:rPr>
          <w:rFonts w:ascii="Palatino Linotype" w:eastAsia="Palatino Linotype" w:hAnsi="Palatino Linotype" w:cs="Palatino Linotype"/>
          <w:color w:val="000000"/>
          <w:sz w:val="19"/>
          <w:szCs w:val="19"/>
        </w:rPr>
      </w:pPr>
      <w:r>
        <w:rPr>
          <w:rFonts w:ascii="Palatino Linotype" w:eastAsia="Palatino Linotype" w:hAnsi="Palatino Linotype" w:cs="Palatino Linotype"/>
          <w:b/>
          <w:color w:val="000000"/>
          <w:sz w:val="18"/>
          <w:szCs w:val="18"/>
        </w:rPr>
        <w:t>Cuerpo de tesis:</w:t>
      </w:r>
      <w:r>
        <w:rPr>
          <w:rFonts w:ascii="Palatino Linotype" w:eastAsia="Palatino Linotype" w:hAnsi="Palatino Linotype" w:cs="Palatino Linotype"/>
          <w:color w:val="000000"/>
          <w:sz w:val="18"/>
          <w:szCs w:val="18"/>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footnote>
  <w:footnote w:id="2">
    <w:p w14:paraId="3AE14997" w14:textId="77777777" w:rsidR="00A26BBC" w:rsidRDefault="0058160B">
      <w:pPr>
        <w:pBdr>
          <w:top w:val="nil"/>
          <w:left w:val="nil"/>
          <w:bottom w:val="nil"/>
          <w:right w:val="nil"/>
          <w:between w:val="nil"/>
        </w:pBdr>
        <w:jc w:val="both"/>
        <w:rPr>
          <w:rFonts w:ascii="Palatino Linotype" w:eastAsia="Palatino Linotype" w:hAnsi="Palatino Linotype" w:cs="Palatino Linotype"/>
          <w:color w:val="000000"/>
          <w:sz w:val="19"/>
          <w:szCs w:val="19"/>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b/>
          <w:color w:val="000000"/>
          <w:sz w:val="19"/>
          <w:szCs w:val="19"/>
        </w:rPr>
        <w:t>Cuerpo de la tesis</w:t>
      </w:r>
      <w:r>
        <w:rPr>
          <w:rFonts w:ascii="Palatino Linotype" w:eastAsia="Palatino Linotype" w:hAnsi="Palatino Linotype" w:cs="Palatino Linotype"/>
          <w:color w:val="000000"/>
          <w:sz w:val="19"/>
          <w:szCs w:val="19"/>
        </w:rPr>
        <w:t>: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058B" w14:textId="77777777" w:rsidR="00A26BBC" w:rsidRDefault="0058160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813CE65" wp14:editId="7AE1B528">
          <wp:simplePos x="0" y="0"/>
          <wp:positionH relativeFrom="column">
            <wp:posOffset>-1080131</wp:posOffset>
          </wp:positionH>
          <wp:positionV relativeFrom="paragraph">
            <wp:posOffset>-488311</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A26BBC" w14:paraId="1FCB535B" w14:textId="77777777">
      <w:tc>
        <w:tcPr>
          <w:tcW w:w="2489" w:type="dxa"/>
          <w:shd w:val="clear" w:color="auto" w:fill="auto"/>
        </w:tcPr>
        <w:p w14:paraId="12F1821C" w14:textId="77777777" w:rsidR="00A26BBC" w:rsidRDefault="0058160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6193321" w14:textId="77777777" w:rsidR="00A26BBC" w:rsidRDefault="0058160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04914/INFOEM/IP/RR/2024</w:t>
          </w:r>
        </w:p>
      </w:tc>
    </w:tr>
    <w:tr w:rsidR="00A26BBC" w14:paraId="19ADAB2A" w14:textId="77777777">
      <w:trPr>
        <w:trHeight w:val="228"/>
      </w:trPr>
      <w:tc>
        <w:tcPr>
          <w:tcW w:w="2489" w:type="dxa"/>
          <w:shd w:val="clear" w:color="auto" w:fill="auto"/>
          <w:vAlign w:val="center"/>
        </w:tcPr>
        <w:p w14:paraId="56497FC8" w14:textId="77777777" w:rsidR="00A26BBC" w:rsidRDefault="0058160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CB7FE8F" w14:textId="77777777" w:rsidR="00A26BBC" w:rsidRDefault="0058160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Oficialía Mayor </w:t>
          </w:r>
        </w:p>
      </w:tc>
    </w:tr>
    <w:tr w:rsidR="00A26BBC" w14:paraId="4FAFA007" w14:textId="77777777">
      <w:tc>
        <w:tcPr>
          <w:tcW w:w="2489" w:type="dxa"/>
          <w:shd w:val="clear" w:color="auto" w:fill="auto"/>
          <w:vAlign w:val="center"/>
        </w:tcPr>
        <w:p w14:paraId="368C1D5C" w14:textId="77777777" w:rsidR="00A26BBC" w:rsidRDefault="0058160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84F279E" w14:textId="77777777" w:rsidR="00A26BBC" w:rsidRDefault="0058160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9B1F43" w14:textId="77777777" w:rsidR="00A26BBC" w:rsidRDefault="0058160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9AAC" w14:textId="77777777" w:rsidR="00A26BBC" w:rsidRDefault="00A26BB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6"/>
      <w:tblW w:w="5670" w:type="dxa"/>
      <w:tblInd w:w="3261" w:type="dxa"/>
      <w:tblLayout w:type="fixed"/>
      <w:tblLook w:val="0400" w:firstRow="0" w:lastRow="0" w:firstColumn="0" w:lastColumn="0" w:noHBand="0" w:noVBand="1"/>
    </w:tblPr>
    <w:tblGrid>
      <w:gridCol w:w="2551"/>
      <w:gridCol w:w="3119"/>
    </w:tblGrid>
    <w:tr w:rsidR="00A26BBC" w14:paraId="4A787CF0" w14:textId="77777777">
      <w:tc>
        <w:tcPr>
          <w:tcW w:w="2551" w:type="dxa"/>
          <w:shd w:val="clear" w:color="auto" w:fill="auto"/>
          <w:vAlign w:val="center"/>
        </w:tcPr>
        <w:p w14:paraId="3EF97B19" w14:textId="77777777" w:rsidR="00A26BBC" w:rsidRDefault="0058160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3F433EB" w14:textId="77777777" w:rsidR="00A26BBC" w:rsidRDefault="0058160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04914/INFOEM/IP/RR/2024</w:t>
          </w:r>
        </w:p>
      </w:tc>
    </w:tr>
    <w:tr w:rsidR="00A26BBC" w14:paraId="4D725AD9" w14:textId="77777777">
      <w:trPr>
        <w:trHeight w:val="130"/>
      </w:trPr>
      <w:tc>
        <w:tcPr>
          <w:tcW w:w="2551" w:type="dxa"/>
          <w:shd w:val="clear" w:color="auto" w:fill="auto"/>
          <w:vAlign w:val="center"/>
        </w:tcPr>
        <w:p w14:paraId="0B5DD05E" w14:textId="77777777" w:rsidR="00A26BBC" w:rsidRDefault="0058160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90F5D13" w14:textId="77777777" w:rsidR="00A26BBC" w:rsidRDefault="00A26BBC">
          <w:pPr>
            <w:tabs>
              <w:tab w:val="left" w:pos="3153"/>
            </w:tabs>
            <w:ind w:left="-45"/>
            <w:jc w:val="both"/>
            <w:rPr>
              <w:rFonts w:ascii="Palatino Linotype" w:eastAsia="Palatino Linotype" w:hAnsi="Palatino Linotype" w:cs="Palatino Linotype"/>
              <w:b/>
              <w:sz w:val="22"/>
              <w:szCs w:val="22"/>
            </w:rPr>
          </w:pPr>
        </w:p>
      </w:tc>
    </w:tr>
    <w:tr w:rsidR="00A26BBC" w14:paraId="07D28D4D" w14:textId="77777777">
      <w:trPr>
        <w:trHeight w:val="228"/>
      </w:trPr>
      <w:tc>
        <w:tcPr>
          <w:tcW w:w="2551" w:type="dxa"/>
          <w:shd w:val="clear" w:color="auto" w:fill="auto"/>
          <w:vAlign w:val="center"/>
        </w:tcPr>
        <w:p w14:paraId="37141278" w14:textId="77777777" w:rsidR="00A26BBC" w:rsidRDefault="0058160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815650E" w14:textId="77777777" w:rsidR="00A26BBC" w:rsidRDefault="0058160B">
          <w:pPr>
            <w:tabs>
              <w:tab w:val="left" w:pos="3153"/>
            </w:tabs>
            <w:ind w:left="-45"/>
            <w:jc w:val="both"/>
            <w:rPr>
              <w:rFonts w:ascii="Palatino Linotype" w:eastAsia="Palatino Linotype" w:hAnsi="Palatino Linotype" w:cs="Palatino Linotype"/>
              <w:b/>
              <w:strike/>
              <w:sz w:val="22"/>
              <w:szCs w:val="22"/>
            </w:rPr>
          </w:pPr>
          <w:r>
            <w:rPr>
              <w:rFonts w:ascii="Palatino Linotype" w:eastAsia="Palatino Linotype" w:hAnsi="Palatino Linotype" w:cs="Palatino Linotype"/>
              <w:b/>
              <w:sz w:val="22"/>
              <w:szCs w:val="22"/>
            </w:rPr>
            <w:t>Oficialía Mayor.</w:t>
          </w:r>
        </w:p>
      </w:tc>
    </w:tr>
    <w:tr w:rsidR="00A26BBC" w14:paraId="61ABF9FE" w14:textId="77777777">
      <w:tc>
        <w:tcPr>
          <w:tcW w:w="2551" w:type="dxa"/>
          <w:shd w:val="clear" w:color="auto" w:fill="auto"/>
          <w:vAlign w:val="center"/>
        </w:tcPr>
        <w:p w14:paraId="338373D4" w14:textId="77777777" w:rsidR="00A26BBC" w:rsidRDefault="0058160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4FF4FFA" w14:textId="77777777" w:rsidR="00A26BBC" w:rsidRDefault="0058160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DA26CC0" w14:textId="77777777" w:rsidR="00A26BBC" w:rsidRDefault="0058160B">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3FEFAFC6" wp14:editId="69371C83">
          <wp:simplePos x="0" y="0"/>
          <wp:positionH relativeFrom="column">
            <wp:posOffset>-1089656</wp:posOffset>
          </wp:positionH>
          <wp:positionV relativeFrom="paragraph">
            <wp:posOffset>-1169667</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5D07"/>
    <w:multiLevelType w:val="multilevel"/>
    <w:tmpl w:val="1B96C6E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BC"/>
    <w:rsid w:val="00034D1E"/>
    <w:rsid w:val="00181EF5"/>
    <w:rsid w:val="00401A2A"/>
    <w:rsid w:val="0058160B"/>
    <w:rsid w:val="00644CFF"/>
    <w:rsid w:val="00A26BBC"/>
    <w:rsid w:val="00C92D37"/>
    <w:rsid w:val="00E52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9DBF"/>
  <w15:docId w15:val="{21BC8ECA-03A0-45E3-85CD-9DD051DE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84575.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14561.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YP0TQZsLorbEzJZvb64c9uX6A==">CgMxLjAyCGguZ2pkZ3hzMgloLjMwajB6bGwyCGgudHlqY3d0MgloLjFmb2I5dGU4AHIhMTFGSjhtdFRwdTNXVU1xbXkxLWcxN0RDS25ONXE4aGEy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4264</Words>
  <Characters>23457</Characters>
  <Application>Microsoft Office Word</Application>
  <DocSecurity>0</DocSecurity>
  <Lines>195</Lines>
  <Paragraphs>55</Paragraphs>
  <ScaleCrop>false</ScaleCrop>
  <Company>HP Inc.</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2024-09-27T19:30:00Z</cp:lastPrinted>
  <dcterms:created xsi:type="dcterms:W3CDTF">2024-10-07T17:16:00Z</dcterms:created>
  <dcterms:modified xsi:type="dcterms:W3CDTF">2024-10-07T17:16:00Z</dcterms:modified>
</cp:coreProperties>
</file>