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70766857"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37FAD" w:rsidRDefault="00AE3DA7" w:rsidP="00037FAD">
          <w:pPr>
            <w:pStyle w:val="TtulodeTDC"/>
            <w:spacing w:before="0" w:line="240" w:lineRule="auto"/>
            <w:rPr>
              <w:rFonts w:ascii="Palatino Linotype" w:hAnsi="Palatino Linotype"/>
              <w:color w:val="auto"/>
              <w:sz w:val="24"/>
              <w:szCs w:val="24"/>
              <w:lang w:val="es-ES"/>
            </w:rPr>
          </w:pPr>
          <w:r w:rsidRPr="00037FAD">
            <w:rPr>
              <w:rFonts w:ascii="Palatino Linotype" w:hAnsi="Palatino Linotype"/>
              <w:color w:val="auto"/>
              <w:sz w:val="24"/>
              <w:szCs w:val="24"/>
              <w:lang w:val="es-ES"/>
            </w:rPr>
            <w:t>Contenido</w:t>
          </w:r>
        </w:p>
        <w:p w14:paraId="3EB312A7" w14:textId="77777777" w:rsidR="00AA6EA9" w:rsidRPr="00037FAD" w:rsidRDefault="00AA6EA9" w:rsidP="00037FAD">
          <w:pPr>
            <w:spacing w:line="240" w:lineRule="auto"/>
            <w:rPr>
              <w:sz w:val="16"/>
              <w:szCs w:val="16"/>
              <w:lang w:val="es-ES" w:eastAsia="es-MX"/>
            </w:rPr>
          </w:pPr>
        </w:p>
        <w:p w14:paraId="23BBE1A2" w14:textId="145D953B" w:rsidR="00037FAD" w:rsidRDefault="00AE3DA7">
          <w:pPr>
            <w:pStyle w:val="TDC1"/>
            <w:tabs>
              <w:tab w:val="right" w:leader="dot" w:pos="9034"/>
            </w:tabs>
            <w:rPr>
              <w:rFonts w:asciiTheme="minorHAnsi" w:eastAsiaTheme="minorEastAsia" w:hAnsiTheme="minorHAnsi" w:cstheme="minorBidi"/>
              <w:noProof/>
              <w:szCs w:val="22"/>
              <w:lang w:eastAsia="es-MX"/>
            </w:rPr>
          </w:pPr>
          <w:r w:rsidRPr="00037FAD">
            <w:rPr>
              <w:sz w:val="16"/>
              <w:szCs w:val="16"/>
            </w:rPr>
            <w:fldChar w:fldCharType="begin"/>
          </w:r>
          <w:r w:rsidRPr="00037FAD">
            <w:rPr>
              <w:sz w:val="16"/>
              <w:szCs w:val="16"/>
            </w:rPr>
            <w:instrText xml:space="preserve"> TOC \o "1-3" \h \z \u </w:instrText>
          </w:r>
          <w:r w:rsidRPr="00037FAD">
            <w:rPr>
              <w:sz w:val="16"/>
              <w:szCs w:val="16"/>
            </w:rPr>
            <w:fldChar w:fldCharType="separate"/>
          </w:r>
          <w:hyperlink w:anchor="_Toc184814132" w:history="1">
            <w:r w:rsidR="00037FAD" w:rsidRPr="005C267D">
              <w:rPr>
                <w:rStyle w:val="Hipervnculo"/>
                <w:noProof/>
              </w:rPr>
              <w:t>ANTECEDENTES</w:t>
            </w:r>
            <w:r w:rsidR="00037FAD">
              <w:rPr>
                <w:noProof/>
                <w:webHidden/>
              </w:rPr>
              <w:tab/>
            </w:r>
            <w:r w:rsidR="00037FAD">
              <w:rPr>
                <w:noProof/>
                <w:webHidden/>
              </w:rPr>
              <w:fldChar w:fldCharType="begin"/>
            </w:r>
            <w:r w:rsidR="00037FAD">
              <w:rPr>
                <w:noProof/>
                <w:webHidden/>
              </w:rPr>
              <w:instrText xml:space="preserve"> PAGEREF _Toc184814132 \h </w:instrText>
            </w:r>
            <w:r w:rsidR="00037FAD">
              <w:rPr>
                <w:noProof/>
                <w:webHidden/>
              </w:rPr>
            </w:r>
            <w:r w:rsidR="00037FAD">
              <w:rPr>
                <w:noProof/>
                <w:webHidden/>
              </w:rPr>
              <w:fldChar w:fldCharType="separate"/>
            </w:r>
            <w:r w:rsidR="00F5173F">
              <w:rPr>
                <w:noProof/>
                <w:webHidden/>
              </w:rPr>
              <w:t>1</w:t>
            </w:r>
            <w:r w:rsidR="00037FAD">
              <w:rPr>
                <w:noProof/>
                <w:webHidden/>
              </w:rPr>
              <w:fldChar w:fldCharType="end"/>
            </w:r>
          </w:hyperlink>
        </w:p>
        <w:p w14:paraId="79CBDAFD" w14:textId="7E7E5638" w:rsidR="00037FAD" w:rsidRDefault="00407D2D">
          <w:pPr>
            <w:pStyle w:val="TDC2"/>
            <w:rPr>
              <w:rFonts w:asciiTheme="minorHAnsi" w:eastAsiaTheme="minorEastAsia" w:hAnsiTheme="minorHAnsi" w:cstheme="minorBidi"/>
              <w:noProof/>
              <w:szCs w:val="22"/>
              <w:lang w:eastAsia="es-MX"/>
            </w:rPr>
          </w:pPr>
          <w:hyperlink w:anchor="_Toc184814133" w:history="1">
            <w:r w:rsidR="00037FAD" w:rsidRPr="005C267D">
              <w:rPr>
                <w:rStyle w:val="Hipervnculo"/>
                <w:noProof/>
              </w:rPr>
              <w:t>DE LA SOLICITUD DE INFORMACIÓN</w:t>
            </w:r>
            <w:r w:rsidR="00037FAD">
              <w:rPr>
                <w:noProof/>
                <w:webHidden/>
              </w:rPr>
              <w:tab/>
            </w:r>
            <w:r w:rsidR="00037FAD">
              <w:rPr>
                <w:noProof/>
                <w:webHidden/>
              </w:rPr>
              <w:fldChar w:fldCharType="begin"/>
            </w:r>
            <w:r w:rsidR="00037FAD">
              <w:rPr>
                <w:noProof/>
                <w:webHidden/>
              </w:rPr>
              <w:instrText xml:space="preserve"> PAGEREF _Toc184814133 \h </w:instrText>
            </w:r>
            <w:r w:rsidR="00037FAD">
              <w:rPr>
                <w:noProof/>
                <w:webHidden/>
              </w:rPr>
            </w:r>
            <w:r w:rsidR="00037FAD">
              <w:rPr>
                <w:noProof/>
                <w:webHidden/>
              </w:rPr>
              <w:fldChar w:fldCharType="separate"/>
            </w:r>
            <w:r w:rsidR="00F5173F">
              <w:rPr>
                <w:noProof/>
                <w:webHidden/>
              </w:rPr>
              <w:t>1</w:t>
            </w:r>
            <w:r w:rsidR="00037FAD">
              <w:rPr>
                <w:noProof/>
                <w:webHidden/>
              </w:rPr>
              <w:fldChar w:fldCharType="end"/>
            </w:r>
          </w:hyperlink>
        </w:p>
        <w:p w14:paraId="1C9D25A1" w14:textId="0FF8AC01" w:rsidR="00037FAD" w:rsidRDefault="00407D2D">
          <w:pPr>
            <w:pStyle w:val="TDC3"/>
            <w:rPr>
              <w:rFonts w:asciiTheme="minorHAnsi" w:eastAsiaTheme="minorEastAsia" w:hAnsiTheme="minorHAnsi" w:cstheme="minorBidi"/>
              <w:noProof/>
              <w:szCs w:val="22"/>
              <w:lang w:eastAsia="es-MX"/>
            </w:rPr>
          </w:pPr>
          <w:hyperlink w:anchor="_Toc184814134" w:history="1">
            <w:r w:rsidR="00037FAD" w:rsidRPr="005C267D">
              <w:rPr>
                <w:rStyle w:val="Hipervnculo"/>
                <w:noProof/>
              </w:rPr>
              <w:t>a) Solicitud de información</w:t>
            </w:r>
            <w:r w:rsidR="00037FAD">
              <w:rPr>
                <w:noProof/>
                <w:webHidden/>
              </w:rPr>
              <w:tab/>
            </w:r>
            <w:r w:rsidR="00037FAD">
              <w:rPr>
                <w:noProof/>
                <w:webHidden/>
              </w:rPr>
              <w:fldChar w:fldCharType="begin"/>
            </w:r>
            <w:r w:rsidR="00037FAD">
              <w:rPr>
                <w:noProof/>
                <w:webHidden/>
              </w:rPr>
              <w:instrText xml:space="preserve"> PAGEREF _Toc184814134 \h </w:instrText>
            </w:r>
            <w:r w:rsidR="00037FAD">
              <w:rPr>
                <w:noProof/>
                <w:webHidden/>
              </w:rPr>
            </w:r>
            <w:r w:rsidR="00037FAD">
              <w:rPr>
                <w:noProof/>
                <w:webHidden/>
              </w:rPr>
              <w:fldChar w:fldCharType="separate"/>
            </w:r>
            <w:r w:rsidR="00F5173F">
              <w:rPr>
                <w:noProof/>
                <w:webHidden/>
              </w:rPr>
              <w:t>1</w:t>
            </w:r>
            <w:r w:rsidR="00037FAD">
              <w:rPr>
                <w:noProof/>
                <w:webHidden/>
              </w:rPr>
              <w:fldChar w:fldCharType="end"/>
            </w:r>
          </w:hyperlink>
        </w:p>
        <w:p w14:paraId="53B965EE" w14:textId="17149BEE" w:rsidR="00037FAD" w:rsidRDefault="00407D2D">
          <w:pPr>
            <w:pStyle w:val="TDC3"/>
            <w:rPr>
              <w:rFonts w:asciiTheme="minorHAnsi" w:eastAsiaTheme="minorEastAsia" w:hAnsiTheme="minorHAnsi" w:cstheme="minorBidi"/>
              <w:noProof/>
              <w:szCs w:val="22"/>
              <w:lang w:eastAsia="es-MX"/>
            </w:rPr>
          </w:pPr>
          <w:hyperlink w:anchor="_Toc184814135" w:history="1">
            <w:r w:rsidR="00037FAD" w:rsidRPr="005C267D">
              <w:rPr>
                <w:rStyle w:val="Hipervnculo"/>
                <w:noProof/>
              </w:rPr>
              <w:t>b) Turno de la solicitud de información</w:t>
            </w:r>
            <w:r w:rsidR="00037FAD">
              <w:rPr>
                <w:noProof/>
                <w:webHidden/>
              </w:rPr>
              <w:tab/>
            </w:r>
            <w:r w:rsidR="00037FAD">
              <w:rPr>
                <w:noProof/>
                <w:webHidden/>
              </w:rPr>
              <w:fldChar w:fldCharType="begin"/>
            </w:r>
            <w:r w:rsidR="00037FAD">
              <w:rPr>
                <w:noProof/>
                <w:webHidden/>
              </w:rPr>
              <w:instrText xml:space="preserve"> PAGEREF _Toc184814135 \h </w:instrText>
            </w:r>
            <w:r w:rsidR="00037FAD">
              <w:rPr>
                <w:noProof/>
                <w:webHidden/>
              </w:rPr>
            </w:r>
            <w:r w:rsidR="00037FAD">
              <w:rPr>
                <w:noProof/>
                <w:webHidden/>
              </w:rPr>
              <w:fldChar w:fldCharType="separate"/>
            </w:r>
            <w:r w:rsidR="00F5173F">
              <w:rPr>
                <w:noProof/>
                <w:webHidden/>
              </w:rPr>
              <w:t>2</w:t>
            </w:r>
            <w:r w:rsidR="00037FAD">
              <w:rPr>
                <w:noProof/>
                <w:webHidden/>
              </w:rPr>
              <w:fldChar w:fldCharType="end"/>
            </w:r>
          </w:hyperlink>
        </w:p>
        <w:p w14:paraId="0A885081" w14:textId="1AF06D59" w:rsidR="00037FAD" w:rsidRDefault="00407D2D">
          <w:pPr>
            <w:pStyle w:val="TDC2"/>
            <w:rPr>
              <w:rFonts w:asciiTheme="minorHAnsi" w:eastAsiaTheme="minorEastAsia" w:hAnsiTheme="minorHAnsi" w:cstheme="minorBidi"/>
              <w:noProof/>
              <w:szCs w:val="22"/>
              <w:lang w:eastAsia="es-MX"/>
            </w:rPr>
          </w:pPr>
          <w:hyperlink w:anchor="_Toc184814136" w:history="1">
            <w:r w:rsidR="00037FAD" w:rsidRPr="005C267D">
              <w:rPr>
                <w:rStyle w:val="Hipervnculo"/>
                <w:noProof/>
              </w:rPr>
              <w:t>DEL RECURSO DE REVISIÓN</w:t>
            </w:r>
            <w:r w:rsidR="00037FAD">
              <w:rPr>
                <w:noProof/>
                <w:webHidden/>
              </w:rPr>
              <w:tab/>
            </w:r>
            <w:r w:rsidR="00037FAD">
              <w:rPr>
                <w:noProof/>
                <w:webHidden/>
              </w:rPr>
              <w:fldChar w:fldCharType="begin"/>
            </w:r>
            <w:r w:rsidR="00037FAD">
              <w:rPr>
                <w:noProof/>
                <w:webHidden/>
              </w:rPr>
              <w:instrText xml:space="preserve"> PAGEREF _Toc184814136 \h </w:instrText>
            </w:r>
            <w:r w:rsidR="00037FAD">
              <w:rPr>
                <w:noProof/>
                <w:webHidden/>
              </w:rPr>
            </w:r>
            <w:r w:rsidR="00037FAD">
              <w:rPr>
                <w:noProof/>
                <w:webHidden/>
              </w:rPr>
              <w:fldChar w:fldCharType="separate"/>
            </w:r>
            <w:r w:rsidR="00F5173F">
              <w:rPr>
                <w:noProof/>
                <w:webHidden/>
              </w:rPr>
              <w:t>2</w:t>
            </w:r>
            <w:r w:rsidR="00037FAD">
              <w:rPr>
                <w:noProof/>
                <w:webHidden/>
              </w:rPr>
              <w:fldChar w:fldCharType="end"/>
            </w:r>
          </w:hyperlink>
        </w:p>
        <w:p w14:paraId="2A850DB3" w14:textId="648CC041" w:rsidR="00037FAD" w:rsidRDefault="00407D2D">
          <w:pPr>
            <w:pStyle w:val="TDC3"/>
            <w:rPr>
              <w:rFonts w:asciiTheme="minorHAnsi" w:eastAsiaTheme="minorEastAsia" w:hAnsiTheme="minorHAnsi" w:cstheme="minorBidi"/>
              <w:noProof/>
              <w:szCs w:val="22"/>
              <w:lang w:eastAsia="es-MX"/>
            </w:rPr>
          </w:pPr>
          <w:hyperlink w:anchor="_Toc184814137" w:history="1">
            <w:r w:rsidR="00037FAD" w:rsidRPr="005C267D">
              <w:rPr>
                <w:rStyle w:val="Hipervnculo"/>
                <w:noProof/>
              </w:rPr>
              <w:t>a) Interposición del Recurso de Revisión</w:t>
            </w:r>
            <w:r w:rsidR="00037FAD">
              <w:rPr>
                <w:noProof/>
                <w:webHidden/>
              </w:rPr>
              <w:tab/>
            </w:r>
            <w:r w:rsidR="00037FAD">
              <w:rPr>
                <w:noProof/>
                <w:webHidden/>
              </w:rPr>
              <w:fldChar w:fldCharType="begin"/>
            </w:r>
            <w:r w:rsidR="00037FAD">
              <w:rPr>
                <w:noProof/>
                <w:webHidden/>
              </w:rPr>
              <w:instrText xml:space="preserve"> PAGEREF _Toc184814137 \h </w:instrText>
            </w:r>
            <w:r w:rsidR="00037FAD">
              <w:rPr>
                <w:noProof/>
                <w:webHidden/>
              </w:rPr>
            </w:r>
            <w:r w:rsidR="00037FAD">
              <w:rPr>
                <w:noProof/>
                <w:webHidden/>
              </w:rPr>
              <w:fldChar w:fldCharType="separate"/>
            </w:r>
            <w:r w:rsidR="00F5173F">
              <w:rPr>
                <w:noProof/>
                <w:webHidden/>
              </w:rPr>
              <w:t>2</w:t>
            </w:r>
            <w:r w:rsidR="00037FAD">
              <w:rPr>
                <w:noProof/>
                <w:webHidden/>
              </w:rPr>
              <w:fldChar w:fldCharType="end"/>
            </w:r>
          </w:hyperlink>
        </w:p>
        <w:p w14:paraId="4D6B65A4" w14:textId="13D155EB" w:rsidR="00037FAD" w:rsidRDefault="00407D2D">
          <w:pPr>
            <w:pStyle w:val="TDC3"/>
            <w:rPr>
              <w:rFonts w:asciiTheme="minorHAnsi" w:eastAsiaTheme="minorEastAsia" w:hAnsiTheme="minorHAnsi" w:cstheme="minorBidi"/>
              <w:noProof/>
              <w:szCs w:val="22"/>
              <w:lang w:eastAsia="es-MX"/>
            </w:rPr>
          </w:pPr>
          <w:hyperlink w:anchor="_Toc184814138" w:history="1">
            <w:r w:rsidR="00037FAD" w:rsidRPr="005C267D">
              <w:rPr>
                <w:rStyle w:val="Hipervnculo"/>
                <w:noProof/>
              </w:rPr>
              <w:t>b) Turno del Recurso de Revisión</w:t>
            </w:r>
            <w:r w:rsidR="00037FAD">
              <w:rPr>
                <w:noProof/>
                <w:webHidden/>
              </w:rPr>
              <w:tab/>
            </w:r>
            <w:r w:rsidR="00037FAD">
              <w:rPr>
                <w:noProof/>
                <w:webHidden/>
              </w:rPr>
              <w:fldChar w:fldCharType="begin"/>
            </w:r>
            <w:r w:rsidR="00037FAD">
              <w:rPr>
                <w:noProof/>
                <w:webHidden/>
              </w:rPr>
              <w:instrText xml:space="preserve"> PAGEREF _Toc184814138 \h </w:instrText>
            </w:r>
            <w:r w:rsidR="00037FAD">
              <w:rPr>
                <w:noProof/>
                <w:webHidden/>
              </w:rPr>
            </w:r>
            <w:r w:rsidR="00037FAD">
              <w:rPr>
                <w:noProof/>
                <w:webHidden/>
              </w:rPr>
              <w:fldChar w:fldCharType="separate"/>
            </w:r>
            <w:r w:rsidR="00F5173F">
              <w:rPr>
                <w:noProof/>
                <w:webHidden/>
              </w:rPr>
              <w:t>2</w:t>
            </w:r>
            <w:r w:rsidR="00037FAD">
              <w:rPr>
                <w:noProof/>
                <w:webHidden/>
              </w:rPr>
              <w:fldChar w:fldCharType="end"/>
            </w:r>
          </w:hyperlink>
        </w:p>
        <w:p w14:paraId="2C2727B6" w14:textId="05865B20" w:rsidR="00037FAD" w:rsidRDefault="00407D2D">
          <w:pPr>
            <w:pStyle w:val="TDC3"/>
            <w:rPr>
              <w:rFonts w:asciiTheme="minorHAnsi" w:eastAsiaTheme="minorEastAsia" w:hAnsiTheme="minorHAnsi" w:cstheme="minorBidi"/>
              <w:noProof/>
              <w:szCs w:val="22"/>
              <w:lang w:eastAsia="es-MX"/>
            </w:rPr>
          </w:pPr>
          <w:hyperlink w:anchor="_Toc184814139" w:history="1">
            <w:r w:rsidR="00037FAD" w:rsidRPr="005C267D">
              <w:rPr>
                <w:rStyle w:val="Hipervnculo"/>
                <w:noProof/>
              </w:rPr>
              <w:t>c) Admisión del Recurso de Revisión</w:t>
            </w:r>
            <w:r w:rsidR="00037FAD">
              <w:rPr>
                <w:noProof/>
                <w:webHidden/>
              </w:rPr>
              <w:tab/>
            </w:r>
            <w:r w:rsidR="00037FAD">
              <w:rPr>
                <w:noProof/>
                <w:webHidden/>
              </w:rPr>
              <w:fldChar w:fldCharType="begin"/>
            </w:r>
            <w:r w:rsidR="00037FAD">
              <w:rPr>
                <w:noProof/>
                <w:webHidden/>
              </w:rPr>
              <w:instrText xml:space="preserve"> PAGEREF _Toc184814139 \h </w:instrText>
            </w:r>
            <w:r w:rsidR="00037FAD">
              <w:rPr>
                <w:noProof/>
                <w:webHidden/>
              </w:rPr>
            </w:r>
            <w:r w:rsidR="00037FAD">
              <w:rPr>
                <w:noProof/>
                <w:webHidden/>
              </w:rPr>
              <w:fldChar w:fldCharType="separate"/>
            </w:r>
            <w:r w:rsidR="00F5173F">
              <w:rPr>
                <w:noProof/>
                <w:webHidden/>
              </w:rPr>
              <w:t>3</w:t>
            </w:r>
            <w:r w:rsidR="00037FAD">
              <w:rPr>
                <w:noProof/>
                <w:webHidden/>
              </w:rPr>
              <w:fldChar w:fldCharType="end"/>
            </w:r>
          </w:hyperlink>
        </w:p>
        <w:p w14:paraId="752B3081" w14:textId="77E0DC6C" w:rsidR="00037FAD" w:rsidRDefault="00407D2D">
          <w:pPr>
            <w:pStyle w:val="TDC3"/>
            <w:rPr>
              <w:rFonts w:asciiTheme="minorHAnsi" w:eastAsiaTheme="minorEastAsia" w:hAnsiTheme="minorHAnsi" w:cstheme="minorBidi"/>
              <w:noProof/>
              <w:szCs w:val="22"/>
              <w:lang w:eastAsia="es-MX"/>
            </w:rPr>
          </w:pPr>
          <w:hyperlink w:anchor="_Toc184814140" w:history="1">
            <w:r w:rsidR="00037FAD" w:rsidRPr="005C267D">
              <w:rPr>
                <w:rStyle w:val="Hipervnculo"/>
                <w:noProof/>
              </w:rPr>
              <w:t>d) Informe Justificado del Sujeto Obligado</w:t>
            </w:r>
            <w:r w:rsidR="00037FAD">
              <w:rPr>
                <w:noProof/>
                <w:webHidden/>
              </w:rPr>
              <w:tab/>
            </w:r>
            <w:r w:rsidR="00037FAD">
              <w:rPr>
                <w:noProof/>
                <w:webHidden/>
              </w:rPr>
              <w:fldChar w:fldCharType="begin"/>
            </w:r>
            <w:r w:rsidR="00037FAD">
              <w:rPr>
                <w:noProof/>
                <w:webHidden/>
              </w:rPr>
              <w:instrText xml:space="preserve"> PAGEREF _Toc184814140 \h </w:instrText>
            </w:r>
            <w:r w:rsidR="00037FAD">
              <w:rPr>
                <w:noProof/>
                <w:webHidden/>
              </w:rPr>
            </w:r>
            <w:r w:rsidR="00037FAD">
              <w:rPr>
                <w:noProof/>
                <w:webHidden/>
              </w:rPr>
              <w:fldChar w:fldCharType="separate"/>
            </w:r>
            <w:r w:rsidR="00F5173F">
              <w:rPr>
                <w:noProof/>
                <w:webHidden/>
              </w:rPr>
              <w:t>3</w:t>
            </w:r>
            <w:r w:rsidR="00037FAD">
              <w:rPr>
                <w:noProof/>
                <w:webHidden/>
              </w:rPr>
              <w:fldChar w:fldCharType="end"/>
            </w:r>
          </w:hyperlink>
        </w:p>
        <w:p w14:paraId="14F0B855" w14:textId="137A8E00" w:rsidR="00037FAD" w:rsidRDefault="00407D2D">
          <w:pPr>
            <w:pStyle w:val="TDC3"/>
            <w:rPr>
              <w:rFonts w:asciiTheme="minorHAnsi" w:eastAsiaTheme="minorEastAsia" w:hAnsiTheme="minorHAnsi" w:cstheme="minorBidi"/>
              <w:noProof/>
              <w:szCs w:val="22"/>
              <w:lang w:eastAsia="es-MX"/>
            </w:rPr>
          </w:pPr>
          <w:hyperlink w:anchor="_Toc184814141" w:history="1">
            <w:r w:rsidR="00037FAD" w:rsidRPr="005C267D">
              <w:rPr>
                <w:rStyle w:val="Hipervnculo"/>
                <w:rFonts w:eastAsia="Calibri"/>
                <w:bCs/>
                <w:noProof/>
                <w:lang w:eastAsia="en-US"/>
              </w:rPr>
              <w:t>e)</w:t>
            </w:r>
            <w:r w:rsidR="00037FAD" w:rsidRPr="005C267D">
              <w:rPr>
                <w:rStyle w:val="Hipervnculo"/>
                <w:noProof/>
              </w:rPr>
              <w:t xml:space="preserve"> </w:t>
            </w:r>
            <w:r w:rsidR="00037FAD" w:rsidRPr="005C267D">
              <w:rPr>
                <w:rStyle w:val="Hipervnculo"/>
                <w:noProof/>
                <w:lang w:val="es-ES"/>
              </w:rPr>
              <w:t>Manifestaciones de la Parte Recurrente</w:t>
            </w:r>
            <w:r w:rsidR="00037FAD">
              <w:rPr>
                <w:noProof/>
                <w:webHidden/>
              </w:rPr>
              <w:tab/>
            </w:r>
            <w:r w:rsidR="00037FAD">
              <w:rPr>
                <w:noProof/>
                <w:webHidden/>
              </w:rPr>
              <w:fldChar w:fldCharType="begin"/>
            </w:r>
            <w:r w:rsidR="00037FAD">
              <w:rPr>
                <w:noProof/>
                <w:webHidden/>
              </w:rPr>
              <w:instrText xml:space="preserve"> PAGEREF _Toc184814141 \h </w:instrText>
            </w:r>
            <w:r w:rsidR="00037FAD">
              <w:rPr>
                <w:noProof/>
                <w:webHidden/>
              </w:rPr>
            </w:r>
            <w:r w:rsidR="00037FAD">
              <w:rPr>
                <w:noProof/>
                <w:webHidden/>
              </w:rPr>
              <w:fldChar w:fldCharType="separate"/>
            </w:r>
            <w:r w:rsidR="00F5173F">
              <w:rPr>
                <w:noProof/>
                <w:webHidden/>
              </w:rPr>
              <w:t>4</w:t>
            </w:r>
            <w:r w:rsidR="00037FAD">
              <w:rPr>
                <w:noProof/>
                <w:webHidden/>
              </w:rPr>
              <w:fldChar w:fldCharType="end"/>
            </w:r>
          </w:hyperlink>
        </w:p>
        <w:p w14:paraId="71DC44E8" w14:textId="16BC20FC" w:rsidR="00037FAD" w:rsidRDefault="00407D2D">
          <w:pPr>
            <w:pStyle w:val="TDC3"/>
            <w:rPr>
              <w:rFonts w:asciiTheme="minorHAnsi" w:eastAsiaTheme="minorEastAsia" w:hAnsiTheme="minorHAnsi" w:cstheme="minorBidi"/>
              <w:noProof/>
              <w:szCs w:val="22"/>
              <w:lang w:eastAsia="es-MX"/>
            </w:rPr>
          </w:pPr>
          <w:hyperlink w:anchor="_Toc184814142" w:history="1">
            <w:r w:rsidR="00037FAD" w:rsidRPr="005C267D">
              <w:rPr>
                <w:rStyle w:val="Hipervnculo"/>
                <w:noProof/>
              </w:rPr>
              <w:t>f) Cierre de instrucción</w:t>
            </w:r>
            <w:r w:rsidR="00037FAD">
              <w:rPr>
                <w:noProof/>
                <w:webHidden/>
              </w:rPr>
              <w:tab/>
            </w:r>
            <w:r w:rsidR="00037FAD">
              <w:rPr>
                <w:noProof/>
                <w:webHidden/>
              </w:rPr>
              <w:fldChar w:fldCharType="begin"/>
            </w:r>
            <w:r w:rsidR="00037FAD">
              <w:rPr>
                <w:noProof/>
                <w:webHidden/>
              </w:rPr>
              <w:instrText xml:space="preserve"> PAGEREF _Toc184814142 \h </w:instrText>
            </w:r>
            <w:r w:rsidR="00037FAD">
              <w:rPr>
                <w:noProof/>
                <w:webHidden/>
              </w:rPr>
            </w:r>
            <w:r w:rsidR="00037FAD">
              <w:rPr>
                <w:noProof/>
                <w:webHidden/>
              </w:rPr>
              <w:fldChar w:fldCharType="separate"/>
            </w:r>
            <w:r w:rsidR="00F5173F">
              <w:rPr>
                <w:noProof/>
                <w:webHidden/>
              </w:rPr>
              <w:t>4</w:t>
            </w:r>
            <w:r w:rsidR="00037FAD">
              <w:rPr>
                <w:noProof/>
                <w:webHidden/>
              </w:rPr>
              <w:fldChar w:fldCharType="end"/>
            </w:r>
          </w:hyperlink>
        </w:p>
        <w:p w14:paraId="2A4C62AE" w14:textId="7A82D1F1" w:rsidR="00037FAD" w:rsidRDefault="00407D2D">
          <w:pPr>
            <w:pStyle w:val="TDC1"/>
            <w:tabs>
              <w:tab w:val="right" w:leader="dot" w:pos="9034"/>
            </w:tabs>
            <w:rPr>
              <w:rFonts w:asciiTheme="minorHAnsi" w:eastAsiaTheme="minorEastAsia" w:hAnsiTheme="minorHAnsi" w:cstheme="minorBidi"/>
              <w:noProof/>
              <w:szCs w:val="22"/>
              <w:lang w:eastAsia="es-MX"/>
            </w:rPr>
          </w:pPr>
          <w:hyperlink w:anchor="_Toc184814143" w:history="1">
            <w:r w:rsidR="00037FAD" w:rsidRPr="005C267D">
              <w:rPr>
                <w:rStyle w:val="Hipervnculo"/>
                <w:rFonts w:eastAsiaTheme="minorHAnsi"/>
                <w:noProof/>
                <w:lang w:eastAsia="en-US"/>
              </w:rPr>
              <w:t>CONSIDERANDOS</w:t>
            </w:r>
            <w:r w:rsidR="00037FAD">
              <w:rPr>
                <w:noProof/>
                <w:webHidden/>
              </w:rPr>
              <w:tab/>
            </w:r>
            <w:r w:rsidR="00037FAD">
              <w:rPr>
                <w:noProof/>
                <w:webHidden/>
              </w:rPr>
              <w:fldChar w:fldCharType="begin"/>
            </w:r>
            <w:r w:rsidR="00037FAD">
              <w:rPr>
                <w:noProof/>
                <w:webHidden/>
              </w:rPr>
              <w:instrText xml:space="preserve"> PAGEREF _Toc184814143 \h </w:instrText>
            </w:r>
            <w:r w:rsidR="00037FAD">
              <w:rPr>
                <w:noProof/>
                <w:webHidden/>
              </w:rPr>
            </w:r>
            <w:r w:rsidR="00037FAD">
              <w:rPr>
                <w:noProof/>
                <w:webHidden/>
              </w:rPr>
              <w:fldChar w:fldCharType="separate"/>
            </w:r>
            <w:r w:rsidR="00F5173F">
              <w:rPr>
                <w:noProof/>
                <w:webHidden/>
              </w:rPr>
              <w:t>5</w:t>
            </w:r>
            <w:r w:rsidR="00037FAD">
              <w:rPr>
                <w:noProof/>
                <w:webHidden/>
              </w:rPr>
              <w:fldChar w:fldCharType="end"/>
            </w:r>
          </w:hyperlink>
        </w:p>
        <w:p w14:paraId="4F72845A" w14:textId="33BDB956" w:rsidR="00037FAD" w:rsidRDefault="00407D2D">
          <w:pPr>
            <w:pStyle w:val="TDC2"/>
            <w:rPr>
              <w:rFonts w:asciiTheme="minorHAnsi" w:eastAsiaTheme="minorEastAsia" w:hAnsiTheme="minorHAnsi" w:cstheme="minorBidi"/>
              <w:noProof/>
              <w:szCs w:val="22"/>
              <w:lang w:eastAsia="es-MX"/>
            </w:rPr>
          </w:pPr>
          <w:hyperlink w:anchor="_Toc184814144" w:history="1">
            <w:r w:rsidR="00037FAD" w:rsidRPr="005C267D">
              <w:rPr>
                <w:rStyle w:val="Hipervnculo"/>
                <w:rFonts w:eastAsia="Batang"/>
                <w:noProof/>
              </w:rPr>
              <w:t>PRIMERO. Procedibilidad</w:t>
            </w:r>
            <w:r w:rsidR="00037FAD">
              <w:rPr>
                <w:noProof/>
                <w:webHidden/>
              </w:rPr>
              <w:tab/>
            </w:r>
            <w:r w:rsidR="00037FAD">
              <w:rPr>
                <w:noProof/>
                <w:webHidden/>
              </w:rPr>
              <w:fldChar w:fldCharType="begin"/>
            </w:r>
            <w:r w:rsidR="00037FAD">
              <w:rPr>
                <w:noProof/>
                <w:webHidden/>
              </w:rPr>
              <w:instrText xml:space="preserve"> PAGEREF _Toc184814144 \h </w:instrText>
            </w:r>
            <w:r w:rsidR="00037FAD">
              <w:rPr>
                <w:noProof/>
                <w:webHidden/>
              </w:rPr>
            </w:r>
            <w:r w:rsidR="00037FAD">
              <w:rPr>
                <w:noProof/>
                <w:webHidden/>
              </w:rPr>
              <w:fldChar w:fldCharType="separate"/>
            </w:r>
            <w:r w:rsidR="00F5173F">
              <w:rPr>
                <w:noProof/>
                <w:webHidden/>
              </w:rPr>
              <w:t>5</w:t>
            </w:r>
            <w:r w:rsidR="00037FAD">
              <w:rPr>
                <w:noProof/>
                <w:webHidden/>
              </w:rPr>
              <w:fldChar w:fldCharType="end"/>
            </w:r>
          </w:hyperlink>
        </w:p>
        <w:p w14:paraId="774C540C" w14:textId="64828D80" w:rsidR="00037FAD" w:rsidRDefault="00407D2D">
          <w:pPr>
            <w:pStyle w:val="TDC3"/>
            <w:rPr>
              <w:rFonts w:asciiTheme="minorHAnsi" w:eastAsiaTheme="minorEastAsia" w:hAnsiTheme="minorHAnsi" w:cstheme="minorBidi"/>
              <w:noProof/>
              <w:szCs w:val="22"/>
              <w:lang w:eastAsia="es-MX"/>
            </w:rPr>
          </w:pPr>
          <w:hyperlink w:anchor="_Toc184814145" w:history="1">
            <w:r w:rsidR="00037FAD" w:rsidRPr="005C267D">
              <w:rPr>
                <w:rStyle w:val="Hipervnculo"/>
                <w:noProof/>
              </w:rPr>
              <w:t>a) Competencia del Instituto</w:t>
            </w:r>
            <w:r w:rsidR="00037FAD">
              <w:rPr>
                <w:noProof/>
                <w:webHidden/>
              </w:rPr>
              <w:tab/>
            </w:r>
            <w:r w:rsidR="00037FAD">
              <w:rPr>
                <w:noProof/>
                <w:webHidden/>
              </w:rPr>
              <w:fldChar w:fldCharType="begin"/>
            </w:r>
            <w:r w:rsidR="00037FAD">
              <w:rPr>
                <w:noProof/>
                <w:webHidden/>
              </w:rPr>
              <w:instrText xml:space="preserve"> PAGEREF _Toc184814145 \h </w:instrText>
            </w:r>
            <w:r w:rsidR="00037FAD">
              <w:rPr>
                <w:noProof/>
                <w:webHidden/>
              </w:rPr>
            </w:r>
            <w:r w:rsidR="00037FAD">
              <w:rPr>
                <w:noProof/>
                <w:webHidden/>
              </w:rPr>
              <w:fldChar w:fldCharType="separate"/>
            </w:r>
            <w:r w:rsidR="00F5173F">
              <w:rPr>
                <w:noProof/>
                <w:webHidden/>
              </w:rPr>
              <w:t>5</w:t>
            </w:r>
            <w:r w:rsidR="00037FAD">
              <w:rPr>
                <w:noProof/>
                <w:webHidden/>
              </w:rPr>
              <w:fldChar w:fldCharType="end"/>
            </w:r>
          </w:hyperlink>
        </w:p>
        <w:p w14:paraId="46414B04" w14:textId="55D5DE72" w:rsidR="00037FAD" w:rsidRDefault="00407D2D">
          <w:pPr>
            <w:pStyle w:val="TDC3"/>
            <w:rPr>
              <w:rFonts w:asciiTheme="minorHAnsi" w:eastAsiaTheme="minorEastAsia" w:hAnsiTheme="minorHAnsi" w:cstheme="minorBidi"/>
              <w:noProof/>
              <w:szCs w:val="22"/>
              <w:lang w:eastAsia="es-MX"/>
            </w:rPr>
          </w:pPr>
          <w:hyperlink w:anchor="_Toc184814146" w:history="1">
            <w:r w:rsidR="00037FAD" w:rsidRPr="005C267D">
              <w:rPr>
                <w:rStyle w:val="Hipervnculo"/>
                <w:noProof/>
              </w:rPr>
              <w:t>b) Legitimidad de la parte recurrente</w:t>
            </w:r>
            <w:r w:rsidR="00037FAD">
              <w:rPr>
                <w:noProof/>
                <w:webHidden/>
              </w:rPr>
              <w:tab/>
            </w:r>
            <w:r w:rsidR="00037FAD">
              <w:rPr>
                <w:noProof/>
                <w:webHidden/>
              </w:rPr>
              <w:fldChar w:fldCharType="begin"/>
            </w:r>
            <w:r w:rsidR="00037FAD">
              <w:rPr>
                <w:noProof/>
                <w:webHidden/>
              </w:rPr>
              <w:instrText xml:space="preserve"> PAGEREF _Toc184814146 \h </w:instrText>
            </w:r>
            <w:r w:rsidR="00037FAD">
              <w:rPr>
                <w:noProof/>
                <w:webHidden/>
              </w:rPr>
            </w:r>
            <w:r w:rsidR="00037FAD">
              <w:rPr>
                <w:noProof/>
                <w:webHidden/>
              </w:rPr>
              <w:fldChar w:fldCharType="separate"/>
            </w:r>
            <w:r w:rsidR="00F5173F">
              <w:rPr>
                <w:noProof/>
                <w:webHidden/>
              </w:rPr>
              <w:t>5</w:t>
            </w:r>
            <w:r w:rsidR="00037FAD">
              <w:rPr>
                <w:noProof/>
                <w:webHidden/>
              </w:rPr>
              <w:fldChar w:fldCharType="end"/>
            </w:r>
          </w:hyperlink>
        </w:p>
        <w:p w14:paraId="51E7BFA1" w14:textId="54D0A600" w:rsidR="00037FAD" w:rsidRDefault="00407D2D">
          <w:pPr>
            <w:pStyle w:val="TDC3"/>
            <w:rPr>
              <w:rFonts w:asciiTheme="minorHAnsi" w:eastAsiaTheme="minorEastAsia" w:hAnsiTheme="minorHAnsi" w:cstheme="minorBidi"/>
              <w:noProof/>
              <w:szCs w:val="22"/>
              <w:lang w:eastAsia="es-MX"/>
            </w:rPr>
          </w:pPr>
          <w:hyperlink w:anchor="_Toc184814147" w:history="1">
            <w:r w:rsidR="00037FAD" w:rsidRPr="005C267D">
              <w:rPr>
                <w:rStyle w:val="Hipervnculo"/>
                <w:rFonts w:eastAsia="Calibri"/>
                <w:noProof/>
                <w:lang w:eastAsia="es-ES_tradnl"/>
              </w:rPr>
              <w:t>c) Plazo para interponer el recurso</w:t>
            </w:r>
            <w:r w:rsidR="00037FAD">
              <w:rPr>
                <w:noProof/>
                <w:webHidden/>
              </w:rPr>
              <w:tab/>
            </w:r>
            <w:r w:rsidR="00037FAD">
              <w:rPr>
                <w:noProof/>
                <w:webHidden/>
              </w:rPr>
              <w:fldChar w:fldCharType="begin"/>
            </w:r>
            <w:r w:rsidR="00037FAD">
              <w:rPr>
                <w:noProof/>
                <w:webHidden/>
              </w:rPr>
              <w:instrText xml:space="preserve"> PAGEREF _Toc184814147 \h </w:instrText>
            </w:r>
            <w:r w:rsidR="00037FAD">
              <w:rPr>
                <w:noProof/>
                <w:webHidden/>
              </w:rPr>
            </w:r>
            <w:r w:rsidR="00037FAD">
              <w:rPr>
                <w:noProof/>
                <w:webHidden/>
              </w:rPr>
              <w:fldChar w:fldCharType="separate"/>
            </w:r>
            <w:r w:rsidR="00F5173F">
              <w:rPr>
                <w:noProof/>
                <w:webHidden/>
              </w:rPr>
              <w:t>5</w:t>
            </w:r>
            <w:r w:rsidR="00037FAD">
              <w:rPr>
                <w:noProof/>
                <w:webHidden/>
              </w:rPr>
              <w:fldChar w:fldCharType="end"/>
            </w:r>
          </w:hyperlink>
        </w:p>
        <w:p w14:paraId="42AF61E6" w14:textId="451D4F3C" w:rsidR="00037FAD" w:rsidRDefault="00407D2D">
          <w:pPr>
            <w:pStyle w:val="TDC3"/>
            <w:rPr>
              <w:rFonts w:asciiTheme="minorHAnsi" w:eastAsiaTheme="minorEastAsia" w:hAnsiTheme="minorHAnsi" w:cstheme="minorBidi"/>
              <w:noProof/>
              <w:szCs w:val="22"/>
              <w:lang w:eastAsia="es-MX"/>
            </w:rPr>
          </w:pPr>
          <w:hyperlink w:anchor="_Toc184814148" w:history="1">
            <w:r w:rsidR="00037FAD" w:rsidRPr="005C267D">
              <w:rPr>
                <w:rStyle w:val="Hipervnculo"/>
                <w:rFonts w:eastAsia="Calibri"/>
                <w:noProof/>
                <w:lang w:eastAsia="es-ES_tradnl"/>
              </w:rPr>
              <w:t>d) Causal de procedencia.</w:t>
            </w:r>
            <w:r w:rsidR="00037FAD">
              <w:rPr>
                <w:noProof/>
                <w:webHidden/>
              </w:rPr>
              <w:tab/>
            </w:r>
            <w:r w:rsidR="00037FAD">
              <w:rPr>
                <w:noProof/>
                <w:webHidden/>
              </w:rPr>
              <w:fldChar w:fldCharType="begin"/>
            </w:r>
            <w:r w:rsidR="00037FAD">
              <w:rPr>
                <w:noProof/>
                <w:webHidden/>
              </w:rPr>
              <w:instrText xml:space="preserve"> PAGEREF _Toc184814148 \h </w:instrText>
            </w:r>
            <w:r w:rsidR="00037FAD">
              <w:rPr>
                <w:noProof/>
                <w:webHidden/>
              </w:rPr>
            </w:r>
            <w:r w:rsidR="00037FAD">
              <w:rPr>
                <w:noProof/>
                <w:webHidden/>
              </w:rPr>
              <w:fldChar w:fldCharType="separate"/>
            </w:r>
            <w:r w:rsidR="00F5173F">
              <w:rPr>
                <w:noProof/>
                <w:webHidden/>
              </w:rPr>
              <w:t>7</w:t>
            </w:r>
            <w:r w:rsidR="00037FAD">
              <w:rPr>
                <w:noProof/>
                <w:webHidden/>
              </w:rPr>
              <w:fldChar w:fldCharType="end"/>
            </w:r>
          </w:hyperlink>
        </w:p>
        <w:p w14:paraId="5D4B894C" w14:textId="275D1287" w:rsidR="00037FAD" w:rsidRDefault="00407D2D">
          <w:pPr>
            <w:pStyle w:val="TDC3"/>
            <w:rPr>
              <w:rFonts w:asciiTheme="minorHAnsi" w:eastAsiaTheme="minorEastAsia" w:hAnsiTheme="minorHAnsi" w:cstheme="minorBidi"/>
              <w:noProof/>
              <w:szCs w:val="22"/>
              <w:lang w:eastAsia="es-MX"/>
            </w:rPr>
          </w:pPr>
          <w:hyperlink w:anchor="_Toc184814149" w:history="1">
            <w:r w:rsidR="00037FAD" w:rsidRPr="005C267D">
              <w:rPr>
                <w:rStyle w:val="Hipervnculo"/>
                <w:noProof/>
              </w:rPr>
              <w:t>e) Requisitos formales para la interposición del recurso</w:t>
            </w:r>
            <w:r w:rsidR="00037FAD">
              <w:rPr>
                <w:noProof/>
                <w:webHidden/>
              </w:rPr>
              <w:tab/>
            </w:r>
            <w:r w:rsidR="00037FAD">
              <w:rPr>
                <w:noProof/>
                <w:webHidden/>
              </w:rPr>
              <w:fldChar w:fldCharType="begin"/>
            </w:r>
            <w:r w:rsidR="00037FAD">
              <w:rPr>
                <w:noProof/>
                <w:webHidden/>
              </w:rPr>
              <w:instrText xml:space="preserve"> PAGEREF _Toc184814149 \h </w:instrText>
            </w:r>
            <w:r w:rsidR="00037FAD">
              <w:rPr>
                <w:noProof/>
                <w:webHidden/>
              </w:rPr>
            </w:r>
            <w:r w:rsidR="00037FAD">
              <w:rPr>
                <w:noProof/>
                <w:webHidden/>
              </w:rPr>
              <w:fldChar w:fldCharType="separate"/>
            </w:r>
            <w:r w:rsidR="00F5173F">
              <w:rPr>
                <w:noProof/>
                <w:webHidden/>
              </w:rPr>
              <w:t>7</w:t>
            </w:r>
            <w:r w:rsidR="00037FAD">
              <w:rPr>
                <w:noProof/>
                <w:webHidden/>
              </w:rPr>
              <w:fldChar w:fldCharType="end"/>
            </w:r>
          </w:hyperlink>
        </w:p>
        <w:p w14:paraId="35DF1329" w14:textId="68FD7C50" w:rsidR="00037FAD" w:rsidRDefault="00407D2D">
          <w:pPr>
            <w:pStyle w:val="TDC2"/>
            <w:rPr>
              <w:rFonts w:asciiTheme="minorHAnsi" w:eastAsiaTheme="minorEastAsia" w:hAnsiTheme="minorHAnsi" w:cstheme="minorBidi"/>
              <w:noProof/>
              <w:szCs w:val="22"/>
              <w:lang w:eastAsia="es-MX"/>
            </w:rPr>
          </w:pPr>
          <w:hyperlink w:anchor="_Toc184814150" w:history="1">
            <w:r w:rsidR="00037FAD" w:rsidRPr="005C267D">
              <w:rPr>
                <w:rStyle w:val="Hipervnculo"/>
                <w:noProof/>
              </w:rPr>
              <w:t>SEGUNDO. Estudio</w:t>
            </w:r>
            <w:r w:rsidR="00037FAD">
              <w:rPr>
                <w:noProof/>
                <w:webHidden/>
              </w:rPr>
              <w:tab/>
            </w:r>
            <w:r w:rsidR="00037FAD">
              <w:rPr>
                <w:noProof/>
                <w:webHidden/>
              </w:rPr>
              <w:fldChar w:fldCharType="begin"/>
            </w:r>
            <w:r w:rsidR="00037FAD">
              <w:rPr>
                <w:noProof/>
                <w:webHidden/>
              </w:rPr>
              <w:instrText xml:space="preserve"> PAGEREF _Toc184814150 \h </w:instrText>
            </w:r>
            <w:r w:rsidR="00037FAD">
              <w:rPr>
                <w:noProof/>
                <w:webHidden/>
              </w:rPr>
            </w:r>
            <w:r w:rsidR="00037FAD">
              <w:rPr>
                <w:noProof/>
                <w:webHidden/>
              </w:rPr>
              <w:fldChar w:fldCharType="separate"/>
            </w:r>
            <w:r w:rsidR="00F5173F">
              <w:rPr>
                <w:noProof/>
                <w:webHidden/>
              </w:rPr>
              <w:t>7</w:t>
            </w:r>
            <w:r w:rsidR="00037FAD">
              <w:rPr>
                <w:noProof/>
                <w:webHidden/>
              </w:rPr>
              <w:fldChar w:fldCharType="end"/>
            </w:r>
          </w:hyperlink>
        </w:p>
        <w:p w14:paraId="49EECA9C" w14:textId="160A099F" w:rsidR="00037FAD" w:rsidRDefault="00407D2D">
          <w:pPr>
            <w:pStyle w:val="TDC3"/>
            <w:rPr>
              <w:rFonts w:asciiTheme="minorHAnsi" w:eastAsiaTheme="minorEastAsia" w:hAnsiTheme="minorHAnsi" w:cstheme="minorBidi"/>
              <w:noProof/>
              <w:szCs w:val="22"/>
              <w:lang w:eastAsia="es-MX"/>
            </w:rPr>
          </w:pPr>
          <w:hyperlink w:anchor="_Toc184814151" w:history="1">
            <w:r w:rsidR="00037FAD" w:rsidRPr="005C267D">
              <w:rPr>
                <w:rStyle w:val="Hipervnculo"/>
                <w:noProof/>
              </w:rPr>
              <w:t xml:space="preserve">a) </w:t>
            </w:r>
            <w:r w:rsidR="00037FAD" w:rsidRPr="005C267D">
              <w:rPr>
                <w:rStyle w:val="Hipervnculo"/>
                <w:rFonts w:eastAsia="Calibri"/>
                <w:noProof/>
                <w:lang w:eastAsia="es-ES_tradnl"/>
              </w:rPr>
              <w:t>Controversia a resolver</w:t>
            </w:r>
            <w:r w:rsidR="00037FAD">
              <w:rPr>
                <w:noProof/>
                <w:webHidden/>
              </w:rPr>
              <w:tab/>
            </w:r>
            <w:r w:rsidR="00037FAD">
              <w:rPr>
                <w:noProof/>
                <w:webHidden/>
              </w:rPr>
              <w:fldChar w:fldCharType="begin"/>
            </w:r>
            <w:r w:rsidR="00037FAD">
              <w:rPr>
                <w:noProof/>
                <w:webHidden/>
              </w:rPr>
              <w:instrText xml:space="preserve"> PAGEREF _Toc184814151 \h </w:instrText>
            </w:r>
            <w:r w:rsidR="00037FAD">
              <w:rPr>
                <w:noProof/>
                <w:webHidden/>
              </w:rPr>
            </w:r>
            <w:r w:rsidR="00037FAD">
              <w:rPr>
                <w:noProof/>
                <w:webHidden/>
              </w:rPr>
              <w:fldChar w:fldCharType="separate"/>
            </w:r>
            <w:r w:rsidR="00F5173F">
              <w:rPr>
                <w:noProof/>
                <w:webHidden/>
              </w:rPr>
              <w:t>7</w:t>
            </w:r>
            <w:r w:rsidR="00037FAD">
              <w:rPr>
                <w:noProof/>
                <w:webHidden/>
              </w:rPr>
              <w:fldChar w:fldCharType="end"/>
            </w:r>
          </w:hyperlink>
        </w:p>
        <w:p w14:paraId="68DF9DC8" w14:textId="2F69199E" w:rsidR="00037FAD" w:rsidRDefault="00407D2D">
          <w:pPr>
            <w:pStyle w:val="TDC3"/>
            <w:rPr>
              <w:rFonts w:asciiTheme="minorHAnsi" w:eastAsiaTheme="minorEastAsia" w:hAnsiTheme="minorHAnsi" w:cstheme="minorBidi"/>
              <w:noProof/>
              <w:szCs w:val="22"/>
              <w:lang w:eastAsia="es-MX"/>
            </w:rPr>
          </w:pPr>
          <w:hyperlink w:anchor="_Toc184814152" w:history="1">
            <w:r w:rsidR="00037FAD" w:rsidRPr="005C267D">
              <w:rPr>
                <w:rStyle w:val="Hipervnculo"/>
                <w:noProof/>
              </w:rPr>
              <w:t>b) Estudio de la controversia</w:t>
            </w:r>
            <w:r w:rsidR="00037FAD">
              <w:rPr>
                <w:noProof/>
                <w:webHidden/>
              </w:rPr>
              <w:tab/>
            </w:r>
            <w:r w:rsidR="00037FAD">
              <w:rPr>
                <w:noProof/>
                <w:webHidden/>
              </w:rPr>
              <w:fldChar w:fldCharType="begin"/>
            </w:r>
            <w:r w:rsidR="00037FAD">
              <w:rPr>
                <w:noProof/>
                <w:webHidden/>
              </w:rPr>
              <w:instrText xml:space="preserve"> PAGEREF _Toc184814152 \h </w:instrText>
            </w:r>
            <w:r w:rsidR="00037FAD">
              <w:rPr>
                <w:noProof/>
                <w:webHidden/>
              </w:rPr>
            </w:r>
            <w:r w:rsidR="00037FAD">
              <w:rPr>
                <w:noProof/>
                <w:webHidden/>
              </w:rPr>
              <w:fldChar w:fldCharType="separate"/>
            </w:r>
            <w:r w:rsidR="00F5173F">
              <w:rPr>
                <w:noProof/>
                <w:webHidden/>
              </w:rPr>
              <w:t>8</w:t>
            </w:r>
            <w:r w:rsidR="00037FAD">
              <w:rPr>
                <w:noProof/>
                <w:webHidden/>
              </w:rPr>
              <w:fldChar w:fldCharType="end"/>
            </w:r>
          </w:hyperlink>
        </w:p>
        <w:p w14:paraId="65B4FD10" w14:textId="5D7242CF" w:rsidR="00037FAD" w:rsidRDefault="00407D2D">
          <w:pPr>
            <w:pStyle w:val="TDC3"/>
            <w:tabs>
              <w:tab w:val="left" w:pos="880"/>
            </w:tabs>
            <w:rPr>
              <w:rFonts w:asciiTheme="minorHAnsi" w:eastAsiaTheme="minorEastAsia" w:hAnsiTheme="minorHAnsi" w:cstheme="minorBidi"/>
              <w:noProof/>
              <w:szCs w:val="22"/>
              <w:lang w:eastAsia="es-MX"/>
            </w:rPr>
          </w:pPr>
          <w:hyperlink w:anchor="_Toc184814153" w:history="1">
            <w:r w:rsidR="00037FAD" w:rsidRPr="00037FAD">
              <w:rPr>
                <w:rStyle w:val="Hipervnculo"/>
                <w:noProof/>
              </w:rPr>
              <w:t>c)</w:t>
            </w:r>
            <w:r w:rsidR="00037FAD" w:rsidRPr="00037FAD">
              <w:rPr>
                <w:rFonts w:asciiTheme="minorHAnsi" w:eastAsiaTheme="minorEastAsia" w:hAnsiTheme="minorHAnsi" w:cstheme="minorBidi"/>
                <w:noProof/>
                <w:szCs w:val="22"/>
                <w:lang w:eastAsia="es-MX"/>
              </w:rPr>
              <w:tab/>
            </w:r>
            <w:r w:rsidR="00037FAD" w:rsidRPr="00037FAD">
              <w:rPr>
                <w:rStyle w:val="Hipervnculo"/>
                <w:noProof/>
              </w:rPr>
              <w:t>Conclusión</w:t>
            </w:r>
            <w:r w:rsidR="00037FAD">
              <w:rPr>
                <w:noProof/>
                <w:webHidden/>
              </w:rPr>
              <w:tab/>
            </w:r>
            <w:r w:rsidR="00037FAD">
              <w:rPr>
                <w:noProof/>
                <w:webHidden/>
              </w:rPr>
              <w:fldChar w:fldCharType="begin"/>
            </w:r>
            <w:r w:rsidR="00037FAD">
              <w:rPr>
                <w:noProof/>
                <w:webHidden/>
              </w:rPr>
              <w:instrText xml:space="preserve"> PAGEREF _Toc184814153 \h </w:instrText>
            </w:r>
            <w:r w:rsidR="00037FAD">
              <w:rPr>
                <w:noProof/>
                <w:webHidden/>
              </w:rPr>
            </w:r>
            <w:r w:rsidR="00037FAD">
              <w:rPr>
                <w:noProof/>
                <w:webHidden/>
              </w:rPr>
              <w:fldChar w:fldCharType="separate"/>
            </w:r>
            <w:r w:rsidR="00F5173F">
              <w:rPr>
                <w:noProof/>
                <w:webHidden/>
              </w:rPr>
              <w:t>17</w:t>
            </w:r>
            <w:r w:rsidR="00037FAD">
              <w:rPr>
                <w:noProof/>
                <w:webHidden/>
              </w:rPr>
              <w:fldChar w:fldCharType="end"/>
            </w:r>
          </w:hyperlink>
        </w:p>
        <w:p w14:paraId="6B5D2EDE" w14:textId="0A6993DE" w:rsidR="00037FAD" w:rsidRDefault="00407D2D">
          <w:pPr>
            <w:pStyle w:val="TDC1"/>
            <w:tabs>
              <w:tab w:val="right" w:leader="dot" w:pos="9034"/>
            </w:tabs>
            <w:rPr>
              <w:rFonts w:asciiTheme="minorHAnsi" w:eastAsiaTheme="minorEastAsia" w:hAnsiTheme="minorHAnsi" w:cstheme="minorBidi"/>
              <w:noProof/>
              <w:szCs w:val="22"/>
              <w:lang w:eastAsia="es-MX"/>
            </w:rPr>
          </w:pPr>
          <w:hyperlink w:anchor="_Toc184814154" w:history="1">
            <w:r w:rsidR="00037FAD" w:rsidRPr="005C267D">
              <w:rPr>
                <w:rStyle w:val="Hipervnculo"/>
                <w:b/>
                <w:noProof/>
              </w:rPr>
              <w:t>RESUELVE</w:t>
            </w:r>
            <w:r w:rsidR="00037FAD">
              <w:rPr>
                <w:noProof/>
                <w:webHidden/>
              </w:rPr>
              <w:tab/>
            </w:r>
            <w:r w:rsidR="00037FAD">
              <w:rPr>
                <w:noProof/>
                <w:webHidden/>
              </w:rPr>
              <w:fldChar w:fldCharType="begin"/>
            </w:r>
            <w:r w:rsidR="00037FAD">
              <w:rPr>
                <w:noProof/>
                <w:webHidden/>
              </w:rPr>
              <w:instrText xml:space="preserve"> PAGEREF _Toc184814154 \h </w:instrText>
            </w:r>
            <w:r w:rsidR="00037FAD">
              <w:rPr>
                <w:noProof/>
                <w:webHidden/>
              </w:rPr>
            </w:r>
            <w:r w:rsidR="00037FAD">
              <w:rPr>
                <w:noProof/>
                <w:webHidden/>
              </w:rPr>
              <w:fldChar w:fldCharType="separate"/>
            </w:r>
            <w:r w:rsidR="00F5173F">
              <w:rPr>
                <w:noProof/>
                <w:webHidden/>
              </w:rPr>
              <w:t>17</w:t>
            </w:r>
            <w:r w:rsidR="00037FAD">
              <w:rPr>
                <w:noProof/>
                <w:webHidden/>
              </w:rPr>
              <w:fldChar w:fldCharType="end"/>
            </w:r>
          </w:hyperlink>
        </w:p>
        <w:p w14:paraId="0C82FD7A" w14:textId="1A9D686D" w:rsidR="009B2945" w:rsidRPr="00037FAD" w:rsidRDefault="00AE3DA7" w:rsidP="00037FAD">
          <w:pPr>
            <w:spacing w:line="240" w:lineRule="auto"/>
            <w:rPr>
              <w:b/>
              <w:bCs/>
              <w:lang w:val="es-ES"/>
            </w:rPr>
          </w:pPr>
          <w:r w:rsidRPr="00037FAD">
            <w:rPr>
              <w:b/>
              <w:bCs/>
              <w:sz w:val="16"/>
              <w:szCs w:val="16"/>
              <w:lang w:val="es-ES"/>
            </w:rPr>
            <w:fldChar w:fldCharType="end"/>
          </w:r>
        </w:p>
      </w:sdtContent>
    </w:sdt>
    <w:p w14:paraId="603A07E2" w14:textId="77777777" w:rsidR="00646436" w:rsidRPr="00037FAD" w:rsidRDefault="00646436" w:rsidP="00037FAD">
      <w:pPr>
        <w:rPr>
          <w:rFonts w:cs="Tahoma"/>
          <w:szCs w:val="22"/>
        </w:rPr>
        <w:sectPr w:rsidR="00646436" w:rsidRPr="00037FA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7D87836" w:rsidR="00775BFC" w:rsidRPr="00037FAD" w:rsidRDefault="00775BFC" w:rsidP="00037FAD">
      <w:pPr>
        <w:rPr>
          <w:b/>
        </w:rPr>
      </w:pPr>
      <w:r w:rsidRPr="00037FAD">
        <w:lastRenderedPageBreak/>
        <w:t xml:space="preserve">Resolución del Pleno del Instituto de Transparencia, Acceso a la Información Pública y Protección de Datos Personales del Estado de México y Municipios, con domicilio en Metepec, Estado de México, de </w:t>
      </w:r>
      <w:r w:rsidR="003E5FBD" w:rsidRPr="00037FAD">
        <w:rPr>
          <w:b/>
        </w:rPr>
        <w:t>once</w:t>
      </w:r>
      <w:r w:rsidRPr="00037FAD">
        <w:rPr>
          <w:b/>
        </w:rPr>
        <w:t xml:space="preserve"> de </w:t>
      </w:r>
      <w:r w:rsidR="00ED45D2" w:rsidRPr="00037FAD">
        <w:rPr>
          <w:b/>
        </w:rPr>
        <w:t>diciembre</w:t>
      </w:r>
      <w:r w:rsidRPr="00037FAD">
        <w:rPr>
          <w:b/>
        </w:rPr>
        <w:t xml:space="preserve"> de dos mil </w:t>
      </w:r>
      <w:r w:rsidR="0027191C" w:rsidRPr="00037FAD">
        <w:rPr>
          <w:b/>
        </w:rPr>
        <w:t>veinticuatro</w:t>
      </w:r>
      <w:r w:rsidRPr="00037FAD">
        <w:rPr>
          <w:b/>
        </w:rPr>
        <w:t>.</w:t>
      </w:r>
    </w:p>
    <w:p w14:paraId="0AF3AAC4" w14:textId="77777777" w:rsidR="00775BFC" w:rsidRPr="00037FAD" w:rsidRDefault="00775BFC" w:rsidP="00037FAD">
      <w:pPr>
        <w:rPr>
          <w:b/>
        </w:rPr>
      </w:pPr>
    </w:p>
    <w:p w14:paraId="40EAE038" w14:textId="5D1E3D02" w:rsidR="00775BFC" w:rsidRPr="00037FAD" w:rsidRDefault="00775BFC" w:rsidP="00037FAD">
      <w:r w:rsidRPr="00037FAD">
        <w:rPr>
          <w:b/>
        </w:rPr>
        <w:t xml:space="preserve">VISTO </w:t>
      </w:r>
      <w:r w:rsidRPr="00037FAD">
        <w:t xml:space="preserve">el expediente formado con motivo del Recurso de Revisión </w:t>
      </w:r>
      <w:r w:rsidR="0027191C" w:rsidRPr="00037FAD">
        <w:rPr>
          <w:rFonts w:eastAsia="Calibri"/>
          <w:b/>
          <w:lang w:eastAsia="en-US"/>
        </w:rPr>
        <w:t>0</w:t>
      </w:r>
      <w:r w:rsidR="00ED45D2" w:rsidRPr="00037FAD">
        <w:rPr>
          <w:rFonts w:eastAsia="Calibri"/>
          <w:b/>
          <w:lang w:eastAsia="en-US"/>
        </w:rPr>
        <w:t>7202</w:t>
      </w:r>
      <w:r w:rsidRPr="00037FAD">
        <w:rPr>
          <w:rFonts w:eastAsia="Calibri"/>
          <w:b/>
          <w:lang w:eastAsia="en-US"/>
        </w:rPr>
        <w:t>/INFOEM/IP/RR/</w:t>
      </w:r>
      <w:r w:rsidR="0027191C" w:rsidRPr="00037FAD">
        <w:rPr>
          <w:rFonts w:eastAsia="Calibri"/>
          <w:b/>
          <w:lang w:eastAsia="en-US"/>
        </w:rPr>
        <w:t>2024</w:t>
      </w:r>
      <w:r w:rsidRPr="00037FAD">
        <w:rPr>
          <w:rFonts w:eastAsia="Calibri"/>
          <w:lang w:eastAsia="en-US"/>
        </w:rPr>
        <w:t xml:space="preserve"> </w:t>
      </w:r>
      <w:r w:rsidRPr="00037FAD">
        <w:t xml:space="preserve">interpuesto por </w:t>
      </w:r>
      <w:bookmarkStart w:id="3" w:name="_GoBack"/>
      <w:r w:rsidR="00C26811">
        <w:rPr>
          <w:b/>
          <w:bCs/>
        </w:rPr>
        <w:t>XXXXXXX XXX XXXXXXXXX</w:t>
      </w:r>
      <w:bookmarkEnd w:id="3"/>
      <w:r w:rsidRPr="00037FAD">
        <w:t xml:space="preserve">, a quien en lo subsecuente se le denominará </w:t>
      </w:r>
      <w:r w:rsidRPr="00037FAD">
        <w:rPr>
          <w:b/>
          <w:bCs/>
        </w:rPr>
        <w:t>LA PARTE RECURRENTE</w:t>
      </w:r>
      <w:r w:rsidRPr="00037FAD">
        <w:t xml:space="preserve">, en contra de la </w:t>
      </w:r>
      <w:r w:rsidR="00B721F4" w:rsidRPr="00037FAD">
        <w:t xml:space="preserve">falta </w:t>
      </w:r>
      <w:r w:rsidRPr="00037FAD">
        <w:t xml:space="preserve">respuesta </w:t>
      </w:r>
      <w:r w:rsidR="00B721F4" w:rsidRPr="00037FAD">
        <w:t>del</w:t>
      </w:r>
      <w:r w:rsidRPr="00037FAD">
        <w:t xml:space="preserve"> </w:t>
      </w:r>
      <w:r w:rsidR="00ED45D2" w:rsidRPr="00037FAD">
        <w:rPr>
          <w:b/>
          <w:bCs/>
        </w:rPr>
        <w:t>Ayuntamiento de Ocoyoacac</w:t>
      </w:r>
      <w:r w:rsidRPr="00037FAD">
        <w:t xml:space="preserve">, en adelante </w:t>
      </w:r>
      <w:r w:rsidRPr="00037FAD">
        <w:rPr>
          <w:b/>
          <w:bCs/>
        </w:rPr>
        <w:t>EL SUJETO OBLIGADO</w:t>
      </w:r>
      <w:r w:rsidRPr="00037FAD">
        <w:rPr>
          <w:rFonts w:eastAsia="Calibri"/>
          <w:lang w:eastAsia="en-US"/>
        </w:rPr>
        <w:t xml:space="preserve">, </w:t>
      </w:r>
      <w:r w:rsidRPr="00037FAD">
        <w:t>se emite la presente Resolución con base en los Antecedentes y Considerandos que se exponen a continuación:</w:t>
      </w:r>
    </w:p>
    <w:p w14:paraId="2116968C" w14:textId="77777777" w:rsidR="00775BFC" w:rsidRPr="00037FAD" w:rsidRDefault="00775BFC" w:rsidP="00037FAD">
      <w:pPr>
        <w:pStyle w:val="Puesto"/>
      </w:pPr>
    </w:p>
    <w:p w14:paraId="5A444FB6" w14:textId="639D3567" w:rsidR="00664420" w:rsidRPr="00037FAD" w:rsidRDefault="00664420" w:rsidP="00037FAD">
      <w:pPr>
        <w:pStyle w:val="Ttulo1"/>
      </w:pPr>
      <w:bookmarkStart w:id="4" w:name="_Toc184814132"/>
      <w:r w:rsidRPr="00037FAD">
        <w:t>ANTECEDENTES</w:t>
      </w:r>
      <w:bookmarkEnd w:id="4"/>
    </w:p>
    <w:p w14:paraId="5CB5034E" w14:textId="77777777" w:rsidR="00AC2DB8" w:rsidRPr="00037FAD" w:rsidRDefault="00AC2DB8" w:rsidP="00037FAD">
      <w:pPr>
        <w:pStyle w:val="Puesto"/>
      </w:pPr>
    </w:p>
    <w:p w14:paraId="09B2D38F" w14:textId="6E49D146" w:rsidR="00664420" w:rsidRPr="00037FAD" w:rsidRDefault="00E37A3F" w:rsidP="00037FAD">
      <w:pPr>
        <w:pStyle w:val="Ttulo2"/>
      </w:pPr>
      <w:bookmarkStart w:id="5" w:name="_Toc184814133"/>
      <w:r w:rsidRPr="00037FAD">
        <w:t>DE LA SOLICITUD DE INFORMACIÓN</w:t>
      </w:r>
      <w:bookmarkEnd w:id="5"/>
    </w:p>
    <w:p w14:paraId="7B7535DF" w14:textId="77777777" w:rsidR="00E37A3F" w:rsidRPr="00037FAD" w:rsidRDefault="00E37A3F" w:rsidP="00037FAD">
      <w:pPr>
        <w:pStyle w:val="Puesto"/>
      </w:pPr>
    </w:p>
    <w:p w14:paraId="2C6AD1A5" w14:textId="0405B3CD" w:rsidR="00664420" w:rsidRPr="00037FAD" w:rsidRDefault="00E37A3F" w:rsidP="00037FAD">
      <w:pPr>
        <w:pStyle w:val="Ttulo3"/>
      </w:pPr>
      <w:bookmarkStart w:id="6" w:name="_Toc184814134"/>
      <w:r w:rsidRPr="00037FAD">
        <w:t xml:space="preserve">a) </w:t>
      </w:r>
      <w:r w:rsidR="006B10B0" w:rsidRPr="00037FAD">
        <w:t>S</w:t>
      </w:r>
      <w:r w:rsidR="00664420" w:rsidRPr="00037FAD">
        <w:t xml:space="preserve">olicitud de </w:t>
      </w:r>
      <w:r w:rsidR="006B10B0" w:rsidRPr="00037FAD">
        <w:t>i</w:t>
      </w:r>
      <w:r w:rsidR="00664420" w:rsidRPr="00037FAD">
        <w:t>nformación</w:t>
      </w:r>
      <w:bookmarkEnd w:id="6"/>
    </w:p>
    <w:p w14:paraId="06DCD29D" w14:textId="072D668A" w:rsidR="009A2D78" w:rsidRPr="00037FAD" w:rsidRDefault="006B10B0" w:rsidP="00037FAD">
      <w:pPr>
        <w:pStyle w:val="Prrafodelista"/>
        <w:tabs>
          <w:tab w:val="left" w:pos="0"/>
        </w:tabs>
        <w:ind w:left="0"/>
        <w:contextualSpacing w:val="0"/>
        <w:rPr>
          <w:rFonts w:cs="Tahoma"/>
        </w:rPr>
      </w:pPr>
      <w:r w:rsidRPr="00037FAD">
        <w:rPr>
          <w:rFonts w:cs="Tahoma"/>
        </w:rPr>
        <w:t>El</w:t>
      </w:r>
      <w:r w:rsidR="00664420" w:rsidRPr="00037FAD">
        <w:rPr>
          <w:rFonts w:cs="Tahoma"/>
        </w:rPr>
        <w:t xml:space="preserve"> </w:t>
      </w:r>
      <w:r w:rsidR="00B721F4" w:rsidRPr="00037FAD">
        <w:rPr>
          <w:rFonts w:cs="Tahoma"/>
          <w:b/>
          <w:bCs/>
        </w:rPr>
        <w:t>veintidós</w:t>
      </w:r>
      <w:r w:rsidR="00664420" w:rsidRPr="00037FAD">
        <w:rPr>
          <w:rFonts w:cs="Tahoma"/>
          <w:b/>
          <w:bCs/>
        </w:rPr>
        <w:t xml:space="preserve"> de </w:t>
      </w:r>
      <w:r w:rsidR="00B721F4" w:rsidRPr="00037FAD">
        <w:rPr>
          <w:rFonts w:cs="Tahoma"/>
          <w:b/>
          <w:bCs/>
        </w:rPr>
        <w:t>octubre</w:t>
      </w:r>
      <w:r w:rsidR="00664420" w:rsidRPr="00037FAD">
        <w:rPr>
          <w:rFonts w:cs="Tahoma"/>
          <w:b/>
          <w:bCs/>
        </w:rPr>
        <w:t xml:space="preserve"> de dos mil </w:t>
      </w:r>
      <w:r w:rsidR="0027191C" w:rsidRPr="00037FAD">
        <w:rPr>
          <w:rFonts w:cs="Tahoma"/>
          <w:b/>
          <w:bCs/>
        </w:rPr>
        <w:t>veinticuatro</w:t>
      </w:r>
      <w:r w:rsidR="00664420" w:rsidRPr="00037FAD">
        <w:rPr>
          <w:rFonts w:cs="Tahoma"/>
        </w:rPr>
        <w:t xml:space="preserve">, </w:t>
      </w:r>
      <w:r w:rsidRPr="00037FAD">
        <w:rPr>
          <w:b/>
          <w:bCs/>
        </w:rPr>
        <w:t>LA PARTE RECURRENTE</w:t>
      </w:r>
      <w:r w:rsidR="00664420" w:rsidRPr="00037FAD">
        <w:rPr>
          <w:rFonts w:cs="Tahoma"/>
        </w:rPr>
        <w:t xml:space="preserve"> presentó una solicitud de acceso a la información pública </w:t>
      </w:r>
      <w:r w:rsidR="001F3515" w:rsidRPr="00037FAD">
        <w:rPr>
          <w:rFonts w:cs="Tahoma"/>
        </w:rPr>
        <w:t xml:space="preserve">ante el </w:t>
      </w:r>
      <w:r w:rsidR="001F3515" w:rsidRPr="00037FAD">
        <w:rPr>
          <w:rFonts w:cs="Tahoma"/>
          <w:b/>
          <w:bCs/>
        </w:rPr>
        <w:t>SUJETO OBLIGADO</w:t>
      </w:r>
      <w:r w:rsidR="001F3515" w:rsidRPr="00037FAD">
        <w:rPr>
          <w:rFonts w:cs="Tahoma"/>
        </w:rPr>
        <w:t xml:space="preserve">, </w:t>
      </w:r>
      <w:r w:rsidR="00664420" w:rsidRPr="00037FAD">
        <w:rPr>
          <w:rFonts w:cs="Tahoma"/>
        </w:rPr>
        <w:t>a través del Sistema de Acceso a la Información Mexiquense</w:t>
      </w:r>
      <w:r w:rsidRPr="00037FAD">
        <w:rPr>
          <w:rFonts w:cs="Tahoma"/>
        </w:rPr>
        <w:t xml:space="preserve"> </w:t>
      </w:r>
      <w:r w:rsidR="009A2D78" w:rsidRPr="00037FAD">
        <w:rPr>
          <w:rFonts w:cs="Tahoma"/>
        </w:rPr>
        <w:t>(</w:t>
      </w:r>
      <w:r w:rsidRPr="00037FAD">
        <w:rPr>
          <w:rFonts w:cs="Tahoma"/>
        </w:rPr>
        <w:t>SAIMEX</w:t>
      </w:r>
      <w:r w:rsidR="009A2D78" w:rsidRPr="00037FAD">
        <w:rPr>
          <w:rFonts w:cs="Tahoma"/>
        </w:rPr>
        <w:t>). Dicha solicitud quedó</w:t>
      </w:r>
      <w:r w:rsidRPr="00037FAD">
        <w:rPr>
          <w:rFonts w:cs="Tahoma"/>
        </w:rPr>
        <w:t xml:space="preserve"> registrada c</w:t>
      </w:r>
      <w:r w:rsidR="00664420" w:rsidRPr="00037FAD">
        <w:rPr>
          <w:rFonts w:cs="Tahoma"/>
        </w:rPr>
        <w:t>on el número de folio</w:t>
      </w:r>
      <w:r w:rsidR="00664420" w:rsidRPr="00037FAD">
        <w:rPr>
          <w:rFonts w:cs="Tahoma"/>
          <w:b/>
          <w:bCs/>
        </w:rPr>
        <w:t xml:space="preserve"> </w:t>
      </w:r>
      <w:r w:rsidR="00B721F4" w:rsidRPr="00037FAD">
        <w:rPr>
          <w:rFonts w:cs="Tahoma"/>
          <w:b/>
          <w:bCs/>
        </w:rPr>
        <w:t>00148/OCOYOAC/IP/2024</w:t>
      </w:r>
      <w:r w:rsidR="0027191C" w:rsidRPr="00037FAD">
        <w:rPr>
          <w:rFonts w:cs="Tahoma"/>
          <w:b/>
          <w:bCs/>
        </w:rPr>
        <w:t xml:space="preserve"> </w:t>
      </w:r>
      <w:r w:rsidR="002A3601" w:rsidRPr="00037FAD">
        <w:rPr>
          <w:rFonts w:cs="Tahoma"/>
        </w:rPr>
        <w:t xml:space="preserve">y en ella </w:t>
      </w:r>
      <w:r w:rsidR="009A2D78" w:rsidRPr="00037FAD">
        <w:rPr>
          <w:rFonts w:cs="Tahoma"/>
        </w:rPr>
        <w:t>se requirió la siguiente información:</w:t>
      </w:r>
    </w:p>
    <w:p w14:paraId="0459D6AC" w14:textId="77777777" w:rsidR="00664420" w:rsidRPr="00037FAD" w:rsidRDefault="00664420" w:rsidP="00037FAD">
      <w:pPr>
        <w:pStyle w:val="Puesto"/>
      </w:pPr>
    </w:p>
    <w:p w14:paraId="64B27DE3" w14:textId="5FB56140" w:rsidR="00664420" w:rsidRPr="00037FAD" w:rsidRDefault="0027191C" w:rsidP="00037FAD">
      <w:pPr>
        <w:tabs>
          <w:tab w:val="left" w:pos="4667"/>
        </w:tabs>
        <w:spacing w:line="240" w:lineRule="auto"/>
        <w:ind w:left="567" w:right="567"/>
        <w:rPr>
          <w:rFonts w:eastAsiaTheme="majorEastAsia" w:cstheme="majorBidi"/>
          <w:i/>
          <w:kern w:val="28"/>
          <w:szCs w:val="56"/>
        </w:rPr>
      </w:pPr>
      <w:r w:rsidRPr="00037FAD">
        <w:rPr>
          <w:rFonts w:eastAsiaTheme="majorEastAsia" w:cstheme="majorBidi"/>
          <w:i/>
          <w:kern w:val="28"/>
          <w:szCs w:val="56"/>
        </w:rPr>
        <w:t>“</w:t>
      </w:r>
      <w:r w:rsidR="00B721F4" w:rsidRPr="00037FAD">
        <w:rPr>
          <w:rFonts w:eastAsiaTheme="majorEastAsia" w:cstheme="majorBidi"/>
          <w:i/>
          <w:kern w:val="28"/>
          <w:szCs w:val="56"/>
        </w:rPr>
        <w:t xml:space="preserve">Se me informe cuántos servidores públicos tienen su domicilio en el Municipio de Zinacantepec, o laboraron en el municipio de Zinacantepec, actualmente laboran en ese municipio de Ocoyoacac, que incluya los puestos funcionales de cada uno. No se requiere informen nombres ni domicilios, por lo que se deberán acotar a la información que no vulnera datos personales. Así también </w:t>
      </w:r>
      <w:bookmarkStart w:id="7" w:name="_Hlk184285810"/>
      <w:r w:rsidR="00B721F4" w:rsidRPr="00037FAD">
        <w:rPr>
          <w:rFonts w:eastAsiaTheme="majorEastAsia" w:cstheme="majorBidi"/>
          <w:i/>
          <w:kern w:val="28"/>
          <w:szCs w:val="56"/>
        </w:rPr>
        <w:t>el nombre del servidor público que solicitó su alta en nómina</w:t>
      </w:r>
      <w:bookmarkEnd w:id="7"/>
      <w:r w:rsidR="00B721F4" w:rsidRPr="00037FAD">
        <w:rPr>
          <w:rFonts w:eastAsiaTheme="majorEastAsia" w:cstheme="majorBidi"/>
          <w:i/>
          <w:kern w:val="28"/>
          <w:szCs w:val="56"/>
        </w:rPr>
        <w:t>.</w:t>
      </w:r>
      <w:r w:rsidRPr="00037FAD">
        <w:rPr>
          <w:rFonts w:eastAsiaTheme="majorEastAsia" w:cstheme="majorBidi"/>
          <w:i/>
          <w:kern w:val="28"/>
          <w:szCs w:val="56"/>
        </w:rPr>
        <w:t>” (sic)</w:t>
      </w:r>
    </w:p>
    <w:p w14:paraId="21694070" w14:textId="77777777" w:rsidR="00B721F4" w:rsidRPr="00037FAD" w:rsidRDefault="00B721F4" w:rsidP="00037FAD">
      <w:pPr>
        <w:tabs>
          <w:tab w:val="left" w:pos="4667"/>
        </w:tabs>
        <w:ind w:left="567" w:right="567"/>
        <w:rPr>
          <w:rFonts w:cs="Tahoma"/>
          <w:bCs/>
          <w:i/>
          <w:szCs w:val="22"/>
        </w:rPr>
      </w:pPr>
    </w:p>
    <w:p w14:paraId="0BD6321D" w14:textId="56D9ABBC" w:rsidR="00664420" w:rsidRPr="00037FAD" w:rsidRDefault="009A2D78" w:rsidP="00037FAD">
      <w:pPr>
        <w:tabs>
          <w:tab w:val="left" w:pos="4667"/>
        </w:tabs>
        <w:ind w:left="567" w:right="567"/>
        <w:rPr>
          <w:rFonts w:cs="Tahoma"/>
          <w:bCs/>
          <w:szCs w:val="22"/>
        </w:rPr>
      </w:pPr>
      <w:r w:rsidRPr="00037FAD">
        <w:rPr>
          <w:rFonts w:cs="Tahoma"/>
          <w:b/>
          <w:bCs/>
          <w:szCs w:val="22"/>
        </w:rPr>
        <w:t>Modalidad de entrega</w:t>
      </w:r>
      <w:r w:rsidRPr="00037FAD">
        <w:rPr>
          <w:rFonts w:cs="Tahoma"/>
          <w:bCs/>
          <w:szCs w:val="22"/>
        </w:rPr>
        <w:t>: a</w:t>
      </w:r>
      <w:r w:rsidR="00664420" w:rsidRPr="00037FAD">
        <w:rPr>
          <w:rFonts w:cs="Tahoma"/>
          <w:bCs/>
          <w:i/>
          <w:szCs w:val="22"/>
        </w:rPr>
        <w:t xml:space="preserve"> través del </w:t>
      </w:r>
      <w:r w:rsidR="00664420" w:rsidRPr="00037FAD">
        <w:rPr>
          <w:rFonts w:cs="Tahoma"/>
          <w:b/>
          <w:bCs/>
          <w:i/>
          <w:szCs w:val="22"/>
        </w:rPr>
        <w:t>SAIMEX</w:t>
      </w:r>
      <w:r w:rsidRPr="00037FAD">
        <w:rPr>
          <w:rFonts w:cs="Tahoma"/>
          <w:bCs/>
          <w:i/>
          <w:szCs w:val="22"/>
        </w:rPr>
        <w:t>.</w:t>
      </w:r>
    </w:p>
    <w:p w14:paraId="334D2860" w14:textId="77777777" w:rsidR="00664420" w:rsidRPr="00037FAD" w:rsidRDefault="00664420" w:rsidP="00037FAD">
      <w:pPr>
        <w:autoSpaceDE w:val="0"/>
        <w:autoSpaceDN w:val="0"/>
        <w:adjustRightInd w:val="0"/>
        <w:ind w:right="-28"/>
        <w:rPr>
          <w:rFonts w:cs="Tahoma"/>
          <w:bCs/>
          <w:i/>
          <w:szCs w:val="22"/>
        </w:rPr>
      </w:pPr>
    </w:p>
    <w:p w14:paraId="5AC1EE52" w14:textId="34C34E77" w:rsidR="00D036D3" w:rsidRPr="00037FAD" w:rsidRDefault="00E37A3F" w:rsidP="00037FAD">
      <w:pPr>
        <w:pStyle w:val="Ttulo3"/>
      </w:pPr>
      <w:bookmarkStart w:id="8" w:name="_Toc184814135"/>
      <w:r w:rsidRPr="00037FAD">
        <w:lastRenderedPageBreak/>
        <w:t xml:space="preserve">b) </w:t>
      </w:r>
      <w:r w:rsidR="00D036D3" w:rsidRPr="00037FAD">
        <w:t>Turno de la solicitud de información</w:t>
      </w:r>
      <w:bookmarkEnd w:id="8"/>
    </w:p>
    <w:p w14:paraId="7CEE6F8C" w14:textId="38C664CE" w:rsidR="007D1C55" w:rsidRPr="00037FAD" w:rsidRDefault="00D036D3" w:rsidP="00037FAD">
      <w:r w:rsidRPr="00037FAD">
        <w:t xml:space="preserve">En cumplimiento al artículo 162 de la Ley de Transparencia y Acceso a la Información Pública del Estado de México y Municipios, el </w:t>
      </w:r>
      <w:r w:rsidR="00B721F4" w:rsidRPr="00037FAD">
        <w:rPr>
          <w:rFonts w:eastAsia="Palatino Linotype" w:cs="Palatino Linotype"/>
          <w:b/>
        </w:rPr>
        <w:t>veintitrés</w:t>
      </w:r>
      <w:r w:rsidRPr="00037FAD">
        <w:rPr>
          <w:rFonts w:eastAsia="Palatino Linotype" w:cs="Palatino Linotype"/>
          <w:b/>
        </w:rPr>
        <w:t xml:space="preserve"> de</w:t>
      </w:r>
      <w:r w:rsidR="00B721F4" w:rsidRPr="00037FAD">
        <w:rPr>
          <w:rFonts w:eastAsia="Palatino Linotype" w:cs="Palatino Linotype"/>
          <w:b/>
        </w:rPr>
        <w:t xml:space="preserve"> octubre</w:t>
      </w:r>
      <w:r w:rsidRPr="00037FAD">
        <w:rPr>
          <w:rFonts w:eastAsia="Palatino Linotype" w:cs="Palatino Linotype"/>
          <w:b/>
        </w:rPr>
        <w:t xml:space="preserve"> dos mil </w:t>
      </w:r>
      <w:r w:rsidR="00B721F4" w:rsidRPr="00037FAD">
        <w:rPr>
          <w:rFonts w:eastAsia="Palatino Linotype" w:cs="Palatino Linotype"/>
          <w:b/>
        </w:rPr>
        <w:t>veinticuatro</w:t>
      </w:r>
      <w:r w:rsidRPr="00037FAD">
        <w:t xml:space="preserve">, el Titular de la Unidad de Transparencia del </w:t>
      </w:r>
      <w:r w:rsidRPr="00037FAD">
        <w:rPr>
          <w:b/>
        </w:rPr>
        <w:t>SUJETO OBLIGADO</w:t>
      </w:r>
      <w:r w:rsidRPr="00037FAD">
        <w:t xml:space="preserve"> turnó la solicitud de información </w:t>
      </w:r>
      <w:r w:rsidR="007D1C55" w:rsidRPr="00037FAD">
        <w:t xml:space="preserve">a </w:t>
      </w:r>
      <w:r w:rsidR="00B721F4" w:rsidRPr="00037FAD">
        <w:t>al</w:t>
      </w:r>
      <w:r w:rsidR="007D1C55" w:rsidRPr="00037FAD">
        <w:t xml:space="preserve"> </w:t>
      </w:r>
      <w:r w:rsidRPr="00037FAD">
        <w:t>servidor público habilitado que estimó pertinente</w:t>
      </w:r>
      <w:r w:rsidR="007D1C55" w:rsidRPr="00037FAD">
        <w:t>.</w:t>
      </w:r>
    </w:p>
    <w:p w14:paraId="7B667FC9" w14:textId="77777777" w:rsidR="007D1C55" w:rsidRPr="00037FAD" w:rsidRDefault="007D1C55" w:rsidP="00037FAD"/>
    <w:p w14:paraId="5A5DAB9E" w14:textId="77777777" w:rsidR="00E37A3F" w:rsidRPr="00037FAD" w:rsidRDefault="00E37A3F" w:rsidP="00037FAD">
      <w:pPr>
        <w:pStyle w:val="Ttulo2"/>
        <w:jc w:val="left"/>
      </w:pPr>
      <w:bookmarkStart w:id="9" w:name="_Toc184814136"/>
      <w:r w:rsidRPr="00037FAD">
        <w:t>DEL RECURSO DE REVISIÓN</w:t>
      </w:r>
      <w:bookmarkEnd w:id="9"/>
    </w:p>
    <w:p w14:paraId="0B17CD08" w14:textId="77777777" w:rsidR="00664420" w:rsidRPr="00037FAD" w:rsidRDefault="00664420" w:rsidP="00037FAD">
      <w:pPr>
        <w:autoSpaceDE w:val="0"/>
        <w:autoSpaceDN w:val="0"/>
        <w:adjustRightInd w:val="0"/>
        <w:ind w:right="-28"/>
        <w:rPr>
          <w:rFonts w:cs="Tahoma"/>
          <w:bCs/>
          <w:szCs w:val="22"/>
          <w:lang w:val="es-ES"/>
        </w:rPr>
      </w:pPr>
    </w:p>
    <w:p w14:paraId="2B216813" w14:textId="61ADBB2B" w:rsidR="00664420" w:rsidRPr="00037FAD" w:rsidRDefault="006E25BC" w:rsidP="00037FAD">
      <w:pPr>
        <w:pStyle w:val="Ttulo3"/>
      </w:pPr>
      <w:bookmarkStart w:id="10" w:name="_Toc184814137"/>
      <w:r w:rsidRPr="00037FAD">
        <w:rPr>
          <w:szCs w:val="32"/>
        </w:rPr>
        <w:t>a)</w:t>
      </w:r>
      <w:r w:rsidRPr="00037FAD">
        <w:t xml:space="preserve"> </w:t>
      </w:r>
      <w:r w:rsidR="00664420" w:rsidRPr="00037FAD">
        <w:t>Interposición del Recurso de Revisión</w:t>
      </w:r>
      <w:bookmarkEnd w:id="10"/>
    </w:p>
    <w:p w14:paraId="6279C622" w14:textId="79FDC380" w:rsidR="00664420" w:rsidRPr="00037FAD" w:rsidRDefault="00664420" w:rsidP="00037FAD">
      <w:pPr>
        <w:autoSpaceDE w:val="0"/>
        <w:autoSpaceDN w:val="0"/>
        <w:adjustRightInd w:val="0"/>
        <w:ind w:right="-28"/>
        <w:rPr>
          <w:rFonts w:cs="Tahoma"/>
          <w:szCs w:val="22"/>
        </w:rPr>
      </w:pPr>
      <w:r w:rsidRPr="00037FAD">
        <w:rPr>
          <w:rFonts w:cs="Tahoma"/>
          <w:szCs w:val="22"/>
        </w:rPr>
        <w:t xml:space="preserve">El </w:t>
      </w:r>
      <w:r w:rsidR="00B721F4" w:rsidRPr="00037FAD">
        <w:rPr>
          <w:rFonts w:cs="Tahoma"/>
          <w:b/>
          <w:bCs/>
          <w:szCs w:val="22"/>
        </w:rPr>
        <w:t>catorce</w:t>
      </w:r>
      <w:r w:rsidRPr="00037FAD">
        <w:rPr>
          <w:rFonts w:cs="Tahoma"/>
          <w:b/>
          <w:bCs/>
          <w:szCs w:val="22"/>
        </w:rPr>
        <w:t xml:space="preserve"> de </w:t>
      </w:r>
      <w:r w:rsidR="00092EB5" w:rsidRPr="00037FAD">
        <w:rPr>
          <w:rFonts w:cs="Tahoma"/>
          <w:b/>
          <w:bCs/>
          <w:szCs w:val="22"/>
        </w:rPr>
        <w:t>noviembre</w:t>
      </w:r>
      <w:r w:rsidRPr="00037FAD">
        <w:rPr>
          <w:rFonts w:cs="Tahoma"/>
          <w:b/>
          <w:bCs/>
          <w:szCs w:val="22"/>
        </w:rPr>
        <w:t xml:space="preserve"> de dos mil </w:t>
      </w:r>
      <w:r w:rsidR="00092EB5" w:rsidRPr="00037FAD">
        <w:rPr>
          <w:rFonts w:cs="Tahoma"/>
          <w:b/>
          <w:bCs/>
          <w:szCs w:val="22"/>
        </w:rPr>
        <w:t>veinticuatro</w:t>
      </w:r>
      <w:r w:rsidRPr="00037FAD">
        <w:rPr>
          <w:rFonts w:cs="Tahoma"/>
          <w:szCs w:val="22"/>
        </w:rPr>
        <w:t xml:space="preserve"> </w:t>
      </w:r>
      <w:r w:rsidR="00F75D23" w:rsidRPr="00037FAD">
        <w:rPr>
          <w:rFonts w:cs="Tahoma"/>
          <w:b/>
          <w:bCs/>
          <w:szCs w:val="22"/>
        </w:rPr>
        <w:t>LA PARTE RECURRENTE</w:t>
      </w:r>
      <w:r w:rsidR="00F75D23" w:rsidRPr="00037FAD">
        <w:rPr>
          <w:rFonts w:cs="Tahoma"/>
          <w:szCs w:val="22"/>
        </w:rPr>
        <w:t xml:space="preserve"> interpuso el recurso de revisión en contra de la </w:t>
      </w:r>
      <w:r w:rsidR="00092EB5" w:rsidRPr="00037FAD">
        <w:rPr>
          <w:rFonts w:cs="Tahoma"/>
          <w:szCs w:val="22"/>
        </w:rPr>
        <w:t xml:space="preserve">falta de </w:t>
      </w:r>
      <w:r w:rsidR="00F75D23" w:rsidRPr="00037FAD">
        <w:rPr>
          <w:rFonts w:cs="Tahoma"/>
          <w:szCs w:val="22"/>
        </w:rPr>
        <w:t xml:space="preserve">respuesta </w:t>
      </w:r>
      <w:r w:rsidR="00092EB5" w:rsidRPr="00037FAD">
        <w:rPr>
          <w:rFonts w:cs="Tahoma"/>
          <w:szCs w:val="22"/>
        </w:rPr>
        <w:t>d</w:t>
      </w:r>
      <w:r w:rsidR="00F75D23" w:rsidRPr="00037FAD">
        <w:rPr>
          <w:rFonts w:cs="Tahoma"/>
          <w:szCs w:val="22"/>
        </w:rPr>
        <w:t xml:space="preserve">el </w:t>
      </w:r>
      <w:r w:rsidR="00F75D23" w:rsidRPr="00037FAD">
        <w:rPr>
          <w:rFonts w:cs="Tahoma"/>
          <w:b/>
          <w:bCs/>
          <w:szCs w:val="22"/>
        </w:rPr>
        <w:t>SUJETO OBLIGADO</w:t>
      </w:r>
      <w:r w:rsidR="00953430" w:rsidRPr="00037FAD">
        <w:rPr>
          <w:rFonts w:cs="Tahoma"/>
          <w:szCs w:val="22"/>
        </w:rPr>
        <w:t xml:space="preserve">, mismo que fue registrado en el SAIMEX con el número de expediente </w:t>
      </w:r>
      <w:r w:rsidR="00092EB5" w:rsidRPr="00037FAD">
        <w:rPr>
          <w:rFonts w:cs="Tahoma"/>
          <w:b/>
          <w:bCs/>
          <w:szCs w:val="22"/>
        </w:rPr>
        <w:t>07202</w:t>
      </w:r>
      <w:r w:rsidR="00953430" w:rsidRPr="00037FAD">
        <w:rPr>
          <w:rFonts w:cs="Tahoma"/>
          <w:b/>
          <w:bCs/>
          <w:szCs w:val="22"/>
        </w:rPr>
        <w:t>/INFOEM/IP/RR/</w:t>
      </w:r>
      <w:r w:rsidR="00092EB5" w:rsidRPr="00037FAD">
        <w:rPr>
          <w:rFonts w:cs="Tahoma"/>
          <w:b/>
          <w:bCs/>
          <w:szCs w:val="22"/>
        </w:rPr>
        <w:t>2024</w:t>
      </w:r>
      <w:r w:rsidR="00953430" w:rsidRPr="00037FAD">
        <w:rPr>
          <w:rFonts w:cs="Tahoma"/>
          <w:szCs w:val="22"/>
        </w:rPr>
        <w:t>, y en el cual manifiesta lo siguiente</w:t>
      </w:r>
      <w:r w:rsidRPr="00037FAD">
        <w:rPr>
          <w:rFonts w:cs="Tahoma"/>
          <w:szCs w:val="22"/>
        </w:rPr>
        <w:t>:</w:t>
      </w:r>
    </w:p>
    <w:p w14:paraId="74B30008" w14:textId="77777777" w:rsidR="00664420" w:rsidRPr="00037FAD" w:rsidRDefault="00664420" w:rsidP="00037FAD">
      <w:pPr>
        <w:tabs>
          <w:tab w:val="left" w:pos="4667"/>
        </w:tabs>
        <w:ind w:right="539"/>
        <w:rPr>
          <w:rFonts w:cs="Tahoma"/>
          <w:szCs w:val="22"/>
        </w:rPr>
      </w:pPr>
    </w:p>
    <w:p w14:paraId="12153283" w14:textId="77777777" w:rsidR="00664420" w:rsidRPr="00037FAD" w:rsidRDefault="00664420" w:rsidP="00037FAD">
      <w:pPr>
        <w:tabs>
          <w:tab w:val="left" w:pos="4667"/>
        </w:tabs>
        <w:ind w:left="567" w:right="539"/>
        <w:rPr>
          <w:rFonts w:cs="Tahoma"/>
          <w:b/>
          <w:iCs/>
        </w:rPr>
      </w:pPr>
      <w:r w:rsidRPr="00037FAD">
        <w:rPr>
          <w:rFonts w:cs="Tahoma"/>
          <w:b/>
          <w:iCs/>
        </w:rPr>
        <w:t>ACTO IMPUGNADO</w:t>
      </w:r>
      <w:r w:rsidRPr="00037FAD">
        <w:rPr>
          <w:rFonts w:cs="Tahoma"/>
          <w:b/>
          <w:iCs/>
        </w:rPr>
        <w:tab/>
      </w:r>
    </w:p>
    <w:p w14:paraId="523F8BF4" w14:textId="530BB32A" w:rsidR="00664420" w:rsidRPr="00037FAD" w:rsidRDefault="00092EB5" w:rsidP="00037FAD">
      <w:pPr>
        <w:tabs>
          <w:tab w:val="left" w:pos="4667"/>
        </w:tabs>
        <w:spacing w:line="240" w:lineRule="auto"/>
        <w:ind w:left="567" w:right="539"/>
        <w:rPr>
          <w:rFonts w:cs="Tahoma"/>
          <w:bCs/>
          <w:i/>
        </w:rPr>
      </w:pPr>
      <w:r w:rsidRPr="00037FAD">
        <w:rPr>
          <w:rFonts w:cs="Tahoma"/>
          <w:bCs/>
          <w:i/>
        </w:rPr>
        <w:t>La omisión en que incurre el Sujeto Obligado al no dar respuesta a la solicitud de información.</w:t>
      </w:r>
    </w:p>
    <w:p w14:paraId="6AE8EA9A" w14:textId="77777777" w:rsidR="00664420" w:rsidRPr="00037FAD" w:rsidRDefault="00664420" w:rsidP="00037FAD">
      <w:pPr>
        <w:tabs>
          <w:tab w:val="left" w:pos="4667"/>
        </w:tabs>
        <w:ind w:left="567" w:right="539"/>
        <w:rPr>
          <w:rFonts w:cs="Tahoma"/>
          <w:bCs/>
          <w:i/>
        </w:rPr>
      </w:pPr>
    </w:p>
    <w:p w14:paraId="047D036B" w14:textId="77777777" w:rsidR="00664420" w:rsidRPr="00037FAD" w:rsidRDefault="00664420" w:rsidP="00037FAD">
      <w:pPr>
        <w:tabs>
          <w:tab w:val="left" w:pos="4667"/>
        </w:tabs>
        <w:ind w:left="567" w:right="539"/>
        <w:rPr>
          <w:rFonts w:cs="Tahoma"/>
          <w:b/>
          <w:iCs/>
        </w:rPr>
      </w:pPr>
      <w:r w:rsidRPr="00037FAD">
        <w:rPr>
          <w:rFonts w:cs="Tahoma"/>
          <w:b/>
          <w:iCs/>
        </w:rPr>
        <w:t>RAZONES O MOTIVOS DE LA INCONFORMIDAD</w:t>
      </w:r>
      <w:r w:rsidRPr="00037FAD">
        <w:rPr>
          <w:rFonts w:cs="Tahoma"/>
          <w:b/>
          <w:iCs/>
        </w:rPr>
        <w:tab/>
      </w:r>
    </w:p>
    <w:p w14:paraId="1DAE2563" w14:textId="0D97B606" w:rsidR="00953430" w:rsidRPr="00037FAD" w:rsidRDefault="00092EB5" w:rsidP="00037FAD">
      <w:pPr>
        <w:tabs>
          <w:tab w:val="left" w:pos="4667"/>
        </w:tabs>
        <w:spacing w:line="240" w:lineRule="auto"/>
        <w:ind w:left="567" w:right="539"/>
        <w:rPr>
          <w:rFonts w:cs="Tahoma"/>
          <w:bCs/>
          <w:i/>
        </w:rPr>
      </w:pPr>
      <w:r w:rsidRPr="00037FAD">
        <w:rPr>
          <w:rFonts w:cs="Tahoma"/>
          <w:bCs/>
          <w:i/>
        </w:rPr>
        <w:t>El sujeto obligado no se pronunció ni para prorrogar el plazo legal para dar respuesta, por lo que, su omisión constituye una violación a mi derecho constitucional de acceso a la información.</w:t>
      </w:r>
    </w:p>
    <w:p w14:paraId="48FE75EA" w14:textId="77777777" w:rsidR="00664420" w:rsidRPr="00037FAD" w:rsidRDefault="00664420" w:rsidP="00037FAD">
      <w:pPr>
        <w:tabs>
          <w:tab w:val="left" w:pos="4667"/>
        </w:tabs>
        <w:ind w:right="567"/>
        <w:rPr>
          <w:rFonts w:cs="Tahoma"/>
          <w:b/>
          <w:bCs/>
        </w:rPr>
      </w:pPr>
    </w:p>
    <w:p w14:paraId="6804DEF1" w14:textId="3C4F6CB5" w:rsidR="00664420" w:rsidRPr="00037FAD" w:rsidRDefault="006E25BC" w:rsidP="00037FAD">
      <w:pPr>
        <w:pStyle w:val="Ttulo3"/>
      </w:pPr>
      <w:bookmarkStart w:id="11" w:name="_Toc184814138"/>
      <w:r w:rsidRPr="00037FAD">
        <w:t>b</w:t>
      </w:r>
      <w:r w:rsidR="00664420" w:rsidRPr="00037FAD">
        <w:t>) Turno del Recurso de Revisión</w:t>
      </w:r>
      <w:bookmarkEnd w:id="11"/>
    </w:p>
    <w:p w14:paraId="1173671B" w14:textId="535A17A4" w:rsidR="00C72DAA" w:rsidRPr="00037FAD" w:rsidRDefault="00C72DAA" w:rsidP="00037FAD">
      <w:r w:rsidRPr="00037FAD">
        <w:t>Con fundamento en el artículo 185, fracción I de la Ley de Transparencia y Acceso a la Información Pública del Estado de México y Municipios, el</w:t>
      </w:r>
      <w:r w:rsidR="00092EB5" w:rsidRPr="00037FAD">
        <w:rPr>
          <w:b/>
          <w:bCs/>
        </w:rPr>
        <w:t xml:space="preserve"> catorce </w:t>
      </w:r>
      <w:r w:rsidRPr="00037FAD">
        <w:rPr>
          <w:rFonts w:eastAsia="Palatino Linotype" w:cs="Palatino Linotype"/>
          <w:b/>
        </w:rPr>
        <w:t xml:space="preserve">de </w:t>
      </w:r>
      <w:r w:rsidR="00092EB5" w:rsidRPr="00037FAD">
        <w:rPr>
          <w:rFonts w:eastAsia="Palatino Linotype" w:cs="Palatino Linotype"/>
          <w:b/>
        </w:rPr>
        <w:t>noviembre</w:t>
      </w:r>
      <w:r w:rsidRPr="00037FAD">
        <w:rPr>
          <w:rFonts w:eastAsia="Palatino Linotype" w:cs="Palatino Linotype"/>
          <w:b/>
        </w:rPr>
        <w:t xml:space="preserve"> de dos mil </w:t>
      </w:r>
      <w:r w:rsidR="00092EB5" w:rsidRPr="00037FAD">
        <w:rPr>
          <w:rFonts w:eastAsia="Palatino Linotype" w:cs="Palatino Linotype"/>
          <w:b/>
        </w:rPr>
        <w:lastRenderedPageBreak/>
        <w:t>veinticuatro</w:t>
      </w:r>
      <w:r w:rsidRPr="00037FAD">
        <w:t xml:space="preserve"> se turnó el recurso de revisión a través del</w:t>
      </w:r>
      <w:r w:rsidRPr="00037FAD">
        <w:rPr>
          <w:rFonts w:eastAsia="Arial Unicode MS"/>
        </w:rPr>
        <w:t xml:space="preserve"> </w:t>
      </w:r>
      <w:r w:rsidRPr="00037FAD">
        <w:rPr>
          <w:rFonts w:eastAsia="Arial Unicode MS"/>
          <w:bCs/>
        </w:rPr>
        <w:t>SAIMEX</w:t>
      </w:r>
      <w:r w:rsidRPr="00037FAD">
        <w:t xml:space="preserve"> a la </w:t>
      </w:r>
      <w:r w:rsidRPr="00037FAD">
        <w:rPr>
          <w:b/>
        </w:rPr>
        <w:t>Comisionada Sharon Cristina Morales Martínez</w:t>
      </w:r>
      <w:r w:rsidRPr="00037FAD">
        <w:rPr>
          <w:bCs/>
        </w:rPr>
        <w:t xml:space="preserve">, </w:t>
      </w:r>
      <w:r w:rsidRPr="00037FAD">
        <w:t xml:space="preserve">a efecto de decretar su admisión o desechamiento. </w:t>
      </w:r>
    </w:p>
    <w:p w14:paraId="18F305CB" w14:textId="77777777" w:rsidR="00664420" w:rsidRPr="00037FAD" w:rsidRDefault="00664420" w:rsidP="00037FAD">
      <w:pPr>
        <w:rPr>
          <w:rFonts w:eastAsia="Batang" w:cs="Tahoma"/>
          <w:bCs/>
          <w:szCs w:val="22"/>
        </w:rPr>
      </w:pPr>
    </w:p>
    <w:p w14:paraId="3E31EC2D" w14:textId="295256A1" w:rsidR="00664420" w:rsidRPr="00037FAD" w:rsidRDefault="006E25BC" w:rsidP="00037FAD">
      <w:pPr>
        <w:pStyle w:val="Ttulo3"/>
      </w:pPr>
      <w:bookmarkStart w:id="12" w:name="_Toc184814139"/>
      <w:r w:rsidRPr="00037FAD">
        <w:t>c</w:t>
      </w:r>
      <w:r w:rsidR="00664420" w:rsidRPr="00037FAD">
        <w:t>) Admisión del Recurso de Revisión</w:t>
      </w:r>
      <w:bookmarkEnd w:id="12"/>
    </w:p>
    <w:p w14:paraId="240447D5" w14:textId="1C9E5F72" w:rsidR="000E09C4" w:rsidRPr="00037FAD" w:rsidRDefault="000E09C4" w:rsidP="00037FAD">
      <w:pPr>
        <w:rPr>
          <w:rFonts w:cs="Arial"/>
        </w:rPr>
      </w:pPr>
      <w:r w:rsidRPr="00037FAD">
        <w:rPr>
          <w:rFonts w:cs="Arial"/>
        </w:rPr>
        <w:t xml:space="preserve">El </w:t>
      </w:r>
      <w:r w:rsidR="00092EB5" w:rsidRPr="00037FAD">
        <w:rPr>
          <w:rFonts w:eastAsia="Palatino Linotype" w:cs="Palatino Linotype"/>
          <w:b/>
        </w:rPr>
        <w:t>veinte</w:t>
      </w:r>
      <w:r w:rsidRPr="00037FAD">
        <w:rPr>
          <w:rFonts w:eastAsia="Palatino Linotype" w:cs="Palatino Linotype"/>
          <w:b/>
        </w:rPr>
        <w:t xml:space="preserve"> de </w:t>
      </w:r>
      <w:r w:rsidR="00092EB5" w:rsidRPr="00037FAD">
        <w:rPr>
          <w:rFonts w:eastAsia="Palatino Linotype" w:cs="Palatino Linotype"/>
          <w:b/>
        </w:rPr>
        <w:t>noviembre</w:t>
      </w:r>
      <w:r w:rsidRPr="00037FAD">
        <w:rPr>
          <w:rFonts w:eastAsia="Palatino Linotype" w:cs="Palatino Linotype"/>
          <w:b/>
        </w:rPr>
        <w:t xml:space="preserve"> de dos mil </w:t>
      </w:r>
      <w:r w:rsidR="00092EB5" w:rsidRPr="00037FAD">
        <w:rPr>
          <w:rFonts w:eastAsia="Palatino Linotype" w:cs="Palatino Linotype"/>
          <w:b/>
        </w:rPr>
        <w:t>veinticuatro</w:t>
      </w:r>
      <w:r w:rsidRPr="00037FAD">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37FAD">
        <w:rPr>
          <w:rFonts w:cs="Arial"/>
        </w:rPr>
        <w:t>, fracción II</w:t>
      </w:r>
      <w:r w:rsidRPr="00037FAD">
        <w:rPr>
          <w:rFonts w:cs="Arial"/>
        </w:rPr>
        <w:t xml:space="preserve"> de la Ley de Transparencia y Acceso a la Información Pública del Estado de México y Municipios.</w:t>
      </w:r>
    </w:p>
    <w:p w14:paraId="34EC3F86" w14:textId="77777777" w:rsidR="00D2790D" w:rsidRPr="00037FAD" w:rsidRDefault="00D2790D" w:rsidP="00037FAD">
      <w:pPr>
        <w:rPr>
          <w:rFonts w:cs="Arial"/>
        </w:rPr>
      </w:pPr>
    </w:p>
    <w:p w14:paraId="3B820F58" w14:textId="562C858F" w:rsidR="00865CF4" w:rsidRPr="00037FAD" w:rsidRDefault="006E25BC" w:rsidP="00037FAD">
      <w:pPr>
        <w:pStyle w:val="Ttulo3"/>
      </w:pPr>
      <w:bookmarkStart w:id="13" w:name="_Toc184814140"/>
      <w:r w:rsidRPr="00037FAD">
        <w:t>d</w:t>
      </w:r>
      <w:r w:rsidR="00D2790D" w:rsidRPr="00037FAD">
        <w:t xml:space="preserve">) </w:t>
      </w:r>
      <w:r w:rsidR="00865CF4" w:rsidRPr="00037FAD">
        <w:t>Informe Justificado del Sujeto Obligado</w:t>
      </w:r>
      <w:bookmarkEnd w:id="13"/>
    </w:p>
    <w:p w14:paraId="195F0D72" w14:textId="470ABA4A" w:rsidR="00865CF4" w:rsidRPr="00037FAD" w:rsidRDefault="00865CF4" w:rsidP="00037FAD">
      <w:pPr>
        <w:rPr>
          <w:rFonts w:eastAsia="Calibri" w:cs="Tahoma"/>
          <w:szCs w:val="22"/>
          <w:lang w:eastAsia="en-US"/>
        </w:rPr>
      </w:pPr>
      <w:r w:rsidRPr="00037FAD">
        <w:rPr>
          <w:rFonts w:cs="Tahoma"/>
          <w:bCs/>
          <w:szCs w:val="24"/>
        </w:rPr>
        <w:t xml:space="preserve">El </w:t>
      </w:r>
      <w:r w:rsidR="00843F23" w:rsidRPr="00037FAD">
        <w:rPr>
          <w:rFonts w:cs="Tahoma"/>
          <w:b/>
          <w:szCs w:val="24"/>
        </w:rPr>
        <w:t>veintinueve</w:t>
      </w:r>
      <w:r w:rsidRPr="00037FAD">
        <w:rPr>
          <w:rFonts w:cs="Tahoma"/>
          <w:b/>
          <w:szCs w:val="24"/>
        </w:rPr>
        <w:t xml:space="preserve"> de </w:t>
      </w:r>
      <w:r w:rsidR="00843F23" w:rsidRPr="00037FAD">
        <w:rPr>
          <w:rFonts w:cs="Tahoma"/>
          <w:b/>
          <w:szCs w:val="24"/>
        </w:rPr>
        <w:t>noviembre</w:t>
      </w:r>
      <w:r w:rsidRPr="00037FAD">
        <w:rPr>
          <w:rFonts w:cs="Tahoma"/>
          <w:b/>
          <w:szCs w:val="24"/>
        </w:rPr>
        <w:t xml:space="preserve"> de dos mil </w:t>
      </w:r>
      <w:r w:rsidR="00843F23" w:rsidRPr="00037FAD">
        <w:rPr>
          <w:rFonts w:cs="Tahoma"/>
          <w:b/>
          <w:szCs w:val="24"/>
        </w:rPr>
        <w:t>veinticuatro</w:t>
      </w:r>
      <w:r w:rsidRPr="00037FAD">
        <w:rPr>
          <w:rFonts w:cs="Tahoma"/>
          <w:b/>
          <w:szCs w:val="24"/>
        </w:rPr>
        <w:t xml:space="preserve"> EL SUJETO OBLIGADO</w:t>
      </w:r>
      <w:r w:rsidRPr="00037FAD">
        <w:rPr>
          <w:rFonts w:cs="Tahoma"/>
          <w:bCs/>
          <w:szCs w:val="24"/>
        </w:rPr>
        <w:t xml:space="preserve"> rindió su informe justificado a través del SAIMEX, </w:t>
      </w:r>
      <w:r w:rsidRPr="00037FAD">
        <w:rPr>
          <w:rFonts w:eastAsia="Calibri" w:cs="Tahoma"/>
          <w:szCs w:val="22"/>
          <w:lang w:eastAsia="en-US"/>
        </w:rPr>
        <w:t>en el cual expresó lo siguiente:</w:t>
      </w:r>
    </w:p>
    <w:p w14:paraId="6E939452" w14:textId="77777777" w:rsidR="00865CF4" w:rsidRPr="00037FAD" w:rsidRDefault="00865CF4" w:rsidP="00037FAD">
      <w:pPr>
        <w:rPr>
          <w:rFonts w:eastAsia="Calibri" w:cs="Tahoma"/>
          <w:szCs w:val="22"/>
          <w:lang w:eastAsia="en-US"/>
        </w:rPr>
      </w:pPr>
    </w:p>
    <w:p w14:paraId="2EADF9B0" w14:textId="21096CED" w:rsidR="00865CF4" w:rsidRPr="00037FAD" w:rsidRDefault="00843F23" w:rsidP="00037FAD">
      <w:pPr>
        <w:ind w:left="567" w:right="539"/>
        <w:jc w:val="left"/>
        <w:rPr>
          <w:rFonts w:cs="Tahoma"/>
          <w:bCs/>
          <w:i/>
        </w:rPr>
      </w:pPr>
      <w:r w:rsidRPr="00037FAD">
        <w:rPr>
          <w:rFonts w:cs="Tahoma"/>
          <w:bCs/>
          <w:i/>
        </w:rPr>
        <w:t>Se adjunta informe justificado por parte del sujeto obligado Ayuntamiento de Ocoyoacac</w:t>
      </w:r>
      <w:r w:rsidR="00865CF4" w:rsidRPr="00037FAD">
        <w:rPr>
          <w:rFonts w:cs="Tahoma"/>
          <w:bCs/>
          <w:i/>
        </w:rPr>
        <w:t>.</w:t>
      </w:r>
    </w:p>
    <w:p w14:paraId="35D11AAC" w14:textId="77777777" w:rsidR="00C80B14" w:rsidRPr="00037FAD" w:rsidRDefault="00C80B14" w:rsidP="00037FAD">
      <w:pPr>
        <w:rPr>
          <w:rFonts w:cs="Tahoma"/>
          <w:bCs/>
          <w:szCs w:val="24"/>
        </w:rPr>
      </w:pPr>
    </w:p>
    <w:p w14:paraId="6F404DF3" w14:textId="627D4D41" w:rsidR="00843F23" w:rsidRPr="00037FAD" w:rsidRDefault="00843F23" w:rsidP="00037FAD">
      <w:pPr>
        <w:rPr>
          <w:rFonts w:cs="Tahoma"/>
          <w:bCs/>
          <w:szCs w:val="24"/>
        </w:rPr>
      </w:pPr>
      <w:r w:rsidRPr="00037FAD">
        <w:rPr>
          <w:rFonts w:cs="Tahoma"/>
          <w:bCs/>
          <w:szCs w:val="24"/>
        </w:rPr>
        <w:t xml:space="preserve">Acompañando el archivo identificado como </w:t>
      </w:r>
      <w:r w:rsidRPr="00037FAD">
        <w:rPr>
          <w:rFonts w:cs="Tahoma"/>
          <w:b/>
          <w:i/>
          <w:iCs/>
          <w:szCs w:val="24"/>
        </w:rPr>
        <w:t>7202-24 INFORME JUSTIFICADO.pdf</w:t>
      </w:r>
      <w:r w:rsidRPr="00037FAD">
        <w:rPr>
          <w:rFonts w:cs="Tahoma"/>
          <w:bCs/>
          <w:szCs w:val="24"/>
        </w:rPr>
        <w:t>, el cual contiene: el Oficio PMO/UT/542/2024 mediante el cual,</w:t>
      </w:r>
      <w:r w:rsidRPr="00037FAD">
        <w:t xml:space="preserve"> el </w:t>
      </w:r>
      <w:r w:rsidRPr="00037FAD">
        <w:rPr>
          <w:rFonts w:cs="Tahoma"/>
          <w:bCs/>
          <w:szCs w:val="24"/>
        </w:rPr>
        <w:t>Titular de la Unidad de Transparencia y Protección de Datos Personales</w:t>
      </w:r>
      <w:r w:rsidR="005C3CF8" w:rsidRPr="00037FAD">
        <w:rPr>
          <w:rFonts w:cs="Tahoma"/>
          <w:bCs/>
          <w:szCs w:val="24"/>
        </w:rPr>
        <w:t xml:space="preserve">, informa que la Subdirección de Recursos Humanos fue requerida para dar contestación a la solicitud y </w:t>
      </w:r>
      <w:r w:rsidR="005C3CF8" w:rsidRPr="00037FAD">
        <w:t xml:space="preserve">el servidor público habilitado, da contestación al requerimiento de información a través del oficio </w:t>
      </w:r>
      <w:bookmarkStart w:id="14" w:name="_Hlk184285170"/>
      <w:r w:rsidR="005C3CF8" w:rsidRPr="00037FAD">
        <w:t>AYTO/OCOY/D.G.A./S.R.H/00154/2024</w:t>
      </w:r>
      <w:bookmarkEnd w:id="14"/>
      <w:r w:rsidR="005C3CF8" w:rsidRPr="00037FAD">
        <w:t xml:space="preserve">, </w:t>
      </w:r>
      <w:r w:rsidR="00F03650" w:rsidRPr="00037FAD">
        <w:t xml:space="preserve">refiriendo que con ello </w:t>
      </w:r>
      <w:r w:rsidR="005C3CF8" w:rsidRPr="00037FAD">
        <w:t>se colma el derecho de acceso a la información del ahora recurrente</w:t>
      </w:r>
      <w:r w:rsidR="00F03650" w:rsidRPr="00037FAD">
        <w:t>, por lo que solicita se sobresea el Recurso.</w:t>
      </w:r>
    </w:p>
    <w:p w14:paraId="26C9F6F0" w14:textId="77777777" w:rsidR="00865CF4" w:rsidRPr="00037FAD" w:rsidRDefault="00865CF4" w:rsidP="00037FAD">
      <w:pPr>
        <w:rPr>
          <w:rFonts w:eastAsia="Calibri" w:cs="Tahoma"/>
          <w:szCs w:val="22"/>
          <w:lang w:eastAsia="en-US"/>
        </w:rPr>
      </w:pPr>
    </w:p>
    <w:p w14:paraId="06D946E4" w14:textId="43813311" w:rsidR="00F03650" w:rsidRPr="00037FAD" w:rsidRDefault="00F03650" w:rsidP="00037FAD">
      <w:pPr>
        <w:rPr>
          <w:rFonts w:eastAsia="Calibri" w:cs="Tahoma"/>
          <w:szCs w:val="22"/>
          <w:lang w:eastAsia="en-US"/>
        </w:rPr>
      </w:pPr>
      <w:r w:rsidRPr="00037FAD">
        <w:rPr>
          <w:rFonts w:eastAsia="Calibri" w:cs="Tahoma"/>
          <w:szCs w:val="22"/>
          <w:lang w:eastAsia="en-US"/>
        </w:rPr>
        <w:lastRenderedPageBreak/>
        <w:t xml:space="preserve">El </w:t>
      </w:r>
      <w:r w:rsidRPr="00037FAD">
        <w:rPr>
          <w:rFonts w:eastAsia="Calibri" w:cs="Tahoma"/>
          <w:b/>
          <w:szCs w:val="22"/>
          <w:lang w:eastAsia="en-US"/>
        </w:rPr>
        <w:t>tres de diciembre</w:t>
      </w:r>
      <w:r w:rsidRPr="00037FAD">
        <w:rPr>
          <w:rFonts w:eastAsia="Calibri" w:cs="Tahoma"/>
          <w:szCs w:val="22"/>
          <w:lang w:eastAsia="en-US"/>
        </w:rPr>
        <w:t xml:space="preserve"> el </w:t>
      </w:r>
      <w:r w:rsidRPr="00037FAD">
        <w:rPr>
          <w:rFonts w:eastAsia="Calibri" w:cs="Tahoma"/>
          <w:b/>
          <w:bCs/>
          <w:szCs w:val="22"/>
          <w:lang w:eastAsia="en-US"/>
        </w:rPr>
        <w:t>SUJETO OBLIGADO</w:t>
      </w:r>
      <w:r w:rsidRPr="00037FAD">
        <w:rPr>
          <w:rFonts w:eastAsia="Calibri" w:cs="Tahoma"/>
          <w:szCs w:val="22"/>
          <w:lang w:eastAsia="en-US"/>
        </w:rPr>
        <w:t xml:space="preserve"> remitió el oficio</w:t>
      </w:r>
      <w:r w:rsidRPr="00037FAD">
        <w:t xml:space="preserve"> </w:t>
      </w:r>
      <w:r w:rsidRPr="00037FAD">
        <w:rPr>
          <w:rFonts w:eastAsia="Calibri" w:cs="Tahoma"/>
          <w:szCs w:val="22"/>
          <w:lang w:eastAsia="en-US"/>
        </w:rPr>
        <w:t xml:space="preserve">AYTO/OCOY/D.G.A./S.R.H/00154/2024, con el cual, se acompaña la contestación de la Subdirectora de Recursos Humanos quien refiere que </w:t>
      </w:r>
      <w:r w:rsidR="008C7F5D" w:rsidRPr="00037FAD">
        <w:rPr>
          <w:rFonts w:eastAsia="Calibri" w:cs="Tahoma"/>
          <w:szCs w:val="22"/>
          <w:lang w:eastAsia="en-US"/>
        </w:rPr>
        <w:t>el municipio es parte de</w:t>
      </w:r>
      <w:r w:rsidRPr="00037FAD">
        <w:rPr>
          <w:rFonts w:eastAsia="Calibri" w:cs="Tahoma"/>
          <w:szCs w:val="22"/>
          <w:lang w:eastAsia="en-US"/>
        </w:rPr>
        <w:t>l domicilio</w:t>
      </w:r>
      <w:r w:rsidR="008C7F5D" w:rsidRPr="00037FAD">
        <w:rPr>
          <w:rFonts w:eastAsia="Calibri" w:cs="Tahoma"/>
          <w:szCs w:val="22"/>
          <w:lang w:eastAsia="en-US"/>
        </w:rPr>
        <w:t>, siendo</w:t>
      </w:r>
      <w:r w:rsidRPr="00037FAD">
        <w:rPr>
          <w:rFonts w:eastAsia="Calibri" w:cs="Tahoma"/>
          <w:szCs w:val="22"/>
          <w:lang w:eastAsia="en-US"/>
        </w:rPr>
        <w:t xml:space="preserve"> es un dato personal</w:t>
      </w:r>
      <w:r w:rsidR="008C7F5D" w:rsidRPr="00037FAD">
        <w:rPr>
          <w:rFonts w:eastAsia="Calibri" w:cs="Tahoma"/>
          <w:szCs w:val="22"/>
          <w:lang w:eastAsia="en-US"/>
        </w:rPr>
        <w:t xml:space="preserve"> por volverlo identificable,</w:t>
      </w:r>
      <w:r w:rsidRPr="00037FAD">
        <w:rPr>
          <w:rFonts w:eastAsia="Calibri" w:cs="Tahoma"/>
          <w:szCs w:val="22"/>
          <w:lang w:eastAsia="en-US"/>
        </w:rPr>
        <w:t xml:space="preserve"> por lo que está imposibilitada para proporcionar dicho dato, pero estadísticamente informa que son 7 las personas que laboraron en el municipio de Zinacantepec</w:t>
      </w:r>
      <w:r w:rsidR="008C7F5D" w:rsidRPr="00037FAD">
        <w:rPr>
          <w:rFonts w:eastAsia="Calibri" w:cs="Tahoma"/>
          <w:szCs w:val="22"/>
          <w:lang w:eastAsia="en-US"/>
        </w:rPr>
        <w:t xml:space="preserve"> y</w:t>
      </w:r>
      <w:r w:rsidR="008C7F5D" w:rsidRPr="00037FAD">
        <w:t xml:space="preserve"> </w:t>
      </w:r>
      <w:r w:rsidR="008C7F5D" w:rsidRPr="00037FAD">
        <w:rPr>
          <w:rFonts w:eastAsia="Calibri" w:cs="Tahoma"/>
          <w:szCs w:val="22"/>
          <w:lang w:eastAsia="en-US"/>
        </w:rPr>
        <w:t>proporciona el nombre la servidora pública que solicitó su alta en nómina</w:t>
      </w:r>
      <w:r w:rsidR="00737E5F" w:rsidRPr="00037FAD">
        <w:rPr>
          <w:rFonts w:eastAsia="Calibri" w:cs="Tahoma"/>
          <w:szCs w:val="22"/>
          <w:lang w:eastAsia="en-US"/>
        </w:rPr>
        <w:t>.</w:t>
      </w:r>
    </w:p>
    <w:p w14:paraId="7E1E2404" w14:textId="77777777" w:rsidR="00F03650" w:rsidRPr="00037FAD" w:rsidRDefault="00F03650" w:rsidP="00037FAD">
      <w:pPr>
        <w:rPr>
          <w:rFonts w:eastAsia="Calibri" w:cs="Tahoma"/>
          <w:szCs w:val="22"/>
          <w:lang w:eastAsia="en-US"/>
        </w:rPr>
      </w:pPr>
    </w:p>
    <w:p w14:paraId="2D130A9D" w14:textId="640BAEB9" w:rsidR="00865CF4" w:rsidRPr="00037FAD" w:rsidRDefault="00865CF4" w:rsidP="00037FAD">
      <w:pPr>
        <w:rPr>
          <w:rFonts w:cs="Tahoma"/>
          <w:bCs/>
          <w:szCs w:val="24"/>
        </w:rPr>
      </w:pPr>
      <w:r w:rsidRPr="00037FAD">
        <w:rPr>
          <w:rFonts w:cs="Tahoma"/>
          <w:bCs/>
          <w:szCs w:val="24"/>
        </w:rPr>
        <w:t xml:space="preserve">Esta información fue puesta a la vista de </w:t>
      </w:r>
      <w:r w:rsidRPr="00037FAD">
        <w:rPr>
          <w:rFonts w:cs="Tahoma"/>
          <w:b/>
          <w:szCs w:val="24"/>
        </w:rPr>
        <w:t xml:space="preserve">LA PARTE RECURRENTE </w:t>
      </w:r>
      <w:r w:rsidRPr="00037FAD">
        <w:rPr>
          <w:rFonts w:cs="Tahoma"/>
          <w:bCs/>
          <w:szCs w:val="24"/>
        </w:rPr>
        <w:t xml:space="preserve">el </w:t>
      </w:r>
      <w:r w:rsidR="00737E5F" w:rsidRPr="00037FAD">
        <w:rPr>
          <w:rFonts w:cs="Tahoma"/>
          <w:b/>
          <w:szCs w:val="24"/>
        </w:rPr>
        <w:t>cuatro</w:t>
      </w:r>
      <w:r w:rsidRPr="00037FAD">
        <w:rPr>
          <w:rFonts w:cs="Tahoma"/>
          <w:b/>
          <w:szCs w:val="24"/>
        </w:rPr>
        <w:t xml:space="preserve"> de </w:t>
      </w:r>
      <w:r w:rsidR="006470D0" w:rsidRPr="00037FAD">
        <w:rPr>
          <w:rFonts w:cs="Tahoma"/>
          <w:b/>
          <w:szCs w:val="24"/>
        </w:rPr>
        <w:t xml:space="preserve">diciembre </w:t>
      </w:r>
      <w:r w:rsidRPr="00037FAD">
        <w:rPr>
          <w:rFonts w:cs="Tahoma"/>
          <w:b/>
          <w:szCs w:val="24"/>
        </w:rPr>
        <w:t xml:space="preserve">de dos mil </w:t>
      </w:r>
      <w:r w:rsidR="00737E5F" w:rsidRPr="00037FAD">
        <w:rPr>
          <w:rFonts w:cs="Tahoma"/>
          <w:b/>
          <w:szCs w:val="24"/>
        </w:rPr>
        <w:t>veinticuatro</w:t>
      </w:r>
      <w:r w:rsidRPr="00037FAD">
        <w:rPr>
          <w:rFonts w:cs="Tahoma"/>
          <w:bCs/>
          <w:szCs w:val="24"/>
        </w:rPr>
        <w:t xml:space="preserve"> para que, en un plazo de tres días hábiles, manifestara lo que a su derecho conviniera, de conformidad con lo establecido en el </w:t>
      </w:r>
      <w:r w:rsidRPr="00037FAD">
        <w:rPr>
          <w:rFonts w:cs="Arial"/>
        </w:rPr>
        <w:t>artículo 185, fracción III de la Ley de Transparencia y Acceso a la Información Pública del Estado de México y Municipios</w:t>
      </w:r>
      <w:r w:rsidRPr="00037FAD">
        <w:rPr>
          <w:rFonts w:cs="Tahoma"/>
          <w:bCs/>
          <w:szCs w:val="24"/>
        </w:rPr>
        <w:t>.</w:t>
      </w:r>
    </w:p>
    <w:p w14:paraId="3B386B4C" w14:textId="77777777" w:rsidR="003A40C1" w:rsidRPr="00037FAD" w:rsidRDefault="003A40C1" w:rsidP="00037FAD">
      <w:pPr>
        <w:ind w:right="539"/>
        <w:rPr>
          <w:rFonts w:cs="Tahoma"/>
          <w:bCs/>
          <w:szCs w:val="24"/>
        </w:rPr>
      </w:pPr>
    </w:p>
    <w:p w14:paraId="755B7730" w14:textId="7D9103AB" w:rsidR="00664420" w:rsidRPr="00037FAD" w:rsidRDefault="00737E5F" w:rsidP="00037FAD">
      <w:pPr>
        <w:pStyle w:val="Ttulo3"/>
        <w:rPr>
          <w:lang w:val="es-ES"/>
        </w:rPr>
      </w:pPr>
      <w:bookmarkStart w:id="15" w:name="_Toc184814141"/>
      <w:r w:rsidRPr="00037FAD">
        <w:rPr>
          <w:rFonts w:eastAsia="Calibri"/>
          <w:bCs/>
          <w:lang w:eastAsia="en-US"/>
        </w:rPr>
        <w:t>e</w:t>
      </w:r>
      <w:r w:rsidR="00664420" w:rsidRPr="00037FAD">
        <w:rPr>
          <w:rFonts w:eastAsia="Calibri"/>
          <w:bCs/>
          <w:lang w:eastAsia="en-US"/>
        </w:rPr>
        <w:t>)</w:t>
      </w:r>
      <w:r w:rsidR="00664420" w:rsidRPr="00037FAD">
        <w:t xml:space="preserve"> </w:t>
      </w:r>
      <w:r w:rsidR="00865CF4" w:rsidRPr="00037FAD">
        <w:rPr>
          <w:lang w:val="es-ES"/>
        </w:rPr>
        <w:t>Manifestaciones de la Parte Recurrente</w:t>
      </w:r>
      <w:bookmarkEnd w:id="15"/>
    </w:p>
    <w:p w14:paraId="4E8AF011" w14:textId="77777777" w:rsidR="00865CF4" w:rsidRPr="00037FAD" w:rsidRDefault="00865CF4" w:rsidP="00037FAD">
      <w:pPr>
        <w:rPr>
          <w:rFonts w:eastAsia="Arial Unicode MS" w:cs="Arial"/>
        </w:rPr>
      </w:pPr>
      <w:r w:rsidRPr="00037FAD">
        <w:rPr>
          <w:rFonts w:cs="Tahoma"/>
          <w:b/>
          <w:szCs w:val="24"/>
        </w:rPr>
        <w:t xml:space="preserve">LA PARTE RECURRENTE </w:t>
      </w:r>
      <w:r w:rsidRPr="00037FAD">
        <w:rPr>
          <w:rFonts w:eastAsia="Arial Unicode MS" w:cs="Arial"/>
        </w:rPr>
        <w:t>no realizó manifestación alguna dentro del término legalmente concedido para tal efecto, ni presentó pruebas o alegatos.</w:t>
      </w:r>
    </w:p>
    <w:p w14:paraId="43289D82" w14:textId="77777777" w:rsidR="00865CF4" w:rsidRPr="00037FAD" w:rsidRDefault="00865CF4" w:rsidP="00037FAD">
      <w:pPr>
        <w:rPr>
          <w:rFonts w:eastAsia="Arial Unicode MS" w:cs="Arial"/>
        </w:rPr>
      </w:pPr>
    </w:p>
    <w:p w14:paraId="0E651988" w14:textId="4E94DB08" w:rsidR="00664420" w:rsidRPr="00037FAD" w:rsidRDefault="00737E5F" w:rsidP="00037FAD">
      <w:pPr>
        <w:pStyle w:val="Ttulo3"/>
      </w:pPr>
      <w:bookmarkStart w:id="16" w:name="_Toc184814142"/>
      <w:r w:rsidRPr="00037FAD">
        <w:t>f</w:t>
      </w:r>
      <w:r w:rsidR="00664420" w:rsidRPr="00037FAD">
        <w:t>) Cierre de instrucción</w:t>
      </w:r>
      <w:bookmarkEnd w:id="16"/>
    </w:p>
    <w:p w14:paraId="79AF95DC" w14:textId="7B7DB95E" w:rsidR="00664420" w:rsidRPr="00037FAD" w:rsidRDefault="00BF091A" w:rsidP="00037FAD">
      <w:r w:rsidRPr="00037FAD">
        <w:rPr>
          <w:rFonts w:cs="Tahoma"/>
          <w:szCs w:val="22"/>
        </w:rPr>
        <w:t>Al no existir diligencias pendientes por desahogar</w:t>
      </w:r>
      <w:r w:rsidRPr="00037FAD">
        <w:rPr>
          <w:rFonts w:cs="Arial"/>
        </w:rPr>
        <w:t xml:space="preserve">, el </w:t>
      </w:r>
      <w:bookmarkStart w:id="17" w:name="_Hlk104892386"/>
      <w:r w:rsidR="00737E5F" w:rsidRPr="00037FAD">
        <w:rPr>
          <w:rFonts w:cs="Arial"/>
          <w:b/>
        </w:rPr>
        <w:t>diez</w:t>
      </w:r>
      <w:r w:rsidRPr="00037FAD">
        <w:rPr>
          <w:rFonts w:cs="Arial"/>
          <w:b/>
        </w:rPr>
        <w:t xml:space="preserve"> de </w:t>
      </w:r>
      <w:bookmarkEnd w:id="17"/>
      <w:r w:rsidR="006470D0" w:rsidRPr="00037FAD">
        <w:rPr>
          <w:rFonts w:cs="Arial"/>
          <w:b/>
        </w:rPr>
        <w:t xml:space="preserve">diciembre </w:t>
      </w:r>
      <w:r w:rsidRPr="00037FAD">
        <w:rPr>
          <w:rFonts w:cs="Arial"/>
          <w:b/>
        </w:rPr>
        <w:t xml:space="preserve">de dos mil </w:t>
      </w:r>
      <w:r w:rsidR="00737E5F" w:rsidRPr="00037FAD">
        <w:rPr>
          <w:rFonts w:cs="Arial"/>
          <w:b/>
        </w:rPr>
        <w:t>veinticuatro</w:t>
      </w:r>
      <w:r w:rsidRPr="00037FAD">
        <w:rPr>
          <w:rFonts w:cs="Arial"/>
        </w:rPr>
        <w:t xml:space="preserve"> la </w:t>
      </w:r>
      <w:r w:rsidRPr="00037FAD">
        <w:rPr>
          <w:rFonts w:cs="Arial"/>
          <w:b/>
          <w:bCs/>
        </w:rPr>
        <w:t xml:space="preserve">Comisionada </w:t>
      </w:r>
      <w:r w:rsidRPr="00037FAD">
        <w:rPr>
          <w:b/>
        </w:rPr>
        <w:t xml:space="preserve">Sharon Cristina Morales Martínez </w:t>
      </w:r>
      <w:r w:rsidRPr="00037FAD">
        <w:rPr>
          <w:rFonts w:cs="Arial"/>
        </w:rPr>
        <w:t>acordó el cierre de instrucción</w:t>
      </w:r>
      <w:r w:rsidR="0011350D" w:rsidRPr="00037FAD">
        <w:rPr>
          <w:rFonts w:cs="Arial"/>
        </w:rPr>
        <w:t xml:space="preserve"> y</w:t>
      </w:r>
      <w:r w:rsidRPr="00037FAD">
        <w:rPr>
          <w:rFonts w:cs="Arial"/>
        </w:rPr>
        <w:t xml:space="preserve"> </w:t>
      </w:r>
      <w:r w:rsidR="0011350D" w:rsidRPr="00037FAD">
        <w:rPr>
          <w:rFonts w:cs="Arial"/>
        </w:rPr>
        <w:t xml:space="preserve">la </w:t>
      </w:r>
      <w:r w:rsidRPr="00037FAD">
        <w:rPr>
          <w:rFonts w:cs="Arial"/>
        </w:rPr>
        <w:t>remisión del expediente a efecto de ser resuelto, de conformidad con lo establecido en el artículo 185 fracciones VI y VIII de la Ley de Transparencia y Acceso a la Información Pública del Estado de México y Municipios</w:t>
      </w:r>
      <w:r w:rsidRPr="00037FAD">
        <w:t>.</w:t>
      </w:r>
      <w:r w:rsidR="0011350D" w:rsidRPr="00037FAD">
        <w:t xml:space="preserve"> Dicho acuerdo </w:t>
      </w:r>
      <w:r w:rsidR="00664420" w:rsidRPr="00037FAD">
        <w:rPr>
          <w:rFonts w:cs="Tahoma"/>
          <w:szCs w:val="22"/>
        </w:rPr>
        <w:t xml:space="preserve">fue notificado a las partes el mismo día a través del </w:t>
      </w:r>
      <w:r w:rsidR="00664420" w:rsidRPr="00037FAD">
        <w:rPr>
          <w:rFonts w:cs="Tahoma"/>
          <w:szCs w:val="22"/>
          <w:lang w:val="es-ES"/>
        </w:rPr>
        <w:t>SAIMEX</w:t>
      </w:r>
      <w:r w:rsidR="00664420" w:rsidRPr="00037FAD">
        <w:rPr>
          <w:rFonts w:cs="Tahoma"/>
          <w:szCs w:val="22"/>
        </w:rPr>
        <w:t>.</w:t>
      </w:r>
    </w:p>
    <w:p w14:paraId="741683E3" w14:textId="77777777" w:rsidR="0011350D" w:rsidRPr="00037FAD" w:rsidRDefault="0011350D" w:rsidP="00037FAD">
      <w:pPr>
        <w:rPr>
          <w:rFonts w:cs="Tahoma"/>
          <w:szCs w:val="22"/>
        </w:rPr>
      </w:pPr>
    </w:p>
    <w:p w14:paraId="7A9629DE" w14:textId="77777777" w:rsidR="00664420" w:rsidRPr="00037FAD" w:rsidRDefault="00664420" w:rsidP="00037FAD">
      <w:pPr>
        <w:pStyle w:val="Ttulo1"/>
        <w:rPr>
          <w:rFonts w:eastAsiaTheme="minorHAnsi"/>
          <w:lang w:eastAsia="en-US"/>
        </w:rPr>
      </w:pPr>
      <w:bookmarkStart w:id="18" w:name="_Toc184814143"/>
      <w:r w:rsidRPr="00037FAD">
        <w:rPr>
          <w:rFonts w:eastAsiaTheme="minorHAnsi"/>
          <w:lang w:eastAsia="en-US"/>
        </w:rPr>
        <w:lastRenderedPageBreak/>
        <w:t>CONSIDERANDOS</w:t>
      </w:r>
      <w:bookmarkEnd w:id="18"/>
    </w:p>
    <w:p w14:paraId="6DD1243B" w14:textId="77777777" w:rsidR="00664420" w:rsidRPr="00037FAD" w:rsidRDefault="00664420" w:rsidP="00037FAD">
      <w:pPr>
        <w:contextualSpacing/>
        <w:jc w:val="center"/>
        <w:rPr>
          <w:rFonts w:eastAsiaTheme="minorHAnsi" w:cs="Tahoma"/>
          <w:b/>
          <w:szCs w:val="22"/>
          <w:lang w:eastAsia="en-US"/>
        </w:rPr>
      </w:pPr>
    </w:p>
    <w:p w14:paraId="0B67CB92" w14:textId="2E307D3B" w:rsidR="00664420" w:rsidRPr="00037FAD" w:rsidRDefault="00664420" w:rsidP="00037FAD">
      <w:pPr>
        <w:pStyle w:val="Ttulo2"/>
        <w:rPr>
          <w:rFonts w:eastAsia="Batang"/>
        </w:rPr>
      </w:pPr>
      <w:bookmarkStart w:id="19" w:name="_Toc184814144"/>
      <w:r w:rsidRPr="00037FAD">
        <w:rPr>
          <w:rFonts w:eastAsia="Batang"/>
        </w:rPr>
        <w:t xml:space="preserve">PRIMERO. </w:t>
      </w:r>
      <w:r w:rsidR="00BA55A8" w:rsidRPr="00037FAD">
        <w:rPr>
          <w:rFonts w:eastAsia="Batang"/>
        </w:rPr>
        <w:t>Procedibilidad</w:t>
      </w:r>
      <w:bookmarkEnd w:id="19"/>
    </w:p>
    <w:p w14:paraId="39C52BC1" w14:textId="56FCC20D" w:rsidR="00BA55A8" w:rsidRPr="00037FAD" w:rsidRDefault="00BA55A8" w:rsidP="00037FAD">
      <w:pPr>
        <w:pStyle w:val="Ttulo3"/>
      </w:pPr>
      <w:bookmarkStart w:id="20" w:name="_Toc184814145"/>
      <w:r w:rsidRPr="00037FAD">
        <w:t>a) Competencia</w:t>
      </w:r>
      <w:r w:rsidR="00150C49" w:rsidRPr="00037FAD">
        <w:t xml:space="preserve"> del Instituto</w:t>
      </w:r>
      <w:bookmarkEnd w:id="20"/>
    </w:p>
    <w:p w14:paraId="56E64942" w14:textId="6572EDF7" w:rsidR="0011350D" w:rsidRPr="00037FAD" w:rsidRDefault="0011350D" w:rsidP="00037FAD">
      <w:pPr>
        <w:rPr>
          <w:rFonts w:cs="Arial"/>
        </w:rPr>
      </w:pPr>
      <w:r w:rsidRPr="00037FAD">
        <w:t xml:space="preserve">Este Instituto de Transparencia, Acceso a la Información Pública y Protección de Datos Personales del Estado de México y Municipios es competente para conocer y resolver </w:t>
      </w:r>
      <w:r w:rsidR="005F65B7" w:rsidRPr="00037FAD">
        <w:t xml:space="preserve">el </w:t>
      </w:r>
      <w:r w:rsidRPr="00037FA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37FA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37FAD" w:rsidRDefault="00DB1C09" w:rsidP="00037FAD">
      <w:pPr>
        <w:rPr>
          <w:rFonts w:cs="Arial"/>
        </w:rPr>
      </w:pPr>
    </w:p>
    <w:p w14:paraId="517A2DD6" w14:textId="4169BE4D" w:rsidR="00664420" w:rsidRPr="00037FAD" w:rsidRDefault="00BA55A8" w:rsidP="00037FAD">
      <w:pPr>
        <w:pStyle w:val="Ttulo3"/>
      </w:pPr>
      <w:bookmarkStart w:id="21" w:name="_Toc184814146"/>
      <w:r w:rsidRPr="00037FAD">
        <w:t>b)</w:t>
      </w:r>
      <w:r w:rsidR="00664420" w:rsidRPr="00037FAD">
        <w:t xml:space="preserve"> </w:t>
      </w:r>
      <w:r w:rsidR="00D91CB4" w:rsidRPr="00037FAD">
        <w:t>Legitimidad</w:t>
      </w:r>
      <w:r w:rsidRPr="00037FAD">
        <w:t xml:space="preserve"> de la parte recurrente</w:t>
      </w:r>
      <w:bookmarkEnd w:id="21"/>
    </w:p>
    <w:p w14:paraId="26FEA382" w14:textId="0B06695C" w:rsidR="00D91CB4" w:rsidRPr="00037FAD" w:rsidRDefault="00D91CB4" w:rsidP="00037FAD">
      <w:pPr>
        <w:rPr>
          <w:rFonts w:cs="Arial"/>
          <w:bCs/>
        </w:rPr>
      </w:pPr>
      <w:r w:rsidRPr="00037FAD">
        <w:rPr>
          <w:rFonts w:cs="Arial"/>
          <w:bCs/>
        </w:rPr>
        <w:t>El recurso de revisión fue interpuesto por parte legítima, ya que se presentó por la misma persona que formuló la solicitud de acceso a la Información Pública,</w:t>
      </w:r>
      <w:r w:rsidRPr="00037FAD">
        <w:rPr>
          <w:rFonts w:cs="Arial"/>
          <w:b/>
          <w:bCs/>
        </w:rPr>
        <w:t xml:space="preserve"> </w:t>
      </w:r>
      <w:r w:rsidRPr="00037FAD">
        <w:rPr>
          <w:rFonts w:cs="Arial"/>
        </w:rPr>
        <w:t>debido a que los datos de acceso</w:t>
      </w:r>
      <w:r w:rsidRPr="00037FAD">
        <w:rPr>
          <w:rFonts w:cs="Arial"/>
          <w:b/>
          <w:bCs/>
        </w:rPr>
        <w:t xml:space="preserve"> </w:t>
      </w:r>
      <w:r w:rsidRPr="00037FAD">
        <w:rPr>
          <w:rFonts w:cs="Arial"/>
        </w:rPr>
        <w:t>SAIMEX</w:t>
      </w:r>
      <w:r w:rsidRPr="00037FAD">
        <w:rPr>
          <w:rFonts w:eastAsia="Calibri" w:cs="Arial"/>
          <w:lang w:eastAsia="en-US"/>
        </w:rPr>
        <w:t xml:space="preserve"> son personales e irrepetibles.</w:t>
      </w:r>
    </w:p>
    <w:p w14:paraId="2C367810" w14:textId="77777777" w:rsidR="00D91CB4" w:rsidRPr="00037FAD" w:rsidRDefault="00D91CB4" w:rsidP="00037FAD"/>
    <w:p w14:paraId="496490FC" w14:textId="1A5F3FDB" w:rsidR="00D91CB4" w:rsidRPr="00037FAD" w:rsidRDefault="00BA55A8" w:rsidP="00037FAD">
      <w:pPr>
        <w:pStyle w:val="Ttulo3"/>
        <w:rPr>
          <w:rFonts w:eastAsia="Calibri"/>
          <w:lang w:eastAsia="es-ES_tradnl"/>
        </w:rPr>
      </w:pPr>
      <w:bookmarkStart w:id="22" w:name="_Toc184814147"/>
      <w:r w:rsidRPr="00037FAD">
        <w:rPr>
          <w:rFonts w:eastAsia="Calibri"/>
          <w:lang w:eastAsia="es-ES_tradnl"/>
        </w:rPr>
        <w:t>c)</w:t>
      </w:r>
      <w:r w:rsidR="00664420" w:rsidRPr="00037FAD">
        <w:rPr>
          <w:rFonts w:eastAsia="Calibri"/>
          <w:lang w:eastAsia="es-ES_tradnl"/>
        </w:rPr>
        <w:t xml:space="preserve"> </w:t>
      </w:r>
      <w:r w:rsidR="00D91CB4" w:rsidRPr="00037FAD">
        <w:rPr>
          <w:rFonts w:eastAsia="Calibri"/>
          <w:lang w:eastAsia="es-ES_tradnl"/>
        </w:rPr>
        <w:t>Plazo para interponer el recurso</w:t>
      </w:r>
      <w:bookmarkEnd w:id="22"/>
    </w:p>
    <w:p w14:paraId="24512560" w14:textId="77777777" w:rsidR="000A1C95" w:rsidRPr="00037FAD" w:rsidRDefault="000A1C95" w:rsidP="00037FAD">
      <w:pPr>
        <w:rPr>
          <w:lang w:val="es-ES_tradnl"/>
        </w:rPr>
      </w:pPr>
      <w:r w:rsidRPr="00037FAD">
        <w:rPr>
          <w:rFonts w:eastAsia="Calibri"/>
          <w:lang w:val="es-ES"/>
        </w:rPr>
        <w:t xml:space="preserve">Es de precisar, que la Ley de Transparencia y Acceso a la Información Pública del Estado de México y Municipios, en el artículo 178 describe la procedencia del recurso de revisión, asimismo señala que el plazo del </w:t>
      </w:r>
      <w:r w:rsidRPr="00037FAD">
        <w:rPr>
          <w:rFonts w:eastAsia="Calibri"/>
          <w:b/>
          <w:lang w:val="es-ES"/>
        </w:rPr>
        <w:t>SUJETO OBLIGADO</w:t>
      </w:r>
      <w:r w:rsidRPr="00037FAD">
        <w:rPr>
          <w:rFonts w:eastAsia="Calibri"/>
          <w:lang w:val="es-ES"/>
        </w:rPr>
        <w:t xml:space="preserve"> para entregar la respuesta a una solicitud de información pública, es de quince días hábiles posteriores a la presentación de </w:t>
      </w:r>
      <w:r w:rsidRPr="00037FAD">
        <w:rPr>
          <w:rFonts w:eastAsia="Calibri"/>
          <w:lang w:val="es-ES"/>
        </w:rPr>
        <w:lastRenderedPageBreak/>
        <w:t xml:space="preserve">ésta; por lo que, transcurrido este término, cuando no entregue la respuesta a la solicitud dentro del plazo previsto en la Ley, la solicitud se entenderá negada y el solicitante podrá interponer el recurso de revisión previsto en el ordenamiento en cita.  </w:t>
      </w:r>
    </w:p>
    <w:p w14:paraId="58138D7E" w14:textId="77777777" w:rsidR="000A1C95" w:rsidRPr="00037FAD" w:rsidRDefault="000A1C95" w:rsidP="00037FAD">
      <w:pPr>
        <w:tabs>
          <w:tab w:val="left" w:pos="284"/>
        </w:tabs>
        <w:spacing w:before="240" w:after="240"/>
        <w:contextualSpacing/>
        <w:rPr>
          <w:rFonts w:cs="Arial"/>
          <w:sz w:val="24"/>
          <w:szCs w:val="24"/>
          <w:lang w:val="es-ES_tradnl"/>
        </w:rPr>
      </w:pPr>
    </w:p>
    <w:p w14:paraId="01280EC4" w14:textId="77777777" w:rsidR="000A1C95" w:rsidRPr="00037FAD" w:rsidRDefault="000A1C95" w:rsidP="00037FAD">
      <w:pPr>
        <w:rPr>
          <w:rFonts w:eastAsia="Calibri"/>
          <w:b/>
          <w:shd w:val="clear" w:color="auto" w:fill="FFFFFF"/>
        </w:rPr>
      </w:pPr>
      <w:r w:rsidRPr="00037FAD">
        <w:rPr>
          <w:rFonts w:eastAsia="Calibri"/>
          <w:lang w:val="es-ES"/>
        </w:rPr>
        <w:t xml:space="preserve">Por ende, se constituye la figura jurídica de la </w:t>
      </w:r>
      <w:r w:rsidRPr="00037FAD">
        <w:rPr>
          <w:rFonts w:eastAsia="Calibri"/>
          <w:i/>
          <w:lang w:val="es-ES"/>
        </w:rPr>
        <w:t>negativa ficta</w:t>
      </w:r>
      <w:r w:rsidRPr="00037FAD">
        <w:rPr>
          <w:rFonts w:eastAsia="Calibri"/>
          <w:lang w:val="es-ES"/>
        </w:rPr>
        <w:t xml:space="preserve">, cuya esencia es atribuir un efecto negativo al silencio de la autoridad administrativa frente a las instancias y solicitudes que hagan los particulares, lo cual encuentra sustento en lo que establece el artículo </w:t>
      </w:r>
      <w:r w:rsidRPr="00037FAD">
        <w:rPr>
          <w:rFonts w:eastAsia="Calibri"/>
          <w:b/>
          <w:lang w:val="es-ES"/>
        </w:rPr>
        <w:t>178</w:t>
      </w:r>
      <w:r w:rsidRPr="00037FAD">
        <w:rPr>
          <w:rFonts w:eastAsia="Calibri"/>
          <w:lang w:val="es-ES"/>
        </w:rPr>
        <w:t xml:space="preserve"> segundo párrafo de </w:t>
      </w:r>
      <w:r w:rsidRPr="00037FAD">
        <w:rPr>
          <w:rFonts w:eastAsia="Calibri"/>
          <w:b/>
          <w:lang w:val="es-ES"/>
        </w:rPr>
        <w:t>Ley de Transparencia y Acceso a la Información Pública del Estado de México y Municipios</w:t>
      </w:r>
      <w:r w:rsidRPr="00037FAD">
        <w:rPr>
          <w:rFonts w:eastAsia="Calibri"/>
          <w:shd w:val="clear" w:color="auto" w:fill="FFFFFF"/>
        </w:rPr>
        <w:t xml:space="preserve">, que dispone; ante la falta de respuesta del </w:t>
      </w:r>
      <w:r w:rsidRPr="00037FAD">
        <w:rPr>
          <w:rFonts w:eastAsia="Calibri"/>
          <w:b/>
          <w:shd w:val="clear" w:color="auto" w:fill="FFFFFF"/>
        </w:rPr>
        <w:t>SUJETO OBLIGADO,</w:t>
      </w:r>
      <w:r w:rsidRPr="00037FAD">
        <w:rPr>
          <w:rFonts w:eastAsia="Calibri"/>
          <w:shd w:val="clear" w:color="auto" w:fill="FFFFFF"/>
        </w:rPr>
        <w:t xml:space="preserve"> dentro de los plazos establecidos en esta Ley, a una solicitud de acceso a la información pública, el recurso </w:t>
      </w:r>
      <w:r w:rsidRPr="00037FAD">
        <w:rPr>
          <w:rFonts w:eastAsia="Calibri"/>
          <w:b/>
          <w:shd w:val="clear" w:color="auto" w:fill="FFFFFF"/>
        </w:rPr>
        <w:t xml:space="preserve">podrá ser interpuesto en cualquier momento. </w:t>
      </w:r>
    </w:p>
    <w:p w14:paraId="087946EB" w14:textId="77777777" w:rsidR="000A1C95" w:rsidRPr="00037FAD" w:rsidRDefault="000A1C95" w:rsidP="00037FAD">
      <w:pPr>
        <w:rPr>
          <w:lang w:val="es-ES_tradnl"/>
        </w:rPr>
      </w:pPr>
    </w:p>
    <w:p w14:paraId="78CB2F92" w14:textId="77777777" w:rsidR="000A1C95" w:rsidRPr="00037FAD" w:rsidRDefault="000A1C95" w:rsidP="00037FAD">
      <w:pPr>
        <w:rPr>
          <w:rFonts w:eastAsia="Calibri"/>
          <w:lang w:val="es-ES"/>
        </w:rPr>
      </w:pPr>
      <w:r w:rsidRPr="00037FAD">
        <w:rPr>
          <w:rFonts w:eastAsia="Calibri"/>
          <w:lang w:val="es-ES"/>
        </w:rPr>
        <w:t xml:space="preserve">Por lo que, tratándose de la </w:t>
      </w:r>
      <w:r w:rsidRPr="00037FAD">
        <w:rPr>
          <w:rFonts w:eastAsia="Calibri"/>
          <w:i/>
          <w:lang w:val="es-ES"/>
        </w:rPr>
        <w:t>negativa ficta</w:t>
      </w:r>
      <w:r w:rsidRPr="00037FAD">
        <w:rPr>
          <w:rFonts w:eastAsia="Calibri"/>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037FAD">
        <w:rPr>
          <w:rFonts w:eastAsia="Calibri"/>
          <w:i/>
          <w:lang w:val="es-ES"/>
        </w:rPr>
        <w:t>negativa ficta</w:t>
      </w:r>
      <w:r w:rsidRPr="00037FAD">
        <w:rPr>
          <w:rFonts w:eastAsia="Calibri"/>
          <w:lang w:val="es-ES"/>
        </w:rPr>
        <w:t>, que señala:</w:t>
      </w:r>
    </w:p>
    <w:p w14:paraId="412AA0B2" w14:textId="77777777" w:rsidR="00FE5729" w:rsidRPr="00037FAD" w:rsidRDefault="00FE5729" w:rsidP="00037FAD">
      <w:pPr>
        <w:rPr>
          <w:lang w:val="es-ES_tradnl"/>
        </w:rPr>
      </w:pPr>
    </w:p>
    <w:p w14:paraId="25ECE0FD" w14:textId="77777777" w:rsidR="000A1C95" w:rsidRPr="00037FAD" w:rsidRDefault="000A1C95" w:rsidP="00037FAD">
      <w:pPr>
        <w:pStyle w:val="Puesto"/>
        <w:rPr>
          <w:rFonts w:eastAsia="Calibri"/>
          <w:lang w:val="es-ES"/>
        </w:rPr>
      </w:pPr>
      <w:proofErr w:type="spellStart"/>
      <w:r w:rsidRPr="00037FAD">
        <w:rPr>
          <w:rFonts w:eastAsia="Calibri"/>
          <w:lang w:val="es-ES"/>
        </w:rPr>
        <w:t>Criteri</w:t>
      </w:r>
      <w:proofErr w:type="spellEnd"/>
      <w:r w:rsidRPr="00037FAD">
        <w:rPr>
          <w:rStyle w:val="PuestoCar"/>
        </w:rPr>
        <w:t xml:space="preserve">o </w:t>
      </w:r>
      <w:r w:rsidRPr="00037FAD">
        <w:rPr>
          <w:rFonts w:eastAsia="Calibri"/>
          <w:lang w:val="es-ES"/>
        </w:rPr>
        <w:t>0001-15</w:t>
      </w:r>
    </w:p>
    <w:p w14:paraId="0B800CF9" w14:textId="77777777" w:rsidR="000A1C95" w:rsidRPr="00037FAD" w:rsidRDefault="000A1C95" w:rsidP="00037FAD">
      <w:pPr>
        <w:pStyle w:val="Puesto"/>
        <w:rPr>
          <w:rFonts w:eastAsia="Calibri"/>
          <w:lang w:val="es-ES"/>
        </w:rPr>
      </w:pPr>
      <w:r w:rsidRPr="00037FAD">
        <w:rPr>
          <w:rFonts w:eastAsia="Calibri"/>
          <w:b/>
          <w:lang w:val="es-ES"/>
        </w:rPr>
        <w:t>NEGATIVA FICTA. PLAZO PARA INTERPONER EL RECURSO DE REVISIÓN TRATÁNDOSE DE.</w:t>
      </w:r>
      <w:r w:rsidRPr="00037FAD">
        <w:rPr>
          <w:rFonts w:eastAsia="Calibri"/>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w:t>
      </w:r>
      <w:r w:rsidRPr="00037FAD">
        <w:rPr>
          <w:rFonts w:eastAsia="Calibri"/>
          <w:lang w:val="es-ES"/>
        </w:rPr>
        <w:lastRenderedPageBreak/>
        <w:t>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1B8C2B7A" w14:textId="77777777" w:rsidR="000A1C95" w:rsidRPr="00037FAD" w:rsidRDefault="000A1C95" w:rsidP="00037FAD">
      <w:pPr>
        <w:rPr>
          <w:lang w:val="es-ES" w:eastAsia="es-MX"/>
        </w:rPr>
      </w:pPr>
    </w:p>
    <w:p w14:paraId="4A7E75BD" w14:textId="1757BA20" w:rsidR="000A1C95" w:rsidRPr="00037FAD" w:rsidRDefault="000A1C95" w:rsidP="00037FAD">
      <w:pPr>
        <w:rPr>
          <w:lang w:val="es-ES" w:eastAsia="es-MX"/>
        </w:rPr>
      </w:pPr>
      <w:r w:rsidRPr="00037FAD">
        <w:rPr>
          <w:lang w:val="es-ES" w:eastAsia="es-MX"/>
        </w:rPr>
        <w:t xml:space="preserve">Lo anterior, se explica porque la </w:t>
      </w:r>
      <w:r w:rsidRPr="00037FAD">
        <w:rPr>
          <w:b/>
          <w:u w:val="single"/>
          <w:lang w:val="es-ES" w:eastAsia="es-MX"/>
        </w:rPr>
        <w:t>posible ausencia</w:t>
      </w:r>
      <w:r w:rsidRPr="00037FAD">
        <w:rPr>
          <w:lang w:val="es-ES" w:eastAsia="es-MX"/>
        </w:rPr>
        <w:t xml:space="preserve"> de una respuesta en la solicitud constituye un acto que vulnera el derecho de manera continua y actualizable cada día en tanto, no se emita la respuesta a la que esté impuesto el </w:t>
      </w:r>
      <w:r w:rsidRPr="00037FAD">
        <w:rPr>
          <w:b/>
          <w:lang w:val="es-ES" w:eastAsia="es-MX"/>
        </w:rPr>
        <w:t>SUJETO OBLIGADO</w:t>
      </w:r>
      <w:r w:rsidRPr="00037FAD">
        <w:rPr>
          <w:lang w:val="es-ES" w:eastAsia="es-MX"/>
        </w:rPr>
        <w:t>.</w:t>
      </w:r>
    </w:p>
    <w:p w14:paraId="49076992" w14:textId="77777777" w:rsidR="00D91CB4" w:rsidRPr="00037FAD" w:rsidRDefault="00D91CB4" w:rsidP="00037FAD">
      <w:pPr>
        <w:rPr>
          <w:rFonts w:eastAsia="Palatino Linotype" w:cs="Palatino Linotype"/>
        </w:rPr>
      </w:pPr>
    </w:p>
    <w:p w14:paraId="46C0EB3A" w14:textId="7F9781D4" w:rsidR="00A53315" w:rsidRPr="00037FAD" w:rsidRDefault="00BA55A8" w:rsidP="00037FAD">
      <w:pPr>
        <w:pStyle w:val="Ttulo3"/>
        <w:rPr>
          <w:rFonts w:eastAsia="Calibri"/>
          <w:lang w:eastAsia="es-ES_tradnl"/>
        </w:rPr>
      </w:pPr>
      <w:bookmarkStart w:id="23" w:name="_Toc184814148"/>
      <w:r w:rsidRPr="00037FAD">
        <w:rPr>
          <w:rFonts w:eastAsia="Calibri"/>
          <w:lang w:eastAsia="es-ES_tradnl"/>
        </w:rPr>
        <w:t>d)</w:t>
      </w:r>
      <w:r w:rsidR="00D91CB4" w:rsidRPr="00037FAD">
        <w:rPr>
          <w:rFonts w:eastAsia="Calibri"/>
          <w:lang w:eastAsia="es-ES_tradnl"/>
        </w:rPr>
        <w:t xml:space="preserve"> </w:t>
      </w:r>
      <w:r w:rsidR="000A1C95" w:rsidRPr="00037FAD">
        <w:rPr>
          <w:rFonts w:eastAsia="Calibri"/>
          <w:lang w:eastAsia="es-ES_tradnl"/>
        </w:rPr>
        <w:t>Causal de procedencia.</w:t>
      </w:r>
      <w:bookmarkEnd w:id="23"/>
    </w:p>
    <w:p w14:paraId="190404A6" w14:textId="30D89709" w:rsidR="00BA55A8" w:rsidRPr="00037FAD" w:rsidRDefault="000A1C95" w:rsidP="00037FAD">
      <w:r w:rsidRPr="00037FAD">
        <w:rPr>
          <w:rFonts w:cs="Arial"/>
        </w:rPr>
        <w:t>Resulta procedente la interposición del recurso de revisión, ya que se actualiza la causal de procedencia señalada en el artículo 1</w:t>
      </w:r>
      <w:r w:rsidR="005049B4" w:rsidRPr="00037FAD">
        <w:rPr>
          <w:rFonts w:cs="Arial"/>
        </w:rPr>
        <w:t>7</w:t>
      </w:r>
      <w:r w:rsidRPr="00037FAD">
        <w:rPr>
          <w:rFonts w:cs="Arial"/>
        </w:rPr>
        <w:t>9, fracción V</w:t>
      </w:r>
      <w:r w:rsidR="005049B4" w:rsidRPr="00037FAD">
        <w:rPr>
          <w:rFonts w:cs="Arial"/>
        </w:rPr>
        <w:t>I</w:t>
      </w:r>
      <w:r w:rsidRPr="00037FAD">
        <w:rPr>
          <w:rFonts w:cs="Arial"/>
        </w:rPr>
        <w:t xml:space="preserve">I de la Ley de </w:t>
      </w:r>
      <w:r w:rsidR="005049B4" w:rsidRPr="00037FAD">
        <w:rPr>
          <w:rFonts w:cs="Arial"/>
        </w:rPr>
        <w:t>Transparencia local</w:t>
      </w:r>
      <w:r w:rsidR="00BA55A8" w:rsidRPr="00037FAD">
        <w:t>.</w:t>
      </w:r>
    </w:p>
    <w:p w14:paraId="0EFF7141" w14:textId="77777777" w:rsidR="00362A11" w:rsidRPr="00037FAD" w:rsidRDefault="00362A11" w:rsidP="00037FAD"/>
    <w:p w14:paraId="2284D7EB" w14:textId="3EE1D036" w:rsidR="00BA55A8" w:rsidRPr="00037FAD" w:rsidRDefault="00362A11" w:rsidP="00037FAD">
      <w:pPr>
        <w:pStyle w:val="Ttulo3"/>
      </w:pPr>
      <w:bookmarkStart w:id="24" w:name="_Toc184814149"/>
      <w:r w:rsidRPr="00037FAD">
        <w:t>e) Requisitos formales para la interposición del recurso</w:t>
      </w:r>
      <w:bookmarkEnd w:id="24"/>
    </w:p>
    <w:p w14:paraId="6390674A" w14:textId="78A894DD" w:rsidR="00BA55A8" w:rsidRPr="00037FAD" w:rsidRDefault="00BA55A8" w:rsidP="00037FAD">
      <w:pPr>
        <w:rPr>
          <w:rFonts w:cs="Arial"/>
        </w:rPr>
      </w:pPr>
      <w:r w:rsidRPr="00037FAD">
        <w:rPr>
          <w:rFonts w:cs="Arial"/>
          <w:b/>
          <w:bCs/>
        </w:rPr>
        <w:t xml:space="preserve">LA PARTE RECURRENTE </w:t>
      </w:r>
      <w:r w:rsidRPr="00037FAD">
        <w:rPr>
          <w:rFonts w:cs="Arial"/>
        </w:rPr>
        <w:t>acreditó todos y cada uno de los elementos formales exigidos por el artículo 180 de la misma normatividad.</w:t>
      </w:r>
    </w:p>
    <w:p w14:paraId="3A121826" w14:textId="77777777" w:rsidR="00C461EC" w:rsidRPr="00037FAD" w:rsidRDefault="00C461EC" w:rsidP="00037FAD">
      <w:pPr>
        <w:ind w:left="-57"/>
        <w:rPr>
          <w:bCs/>
          <w:lang w:val="es-ES_tradnl"/>
        </w:rPr>
      </w:pPr>
    </w:p>
    <w:p w14:paraId="457548E9" w14:textId="3751D378" w:rsidR="00C71CEF" w:rsidRPr="00037FAD" w:rsidRDefault="00C71CEF" w:rsidP="00037FAD">
      <w:pPr>
        <w:pStyle w:val="Ttulo2"/>
      </w:pPr>
      <w:bookmarkStart w:id="25" w:name="_Toc184814150"/>
      <w:r w:rsidRPr="00037FAD">
        <w:t>SEGUNDO. Estudio</w:t>
      </w:r>
      <w:bookmarkEnd w:id="25"/>
    </w:p>
    <w:p w14:paraId="51A0E8B4" w14:textId="42BDD49A" w:rsidR="00664420" w:rsidRPr="00037FAD" w:rsidRDefault="00C71CEF" w:rsidP="00037FAD">
      <w:pPr>
        <w:pStyle w:val="Ttulo3"/>
        <w:rPr>
          <w:rFonts w:eastAsia="Calibri"/>
          <w:lang w:eastAsia="es-ES_tradnl"/>
        </w:rPr>
      </w:pPr>
      <w:bookmarkStart w:id="26" w:name="_Toc184814151"/>
      <w:r w:rsidRPr="00037FAD">
        <w:t>a</w:t>
      </w:r>
      <w:r w:rsidR="00C049E2" w:rsidRPr="00037FAD">
        <w:t xml:space="preserve">) </w:t>
      </w:r>
      <w:r w:rsidR="00A21A20" w:rsidRPr="00037FAD">
        <w:rPr>
          <w:rFonts w:eastAsia="Calibri"/>
          <w:lang w:eastAsia="es-ES_tradnl"/>
        </w:rPr>
        <w:t>Controversia a resolver</w:t>
      </w:r>
      <w:bookmarkEnd w:id="26"/>
    </w:p>
    <w:p w14:paraId="5DAE2A65" w14:textId="382C31A9" w:rsidR="00664420" w:rsidRPr="00037FAD" w:rsidRDefault="00664420" w:rsidP="00037FAD">
      <w:pPr>
        <w:rPr>
          <w:rFonts w:eastAsia="Calibri"/>
          <w:lang w:eastAsia="es-ES_tradnl"/>
        </w:rPr>
      </w:pPr>
      <w:r w:rsidRPr="00037FA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37FAD">
        <w:rPr>
          <w:rFonts w:eastAsia="Calibri"/>
          <w:b/>
          <w:bCs/>
          <w:lang w:eastAsia="es-ES_tradnl"/>
        </w:rPr>
        <w:t>LA PARTE RECURRENTE</w:t>
      </w:r>
      <w:r w:rsidRPr="00037FAD">
        <w:rPr>
          <w:rFonts w:eastAsia="Calibri"/>
          <w:lang w:eastAsia="es-ES_tradnl"/>
        </w:rPr>
        <w:t xml:space="preserve"> solicitó lo siguiente:</w:t>
      </w:r>
    </w:p>
    <w:p w14:paraId="245FE472" w14:textId="46851E82" w:rsidR="000A1C95" w:rsidRPr="00037FAD" w:rsidRDefault="000A1C95" w:rsidP="00037FAD">
      <w:pPr>
        <w:pStyle w:val="Puesto"/>
        <w:rPr>
          <w:rFonts w:eastAsiaTheme="minorHAnsi" w:cs="Tahoma"/>
          <w:bCs/>
          <w:szCs w:val="22"/>
          <w:lang w:eastAsia="en-US"/>
        </w:rPr>
      </w:pPr>
      <w:r w:rsidRPr="00037FAD">
        <w:lastRenderedPageBreak/>
        <w:t>“</w:t>
      </w:r>
      <w:r w:rsidR="005F0BFB" w:rsidRPr="00037FAD">
        <w:t>Se me informe cuántos servidores públicos tienen su domicilio en el Municipio de Zinacantepec, o laboraron en el municipio de Zinacantepec, actualmente laboran en ese municipio de Ocoyoacac, que incluya los puestos funcionales de cada uno. No se requiere informen nombres ni domicilios, por lo que se deberán acotar a la información que no vulnera datos personales. Así también el nombre del servidor público que solicitó su alta en nómina.</w:t>
      </w:r>
      <w:r w:rsidRPr="00037FAD">
        <w:t>”</w:t>
      </w:r>
    </w:p>
    <w:p w14:paraId="0DCBB77E" w14:textId="77777777" w:rsidR="000A1C95" w:rsidRPr="00037FAD" w:rsidRDefault="000A1C95" w:rsidP="00037FAD">
      <w:pPr>
        <w:tabs>
          <w:tab w:val="left" w:pos="4962"/>
        </w:tabs>
        <w:contextualSpacing/>
        <w:rPr>
          <w:rFonts w:eastAsiaTheme="minorHAnsi" w:cs="Tahoma"/>
          <w:bCs/>
          <w:iCs/>
          <w:szCs w:val="22"/>
          <w:lang w:eastAsia="en-US"/>
        </w:rPr>
      </w:pPr>
    </w:p>
    <w:p w14:paraId="5B4B1A97" w14:textId="77777777" w:rsidR="000A1C95" w:rsidRPr="00037FAD" w:rsidRDefault="000A1C95" w:rsidP="00037FAD">
      <w:pPr>
        <w:tabs>
          <w:tab w:val="left" w:pos="4962"/>
        </w:tabs>
        <w:contextualSpacing/>
        <w:rPr>
          <w:rFonts w:eastAsiaTheme="minorHAnsi" w:cs="Tahoma"/>
          <w:bCs/>
          <w:iCs/>
          <w:szCs w:val="22"/>
          <w:lang w:eastAsia="en-US"/>
        </w:rPr>
      </w:pPr>
      <w:r w:rsidRPr="00037FAD">
        <w:rPr>
          <w:rFonts w:eastAsiaTheme="minorHAnsi" w:cs="Tahoma"/>
          <w:bCs/>
          <w:iCs/>
          <w:szCs w:val="22"/>
          <w:lang w:eastAsia="en-US"/>
        </w:rPr>
        <w:t xml:space="preserve">Sin que existiera respuesta por parte del </w:t>
      </w:r>
      <w:r w:rsidRPr="00037FAD">
        <w:rPr>
          <w:rFonts w:eastAsiaTheme="minorHAnsi" w:cs="Tahoma"/>
          <w:b/>
          <w:iCs/>
          <w:szCs w:val="22"/>
          <w:lang w:eastAsia="en-US"/>
        </w:rPr>
        <w:t>SUJETO OBLIGADO</w:t>
      </w:r>
      <w:r w:rsidRPr="00037FAD">
        <w:rPr>
          <w:rFonts w:eastAsiaTheme="minorHAnsi" w:cs="Tahoma"/>
          <w:bCs/>
          <w:iCs/>
          <w:szCs w:val="22"/>
          <w:lang w:eastAsia="en-US"/>
        </w:rPr>
        <w:t>.</w:t>
      </w:r>
    </w:p>
    <w:p w14:paraId="6B47E713" w14:textId="77777777" w:rsidR="000A1C95" w:rsidRPr="00037FAD" w:rsidRDefault="000A1C95" w:rsidP="00037FAD">
      <w:pPr>
        <w:tabs>
          <w:tab w:val="left" w:pos="4962"/>
        </w:tabs>
        <w:contextualSpacing/>
        <w:rPr>
          <w:rFonts w:eastAsiaTheme="minorHAnsi" w:cs="Tahoma"/>
          <w:bCs/>
          <w:iCs/>
          <w:szCs w:val="22"/>
          <w:lang w:eastAsia="en-US"/>
        </w:rPr>
      </w:pPr>
    </w:p>
    <w:p w14:paraId="31DD81D7" w14:textId="5D16FDF2" w:rsidR="00664420" w:rsidRPr="00037FAD" w:rsidRDefault="00CF7586" w:rsidP="00037FAD">
      <w:pPr>
        <w:tabs>
          <w:tab w:val="left" w:pos="4962"/>
        </w:tabs>
        <w:contextualSpacing/>
        <w:rPr>
          <w:rFonts w:eastAsiaTheme="minorHAnsi" w:cs="Tahoma"/>
          <w:bCs/>
          <w:iCs/>
          <w:szCs w:val="22"/>
          <w:lang w:eastAsia="en-US"/>
        </w:rPr>
      </w:pPr>
      <w:r w:rsidRPr="00037FAD">
        <w:rPr>
          <w:rFonts w:eastAsiaTheme="minorHAnsi" w:cs="Tahoma"/>
          <w:bCs/>
          <w:iCs/>
          <w:szCs w:val="22"/>
          <w:lang w:eastAsia="en-US"/>
        </w:rPr>
        <w:t xml:space="preserve">Ahora bien, en la interposición del presente recurso </w:t>
      </w:r>
      <w:r w:rsidRPr="00037FAD">
        <w:rPr>
          <w:rFonts w:eastAsiaTheme="minorHAnsi" w:cs="Tahoma"/>
          <w:b/>
          <w:iCs/>
          <w:szCs w:val="22"/>
          <w:lang w:eastAsia="en-US"/>
        </w:rPr>
        <w:t>LA PARTE RECURRENTE</w:t>
      </w:r>
      <w:r w:rsidR="00664420" w:rsidRPr="00037FAD">
        <w:rPr>
          <w:rFonts w:eastAsiaTheme="minorHAnsi" w:cs="Tahoma"/>
          <w:bCs/>
          <w:iCs/>
          <w:szCs w:val="22"/>
          <w:lang w:eastAsia="en-US"/>
        </w:rPr>
        <w:t xml:space="preserve"> se inconformó de </w:t>
      </w:r>
      <w:r w:rsidR="005F0BFB" w:rsidRPr="00037FAD">
        <w:rPr>
          <w:rFonts w:eastAsiaTheme="minorHAnsi" w:cs="Tahoma"/>
          <w:bCs/>
          <w:iCs/>
          <w:szCs w:val="22"/>
          <w:lang w:eastAsia="en-US"/>
        </w:rPr>
        <w:t>la falta de respuesta</w:t>
      </w:r>
      <w:r w:rsidRPr="00037FAD">
        <w:rPr>
          <w:rFonts w:eastAsiaTheme="minorHAnsi" w:cs="Tahoma"/>
          <w:bCs/>
          <w:iCs/>
          <w:szCs w:val="22"/>
          <w:lang w:eastAsia="en-US"/>
        </w:rPr>
        <w:t xml:space="preserve">, por lo cual, el estudio </w:t>
      </w:r>
      <w:r w:rsidR="005B18AF" w:rsidRPr="00037FAD">
        <w:rPr>
          <w:rFonts w:eastAsiaTheme="minorHAnsi" w:cs="Tahoma"/>
          <w:bCs/>
          <w:iCs/>
          <w:szCs w:val="22"/>
          <w:lang w:eastAsia="en-US"/>
        </w:rPr>
        <w:t xml:space="preserve">se centrará en determinar si </w:t>
      </w:r>
      <w:r w:rsidR="00D2790D" w:rsidRPr="00037FAD">
        <w:rPr>
          <w:rFonts w:eastAsiaTheme="minorHAnsi" w:cs="Tahoma"/>
          <w:bCs/>
          <w:iCs/>
          <w:szCs w:val="22"/>
          <w:lang w:eastAsia="en-US"/>
        </w:rPr>
        <w:t xml:space="preserve">la información </w:t>
      </w:r>
      <w:r w:rsidR="005F0BFB" w:rsidRPr="00037FAD">
        <w:rPr>
          <w:rFonts w:eastAsiaTheme="minorHAnsi" w:cs="Tahoma"/>
          <w:bCs/>
          <w:iCs/>
          <w:szCs w:val="22"/>
          <w:lang w:eastAsia="en-US"/>
        </w:rPr>
        <w:t xml:space="preserve">fue </w:t>
      </w:r>
      <w:r w:rsidR="00D2790D" w:rsidRPr="00037FAD">
        <w:rPr>
          <w:rFonts w:eastAsiaTheme="minorHAnsi" w:cs="Tahoma"/>
          <w:bCs/>
          <w:iCs/>
          <w:szCs w:val="22"/>
          <w:lang w:eastAsia="en-US"/>
        </w:rPr>
        <w:t>entregada</w:t>
      </w:r>
      <w:r w:rsidR="005F0BFB" w:rsidRPr="00037FAD">
        <w:rPr>
          <w:rFonts w:eastAsiaTheme="minorHAnsi" w:cs="Tahoma"/>
          <w:bCs/>
          <w:iCs/>
          <w:szCs w:val="22"/>
          <w:lang w:eastAsia="en-US"/>
        </w:rPr>
        <w:t>.</w:t>
      </w:r>
    </w:p>
    <w:p w14:paraId="406C8A20" w14:textId="77777777" w:rsidR="005F0BFB" w:rsidRPr="00037FAD" w:rsidRDefault="005F0BFB" w:rsidP="00037FAD">
      <w:pPr>
        <w:tabs>
          <w:tab w:val="left" w:pos="4962"/>
        </w:tabs>
        <w:contextualSpacing/>
        <w:rPr>
          <w:rFonts w:eastAsiaTheme="minorHAnsi" w:cs="Tahoma"/>
          <w:bCs/>
          <w:iCs/>
          <w:szCs w:val="22"/>
          <w:lang w:eastAsia="en-US"/>
        </w:rPr>
      </w:pPr>
    </w:p>
    <w:p w14:paraId="414FD2D5" w14:textId="5C3DAD70" w:rsidR="00664420" w:rsidRPr="00037FAD" w:rsidRDefault="00CA27B1" w:rsidP="00037FAD">
      <w:pPr>
        <w:pStyle w:val="Ttulo3"/>
      </w:pPr>
      <w:bookmarkStart w:id="27" w:name="_Toc184814152"/>
      <w:r w:rsidRPr="00037FAD">
        <w:t>b</w:t>
      </w:r>
      <w:r w:rsidR="00A21A20" w:rsidRPr="00037FAD">
        <w:t>)</w:t>
      </w:r>
      <w:r w:rsidR="00664420" w:rsidRPr="00037FAD">
        <w:t xml:space="preserve"> </w:t>
      </w:r>
      <w:r w:rsidR="00A21A20" w:rsidRPr="00037FAD">
        <w:t>Estudio de la controversia</w:t>
      </w:r>
      <w:bookmarkEnd w:id="27"/>
    </w:p>
    <w:p w14:paraId="593629DE" w14:textId="23C8ECE1" w:rsidR="00635E1A" w:rsidRPr="00037FAD" w:rsidRDefault="00635E1A" w:rsidP="00037FAD">
      <w:pPr>
        <w:rPr>
          <w:lang w:eastAsia="es-MX"/>
        </w:rPr>
      </w:pPr>
      <w:r w:rsidRPr="00037FAD">
        <w:rPr>
          <w:rFonts w:eastAsia="Palatino Linotype" w:cs="Palatino Linotype"/>
        </w:rPr>
        <w:t>Determinado lo anterior, es</w:t>
      </w:r>
      <w:r w:rsidRPr="00037FAD">
        <w:rPr>
          <w:lang w:eastAsia="es-MX"/>
        </w:rPr>
        <w:t xml:space="preserve"> importante señalar que </w:t>
      </w:r>
      <w:r w:rsidRPr="00037FAD">
        <w:rPr>
          <w:b/>
          <w:lang w:eastAsia="es-MX"/>
        </w:rPr>
        <w:t xml:space="preserve">EL SUJETO OBLIGADO </w:t>
      </w:r>
      <w:r w:rsidRPr="00037FAD">
        <w:rPr>
          <w:lang w:eastAsia="es-MX"/>
        </w:rPr>
        <w:t xml:space="preserve">es competente para generar, recopilar, administrar, manejar, procesar, archivar o conservar la información solicitada, derivado de que éste ha asumido la misma, ya que en el </w:t>
      </w:r>
      <w:r w:rsidRPr="00037FAD">
        <w:rPr>
          <w:b/>
          <w:bCs/>
          <w:lang w:eastAsia="es-MX"/>
        </w:rPr>
        <w:t>INFORME JUSTIFICADO</w:t>
      </w:r>
      <w:r w:rsidRPr="00037FAD">
        <w:rPr>
          <w:lang w:eastAsia="es-MX"/>
        </w:rPr>
        <w:t xml:space="preserve"> atendió la solicitud de acceso a la información del particular. </w:t>
      </w:r>
    </w:p>
    <w:p w14:paraId="0DF10AFC" w14:textId="77777777" w:rsidR="00635E1A" w:rsidRPr="00037FAD" w:rsidRDefault="00635E1A" w:rsidP="00037FAD">
      <w:pPr>
        <w:widowControl w:val="0"/>
        <w:autoSpaceDE w:val="0"/>
        <w:autoSpaceDN w:val="0"/>
        <w:adjustRightInd w:val="0"/>
        <w:rPr>
          <w:rFonts w:cs="Arial"/>
          <w:sz w:val="24"/>
          <w:szCs w:val="24"/>
        </w:rPr>
      </w:pPr>
    </w:p>
    <w:p w14:paraId="733F1726" w14:textId="77777777" w:rsidR="00635E1A" w:rsidRPr="00037FAD" w:rsidRDefault="00635E1A" w:rsidP="00037FAD">
      <w:pPr>
        <w:rPr>
          <w:lang w:eastAsia="es-MX"/>
        </w:rPr>
      </w:pPr>
      <w:r w:rsidRPr="00037FAD">
        <w:rPr>
          <w:lang w:eastAsia="es-MX"/>
        </w:rPr>
        <w:t xml:space="preserve">Por lo que, el hecho de que </w:t>
      </w:r>
      <w:r w:rsidRPr="00037FAD">
        <w:rPr>
          <w:b/>
          <w:bCs/>
          <w:lang w:eastAsia="es-MX"/>
        </w:rPr>
        <w:t>EL SUJETO OBLIGADO</w:t>
      </w:r>
      <w:r w:rsidRPr="00037FAD">
        <w:rPr>
          <w:lang w:eastAsia="es-MX"/>
        </w:rPr>
        <w:t xml:space="preserve"> haya asumido contar con la información pública solicitada, aceptó que es información que genera, posee y administra, en el ejercicio de sus funciones de derecho público, motivo por el cual se actualiza el supuesto jurídico, previsto en el artículo 12 de la Ley de Transparencia y Acceso a la Información Pública del Estado de México y Municipios, que a la letra señala:</w:t>
      </w:r>
    </w:p>
    <w:p w14:paraId="5667F015" w14:textId="77777777" w:rsidR="00635E1A" w:rsidRPr="00037FAD" w:rsidRDefault="00635E1A" w:rsidP="00037FAD">
      <w:pPr>
        <w:widowControl w:val="0"/>
        <w:autoSpaceDE w:val="0"/>
        <w:autoSpaceDN w:val="0"/>
        <w:adjustRightInd w:val="0"/>
        <w:spacing w:line="240" w:lineRule="auto"/>
        <w:rPr>
          <w:sz w:val="24"/>
          <w:szCs w:val="24"/>
          <w:lang w:eastAsia="es-MX"/>
        </w:rPr>
      </w:pPr>
    </w:p>
    <w:p w14:paraId="6C724964" w14:textId="77777777" w:rsidR="00635E1A" w:rsidRPr="00037FAD" w:rsidRDefault="00635E1A" w:rsidP="00037FAD">
      <w:pPr>
        <w:pStyle w:val="Puesto"/>
        <w:rPr>
          <w:lang w:eastAsia="es-MX"/>
        </w:rPr>
      </w:pPr>
      <w:r w:rsidRPr="00037FAD">
        <w:rPr>
          <w:lang w:eastAsia="es-MX"/>
        </w:rPr>
        <w:t>“</w:t>
      </w:r>
      <w:r w:rsidRPr="00037FAD">
        <w:rPr>
          <w:b/>
          <w:bCs/>
          <w:lang w:eastAsia="es-MX"/>
        </w:rPr>
        <w:t>Artículo 12.</w:t>
      </w:r>
      <w:r w:rsidRPr="00037FAD">
        <w:rPr>
          <w:lang w:eastAsia="es-MX"/>
        </w:rPr>
        <w:t> Quienes generen, recopilen, administren, manejen, procesen, archiven o conserven información pública serán responsables de la misma en los términos de las disposiciones jurídicas aplicables.</w:t>
      </w:r>
    </w:p>
    <w:p w14:paraId="1B639C17" w14:textId="77777777" w:rsidR="00FE5729" w:rsidRPr="00037FAD" w:rsidRDefault="00FE5729" w:rsidP="00037FAD">
      <w:pPr>
        <w:rPr>
          <w:lang w:eastAsia="es-MX"/>
        </w:rPr>
      </w:pPr>
    </w:p>
    <w:p w14:paraId="32A71AEE" w14:textId="77777777" w:rsidR="00635E1A" w:rsidRPr="00037FAD" w:rsidRDefault="00635E1A" w:rsidP="00037FAD">
      <w:pPr>
        <w:pStyle w:val="Puesto"/>
        <w:rPr>
          <w:lang w:eastAsia="es-MX"/>
        </w:rPr>
      </w:pPr>
      <w:r w:rsidRPr="00037FAD">
        <w:rPr>
          <w:lang w:eastAsia="es-MX"/>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FC0F4BA" w14:textId="77777777" w:rsidR="00635E1A" w:rsidRPr="00037FAD" w:rsidRDefault="00635E1A" w:rsidP="00037FAD">
      <w:pPr>
        <w:spacing w:line="240" w:lineRule="auto"/>
        <w:ind w:left="851" w:right="902"/>
        <w:rPr>
          <w:i/>
          <w:iCs/>
          <w:szCs w:val="22"/>
          <w:lang w:eastAsia="es-MX"/>
        </w:rPr>
      </w:pPr>
    </w:p>
    <w:p w14:paraId="387967DD" w14:textId="77777777" w:rsidR="00635E1A" w:rsidRPr="00037FAD" w:rsidRDefault="00635E1A" w:rsidP="00037FAD">
      <w:pPr>
        <w:rPr>
          <w:lang w:eastAsia="es-MX"/>
        </w:rPr>
      </w:pPr>
      <w:r w:rsidRPr="00037FAD">
        <w:rPr>
          <w:lang w:eastAsia="es-MX"/>
        </w:rPr>
        <w:t xml:space="preserve">En atención a lo anterior, el estudio de la naturaleza jurídica de la información pública solicitada, tiene por objeto determinar si </w:t>
      </w:r>
      <w:r w:rsidRPr="00037FAD">
        <w:rPr>
          <w:b/>
          <w:lang w:eastAsia="es-MX"/>
        </w:rPr>
        <w:t xml:space="preserve">EL SUJETO OBLIGADO </w:t>
      </w:r>
      <w:r w:rsidRPr="00037FAD">
        <w:rPr>
          <w:lang w:eastAsia="es-MX"/>
        </w:rPr>
        <w:t>la</w:t>
      </w:r>
      <w:r w:rsidRPr="00037FAD">
        <w:rPr>
          <w:b/>
          <w:lang w:eastAsia="es-MX"/>
        </w:rPr>
        <w:t xml:space="preserve"> </w:t>
      </w:r>
      <w:r w:rsidRPr="00037FAD">
        <w:rPr>
          <w:lang w:eastAsia="es-MX"/>
        </w:rPr>
        <w:t xml:space="preserve">genera, recopila, administre, maneje, procese, archive o conserve; sin embargo, en aquellos casos en que éste la asume, a nada práctico nos conduciría su estudio, ya que como se observa de la respuesta vertida por </w:t>
      </w:r>
      <w:r w:rsidRPr="00037FAD">
        <w:rPr>
          <w:b/>
          <w:lang w:eastAsia="es-MX"/>
        </w:rPr>
        <w:t>EL SUJETO OBLIGADO</w:t>
      </w:r>
      <w:r w:rsidRPr="00037FAD">
        <w:rPr>
          <w:lang w:eastAsia="es-MX"/>
        </w:rPr>
        <w:t>, dicha información, fue admitida por el mismo; actualizándose el supuesto artículo 12 de la Ley de la materia, anteriormente referido.</w:t>
      </w:r>
    </w:p>
    <w:p w14:paraId="249254D1" w14:textId="77777777" w:rsidR="00635E1A" w:rsidRPr="00037FAD" w:rsidRDefault="00635E1A" w:rsidP="00037FAD">
      <w:pPr>
        <w:rPr>
          <w:sz w:val="24"/>
          <w:szCs w:val="24"/>
          <w:lang w:eastAsia="es-MX"/>
        </w:rPr>
      </w:pPr>
    </w:p>
    <w:p w14:paraId="55850612" w14:textId="310A67E1" w:rsidR="00635E1A" w:rsidRPr="00037FAD" w:rsidRDefault="00635E1A" w:rsidP="00037FAD">
      <w:pPr>
        <w:rPr>
          <w:lang w:eastAsia="es-MX"/>
        </w:rPr>
      </w:pPr>
      <w:r w:rsidRPr="00037FAD">
        <w:rPr>
          <w:rFonts w:eastAsia="Arial Unicode MS" w:cs="Arial"/>
        </w:rPr>
        <w:t xml:space="preserve">Una vez precisado lo anterior, se procede a analizar la información entregada por </w:t>
      </w:r>
      <w:r w:rsidRPr="00037FAD">
        <w:rPr>
          <w:rFonts w:eastAsia="Arial Unicode MS" w:cs="Arial"/>
          <w:b/>
        </w:rPr>
        <w:t xml:space="preserve">EL SUJETO OBLIGADO </w:t>
      </w:r>
      <w:r w:rsidRPr="00037FAD">
        <w:rPr>
          <w:rFonts w:eastAsia="Arial Unicode MS" w:cs="Arial"/>
        </w:rPr>
        <w:t xml:space="preserve">en Informe Justificado, </w:t>
      </w:r>
      <w:r w:rsidRPr="00037FAD">
        <w:rPr>
          <w:lang w:eastAsia="es-MX"/>
        </w:rPr>
        <w:t xml:space="preserve">a fin de determinar si cumple con los requisitos del derecho de Acceso a la Información Pública, por lo que en primer término debemos </w:t>
      </w:r>
      <w:r w:rsidR="00DF467D" w:rsidRPr="00037FAD">
        <w:rPr>
          <w:lang w:eastAsia="es-MX"/>
        </w:rPr>
        <w:t>observar</w:t>
      </w:r>
      <w:r w:rsidRPr="00037FAD">
        <w:rPr>
          <w:lang w:eastAsia="es-MX"/>
        </w:rPr>
        <w:t>:</w:t>
      </w:r>
    </w:p>
    <w:p w14:paraId="159C5391" w14:textId="77777777" w:rsidR="00635E1A" w:rsidRPr="00037FAD" w:rsidRDefault="00635E1A" w:rsidP="00037FAD">
      <w:pPr>
        <w:rPr>
          <w:lang w:eastAsia="es-MX"/>
        </w:rPr>
      </w:pPr>
    </w:p>
    <w:tbl>
      <w:tblPr>
        <w:tblStyle w:val="Tablaconcuadrcula"/>
        <w:tblW w:w="0" w:type="auto"/>
        <w:jc w:val="center"/>
        <w:tblLook w:val="04A0" w:firstRow="1" w:lastRow="0" w:firstColumn="1" w:lastColumn="0" w:noHBand="0" w:noVBand="1"/>
      </w:tblPr>
      <w:tblGrid>
        <w:gridCol w:w="3256"/>
        <w:gridCol w:w="690"/>
        <w:gridCol w:w="4696"/>
      </w:tblGrid>
      <w:tr w:rsidR="00037FAD" w:rsidRPr="00037FAD" w14:paraId="0E43698A" w14:textId="77777777" w:rsidTr="00DF467D">
        <w:trPr>
          <w:jc w:val="center"/>
        </w:trPr>
        <w:tc>
          <w:tcPr>
            <w:tcW w:w="3256" w:type="dxa"/>
          </w:tcPr>
          <w:p w14:paraId="3A7FDB33" w14:textId="3A9F0A00" w:rsidR="00635E1A" w:rsidRPr="00037FAD" w:rsidRDefault="00635E1A" w:rsidP="00037FAD">
            <w:pPr>
              <w:spacing w:line="240" w:lineRule="auto"/>
              <w:rPr>
                <w:b/>
                <w:bCs/>
                <w:sz w:val="20"/>
                <w:lang w:eastAsia="es-MX"/>
              </w:rPr>
            </w:pPr>
            <w:r w:rsidRPr="00037FAD">
              <w:rPr>
                <w:b/>
                <w:bCs/>
                <w:sz w:val="20"/>
                <w:lang w:eastAsia="es-MX"/>
              </w:rPr>
              <w:t>Lo solicitado</w:t>
            </w:r>
          </w:p>
        </w:tc>
        <w:tc>
          <w:tcPr>
            <w:tcW w:w="690" w:type="dxa"/>
            <w:vMerge w:val="restart"/>
          </w:tcPr>
          <w:p w14:paraId="5A847DE6" w14:textId="77777777" w:rsidR="00635E1A" w:rsidRPr="00037FAD" w:rsidRDefault="00635E1A" w:rsidP="00037FAD">
            <w:pPr>
              <w:spacing w:line="240" w:lineRule="auto"/>
              <w:rPr>
                <w:b/>
                <w:bCs/>
                <w:sz w:val="16"/>
                <w:szCs w:val="16"/>
                <w:lang w:eastAsia="es-MX"/>
              </w:rPr>
            </w:pPr>
            <w:r w:rsidRPr="00037FAD">
              <w:rPr>
                <w:b/>
                <w:bCs/>
                <w:sz w:val="16"/>
                <w:szCs w:val="16"/>
                <w:lang w:eastAsia="es-MX"/>
              </w:rPr>
              <w:t xml:space="preserve">NO </w:t>
            </w:r>
          </w:p>
          <w:p w14:paraId="56090C17" w14:textId="116B400A" w:rsidR="00635E1A" w:rsidRPr="00037FAD" w:rsidRDefault="00635E1A" w:rsidP="00037FAD">
            <w:pPr>
              <w:spacing w:line="240" w:lineRule="auto"/>
              <w:rPr>
                <w:b/>
                <w:bCs/>
                <w:sz w:val="16"/>
                <w:szCs w:val="16"/>
                <w:lang w:eastAsia="es-MX"/>
              </w:rPr>
            </w:pPr>
            <w:r w:rsidRPr="00037FAD">
              <w:rPr>
                <w:b/>
                <w:bCs/>
                <w:sz w:val="16"/>
                <w:szCs w:val="16"/>
                <w:lang w:eastAsia="es-MX"/>
              </w:rPr>
              <w:t>HAY</w:t>
            </w:r>
          </w:p>
        </w:tc>
        <w:tc>
          <w:tcPr>
            <w:tcW w:w="4696" w:type="dxa"/>
          </w:tcPr>
          <w:p w14:paraId="3421C305" w14:textId="39325DE6" w:rsidR="00635E1A" w:rsidRPr="00037FAD" w:rsidRDefault="00635E1A" w:rsidP="00037FAD">
            <w:pPr>
              <w:spacing w:line="240" w:lineRule="auto"/>
              <w:rPr>
                <w:b/>
                <w:bCs/>
                <w:sz w:val="20"/>
                <w:lang w:eastAsia="es-MX"/>
              </w:rPr>
            </w:pPr>
            <w:r w:rsidRPr="00037FAD">
              <w:rPr>
                <w:b/>
                <w:bCs/>
                <w:sz w:val="20"/>
                <w:lang w:eastAsia="es-MX"/>
              </w:rPr>
              <w:t>Informe Justificado</w:t>
            </w:r>
          </w:p>
        </w:tc>
      </w:tr>
      <w:tr w:rsidR="004C6A5F" w:rsidRPr="00037FAD" w14:paraId="1B06F3CD" w14:textId="77777777" w:rsidTr="00DF467D">
        <w:trPr>
          <w:trHeight w:val="2698"/>
          <w:jc w:val="center"/>
        </w:trPr>
        <w:tc>
          <w:tcPr>
            <w:tcW w:w="3256" w:type="dxa"/>
          </w:tcPr>
          <w:p w14:paraId="4B349AFD" w14:textId="6737B1C6" w:rsidR="004C6A5F" w:rsidRPr="00037FAD" w:rsidRDefault="00DF467D" w:rsidP="00037FAD">
            <w:pPr>
              <w:spacing w:line="240" w:lineRule="auto"/>
              <w:rPr>
                <w:sz w:val="20"/>
                <w:lang w:eastAsia="es-MX"/>
              </w:rPr>
            </w:pPr>
            <w:r w:rsidRPr="00037FAD">
              <w:rPr>
                <w:sz w:val="20"/>
                <w:lang w:eastAsia="es-MX"/>
              </w:rPr>
              <w:t>Se me informe cuántos servidores públicos tienen su domicilio en el Municipio de Zinacantepec, o laboraron en el municipio de Zinacantepec, actualmente laboran en ese municipio de Ocoyoacac, que incluya los puestos funcionales de cada uno. No se requiere informen nombres ni domicilios, por lo que se deberán acotar a la información que no vulnera datos personales. Así también el nombre del servidor público que solicitó su alta en nómina.</w:t>
            </w:r>
          </w:p>
        </w:tc>
        <w:tc>
          <w:tcPr>
            <w:tcW w:w="690" w:type="dxa"/>
            <w:vMerge/>
          </w:tcPr>
          <w:p w14:paraId="3C2ABD2B" w14:textId="77777777" w:rsidR="004C6A5F" w:rsidRPr="00037FAD" w:rsidRDefault="004C6A5F" w:rsidP="00037FAD">
            <w:pPr>
              <w:spacing w:line="240" w:lineRule="auto"/>
              <w:rPr>
                <w:sz w:val="20"/>
                <w:lang w:eastAsia="es-MX"/>
              </w:rPr>
            </w:pPr>
          </w:p>
        </w:tc>
        <w:tc>
          <w:tcPr>
            <w:tcW w:w="4696" w:type="dxa"/>
          </w:tcPr>
          <w:p w14:paraId="64050E9F" w14:textId="77777777" w:rsidR="004C6A5F" w:rsidRPr="00037FAD" w:rsidRDefault="004C6A5F" w:rsidP="00037FAD">
            <w:pPr>
              <w:spacing w:line="240" w:lineRule="auto"/>
              <w:rPr>
                <w:sz w:val="20"/>
                <w:lang w:eastAsia="es-MX"/>
              </w:rPr>
            </w:pPr>
            <w:r w:rsidRPr="00037FAD">
              <w:rPr>
                <w:sz w:val="20"/>
                <w:lang w:eastAsia="es-MX"/>
              </w:rPr>
              <w:t>Refiere que el municipio forma parte del domicilio, siendo un dato personal que puede hacer identificables a las personas.</w:t>
            </w:r>
          </w:p>
          <w:p w14:paraId="5BA58C43" w14:textId="77777777" w:rsidR="004C6A5F" w:rsidRPr="00037FAD" w:rsidRDefault="004C6A5F" w:rsidP="00037FAD">
            <w:pPr>
              <w:spacing w:line="240" w:lineRule="auto"/>
              <w:rPr>
                <w:sz w:val="20"/>
                <w:lang w:eastAsia="es-MX"/>
              </w:rPr>
            </w:pPr>
            <w:r w:rsidRPr="00037FAD">
              <w:rPr>
                <w:sz w:val="20"/>
                <w:lang w:eastAsia="es-MX"/>
              </w:rPr>
              <w:t>Con la finalidad de no vulnerar el derecho de acceso a la información, informa que estadísticamente son 7 personas las que laboraron en ese municipio con puestos funcionales en esa administración como auxiliares administrativos y apoyos operativos.</w:t>
            </w:r>
          </w:p>
          <w:p w14:paraId="4EA7EB9E" w14:textId="7902BBE8" w:rsidR="004C6A5F" w:rsidRPr="00037FAD" w:rsidRDefault="004C6A5F" w:rsidP="00037FAD">
            <w:pPr>
              <w:spacing w:line="240" w:lineRule="auto"/>
              <w:rPr>
                <w:sz w:val="20"/>
                <w:lang w:eastAsia="es-MX"/>
              </w:rPr>
            </w:pPr>
            <w:proofErr w:type="spellStart"/>
            <w:r w:rsidRPr="00037FAD">
              <w:rPr>
                <w:sz w:val="20"/>
                <w:lang w:eastAsia="es-MX"/>
              </w:rPr>
              <w:t>Yani</w:t>
            </w:r>
            <w:proofErr w:type="spellEnd"/>
            <w:r w:rsidRPr="00037FAD">
              <w:rPr>
                <w:sz w:val="20"/>
                <w:lang w:eastAsia="es-MX"/>
              </w:rPr>
              <w:t xml:space="preserve"> Isabel Nava, solicitó el alta en nómina.</w:t>
            </w:r>
          </w:p>
        </w:tc>
      </w:tr>
    </w:tbl>
    <w:p w14:paraId="1CCC8D00" w14:textId="16261BF0" w:rsidR="00635E1A" w:rsidRPr="00037FAD" w:rsidRDefault="00635E1A" w:rsidP="00037FAD">
      <w:pPr>
        <w:rPr>
          <w:lang w:eastAsia="es-MX"/>
        </w:rPr>
      </w:pPr>
    </w:p>
    <w:p w14:paraId="5EEDA8A7" w14:textId="470F1239" w:rsidR="00564348" w:rsidRPr="00037FAD" w:rsidRDefault="00564348" w:rsidP="00037FAD">
      <w:pPr>
        <w:rPr>
          <w:rFonts w:eastAsia="Palatino Linotype"/>
          <w:lang w:val="es-ES" w:eastAsia="es-MX"/>
        </w:rPr>
      </w:pPr>
      <w:r w:rsidRPr="00037FAD">
        <w:rPr>
          <w:rFonts w:eastAsia="Palatino Linotype" w:cs="Palatino Linotype"/>
        </w:rPr>
        <w:lastRenderedPageBreak/>
        <w:t xml:space="preserve">De los planteamientos realizados se advierte que, </w:t>
      </w:r>
      <w:r w:rsidRPr="00037FAD">
        <w:rPr>
          <w:rFonts w:eastAsia="Palatino Linotype" w:cs="Palatino Linotype"/>
          <w:b/>
          <w:bCs/>
        </w:rPr>
        <w:t xml:space="preserve">la solicitud corresponde a un derecho de petición y no así al </w:t>
      </w:r>
      <w:r w:rsidRPr="00037FAD">
        <w:rPr>
          <w:rFonts w:eastAsia="Palatino Linotype"/>
          <w:b/>
          <w:bCs/>
          <w:lang w:val="es-ES" w:eastAsia="es-MX"/>
        </w:rPr>
        <w:t>el derecho de acceso a la información pública</w:t>
      </w:r>
      <w:r w:rsidR="004C6A5F" w:rsidRPr="00037FAD">
        <w:rPr>
          <w:rFonts w:eastAsia="Palatino Linotype"/>
          <w:lang w:val="es-ES" w:eastAsia="es-MX"/>
        </w:rPr>
        <w:t xml:space="preserve">, </w:t>
      </w:r>
      <w:r w:rsidR="00DF467D" w:rsidRPr="00037FAD">
        <w:rPr>
          <w:rFonts w:eastAsia="Palatino Linotype"/>
          <w:lang w:val="es-ES" w:eastAsia="es-MX"/>
        </w:rPr>
        <w:t xml:space="preserve">el segundo de los mencionados, </w:t>
      </w:r>
      <w:r w:rsidRPr="00037FAD">
        <w:rPr>
          <w:rFonts w:eastAsia="Palatino Linotype"/>
          <w:lang w:val="es-ES" w:eastAsia="es-MX"/>
        </w:rPr>
        <w:t>implica el conocimiento de los particulares de la información contenida en los documentos que posean los órganos del Estado; incluso, se impone la obligación a las autoridades de preservar sus documentos en archivos administrativos actualizados.</w:t>
      </w:r>
    </w:p>
    <w:p w14:paraId="5E6C0906" w14:textId="77777777" w:rsidR="00564348" w:rsidRPr="00037FAD" w:rsidRDefault="00564348" w:rsidP="00037FAD">
      <w:pPr>
        <w:rPr>
          <w:rFonts w:eastAsia="Palatino Linotype"/>
          <w:lang w:val="es-ES" w:eastAsia="es-MX"/>
        </w:rPr>
      </w:pPr>
    </w:p>
    <w:p w14:paraId="71A31CC5" w14:textId="77777777" w:rsidR="00564348" w:rsidRPr="00037FAD" w:rsidRDefault="00564348" w:rsidP="00037FAD">
      <w:pPr>
        <w:rPr>
          <w:rFonts w:eastAsia="Palatino Linotype"/>
          <w:lang w:val="es-ES" w:eastAsia="es-MX"/>
        </w:rPr>
      </w:pPr>
      <w:r w:rsidRPr="00037FAD">
        <w:rPr>
          <w:rFonts w:eastAsia="Palatino Linotype"/>
          <w:lang w:val="es-ES" w:eastAsia="es-MX"/>
        </w:rPr>
        <w:t>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para cualquier persona, en los términos y condiciones que se establezcan en los tratados internacionales de los que el Estado mexicano sea parte, en la Ley General de Transparencia y Acceso a la Información Pública, la Ley de Transparencia vigente en nuestra entidad y demás disposiciones de la materia, privilegiando el principio de máxima publicidad de la información.</w:t>
      </w:r>
    </w:p>
    <w:p w14:paraId="1993997F" w14:textId="77777777" w:rsidR="00564348" w:rsidRPr="00037FAD" w:rsidRDefault="00564348" w:rsidP="00037FAD">
      <w:pPr>
        <w:rPr>
          <w:rFonts w:eastAsia="Palatino Linotype"/>
          <w:lang w:val="es-ES" w:eastAsia="es-MX"/>
        </w:rPr>
      </w:pPr>
    </w:p>
    <w:p w14:paraId="4E744E37" w14:textId="77777777" w:rsidR="00564348" w:rsidRPr="00037FAD" w:rsidRDefault="00564348" w:rsidP="00037FAD">
      <w:pPr>
        <w:rPr>
          <w:rFonts w:eastAsia="Palatino Linotype"/>
          <w:lang w:val="es-ES" w:eastAsia="es-MX"/>
        </w:rPr>
      </w:pPr>
      <w:r w:rsidRPr="00037FAD">
        <w:rPr>
          <w:rFonts w:eastAsia="Palatino Linotype"/>
          <w:lang w:val="es-ES" w:eastAsia="es-MX"/>
        </w:rPr>
        <w:t>En esa tesitura, los Sujetos Obligados deberán poner en práctica, políticas y programas de acceso a la información que se apeguen a criterios de publicidad, veracidad, oportunidad, precisión y suficiencia en beneficio de los solicitantes Por lo que, 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5EE96CD8" w14:textId="77777777" w:rsidR="00564348" w:rsidRPr="00037FAD" w:rsidRDefault="00564348" w:rsidP="00037FAD">
      <w:pPr>
        <w:rPr>
          <w:rFonts w:eastAsia="Palatino Linotype"/>
          <w:lang w:val="es-ES" w:eastAsia="es-MX"/>
        </w:rPr>
      </w:pPr>
    </w:p>
    <w:p w14:paraId="3C0184A5" w14:textId="77777777" w:rsidR="00564348" w:rsidRPr="00037FAD" w:rsidRDefault="00564348" w:rsidP="00037FAD">
      <w:pPr>
        <w:rPr>
          <w:rFonts w:eastAsia="Palatino Linotype"/>
          <w:lang w:val="es-ES" w:eastAsia="es-MX"/>
        </w:rPr>
      </w:pPr>
      <w:r w:rsidRPr="00037FAD">
        <w:rPr>
          <w:rFonts w:eastAsia="Palatino Linotype"/>
          <w:lang w:val="es-ES" w:eastAsia="es-MX"/>
        </w:rPr>
        <w:t xml:space="preserve">Ahora bien, si bien es cierto que la Constitución y la Ley de la materia otorgan a los particulares el derecho de acceder a los documentos generados o en posesión de las autoridades; también lo es que, la obligación de proporcionar información no comprende el </w:t>
      </w:r>
      <w:r w:rsidRPr="00037FAD">
        <w:rPr>
          <w:rFonts w:eastAsia="Palatino Linotype"/>
          <w:lang w:val="es-ES" w:eastAsia="es-MX"/>
        </w:rPr>
        <w:lastRenderedPageBreak/>
        <w:t>procesamiento de esta, ni el presentarla conforme al interés del solicitante ya que no estarán constreñidos a generarla, resumirla, efectuar cálculos o practicar investigaciones.</w:t>
      </w:r>
    </w:p>
    <w:p w14:paraId="214A702E" w14:textId="77777777" w:rsidR="00564348" w:rsidRPr="00037FAD" w:rsidRDefault="00564348" w:rsidP="00037FAD">
      <w:pPr>
        <w:rPr>
          <w:rFonts w:eastAsia="Palatino Linotype"/>
          <w:lang w:val="es-ES" w:eastAsia="es-MX"/>
        </w:rPr>
      </w:pPr>
    </w:p>
    <w:p w14:paraId="3FBE5E11" w14:textId="77777777" w:rsidR="00564348" w:rsidRPr="00037FAD" w:rsidRDefault="00564348" w:rsidP="00037FAD">
      <w:pPr>
        <w:rPr>
          <w:rFonts w:eastAsia="Palatino Linotype"/>
          <w:lang w:val="es-ES" w:eastAsia="es-MX"/>
        </w:rPr>
      </w:pPr>
      <w:r w:rsidRPr="00037FAD">
        <w:rPr>
          <w:rFonts w:eastAsia="Palatino Linotype"/>
          <w:lang w:val="es-ES" w:eastAsia="es-MX"/>
        </w:rPr>
        <w:t xml:space="preserve">Aunado a lo anterior, es de señalar que el doctrinario Ernesto Villanueva </w:t>
      </w:r>
      <w:proofErr w:type="spellStart"/>
      <w:r w:rsidRPr="00037FAD">
        <w:rPr>
          <w:rFonts w:eastAsia="Palatino Linotype"/>
          <w:lang w:val="es-ES" w:eastAsia="es-MX"/>
        </w:rPr>
        <w:t>Villanueva</w:t>
      </w:r>
      <w:proofErr w:type="spellEnd"/>
      <w:r w:rsidRPr="00037FAD">
        <w:rPr>
          <w:rFonts w:eastAsia="Palatino Linotype"/>
          <w:lang w:val="es-ES" w:eastAsia="es-MX"/>
        </w:rPr>
        <w:t xml:space="preserve"> define al derecho de acceso a la información como:</w:t>
      </w:r>
    </w:p>
    <w:p w14:paraId="052B855A" w14:textId="77777777" w:rsidR="00564348" w:rsidRPr="00037FAD" w:rsidRDefault="00564348" w:rsidP="00037FAD">
      <w:pPr>
        <w:spacing w:line="240" w:lineRule="auto"/>
        <w:ind w:left="567" w:right="567"/>
        <w:contextualSpacing/>
        <w:rPr>
          <w:rFonts w:eastAsia="Palatino Linotype"/>
          <w:i/>
          <w:kern w:val="28"/>
          <w:szCs w:val="56"/>
          <w:lang w:val="es-ES" w:eastAsia="es-MX"/>
        </w:rPr>
      </w:pPr>
    </w:p>
    <w:p w14:paraId="71A772A2" w14:textId="77777777" w:rsidR="00564348" w:rsidRPr="00037FAD" w:rsidRDefault="00564348" w:rsidP="00037FAD">
      <w:pPr>
        <w:spacing w:line="240" w:lineRule="auto"/>
        <w:ind w:left="567" w:right="567"/>
        <w:contextualSpacing/>
        <w:rPr>
          <w:rFonts w:eastAsia="Palatino Linotype"/>
          <w:i/>
          <w:kern w:val="28"/>
          <w:szCs w:val="22"/>
          <w:lang w:eastAsia="es-MX"/>
        </w:rPr>
      </w:pPr>
      <w:r w:rsidRPr="00037FAD">
        <w:rPr>
          <w:rFonts w:eastAsia="Palatino Linotype"/>
          <w:i/>
          <w:kern w:val="28"/>
          <w:szCs w:val="22"/>
          <w:lang w:eastAsia="es-MX"/>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(Sic)</w:t>
      </w:r>
    </w:p>
    <w:p w14:paraId="3FE59FBF" w14:textId="77777777" w:rsidR="00564348" w:rsidRPr="00037FAD" w:rsidRDefault="00564348" w:rsidP="00037FAD">
      <w:pPr>
        <w:spacing w:line="240" w:lineRule="auto"/>
        <w:ind w:left="567" w:right="567"/>
        <w:contextualSpacing/>
        <w:rPr>
          <w:rFonts w:eastAsia="Palatino Linotype"/>
          <w:i/>
          <w:kern w:val="28"/>
          <w:szCs w:val="56"/>
          <w:lang w:eastAsia="es-MX"/>
        </w:rPr>
      </w:pPr>
    </w:p>
    <w:p w14:paraId="672E35A1" w14:textId="77777777" w:rsidR="00564348" w:rsidRPr="00037FAD" w:rsidRDefault="00564348" w:rsidP="00037FAD">
      <w:pPr>
        <w:rPr>
          <w:rFonts w:eastAsia="Palatino Linotype"/>
          <w:lang w:eastAsia="es-MX"/>
        </w:rPr>
      </w:pPr>
      <w:r w:rsidRPr="00037FAD">
        <w:rPr>
          <w:rFonts w:eastAsia="Palatino Linotype"/>
          <w:lang w:eastAsia="es-MX"/>
        </w:rPr>
        <w:t>Por lo que se puede advertir que el derecho de acceso a la información pública estriba principalmente en permitir el acceso a datos, registros y todo tipo de información pública que conste en documentos ya sea generada o que se encuentre en posesión de la autoridad.</w:t>
      </w:r>
    </w:p>
    <w:p w14:paraId="72CC5A1F" w14:textId="77777777" w:rsidR="00564348" w:rsidRPr="00037FAD" w:rsidRDefault="00564348" w:rsidP="00037FAD">
      <w:pPr>
        <w:rPr>
          <w:rFonts w:eastAsia="Palatino Linotype"/>
          <w:lang w:eastAsia="es-MX"/>
        </w:rPr>
      </w:pPr>
    </w:p>
    <w:p w14:paraId="24AA4209" w14:textId="77777777" w:rsidR="00564348" w:rsidRPr="00037FAD" w:rsidRDefault="00564348" w:rsidP="00037FAD">
      <w:pPr>
        <w:rPr>
          <w:rFonts w:eastAsia="Palatino Linotype"/>
          <w:lang w:eastAsia="es-MX"/>
        </w:rPr>
      </w:pPr>
      <w:r w:rsidRPr="00037FAD">
        <w:rPr>
          <w:rFonts w:eastAsia="Palatino Linotype"/>
          <w:lang w:eastAsia="es-MX"/>
        </w:rPr>
        <w:t xml:space="preserve">Aunado a ello, es importante mencionar que del análisis de la solicitud de información en comento, se observa que el particular manifiesta una inquietud, así como los inconvenientes que ha tenido para un problema en específico, es decir, no se deduce derecho alguno de acceso a la información pública que pueda colmarse con documento, por lo que se pone en evidencia que no se está ante una hipótesis prevista por la Ley de Transparencia y Acceso a la Información Pública del Estado de México y Municipios y que constriña al </w:t>
      </w:r>
      <w:r w:rsidRPr="00037FAD">
        <w:rPr>
          <w:rFonts w:eastAsia="Palatino Linotype"/>
          <w:b/>
          <w:lang w:eastAsia="es-MX"/>
        </w:rPr>
        <w:t>SUJETO OBLIGADO</w:t>
      </w:r>
      <w:r w:rsidRPr="00037FAD">
        <w:rPr>
          <w:rFonts w:eastAsia="Palatino Linotype"/>
          <w:lang w:eastAsia="es-MX"/>
        </w:rPr>
        <w:t xml:space="preserve"> a generar, administrar o que de algún modo forme parte de sus archivos.</w:t>
      </w:r>
    </w:p>
    <w:p w14:paraId="32B426F7" w14:textId="77777777" w:rsidR="00564348" w:rsidRPr="00037FAD" w:rsidRDefault="00564348" w:rsidP="00037FAD">
      <w:pPr>
        <w:rPr>
          <w:rFonts w:eastAsia="Palatino Linotype"/>
          <w:lang w:eastAsia="es-MX"/>
        </w:rPr>
      </w:pPr>
    </w:p>
    <w:p w14:paraId="4447A773" w14:textId="19508158" w:rsidR="00564348" w:rsidRPr="00037FAD" w:rsidRDefault="00564348" w:rsidP="00037FAD">
      <w:pPr>
        <w:rPr>
          <w:rFonts w:eastAsia="Palatino Linotype"/>
          <w:lang w:eastAsia="es-MX"/>
        </w:rPr>
      </w:pPr>
      <w:r w:rsidRPr="00037FAD">
        <w:rPr>
          <w:rFonts w:eastAsia="Palatino Linotype"/>
          <w:lang w:eastAsia="es-MX"/>
        </w:rPr>
        <w:t xml:space="preserve">Bajo esa perspectiva, se advierte que la pretensión del peticionario consiste en obligar a la autoridad responsable a que actúe en el sentido de contestar lo solicitado, es así que, la entrega de una razón o un razonamiento por parte del </w:t>
      </w:r>
      <w:r w:rsidRPr="00037FAD">
        <w:rPr>
          <w:rFonts w:eastAsia="Palatino Linotype"/>
          <w:b/>
          <w:lang w:eastAsia="es-MX"/>
        </w:rPr>
        <w:t>SUJETO OBLIGADO</w:t>
      </w:r>
      <w:r w:rsidRPr="00037FAD">
        <w:rPr>
          <w:rFonts w:eastAsia="Palatino Linotype"/>
          <w:lang w:eastAsia="es-MX"/>
        </w:rPr>
        <w:t xml:space="preserve"> no es algo que la ley establezca como atribución, derecho, o facultad; pues ello implicaría un juicio de valor referente a un cuestionamiento realizado, los cuales, al constituir interrogantes, inquietudes y </w:t>
      </w:r>
      <w:r w:rsidRPr="00037FAD">
        <w:rPr>
          <w:rFonts w:eastAsia="Palatino Linotype"/>
          <w:lang w:eastAsia="es-MX"/>
        </w:rPr>
        <w:lastRenderedPageBreak/>
        <w:t>manifestaciones se satisfacen vía derecho de petición.</w:t>
      </w:r>
      <w:r w:rsidR="00DF467D" w:rsidRPr="00037FAD">
        <w:t xml:space="preserve"> Máxime cuando los SUJETOS OBLIGANOS no tienen l</w:t>
      </w:r>
      <w:r w:rsidR="00DF467D" w:rsidRPr="00037FAD">
        <w:rPr>
          <w:rFonts w:eastAsia="Palatino Linotype"/>
          <w:lang w:eastAsia="es-MX"/>
        </w:rPr>
        <w:t xml:space="preserve">a obligación de procesar la </w:t>
      </w:r>
      <w:proofErr w:type="spellStart"/>
      <w:r w:rsidR="00DF467D" w:rsidRPr="00037FAD">
        <w:rPr>
          <w:rFonts w:eastAsia="Palatino Linotype"/>
          <w:lang w:eastAsia="es-MX"/>
        </w:rPr>
        <w:t>inofrmación</w:t>
      </w:r>
      <w:proofErr w:type="spellEnd"/>
      <w:r w:rsidR="00DF467D" w:rsidRPr="00037FAD">
        <w:rPr>
          <w:rFonts w:eastAsia="Palatino Linotype"/>
          <w:lang w:eastAsia="es-MX"/>
        </w:rPr>
        <w:t xml:space="preserve">, ni el presentarla conforme al interés del solicitante; </w:t>
      </w:r>
      <w:r w:rsidR="00D27CE8" w:rsidRPr="00037FAD">
        <w:rPr>
          <w:rFonts w:eastAsia="Palatino Linotype"/>
          <w:lang w:eastAsia="es-MX"/>
        </w:rPr>
        <w:t xml:space="preserve">pues </w:t>
      </w:r>
      <w:r w:rsidR="00DF467D" w:rsidRPr="00037FAD">
        <w:rPr>
          <w:rFonts w:eastAsia="Palatino Linotype"/>
          <w:lang w:eastAsia="es-MX"/>
        </w:rPr>
        <w:t>no estarán obligados a generarla, resumirla, efectuar cálculos o practicar investigaciones.</w:t>
      </w:r>
    </w:p>
    <w:p w14:paraId="0BEFB8D4" w14:textId="77777777" w:rsidR="00564348" w:rsidRPr="00037FAD" w:rsidRDefault="00564348" w:rsidP="00037FAD">
      <w:pPr>
        <w:rPr>
          <w:rFonts w:eastAsia="Palatino Linotype"/>
          <w:lang w:eastAsia="es-MX"/>
        </w:rPr>
      </w:pPr>
    </w:p>
    <w:p w14:paraId="06924C86" w14:textId="77777777" w:rsidR="00564348" w:rsidRPr="00037FAD" w:rsidRDefault="00564348" w:rsidP="00037FAD">
      <w:pPr>
        <w:rPr>
          <w:rFonts w:eastAsia="Palatino Linotype"/>
          <w:lang w:eastAsia="es-MX"/>
        </w:rPr>
      </w:pPr>
      <w:r w:rsidRPr="00037FAD">
        <w:rPr>
          <w:rFonts w:eastAsia="Palatino Linotype"/>
          <w:lang w:eastAsia="es-MX"/>
        </w:rPr>
        <w:t xml:space="preserve">Bajo ese contexto, es importante dejar en claro lo que debe entenderse por </w:t>
      </w:r>
      <w:r w:rsidRPr="00037FAD">
        <w:rPr>
          <w:rFonts w:eastAsia="Palatino Linotype"/>
          <w:b/>
          <w:bCs/>
          <w:lang w:eastAsia="es-MX"/>
        </w:rPr>
        <w:t>derecho de petición y por derecho de acceso a la información pública</w:t>
      </w:r>
      <w:r w:rsidRPr="00037FAD">
        <w:rPr>
          <w:rFonts w:eastAsia="Palatino Linotype"/>
          <w:lang w:eastAsia="es-MX"/>
        </w:rPr>
        <w:t>.</w:t>
      </w:r>
    </w:p>
    <w:p w14:paraId="358E6A4D" w14:textId="77777777" w:rsidR="00564348" w:rsidRPr="00037FAD" w:rsidRDefault="00564348" w:rsidP="00037FAD">
      <w:pPr>
        <w:rPr>
          <w:rFonts w:eastAsia="Palatino Linotype"/>
          <w:lang w:eastAsia="es-MX"/>
        </w:rPr>
      </w:pPr>
    </w:p>
    <w:p w14:paraId="3390D999" w14:textId="77777777" w:rsidR="00564348" w:rsidRPr="00037FAD" w:rsidRDefault="00564348" w:rsidP="00037FAD">
      <w:pPr>
        <w:rPr>
          <w:rFonts w:eastAsia="Palatino Linotype"/>
          <w:lang w:eastAsia="es-MX"/>
        </w:rPr>
      </w:pPr>
      <w:r w:rsidRPr="00037FAD">
        <w:rPr>
          <w:rFonts w:eastAsia="Palatino Linotype"/>
          <w:lang w:eastAsia="es-MX"/>
        </w:rPr>
        <w:t xml:space="preserve">Por lo que respecta a la definición de </w:t>
      </w:r>
      <w:r w:rsidRPr="00037FAD">
        <w:rPr>
          <w:rFonts w:eastAsia="Palatino Linotype"/>
          <w:b/>
          <w:bCs/>
          <w:lang w:eastAsia="es-MX"/>
        </w:rPr>
        <w:t>Derecho de Petición</w:t>
      </w:r>
      <w:r w:rsidRPr="00037FAD">
        <w:rPr>
          <w:rFonts w:eastAsia="Palatino Linotype"/>
          <w:lang w:eastAsia="es-MX"/>
        </w:rPr>
        <w:t>, el Maestro Ignacio Burgoa</w:t>
      </w:r>
    </w:p>
    <w:p w14:paraId="56F8A350" w14:textId="77777777" w:rsidR="00564348" w:rsidRPr="00037FAD" w:rsidRDefault="00564348" w:rsidP="00037FAD">
      <w:pPr>
        <w:spacing w:line="240" w:lineRule="auto"/>
        <w:ind w:left="567" w:right="567"/>
        <w:contextualSpacing/>
        <w:rPr>
          <w:rFonts w:eastAsia="Palatino Linotype"/>
          <w:i/>
          <w:kern w:val="28"/>
          <w:szCs w:val="56"/>
          <w:lang w:eastAsia="es-MX"/>
        </w:rPr>
      </w:pPr>
      <w:r w:rsidRPr="00037FAD">
        <w:rPr>
          <w:rFonts w:eastAsia="Palatino Linotype"/>
          <w:i/>
          <w:kern w:val="28"/>
          <w:szCs w:val="56"/>
          <w:lang w:eastAsia="es-MX"/>
        </w:rPr>
        <w:t>Orihuela refiere:</w:t>
      </w:r>
    </w:p>
    <w:p w14:paraId="1B9E2103" w14:textId="77777777" w:rsidR="00564348" w:rsidRPr="00037FAD" w:rsidRDefault="00564348" w:rsidP="00037FAD">
      <w:pPr>
        <w:spacing w:line="240" w:lineRule="auto"/>
        <w:ind w:left="567" w:right="567"/>
        <w:contextualSpacing/>
        <w:rPr>
          <w:rFonts w:eastAsia="Palatino Linotype"/>
          <w:i/>
          <w:kern w:val="28"/>
          <w:szCs w:val="56"/>
          <w:lang w:eastAsia="es-MX"/>
        </w:rPr>
      </w:pPr>
    </w:p>
    <w:p w14:paraId="1C65279D" w14:textId="77777777" w:rsidR="00564348" w:rsidRPr="00037FAD" w:rsidRDefault="00564348" w:rsidP="00037FAD">
      <w:pPr>
        <w:spacing w:line="240" w:lineRule="auto"/>
        <w:ind w:left="567" w:right="567"/>
        <w:contextualSpacing/>
        <w:rPr>
          <w:rFonts w:eastAsia="Palatino Linotype" w:cs="Palatino Linotype"/>
          <w:i/>
          <w:kern w:val="28"/>
          <w:sz w:val="24"/>
          <w:szCs w:val="24"/>
          <w:lang w:eastAsia="es-MX"/>
        </w:rPr>
      </w:pPr>
      <w:r w:rsidRPr="00037FAD">
        <w:rPr>
          <w:rFonts w:eastAsia="Palatino Linotype" w:cs="Palatino Linotype"/>
          <w:i/>
          <w:kern w:val="28"/>
          <w:szCs w:val="22"/>
          <w:lang w:eastAsia="es-MX"/>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 “(Sic)</w:t>
      </w:r>
    </w:p>
    <w:p w14:paraId="6FAD7C5D" w14:textId="77777777" w:rsidR="00564348" w:rsidRPr="00037FAD" w:rsidRDefault="00564348" w:rsidP="00037FAD">
      <w:pPr>
        <w:spacing w:line="240" w:lineRule="auto"/>
        <w:ind w:left="567" w:right="567"/>
        <w:contextualSpacing/>
        <w:rPr>
          <w:rFonts w:eastAsia="Palatino Linotype" w:cs="Palatino Linotype"/>
          <w:i/>
          <w:kern w:val="28"/>
          <w:sz w:val="24"/>
          <w:szCs w:val="24"/>
          <w:lang w:eastAsia="es-MX"/>
        </w:rPr>
      </w:pPr>
    </w:p>
    <w:p w14:paraId="6D88DCD1" w14:textId="77777777" w:rsidR="00564348" w:rsidRPr="00037FAD" w:rsidRDefault="00564348" w:rsidP="00037FAD">
      <w:pPr>
        <w:rPr>
          <w:rFonts w:eastAsia="Palatino Linotype"/>
          <w:lang w:eastAsia="es-MX"/>
        </w:rPr>
      </w:pPr>
      <w:r w:rsidRPr="00037FAD">
        <w:rPr>
          <w:rFonts w:eastAsia="Palatino Linotype"/>
          <w:lang w:eastAsia="es-MX"/>
        </w:rPr>
        <w:t>Por su parte, David Cienfuegos Salgado, concibe al derecho de petición como:</w:t>
      </w:r>
    </w:p>
    <w:p w14:paraId="368C2075" w14:textId="77777777" w:rsidR="00564348" w:rsidRPr="00037FAD" w:rsidRDefault="00564348" w:rsidP="00037FAD">
      <w:pPr>
        <w:spacing w:line="240" w:lineRule="auto"/>
        <w:ind w:left="567" w:right="567"/>
        <w:contextualSpacing/>
        <w:rPr>
          <w:rFonts w:eastAsia="Palatino Linotype"/>
          <w:i/>
          <w:kern w:val="28"/>
          <w:szCs w:val="56"/>
          <w:lang w:eastAsia="es-MX"/>
        </w:rPr>
      </w:pPr>
    </w:p>
    <w:p w14:paraId="38C5FCF3" w14:textId="77777777" w:rsidR="00564348" w:rsidRPr="00037FAD" w:rsidRDefault="00564348" w:rsidP="00037FAD">
      <w:pPr>
        <w:spacing w:line="240" w:lineRule="auto"/>
        <w:ind w:left="567" w:right="567"/>
        <w:contextualSpacing/>
        <w:rPr>
          <w:rFonts w:eastAsia="Palatino Linotype"/>
          <w:i/>
          <w:kern w:val="28"/>
          <w:szCs w:val="56"/>
          <w:lang w:eastAsia="es-MX"/>
        </w:rPr>
      </w:pPr>
      <w:r w:rsidRPr="00037FAD">
        <w:rPr>
          <w:rFonts w:eastAsia="Palatino Linotype"/>
          <w:i/>
          <w:kern w:val="28"/>
          <w:szCs w:val="22"/>
          <w:lang w:eastAsia="es-MX"/>
        </w:rPr>
        <w:t>“el derecho de toda persona a ser escuchado por quienes ejercen el poder público.” (Sic)</w:t>
      </w:r>
    </w:p>
    <w:p w14:paraId="1E85C4F4" w14:textId="77777777" w:rsidR="00564348" w:rsidRPr="00037FAD" w:rsidRDefault="00564348" w:rsidP="00037FAD">
      <w:pPr>
        <w:spacing w:line="240" w:lineRule="auto"/>
        <w:ind w:left="567" w:right="567"/>
        <w:contextualSpacing/>
        <w:rPr>
          <w:rFonts w:eastAsia="Palatino Linotype"/>
          <w:i/>
          <w:kern w:val="28"/>
          <w:szCs w:val="56"/>
          <w:lang w:eastAsia="es-MX"/>
        </w:rPr>
      </w:pPr>
    </w:p>
    <w:p w14:paraId="0CE193D8" w14:textId="77777777" w:rsidR="00564348" w:rsidRPr="00037FAD" w:rsidRDefault="00564348" w:rsidP="00037FAD">
      <w:pPr>
        <w:rPr>
          <w:rFonts w:eastAsia="Palatino Linotype"/>
          <w:lang w:eastAsia="es-MX"/>
        </w:rPr>
      </w:pPr>
      <w:r w:rsidRPr="00037FAD">
        <w:rPr>
          <w:rFonts w:eastAsia="Palatino Linotype"/>
          <w:lang w:eastAsia="es-MX"/>
        </w:rPr>
        <w:t>Robustece lo anterior, el criterio Jurisprudencial, emitido por los Tribunales Colegiados de Circuito, encontrado en el Tomo XXXIII, de marzo de 2011, página 2167, en el Semanario Judicial de la Federación y su Gaceta Novena Época, cuyo tenor literal es el siguiente:</w:t>
      </w:r>
    </w:p>
    <w:p w14:paraId="44F178B8" w14:textId="77777777" w:rsidR="00564348" w:rsidRPr="00037FAD" w:rsidRDefault="00564348" w:rsidP="00037FAD">
      <w:pPr>
        <w:rPr>
          <w:rFonts w:eastAsia="Palatino Linotype"/>
          <w:lang w:eastAsia="es-MX"/>
        </w:rPr>
      </w:pPr>
    </w:p>
    <w:p w14:paraId="7EB10DF8" w14:textId="77777777" w:rsidR="00564348" w:rsidRPr="00037FAD" w:rsidRDefault="00564348" w:rsidP="00037FAD">
      <w:pPr>
        <w:spacing w:line="240" w:lineRule="auto"/>
        <w:ind w:left="567" w:right="567"/>
        <w:contextualSpacing/>
        <w:rPr>
          <w:rFonts w:eastAsia="Palatino Linotype"/>
          <w:i/>
          <w:kern w:val="28"/>
          <w:sz w:val="24"/>
          <w:szCs w:val="24"/>
          <w:lang w:eastAsia="es-MX"/>
        </w:rPr>
      </w:pPr>
      <w:r w:rsidRPr="00037FAD">
        <w:rPr>
          <w:rFonts w:eastAsia="Palatino Linotype"/>
          <w:i/>
          <w:kern w:val="28"/>
          <w:szCs w:val="56"/>
          <w:lang w:eastAsia="es-MX"/>
        </w:rPr>
        <w:t>“</w:t>
      </w:r>
      <w:r w:rsidRPr="00037FAD">
        <w:rPr>
          <w:rFonts w:eastAsia="Palatino Linotype"/>
          <w:b/>
          <w:i/>
          <w:kern w:val="28"/>
          <w:szCs w:val="56"/>
          <w:lang w:eastAsia="es-MX"/>
        </w:rPr>
        <w:t>DERECHO DE PETICIÓN. SUS ELEMENTOS</w:t>
      </w:r>
      <w:r w:rsidRPr="00037FAD">
        <w:rPr>
          <w:rFonts w:eastAsia="Palatino Linotype"/>
          <w:i/>
          <w:kern w:val="28"/>
          <w:szCs w:val="56"/>
          <w:lang w:eastAsia="es-MX"/>
        </w:rPr>
        <w:t xml:space="preserve">. 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w:t>
      </w:r>
      <w:r w:rsidRPr="00037FAD">
        <w:rPr>
          <w:rFonts w:eastAsia="Palatino Linotype"/>
          <w:i/>
          <w:kern w:val="28"/>
          <w:szCs w:val="56"/>
          <w:lang w:eastAsia="es-MX"/>
        </w:rPr>
        <w:lastRenderedPageBreak/>
        <w:t xml:space="preserve">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w:t>
      </w:r>
      <w:proofErr w:type="spellStart"/>
      <w:r w:rsidRPr="00037FAD">
        <w:rPr>
          <w:rFonts w:eastAsia="Palatino Linotype"/>
          <w:i/>
          <w:kern w:val="28"/>
          <w:szCs w:val="56"/>
          <w:lang w:eastAsia="es-MX"/>
        </w:rPr>
        <w:t>promovente</w:t>
      </w:r>
      <w:proofErr w:type="spellEnd"/>
      <w:r w:rsidRPr="00037FAD">
        <w:rPr>
          <w:rFonts w:eastAsia="Palatino Linotype"/>
          <w:i/>
          <w:kern w:val="28"/>
          <w:szCs w:val="56"/>
          <w:lang w:eastAsia="es-MX"/>
        </w:rPr>
        <w:t>,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6971EF35" w14:textId="77777777" w:rsidR="00564348" w:rsidRPr="00037FAD" w:rsidRDefault="00564348" w:rsidP="00037FAD">
      <w:pPr>
        <w:rPr>
          <w:rFonts w:eastAsia="Palatino Linotype"/>
          <w:lang w:eastAsia="es-MX"/>
        </w:rPr>
      </w:pPr>
    </w:p>
    <w:p w14:paraId="52F2B7DE" w14:textId="77777777" w:rsidR="00564348" w:rsidRPr="00037FAD" w:rsidRDefault="00564348" w:rsidP="00037FAD">
      <w:pPr>
        <w:rPr>
          <w:rFonts w:eastAsia="Palatino Linotype" w:cs="Palatino Linotype"/>
          <w:lang w:eastAsia="es-MX"/>
        </w:rPr>
      </w:pPr>
      <w:r w:rsidRPr="00037FAD">
        <w:rPr>
          <w:rFonts w:eastAsia="Palatino Linotype" w:cs="Palatino Linotype"/>
          <w:lang w:eastAsia="es-MX"/>
        </w:rPr>
        <w:t>Al respecto, para diferenciar el derecho de petición del derecho de acceso a la información, resulta conducente señalar que José Guadalupe Robles, conceptualiza el derecho a la información como:</w:t>
      </w:r>
    </w:p>
    <w:p w14:paraId="4484A3E7" w14:textId="77777777" w:rsidR="00564348" w:rsidRPr="00037FAD" w:rsidRDefault="00564348" w:rsidP="00037FAD">
      <w:pPr>
        <w:spacing w:line="240" w:lineRule="auto"/>
        <w:ind w:left="567" w:right="567"/>
        <w:contextualSpacing/>
        <w:rPr>
          <w:rFonts w:eastAsia="Palatino Linotype"/>
          <w:i/>
          <w:kern w:val="28"/>
          <w:szCs w:val="56"/>
          <w:lang w:eastAsia="es-MX"/>
        </w:rPr>
      </w:pPr>
    </w:p>
    <w:p w14:paraId="2F90B01B" w14:textId="77777777" w:rsidR="00564348" w:rsidRPr="00037FAD" w:rsidRDefault="00564348" w:rsidP="00037FAD">
      <w:pPr>
        <w:spacing w:line="240" w:lineRule="auto"/>
        <w:ind w:left="567" w:right="567"/>
        <w:contextualSpacing/>
        <w:rPr>
          <w:rFonts w:eastAsia="Palatino Linotype"/>
          <w:i/>
          <w:kern w:val="28"/>
          <w:szCs w:val="22"/>
          <w:lang w:eastAsia="es-MX"/>
        </w:rPr>
      </w:pPr>
      <w:r w:rsidRPr="00037FAD">
        <w:rPr>
          <w:rFonts w:eastAsia="Palatino Linotype"/>
          <w:i/>
          <w:kern w:val="28"/>
          <w:szCs w:val="22"/>
          <w:lang w:eastAsia="es-MX"/>
        </w:rPr>
        <w:t>“un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(Sic)</w:t>
      </w:r>
    </w:p>
    <w:p w14:paraId="5CC0D7D2" w14:textId="77777777" w:rsidR="00564348" w:rsidRPr="00037FAD" w:rsidRDefault="00564348" w:rsidP="00037FAD">
      <w:pPr>
        <w:spacing w:line="240" w:lineRule="auto"/>
        <w:ind w:left="567" w:right="567"/>
        <w:contextualSpacing/>
        <w:rPr>
          <w:rFonts w:eastAsia="Palatino Linotype"/>
          <w:i/>
          <w:kern w:val="28"/>
          <w:sz w:val="24"/>
          <w:szCs w:val="24"/>
          <w:lang w:eastAsia="es-MX"/>
        </w:rPr>
      </w:pPr>
    </w:p>
    <w:p w14:paraId="6D246F39" w14:textId="77777777" w:rsidR="00564348" w:rsidRPr="00037FAD" w:rsidRDefault="00564348" w:rsidP="00037FAD">
      <w:pPr>
        <w:rPr>
          <w:rFonts w:eastAsia="Calibri"/>
          <w:lang w:eastAsia="en-US"/>
        </w:rPr>
      </w:pPr>
      <w:r w:rsidRPr="00037FAD">
        <w:rPr>
          <w:rFonts w:eastAsia="Calibri"/>
          <w:lang w:eastAsia="en-US"/>
        </w:rPr>
        <w:t>Ahora bien, el artículo 4 de la Ley de Transparencia y Acceso a la Información Pública del Estado de México, establece que el derecho de acceso a la información pública implica el conocimiento de los particulares de la información contenida en los documentos que posean los órganos del estado:</w:t>
      </w:r>
    </w:p>
    <w:p w14:paraId="29CBD90A" w14:textId="77777777" w:rsidR="00564348" w:rsidRPr="00037FAD" w:rsidRDefault="00564348" w:rsidP="00037FAD">
      <w:pPr>
        <w:spacing w:line="240" w:lineRule="auto"/>
        <w:ind w:left="567" w:right="567"/>
        <w:contextualSpacing/>
        <w:rPr>
          <w:rFonts w:eastAsia="Calibri"/>
          <w:i/>
          <w:kern w:val="28"/>
          <w:szCs w:val="56"/>
          <w:lang w:eastAsia="en-US"/>
        </w:rPr>
      </w:pPr>
    </w:p>
    <w:p w14:paraId="0C522DE0" w14:textId="77777777" w:rsidR="00564348" w:rsidRPr="00037FAD" w:rsidRDefault="00564348" w:rsidP="00037FAD">
      <w:pPr>
        <w:spacing w:line="240" w:lineRule="auto"/>
        <w:ind w:left="567" w:right="567"/>
        <w:contextualSpacing/>
        <w:rPr>
          <w:rFonts w:eastAsia="Palatino Linotype" w:cs="Palatino Linotype"/>
          <w:b/>
          <w:i/>
          <w:kern w:val="28"/>
          <w:szCs w:val="22"/>
          <w:u w:val="single"/>
          <w:lang w:eastAsia="es-MX"/>
        </w:rPr>
      </w:pPr>
      <w:r w:rsidRPr="00037FAD">
        <w:rPr>
          <w:rFonts w:eastAsia="Palatino Linotype" w:cs="Palatino Linotype"/>
          <w:i/>
          <w:kern w:val="28"/>
          <w:szCs w:val="22"/>
          <w:lang w:eastAsia="es-MX"/>
        </w:rPr>
        <w:t>“</w:t>
      </w:r>
      <w:r w:rsidRPr="00037FAD">
        <w:rPr>
          <w:rFonts w:eastAsia="Palatino Linotype" w:cs="Palatino Linotype"/>
          <w:b/>
          <w:i/>
          <w:kern w:val="28"/>
          <w:szCs w:val="22"/>
          <w:lang w:eastAsia="es-MX"/>
        </w:rPr>
        <w:t>Artículo 4.</w:t>
      </w:r>
      <w:r w:rsidRPr="00037FAD">
        <w:rPr>
          <w:rFonts w:eastAsia="Palatino Linotype" w:cs="Palatino Linotype"/>
          <w:i/>
          <w:kern w:val="28"/>
          <w:szCs w:val="22"/>
          <w:lang w:eastAsia="es-MX"/>
        </w:rPr>
        <w:t xml:space="preserve"> </w:t>
      </w:r>
      <w:r w:rsidRPr="00037FAD">
        <w:rPr>
          <w:rFonts w:eastAsia="Palatino Linotype" w:cs="Palatino Linotype"/>
          <w:b/>
          <w:i/>
          <w:kern w:val="28"/>
          <w:szCs w:val="22"/>
          <w:u w:val="single"/>
          <w:lang w:eastAsia="es-MX"/>
        </w:rPr>
        <w:t>El derecho humano de acceso a la información pública es la prerrogativa de las personas para buscar, difundir, investigar, recabar, recibir y solicitar información pública, sin necesidad de acreditar personalidad ni interés jurídico.</w:t>
      </w:r>
    </w:p>
    <w:p w14:paraId="47B6AAAA" w14:textId="77777777" w:rsidR="00564348" w:rsidRPr="00037FAD" w:rsidRDefault="00564348" w:rsidP="00037FAD">
      <w:pPr>
        <w:spacing w:line="240" w:lineRule="auto"/>
        <w:ind w:left="567" w:right="567"/>
        <w:contextualSpacing/>
        <w:rPr>
          <w:rFonts w:eastAsia="Palatino Linotype" w:cs="Palatino Linotype"/>
          <w:b/>
          <w:i/>
          <w:kern w:val="28"/>
          <w:szCs w:val="22"/>
          <w:u w:val="single"/>
          <w:lang w:eastAsia="es-MX"/>
        </w:rPr>
      </w:pPr>
      <w:r w:rsidRPr="00037FAD">
        <w:rPr>
          <w:rFonts w:eastAsia="Palatino Linotype" w:cs="Palatino Linotype"/>
          <w:b/>
          <w:i/>
          <w:kern w:val="28"/>
          <w:szCs w:val="22"/>
          <w:u w:val="single"/>
          <w:lang w:eastAsia="es-MX"/>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5BE0FC1" w14:textId="77777777" w:rsidR="00564348" w:rsidRPr="00037FAD" w:rsidRDefault="00564348" w:rsidP="00037FAD">
      <w:pPr>
        <w:spacing w:line="240" w:lineRule="auto"/>
        <w:ind w:left="567" w:right="567"/>
        <w:contextualSpacing/>
        <w:rPr>
          <w:rFonts w:eastAsia="Palatino Linotype" w:cs="Palatino Linotype"/>
          <w:i/>
          <w:kern w:val="28"/>
          <w:szCs w:val="22"/>
          <w:lang w:eastAsia="es-MX"/>
        </w:rPr>
      </w:pPr>
      <w:r w:rsidRPr="00037FAD">
        <w:rPr>
          <w:rFonts w:eastAsia="Palatino Linotype" w:cs="Palatino Linotype"/>
          <w:b/>
          <w:i/>
          <w:kern w:val="28"/>
          <w:szCs w:val="22"/>
          <w:u w:val="single"/>
          <w:lang w:eastAsia="es-MX"/>
        </w:rPr>
        <w:t>Los sujetos obligados deben poner en práctica, políticas y programas de acceso a la información que se apeguen a criterios de publicidad, veracidad, oportunidad, precisión y suficiencia en beneficio de los solicitantes.</w:t>
      </w:r>
      <w:r w:rsidRPr="00037FAD">
        <w:rPr>
          <w:rFonts w:eastAsia="Palatino Linotype" w:cs="Palatino Linotype"/>
          <w:i/>
          <w:kern w:val="28"/>
          <w:szCs w:val="22"/>
          <w:lang w:eastAsia="es-MX"/>
        </w:rPr>
        <w:t>” (Sic)</w:t>
      </w:r>
    </w:p>
    <w:p w14:paraId="276F2A58" w14:textId="77777777" w:rsidR="00564348" w:rsidRPr="00037FAD" w:rsidRDefault="00564348" w:rsidP="00037FAD">
      <w:pPr>
        <w:widowControl w:val="0"/>
        <w:spacing w:line="240" w:lineRule="auto"/>
        <w:ind w:left="851" w:right="616"/>
        <w:jc w:val="right"/>
        <w:rPr>
          <w:rFonts w:eastAsia="Palatino Linotype" w:cs="Palatino Linotype"/>
          <w:sz w:val="16"/>
          <w:szCs w:val="16"/>
          <w:lang w:eastAsia="es-MX"/>
        </w:rPr>
      </w:pPr>
      <w:r w:rsidRPr="00037FAD">
        <w:rPr>
          <w:rFonts w:eastAsia="Palatino Linotype" w:cs="Palatino Linotype"/>
          <w:sz w:val="16"/>
          <w:szCs w:val="16"/>
          <w:lang w:eastAsia="es-MX"/>
        </w:rPr>
        <w:t xml:space="preserve"> (Énfasis añadido)</w:t>
      </w:r>
    </w:p>
    <w:p w14:paraId="6EB83387" w14:textId="77777777" w:rsidR="00564348" w:rsidRPr="00037FAD" w:rsidRDefault="00564348" w:rsidP="00037FAD"/>
    <w:p w14:paraId="48C2F1CB" w14:textId="77777777" w:rsidR="004C6A5F" w:rsidRPr="00037FAD" w:rsidRDefault="004C6A5F" w:rsidP="00037FAD">
      <w:r w:rsidRPr="00037FAD">
        <w:t>Como se puede observar, el planteamiento consiste en una pregunta, que no conduce a expresión documental alguna que pueda atender su planteamiento.</w:t>
      </w:r>
    </w:p>
    <w:p w14:paraId="79C2E098" w14:textId="77777777" w:rsidR="004C6A5F" w:rsidRPr="00037FAD" w:rsidRDefault="004C6A5F" w:rsidP="00037FAD">
      <w:pPr>
        <w:rPr>
          <w:rFonts w:eastAsia="Palatino Linotype" w:cs="Palatino Linotype"/>
          <w:sz w:val="24"/>
          <w:szCs w:val="24"/>
          <w:lang w:eastAsia="es-MX"/>
        </w:rPr>
      </w:pPr>
    </w:p>
    <w:p w14:paraId="442F1DFB" w14:textId="77777777" w:rsidR="004C6A5F" w:rsidRPr="00037FAD" w:rsidRDefault="004C6A5F" w:rsidP="00037FAD">
      <w:r w:rsidRPr="00037FAD">
        <w:t>En ese sentido, el requerimiento realizado por LA PARTE RECURRENTE mediante solicitud de acceso a la información pública resulta improcedente, en razón a que lo pretendido por el particular consiste en coaccionar a la autoridad responsable a que actúe enfocada a contestar a través de un documento específico; siendo que, la materia de acceso a la información versa sobre los documentos generados, obtenidos, adquiridos, transformados, administrados o en posesión de los sujetos obligados, por lo que, no puede solicitarse la elaboración de los mismos a fin de satisfacer lo pretendido por el solicitante.</w:t>
      </w:r>
    </w:p>
    <w:p w14:paraId="5E9DFC46" w14:textId="77777777" w:rsidR="004C6A5F" w:rsidRPr="00037FAD" w:rsidRDefault="004C6A5F" w:rsidP="00037FAD"/>
    <w:p w14:paraId="6DE3FE51" w14:textId="77777777" w:rsidR="004C6A5F" w:rsidRPr="00037FAD" w:rsidRDefault="004C6A5F" w:rsidP="00037FAD">
      <w:pPr>
        <w:rPr>
          <w:rFonts w:eastAsia="Palatino Linotype"/>
          <w:lang w:eastAsia="es-MX"/>
        </w:rPr>
      </w:pPr>
      <w:r w:rsidRPr="00037FAD">
        <w:rPr>
          <w:rFonts w:eastAsia="Palatino Linotype"/>
          <w:lang w:eastAsia="es-MX"/>
        </w:rPr>
        <w:t xml:space="preserve">Lo anterior es así, pues el particular pretende obtener un pronunciamiento del </w:t>
      </w:r>
      <w:r w:rsidRPr="00037FAD">
        <w:rPr>
          <w:rFonts w:eastAsia="Palatino Linotype"/>
          <w:b/>
          <w:lang w:eastAsia="es-MX"/>
        </w:rPr>
        <w:t>SUJETO OBLIGADO</w:t>
      </w:r>
      <w:r w:rsidRPr="00037FAD">
        <w:rPr>
          <w:rFonts w:eastAsia="Palatino Linotype"/>
          <w:lang w:eastAsia="es-MX"/>
        </w:rPr>
        <w:t xml:space="preserve"> respecto de las razones referidas en su solicitud y no así a información generada, obtenida, adquirida, transformada, administrada o en su posesión; mediante el ejercicio de derecho de acceso a la información.</w:t>
      </w:r>
    </w:p>
    <w:p w14:paraId="5EA0510D" w14:textId="77777777" w:rsidR="004C6A5F" w:rsidRPr="00037FAD" w:rsidRDefault="004C6A5F" w:rsidP="00037FAD">
      <w:pPr>
        <w:rPr>
          <w:rFonts w:eastAsia="Palatino Linotype"/>
          <w:lang w:eastAsia="es-MX"/>
        </w:rPr>
      </w:pPr>
    </w:p>
    <w:p w14:paraId="73F5CEBA" w14:textId="77777777" w:rsidR="004C6A5F" w:rsidRPr="00037FAD" w:rsidRDefault="004C6A5F" w:rsidP="00037FAD">
      <w:pPr>
        <w:rPr>
          <w:rFonts w:eastAsia="MS Mincho" w:cs="Arial"/>
        </w:rPr>
      </w:pPr>
      <w:r w:rsidRPr="00037FAD">
        <w:rPr>
          <w:rFonts w:eastAsia="Palatino Linotype"/>
          <w:lang w:eastAsia="es-MX"/>
        </w:rPr>
        <w:lastRenderedPageBreak/>
        <w:t xml:space="preserve">Así, nos encontramos ante la solicitud de un derecho de petición, lo que actualiza </w:t>
      </w:r>
      <w:r w:rsidRPr="00037FAD">
        <w:rPr>
          <w:rFonts w:eastAsia="MS Mincho" w:cs="Arial"/>
        </w:rPr>
        <w:t xml:space="preserve">lo dispuesto en el artículo 191 fracción VI </w:t>
      </w:r>
      <w:r w:rsidRPr="00037FAD">
        <w:rPr>
          <w:rFonts w:eastAsia="Calibri" w:cs="Arial"/>
        </w:rPr>
        <w:t>de la Ley de Transparencia y Acceso a la Información Pública del Estado de México y Municipios, el cual dispone lo siguiente:</w:t>
      </w:r>
    </w:p>
    <w:p w14:paraId="3808B4A6" w14:textId="77777777" w:rsidR="004C6A5F" w:rsidRPr="00037FAD" w:rsidRDefault="004C6A5F" w:rsidP="00037FAD">
      <w:pPr>
        <w:spacing w:line="240" w:lineRule="auto"/>
        <w:ind w:left="567" w:right="567"/>
        <w:contextualSpacing/>
        <w:rPr>
          <w:i/>
          <w:kern w:val="28"/>
          <w:szCs w:val="56"/>
        </w:rPr>
      </w:pPr>
    </w:p>
    <w:p w14:paraId="4107208B" w14:textId="77777777" w:rsidR="004C6A5F" w:rsidRPr="00037FAD" w:rsidRDefault="004C6A5F" w:rsidP="00037FAD">
      <w:pPr>
        <w:spacing w:line="240" w:lineRule="auto"/>
        <w:ind w:left="567" w:right="567"/>
        <w:contextualSpacing/>
        <w:rPr>
          <w:i/>
          <w:kern w:val="28"/>
          <w:szCs w:val="22"/>
        </w:rPr>
      </w:pPr>
      <w:r w:rsidRPr="00037FAD">
        <w:rPr>
          <w:b/>
          <w:bCs/>
          <w:i/>
          <w:kern w:val="28"/>
          <w:szCs w:val="22"/>
        </w:rPr>
        <w:t>“Artículo 191.</w:t>
      </w:r>
      <w:r w:rsidRPr="00037FAD">
        <w:rPr>
          <w:i/>
          <w:kern w:val="28"/>
          <w:szCs w:val="22"/>
        </w:rPr>
        <w:t xml:space="preserve"> El recurso será desechado por improcedente cuando:</w:t>
      </w:r>
    </w:p>
    <w:p w14:paraId="49783EF9" w14:textId="77777777" w:rsidR="004C6A5F" w:rsidRPr="00037FAD" w:rsidRDefault="004C6A5F" w:rsidP="00037FAD">
      <w:pPr>
        <w:spacing w:line="240" w:lineRule="auto"/>
        <w:ind w:left="567" w:right="567"/>
        <w:contextualSpacing/>
        <w:rPr>
          <w:i/>
          <w:kern w:val="28"/>
          <w:szCs w:val="22"/>
        </w:rPr>
      </w:pPr>
      <w:r w:rsidRPr="00037FAD">
        <w:rPr>
          <w:i/>
          <w:kern w:val="28"/>
          <w:szCs w:val="22"/>
        </w:rPr>
        <w:t xml:space="preserve">I. Sea extemporáneo por haber transcurrido el plazo establecido en la presente Ley, a partir de la respuesta; </w:t>
      </w:r>
    </w:p>
    <w:p w14:paraId="2514C56E" w14:textId="77777777" w:rsidR="004C6A5F" w:rsidRPr="00037FAD" w:rsidRDefault="004C6A5F" w:rsidP="00037FAD">
      <w:pPr>
        <w:spacing w:line="240" w:lineRule="auto"/>
        <w:ind w:left="567" w:right="567"/>
        <w:contextualSpacing/>
        <w:rPr>
          <w:i/>
          <w:kern w:val="28"/>
          <w:szCs w:val="22"/>
        </w:rPr>
      </w:pPr>
      <w:r w:rsidRPr="00037FAD">
        <w:rPr>
          <w:i/>
          <w:kern w:val="28"/>
          <w:szCs w:val="22"/>
        </w:rPr>
        <w:t xml:space="preserve">II. Se esté tramitando ante el Poder Judicial de la Federación algún recurso o medio de defensa interpuesto por el recurrente; </w:t>
      </w:r>
    </w:p>
    <w:p w14:paraId="28E6C0D0" w14:textId="77777777" w:rsidR="004C6A5F" w:rsidRPr="00037FAD" w:rsidRDefault="004C6A5F" w:rsidP="00037FAD">
      <w:pPr>
        <w:spacing w:line="240" w:lineRule="auto"/>
        <w:ind w:left="567" w:right="567"/>
        <w:contextualSpacing/>
        <w:rPr>
          <w:i/>
          <w:kern w:val="28"/>
          <w:szCs w:val="22"/>
        </w:rPr>
      </w:pPr>
      <w:r w:rsidRPr="00037FAD">
        <w:rPr>
          <w:i/>
          <w:kern w:val="28"/>
          <w:szCs w:val="22"/>
        </w:rPr>
        <w:t xml:space="preserve">III. No actualice alguno de los supuestos previstos en la presente Ley; </w:t>
      </w:r>
    </w:p>
    <w:p w14:paraId="377FB9B7" w14:textId="77777777" w:rsidR="004C6A5F" w:rsidRPr="00037FAD" w:rsidRDefault="004C6A5F" w:rsidP="00037FAD">
      <w:pPr>
        <w:spacing w:line="240" w:lineRule="auto"/>
        <w:ind w:left="567" w:right="567"/>
        <w:contextualSpacing/>
        <w:rPr>
          <w:i/>
          <w:kern w:val="28"/>
          <w:szCs w:val="22"/>
        </w:rPr>
      </w:pPr>
      <w:r w:rsidRPr="00037FAD">
        <w:rPr>
          <w:i/>
          <w:kern w:val="28"/>
          <w:szCs w:val="22"/>
        </w:rPr>
        <w:t xml:space="preserve">IV. No se haya desahogado la prevención en los términos establecidos en la presente Ley; </w:t>
      </w:r>
    </w:p>
    <w:p w14:paraId="3A046644" w14:textId="77777777" w:rsidR="004C6A5F" w:rsidRPr="00037FAD" w:rsidRDefault="004C6A5F" w:rsidP="00037FAD">
      <w:pPr>
        <w:spacing w:line="240" w:lineRule="auto"/>
        <w:ind w:left="567" w:right="567"/>
        <w:contextualSpacing/>
        <w:rPr>
          <w:i/>
          <w:kern w:val="28"/>
          <w:szCs w:val="22"/>
        </w:rPr>
      </w:pPr>
      <w:r w:rsidRPr="00037FAD">
        <w:rPr>
          <w:i/>
          <w:kern w:val="28"/>
          <w:szCs w:val="22"/>
        </w:rPr>
        <w:t xml:space="preserve">V. Se impugne la veracidad de la información proporcionada; </w:t>
      </w:r>
    </w:p>
    <w:p w14:paraId="55D40ECD" w14:textId="77777777" w:rsidR="004C6A5F" w:rsidRPr="00037FAD" w:rsidRDefault="004C6A5F" w:rsidP="00037FAD">
      <w:pPr>
        <w:spacing w:line="240" w:lineRule="auto"/>
        <w:ind w:left="567" w:right="567"/>
        <w:contextualSpacing/>
        <w:rPr>
          <w:b/>
          <w:i/>
          <w:kern w:val="28"/>
          <w:szCs w:val="22"/>
        </w:rPr>
      </w:pPr>
      <w:r w:rsidRPr="00037FAD">
        <w:rPr>
          <w:b/>
          <w:i/>
          <w:kern w:val="28"/>
          <w:szCs w:val="22"/>
        </w:rPr>
        <w:t xml:space="preserve">VI. Se trate de una consulta, o trámite en específico; y </w:t>
      </w:r>
    </w:p>
    <w:p w14:paraId="4348AEFB" w14:textId="77777777" w:rsidR="004C6A5F" w:rsidRPr="00037FAD" w:rsidRDefault="004C6A5F" w:rsidP="00037FAD">
      <w:pPr>
        <w:spacing w:line="240" w:lineRule="auto"/>
        <w:ind w:left="567" w:right="567"/>
        <w:contextualSpacing/>
        <w:rPr>
          <w:i/>
          <w:kern w:val="28"/>
          <w:szCs w:val="22"/>
        </w:rPr>
      </w:pPr>
      <w:r w:rsidRPr="00037FAD">
        <w:rPr>
          <w:i/>
          <w:kern w:val="28"/>
          <w:szCs w:val="22"/>
        </w:rPr>
        <w:t>VII. El recurrente amplíe su solicitud en el recurso de revisión, únicamente respecto de los nuevos contenidos.”</w:t>
      </w:r>
    </w:p>
    <w:p w14:paraId="566DAB39" w14:textId="77777777" w:rsidR="004C6A5F" w:rsidRPr="00037FAD" w:rsidRDefault="004C6A5F" w:rsidP="00037FAD">
      <w:pPr>
        <w:spacing w:line="240" w:lineRule="auto"/>
        <w:ind w:left="567" w:right="567"/>
        <w:contextualSpacing/>
        <w:rPr>
          <w:rFonts w:cs="Palatino Linotype"/>
          <w:i/>
          <w:kern w:val="28"/>
          <w:sz w:val="24"/>
          <w:szCs w:val="24"/>
          <w:lang w:eastAsia="es-MX"/>
        </w:rPr>
      </w:pPr>
    </w:p>
    <w:p w14:paraId="484E93F5" w14:textId="77777777" w:rsidR="004C6A5F" w:rsidRPr="00037FAD" w:rsidRDefault="004C6A5F" w:rsidP="00037FAD">
      <w:pPr>
        <w:rPr>
          <w:rFonts w:eastAsia="Palatino Linotype"/>
          <w:lang w:eastAsia="es-MX"/>
        </w:rPr>
      </w:pPr>
      <w:r w:rsidRPr="00037FAD">
        <w:rPr>
          <w:rFonts w:eastAsia="Palatino Linotype"/>
          <w:lang w:eastAsia="es-MX"/>
        </w:rPr>
        <w:t>Según se puede advertir, la fracción VI del citado precepto legal, contempla la improcedencia del recurso de revisión cuando se trate de una consulta o trámite en específico, hipótesis que se observa en la solicitud de acceso a la información pública en estudio.</w:t>
      </w:r>
    </w:p>
    <w:p w14:paraId="098EE736" w14:textId="77777777" w:rsidR="004C6A5F" w:rsidRPr="00037FAD" w:rsidRDefault="004C6A5F" w:rsidP="00037FAD">
      <w:pPr>
        <w:rPr>
          <w:rFonts w:eastAsia="Palatino Linotype"/>
          <w:lang w:eastAsia="es-MX"/>
        </w:rPr>
      </w:pPr>
    </w:p>
    <w:p w14:paraId="4A48C7DA" w14:textId="77777777" w:rsidR="004C6A5F" w:rsidRPr="00037FAD" w:rsidRDefault="004C6A5F" w:rsidP="00037FAD">
      <w:pPr>
        <w:rPr>
          <w:rFonts w:eastAsia="Calibri" w:cs="Arial"/>
        </w:rPr>
      </w:pPr>
      <w:r w:rsidRPr="00037FAD">
        <w:rPr>
          <w:rFonts w:eastAsia="Calibri" w:cs="Arial"/>
        </w:rPr>
        <w:t>Sin embargo, al haber sido admitido el recurso de revisión, aún y cuando actualiza una causal de improcedencia, es necesario traer a contexto el artículo 192 fracción IV, de la multicitada Ley de Transparencia:</w:t>
      </w:r>
    </w:p>
    <w:p w14:paraId="6527C9BD" w14:textId="77777777" w:rsidR="004C6A5F" w:rsidRPr="00037FAD" w:rsidRDefault="004C6A5F" w:rsidP="00037FAD">
      <w:pPr>
        <w:tabs>
          <w:tab w:val="left" w:pos="567"/>
        </w:tabs>
        <w:rPr>
          <w:rFonts w:eastAsia="Calibri" w:cs="Arial"/>
          <w:sz w:val="24"/>
          <w:szCs w:val="24"/>
        </w:rPr>
      </w:pPr>
    </w:p>
    <w:p w14:paraId="427345CE" w14:textId="77777777" w:rsidR="004C6A5F" w:rsidRPr="00037FAD" w:rsidRDefault="004C6A5F" w:rsidP="00037FAD">
      <w:pPr>
        <w:spacing w:line="240" w:lineRule="auto"/>
        <w:ind w:left="567" w:right="567"/>
        <w:contextualSpacing/>
        <w:rPr>
          <w:rFonts w:cs="Arial"/>
          <w:i/>
          <w:kern w:val="28"/>
          <w:szCs w:val="56"/>
        </w:rPr>
      </w:pPr>
      <w:r w:rsidRPr="00037FAD">
        <w:rPr>
          <w:i/>
          <w:kern w:val="28"/>
          <w:szCs w:val="56"/>
        </w:rPr>
        <w:t>“</w:t>
      </w:r>
      <w:r w:rsidRPr="00037FAD">
        <w:rPr>
          <w:b/>
          <w:bCs/>
          <w:i/>
          <w:kern w:val="28"/>
          <w:szCs w:val="56"/>
        </w:rPr>
        <w:t>Artículo 192.</w:t>
      </w:r>
      <w:r w:rsidRPr="00037FAD">
        <w:rPr>
          <w:i/>
          <w:kern w:val="28"/>
          <w:szCs w:val="56"/>
        </w:rPr>
        <w:t xml:space="preserve"> El recurso será sobreseído, en todo o en parte, cuando una vez admitido, se actualicen alguno de los siguientes supuestos:</w:t>
      </w:r>
    </w:p>
    <w:p w14:paraId="5B49CA20" w14:textId="77777777" w:rsidR="004C6A5F" w:rsidRPr="00037FAD" w:rsidRDefault="004C6A5F" w:rsidP="00037FAD">
      <w:pPr>
        <w:spacing w:line="240" w:lineRule="auto"/>
        <w:ind w:left="567" w:right="567"/>
        <w:contextualSpacing/>
        <w:rPr>
          <w:i/>
          <w:kern w:val="28"/>
          <w:szCs w:val="56"/>
        </w:rPr>
      </w:pPr>
      <w:r w:rsidRPr="00037FAD">
        <w:rPr>
          <w:i/>
          <w:kern w:val="28"/>
          <w:szCs w:val="56"/>
        </w:rPr>
        <w:t xml:space="preserve">I. El recurrente se desista expresamente del recurso; </w:t>
      </w:r>
    </w:p>
    <w:p w14:paraId="38DC02BF" w14:textId="77777777" w:rsidR="004C6A5F" w:rsidRPr="00037FAD" w:rsidRDefault="004C6A5F" w:rsidP="00037FAD">
      <w:pPr>
        <w:spacing w:line="240" w:lineRule="auto"/>
        <w:ind w:left="567" w:right="567"/>
        <w:contextualSpacing/>
        <w:rPr>
          <w:i/>
          <w:kern w:val="28"/>
          <w:szCs w:val="56"/>
        </w:rPr>
      </w:pPr>
      <w:r w:rsidRPr="00037FAD">
        <w:rPr>
          <w:i/>
          <w:kern w:val="28"/>
          <w:szCs w:val="56"/>
        </w:rPr>
        <w:t xml:space="preserve">II. El recurrente fallezca o, tratándose de personas jurídicas colectivas, se disuelva; </w:t>
      </w:r>
    </w:p>
    <w:p w14:paraId="6B621A0C" w14:textId="77777777" w:rsidR="004C6A5F" w:rsidRPr="00037FAD" w:rsidRDefault="004C6A5F" w:rsidP="00037FAD">
      <w:pPr>
        <w:spacing w:line="240" w:lineRule="auto"/>
        <w:ind w:left="567" w:right="567"/>
        <w:contextualSpacing/>
        <w:rPr>
          <w:b/>
          <w:bCs/>
          <w:i/>
          <w:kern w:val="28"/>
          <w:szCs w:val="56"/>
        </w:rPr>
      </w:pPr>
      <w:r w:rsidRPr="00037FAD">
        <w:rPr>
          <w:b/>
          <w:bCs/>
          <w:i/>
          <w:kern w:val="28"/>
          <w:szCs w:val="56"/>
        </w:rPr>
        <w:t xml:space="preserve">III. El sujeto obligado responsable del acto lo modifique o revoque de tal manera que el recurso de revisión quede sin materia; </w:t>
      </w:r>
    </w:p>
    <w:p w14:paraId="2D8E3532" w14:textId="77777777" w:rsidR="004C6A5F" w:rsidRPr="00037FAD" w:rsidRDefault="004C6A5F" w:rsidP="00037FAD">
      <w:pPr>
        <w:spacing w:line="240" w:lineRule="auto"/>
        <w:ind w:left="567" w:right="567"/>
        <w:contextualSpacing/>
        <w:rPr>
          <w:b/>
          <w:i/>
          <w:kern w:val="28"/>
          <w:szCs w:val="56"/>
        </w:rPr>
      </w:pPr>
      <w:r w:rsidRPr="00037FAD">
        <w:rPr>
          <w:b/>
          <w:i/>
          <w:kern w:val="28"/>
          <w:szCs w:val="56"/>
        </w:rPr>
        <w:t xml:space="preserve">IV. Admitido el recurso de revisión, aparezca alguna causal de improcedencia en los términos de la presente Ley; y </w:t>
      </w:r>
    </w:p>
    <w:p w14:paraId="439B9C4D" w14:textId="77777777" w:rsidR="004C6A5F" w:rsidRPr="00037FAD" w:rsidRDefault="004C6A5F" w:rsidP="00037FAD">
      <w:pPr>
        <w:spacing w:line="240" w:lineRule="auto"/>
        <w:ind w:left="567" w:right="567"/>
        <w:contextualSpacing/>
        <w:rPr>
          <w:rFonts w:cs="Arial"/>
          <w:i/>
          <w:kern w:val="28"/>
          <w:szCs w:val="56"/>
        </w:rPr>
      </w:pPr>
      <w:r w:rsidRPr="00037FAD">
        <w:rPr>
          <w:i/>
          <w:kern w:val="28"/>
          <w:szCs w:val="56"/>
        </w:rPr>
        <w:t>V. Cuando por cualquier motivo quede sin materia el recurso.”</w:t>
      </w:r>
    </w:p>
    <w:p w14:paraId="6BCE9ED9" w14:textId="77777777" w:rsidR="004C6A5F" w:rsidRPr="00037FAD" w:rsidRDefault="004C6A5F" w:rsidP="00037FAD">
      <w:pPr>
        <w:rPr>
          <w:rFonts w:eastAsia="Calibri" w:cs="Arial"/>
        </w:rPr>
      </w:pPr>
      <w:r w:rsidRPr="00037FAD">
        <w:rPr>
          <w:rFonts w:eastAsia="Calibri" w:cs="Arial"/>
        </w:rPr>
        <w:lastRenderedPageBreak/>
        <w:t>Es así que, el recurso de revisión actualiza la causal de sobreseimiento establecida en la fracción IV del artículo 192, en relación a la fracción VI del artículo 191, ambos de la Ley de Transparencia y Acceso a la Información Pública del Estado de México y Municipios.</w:t>
      </w:r>
    </w:p>
    <w:p w14:paraId="70B0C98A" w14:textId="77777777" w:rsidR="004C6A5F" w:rsidRPr="00037FAD" w:rsidRDefault="004C6A5F" w:rsidP="00037FAD">
      <w:pPr>
        <w:rPr>
          <w:rFonts w:eastAsia="Palatino Linotype"/>
          <w:lang w:eastAsia="es-MX"/>
        </w:rPr>
      </w:pPr>
    </w:p>
    <w:p w14:paraId="4930A3C0" w14:textId="77777777" w:rsidR="004C6A5F" w:rsidRPr="00037FAD" w:rsidRDefault="004C6A5F" w:rsidP="00037FAD">
      <w:pPr>
        <w:rPr>
          <w:rFonts w:eastAsia="MS Mincho" w:cs="Arial"/>
        </w:rPr>
      </w:pPr>
      <w:r w:rsidRPr="00037FAD">
        <w:rPr>
          <w:rFonts w:eastAsia="MS Mincho" w:cs="Arial"/>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6A06D6E3" w14:textId="77777777" w:rsidR="004C6A5F" w:rsidRPr="00037FAD" w:rsidRDefault="004C6A5F" w:rsidP="00037FAD">
      <w:pPr>
        <w:rPr>
          <w:rFonts w:eastAsia="MS Mincho"/>
        </w:rPr>
      </w:pPr>
    </w:p>
    <w:p w14:paraId="236EB003" w14:textId="77777777" w:rsidR="004C6A5F" w:rsidRPr="00037FAD" w:rsidRDefault="004C6A5F" w:rsidP="00037FAD">
      <w:pPr>
        <w:spacing w:line="240" w:lineRule="auto"/>
        <w:ind w:left="567" w:right="567"/>
        <w:rPr>
          <w:rFonts w:eastAsia="MS Mincho" w:cs="Arial"/>
          <w:i/>
          <w:szCs w:val="22"/>
        </w:rPr>
      </w:pPr>
      <w:r w:rsidRPr="00037FAD">
        <w:rPr>
          <w:rFonts w:eastAsia="MS Mincho" w:cs="Arial"/>
          <w:i/>
          <w:szCs w:val="22"/>
        </w:rPr>
        <w:t>“</w:t>
      </w:r>
      <w:r w:rsidRPr="00037FAD">
        <w:rPr>
          <w:rFonts w:eastAsia="MS Mincho" w:cs="Arial"/>
          <w:b/>
          <w:i/>
          <w:szCs w:val="22"/>
        </w:rPr>
        <w:t>SOBRESEIMIENTO EN EL JUICIO DE AMPARO DIRECTO. IMPIDE EL ESTUDIO DE LAS VIOLACIONES PROCESALES PLANTEADAS EN LOS CONCEPTOS DE VIOLACIÓN.</w:t>
      </w:r>
      <w:r w:rsidRPr="00037FAD">
        <w:rPr>
          <w:rFonts w:eastAsia="MS Mincho" w:cs="Arial"/>
          <w:i/>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68632BFE" w14:textId="77777777" w:rsidR="004C6A5F" w:rsidRPr="00037FAD" w:rsidRDefault="004C6A5F" w:rsidP="00037FAD">
      <w:pPr>
        <w:spacing w:line="240" w:lineRule="auto"/>
        <w:ind w:left="567" w:right="567"/>
        <w:rPr>
          <w:rFonts w:eastAsia="MS Mincho" w:cs="Arial"/>
          <w:i/>
          <w:szCs w:val="22"/>
        </w:rPr>
      </w:pPr>
      <w:r w:rsidRPr="00037FAD">
        <w:rPr>
          <w:rFonts w:eastAsia="MS Mincho" w:cs="Arial"/>
          <w:i/>
          <w:szCs w:val="22"/>
        </w:rPr>
        <w:t>SEPTIMO TRIBUNAL COLEGIADO EN MATERIA CIVIL DEL PRIMER CIRCUITO</w:t>
      </w:r>
    </w:p>
    <w:p w14:paraId="3F9BA55C" w14:textId="77777777" w:rsidR="004C6A5F" w:rsidRPr="00037FAD" w:rsidRDefault="004C6A5F" w:rsidP="00037FAD">
      <w:pPr>
        <w:spacing w:line="240" w:lineRule="auto"/>
        <w:ind w:left="567" w:right="567"/>
        <w:rPr>
          <w:rFonts w:eastAsia="MS Mincho" w:cs="Arial"/>
          <w:i/>
          <w:szCs w:val="22"/>
        </w:rPr>
      </w:pPr>
      <w:r w:rsidRPr="00037FAD">
        <w:rPr>
          <w:rFonts w:eastAsia="MS Mincho" w:cs="Arial"/>
          <w:i/>
          <w:szCs w:val="22"/>
        </w:rPr>
        <w:t xml:space="preserve">Amparo directo 699/2008. Mariana Leticia González </w:t>
      </w:r>
      <w:proofErr w:type="spellStart"/>
      <w:r w:rsidRPr="00037FAD">
        <w:rPr>
          <w:rFonts w:eastAsia="MS Mincho" w:cs="Arial"/>
          <w:i/>
          <w:szCs w:val="22"/>
        </w:rPr>
        <w:t>Steele</w:t>
      </w:r>
      <w:proofErr w:type="spellEnd"/>
      <w:r w:rsidRPr="00037FAD">
        <w:rPr>
          <w:rFonts w:eastAsia="MS Mincho" w:cs="Arial"/>
          <w:i/>
          <w:szCs w:val="22"/>
        </w:rPr>
        <w:t>. 13 de noviembre de 2008. Unanimidad de votos. Ponente: Sara Judith Montalvo Trejo. Secretario: Arnulfo Mateos García.”</w:t>
      </w:r>
    </w:p>
    <w:p w14:paraId="51239E73" w14:textId="77777777" w:rsidR="004C6A5F" w:rsidRPr="00037FAD" w:rsidRDefault="004C6A5F" w:rsidP="00037FAD">
      <w:pPr>
        <w:ind w:right="-91"/>
        <w:rPr>
          <w:rFonts w:eastAsia="Palatino Linotype" w:cs="Palatino Linotype"/>
          <w:sz w:val="24"/>
          <w:szCs w:val="24"/>
          <w:lang w:eastAsia="es-MX"/>
        </w:rPr>
      </w:pPr>
    </w:p>
    <w:p w14:paraId="23A6B47B" w14:textId="48D00C52" w:rsidR="003957A3" w:rsidRPr="00037FAD" w:rsidRDefault="003957A3" w:rsidP="00037FAD">
      <w:pPr>
        <w:ind w:right="-91"/>
        <w:rPr>
          <w:rFonts w:eastAsia="Palatino Linotype" w:cs="Palatino Linotype"/>
          <w:sz w:val="24"/>
          <w:szCs w:val="24"/>
          <w:lang w:eastAsia="es-MX"/>
        </w:rPr>
      </w:pPr>
      <w:r w:rsidRPr="00037FAD">
        <w:rPr>
          <w:rFonts w:eastAsia="Palatino Linotype" w:cs="Palatino Linotype"/>
          <w:sz w:val="24"/>
          <w:szCs w:val="24"/>
          <w:lang w:eastAsia="es-MX"/>
        </w:rPr>
        <w:t xml:space="preserve">Así, si bien se advierte que el </w:t>
      </w:r>
      <w:r w:rsidRPr="00037FAD">
        <w:rPr>
          <w:rFonts w:eastAsia="Palatino Linotype" w:cs="Palatino Linotype"/>
          <w:b/>
          <w:bCs/>
          <w:sz w:val="24"/>
          <w:szCs w:val="24"/>
          <w:lang w:eastAsia="es-MX"/>
        </w:rPr>
        <w:t>SUJETO OBLIGADO</w:t>
      </w:r>
      <w:r w:rsidRPr="00037FAD">
        <w:rPr>
          <w:rFonts w:eastAsia="Palatino Linotype" w:cs="Palatino Linotype"/>
          <w:sz w:val="24"/>
          <w:szCs w:val="24"/>
          <w:lang w:eastAsia="es-MX"/>
        </w:rPr>
        <w:t xml:space="preserve"> hizo entrega de una respuesta, lo cierto es que en términos del derecho de acceso a la información no estaba obligado a realizar, pues como ya se sostuvo previamente, la obligación de proporcionar información no comprende el procesamiento de la misma, ni el presentarla conforme al interés del solicitante.</w:t>
      </w:r>
    </w:p>
    <w:p w14:paraId="5767E683" w14:textId="77777777" w:rsidR="00FE5729" w:rsidRPr="00037FAD" w:rsidRDefault="00FE5729" w:rsidP="00037FAD">
      <w:pPr>
        <w:ind w:right="-91"/>
        <w:rPr>
          <w:rFonts w:eastAsia="Palatino Linotype" w:cs="Palatino Linotype"/>
          <w:sz w:val="24"/>
          <w:szCs w:val="24"/>
          <w:lang w:eastAsia="es-MX"/>
        </w:rPr>
      </w:pPr>
    </w:p>
    <w:p w14:paraId="5E828E6C" w14:textId="77777777" w:rsidR="004C6A5F" w:rsidRPr="00037FAD" w:rsidRDefault="004C6A5F" w:rsidP="00037FAD">
      <w:pPr>
        <w:rPr>
          <w:rFonts w:eastAsia="Calibri"/>
        </w:rPr>
      </w:pPr>
      <w:r w:rsidRPr="00037FAD">
        <w:rPr>
          <w:rFonts w:eastAsia="Calibri"/>
        </w:rPr>
        <w:lastRenderedPageBreak/>
        <w:t xml:space="preserve">No obstante, a efecto de no vulnerar los derechos de </w:t>
      </w:r>
      <w:r w:rsidRPr="00037FAD">
        <w:rPr>
          <w:rFonts w:eastAsia="Calibri"/>
          <w:b/>
        </w:rPr>
        <w:t>LA PARTE RECURRENTE</w:t>
      </w:r>
      <w:r w:rsidRPr="00037FAD">
        <w:rPr>
          <w:rFonts w:eastAsia="Calibri"/>
        </w:rPr>
        <w:t>, este Órgano Garante deja a salvo sus derechos para que, si así lo desea, presente una nueva solicitud de acceso a la información requiriendo documentación que sea de su interés.</w:t>
      </w:r>
    </w:p>
    <w:p w14:paraId="519EAD9C" w14:textId="77777777" w:rsidR="004C6A5F" w:rsidRPr="00037FAD" w:rsidRDefault="004C6A5F" w:rsidP="00037FAD">
      <w:pPr>
        <w:rPr>
          <w:rFonts w:eastAsia="Palatino Linotype" w:cs="Palatino Linotype"/>
          <w:lang w:eastAsia="es-MX"/>
        </w:rPr>
      </w:pPr>
    </w:p>
    <w:p w14:paraId="5B0AF64E" w14:textId="24264342" w:rsidR="004C6A5F" w:rsidRPr="00037FAD" w:rsidRDefault="004C6A5F" w:rsidP="00037FAD">
      <w:pPr>
        <w:pStyle w:val="Prrafodelista"/>
        <w:keepNext/>
        <w:keepLines/>
        <w:numPr>
          <w:ilvl w:val="0"/>
          <w:numId w:val="17"/>
        </w:numPr>
        <w:spacing w:line="480" w:lineRule="auto"/>
        <w:jc w:val="left"/>
        <w:outlineLvl w:val="2"/>
        <w:rPr>
          <w:b/>
          <w:szCs w:val="28"/>
        </w:rPr>
      </w:pPr>
      <w:bookmarkStart w:id="28" w:name="_Toc178101322"/>
      <w:bookmarkStart w:id="29" w:name="_Toc184056098"/>
      <w:bookmarkStart w:id="30" w:name="_Toc184814153"/>
      <w:r w:rsidRPr="00037FAD">
        <w:rPr>
          <w:b/>
          <w:szCs w:val="28"/>
        </w:rPr>
        <w:t>Conclusión</w:t>
      </w:r>
      <w:bookmarkEnd w:id="28"/>
      <w:bookmarkEnd w:id="29"/>
      <w:bookmarkEnd w:id="30"/>
    </w:p>
    <w:p w14:paraId="4E9807CB" w14:textId="77777777" w:rsidR="004C6A5F" w:rsidRPr="00037FAD" w:rsidRDefault="004C6A5F" w:rsidP="00037FAD">
      <w:pPr>
        <w:rPr>
          <w:rFonts w:eastAsia="Calibri"/>
          <w:b/>
          <w:lang w:val="es-ES"/>
        </w:rPr>
      </w:pPr>
      <w:r w:rsidRPr="00037FAD">
        <w:t>Al haberse evidenciado que la solicitud de información consiste en una consulta, es procedente sobreseer el Recurso de Revisión.</w:t>
      </w:r>
    </w:p>
    <w:p w14:paraId="396FE172" w14:textId="77777777" w:rsidR="004C6A5F" w:rsidRPr="00037FAD" w:rsidRDefault="004C6A5F" w:rsidP="00037FAD"/>
    <w:p w14:paraId="14289F12" w14:textId="77777777" w:rsidR="004C6A5F" w:rsidRPr="00037FAD" w:rsidRDefault="004C6A5F" w:rsidP="00037FAD">
      <w:r w:rsidRPr="00037FAD">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56B220B" w14:textId="1D687790" w:rsidR="004C6A5F" w:rsidRDefault="004C6A5F" w:rsidP="00037FAD"/>
    <w:p w14:paraId="4BBF98BE" w14:textId="77777777" w:rsidR="00037FAD" w:rsidRPr="00037FAD" w:rsidRDefault="00037FAD" w:rsidP="00037FAD"/>
    <w:p w14:paraId="2A05FC27" w14:textId="77777777" w:rsidR="004C6A5F" w:rsidRPr="00037FAD" w:rsidRDefault="004C6A5F" w:rsidP="00037FAD">
      <w:pPr>
        <w:keepNext/>
        <w:keepLines/>
        <w:jc w:val="center"/>
        <w:outlineLvl w:val="0"/>
        <w:rPr>
          <w:b/>
          <w:szCs w:val="40"/>
        </w:rPr>
      </w:pPr>
      <w:bookmarkStart w:id="31" w:name="_Toc178101323"/>
      <w:bookmarkStart w:id="32" w:name="_Toc184056099"/>
      <w:bookmarkStart w:id="33" w:name="_Toc184814154"/>
      <w:r w:rsidRPr="00037FAD">
        <w:rPr>
          <w:b/>
          <w:szCs w:val="40"/>
        </w:rPr>
        <w:t>RESUELVE</w:t>
      </w:r>
      <w:bookmarkEnd w:id="31"/>
      <w:bookmarkEnd w:id="32"/>
      <w:bookmarkEnd w:id="33"/>
    </w:p>
    <w:p w14:paraId="42A73D42" w14:textId="77777777" w:rsidR="004C6A5F" w:rsidRPr="00037FAD" w:rsidRDefault="004C6A5F" w:rsidP="00037FAD">
      <w:pPr>
        <w:ind w:right="113"/>
        <w:rPr>
          <w:rFonts w:cs="Arial"/>
          <w:b/>
          <w:szCs w:val="22"/>
        </w:rPr>
      </w:pPr>
    </w:p>
    <w:p w14:paraId="436F7F85" w14:textId="0CD391AD" w:rsidR="00FE5729" w:rsidRPr="00037FAD" w:rsidRDefault="004C6A5F" w:rsidP="00037FAD">
      <w:pPr>
        <w:rPr>
          <w:lang w:val="es-ES"/>
        </w:rPr>
      </w:pPr>
      <w:r w:rsidRPr="00037FAD">
        <w:rPr>
          <w:b/>
          <w:bCs/>
        </w:rPr>
        <w:t>PRIMERO.</w:t>
      </w:r>
      <w:r w:rsidRPr="00037FAD">
        <w:t xml:space="preserve"> </w:t>
      </w:r>
      <w:r w:rsidR="00FE5729" w:rsidRPr="00037FAD">
        <w:t xml:space="preserve">Se </w:t>
      </w:r>
      <w:r w:rsidR="00FE5729" w:rsidRPr="00037FAD">
        <w:rPr>
          <w:b/>
        </w:rPr>
        <w:t>SOBRESEE</w:t>
      </w:r>
      <w:r w:rsidR="00FE5729" w:rsidRPr="00037FAD">
        <w:t xml:space="preserve"> el Recurso de Revisión número </w:t>
      </w:r>
      <w:r w:rsidR="00FE5729" w:rsidRPr="00037FAD">
        <w:rPr>
          <w:rFonts w:eastAsia="Palatino Linotype" w:cs="Palatino Linotype"/>
          <w:b/>
        </w:rPr>
        <w:t xml:space="preserve">07202/INFOEM/IP/RR/2024 </w:t>
      </w:r>
      <w:r w:rsidR="00FE5729" w:rsidRPr="00037FAD">
        <w:rPr>
          <w:lang w:val="es-ES"/>
        </w:rPr>
        <w:t xml:space="preserve">porque una vez admitido se actualizó la causal establecida en el artículo 192 fracción IV, </w:t>
      </w:r>
      <w:r w:rsidR="00FE5729" w:rsidRPr="00037FAD">
        <w:t>por</w:t>
      </w:r>
      <w:r w:rsidR="00FE5729" w:rsidRPr="00037FAD">
        <w:rPr>
          <w:lang w:val="es-ES"/>
        </w:rPr>
        <w:t xml:space="preserve"> ser improcedente en términos de la </w:t>
      </w:r>
      <w:r w:rsidR="00FE5729" w:rsidRPr="00037FAD">
        <w:rPr>
          <w:lang w:eastAsia="es-ES_tradnl"/>
        </w:rPr>
        <w:t>Ley de Transparencia y Acceso a la Información Pública del Estado de México y Municipios</w:t>
      </w:r>
      <w:r w:rsidR="00FE5729" w:rsidRPr="00037FAD">
        <w:rPr>
          <w:lang w:val="es-ES"/>
        </w:rPr>
        <w:t xml:space="preserve">, en términos del Considerando </w:t>
      </w:r>
      <w:r w:rsidR="00FE5729" w:rsidRPr="00037FAD">
        <w:rPr>
          <w:b/>
          <w:lang w:val="es-ES"/>
        </w:rPr>
        <w:t>SEGUNDO</w:t>
      </w:r>
      <w:r w:rsidR="00FE5729" w:rsidRPr="00037FAD">
        <w:rPr>
          <w:lang w:val="es-ES"/>
        </w:rPr>
        <w:t xml:space="preserve"> de la presente resolución.</w:t>
      </w:r>
    </w:p>
    <w:p w14:paraId="22A9938A" w14:textId="0E3C8964" w:rsidR="004C6A5F" w:rsidRPr="00037FAD" w:rsidRDefault="004C6A5F" w:rsidP="00037FAD">
      <w:pPr>
        <w:rPr>
          <w:rFonts w:eastAsia="Calibri" w:cs="Tahoma"/>
          <w:bCs/>
          <w:szCs w:val="22"/>
          <w:lang w:eastAsia="en-US"/>
        </w:rPr>
      </w:pPr>
    </w:p>
    <w:p w14:paraId="5E8DDF9C" w14:textId="77777777" w:rsidR="004C6A5F" w:rsidRPr="00037FAD" w:rsidRDefault="004C6A5F" w:rsidP="00037FAD">
      <w:r w:rsidRPr="00037FAD">
        <w:rPr>
          <w:b/>
        </w:rPr>
        <w:t>SEGUNDO.</w:t>
      </w:r>
      <w:r w:rsidRPr="00037FAD">
        <w:t xml:space="preserve"> </w:t>
      </w:r>
      <w:r w:rsidRPr="00037FAD">
        <w:rPr>
          <w:b/>
        </w:rPr>
        <w:t>Notifíquese</w:t>
      </w:r>
      <w:r w:rsidRPr="00037FAD">
        <w:t xml:space="preserve"> vía </w:t>
      </w:r>
      <w:r w:rsidRPr="00037FAD">
        <w:rPr>
          <w:b/>
        </w:rPr>
        <w:t>SAIMEX</w:t>
      </w:r>
      <w:r w:rsidRPr="00037FAD">
        <w:t xml:space="preserve"> la presente resolución al Titular de la Unidad de Transparencia del </w:t>
      </w:r>
      <w:r w:rsidRPr="00037FAD">
        <w:rPr>
          <w:b/>
        </w:rPr>
        <w:t>SUJETO OBLIGADO</w:t>
      </w:r>
      <w:r w:rsidRPr="00037FAD">
        <w:t>, para su conocimiento.</w:t>
      </w:r>
    </w:p>
    <w:p w14:paraId="03C852A5" w14:textId="77777777" w:rsidR="004C6A5F" w:rsidRPr="00037FAD" w:rsidRDefault="004C6A5F" w:rsidP="00037FAD"/>
    <w:p w14:paraId="371737CB" w14:textId="77777777" w:rsidR="004C6A5F" w:rsidRPr="00037FAD" w:rsidRDefault="004C6A5F" w:rsidP="00037FAD">
      <w:r w:rsidRPr="00037FAD">
        <w:rPr>
          <w:b/>
        </w:rPr>
        <w:lastRenderedPageBreak/>
        <w:t>TERCERO.</w:t>
      </w:r>
      <w:r w:rsidRPr="00037FAD">
        <w:t xml:space="preserve"> </w:t>
      </w:r>
      <w:r w:rsidRPr="00037FAD">
        <w:rPr>
          <w:b/>
          <w:szCs w:val="17"/>
          <w:lang w:eastAsia="es-ES_tradnl"/>
        </w:rPr>
        <w:t>Notifíquese</w:t>
      </w:r>
      <w:r w:rsidRPr="00037FAD">
        <w:rPr>
          <w:szCs w:val="17"/>
          <w:lang w:eastAsia="es-ES_tradnl"/>
        </w:rPr>
        <w:t xml:space="preserve"> a </w:t>
      </w:r>
      <w:r w:rsidRPr="00037FAD">
        <w:rPr>
          <w:b/>
        </w:rPr>
        <w:t xml:space="preserve">LA PARTE </w:t>
      </w:r>
      <w:r w:rsidRPr="00037FAD">
        <w:rPr>
          <w:b/>
          <w:szCs w:val="17"/>
          <w:lang w:eastAsia="es-ES_tradnl"/>
        </w:rPr>
        <w:t>RECURRENTE</w:t>
      </w:r>
      <w:r w:rsidRPr="00037FAD">
        <w:rPr>
          <w:szCs w:val="17"/>
          <w:lang w:eastAsia="es-ES_tradnl"/>
        </w:rPr>
        <w:t xml:space="preserve"> la presente resolución vía </w:t>
      </w:r>
      <w:r w:rsidRPr="00037FAD">
        <w:rPr>
          <w:rFonts w:cs="Arial"/>
          <w:b/>
          <w:bCs/>
          <w:lang w:eastAsia="es-MX"/>
        </w:rPr>
        <w:t>SAIMEX</w:t>
      </w:r>
      <w:r w:rsidRPr="00037FAD">
        <w:rPr>
          <w:rFonts w:cs="Arial"/>
          <w:lang w:eastAsia="es-MX"/>
        </w:rPr>
        <w:t>.</w:t>
      </w:r>
    </w:p>
    <w:p w14:paraId="10C434E6" w14:textId="77777777" w:rsidR="004C6A5F" w:rsidRPr="00037FAD" w:rsidRDefault="004C6A5F" w:rsidP="00037FAD"/>
    <w:p w14:paraId="522E2057" w14:textId="77777777" w:rsidR="004C6A5F" w:rsidRPr="00037FAD" w:rsidRDefault="004C6A5F" w:rsidP="00037FAD">
      <w:r w:rsidRPr="00037FAD">
        <w:rPr>
          <w:b/>
        </w:rPr>
        <w:t>CUARTO.</w:t>
      </w:r>
      <w:r w:rsidRPr="00037FAD">
        <w:t xml:space="preserve"> </w:t>
      </w:r>
      <w:r w:rsidRPr="00037FAD">
        <w:rPr>
          <w:b/>
          <w:lang w:eastAsia="es-ES_tradnl"/>
        </w:rPr>
        <w:t>Hágase</w:t>
      </w:r>
      <w:r w:rsidRPr="00037FAD">
        <w:rPr>
          <w:lang w:eastAsia="es-ES_tradnl"/>
        </w:rPr>
        <w:t xml:space="preserve"> </w:t>
      </w:r>
      <w:r w:rsidRPr="00037FAD">
        <w:rPr>
          <w:b/>
          <w:lang w:eastAsia="es-ES_tradnl"/>
        </w:rPr>
        <w:t xml:space="preserve">del </w:t>
      </w:r>
      <w:r w:rsidRPr="00037FAD">
        <w:rPr>
          <w:b/>
          <w:lang w:eastAsia="es-MX"/>
        </w:rPr>
        <w:t>conocimiento</w:t>
      </w:r>
      <w:r w:rsidRPr="00037FAD">
        <w:rPr>
          <w:b/>
          <w:lang w:eastAsia="es-ES_tradnl"/>
        </w:rPr>
        <w:t xml:space="preserve"> </w:t>
      </w:r>
      <w:r w:rsidRPr="00037FAD">
        <w:rPr>
          <w:lang w:eastAsia="es-ES_tradnl"/>
        </w:rPr>
        <w:t>de</w:t>
      </w:r>
      <w:r w:rsidRPr="00037FAD">
        <w:rPr>
          <w:rFonts w:ascii="Times New Roman" w:hAnsi="Times New Roman"/>
          <w:lang w:eastAsia="es-MX"/>
        </w:rPr>
        <w:t xml:space="preserve"> </w:t>
      </w:r>
      <w:r w:rsidRPr="00037FAD">
        <w:rPr>
          <w:b/>
          <w:bCs/>
          <w:lang w:eastAsia="es-ES_tradnl"/>
        </w:rPr>
        <w:t>LA PARTE</w:t>
      </w:r>
      <w:r w:rsidRPr="00037FAD">
        <w:rPr>
          <w:lang w:eastAsia="es-ES_tradnl"/>
        </w:rPr>
        <w:t xml:space="preserve"> </w:t>
      </w:r>
      <w:r w:rsidRPr="00037FAD">
        <w:rPr>
          <w:b/>
          <w:lang w:eastAsia="es-ES_tradnl"/>
        </w:rPr>
        <w:t>RECURRENTE</w:t>
      </w:r>
      <w:r w:rsidRPr="00037FAD">
        <w:rPr>
          <w:lang w:eastAsia="es-ES_tradnl"/>
        </w:rPr>
        <w:t xml:space="preserve">, que de </w:t>
      </w:r>
      <w:r w:rsidRPr="00037FAD">
        <w:rPr>
          <w:lang w:eastAsia="es-MX"/>
        </w:rPr>
        <w:t>conformidad</w:t>
      </w:r>
      <w:r w:rsidRPr="00037FAD">
        <w:rPr>
          <w:lang w:eastAsia="es-ES_tradnl"/>
        </w:rPr>
        <w:t xml:space="preserve"> </w:t>
      </w:r>
      <w:r w:rsidRPr="00037FAD">
        <w:rPr>
          <w:rFonts w:cs="Arial"/>
          <w:lang w:eastAsia="es-MX"/>
        </w:rPr>
        <w:t>con</w:t>
      </w:r>
      <w:r w:rsidRPr="00037FAD">
        <w:rPr>
          <w:lang w:eastAsia="es-ES_tradnl"/>
        </w:rPr>
        <w:t xml:space="preserve"> lo </w:t>
      </w:r>
      <w:r w:rsidRPr="00037FAD">
        <w:rPr>
          <w:rFonts w:cs="Arial"/>
          <w:lang w:eastAsia="es-MX"/>
        </w:rPr>
        <w:t>establecido</w:t>
      </w:r>
      <w:r w:rsidRPr="00037FAD">
        <w:rPr>
          <w:lang w:eastAsia="es-ES_tradnl"/>
        </w:rPr>
        <w:t xml:space="preserve"> en el artículo 196 de la Ley de Transparencia y Acceso a la Información Pública del Estado de México y Municipios, podrá impugnarla vía Juicio de Amparo en los términos de las leyes aplicables.</w:t>
      </w:r>
    </w:p>
    <w:p w14:paraId="4E9B79B4" w14:textId="77777777" w:rsidR="004C6A5F" w:rsidRPr="00037FAD" w:rsidRDefault="004C6A5F" w:rsidP="00037FAD">
      <w:pPr>
        <w:ind w:right="113"/>
        <w:rPr>
          <w:rFonts w:cs="Arial"/>
          <w:b/>
          <w:szCs w:val="22"/>
        </w:rPr>
      </w:pPr>
    </w:p>
    <w:p w14:paraId="719A5C63" w14:textId="7D3006F5" w:rsidR="00664420" w:rsidRPr="00037FAD" w:rsidRDefault="00664420" w:rsidP="00037FAD">
      <w:pPr>
        <w:rPr>
          <w:rFonts w:eastAsia="Palatino Linotype" w:cs="Palatino Linotype"/>
          <w:szCs w:val="22"/>
        </w:rPr>
      </w:pPr>
      <w:r w:rsidRPr="00037FA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C6A5F" w:rsidRPr="00037FAD">
        <w:rPr>
          <w:rFonts w:eastAsia="Palatino Linotype" w:cs="Palatino Linotype"/>
          <w:szCs w:val="22"/>
        </w:rPr>
        <w:t>CUADRAGÉSIMA TERCERA</w:t>
      </w:r>
      <w:r w:rsidRPr="00037FAD">
        <w:rPr>
          <w:rFonts w:eastAsia="Palatino Linotype" w:cs="Palatino Linotype"/>
          <w:szCs w:val="22"/>
        </w:rPr>
        <w:t xml:space="preserve"> SESIÓN ORDINARIA, CELEBRADA EL </w:t>
      </w:r>
      <w:r w:rsidR="004C6A5F" w:rsidRPr="00037FAD">
        <w:rPr>
          <w:rFonts w:eastAsia="Palatino Linotype" w:cs="Palatino Linotype"/>
          <w:szCs w:val="22"/>
        </w:rPr>
        <w:t>ONCE</w:t>
      </w:r>
      <w:r w:rsidRPr="00037FAD">
        <w:rPr>
          <w:rFonts w:eastAsia="Palatino Linotype" w:cs="Palatino Linotype"/>
          <w:szCs w:val="22"/>
        </w:rPr>
        <w:t xml:space="preserve"> DE </w:t>
      </w:r>
      <w:r w:rsidR="004C6A5F" w:rsidRPr="00037FAD">
        <w:rPr>
          <w:rFonts w:eastAsia="Palatino Linotype" w:cs="Palatino Linotype"/>
          <w:szCs w:val="22"/>
        </w:rPr>
        <w:t>DICIEMBRE</w:t>
      </w:r>
      <w:r w:rsidRPr="00037FAD">
        <w:rPr>
          <w:rFonts w:eastAsia="Palatino Linotype" w:cs="Palatino Linotype"/>
          <w:szCs w:val="22"/>
        </w:rPr>
        <w:t xml:space="preserve"> DE DOS MIL </w:t>
      </w:r>
      <w:r w:rsidR="004C6A5F" w:rsidRPr="00037FAD">
        <w:rPr>
          <w:rFonts w:eastAsia="Palatino Linotype" w:cs="Palatino Linotype"/>
          <w:szCs w:val="22"/>
        </w:rPr>
        <w:t>VEINTICUATRO</w:t>
      </w:r>
      <w:r w:rsidRPr="00037FAD">
        <w:rPr>
          <w:rFonts w:eastAsia="Palatino Linotype" w:cs="Palatino Linotype"/>
          <w:szCs w:val="22"/>
        </w:rPr>
        <w:t>, ANTE EL SECRETARIO TÉCNICO DEL PLENO, ALEXIS TAPIA RAMÍREZ.</w:t>
      </w:r>
    </w:p>
    <w:p w14:paraId="49D72DA3" w14:textId="6E7F6B83" w:rsidR="00664420" w:rsidRPr="00037FAD" w:rsidRDefault="004C6A5F" w:rsidP="00037FAD">
      <w:pPr>
        <w:ind w:right="-93"/>
        <w:rPr>
          <w:rFonts w:eastAsia="Calibri" w:cs="Tahoma"/>
          <w:bCs/>
          <w:szCs w:val="22"/>
          <w:lang w:eastAsia="en-US"/>
        </w:rPr>
      </w:pPr>
      <w:r w:rsidRPr="00037FAD">
        <w:rPr>
          <w:rFonts w:eastAsia="Calibri" w:cs="Tahoma"/>
          <w:bCs/>
          <w:szCs w:val="22"/>
          <w:lang w:eastAsia="en-US"/>
        </w:rPr>
        <w:t>SCMM/AGZ/DEMF/ESS</w:t>
      </w:r>
    </w:p>
    <w:p w14:paraId="5EFEA0CD" w14:textId="77777777" w:rsidR="00664420" w:rsidRPr="00037FAD" w:rsidRDefault="00664420" w:rsidP="00037FAD">
      <w:pPr>
        <w:ind w:right="-93"/>
        <w:rPr>
          <w:rFonts w:eastAsia="Calibri" w:cs="Tahoma"/>
          <w:szCs w:val="22"/>
          <w:lang w:val="es-ES"/>
        </w:rPr>
      </w:pPr>
    </w:p>
    <w:p w14:paraId="696BC976" w14:textId="77777777" w:rsidR="00664420" w:rsidRPr="00037FAD" w:rsidRDefault="00664420" w:rsidP="00037FAD">
      <w:pPr>
        <w:ind w:right="-93"/>
        <w:rPr>
          <w:rFonts w:eastAsia="Calibri" w:cs="Tahoma"/>
          <w:bCs/>
          <w:szCs w:val="22"/>
          <w:lang w:val="es-ES" w:eastAsia="en-US"/>
        </w:rPr>
      </w:pPr>
    </w:p>
    <w:p w14:paraId="671CB0C5" w14:textId="77777777" w:rsidR="00664420" w:rsidRPr="00037FAD" w:rsidRDefault="00664420" w:rsidP="00037FAD">
      <w:pPr>
        <w:ind w:right="-93"/>
        <w:rPr>
          <w:rFonts w:eastAsia="Calibri" w:cs="Tahoma"/>
          <w:bCs/>
          <w:szCs w:val="22"/>
          <w:lang w:val="es-ES_tradnl" w:eastAsia="en-US"/>
        </w:rPr>
      </w:pPr>
    </w:p>
    <w:p w14:paraId="52B66DE7" w14:textId="77777777" w:rsidR="00664420" w:rsidRPr="00037FAD" w:rsidRDefault="00664420" w:rsidP="00037FAD">
      <w:pPr>
        <w:ind w:right="-93"/>
        <w:rPr>
          <w:rFonts w:eastAsia="Calibri" w:cs="Tahoma"/>
          <w:bCs/>
          <w:szCs w:val="22"/>
          <w:lang w:val="es-ES_tradnl" w:eastAsia="en-US"/>
        </w:rPr>
      </w:pPr>
    </w:p>
    <w:p w14:paraId="3BA305D1" w14:textId="77777777" w:rsidR="00664420" w:rsidRPr="00037FAD" w:rsidRDefault="00664420" w:rsidP="00037FAD">
      <w:pPr>
        <w:ind w:right="-93"/>
        <w:rPr>
          <w:rFonts w:eastAsia="Calibri" w:cs="Tahoma"/>
          <w:bCs/>
          <w:szCs w:val="22"/>
          <w:lang w:val="es-ES_tradnl" w:eastAsia="en-US"/>
        </w:rPr>
      </w:pPr>
    </w:p>
    <w:p w14:paraId="78230707" w14:textId="77777777" w:rsidR="00664420" w:rsidRPr="00037FAD" w:rsidRDefault="00664420" w:rsidP="00037FAD">
      <w:pPr>
        <w:ind w:right="-93"/>
        <w:rPr>
          <w:rFonts w:eastAsia="Calibri" w:cs="Tahoma"/>
          <w:bCs/>
          <w:szCs w:val="22"/>
          <w:lang w:val="es-ES_tradnl" w:eastAsia="en-US"/>
        </w:rPr>
      </w:pPr>
    </w:p>
    <w:p w14:paraId="72D18B28" w14:textId="77777777" w:rsidR="00664420" w:rsidRPr="00037FAD" w:rsidRDefault="00664420" w:rsidP="00037FAD">
      <w:pPr>
        <w:ind w:right="-93"/>
        <w:rPr>
          <w:rFonts w:eastAsia="Calibri" w:cs="Tahoma"/>
          <w:bCs/>
          <w:szCs w:val="22"/>
          <w:lang w:val="es-ES_tradnl" w:eastAsia="en-US"/>
        </w:rPr>
      </w:pPr>
    </w:p>
    <w:p w14:paraId="6BD461DC" w14:textId="77777777" w:rsidR="00664420" w:rsidRPr="00037FAD" w:rsidRDefault="00664420" w:rsidP="00037FAD">
      <w:pPr>
        <w:tabs>
          <w:tab w:val="center" w:pos="4568"/>
        </w:tabs>
        <w:ind w:right="-93"/>
        <w:rPr>
          <w:rFonts w:eastAsia="Calibri" w:cs="Tahoma"/>
          <w:bCs/>
          <w:szCs w:val="22"/>
          <w:lang w:eastAsia="en-US"/>
        </w:rPr>
      </w:pPr>
    </w:p>
    <w:p w14:paraId="4DBB1727" w14:textId="77777777" w:rsidR="00664420" w:rsidRPr="00037FAD" w:rsidRDefault="00664420" w:rsidP="00037FAD">
      <w:pPr>
        <w:tabs>
          <w:tab w:val="center" w:pos="4568"/>
        </w:tabs>
        <w:ind w:right="-93"/>
        <w:rPr>
          <w:rFonts w:eastAsia="Calibri" w:cs="Tahoma"/>
          <w:bCs/>
          <w:szCs w:val="22"/>
          <w:lang w:eastAsia="en-US"/>
        </w:rPr>
      </w:pPr>
    </w:p>
    <w:p w14:paraId="1D74121B" w14:textId="77777777" w:rsidR="00664420" w:rsidRPr="00037FAD" w:rsidRDefault="00664420" w:rsidP="00037FAD">
      <w:pPr>
        <w:tabs>
          <w:tab w:val="center" w:pos="4568"/>
        </w:tabs>
        <w:ind w:right="-93"/>
        <w:rPr>
          <w:rFonts w:eastAsia="Calibri" w:cs="Tahoma"/>
          <w:bCs/>
          <w:szCs w:val="22"/>
          <w:lang w:eastAsia="en-US"/>
        </w:rPr>
      </w:pPr>
    </w:p>
    <w:p w14:paraId="08E74E9C" w14:textId="77777777" w:rsidR="00664420" w:rsidRPr="00037FAD" w:rsidRDefault="00664420" w:rsidP="00037FAD">
      <w:pPr>
        <w:tabs>
          <w:tab w:val="center" w:pos="4568"/>
        </w:tabs>
        <w:ind w:right="-93"/>
        <w:rPr>
          <w:rFonts w:eastAsia="Calibri" w:cs="Tahoma"/>
          <w:bCs/>
          <w:szCs w:val="22"/>
          <w:lang w:eastAsia="en-US"/>
        </w:rPr>
      </w:pPr>
    </w:p>
    <w:p w14:paraId="2CBF5E03" w14:textId="77777777" w:rsidR="00664420" w:rsidRPr="00037FAD" w:rsidRDefault="00664420" w:rsidP="00037FAD">
      <w:pPr>
        <w:tabs>
          <w:tab w:val="center" w:pos="4568"/>
        </w:tabs>
        <w:ind w:right="-93"/>
        <w:rPr>
          <w:rFonts w:eastAsia="Calibri" w:cs="Tahoma"/>
          <w:bCs/>
          <w:szCs w:val="22"/>
          <w:lang w:eastAsia="en-US"/>
        </w:rPr>
      </w:pPr>
    </w:p>
    <w:p w14:paraId="44865A6D" w14:textId="77777777" w:rsidR="00664420" w:rsidRPr="00037FAD" w:rsidRDefault="00664420" w:rsidP="00037FAD">
      <w:pPr>
        <w:tabs>
          <w:tab w:val="center" w:pos="4568"/>
        </w:tabs>
        <w:ind w:right="-93"/>
        <w:rPr>
          <w:rFonts w:eastAsia="Calibri" w:cs="Tahoma"/>
          <w:bCs/>
          <w:szCs w:val="22"/>
          <w:lang w:eastAsia="en-US"/>
        </w:rPr>
      </w:pPr>
    </w:p>
    <w:p w14:paraId="7147F06B" w14:textId="77777777" w:rsidR="00664420" w:rsidRPr="00037FAD" w:rsidRDefault="00664420" w:rsidP="00037FAD">
      <w:pPr>
        <w:tabs>
          <w:tab w:val="center" w:pos="4568"/>
        </w:tabs>
        <w:ind w:right="-93"/>
        <w:rPr>
          <w:rFonts w:eastAsia="Calibri" w:cs="Tahoma"/>
          <w:bCs/>
          <w:szCs w:val="22"/>
          <w:lang w:eastAsia="en-US"/>
        </w:rPr>
      </w:pPr>
    </w:p>
    <w:p w14:paraId="6FDF3D7E" w14:textId="77777777" w:rsidR="00664420" w:rsidRPr="00037FAD" w:rsidRDefault="00664420" w:rsidP="00037FAD">
      <w:pPr>
        <w:tabs>
          <w:tab w:val="center" w:pos="4568"/>
        </w:tabs>
        <w:ind w:right="-93"/>
        <w:rPr>
          <w:rFonts w:eastAsia="Calibri" w:cs="Tahoma"/>
          <w:bCs/>
          <w:szCs w:val="22"/>
          <w:lang w:eastAsia="en-US"/>
        </w:rPr>
      </w:pPr>
    </w:p>
    <w:p w14:paraId="6246F818" w14:textId="77777777" w:rsidR="00664420" w:rsidRPr="00037FAD" w:rsidRDefault="00664420" w:rsidP="00037FAD">
      <w:pPr>
        <w:tabs>
          <w:tab w:val="center" w:pos="4568"/>
        </w:tabs>
        <w:ind w:right="-93"/>
        <w:rPr>
          <w:rFonts w:eastAsia="Calibri" w:cs="Tahoma"/>
          <w:bCs/>
          <w:szCs w:val="22"/>
          <w:lang w:eastAsia="en-US"/>
        </w:rPr>
      </w:pPr>
    </w:p>
    <w:p w14:paraId="57A88B28" w14:textId="77777777" w:rsidR="00664420" w:rsidRPr="00037FAD" w:rsidRDefault="00664420" w:rsidP="00037FAD">
      <w:pPr>
        <w:tabs>
          <w:tab w:val="center" w:pos="4568"/>
        </w:tabs>
        <w:ind w:right="-93"/>
        <w:rPr>
          <w:rFonts w:eastAsia="Calibri" w:cs="Tahoma"/>
          <w:bCs/>
          <w:szCs w:val="22"/>
          <w:lang w:eastAsia="en-US"/>
        </w:rPr>
      </w:pPr>
    </w:p>
    <w:p w14:paraId="77EF6095" w14:textId="77777777" w:rsidR="00664420" w:rsidRPr="00037FAD" w:rsidRDefault="00664420" w:rsidP="00037FAD">
      <w:pPr>
        <w:tabs>
          <w:tab w:val="center" w:pos="4568"/>
        </w:tabs>
        <w:ind w:right="-93"/>
        <w:rPr>
          <w:rFonts w:eastAsia="Calibri" w:cs="Tahoma"/>
          <w:bCs/>
          <w:szCs w:val="22"/>
          <w:lang w:eastAsia="en-US"/>
        </w:rPr>
      </w:pPr>
    </w:p>
    <w:p w14:paraId="35593947" w14:textId="77777777" w:rsidR="00664420" w:rsidRPr="00037FAD" w:rsidRDefault="00664420" w:rsidP="00037FAD">
      <w:pPr>
        <w:tabs>
          <w:tab w:val="center" w:pos="4568"/>
        </w:tabs>
        <w:ind w:right="-93"/>
        <w:rPr>
          <w:rFonts w:eastAsia="Calibri" w:cs="Tahoma"/>
          <w:bCs/>
          <w:szCs w:val="22"/>
          <w:lang w:eastAsia="en-US"/>
        </w:rPr>
      </w:pPr>
    </w:p>
    <w:p w14:paraId="3AF72A17" w14:textId="77777777" w:rsidR="00664420" w:rsidRPr="00037FAD" w:rsidRDefault="00664420" w:rsidP="00037FAD">
      <w:pPr>
        <w:tabs>
          <w:tab w:val="center" w:pos="4568"/>
        </w:tabs>
        <w:ind w:right="-93"/>
        <w:rPr>
          <w:rFonts w:eastAsia="Calibri" w:cs="Tahoma"/>
          <w:bCs/>
          <w:szCs w:val="22"/>
          <w:lang w:eastAsia="en-US"/>
        </w:rPr>
      </w:pPr>
    </w:p>
    <w:p w14:paraId="37169144" w14:textId="77777777" w:rsidR="00664420" w:rsidRPr="00037FAD" w:rsidRDefault="00664420" w:rsidP="00037FAD">
      <w:pPr>
        <w:tabs>
          <w:tab w:val="center" w:pos="4568"/>
        </w:tabs>
        <w:ind w:right="-93"/>
        <w:rPr>
          <w:rFonts w:eastAsia="Calibri" w:cs="Tahoma"/>
          <w:bCs/>
          <w:szCs w:val="22"/>
          <w:lang w:eastAsia="en-US"/>
        </w:rPr>
      </w:pPr>
    </w:p>
    <w:p w14:paraId="77CFC088" w14:textId="77777777" w:rsidR="00664420" w:rsidRPr="00037FAD" w:rsidRDefault="00664420" w:rsidP="00037FAD">
      <w:pPr>
        <w:tabs>
          <w:tab w:val="center" w:pos="4568"/>
        </w:tabs>
        <w:ind w:right="-93"/>
        <w:rPr>
          <w:rFonts w:eastAsia="Calibri" w:cs="Tahoma"/>
          <w:bCs/>
          <w:szCs w:val="22"/>
          <w:lang w:eastAsia="en-US"/>
        </w:rPr>
      </w:pPr>
    </w:p>
    <w:p w14:paraId="781A11A5" w14:textId="77777777" w:rsidR="00664420" w:rsidRPr="00037FAD" w:rsidRDefault="00664420" w:rsidP="00037FAD">
      <w:pPr>
        <w:tabs>
          <w:tab w:val="center" w:pos="4568"/>
        </w:tabs>
        <w:ind w:right="-93"/>
        <w:rPr>
          <w:rFonts w:eastAsia="Calibri" w:cs="Tahoma"/>
          <w:bCs/>
          <w:szCs w:val="22"/>
          <w:lang w:eastAsia="en-US"/>
        </w:rPr>
      </w:pPr>
    </w:p>
    <w:bookmarkEnd w:id="0"/>
    <w:p w14:paraId="5B4ADFF3" w14:textId="77777777" w:rsidR="00A131AC" w:rsidRPr="00037FAD" w:rsidRDefault="00A131AC" w:rsidP="00037FAD"/>
    <w:sectPr w:rsidR="00A131AC" w:rsidRPr="00037FAD"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EDEF9" w14:textId="77777777" w:rsidR="00407D2D" w:rsidRDefault="00407D2D" w:rsidP="00664420">
      <w:pPr>
        <w:spacing w:line="240" w:lineRule="auto"/>
      </w:pPr>
      <w:r>
        <w:separator/>
      </w:r>
    </w:p>
  </w:endnote>
  <w:endnote w:type="continuationSeparator" w:id="0">
    <w:p w14:paraId="2B269296" w14:textId="77777777" w:rsidR="00407D2D" w:rsidRDefault="00407D2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8780E1C"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26811" w:rsidRPr="00C26811">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26811" w:rsidRPr="00C26811">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20066" w14:textId="77777777" w:rsidR="00407D2D" w:rsidRDefault="00407D2D" w:rsidP="00664420">
      <w:pPr>
        <w:spacing w:line="240" w:lineRule="auto"/>
      </w:pPr>
      <w:r>
        <w:separator/>
      </w:r>
    </w:p>
  </w:footnote>
  <w:footnote w:type="continuationSeparator" w:id="0">
    <w:p w14:paraId="6A211D73" w14:textId="77777777" w:rsidR="00407D2D" w:rsidRDefault="00407D2D"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87A6BD7" w:rsidR="003F35FD" w:rsidRPr="00A90C72" w:rsidRDefault="00F3767C" w:rsidP="003F35FD">
          <w:pPr>
            <w:tabs>
              <w:tab w:val="right" w:pos="8838"/>
            </w:tabs>
            <w:ind w:left="-74" w:right="-105"/>
            <w:rPr>
              <w:rFonts w:eastAsia="Calibri" w:cs="Tahoma"/>
              <w:szCs w:val="22"/>
              <w:lang w:eastAsia="en-US"/>
            </w:rPr>
          </w:pPr>
          <w:r>
            <w:rPr>
              <w:rFonts w:eastAsia="Calibri" w:cs="Tahoma"/>
              <w:szCs w:val="22"/>
              <w:lang w:eastAsia="en-US"/>
            </w:rPr>
            <w:t>0</w:t>
          </w:r>
          <w:r w:rsidR="00D742CA">
            <w:rPr>
              <w:rFonts w:eastAsia="Calibri" w:cs="Tahoma"/>
              <w:szCs w:val="22"/>
              <w:lang w:eastAsia="en-US"/>
            </w:rPr>
            <w:t>7202</w:t>
          </w:r>
          <w:r w:rsidR="003F35FD" w:rsidRPr="00664420">
            <w:rPr>
              <w:rFonts w:eastAsia="Calibri" w:cs="Tahoma"/>
              <w:szCs w:val="22"/>
              <w:lang w:eastAsia="en-US"/>
            </w:rPr>
            <w:t>/</w:t>
          </w:r>
          <w:r w:rsidR="003F35FD" w:rsidRPr="00A90C72">
            <w:rPr>
              <w:rFonts w:eastAsia="Calibri" w:cs="Tahoma"/>
              <w:szCs w:val="22"/>
              <w:lang w:eastAsia="en-US"/>
            </w:rPr>
            <w:t>INFOEM/IP/RR</w:t>
          </w:r>
          <w:r w:rsidR="003F35FD" w:rsidRPr="00664420">
            <w:rPr>
              <w:rFonts w:eastAsia="Calibri" w:cs="Tahoma"/>
              <w:szCs w:val="22"/>
              <w:lang w:eastAsia="en-US"/>
            </w:rPr>
            <w:t>/</w:t>
          </w:r>
          <w:r>
            <w:rPr>
              <w:rFonts w:eastAsia="Calibri" w:cs="Tahoma"/>
              <w:szCs w:val="22"/>
              <w:lang w:eastAsia="en-US"/>
            </w:rPr>
            <w:t>202</w:t>
          </w:r>
          <w:r w:rsidR="0027191C">
            <w:rPr>
              <w:rFonts w:eastAsia="Calibri" w:cs="Tahoma"/>
              <w:szCs w:val="22"/>
              <w:lang w:eastAsia="en-US"/>
            </w:rPr>
            <w:t>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28CD029" w:rsidR="003F35FD" w:rsidRPr="00952DD0" w:rsidRDefault="00D742CA" w:rsidP="003F35FD">
          <w:pPr>
            <w:tabs>
              <w:tab w:val="left" w:pos="2834"/>
              <w:tab w:val="right" w:pos="8838"/>
            </w:tabs>
            <w:ind w:left="-108" w:right="-105"/>
            <w:rPr>
              <w:rFonts w:eastAsia="Calibri" w:cs="Tahoma"/>
              <w:szCs w:val="22"/>
              <w:lang w:eastAsia="en-US"/>
            </w:rPr>
          </w:pPr>
          <w:r w:rsidRPr="00D742CA">
            <w:rPr>
              <w:rFonts w:eastAsia="Calibri" w:cs="Tahoma"/>
              <w:szCs w:val="22"/>
              <w:lang w:eastAsia="en-US"/>
            </w:rPr>
            <w:t>Ayuntamiento de Ocoyoacac</w:t>
          </w:r>
        </w:p>
      </w:tc>
    </w:tr>
    <w:tr w:rsidR="003F35FD" w:rsidRPr="00330DA7" w14:paraId="6331D9B6" w14:textId="77777777" w:rsidTr="003F35FD">
      <w:trPr>
        <w:trHeight w:val="283"/>
        <w:jc w:val="right"/>
      </w:trPr>
      <w:tc>
        <w:tcPr>
          <w:tcW w:w="2727" w:type="dxa"/>
        </w:tcPr>
        <w:p w14:paraId="3FA86BAE" w14:textId="0424B59A" w:rsidR="003F35FD" w:rsidRPr="00330DA7" w:rsidRDefault="003F35F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D742CA">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A5213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A52131" w:rsidP="00844CB5">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1D7B5BAF" w:rsidR="00CE29D3" w:rsidRPr="00A90C72" w:rsidRDefault="00D742CA" w:rsidP="002C2524">
                <w:pPr>
                  <w:tabs>
                    <w:tab w:val="right" w:pos="8838"/>
                  </w:tabs>
                  <w:ind w:left="-74" w:right="-105"/>
                  <w:rPr>
                    <w:rFonts w:eastAsia="Calibri" w:cs="Tahoma"/>
                    <w:szCs w:val="22"/>
                    <w:lang w:eastAsia="en-US"/>
                  </w:rPr>
                </w:pPr>
                <w:r>
                  <w:rPr>
                    <w:rFonts w:eastAsia="Calibri" w:cs="Tahoma"/>
                    <w:szCs w:val="22"/>
                    <w:lang w:eastAsia="en-US"/>
                  </w:rPr>
                  <w:t>07202</w:t>
                </w:r>
                <w:r w:rsidR="00664420" w:rsidRPr="00664420">
                  <w:rPr>
                    <w:rFonts w:eastAsia="Calibri" w:cs="Tahoma"/>
                    <w:szCs w:val="22"/>
                    <w:lang w:eastAsia="en-US"/>
                  </w:rPr>
                  <w:t>/</w:t>
                </w:r>
                <w:r w:rsidR="00664420" w:rsidRPr="00A90C72">
                  <w:rPr>
                    <w:rFonts w:eastAsia="Calibri" w:cs="Tahoma"/>
                    <w:szCs w:val="22"/>
                    <w:lang w:eastAsia="en-US"/>
                  </w:rPr>
                  <w:t>INFOEM/IP/RR</w:t>
                </w:r>
                <w:r w:rsidR="00664420" w:rsidRPr="00664420">
                  <w:rPr>
                    <w:rFonts w:eastAsia="Calibri" w:cs="Tahoma"/>
                    <w:szCs w:val="22"/>
                    <w:lang w:eastAsia="en-US"/>
                  </w:rPr>
                  <w:t>/</w:t>
                </w:r>
                <w:r>
                  <w:rPr>
                    <w:rFonts w:eastAsia="Calibri" w:cs="Tahoma"/>
                    <w:szCs w:val="22"/>
                    <w:lang w:eastAsia="en-US"/>
                  </w:rPr>
                  <w:t>2024</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A52131" w:rsidP="00844CB5">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50AC12F9" w:rsidR="00CE29D3" w:rsidRPr="005F19B1" w:rsidRDefault="00C26811" w:rsidP="00E85AD8">
                <w:pPr>
                  <w:tabs>
                    <w:tab w:val="left" w:pos="3122"/>
                    <w:tab w:val="right" w:pos="8838"/>
                  </w:tabs>
                  <w:ind w:left="-105" w:right="-105"/>
                  <w:rPr>
                    <w:rFonts w:eastAsia="Calibri" w:cs="Tahoma"/>
                    <w:szCs w:val="22"/>
                    <w:lang w:eastAsia="en-US"/>
                  </w:rPr>
                </w:pPr>
                <w:r>
                  <w:rPr>
                    <w:rFonts w:eastAsia="Calibri" w:cs="Tahoma"/>
                    <w:szCs w:val="22"/>
                    <w:lang w:eastAsia="en-US"/>
                  </w:rPr>
                  <w:t>XXXXXXX XXX XXXXXXXXX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2"/>
          <w:tr w:rsidR="00C5797F" w:rsidRPr="00330DA7" w14:paraId="00E6CDC1" w14:textId="77777777" w:rsidTr="00C5797F">
            <w:trPr>
              <w:trHeight w:val="283"/>
            </w:trPr>
            <w:tc>
              <w:tcPr>
                <w:tcW w:w="2727" w:type="dxa"/>
              </w:tcPr>
              <w:p w14:paraId="0631AD24" w14:textId="77777777" w:rsidR="00CE29D3" w:rsidRPr="00330DA7" w:rsidRDefault="00A52131"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4AAD4D8" w:rsidR="00CE29D3" w:rsidRPr="00952DD0" w:rsidRDefault="00D742CA" w:rsidP="00952DD0">
                <w:pPr>
                  <w:tabs>
                    <w:tab w:val="left" w:pos="2834"/>
                    <w:tab w:val="right" w:pos="8838"/>
                  </w:tabs>
                  <w:ind w:left="-108" w:right="-105"/>
                  <w:rPr>
                    <w:rFonts w:eastAsia="Calibri" w:cs="Tahoma"/>
                    <w:szCs w:val="22"/>
                    <w:lang w:eastAsia="en-US"/>
                  </w:rPr>
                </w:pPr>
                <w:r w:rsidRPr="00D742CA">
                  <w:rPr>
                    <w:rFonts w:eastAsia="Calibri" w:cs="Tahoma"/>
                    <w:szCs w:val="22"/>
                    <w:lang w:eastAsia="en-US"/>
                  </w:rPr>
                  <w:t>Ayuntamiento de Ocoyoacac</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664657B" w:rsidR="00CE29D3" w:rsidRPr="00330DA7" w:rsidRDefault="00A52131"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D742CA">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407D2D"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45D2114"/>
    <w:multiLevelType w:val="hybridMultilevel"/>
    <w:tmpl w:val="58F8A24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AEE6FAD"/>
    <w:multiLevelType w:val="hybridMultilevel"/>
    <w:tmpl w:val="409403BE"/>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4"/>
  </w:num>
  <w:num w:numId="5">
    <w:abstractNumId w:val="1"/>
  </w:num>
  <w:num w:numId="6">
    <w:abstractNumId w:val="15"/>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0702"/>
    <w:rsid w:val="000318BC"/>
    <w:rsid w:val="00037FAD"/>
    <w:rsid w:val="00044111"/>
    <w:rsid w:val="00057B2D"/>
    <w:rsid w:val="00080071"/>
    <w:rsid w:val="00092EB5"/>
    <w:rsid w:val="000A1C95"/>
    <w:rsid w:val="000B024B"/>
    <w:rsid w:val="000D0D67"/>
    <w:rsid w:val="000E09C4"/>
    <w:rsid w:val="0011350D"/>
    <w:rsid w:val="001402A0"/>
    <w:rsid w:val="00141876"/>
    <w:rsid w:val="0014207B"/>
    <w:rsid w:val="00150C49"/>
    <w:rsid w:val="00184972"/>
    <w:rsid w:val="0018676A"/>
    <w:rsid w:val="001A58B3"/>
    <w:rsid w:val="001C7688"/>
    <w:rsid w:val="001F3515"/>
    <w:rsid w:val="00233005"/>
    <w:rsid w:val="00233F17"/>
    <w:rsid w:val="0027191C"/>
    <w:rsid w:val="002A3601"/>
    <w:rsid w:val="002B7C6F"/>
    <w:rsid w:val="002C6631"/>
    <w:rsid w:val="002D111C"/>
    <w:rsid w:val="00302476"/>
    <w:rsid w:val="00331F35"/>
    <w:rsid w:val="00335CDF"/>
    <w:rsid w:val="00362A11"/>
    <w:rsid w:val="00372F67"/>
    <w:rsid w:val="003957A3"/>
    <w:rsid w:val="003A40C1"/>
    <w:rsid w:val="003B5D3E"/>
    <w:rsid w:val="003E5FBD"/>
    <w:rsid w:val="003F35FD"/>
    <w:rsid w:val="00407D2D"/>
    <w:rsid w:val="0041385B"/>
    <w:rsid w:val="00425E91"/>
    <w:rsid w:val="00441BFA"/>
    <w:rsid w:val="00454FBD"/>
    <w:rsid w:val="00476D5B"/>
    <w:rsid w:val="004C6A5F"/>
    <w:rsid w:val="004D7CD8"/>
    <w:rsid w:val="004E5068"/>
    <w:rsid w:val="004F7A00"/>
    <w:rsid w:val="005049B4"/>
    <w:rsid w:val="00523F48"/>
    <w:rsid w:val="005365FA"/>
    <w:rsid w:val="00564348"/>
    <w:rsid w:val="005723CB"/>
    <w:rsid w:val="00575400"/>
    <w:rsid w:val="005B18AF"/>
    <w:rsid w:val="005C3CF8"/>
    <w:rsid w:val="005D5A50"/>
    <w:rsid w:val="005F0BFB"/>
    <w:rsid w:val="005F5301"/>
    <w:rsid w:val="005F65B7"/>
    <w:rsid w:val="006058E9"/>
    <w:rsid w:val="006067C7"/>
    <w:rsid w:val="00612A5F"/>
    <w:rsid w:val="006159AD"/>
    <w:rsid w:val="00635E1A"/>
    <w:rsid w:val="00646436"/>
    <w:rsid w:val="006470D0"/>
    <w:rsid w:val="00662294"/>
    <w:rsid w:val="00664420"/>
    <w:rsid w:val="006A646A"/>
    <w:rsid w:val="006B10B0"/>
    <w:rsid w:val="006E25BC"/>
    <w:rsid w:val="006E6BBC"/>
    <w:rsid w:val="006F7768"/>
    <w:rsid w:val="00717E59"/>
    <w:rsid w:val="00737E5F"/>
    <w:rsid w:val="00775BFC"/>
    <w:rsid w:val="007A3459"/>
    <w:rsid w:val="007B6074"/>
    <w:rsid w:val="007D1C55"/>
    <w:rsid w:val="007D317F"/>
    <w:rsid w:val="007F5D06"/>
    <w:rsid w:val="00805A6E"/>
    <w:rsid w:val="00820FC7"/>
    <w:rsid w:val="00843F23"/>
    <w:rsid w:val="0085467F"/>
    <w:rsid w:val="00865CF4"/>
    <w:rsid w:val="00876DBC"/>
    <w:rsid w:val="008A6003"/>
    <w:rsid w:val="008A6F88"/>
    <w:rsid w:val="008B1E16"/>
    <w:rsid w:val="008C7F5D"/>
    <w:rsid w:val="008E1316"/>
    <w:rsid w:val="00910FD2"/>
    <w:rsid w:val="00931437"/>
    <w:rsid w:val="00937328"/>
    <w:rsid w:val="00944CD4"/>
    <w:rsid w:val="00953430"/>
    <w:rsid w:val="00970EB3"/>
    <w:rsid w:val="009A2D78"/>
    <w:rsid w:val="009A7C10"/>
    <w:rsid w:val="009B2945"/>
    <w:rsid w:val="009E2DEE"/>
    <w:rsid w:val="009F797C"/>
    <w:rsid w:val="00A131AC"/>
    <w:rsid w:val="00A16D85"/>
    <w:rsid w:val="00A21A20"/>
    <w:rsid w:val="00A36A99"/>
    <w:rsid w:val="00A52131"/>
    <w:rsid w:val="00A53315"/>
    <w:rsid w:val="00A70EF0"/>
    <w:rsid w:val="00A9208D"/>
    <w:rsid w:val="00AA6EA9"/>
    <w:rsid w:val="00AC2DB8"/>
    <w:rsid w:val="00AC3267"/>
    <w:rsid w:val="00AC3CA0"/>
    <w:rsid w:val="00AE3DA7"/>
    <w:rsid w:val="00AF03C4"/>
    <w:rsid w:val="00B22A80"/>
    <w:rsid w:val="00B37F06"/>
    <w:rsid w:val="00B721F4"/>
    <w:rsid w:val="00BA55A8"/>
    <w:rsid w:val="00BB2ABF"/>
    <w:rsid w:val="00BB64F4"/>
    <w:rsid w:val="00BD3F4F"/>
    <w:rsid w:val="00BD5A7C"/>
    <w:rsid w:val="00BE7A1B"/>
    <w:rsid w:val="00BF0221"/>
    <w:rsid w:val="00BF091A"/>
    <w:rsid w:val="00BF4EAD"/>
    <w:rsid w:val="00C049E2"/>
    <w:rsid w:val="00C26811"/>
    <w:rsid w:val="00C36795"/>
    <w:rsid w:val="00C461EC"/>
    <w:rsid w:val="00C507D4"/>
    <w:rsid w:val="00C71CEF"/>
    <w:rsid w:val="00C72DAA"/>
    <w:rsid w:val="00C80B14"/>
    <w:rsid w:val="00CA27B1"/>
    <w:rsid w:val="00CA4FD0"/>
    <w:rsid w:val="00CB7E9A"/>
    <w:rsid w:val="00CD0B92"/>
    <w:rsid w:val="00CE29D3"/>
    <w:rsid w:val="00CF2D8B"/>
    <w:rsid w:val="00CF568A"/>
    <w:rsid w:val="00CF7586"/>
    <w:rsid w:val="00D036D3"/>
    <w:rsid w:val="00D2790D"/>
    <w:rsid w:val="00D27CE8"/>
    <w:rsid w:val="00D51ECD"/>
    <w:rsid w:val="00D6170E"/>
    <w:rsid w:val="00D742CA"/>
    <w:rsid w:val="00D91CB4"/>
    <w:rsid w:val="00DB1C09"/>
    <w:rsid w:val="00DE1133"/>
    <w:rsid w:val="00DE67F0"/>
    <w:rsid w:val="00DF467D"/>
    <w:rsid w:val="00E16BF5"/>
    <w:rsid w:val="00E37A3F"/>
    <w:rsid w:val="00E37D3C"/>
    <w:rsid w:val="00E62E6A"/>
    <w:rsid w:val="00E83EF5"/>
    <w:rsid w:val="00E9335C"/>
    <w:rsid w:val="00ED1C1E"/>
    <w:rsid w:val="00ED45D2"/>
    <w:rsid w:val="00EE2AF2"/>
    <w:rsid w:val="00F03650"/>
    <w:rsid w:val="00F07EE6"/>
    <w:rsid w:val="00F33CC8"/>
    <w:rsid w:val="00F3767C"/>
    <w:rsid w:val="00F4481C"/>
    <w:rsid w:val="00F5173F"/>
    <w:rsid w:val="00F75D23"/>
    <w:rsid w:val="00FA5957"/>
    <w:rsid w:val="00FC3CE0"/>
    <w:rsid w:val="00FD06A8"/>
    <w:rsid w:val="00FE57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27191C"/>
    <w:pPr>
      <w:spacing w:line="240" w:lineRule="auto"/>
    </w:pPr>
    <w:rPr>
      <w:sz w:val="20"/>
    </w:rPr>
  </w:style>
  <w:style w:type="character" w:customStyle="1" w:styleId="TextonotapieCar">
    <w:name w:val="Texto nota pie Car"/>
    <w:basedOn w:val="Fuentedeprrafopredeter"/>
    <w:link w:val="Textonotapie"/>
    <w:uiPriority w:val="99"/>
    <w:semiHidden/>
    <w:rsid w:val="0027191C"/>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271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124480">
      <w:bodyDiv w:val="1"/>
      <w:marLeft w:val="0"/>
      <w:marRight w:val="0"/>
      <w:marTop w:val="0"/>
      <w:marBottom w:val="0"/>
      <w:divBdr>
        <w:top w:val="none" w:sz="0" w:space="0" w:color="auto"/>
        <w:left w:val="none" w:sz="0" w:space="0" w:color="auto"/>
        <w:bottom w:val="none" w:sz="0" w:space="0" w:color="auto"/>
        <w:right w:val="none" w:sz="0" w:space="0" w:color="auto"/>
      </w:divBdr>
    </w:div>
    <w:div w:id="766190639">
      <w:bodyDiv w:val="1"/>
      <w:marLeft w:val="0"/>
      <w:marRight w:val="0"/>
      <w:marTop w:val="0"/>
      <w:marBottom w:val="0"/>
      <w:divBdr>
        <w:top w:val="none" w:sz="0" w:space="0" w:color="auto"/>
        <w:left w:val="none" w:sz="0" w:space="0" w:color="auto"/>
        <w:bottom w:val="none" w:sz="0" w:space="0" w:color="auto"/>
        <w:right w:val="none" w:sz="0" w:space="0" w:color="auto"/>
      </w:divBdr>
    </w:div>
    <w:div w:id="19298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0376905-A1BC-4936-B972-81A877D4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5151</Words>
  <Characters>28333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2024-12-13T20:19:00Z</cp:lastPrinted>
  <dcterms:created xsi:type="dcterms:W3CDTF">2024-12-05T20:50:00Z</dcterms:created>
  <dcterms:modified xsi:type="dcterms:W3CDTF">2025-01-22T20:16:00Z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