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E1C2E" w14:textId="77777777" w:rsidR="00FF3119" w:rsidRDefault="00FF3119" w:rsidP="00FF3119">
      <w:pPr>
        <w:tabs>
          <w:tab w:val="left" w:pos="3465"/>
        </w:tabs>
        <w:spacing w:line="360" w:lineRule="auto"/>
        <w:ind w:right="-787"/>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veintiuno </w:t>
      </w:r>
      <w:r w:rsidR="0083346F">
        <w:rPr>
          <w:rFonts w:ascii="Palatino Linotype" w:eastAsia="Palatino Linotype" w:hAnsi="Palatino Linotype" w:cs="Palatino Linotype"/>
        </w:rPr>
        <w:t xml:space="preserve">(21) </w:t>
      </w:r>
      <w:r>
        <w:rPr>
          <w:rFonts w:ascii="Palatino Linotype" w:eastAsia="Palatino Linotype" w:hAnsi="Palatino Linotype" w:cs="Palatino Linotype"/>
        </w:rPr>
        <w:t>de noviembre de dos mil veinticuatro.</w:t>
      </w:r>
    </w:p>
    <w:p w14:paraId="327BD0DA" w14:textId="77777777" w:rsidR="00FF3119" w:rsidRDefault="00FF3119" w:rsidP="00FF3119">
      <w:pPr>
        <w:tabs>
          <w:tab w:val="left" w:pos="3465"/>
        </w:tabs>
        <w:spacing w:line="360" w:lineRule="auto"/>
        <w:ind w:right="-787"/>
        <w:jc w:val="both"/>
        <w:rPr>
          <w:rFonts w:ascii="Palatino Linotype" w:eastAsia="Palatino Linotype" w:hAnsi="Palatino Linotype" w:cs="Palatino Linotype"/>
        </w:rPr>
      </w:pPr>
    </w:p>
    <w:p w14:paraId="53080141" w14:textId="2DBEAE35" w:rsidR="00FF3119" w:rsidRDefault="00FF3119" w:rsidP="00FF3119">
      <w:pPr>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electrónico formado con motivo del recurso de revisión </w:t>
      </w:r>
      <w:r>
        <w:rPr>
          <w:rFonts w:ascii="Palatino Linotype" w:eastAsia="Palatino Linotype" w:hAnsi="Palatino Linotype" w:cs="Palatino Linotype"/>
          <w:b/>
        </w:rPr>
        <w:t>06078/INFOEM/IP/RR/2024</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promovido por un usuario que se registró como </w:t>
      </w:r>
      <w:r w:rsidR="00512989">
        <w:rPr>
          <w:rFonts w:ascii="Palatino Linotype" w:eastAsia="Palatino Linotype" w:hAnsi="Palatino Linotype" w:cs="Palatino Linotype"/>
          <w:b/>
          <w:bCs/>
        </w:rPr>
        <w:t xml:space="preserve">XXX </w:t>
      </w:r>
      <w:proofErr w:type="spellStart"/>
      <w:r w:rsidR="00512989">
        <w:rPr>
          <w:rFonts w:ascii="Palatino Linotype" w:eastAsia="Palatino Linotype" w:hAnsi="Palatino Linotype" w:cs="Palatino Linotype"/>
          <w:b/>
          <w:bCs/>
        </w:rPr>
        <w:t>XXX</w:t>
      </w:r>
      <w:proofErr w:type="spellEnd"/>
      <w:r w:rsidR="00512989">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a quien en lo sucesivo se le identificará como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Tecnológico de Estudios Superiores de Jilotepec, </w:t>
      </w:r>
      <w:r>
        <w:rPr>
          <w:rFonts w:ascii="Palatino Linotype" w:eastAsia="Palatino Linotype" w:hAnsi="Palatino Linotype" w:cs="Palatino Linotype"/>
        </w:rPr>
        <w:t>en adelante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se procede a dictar la presente resolución, con base en los siguientes:</w:t>
      </w:r>
    </w:p>
    <w:p w14:paraId="7524F995" w14:textId="77777777" w:rsidR="00FF3119" w:rsidRDefault="00FF3119" w:rsidP="00FF3119">
      <w:pPr>
        <w:spacing w:line="360" w:lineRule="auto"/>
        <w:ind w:right="-787"/>
        <w:jc w:val="both"/>
        <w:rPr>
          <w:rFonts w:ascii="Palatino Linotype" w:eastAsia="Palatino Linotype" w:hAnsi="Palatino Linotype" w:cs="Palatino Linotype"/>
        </w:rPr>
      </w:pPr>
    </w:p>
    <w:p w14:paraId="2687BEEB" w14:textId="77777777" w:rsidR="00FF3119" w:rsidRDefault="00FF3119" w:rsidP="00FF3119">
      <w:pPr>
        <w:pStyle w:val="Ttulo1"/>
        <w:spacing w:before="0" w:line="360" w:lineRule="auto"/>
        <w:ind w:right="-787"/>
        <w:jc w:val="center"/>
        <w:rPr>
          <w:rFonts w:ascii="Palatino Linotype" w:eastAsia="Palatino Linotype" w:hAnsi="Palatino Linotype" w:cs="Palatino Linotype"/>
          <w:b/>
          <w:color w:val="000000"/>
          <w:sz w:val="24"/>
          <w:szCs w:val="24"/>
        </w:rPr>
      </w:pPr>
      <w:bookmarkStart w:id="1" w:name="_heading=h.30j0zll" w:colFirst="0" w:colLast="0"/>
      <w:bookmarkEnd w:id="1"/>
      <w:r>
        <w:rPr>
          <w:rFonts w:ascii="Palatino Linotype" w:eastAsia="Palatino Linotype" w:hAnsi="Palatino Linotype" w:cs="Palatino Linotype"/>
          <w:b/>
          <w:color w:val="000000"/>
          <w:sz w:val="24"/>
          <w:szCs w:val="24"/>
        </w:rPr>
        <w:t>A N T E C E D E N T E S</w:t>
      </w:r>
    </w:p>
    <w:p w14:paraId="40B40587" w14:textId="77777777" w:rsidR="00FF3119" w:rsidRDefault="00FF3119" w:rsidP="00FF3119">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5544E2CF" w14:textId="77777777" w:rsidR="00FF3119" w:rsidRDefault="00FF3119" w:rsidP="00FF3119">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El día </w:t>
      </w:r>
      <w:r>
        <w:rPr>
          <w:rFonts w:ascii="Palatino Linotype" w:eastAsia="Palatino Linotype" w:hAnsi="Palatino Linotype" w:cs="Palatino Linotype"/>
          <w:b/>
          <w:color w:val="000000"/>
        </w:rPr>
        <w:t xml:space="preserve">diez de septiembre de dos mil veinticuatro, </w:t>
      </w:r>
      <w:r>
        <w:rPr>
          <w:rFonts w:ascii="Palatino Linotype" w:eastAsia="Palatino Linotype" w:hAnsi="Palatino Linotype" w:cs="Palatino Linotype"/>
          <w:color w:val="000000"/>
        </w:rPr>
        <w:t xml:space="preserve">se presentó ante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vía SAIMEX, la solicitud de información pública registrada con el número</w:t>
      </w:r>
      <w:r>
        <w:rPr>
          <w:rFonts w:ascii="Palatino Linotype" w:eastAsia="Palatino Linotype" w:hAnsi="Palatino Linotype" w:cs="Palatino Linotype"/>
          <w:b/>
          <w:color w:val="000000"/>
        </w:rPr>
        <w:t xml:space="preserve"> 00010/TESJILO/IP/2024; </w:t>
      </w:r>
      <w:r>
        <w:rPr>
          <w:rFonts w:ascii="Palatino Linotype" w:eastAsia="Palatino Linotype" w:hAnsi="Palatino Linotype" w:cs="Palatino Linotype"/>
        </w:rPr>
        <w:t>en la que</w:t>
      </w:r>
      <w:r>
        <w:rPr>
          <w:rFonts w:ascii="Palatino Linotype" w:eastAsia="Palatino Linotype" w:hAnsi="Palatino Linotype" w:cs="Palatino Linotype"/>
          <w:color w:val="000000"/>
        </w:rPr>
        <w:t xml:space="preserve"> se solicitó la siguiente información:</w:t>
      </w:r>
    </w:p>
    <w:p w14:paraId="4EBE0613" w14:textId="77777777" w:rsidR="00FF3119" w:rsidRDefault="00FF3119" w:rsidP="00FF3119">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6AFBEFCD" w14:textId="77777777" w:rsidR="00FF3119" w:rsidRDefault="00FF3119" w:rsidP="00FF3119">
      <w:pPr>
        <w:pBdr>
          <w:top w:val="nil"/>
          <w:left w:val="nil"/>
          <w:bottom w:val="nil"/>
          <w:right w:val="nil"/>
          <w:between w:val="nil"/>
        </w:pBdr>
        <w:spacing w:line="360" w:lineRule="auto"/>
        <w:ind w:left="426" w:right="-78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sidRPr="00FF3119">
        <w:rPr>
          <w:rFonts w:ascii="Palatino Linotype" w:eastAsia="Palatino Linotype" w:hAnsi="Palatino Linotype" w:cs="Palatino Linotype"/>
          <w:i/>
          <w:color w:val="000000"/>
        </w:rPr>
        <w:t>Informe anual 2023 de los gastos realizas por el Tecnológico de estudios superiores de Jilotepec</w:t>
      </w:r>
      <w:r>
        <w:rPr>
          <w:rFonts w:ascii="Palatino Linotype" w:eastAsia="Palatino Linotype" w:hAnsi="Palatino Linotype" w:cs="Palatino Linotype"/>
          <w:i/>
          <w:color w:val="000000"/>
        </w:rPr>
        <w:t>.”</w:t>
      </w:r>
    </w:p>
    <w:p w14:paraId="5E2B70B3" w14:textId="77777777" w:rsidR="00FF3119" w:rsidRDefault="00FF3119" w:rsidP="00FF3119">
      <w:pPr>
        <w:pBdr>
          <w:top w:val="nil"/>
          <w:left w:val="nil"/>
          <w:bottom w:val="nil"/>
          <w:right w:val="nil"/>
          <w:between w:val="nil"/>
        </w:pBdr>
        <w:spacing w:line="360" w:lineRule="auto"/>
        <w:ind w:left="426" w:right="-787"/>
        <w:jc w:val="both"/>
        <w:rPr>
          <w:rFonts w:ascii="Palatino Linotype" w:eastAsia="Palatino Linotype" w:hAnsi="Palatino Linotype" w:cs="Palatino Linotype"/>
          <w:i/>
          <w:color w:val="000000"/>
        </w:rPr>
      </w:pPr>
    </w:p>
    <w:p w14:paraId="438F6C27" w14:textId="77777777" w:rsidR="00FF3119" w:rsidRDefault="00FF3119" w:rsidP="00FF3119">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veintisiete de septiembre de dos mil veinticuatro,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giro el requerimiento de información para que fuera atendida la solicitud de información de información </w:t>
      </w:r>
      <w:r>
        <w:rPr>
          <w:rFonts w:ascii="Palatino Linotype" w:eastAsia="Palatino Linotype" w:hAnsi="Palatino Linotype" w:cs="Palatino Linotype"/>
          <w:b/>
          <w:color w:val="000000"/>
        </w:rPr>
        <w:t xml:space="preserve">00010/TESJILO/IP/2024. </w:t>
      </w:r>
    </w:p>
    <w:p w14:paraId="7034E7EF" w14:textId="77777777" w:rsidR="00FF3119" w:rsidRDefault="00FF3119" w:rsidP="00FF3119">
      <w:pPr>
        <w:pBdr>
          <w:top w:val="nil"/>
          <w:left w:val="nil"/>
          <w:bottom w:val="nil"/>
          <w:right w:val="nil"/>
          <w:between w:val="nil"/>
        </w:pBdr>
        <w:spacing w:line="360" w:lineRule="auto"/>
        <w:ind w:right="-787"/>
        <w:jc w:val="both"/>
        <w:rPr>
          <w:rFonts w:ascii="Palatino Linotype" w:eastAsia="Palatino Linotype" w:hAnsi="Palatino Linotype" w:cs="Palatino Linotype"/>
          <w:i/>
          <w:color w:val="000000"/>
        </w:rPr>
      </w:pPr>
    </w:p>
    <w:p w14:paraId="38B2BEE0" w14:textId="77777777" w:rsidR="00FF3119" w:rsidRDefault="00FF3119" w:rsidP="00FF3119">
      <w:pPr>
        <w:pBdr>
          <w:top w:val="nil"/>
          <w:left w:val="nil"/>
          <w:bottom w:val="nil"/>
          <w:right w:val="nil"/>
          <w:between w:val="nil"/>
        </w:pBdr>
        <w:ind w:right="-787"/>
        <w:rPr>
          <w:rFonts w:ascii="Palatino Linotype" w:eastAsia="Palatino Linotype" w:hAnsi="Palatino Linotype" w:cs="Palatino Linotype"/>
          <w:color w:val="000000"/>
        </w:rPr>
      </w:pPr>
    </w:p>
    <w:p w14:paraId="3C516560" w14:textId="77777777" w:rsidR="00FF3119" w:rsidRDefault="00FF3119" w:rsidP="00FF3119">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lastRenderedPageBreak/>
        <w:t xml:space="preserve">El </w:t>
      </w:r>
      <w:r>
        <w:rPr>
          <w:rFonts w:ascii="Palatino Linotype" w:eastAsia="Palatino Linotype" w:hAnsi="Palatino Linotype" w:cs="Palatino Linotype"/>
          <w:b/>
          <w:color w:val="000000"/>
        </w:rPr>
        <w:t>siete de octubre de dos mil veinticuatro</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dio respuesta a la solicitud de información, mediante un archivo electrónico en </w:t>
      </w:r>
      <w:r>
        <w:rPr>
          <w:rFonts w:ascii="Palatino Linotype" w:eastAsia="Palatino Linotype" w:hAnsi="Palatino Linotype" w:cs="Palatino Linotype"/>
        </w:rPr>
        <w:t>formato</w:t>
      </w:r>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pdf</w:t>
      </w:r>
      <w:proofErr w:type="spellEnd"/>
      <w:r>
        <w:rPr>
          <w:rFonts w:ascii="Palatino Linotype" w:eastAsia="Palatino Linotype" w:hAnsi="Palatino Linotype" w:cs="Palatino Linotype"/>
          <w:color w:val="000000"/>
        </w:rPr>
        <w:t>, cuyo contenido grosso modo es el siguiente:</w:t>
      </w:r>
    </w:p>
    <w:p w14:paraId="19AAF117" w14:textId="77777777" w:rsidR="00FF3119" w:rsidRDefault="00FF3119" w:rsidP="006F0514">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FF3119">
        <w:rPr>
          <w:rFonts w:ascii="Palatino Linotype" w:eastAsia="Palatino Linotype" w:hAnsi="Palatino Linotype" w:cs="Palatino Linotype"/>
          <w:b/>
          <w:i/>
          <w:color w:val="000000"/>
          <w:sz w:val="22"/>
          <w:szCs w:val="22"/>
        </w:rPr>
        <w:t>SAIMEX 00010 RF.pdf</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documento que contiene dos fojas, de las cuales se observa en primero punto la respuesta de la Titular de la Unidad de Transparencia, mediante el cual informa que se da respuesta a</w:t>
      </w:r>
      <w:r w:rsidR="006F0514">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i/>
          <w:color w:val="000000"/>
          <w:sz w:val="22"/>
          <w:szCs w:val="22"/>
        </w:rPr>
        <w:t>la solicitud de información con el oficio TESJ/SAyF-070-2024.</w:t>
      </w:r>
    </w:p>
    <w:p w14:paraId="4DEFB155" w14:textId="77777777" w:rsidR="00FF3119" w:rsidRDefault="00FF3119" w:rsidP="006F0514">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la segunda foja se encuentra el oficio de la Subdirectora de Administración y Finanzas, mediante el cual refiere que en la liga (que s</w:t>
      </w:r>
      <w:r w:rsidR="006F0514">
        <w:rPr>
          <w:rFonts w:ascii="Palatino Linotype" w:eastAsia="Palatino Linotype" w:hAnsi="Palatino Linotype" w:cs="Palatino Linotype"/>
          <w:i/>
          <w:color w:val="000000"/>
          <w:sz w:val="22"/>
          <w:szCs w:val="22"/>
        </w:rPr>
        <w:t xml:space="preserve">e encuentra en formato cerrado), refiere que en el apartado de ejercicio de los egresos </w:t>
      </w:r>
      <w:proofErr w:type="spellStart"/>
      <w:r w:rsidR="006F0514">
        <w:rPr>
          <w:rFonts w:ascii="Palatino Linotype" w:eastAsia="Palatino Linotype" w:hAnsi="Palatino Linotype" w:cs="Palatino Linotype"/>
          <w:i/>
          <w:color w:val="000000"/>
          <w:sz w:val="22"/>
          <w:szCs w:val="22"/>
        </w:rPr>
        <w:t>presupuetarios</w:t>
      </w:r>
      <w:proofErr w:type="spellEnd"/>
      <w:r w:rsidR="006F0514">
        <w:rPr>
          <w:rFonts w:ascii="Palatino Linotype" w:eastAsia="Palatino Linotype" w:hAnsi="Palatino Linotype" w:cs="Palatino Linotype"/>
          <w:i/>
          <w:color w:val="000000"/>
          <w:sz w:val="22"/>
          <w:szCs w:val="22"/>
        </w:rPr>
        <w:t xml:space="preserve">, Fracción XXV B, ejercicio 2023, apretando e botón de mostrar todo de desplegaran lo 23 registros que contiene la plataforma, de la cual se podrá consultar la información solicitada. </w:t>
      </w:r>
      <w:r>
        <w:rPr>
          <w:rFonts w:ascii="Palatino Linotype" w:eastAsia="Palatino Linotype" w:hAnsi="Palatino Linotype" w:cs="Palatino Linotype"/>
          <w:i/>
          <w:color w:val="000000"/>
          <w:sz w:val="22"/>
          <w:szCs w:val="22"/>
        </w:rPr>
        <w:t xml:space="preserve"> </w:t>
      </w:r>
    </w:p>
    <w:p w14:paraId="7F72E9A2" w14:textId="77777777" w:rsidR="00FF3119" w:rsidRDefault="00FF3119" w:rsidP="006F0514">
      <w:pPr>
        <w:ind w:left="1134" w:right="900"/>
        <w:jc w:val="both"/>
        <w:rPr>
          <w:rFonts w:ascii="Palatino Linotype" w:eastAsia="Palatino Linotype" w:hAnsi="Palatino Linotype" w:cs="Palatino Linotype"/>
          <w:i/>
          <w:color w:val="000000"/>
          <w:sz w:val="22"/>
          <w:szCs w:val="22"/>
        </w:rPr>
      </w:pPr>
    </w:p>
    <w:p w14:paraId="7679F14C" w14:textId="77777777" w:rsidR="00FF3119" w:rsidRDefault="00FF3119" w:rsidP="00FF3119">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Inconforme con la respuesta, el </w:t>
      </w:r>
      <w:r w:rsidR="006F0514">
        <w:rPr>
          <w:rFonts w:ascii="Palatino Linotype" w:eastAsia="Palatino Linotype" w:hAnsi="Palatino Linotype" w:cs="Palatino Linotype"/>
          <w:b/>
          <w:color w:val="000000"/>
        </w:rPr>
        <w:t xml:space="preserve">nueve de octubre </w:t>
      </w:r>
      <w:r>
        <w:rPr>
          <w:rFonts w:ascii="Palatino Linotype" w:eastAsia="Palatino Linotype" w:hAnsi="Palatino Linotype" w:cs="Palatino Linotype"/>
          <w:b/>
          <w:color w:val="000000"/>
        </w:rPr>
        <w:t xml:space="preserve">de dos mil veinticuatro, </w:t>
      </w:r>
      <w:r w:rsidR="006F0514">
        <w:rPr>
          <w:rFonts w:ascii="Palatino Linotype" w:eastAsia="Palatino Linotype" w:hAnsi="Palatino Linotype" w:cs="Palatino Linotype"/>
          <w:color w:val="000000"/>
        </w:rPr>
        <w:t xml:space="preserve">el </w:t>
      </w:r>
      <w:r>
        <w:rPr>
          <w:rFonts w:ascii="Palatino Linotype" w:eastAsia="Palatino Linotype" w:hAnsi="Palatino Linotype" w:cs="Palatino Linotype"/>
          <w:color w:val="000000"/>
        </w:rPr>
        <w:t>entonces solicitante interpuso el recurso de revisión de mérito, manifestando las siguientes razones o motivos de inconformidad:</w:t>
      </w:r>
    </w:p>
    <w:p w14:paraId="3F2ADDC8" w14:textId="77777777" w:rsidR="00FF3119" w:rsidRDefault="00FF3119" w:rsidP="006F0514">
      <w:pPr>
        <w:numPr>
          <w:ilvl w:val="0"/>
          <w:numId w:val="2"/>
        </w:numPr>
        <w:pBdr>
          <w:top w:val="nil"/>
          <w:left w:val="nil"/>
          <w:bottom w:val="nil"/>
          <w:right w:val="nil"/>
          <w:between w:val="nil"/>
        </w:pBdr>
        <w:spacing w:line="360" w:lineRule="auto"/>
        <w:ind w:right="62"/>
        <w:jc w:val="both"/>
        <w:rPr>
          <w:rFonts w:ascii="Palatino Linotype" w:eastAsia="Palatino Linotype" w:hAnsi="Palatino Linotype" w:cs="Palatino Linotype"/>
          <w:i/>
          <w:color w:val="000000"/>
        </w:rPr>
      </w:pPr>
      <w:bookmarkStart w:id="2" w:name="_heading=h.1fob9te" w:colFirst="0" w:colLast="0"/>
      <w:bookmarkEnd w:id="2"/>
      <w:r>
        <w:rPr>
          <w:rFonts w:ascii="Palatino Linotype" w:eastAsia="Palatino Linotype" w:hAnsi="Palatino Linotype" w:cs="Palatino Linotype"/>
          <w:b/>
          <w:color w:val="000000"/>
        </w:rPr>
        <w:t xml:space="preserve">Acto impugnado: </w:t>
      </w:r>
      <w:r>
        <w:rPr>
          <w:rFonts w:ascii="Palatino Linotype" w:eastAsia="Palatino Linotype" w:hAnsi="Palatino Linotype" w:cs="Palatino Linotype"/>
          <w:i/>
          <w:color w:val="000000"/>
        </w:rPr>
        <w:t>“</w:t>
      </w:r>
      <w:r w:rsidR="006F0514" w:rsidRPr="006F0514">
        <w:rPr>
          <w:rFonts w:ascii="Palatino Linotype" w:eastAsia="Palatino Linotype" w:hAnsi="Palatino Linotype" w:cs="Palatino Linotype"/>
          <w:i/>
          <w:color w:val="000000"/>
        </w:rPr>
        <w:t xml:space="preserve">La respuesta a la solicitud de folio 00010/TESJILO/IP/2024, mediante el oficio </w:t>
      </w:r>
      <w:proofErr w:type="spellStart"/>
      <w:r w:rsidR="006F0514" w:rsidRPr="006F0514">
        <w:rPr>
          <w:rFonts w:ascii="Palatino Linotype" w:eastAsia="Palatino Linotype" w:hAnsi="Palatino Linotype" w:cs="Palatino Linotype"/>
          <w:i/>
          <w:color w:val="000000"/>
        </w:rPr>
        <w:t>numero</w:t>
      </w:r>
      <w:proofErr w:type="spellEnd"/>
      <w:r w:rsidR="006F0514" w:rsidRPr="006F0514">
        <w:rPr>
          <w:rFonts w:ascii="Palatino Linotype" w:eastAsia="Palatino Linotype" w:hAnsi="Palatino Linotype" w:cs="Palatino Linotype"/>
          <w:i/>
          <w:color w:val="000000"/>
        </w:rPr>
        <w:t xml:space="preserve"> TESJI/SPPYE-0139/2024</w:t>
      </w:r>
      <w:r>
        <w:rPr>
          <w:rFonts w:ascii="Palatino Linotype" w:eastAsia="Palatino Linotype" w:hAnsi="Palatino Linotype" w:cs="Palatino Linotype"/>
          <w:i/>
          <w:color w:val="000000"/>
        </w:rPr>
        <w:t>.</w:t>
      </w:r>
      <w:r>
        <w:rPr>
          <w:rFonts w:ascii="Palatino Linotype" w:eastAsia="Palatino Linotype" w:hAnsi="Palatino Linotype" w:cs="Palatino Linotype"/>
          <w:color w:val="000000"/>
        </w:rPr>
        <w:t>”</w:t>
      </w:r>
    </w:p>
    <w:p w14:paraId="6A8B0E28" w14:textId="77777777" w:rsidR="00FF3119" w:rsidRDefault="00FF3119" w:rsidP="00FF3119">
      <w:pPr>
        <w:numPr>
          <w:ilvl w:val="0"/>
          <w:numId w:val="2"/>
        </w:numPr>
        <w:pBdr>
          <w:top w:val="nil"/>
          <w:left w:val="nil"/>
          <w:bottom w:val="nil"/>
          <w:right w:val="nil"/>
          <w:between w:val="nil"/>
        </w:pBdr>
        <w:spacing w:line="360" w:lineRule="auto"/>
        <w:ind w:left="786" w:right="62"/>
        <w:jc w:val="both"/>
        <w:rPr>
          <w:rFonts w:ascii="Palatino Linotype" w:eastAsia="Palatino Linotype" w:hAnsi="Palatino Linotype" w:cs="Palatino Linotype"/>
          <w:i/>
          <w:color w:val="000000"/>
        </w:rPr>
      </w:pPr>
      <w:bookmarkStart w:id="3" w:name="_heading=h.3znysh7" w:colFirst="0" w:colLast="0"/>
      <w:bookmarkEnd w:id="3"/>
      <w:r>
        <w:rPr>
          <w:rFonts w:ascii="Palatino Linotype" w:eastAsia="Palatino Linotype" w:hAnsi="Palatino Linotype" w:cs="Palatino Linotype"/>
          <w:b/>
          <w:color w:val="000000"/>
        </w:rPr>
        <w:t xml:space="preserve">Razones o Motivos de inconformidad: </w:t>
      </w:r>
      <w:r>
        <w:rPr>
          <w:rFonts w:ascii="Palatino Linotype" w:eastAsia="Palatino Linotype" w:hAnsi="Palatino Linotype" w:cs="Palatino Linotype"/>
          <w:i/>
          <w:color w:val="000000"/>
        </w:rPr>
        <w:t>“</w:t>
      </w:r>
      <w:r w:rsidR="006F0514" w:rsidRPr="006F0514">
        <w:rPr>
          <w:rFonts w:ascii="Palatino Linotype" w:eastAsia="Palatino Linotype" w:hAnsi="Palatino Linotype" w:cs="Palatino Linotype"/>
          <w:i/>
          <w:color w:val="000000"/>
        </w:rPr>
        <w:t xml:space="preserve">La respuesta que me fue brindada por parte del TESJI mediante el oficio </w:t>
      </w:r>
      <w:proofErr w:type="spellStart"/>
      <w:r w:rsidR="006F0514" w:rsidRPr="006F0514">
        <w:rPr>
          <w:rFonts w:ascii="Palatino Linotype" w:eastAsia="Palatino Linotype" w:hAnsi="Palatino Linotype" w:cs="Palatino Linotype"/>
          <w:i/>
          <w:color w:val="000000"/>
        </w:rPr>
        <w:t>numero</w:t>
      </w:r>
      <w:proofErr w:type="spellEnd"/>
      <w:r w:rsidR="006F0514" w:rsidRPr="006F0514">
        <w:rPr>
          <w:rFonts w:ascii="Palatino Linotype" w:eastAsia="Palatino Linotype" w:hAnsi="Palatino Linotype" w:cs="Palatino Linotype"/>
          <w:i/>
          <w:color w:val="000000"/>
        </w:rPr>
        <w:t xml:space="preserve"> TESJI/SPPYE-0139/2024, carece de fundamento legal en cuanto a la competencia del servidor </w:t>
      </w:r>
      <w:proofErr w:type="spellStart"/>
      <w:r w:rsidR="006F0514" w:rsidRPr="006F0514">
        <w:rPr>
          <w:rFonts w:ascii="Palatino Linotype" w:eastAsia="Palatino Linotype" w:hAnsi="Palatino Linotype" w:cs="Palatino Linotype"/>
          <w:i/>
          <w:color w:val="000000"/>
        </w:rPr>
        <w:t>publico</w:t>
      </w:r>
      <w:proofErr w:type="spellEnd"/>
      <w:r w:rsidR="006F0514" w:rsidRPr="006F0514">
        <w:rPr>
          <w:rFonts w:ascii="Palatino Linotype" w:eastAsia="Palatino Linotype" w:hAnsi="Palatino Linotype" w:cs="Palatino Linotype"/>
          <w:i/>
          <w:color w:val="000000"/>
        </w:rPr>
        <w:t xml:space="preserve"> que lo </w:t>
      </w:r>
      <w:proofErr w:type="spellStart"/>
      <w:r w:rsidR="006F0514" w:rsidRPr="006F0514">
        <w:rPr>
          <w:rFonts w:ascii="Palatino Linotype" w:eastAsia="Palatino Linotype" w:hAnsi="Palatino Linotype" w:cs="Palatino Linotype"/>
          <w:i/>
          <w:color w:val="000000"/>
        </w:rPr>
        <w:t>esta</w:t>
      </w:r>
      <w:proofErr w:type="spellEnd"/>
      <w:r w:rsidR="006F0514" w:rsidRPr="006F0514">
        <w:rPr>
          <w:rFonts w:ascii="Palatino Linotype" w:eastAsia="Palatino Linotype" w:hAnsi="Palatino Linotype" w:cs="Palatino Linotype"/>
          <w:i/>
          <w:color w:val="000000"/>
        </w:rPr>
        <w:t xml:space="preserve"> emitiendo, así como también no cuenta con fundamento legal del fondo de la respuesta. Lo que deja a la suscrita en un estado de incertidumbre jurídica. Por otro lado la entrega a puesta a disposición de información que me fue brindada por parte del TESJI mediante el oficio </w:t>
      </w:r>
      <w:proofErr w:type="spellStart"/>
      <w:r w:rsidR="006F0514" w:rsidRPr="006F0514">
        <w:rPr>
          <w:rFonts w:ascii="Palatino Linotype" w:eastAsia="Palatino Linotype" w:hAnsi="Palatino Linotype" w:cs="Palatino Linotype"/>
          <w:i/>
          <w:color w:val="000000"/>
        </w:rPr>
        <w:t>numero</w:t>
      </w:r>
      <w:proofErr w:type="spellEnd"/>
      <w:r w:rsidR="006F0514" w:rsidRPr="006F0514">
        <w:rPr>
          <w:rFonts w:ascii="Palatino Linotype" w:eastAsia="Palatino Linotype" w:hAnsi="Palatino Linotype" w:cs="Palatino Linotype"/>
          <w:i/>
          <w:color w:val="000000"/>
        </w:rPr>
        <w:t xml:space="preserve"> TESJI/SPPYE-0139/2024, </w:t>
      </w:r>
      <w:proofErr w:type="spellStart"/>
      <w:r w:rsidR="006F0514" w:rsidRPr="006F0514">
        <w:rPr>
          <w:rFonts w:ascii="Palatino Linotype" w:eastAsia="Palatino Linotype" w:hAnsi="Palatino Linotype" w:cs="Palatino Linotype"/>
          <w:i/>
          <w:color w:val="000000"/>
        </w:rPr>
        <w:t>esta</w:t>
      </w:r>
      <w:proofErr w:type="spellEnd"/>
      <w:r w:rsidR="006F0514" w:rsidRPr="006F0514">
        <w:rPr>
          <w:rFonts w:ascii="Palatino Linotype" w:eastAsia="Palatino Linotype" w:hAnsi="Palatino Linotype" w:cs="Palatino Linotype"/>
          <w:i/>
          <w:color w:val="000000"/>
        </w:rPr>
        <w:t xml:space="preserve"> incompleta, en un formato incompresible y/o no accesible para el solicitante. Lo anterior en razón a </w:t>
      </w:r>
      <w:r w:rsidR="006F0514" w:rsidRPr="006F0514">
        <w:rPr>
          <w:rFonts w:ascii="Palatino Linotype" w:eastAsia="Palatino Linotype" w:hAnsi="Palatino Linotype" w:cs="Palatino Linotype"/>
          <w:i/>
          <w:color w:val="000000"/>
        </w:rPr>
        <w:lastRenderedPageBreak/>
        <w:t>que la suscrita solicito "Informe anual 2023 de los gastos realizados por el TESJI", mas no un link de búsqueda que fue lo que me proporciono como respuesta la autoridad. Cuestiones que violan los derechos consagrados en los diversos 8vo y 16 párrafo primero constitucionales</w:t>
      </w:r>
      <w:r>
        <w:rPr>
          <w:rFonts w:ascii="Palatino Linotype" w:eastAsia="Palatino Linotype" w:hAnsi="Palatino Linotype" w:cs="Palatino Linotype"/>
          <w:i/>
          <w:color w:val="000000"/>
        </w:rPr>
        <w:t>.”</w:t>
      </w:r>
    </w:p>
    <w:p w14:paraId="73AAFFD3" w14:textId="77777777" w:rsidR="00FF3119" w:rsidRDefault="00FF3119" w:rsidP="00FF3119">
      <w:pPr>
        <w:pBdr>
          <w:top w:val="nil"/>
          <w:left w:val="nil"/>
          <w:bottom w:val="nil"/>
          <w:right w:val="nil"/>
          <w:between w:val="nil"/>
        </w:pBdr>
        <w:spacing w:line="360" w:lineRule="auto"/>
        <w:ind w:left="1134" w:right="-787"/>
        <w:jc w:val="both"/>
        <w:rPr>
          <w:rFonts w:ascii="Palatino Linotype" w:eastAsia="Palatino Linotype" w:hAnsi="Palatino Linotype" w:cs="Palatino Linotype"/>
          <w:i/>
          <w:color w:val="000000"/>
        </w:rPr>
      </w:pPr>
    </w:p>
    <w:p w14:paraId="0225460E" w14:textId="77777777" w:rsidR="00FF3119" w:rsidRDefault="00FF3119" w:rsidP="00FF3119">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La Comisionada Ponente con fundamento en lo dispuesto por el artículo 185 fracción II de la ley de la materia, a través del acuerdo de admisión de fecha</w:t>
      </w:r>
      <w:r w:rsidR="006F0514">
        <w:rPr>
          <w:rFonts w:ascii="Palatino Linotype" w:eastAsia="Palatino Linotype" w:hAnsi="Palatino Linotype" w:cs="Palatino Linotype"/>
          <w:b/>
          <w:color w:val="000000"/>
        </w:rPr>
        <w:t xml:space="preserve"> catorce de octubre </w:t>
      </w:r>
      <w:r>
        <w:rPr>
          <w:rFonts w:ascii="Palatino Linotype" w:eastAsia="Palatino Linotype" w:hAnsi="Palatino Linotype" w:cs="Palatino Linotype"/>
          <w:b/>
          <w:color w:val="000000"/>
        </w:rPr>
        <w:t>de dos mil veinticuatro</w:t>
      </w:r>
      <w:r>
        <w:rPr>
          <w:rFonts w:ascii="Palatino Linotype" w:eastAsia="Palatino Linotype" w:hAnsi="Palatino Linotype" w:cs="Palatino Linotype"/>
          <w:color w:val="000000"/>
        </w:rPr>
        <w:t xml:space="preserve">, se puso a disposición de las partes el expediente electrónico vía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 xml:space="preserve">a 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su derecho conviniera,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 los casos concretos, y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presentará el Informe Justificado procedente.</w:t>
      </w:r>
    </w:p>
    <w:p w14:paraId="6AFD3910" w14:textId="77777777" w:rsidR="00FF3119" w:rsidRDefault="00FF3119" w:rsidP="00FF3119">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0F82FA94" w14:textId="77777777" w:rsidR="00FF3119" w:rsidRDefault="00FF3119" w:rsidP="00FF3119">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De lo anterior,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el </w:t>
      </w:r>
      <w:r w:rsidR="006F0514">
        <w:rPr>
          <w:rFonts w:ascii="Palatino Linotype" w:eastAsia="Palatino Linotype" w:hAnsi="Palatino Linotype" w:cs="Palatino Linotype"/>
          <w:b/>
          <w:color w:val="000000"/>
        </w:rPr>
        <w:t xml:space="preserve">veintidós de octubre </w:t>
      </w:r>
      <w:r>
        <w:rPr>
          <w:rFonts w:ascii="Palatino Linotype" w:eastAsia="Palatino Linotype" w:hAnsi="Palatino Linotype" w:cs="Palatino Linotype"/>
          <w:b/>
          <w:color w:val="000000"/>
        </w:rPr>
        <w:t>de dos mil veinticuatro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entregó</w:t>
      </w:r>
      <w:r>
        <w:rPr>
          <w:rFonts w:ascii="Palatino Linotype" w:eastAsia="Palatino Linotype" w:hAnsi="Palatino Linotype" w:cs="Palatino Linotype"/>
          <w:color w:val="000000"/>
        </w:rPr>
        <w:t xml:space="preserve"> cuatro archivos electrónicos en formato, cuyo contenido grosso modo es el siguiente. </w:t>
      </w:r>
    </w:p>
    <w:p w14:paraId="2ED3A934" w14:textId="77777777" w:rsidR="00FF3119" w:rsidRPr="004F34EF" w:rsidRDefault="006F0514" w:rsidP="004F34E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4F34EF">
        <w:rPr>
          <w:rFonts w:ascii="Palatino Linotype" w:eastAsia="Palatino Linotype" w:hAnsi="Palatino Linotype" w:cs="Palatino Linotype"/>
          <w:b/>
          <w:i/>
          <w:color w:val="000000"/>
          <w:sz w:val="22"/>
          <w:szCs w:val="22"/>
        </w:rPr>
        <w:t>ANEXOS RECURSO DE REVISIÓN.pdf</w:t>
      </w:r>
      <w:r w:rsidR="00FF3119" w:rsidRPr="004F34EF">
        <w:rPr>
          <w:rFonts w:ascii="Palatino Linotype" w:eastAsia="Palatino Linotype" w:hAnsi="Palatino Linotype" w:cs="Palatino Linotype"/>
          <w:b/>
          <w:i/>
          <w:color w:val="000000"/>
          <w:sz w:val="22"/>
          <w:szCs w:val="22"/>
        </w:rPr>
        <w:t xml:space="preserve">: </w:t>
      </w:r>
      <w:r w:rsidRPr="004F34EF">
        <w:rPr>
          <w:rFonts w:ascii="Palatino Linotype" w:eastAsia="Palatino Linotype" w:hAnsi="Palatino Linotype" w:cs="Palatino Linotype"/>
          <w:i/>
          <w:color w:val="000000"/>
          <w:sz w:val="22"/>
          <w:szCs w:val="22"/>
        </w:rPr>
        <w:t xml:space="preserve">contiene cinco fojas, consistentes en los anexos del recurso de revisión, del cual se observa que en le respuesta refieren otra solicitud de información, en el mismo archivo se observa el Estado </w:t>
      </w:r>
      <w:r w:rsidR="004F34EF" w:rsidRPr="004F34EF">
        <w:rPr>
          <w:rFonts w:ascii="Palatino Linotype" w:eastAsia="Palatino Linotype" w:hAnsi="Palatino Linotype" w:cs="Palatino Linotype"/>
          <w:i/>
          <w:color w:val="000000"/>
          <w:sz w:val="22"/>
          <w:szCs w:val="22"/>
        </w:rPr>
        <w:t>Analítico</w:t>
      </w:r>
      <w:r w:rsidRPr="004F34EF">
        <w:rPr>
          <w:rFonts w:ascii="Palatino Linotype" w:eastAsia="Palatino Linotype" w:hAnsi="Palatino Linotype" w:cs="Palatino Linotype"/>
          <w:i/>
          <w:color w:val="000000"/>
          <w:sz w:val="22"/>
          <w:szCs w:val="22"/>
        </w:rPr>
        <w:t xml:space="preserve"> de Clasificador por Objeto de Gasto, el cual es ilegible. </w:t>
      </w:r>
    </w:p>
    <w:p w14:paraId="090EF487" w14:textId="77777777" w:rsidR="004F34EF" w:rsidRDefault="004F34EF" w:rsidP="004F34E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4F34EF">
        <w:rPr>
          <w:rFonts w:ascii="Palatino Linotype" w:eastAsia="Palatino Linotype" w:hAnsi="Palatino Linotype" w:cs="Palatino Linotype"/>
          <w:b/>
          <w:i/>
          <w:color w:val="000000"/>
          <w:sz w:val="22"/>
          <w:szCs w:val="22"/>
        </w:rPr>
        <w:t>SAIMEX 00010 RF (3).</w:t>
      </w:r>
      <w:proofErr w:type="spellStart"/>
      <w:r w:rsidRPr="004F34EF">
        <w:rPr>
          <w:rFonts w:ascii="Palatino Linotype" w:eastAsia="Palatino Linotype" w:hAnsi="Palatino Linotype" w:cs="Palatino Linotype"/>
          <w:b/>
          <w:i/>
          <w:color w:val="000000"/>
          <w:sz w:val="22"/>
          <w:szCs w:val="22"/>
        </w:rPr>
        <w:t>pdf</w:t>
      </w:r>
      <w:proofErr w:type="spellEnd"/>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 xml:space="preserve">consistentes en los oficios de la respuesta inicial. </w:t>
      </w:r>
    </w:p>
    <w:p w14:paraId="1DC7A135" w14:textId="77777777" w:rsidR="004F34EF" w:rsidRDefault="004F34EF" w:rsidP="004F34E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4F34EF">
        <w:rPr>
          <w:rFonts w:ascii="Palatino Linotype" w:eastAsia="Palatino Linotype" w:hAnsi="Palatino Linotype" w:cs="Palatino Linotype"/>
          <w:b/>
          <w:i/>
          <w:color w:val="000000"/>
          <w:sz w:val="22"/>
          <w:szCs w:val="22"/>
        </w:rPr>
        <w:t>Link del oficio.pdf</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 xml:space="preserve">link que remite a la fracción XXV B de la página del </w:t>
      </w:r>
      <w:proofErr w:type="spellStart"/>
      <w:r>
        <w:rPr>
          <w:rFonts w:ascii="Palatino Linotype" w:eastAsia="Palatino Linotype" w:hAnsi="Palatino Linotype" w:cs="Palatino Linotype"/>
          <w:i/>
          <w:color w:val="000000"/>
          <w:sz w:val="22"/>
          <w:szCs w:val="22"/>
        </w:rPr>
        <w:t>ipomex</w:t>
      </w:r>
      <w:proofErr w:type="spellEnd"/>
      <w:r>
        <w:rPr>
          <w:rFonts w:ascii="Palatino Linotype" w:eastAsia="Palatino Linotype" w:hAnsi="Palatino Linotype" w:cs="Palatino Linotype"/>
          <w:i/>
          <w:color w:val="000000"/>
          <w:sz w:val="22"/>
          <w:szCs w:val="22"/>
        </w:rPr>
        <w:t xml:space="preserve"> 3.0 del </w:t>
      </w:r>
      <w:r>
        <w:rPr>
          <w:rFonts w:ascii="Palatino Linotype" w:eastAsia="Palatino Linotype" w:hAnsi="Palatino Linotype" w:cs="Palatino Linotype"/>
          <w:b/>
          <w:i/>
          <w:color w:val="000000"/>
          <w:sz w:val="22"/>
          <w:szCs w:val="22"/>
        </w:rPr>
        <w:t xml:space="preserve">SUJETO OBLIGADO, </w:t>
      </w:r>
      <w:r>
        <w:rPr>
          <w:rFonts w:ascii="Palatino Linotype" w:eastAsia="Palatino Linotype" w:hAnsi="Palatino Linotype" w:cs="Palatino Linotype"/>
          <w:i/>
          <w:color w:val="000000"/>
          <w:sz w:val="22"/>
          <w:szCs w:val="22"/>
        </w:rPr>
        <w:t xml:space="preserve">de la cual se observa que reportan la información preliminar más no la definitiva por no haber sido presentado en la cuenta pública. </w:t>
      </w:r>
    </w:p>
    <w:p w14:paraId="0E8030A5" w14:textId="77777777" w:rsidR="004F34EF" w:rsidRPr="004F34EF" w:rsidRDefault="004F34EF" w:rsidP="004F34E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4F34EF">
        <w:rPr>
          <w:rFonts w:ascii="Palatino Linotype" w:eastAsia="Palatino Linotype" w:hAnsi="Palatino Linotype" w:cs="Palatino Linotype"/>
          <w:b/>
          <w:i/>
          <w:color w:val="000000"/>
          <w:sz w:val="22"/>
          <w:szCs w:val="22"/>
        </w:rPr>
        <w:t>RR SAIMEX 160.pdf</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 xml:space="preserve">Informe Justificado de la Titular de la Unidad de Transparencia, mediante el cual ratifica su respuesta inicial, del que menciona </w:t>
      </w:r>
      <w:r>
        <w:rPr>
          <w:rFonts w:ascii="Palatino Linotype" w:eastAsia="Palatino Linotype" w:hAnsi="Palatino Linotype" w:cs="Palatino Linotype"/>
          <w:i/>
          <w:color w:val="000000"/>
          <w:sz w:val="22"/>
          <w:szCs w:val="22"/>
        </w:rPr>
        <w:lastRenderedPageBreak/>
        <w:t xml:space="preserve">que la información fue proporcionado por el link entregado en la respuesta inicial. </w:t>
      </w:r>
    </w:p>
    <w:p w14:paraId="66D6DADE" w14:textId="77777777" w:rsidR="00FF3119" w:rsidRDefault="00FF3119" w:rsidP="004F34EF">
      <w:pPr>
        <w:ind w:left="1134" w:right="900"/>
        <w:jc w:val="both"/>
        <w:rPr>
          <w:rFonts w:ascii="Palatino Linotype" w:eastAsia="Palatino Linotype" w:hAnsi="Palatino Linotype" w:cs="Palatino Linotype"/>
          <w:i/>
          <w:color w:val="000000"/>
        </w:rPr>
      </w:pPr>
    </w:p>
    <w:p w14:paraId="5B9767F0" w14:textId="77777777" w:rsidR="00FF3119" w:rsidRDefault="00FF3119" w:rsidP="004F34EF">
      <w:pPr>
        <w:pBdr>
          <w:top w:val="nil"/>
          <w:left w:val="nil"/>
          <w:bottom w:val="nil"/>
          <w:right w:val="nil"/>
          <w:between w:val="nil"/>
        </w:pBdr>
        <w:ind w:left="1134" w:right="900"/>
        <w:rPr>
          <w:rFonts w:ascii="Palatino Linotype" w:eastAsia="Palatino Linotype" w:hAnsi="Palatino Linotype" w:cs="Palatino Linotype"/>
          <w:color w:val="000000"/>
        </w:rPr>
      </w:pPr>
    </w:p>
    <w:p w14:paraId="5A7B549A" w14:textId="77777777" w:rsidR="00FF3119" w:rsidRPr="007A4525" w:rsidRDefault="00FF3119" w:rsidP="00FF3119">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Por su parte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rPr>
        <w:t>dejó</w:t>
      </w:r>
      <w:r>
        <w:rPr>
          <w:rFonts w:ascii="Palatino Linotype" w:eastAsia="Palatino Linotype" w:hAnsi="Palatino Linotype" w:cs="Palatino Linotype"/>
          <w:color w:val="000000"/>
        </w:rPr>
        <w:t xml:space="preserve"> de realizar manifestaciones que a su derecho conviniera y asistiera. </w:t>
      </w:r>
    </w:p>
    <w:p w14:paraId="48697FCC" w14:textId="77777777" w:rsidR="007A4525" w:rsidRDefault="007A4525" w:rsidP="007A4525">
      <w:pPr>
        <w:pBdr>
          <w:top w:val="nil"/>
          <w:left w:val="nil"/>
          <w:bottom w:val="nil"/>
          <w:right w:val="nil"/>
          <w:between w:val="nil"/>
        </w:pBdr>
        <w:spacing w:line="360" w:lineRule="auto"/>
        <w:ind w:right="-787"/>
        <w:jc w:val="both"/>
        <w:rPr>
          <w:color w:val="000000"/>
        </w:rPr>
      </w:pPr>
    </w:p>
    <w:p w14:paraId="12588583" w14:textId="77777777" w:rsidR="00FF3119" w:rsidRDefault="00FF3119" w:rsidP="00FF3119">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Seguidamente el día </w:t>
      </w:r>
      <w:r w:rsidR="007A4525">
        <w:rPr>
          <w:rFonts w:ascii="Palatino Linotype" w:eastAsia="Palatino Linotype" w:hAnsi="Palatino Linotype" w:cs="Palatino Linotype"/>
          <w:b/>
          <w:color w:val="000000"/>
        </w:rPr>
        <w:t xml:space="preserve">veintiuno </w:t>
      </w:r>
      <w:r>
        <w:rPr>
          <w:rFonts w:ascii="Palatino Linotype" w:eastAsia="Palatino Linotype" w:hAnsi="Palatino Linotype" w:cs="Palatino Linotype"/>
          <w:b/>
          <w:color w:val="000000"/>
        </w:rPr>
        <w:t>de noviembre de dos mil veinticuatro</w:t>
      </w:r>
      <w:r>
        <w:rPr>
          <w:rFonts w:ascii="Palatino Linotype" w:eastAsia="Palatino Linotype" w:hAnsi="Palatino Linotype" w:cs="Palatino Linotype"/>
          <w:color w:val="000000"/>
        </w:rPr>
        <w:t xml:space="preserve">, se decretó el cierre de instrucción, por lo que no habiendo más que hacer constar, y </w:t>
      </w:r>
      <w:r>
        <w:rPr>
          <w:rFonts w:ascii="Palatino Linotype" w:eastAsia="Palatino Linotype" w:hAnsi="Palatino Linotype" w:cs="Palatino Linotype"/>
        </w:rPr>
        <w:t>—-----------------------</w:t>
      </w:r>
    </w:p>
    <w:p w14:paraId="6906A23E" w14:textId="77777777" w:rsidR="00FF3119" w:rsidRDefault="00FF3119" w:rsidP="00FF3119">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14:paraId="3E8B1272" w14:textId="77777777" w:rsidR="00FF3119" w:rsidRDefault="00FF3119" w:rsidP="00FF3119">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14:paraId="784F64CB" w14:textId="77777777" w:rsidR="00FF3119" w:rsidRDefault="00FF3119" w:rsidP="00FF3119">
      <w:pPr>
        <w:pStyle w:val="Ttulo2"/>
        <w:spacing w:before="0" w:line="360" w:lineRule="auto"/>
        <w:ind w:right="-787"/>
        <w:rPr>
          <w:rFonts w:ascii="Palatino Linotype" w:eastAsia="Palatino Linotype" w:hAnsi="Palatino Linotype" w:cs="Palatino Linotype"/>
          <w:b/>
          <w:color w:val="000000"/>
          <w:sz w:val="24"/>
          <w:szCs w:val="24"/>
        </w:rPr>
      </w:pPr>
      <w:bookmarkStart w:id="4" w:name="_heading=h.2et92p0" w:colFirst="0" w:colLast="0"/>
      <w:bookmarkEnd w:id="4"/>
      <w:r>
        <w:rPr>
          <w:rFonts w:ascii="Palatino Linotype" w:eastAsia="Palatino Linotype" w:hAnsi="Palatino Linotype" w:cs="Palatino Linotype"/>
          <w:b/>
          <w:color w:val="000000"/>
          <w:sz w:val="24"/>
          <w:szCs w:val="24"/>
        </w:rPr>
        <w:t>PRIMERO. De la competencia</w:t>
      </w:r>
    </w:p>
    <w:p w14:paraId="18DAC798" w14:textId="77777777" w:rsidR="00FF3119" w:rsidRDefault="00FF3119" w:rsidP="00FF3119">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1C27D1D6" w14:textId="77777777" w:rsidR="00FF3119" w:rsidRDefault="00FF3119" w:rsidP="00FF3119">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b/>
          <w:color w:val="000000"/>
        </w:rPr>
      </w:pPr>
      <w:bookmarkStart w:id="5" w:name="_heading=h.tyjcwt" w:colFirst="0" w:colLast="0"/>
      <w:bookmarkEnd w:id="5"/>
    </w:p>
    <w:p w14:paraId="3EA9BA63" w14:textId="77777777" w:rsidR="00FF3119" w:rsidRDefault="00FF3119" w:rsidP="00FF3119">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b/>
          <w:color w:val="000000"/>
        </w:rPr>
      </w:pPr>
      <w:bookmarkStart w:id="6" w:name="_heading=h.3dy6vkm" w:colFirst="0" w:colLast="0"/>
      <w:bookmarkEnd w:id="6"/>
      <w:r>
        <w:rPr>
          <w:rFonts w:ascii="Palatino Linotype" w:eastAsia="Palatino Linotype" w:hAnsi="Palatino Linotype" w:cs="Palatino Linotype"/>
          <w:b/>
          <w:color w:val="000000"/>
        </w:rPr>
        <w:t>SEGUNDO. De la oportunidad y procedencia.</w:t>
      </w:r>
    </w:p>
    <w:p w14:paraId="106031EC" w14:textId="77777777" w:rsidR="00FF3119" w:rsidRDefault="00FF3119" w:rsidP="00FF3119">
      <w:pPr>
        <w:numPr>
          <w:ilvl w:val="0"/>
          <w:numId w:val="4"/>
        </w:numPr>
        <w:pBdr>
          <w:top w:val="nil"/>
          <w:left w:val="nil"/>
          <w:bottom w:val="nil"/>
          <w:right w:val="nil"/>
          <w:between w:val="nil"/>
        </w:pBdr>
        <w:spacing w:line="360" w:lineRule="auto"/>
        <w:ind w:left="0" w:right="-787" w:firstLine="0"/>
        <w:jc w:val="both"/>
        <w:rPr>
          <w:color w:val="000000"/>
        </w:rPr>
      </w:pPr>
      <w:bookmarkStart w:id="7" w:name="_heading=h.1t3h5sf" w:colFirst="0" w:colLast="0"/>
      <w:bookmarkEnd w:id="7"/>
      <w:r>
        <w:rPr>
          <w:rFonts w:ascii="Palatino Linotype" w:eastAsia="Palatino Linotype" w:hAnsi="Palatino Linotype" w:cs="Palatino Linotype"/>
          <w:color w:val="000000"/>
        </w:rPr>
        <w:lastRenderedPageBreak/>
        <w:t xml:space="preserve">Los medios de impugnación fueron presentados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entregó sus respuestas el </w:t>
      </w:r>
      <w:r w:rsidR="008402D3">
        <w:rPr>
          <w:rFonts w:ascii="Palatino Linotype" w:eastAsia="Palatino Linotype" w:hAnsi="Palatino Linotype" w:cs="Palatino Linotype"/>
          <w:b/>
          <w:color w:val="000000"/>
        </w:rPr>
        <w:t xml:space="preserve">siete de octubre </w:t>
      </w:r>
      <w:r>
        <w:rPr>
          <w:rFonts w:ascii="Palatino Linotype" w:eastAsia="Palatino Linotype" w:hAnsi="Palatino Linotype" w:cs="Palatino Linotype"/>
          <w:b/>
          <w:color w:val="000000"/>
        </w:rPr>
        <w:t>de dos mil veinticuatro</w:t>
      </w:r>
      <w:r>
        <w:rPr>
          <w:rFonts w:ascii="Palatino Linotype" w:eastAsia="Palatino Linotype" w:hAnsi="Palatino Linotype" w:cs="Palatino Linotype"/>
          <w:color w:val="000000"/>
        </w:rPr>
        <w:t xml:space="preserve">, de tal forma que el plazo para interponer el recurso de revisión transcurrió del día del </w:t>
      </w:r>
      <w:r w:rsidR="008402D3">
        <w:rPr>
          <w:rFonts w:ascii="Palatino Linotype" w:eastAsia="Palatino Linotype" w:hAnsi="Palatino Linotype" w:cs="Palatino Linotype"/>
          <w:b/>
          <w:color w:val="000000"/>
        </w:rPr>
        <w:t xml:space="preserve">ocho al veintiocho de octubre </w:t>
      </w:r>
      <w:r>
        <w:rPr>
          <w:rFonts w:ascii="Palatino Linotype" w:eastAsia="Palatino Linotype" w:hAnsi="Palatino Linotype" w:cs="Palatino Linotype"/>
          <w:b/>
          <w:color w:val="000000"/>
        </w:rPr>
        <w:t>de dos mil veinticuatro</w:t>
      </w:r>
      <w:r>
        <w:rPr>
          <w:rFonts w:ascii="Palatino Linotype" w:eastAsia="Palatino Linotype" w:hAnsi="Palatino Linotype" w:cs="Palatino Linotype"/>
          <w:color w:val="000000"/>
        </w:rPr>
        <w:t xml:space="preserve">; en consecuencia, el ahora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presentó sus inconformidades  el día </w:t>
      </w:r>
      <w:r w:rsidR="008402D3">
        <w:rPr>
          <w:rFonts w:ascii="Palatino Linotype" w:eastAsia="Palatino Linotype" w:hAnsi="Palatino Linotype" w:cs="Palatino Linotype"/>
          <w:b/>
          <w:color w:val="000000"/>
        </w:rPr>
        <w:t>nueve de octubre de dos mil veinticuatro</w:t>
      </w:r>
      <w:r>
        <w:rPr>
          <w:rFonts w:ascii="Palatino Linotype" w:eastAsia="Palatino Linotype" w:hAnsi="Palatino Linotype" w:cs="Palatino Linotype"/>
          <w:color w:val="000000"/>
        </w:rPr>
        <w:t>; es decir dentro del lapso legalmente establecido para tal efecto.</w:t>
      </w:r>
    </w:p>
    <w:p w14:paraId="5567E8ED" w14:textId="77777777" w:rsidR="00FF3119" w:rsidRDefault="00FF3119" w:rsidP="00FF3119">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0E5F9CCC" w14:textId="77777777" w:rsidR="00FF3119" w:rsidRDefault="00FF3119" w:rsidP="00FF3119">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50F09A4" w14:textId="77777777" w:rsidR="00FF3119" w:rsidRDefault="00FF3119" w:rsidP="00FF3119">
      <w:pPr>
        <w:spacing w:line="360" w:lineRule="auto"/>
        <w:ind w:right="-787"/>
        <w:rPr>
          <w:rFonts w:ascii="Palatino Linotype" w:eastAsia="Palatino Linotype" w:hAnsi="Palatino Linotype" w:cs="Palatino Linotype"/>
        </w:rPr>
      </w:pPr>
    </w:p>
    <w:p w14:paraId="2CF18FA7" w14:textId="77777777" w:rsidR="00FF3119" w:rsidRDefault="00FF3119" w:rsidP="00FF3119">
      <w:pPr>
        <w:pStyle w:val="Ttulo1"/>
        <w:spacing w:before="0" w:line="360" w:lineRule="auto"/>
        <w:ind w:right="-787"/>
        <w:rPr>
          <w:rFonts w:ascii="Palatino Linotype" w:eastAsia="Palatino Linotype" w:hAnsi="Palatino Linotype" w:cs="Palatino Linotype"/>
          <w:b/>
          <w:color w:val="000000"/>
          <w:sz w:val="24"/>
          <w:szCs w:val="24"/>
        </w:rPr>
      </w:pPr>
      <w:bookmarkStart w:id="8" w:name="_heading=h.4d34og8" w:colFirst="0" w:colLast="0"/>
      <w:bookmarkEnd w:id="8"/>
      <w:r>
        <w:rPr>
          <w:rFonts w:ascii="Palatino Linotype" w:eastAsia="Palatino Linotype" w:hAnsi="Palatino Linotype" w:cs="Palatino Linotype"/>
          <w:b/>
          <w:color w:val="000000"/>
          <w:sz w:val="24"/>
          <w:szCs w:val="24"/>
        </w:rPr>
        <w:t xml:space="preserve">TERCERO. Del planteamiento de la </w:t>
      </w:r>
      <w:r>
        <w:rPr>
          <w:rFonts w:ascii="Palatino Linotype" w:eastAsia="Palatino Linotype" w:hAnsi="Palatino Linotype" w:cs="Palatino Linotype"/>
          <w:b/>
          <w:i/>
          <w:color w:val="000000"/>
          <w:sz w:val="24"/>
          <w:szCs w:val="24"/>
        </w:rPr>
        <w:t>Litis</w:t>
      </w:r>
      <w:r>
        <w:rPr>
          <w:rFonts w:ascii="Palatino Linotype" w:eastAsia="Palatino Linotype" w:hAnsi="Palatino Linotype" w:cs="Palatino Linotype"/>
          <w:b/>
          <w:color w:val="000000"/>
          <w:sz w:val="24"/>
          <w:szCs w:val="24"/>
        </w:rPr>
        <w:t>.</w:t>
      </w:r>
    </w:p>
    <w:p w14:paraId="4A20C08D" w14:textId="77777777" w:rsidR="00FF3119" w:rsidRDefault="00FF3119" w:rsidP="00FF3119">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De las constancias en el expediente al rubro indicado, se desprende que la particular solicitó la información que a continuación se desagrega:</w:t>
      </w:r>
    </w:p>
    <w:p w14:paraId="6587B49E" w14:textId="77777777" w:rsidR="00FF3119" w:rsidRDefault="00FF3119" w:rsidP="00FF3119">
      <w:pPr>
        <w:pBdr>
          <w:top w:val="nil"/>
          <w:left w:val="nil"/>
          <w:bottom w:val="nil"/>
          <w:right w:val="nil"/>
          <w:between w:val="nil"/>
        </w:pBdr>
        <w:spacing w:line="360" w:lineRule="auto"/>
        <w:ind w:right="-787"/>
        <w:jc w:val="both"/>
        <w:rPr>
          <w:rFonts w:ascii="Palatino Linotype" w:eastAsia="Palatino Linotype" w:hAnsi="Palatino Linotype" w:cs="Palatino Linotype"/>
          <w:b/>
          <w:i/>
          <w:color w:val="000000"/>
        </w:rPr>
      </w:pPr>
    </w:p>
    <w:p w14:paraId="2228F19C" w14:textId="77777777" w:rsidR="00FF3119" w:rsidRDefault="008402D3" w:rsidP="00FF3119">
      <w:pPr>
        <w:numPr>
          <w:ilvl w:val="0"/>
          <w:numId w:val="1"/>
        </w:numPr>
        <w:pBdr>
          <w:top w:val="nil"/>
          <w:left w:val="nil"/>
          <w:bottom w:val="nil"/>
          <w:right w:val="nil"/>
          <w:between w:val="nil"/>
        </w:pBdr>
        <w:spacing w:line="360" w:lineRule="auto"/>
        <w:ind w:right="-7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Informe anual </w:t>
      </w:r>
      <w:r w:rsidRPr="008402D3">
        <w:rPr>
          <w:rFonts w:ascii="Palatino Linotype" w:eastAsia="Palatino Linotype" w:hAnsi="Palatino Linotype" w:cs="Palatino Linotype"/>
          <w:b/>
          <w:i/>
          <w:color w:val="000000"/>
          <w:sz w:val="22"/>
          <w:szCs w:val="22"/>
        </w:rPr>
        <w:t>de los gastos realizas por el Tecnológico de estudios superiores de Jilotepec</w:t>
      </w:r>
      <w:r>
        <w:rPr>
          <w:rFonts w:ascii="Palatino Linotype" w:eastAsia="Palatino Linotype" w:hAnsi="Palatino Linotype" w:cs="Palatino Linotype"/>
          <w:b/>
          <w:i/>
          <w:color w:val="000000"/>
          <w:sz w:val="22"/>
          <w:szCs w:val="22"/>
        </w:rPr>
        <w:t xml:space="preserve">, del ejercicio fiscal dos mil veintitrés. </w:t>
      </w:r>
    </w:p>
    <w:p w14:paraId="17C9A9D8" w14:textId="77777777" w:rsidR="00FF3119" w:rsidRDefault="00FF3119" w:rsidP="00FF3119">
      <w:pPr>
        <w:pBdr>
          <w:top w:val="nil"/>
          <w:left w:val="nil"/>
          <w:bottom w:val="nil"/>
          <w:right w:val="nil"/>
          <w:between w:val="nil"/>
        </w:pBdr>
        <w:spacing w:line="360" w:lineRule="auto"/>
        <w:ind w:left="1498" w:right="-787"/>
        <w:jc w:val="both"/>
        <w:rPr>
          <w:rFonts w:ascii="Palatino Linotype" w:eastAsia="Palatino Linotype" w:hAnsi="Palatino Linotype" w:cs="Palatino Linotype"/>
          <w:b/>
          <w:i/>
          <w:color w:val="000000"/>
        </w:rPr>
      </w:pPr>
    </w:p>
    <w:p w14:paraId="2E85717A" w14:textId="77777777" w:rsidR="008402D3" w:rsidRPr="008402D3" w:rsidRDefault="00FF3119" w:rsidP="00FF3119">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En respuesta,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remitió </w:t>
      </w:r>
      <w:r w:rsidR="008402D3">
        <w:rPr>
          <w:rFonts w:ascii="Palatino Linotype" w:eastAsia="Palatino Linotype" w:hAnsi="Palatino Linotype" w:cs="Palatino Linotype"/>
          <w:color w:val="000000"/>
        </w:rPr>
        <w:t xml:space="preserve">un link en formato cerrado, del cual refiere se  puede acceder a la información solicitada por el </w:t>
      </w:r>
      <w:r w:rsidR="008402D3">
        <w:rPr>
          <w:rFonts w:ascii="Palatino Linotype" w:eastAsia="Palatino Linotype" w:hAnsi="Palatino Linotype" w:cs="Palatino Linotype"/>
          <w:b/>
          <w:color w:val="000000"/>
        </w:rPr>
        <w:t xml:space="preserve">RECURRENTE. </w:t>
      </w:r>
    </w:p>
    <w:p w14:paraId="505F1D07" w14:textId="77777777" w:rsidR="00FF3119" w:rsidRDefault="00FF3119" w:rsidP="00FF3119">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lastRenderedPageBreak/>
        <w:t xml:space="preserve">En dichas condiciones, la </w:t>
      </w:r>
      <w:r>
        <w:rPr>
          <w:rFonts w:ascii="Palatino Linotype" w:eastAsia="Palatino Linotype" w:hAnsi="Palatino Linotype" w:cs="Palatino Linotype"/>
          <w:i/>
          <w:color w:val="000000"/>
        </w:rPr>
        <w:t>Litis</w:t>
      </w:r>
      <w:r>
        <w:rPr>
          <w:rFonts w:ascii="Palatino Linotype" w:eastAsia="Palatino Linotype" w:hAnsi="Palatino Linotype" w:cs="Palatino Linotype"/>
          <w:color w:val="000000"/>
        </w:rPr>
        <w:t xml:space="preserve"> a resolver en este recurso se circunscribe a determinar si se actualizan las causales de procedencia previstas en el artículo 179, </w:t>
      </w:r>
      <w:r>
        <w:rPr>
          <w:rFonts w:ascii="Palatino Linotype" w:eastAsia="Palatino Linotype" w:hAnsi="Palatino Linotype" w:cs="Palatino Linotype"/>
          <w:b/>
          <w:color w:val="000000"/>
        </w:rPr>
        <w:t>fracción</w:t>
      </w:r>
      <w:r w:rsidR="008402D3">
        <w:rPr>
          <w:rFonts w:ascii="Palatino Linotype" w:eastAsia="Palatino Linotype" w:hAnsi="Palatino Linotype" w:cs="Palatino Linotype"/>
          <w:b/>
          <w:color w:val="000000"/>
        </w:rPr>
        <w:t xml:space="preserve"> V</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de la Ley</w:t>
      </w:r>
      <w:r>
        <w:rPr>
          <w:rFonts w:ascii="Palatino Linotype" w:eastAsia="Palatino Linotype" w:hAnsi="Palatino Linotype" w:cs="Palatino Linotype"/>
          <w:b/>
          <w:color w:val="000000"/>
        </w:rPr>
        <w:t xml:space="preserve"> de Transparencia y Acceso a la Información Pública del Estado de </w:t>
      </w:r>
      <w:r>
        <w:rPr>
          <w:rFonts w:ascii="Palatino Linotype" w:eastAsia="Palatino Linotype" w:hAnsi="Palatino Linotype" w:cs="Palatino Linotype"/>
          <w:color w:val="000000"/>
        </w:rPr>
        <w:t>México</w:t>
      </w:r>
      <w:r>
        <w:rPr>
          <w:rFonts w:ascii="Palatino Linotype" w:eastAsia="Palatino Linotype" w:hAnsi="Palatino Linotype" w:cs="Palatino Linotype"/>
          <w:b/>
          <w:color w:val="000000"/>
        </w:rPr>
        <w:t xml:space="preserve"> y Municipios</w:t>
      </w:r>
      <w:r>
        <w:rPr>
          <w:rFonts w:ascii="Palatino Linotype" w:eastAsia="Palatino Linotype" w:hAnsi="Palatino Linotype" w:cs="Palatino Linotype"/>
          <w:color w:val="000000"/>
        </w:rPr>
        <w:t xml:space="preserve">; fracción que determina la hipótesis jurídica relativa a la entrega de información </w:t>
      </w:r>
      <w:r w:rsidR="008402D3">
        <w:rPr>
          <w:rFonts w:ascii="Palatino Linotype" w:eastAsia="Palatino Linotype" w:hAnsi="Palatino Linotype" w:cs="Palatino Linotype"/>
          <w:color w:val="000000"/>
        </w:rPr>
        <w:t>incompleta</w:t>
      </w:r>
      <w:r>
        <w:rPr>
          <w:rFonts w:ascii="Palatino Linotype" w:eastAsia="Palatino Linotype" w:hAnsi="Palatino Linotype" w:cs="Palatino Linotype"/>
          <w:color w:val="000000"/>
        </w:rPr>
        <w:t xml:space="preserve">; contexto del cual se dolió </w:t>
      </w:r>
      <w:r>
        <w:rPr>
          <w:rFonts w:ascii="Palatino Linotype" w:eastAsia="Palatino Linotype" w:hAnsi="Palatino Linotype" w:cs="Palatino Linotype"/>
          <w:b/>
          <w:color w:val="000000"/>
        </w:rPr>
        <w:t xml:space="preserve">EL RECURRENTE </w:t>
      </w:r>
      <w:r>
        <w:rPr>
          <w:rFonts w:ascii="Palatino Linotype" w:eastAsia="Palatino Linotype" w:hAnsi="Palatino Linotype" w:cs="Palatino Linotype"/>
          <w:color w:val="000000"/>
        </w:rPr>
        <w:t>al momento de interponer su inconformidad.</w:t>
      </w:r>
    </w:p>
    <w:p w14:paraId="6BE968DC" w14:textId="77777777" w:rsidR="00FF3119" w:rsidRDefault="00FF3119" w:rsidP="00FF3119">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7468BF86" w14:textId="77777777" w:rsidR="00FF3119" w:rsidRDefault="00FF3119" w:rsidP="00FF3119">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De modo tal que el presente recurso de revisión se abocara en determinar si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con su respuesta ciertamente actualiza la causal de procedencia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71885E67" w14:textId="77777777" w:rsidR="00FF3119" w:rsidRDefault="00FF3119" w:rsidP="00FF3119">
      <w:pPr>
        <w:pBdr>
          <w:top w:val="nil"/>
          <w:left w:val="nil"/>
          <w:bottom w:val="nil"/>
          <w:right w:val="nil"/>
          <w:between w:val="nil"/>
        </w:pBdr>
        <w:spacing w:line="360" w:lineRule="auto"/>
        <w:ind w:left="709" w:right="-787"/>
        <w:rPr>
          <w:rFonts w:ascii="Palatino Linotype" w:eastAsia="Palatino Linotype" w:hAnsi="Palatino Linotype" w:cs="Palatino Linotype"/>
          <w:color w:val="000000"/>
        </w:rPr>
      </w:pPr>
    </w:p>
    <w:p w14:paraId="179A96D2" w14:textId="77777777" w:rsidR="00FF3119" w:rsidRDefault="00FF3119" w:rsidP="00FF3119">
      <w:pPr>
        <w:keepNext/>
        <w:keepLines/>
        <w:spacing w:line="360" w:lineRule="auto"/>
        <w:ind w:right="-787"/>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CUARTO. Del estudio y resolución del estudio.</w:t>
      </w:r>
    </w:p>
    <w:p w14:paraId="2098C471" w14:textId="77777777" w:rsidR="00FF3119" w:rsidRDefault="00FF3119" w:rsidP="00FF3119">
      <w:pPr>
        <w:keepNext/>
        <w:keepLines/>
        <w:numPr>
          <w:ilvl w:val="0"/>
          <w:numId w:val="5"/>
        </w:numPr>
        <w:spacing w:after="240" w:line="360" w:lineRule="auto"/>
        <w:ind w:left="786" w:right="-787"/>
        <w:rPr>
          <w:rFonts w:ascii="Palatino Linotype" w:eastAsia="Palatino Linotype" w:hAnsi="Palatino Linotype" w:cs="Palatino Linotype"/>
          <w:b/>
          <w:color w:val="000000"/>
        </w:rPr>
      </w:pPr>
      <w:bookmarkStart w:id="9" w:name="_heading=h.2s8eyo1" w:colFirst="0" w:colLast="0"/>
      <w:bookmarkEnd w:id="9"/>
      <w:r>
        <w:rPr>
          <w:rFonts w:ascii="Palatino Linotype" w:eastAsia="Palatino Linotype" w:hAnsi="Palatino Linotype" w:cs="Palatino Linotype"/>
          <w:b/>
          <w:color w:val="000000"/>
        </w:rPr>
        <w:t>Del derecho de acceso a la información.</w:t>
      </w:r>
    </w:p>
    <w:p w14:paraId="1FB4E7D6" w14:textId="77777777" w:rsidR="00FF3119" w:rsidRDefault="00FF3119" w:rsidP="00FF3119">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7A2ECCD6" w14:textId="77777777" w:rsidR="00FF3119" w:rsidRDefault="00FF3119" w:rsidP="00FF3119">
      <w:pPr>
        <w:pBdr>
          <w:top w:val="nil"/>
          <w:left w:val="nil"/>
          <w:bottom w:val="nil"/>
          <w:right w:val="nil"/>
          <w:between w:val="nil"/>
        </w:pBdr>
        <w:spacing w:line="360" w:lineRule="auto"/>
        <w:ind w:left="360" w:right="-787"/>
        <w:jc w:val="both"/>
        <w:rPr>
          <w:rFonts w:ascii="Palatino Linotype" w:eastAsia="Palatino Linotype" w:hAnsi="Palatino Linotype" w:cs="Palatino Linotype"/>
        </w:rPr>
      </w:pPr>
    </w:p>
    <w:p w14:paraId="7075349C" w14:textId="77777777" w:rsidR="00FF3119" w:rsidRDefault="00FF3119" w:rsidP="00FF3119">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lastRenderedPageBreak/>
        <w:t xml:space="preserve">Definiendo el Derecho de Acceso a la Información Pública como: </w:t>
      </w:r>
      <w:r>
        <w:rPr>
          <w:rFonts w:ascii="Palatino Linotype" w:eastAsia="Palatino Linotype" w:hAnsi="Palatino Linotype" w:cs="Palatino Linotype"/>
          <w:i/>
          <w:color w:val="000000"/>
        </w:rPr>
        <w:t>La igualdad de oportunidades para recibir, buscar e impartir información</w:t>
      </w:r>
      <w:r>
        <w:rPr>
          <w:rFonts w:ascii="Palatino Linotype" w:eastAsia="Palatino Linotype" w:hAnsi="Palatino Linotype" w:cs="Palatino Linotype"/>
          <w:i/>
          <w:color w:val="000000"/>
          <w:vertAlign w:val="superscript"/>
        </w:rPr>
        <w:footnoteReference w:id="1"/>
      </w:r>
      <w:r>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color w:val="000000"/>
          <w:vertAlign w:val="superscript"/>
        </w:rPr>
        <w:footnoteReference w:id="2"/>
      </w:r>
      <w:r>
        <w:rPr>
          <w:rFonts w:ascii="Palatino Linotype" w:eastAsia="Palatino Linotype" w:hAnsi="Palatino Linotype" w:cs="Palatino Linotype"/>
          <w:color w:val="000000"/>
        </w:rPr>
        <w:t>que se constituye como una herramienta fundamental para ejercer</w:t>
      </w:r>
      <w:r>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color w:val="000000"/>
          <w:vertAlign w:val="superscript"/>
        </w:rPr>
        <w:footnoteReference w:id="3"/>
      </w:r>
      <w:r>
        <w:rPr>
          <w:rFonts w:ascii="Palatino Linotype" w:eastAsia="Palatino Linotype" w:hAnsi="Palatino Linotype" w:cs="Palatino Linotype"/>
          <w:color w:val="000000"/>
        </w:rPr>
        <w:t>fomentando</w:t>
      </w:r>
      <w:r>
        <w:rPr>
          <w:rFonts w:ascii="Palatino Linotype" w:eastAsia="Palatino Linotype" w:hAnsi="Palatino Linotype" w:cs="Palatino Linotype"/>
          <w:i/>
          <w:color w:val="000000"/>
        </w:rPr>
        <w:t xml:space="preserve"> la transparencia de las actividades estatales y </w:t>
      </w:r>
      <w:r>
        <w:rPr>
          <w:rFonts w:ascii="Palatino Linotype" w:eastAsia="Palatino Linotype" w:hAnsi="Palatino Linotype" w:cs="Palatino Linotype"/>
          <w:color w:val="000000"/>
        </w:rPr>
        <w:t>promoviendo</w:t>
      </w:r>
      <w:r>
        <w:rPr>
          <w:rFonts w:ascii="Palatino Linotype" w:eastAsia="Palatino Linotype" w:hAnsi="Palatino Linotype" w:cs="Palatino Linotype"/>
          <w:i/>
          <w:color w:val="000000"/>
        </w:rPr>
        <w:t xml:space="preserve"> la responsabilidad de los funcionarios sobre su gestión pública,</w:t>
      </w:r>
      <w:r>
        <w:rPr>
          <w:rFonts w:ascii="Palatino Linotype" w:eastAsia="Palatino Linotype" w:hAnsi="Palatino Linotype" w:cs="Palatino Linotype"/>
          <w:i/>
          <w:color w:val="000000"/>
          <w:vertAlign w:val="superscript"/>
        </w:rPr>
        <w:footnoteReference w:id="4"/>
      </w:r>
      <w:r>
        <w:rPr>
          <w:rFonts w:ascii="Palatino Linotype" w:eastAsia="Palatino Linotype" w:hAnsi="Palatino Linotype" w:cs="Palatino Linotype"/>
          <w:color w:val="000000"/>
        </w:rPr>
        <w:t>que permite</w:t>
      </w:r>
      <w:r>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5B704313" w14:textId="77777777" w:rsidR="00FF3119" w:rsidRDefault="00FF3119" w:rsidP="00FF3119">
      <w:pPr>
        <w:spacing w:line="360" w:lineRule="auto"/>
        <w:ind w:right="-787"/>
        <w:jc w:val="both"/>
        <w:rPr>
          <w:rFonts w:ascii="Palatino Linotype" w:eastAsia="Palatino Linotype" w:hAnsi="Palatino Linotype" w:cs="Palatino Linotype"/>
        </w:rPr>
      </w:pPr>
    </w:p>
    <w:p w14:paraId="7CCA1A39" w14:textId="77777777" w:rsidR="00FF3119" w:rsidRDefault="00FF3119" w:rsidP="00FF3119">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En México, además de los derechos, están reconocidas las garantías para su protección, en ese sentido el párrafo tercero de artículo primero de la Constitución Política de los Estados Unidos Mexicanos dispone lo siguiente:</w:t>
      </w:r>
    </w:p>
    <w:p w14:paraId="705CF33E" w14:textId="77777777" w:rsidR="00FF3119" w:rsidRDefault="00FF3119" w:rsidP="00FF3119">
      <w:pPr>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xml:space="preserve"> </w:t>
      </w:r>
    </w:p>
    <w:p w14:paraId="38EC7926" w14:textId="77777777" w:rsidR="00FF3119" w:rsidRDefault="00FF3119" w:rsidP="00FF3119">
      <w:pPr>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2F088BC" w14:textId="77777777" w:rsidR="00FF3119" w:rsidRDefault="00FF3119" w:rsidP="00FF3119">
      <w:pPr>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40BA7DA5" w14:textId="77777777" w:rsidR="00FF3119" w:rsidRDefault="00FF3119" w:rsidP="00FF3119">
      <w:pPr>
        <w:ind w:left="1134" w:right="-7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w:t>
      </w:r>
    </w:p>
    <w:p w14:paraId="4D730B9E" w14:textId="77777777" w:rsidR="00FF3119" w:rsidRDefault="00FF3119" w:rsidP="00FF3119">
      <w:pPr>
        <w:ind w:right="-787"/>
        <w:jc w:val="both"/>
        <w:rPr>
          <w:rFonts w:ascii="Palatino Linotype" w:eastAsia="Palatino Linotype" w:hAnsi="Palatino Linotype" w:cs="Palatino Linotype"/>
          <w:b/>
        </w:rPr>
      </w:pPr>
    </w:p>
    <w:p w14:paraId="51917CB9" w14:textId="77777777" w:rsidR="00FF3119" w:rsidRDefault="00FF3119" w:rsidP="00FF3119">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556A9441" w14:textId="77777777" w:rsidR="00FF3119" w:rsidRDefault="00FF3119" w:rsidP="00FF3119">
      <w:pPr>
        <w:spacing w:line="360" w:lineRule="auto"/>
        <w:ind w:right="-787"/>
        <w:jc w:val="both"/>
        <w:rPr>
          <w:rFonts w:ascii="Palatino Linotype" w:eastAsia="Palatino Linotype" w:hAnsi="Palatino Linotype" w:cs="Palatino Linotype"/>
        </w:rPr>
      </w:pPr>
    </w:p>
    <w:p w14:paraId="74C673A7" w14:textId="77777777" w:rsidR="00FF3119" w:rsidRDefault="00FF3119" w:rsidP="00FF3119">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7C4FB909" w14:textId="77777777" w:rsidR="00FF3119" w:rsidRDefault="00FF3119" w:rsidP="00FF3119">
      <w:pPr>
        <w:spacing w:after="240"/>
        <w:ind w:left="1134" w:right="6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 los Estados Unidos Mexicanos</w:t>
      </w:r>
    </w:p>
    <w:p w14:paraId="197A99B7" w14:textId="77777777" w:rsidR="00FF3119" w:rsidRDefault="00FF3119" w:rsidP="00FF3119">
      <w:pPr>
        <w:spacing w:before="240" w:after="240"/>
        <w:ind w:left="1134" w:right="6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6.</w:t>
      </w:r>
    </w:p>
    <w:p w14:paraId="0F67B64F" w14:textId="77777777" w:rsidR="00FF3119" w:rsidRDefault="00FF3119" w:rsidP="00FF3119">
      <w:pPr>
        <w:spacing w:before="240" w:after="240"/>
        <w:ind w:left="1134"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8C9AA5A" w14:textId="77777777" w:rsidR="00FF3119" w:rsidRDefault="00FF3119" w:rsidP="00FF3119">
      <w:pPr>
        <w:spacing w:before="240" w:after="240"/>
        <w:ind w:left="1134"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14:paraId="0B98F446" w14:textId="77777777" w:rsidR="00FF3119" w:rsidRDefault="00FF3119" w:rsidP="00FF3119">
      <w:pPr>
        <w:spacing w:before="240" w:after="240"/>
        <w:ind w:left="1134" w:right="6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el ejercicio del derecho de acceso a la información</w:t>
      </w:r>
      <w:r>
        <w:rPr>
          <w:rFonts w:ascii="Palatino Linotype" w:eastAsia="Palatino Linotype" w:hAnsi="Palatino Linotype" w:cs="Palatino Linotype"/>
          <w:i/>
          <w:sz w:val="22"/>
          <w:szCs w:val="22"/>
        </w:rPr>
        <w:t xml:space="preserve">, la Federación y </w:t>
      </w:r>
      <w:r>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14:paraId="05DFD00A" w14:textId="77777777" w:rsidR="00FF3119" w:rsidRDefault="00FF3119" w:rsidP="00FF3119">
      <w:pPr>
        <w:spacing w:before="240" w:after="240"/>
        <w:ind w:left="1134"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rPr>
        <w:tab/>
        <w:t>Toda la información en posesión de cualquier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autoridad</w:t>
      </w:r>
      <w:r>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i/>
          <w:sz w:val="22"/>
          <w:szCs w:val="22"/>
        </w:rPr>
        <w:t>municipal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Pr>
          <w:rFonts w:ascii="Palatino Linotype" w:eastAsia="Palatino Linotype" w:hAnsi="Palatino Linotype" w:cs="Palatino Linotype"/>
          <w:i/>
          <w:sz w:val="22"/>
          <w:szCs w:val="22"/>
        </w:rPr>
        <w:t xml:space="preserve">, la ley determinará los </w:t>
      </w:r>
      <w:r>
        <w:rPr>
          <w:rFonts w:ascii="Palatino Linotype" w:eastAsia="Palatino Linotype" w:hAnsi="Palatino Linotype" w:cs="Palatino Linotype"/>
          <w:i/>
          <w:sz w:val="22"/>
          <w:szCs w:val="22"/>
        </w:rPr>
        <w:lastRenderedPageBreak/>
        <w:t>supuestos específicos bajo los cuales procederá la declaración de inexistencia de la información.”</w:t>
      </w:r>
    </w:p>
    <w:p w14:paraId="763CC25B" w14:textId="77777777" w:rsidR="00FF3119" w:rsidRDefault="00FF3119" w:rsidP="00FF3119">
      <w:pPr>
        <w:pBdr>
          <w:top w:val="nil"/>
          <w:left w:val="nil"/>
          <w:bottom w:val="nil"/>
          <w:right w:val="nil"/>
          <w:between w:val="nil"/>
        </w:pBdr>
        <w:tabs>
          <w:tab w:val="left" w:pos="567"/>
        </w:tabs>
        <w:spacing w:before="240" w:after="240"/>
        <w:ind w:left="1134" w:right="-787"/>
        <w:jc w:val="both"/>
        <w:rPr>
          <w:rFonts w:ascii="Palatino Linotype" w:eastAsia="Palatino Linotype" w:hAnsi="Palatino Linotype" w:cs="Palatino Linotype"/>
          <w:b/>
          <w:i/>
          <w:color w:val="000000"/>
        </w:rPr>
      </w:pPr>
    </w:p>
    <w:p w14:paraId="13F91C24" w14:textId="77777777" w:rsidR="00FF3119" w:rsidRDefault="00FF3119" w:rsidP="00FF3119">
      <w:pPr>
        <w:spacing w:before="240" w:after="240"/>
        <w:ind w:left="1134" w:right="-7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del Estado Libre y Soberano de México</w:t>
      </w:r>
    </w:p>
    <w:p w14:paraId="56B946F3" w14:textId="77777777" w:rsidR="00FF3119" w:rsidRDefault="00FF3119" w:rsidP="00FF3119">
      <w:pPr>
        <w:spacing w:before="240" w:after="240"/>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w:t>
      </w:r>
    </w:p>
    <w:p w14:paraId="1CE3C91F" w14:textId="77777777" w:rsidR="00FF3119" w:rsidRDefault="00FF3119" w:rsidP="00FF3119">
      <w:pPr>
        <w:spacing w:before="240" w:after="240"/>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9A772DD" w14:textId="77777777" w:rsidR="00FF3119" w:rsidRDefault="00FF3119" w:rsidP="00FF3119">
      <w:pPr>
        <w:spacing w:before="240" w:after="240"/>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sz w:val="22"/>
          <w:szCs w:val="22"/>
        </w:rPr>
        <w:t>.</w:t>
      </w:r>
    </w:p>
    <w:p w14:paraId="57EE88DC" w14:textId="77777777" w:rsidR="00FF3119" w:rsidRDefault="00FF3119" w:rsidP="00FF3119">
      <w:pPr>
        <w:spacing w:before="240" w:after="240"/>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505546F" w14:textId="77777777" w:rsidR="00FF3119" w:rsidRDefault="00FF3119" w:rsidP="00FF3119">
      <w:pPr>
        <w:spacing w:before="240" w:after="240"/>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Este derecho se regirá por los principios y bases siguientes</w:t>
      </w:r>
      <w:r>
        <w:rPr>
          <w:rFonts w:ascii="Palatino Linotype" w:eastAsia="Palatino Linotype" w:hAnsi="Palatino Linotype" w:cs="Palatino Linotype"/>
          <w:i/>
          <w:sz w:val="22"/>
          <w:szCs w:val="22"/>
        </w:rPr>
        <w:t>:</w:t>
      </w:r>
    </w:p>
    <w:p w14:paraId="68851178" w14:textId="77777777" w:rsidR="00FF3119" w:rsidRDefault="00FF3119" w:rsidP="00FF3119">
      <w:pPr>
        <w:spacing w:before="240" w:after="240"/>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Toda la información en posesión de cualquier autoridad, entidad, órgano y organismos de los</w:t>
      </w:r>
      <w:r>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Pr>
          <w:rFonts w:ascii="Palatino Linotype" w:eastAsia="Palatino Linotype" w:hAnsi="Palatino Linotype" w:cs="Palatino Linotype"/>
          <w:b/>
          <w:i/>
          <w:sz w:val="22"/>
          <w:szCs w:val="22"/>
        </w:rPr>
        <w:t>municipales</w:t>
      </w:r>
      <w:r>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sujetos obligados deberán documentar todo acto que derive del ejercicio de sus 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53FC1F34" w14:textId="77777777" w:rsidR="00FF3119" w:rsidRDefault="00FF3119" w:rsidP="00FF3119">
      <w:pPr>
        <w:tabs>
          <w:tab w:val="left" w:pos="567"/>
        </w:tabs>
        <w:spacing w:before="240" w:after="240"/>
        <w:ind w:right="-787"/>
        <w:jc w:val="both"/>
        <w:rPr>
          <w:rFonts w:ascii="Palatino Linotype" w:eastAsia="Palatino Linotype" w:hAnsi="Palatino Linotype" w:cs="Palatino Linotype"/>
          <w:b/>
          <w:i/>
        </w:rPr>
      </w:pPr>
    </w:p>
    <w:p w14:paraId="0A45FC57" w14:textId="77777777" w:rsidR="00FF3119" w:rsidRDefault="00FF3119" w:rsidP="00FF3119">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lastRenderedPageBreak/>
        <w:t xml:space="preserve">Según 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color w:val="000000"/>
        </w:rPr>
        <w:t>por los principios de simplicidad, rapidez gratuidad del procedimiento, auxilio y orientación a los particulares</w:t>
      </w:r>
      <w:r>
        <w:rPr>
          <w:rFonts w:ascii="Palatino Linotype" w:eastAsia="Palatino Linotype" w:hAnsi="Palatino Linotype" w:cs="Palatino Linotype"/>
          <w:color w:val="000000"/>
        </w:rPr>
        <w:t>, contemplando el derecho de las personas con discapacidad y hablantes de lengua indígena.</w:t>
      </w:r>
    </w:p>
    <w:p w14:paraId="39EE3F0B" w14:textId="77777777" w:rsidR="00FF3119" w:rsidRDefault="00FF3119" w:rsidP="00FF3119">
      <w:pPr>
        <w:spacing w:line="360" w:lineRule="auto"/>
        <w:ind w:right="-787"/>
        <w:jc w:val="both"/>
        <w:rPr>
          <w:rFonts w:ascii="Palatino Linotype" w:eastAsia="Palatino Linotype" w:hAnsi="Palatino Linotype" w:cs="Palatino Linotype"/>
        </w:rPr>
      </w:pPr>
    </w:p>
    <w:p w14:paraId="03F54DA2" w14:textId="77777777" w:rsidR="00FF3119" w:rsidRDefault="00FF3119" w:rsidP="00FF3119">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El Derecho de Acceso a la Información se garantiza y respeta oportunamente, y según lo que dispone la Ley, las </w:t>
      </w:r>
      <w:r>
        <w:rPr>
          <w:rFonts w:ascii="Palatino Linotype" w:eastAsia="Palatino Linotype" w:hAnsi="Palatino Linotype" w:cs="Palatino Linotype"/>
          <w:i/>
          <w:color w:val="000000"/>
        </w:rPr>
        <w:t>solicitudes de acceso a la información</w:t>
      </w:r>
      <w:r>
        <w:rPr>
          <w:rFonts w:ascii="Palatino Linotype" w:eastAsia="Palatino Linotype" w:hAnsi="Palatino Linotype" w:cs="Palatino Linotype"/>
          <w:color w:val="000000"/>
        </w:rPr>
        <w:t>.</w:t>
      </w:r>
    </w:p>
    <w:p w14:paraId="74B00203" w14:textId="77777777" w:rsidR="00FF3119" w:rsidRDefault="00FF3119" w:rsidP="00FF3119">
      <w:pPr>
        <w:spacing w:line="360" w:lineRule="auto"/>
        <w:ind w:right="-787"/>
        <w:jc w:val="both"/>
        <w:rPr>
          <w:rFonts w:ascii="Palatino Linotype" w:eastAsia="Palatino Linotype" w:hAnsi="Palatino Linotype" w:cs="Palatino Linotype"/>
        </w:rPr>
      </w:pPr>
    </w:p>
    <w:p w14:paraId="1F4A15D8" w14:textId="77777777" w:rsidR="00FF3119" w:rsidRDefault="00FF3119" w:rsidP="00FF3119">
      <w:pPr>
        <w:numPr>
          <w:ilvl w:val="0"/>
          <w:numId w:val="4"/>
        </w:numPr>
        <w:pBdr>
          <w:top w:val="nil"/>
          <w:left w:val="nil"/>
          <w:bottom w:val="nil"/>
          <w:right w:val="nil"/>
          <w:between w:val="nil"/>
        </w:pBdr>
        <w:spacing w:line="360" w:lineRule="auto"/>
        <w:ind w:left="0" w:right="-787" w:firstLine="0"/>
        <w:jc w:val="both"/>
        <w:rPr>
          <w:color w:val="000000"/>
        </w:rPr>
      </w:pPr>
      <w:bookmarkStart w:id="10" w:name="_heading=h.17dp8vu" w:colFirst="0" w:colLast="0"/>
      <w:bookmarkEnd w:id="10"/>
      <w:r>
        <w:rPr>
          <w:rFonts w:ascii="Palatino Linotype" w:eastAsia="Palatino Linotype" w:hAnsi="Palatino Linotype" w:cs="Palatino Linotype"/>
          <w:color w:val="000000"/>
        </w:rPr>
        <w:t xml:space="preserve">Así entonces, se procede analizar, en primer lugar, si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7834B08B" w14:textId="77777777" w:rsidR="00FF3119" w:rsidRDefault="00FF3119" w:rsidP="00FF3119">
      <w:pPr>
        <w:spacing w:line="360" w:lineRule="auto"/>
        <w:ind w:right="-787"/>
        <w:jc w:val="both"/>
        <w:rPr>
          <w:rFonts w:ascii="Palatino Linotype" w:eastAsia="Palatino Linotype" w:hAnsi="Palatino Linotype" w:cs="Palatino Linotype"/>
        </w:rPr>
      </w:pPr>
    </w:p>
    <w:p w14:paraId="1865C3BA" w14:textId="77777777" w:rsidR="00FF3119" w:rsidRDefault="00FF3119" w:rsidP="00FF3119">
      <w:pPr>
        <w:keepNext/>
        <w:keepLines/>
        <w:spacing w:after="240" w:line="360" w:lineRule="auto"/>
        <w:ind w:right="-787"/>
        <w:rPr>
          <w:rFonts w:ascii="Palatino Linotype" w:eastAsia="Palatino Linotype" w:hAnsi="Palatino Linotype" w:cs="Palatino Linotype"/>
          <w:b/>
          <w:color w:val="000000"/>
        </w:rPr>
      </w:pPr>
      <w:bookmarkStart w:id="11" w:name="_heading=h.3rdcrjn" w:colFirst="0" w:colLast="0"/>
      <w:bookmarkEnd w:id="11"/>
      <w:r>
        <w:rPr>
          <w:rFonts w:ascii="Palatino Linotype" w:eastAsia="Palatino Linotype" w:hAnsi="Palatino Linotype" w:cs="Palatino Linotype"/>
          <w:b/>
          <w:color w:val="000000"/>
        </w:rPr>
        <w:t>II. De la información solicitada y la respuesta del SUJETO OBLIGADO</w:t>
      </w:r>
    </w:p>
    <w:p w14:paraId="13127A89" w14:textId="77777777" w:rsidR="00FF3119" w:rsidRDefault="00FF3119" w:rsidP="00FF3119">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De  lo anterior, se debe de establecer que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pretende acceder a información sobre </w:t>
      </w:r>
      <w:r w:rsidR="008402D3">
        <w:rPr>
          <w:rFonts w:ascii="Palatino Linotype" w:eastAsia="Palatino Linotype" w:hAnsi="Palatino Linotype" w:cs="Palatino Linotype"/>
          <w:color w:val="000000"/>
        </w:rPr>
        <w:t xml:space="preserve">los gastos realizados por el </w:t>
      </w:r>
      <w:r w:rsidR="008402D3">
        <w:rPr>
          <w:rFonts w:ascii="Palatino Linotype" w:eastAsia="Palatino Linotype" w:hAnsi="Palatino Linotype" w:cs="Palatino Linotype"/>
          <w:b/>
          <w:color w:val="000000"/>
        </w:rPr>
        <w:t xml:space="preserve">SUJETO OBLIGADO </w:t>
      </w:r>
      <w:r w:rsidR="008402D3">
        <w:rPr>
          <w:rFonts w:ascii="Palatino Linotype" w:eastAsia="Palatino Linotype" w:hAnsi="Palatino Linotype" w:cs="Palatino Linotype"/>
          <w:color w:val="000000"/>
        </w:rPr>
        <w:t>durante el ejercicio fiscal dos mil veintitrés.</w:t>
      </w:r>
      <w:r>
        <w:rPr>
          <w:rFonts w:ascii="Palatino Linotype" w:eastAsia="Palatino Linotype" w:hAnsi="Palatino Linotype" w:cs="Palatino Linotype"/>
          <w:color w:val="000000"/>
        </w:rPr>
        <w:t xml:space="preserve"> </w:t>
      </w:r>
    </w:p>
    <w:p w14:paraId="46F38394" w14:textId="77777777" w:rsidR="00FF3119" w:rsidRDefault="00FF3119" w:rsidP="00FF3119">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070BAC3F" w14:textId="77777777" w:rsidR="008402D3" w:rsidRDefault="008402D3" w:rsidP="008402D3">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En respuesta, el </w:t>
      </w:r>
      <w:r>
        <w:rPr>
          <w:rFonts w:ascii="Palatino Linotype" w:eastAsia="Palatino Linotype" w:hAnsi="Palatino Linotype" w:cs="Palatino Linotype"/>
          <w:b/>
          <w:color w:val="000000"/>
        </w:rPr>
        <w:t xml:space="preserve">SUJETO OBLIIGADO </w:t>
      </w:r>
      <w:r>
        <w:rPr>
          <w:rFonts w:ascii="Palatino Linotype" w:eastAsia="Palatino Linotype" w:hAnsi="Palatino Linotype" w:cs="Palatino Linotype"/>
          <w:color w:val="000000"/>
        </w:rPr>
        <w:t>da respuesta  a través de una liga electrónica, en donde refirió se encontraba la información que se solicitó</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sin embargo, este se</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proporcionó en un </w:t>
      </w:r>
      <w:r>
        <w:rPr>
          <w:rFonts w:ascii="Palatino Linotype" w:eastAsia="Palatino Linotype" w:hAnsi="Palatino Linotype" w:cs="Palatino Linotype"/>
          <w:b/>
          <w:color w:val="000000"/>
          <w:u w:val="single"/>
        </w:rPr>
        <w:t>formato cerrado</w:t>
      </w:r>
      <w:r>
        <w:rPr>
          <w:rFonts w:ascii="Palatino Linotype" w:eastAsia="Palatino Linotype" w:hAnsi="Palatino Linotype" w:cs="Palatino Linotype"/>
          <w:color w:val="000000"/>
        </w:rPr>
        <w:t xml:space="preserve">, es decir, que implica que se digite dato por dato de </w:t>
      </w:r>
      <w:r>
        <w:rPr>
          <w:rFonts w:ascii="Palatino Linotype" w:eastAsia="Palatino Linotype" w:hAnsi="Palatino Linotype" w:cs="Palatino Linotype"/>
          <w:color w:val="000000"/>
        </w:rPr>
        <w:lastRenderedPageBreak/>
        <w:t xml:space="preserve">cada uno de los caracteres, lo que facilita la existencia del error humano; por lo cual, en atención a los artículos 3° fracción VIII, XVI, 24, fracción V, 41 y 160 de la Ley de Transparencia vigente en la Entidad, los Sujetos Obligados y este Organismo Garante, deben velar por la generación y entrega de la información a los Particulares </w:t>
      </w:r>
      <w:r>
        <w:rPr>
          <w:rFonts w:ascii="Palatino Linotype" w:eastAsia="Palatino Linotype" w:hAnsi="Palatino Linotype" w:cs="Palatino Linotype"/>
          <w:b/>
          <w:color w:val="000000"/>
        </w:rPr>
        <w:t>en formatos abiertos, con los efectos de facilitar la reutilización de la información.</w:t>
      </w:r>
    </w:p>
    <w:p w14:paraId="65DB9A71" w14:textId="77777777" w:rsidR="008402D3" w:rsidRDefault="008402D3" w:rsidP="008402D3">
      <w:pPr>
        <w:pBdr>
          <w:top w:val="nil"/>
          <w:left w:val="nil"/>
          <w:bottom w:val="nil"/>
          <w:right w:val="nil"/>
          <w:between w:val="nil"/>
        </w:pBdr>
        <w:tabs>
          <w:tab w:val="left" w:pos="851"/>
        </w:tabs>
        <w:spacing w:line="360" w:lineRule="auto"/>
        <w:ind w:right="-787"/>
        <w:jc w:val="both"/>
        <w:rPr>
          <w:rFonts w:ascii="Palatino Linotype" w:eastAsia="Palatino Linotype" w:hAnsi="Palatino Linotype" w:cs="Palatino Linotype"/>
          <w:color w:val="000000"/>
        </w:rPr>
      </w:pPr>
    </w:p>
    <w:p w14:paraId="34C0CBAD" w14:textId="77777777" w:rsidR="008402D3" w:rsidRPr="008402D3" w:rsidRDefault="008402D3" w:rsidP="008402D3">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Es así que, cuando realice la entrega de la información a través de links o enlaces electrónicos, estos deben de permitir el acceso directo y no mediante la digitación de caracteres, que permita al usuario a cometer un error humano en la misma digitación de la información.</w:t>
      </w:r>
    </w:p>
    <w:p w14:paraId="63527187" w14:textId="77777777" w:rsidR="008402D3" w:rsidRPr="00C34180" w:rsidRDefault="008402D3" w:rsidP="008402D3">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sz w:val="22"/>
          <w:szCs w:val="22"/>
        </w:rPr>
      </w:pPr>
    </w:p>
    <w:p w14:paraId="6CDA4565" w14:textId="77777777" w:rsidR="008402D3" w:rsidRPr="008402D3" w:rsidRDefault="008402D3" w:rsidP="008402D3">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402D3">
        <w:rPr>
          <w:rFonts w:ascii="Palatino Linotype" w:eastAsia="Palatino Linotype" w:hAnsi="Palatino Linotype" w:cs="Palatino Linotype"/>
          <w:color w:val="000000"/>
        </w:rPr>
        <w:t>En ese sentido, se debe de establecer que cuando los SUJETOS OBLIGADOS pretendan colmar el derecho de acceso a la información de los solicitantes por medio de ligas electrónicas, están deberán de ser en formato abierto, esto se traduce a que los solicitantes no deban de transcribir el link proporcionado.</w:t>
      </w:r>
    </w:p>
    <w:p w14:paraId="0CA52F7A" w14:textId="77777777" w:rsidR="008402D3" w:rsidRDefault="008402D3" w:rsidP="008402D3">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14:paraId="381B117F" w14:textId="77777777" w:rsidR="008402D3" w:rsidRPr="004B25DB" w:rsidRDefault="008402D3" w:rsidP="008402D3">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Situación por la cual, también se debe de referir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no establece de manera puntual y especifica </w:t>
      </w:r>
      <w:r w:rsidRPr="004B25DB">
        <w:rPr>
          <w:rFonts w:ascii="Palatino Linotype" w:eastAsia="Palatino Linotype" w:hAnsi="Palatino Linotype" w:cs="Palatino Linotype"/>
          <w:color w:val="000000"/>
        </w:rPr>
        <w:t>mayores elementos para localizar la información, ya que no señaló la secuencia de p</w:t>
      </w:r>
      <w:r>
        <w:rPr>
          <w:rFonts w:ascii="Palatino Linotype" w:eastAsia="Palatino Linotype" w:hAnsi="Palatino Linotype" w:cs="Palatino Linotype"/>
          <w:color w:val="000000"/>
        </w:rPr>
        <w:t>asos a seguir para consultar la información solicitada</w:t>
      </w:r>
      <w:r w:rsidRPr="004B25DB">
        <w:rPr>
          <w:rFonts w:ascii="Palatino Linotype" w:eastAsia="Palatino Linotype" w:hAnsi="Palatino Linotype" w:cs="Palatino Linotype"/>
          <w:color w:val="000000"/>
        </w:rPr>
        <w:t xml:space="preserve">, como lo establece el artículo 161 de la Ley de Transparencia y Acceso a la Información Pública del Estado de México y Municipios, mismo que señala que cuando la información requerida por el solicitante ya esté disponible al público en medios impresos, tales como libros, compendios, trípticos, registros públicos, en formatos electrónicos disponibles en </w:t>
      </w:r>
      <w:r w:rsidRPr="004B25DB">
        <w:rPr>
          <w:rFonts w:ascii="Palatino Linotype" w:eastAsia="Palatino Linotype" w:hAnsi="Palatino Linotype" w:cs="Palatino Linotype"/>
          <w:color w:val="000000"/>
        </w:rPr>
        <w:lastRenderedPageBreak/>
        <w:t xml:space="preserve">Internet o en cualquier otro medio, </w:t>
      </w:r>
      <w:r w:rsidRPr="004B25DB">
        <w:rPr>
          <w:rFonts w:ascii="Palatino Linotype" w:eastAsia="Palatino Linotype" w:hAnsi="Palatino Linotype" w:cs="Palatino Linotype"/>
          <w:b/>
          <w:color w:val="000000"/>
          <w:u w:val="single"/>
        </w:rPr>
        <w:t>se le hará saber por el medio requerido por el solicitante la fuente, el lugar y la forma en que puede consultar, reproducir o adquirir dicha información en un plazo no mayor a cinco días hábiles</w:t>
      </w:r>
      <w:r w:rsidR="001566C3">
        <w:rPr>
          <w:rFonts w:ascii="Palatino Linotype" w:eastAsia="Palatino Linotype" w:hAnsi="Palatino Linotype" w:cs="Palatino Linotype"/>
          <w:b/>
          <w:color w:val="000000"/>
          <w:u w:val="single"/>
        </w:rPr>
        <w:t xml:space="preserve">, </w:t>
      </w:r>
      <w:r w:rsidR="001566C3">
        <w:rPr>
          <w:rFonts w:ascii="Palatino Linotype" w:eastAsia="Palatino Linotype" w:hAnsi="Palatino Linotype" w:cs="Palatino Linotype"/>
          <w:color w:val="000000"/>
          <w:u w:val="single"/>
        </w:rPr>
        <w:t xml:space="preserve">situación que en el caso particular no sucedió. </w:t>
      </w:r>
    </w:p>
    <w:p w14:paraId="017AF521" w14:textId="77777777" w:rsidR="008402D3" w:rsidRPr="004B25DB" w:rsidRDefault="008402D3" w:rsidP="008402D3">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14:paraId="651AAB1C" w14:textId="77777777" w:rsidR="008402D3" w:rsidRDefault="008402D3" w:rsidP="008402D3">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De lo anterior</w:t>
      </w:r>
      <w:r w:rsidR="001566C3">
        <w:rPr>
          <w:rFonts w:ascii="Palatino Linotype" w:eastAsia="Palatino Linotype" w:hAnsi="Palatino Linotype" w:cs="Palatino Linotype"/>
          <w:color w:val="000000"/>
        </w:rPr>
        <w:t>,</w:t>
      </w:r>
      <w:r>
        <w:rPr>
          <w:rFonts w:ascii="Palatino Linotype" w:eastAsia="Palatino Linotype" w:hAnsi="Palatino Linotype" w:cs="Palatino Linotype"/>
          <w:color w:val="000000"/>
        </w:rPr>
        <w:t xml:space="preserve"> se colige que no se pueden tener por </w:t>
      </w:r>
      <w:r>
        <w:rPr>
          <w:rFonts w:ascii="Palatino Linotype" w:eastAsia="Palatino Linotype" w:hAnsi="Palatino Linotype" w:cs="Palatino Linotype"/>
        </w:rPr>
        <w:t>válido</w:t>
      </w:r>
      <w:r w:rsidR="001566C3">
        <w:rPr>
          <w:rFonts w:ascii="Palatino Linotype" w:eastAsia="Palatino Linotype" w:hAnsi="Palatino Linotype" w:cs="Palatino Linotype"/>
        </w:rPr>
        <w:t xml:space="preserve"> el link proporcionado por el </w:t>
      </w:r>
      <w:r w:rsidR="001566C3">
        <w:rPr>
          <w:rFonts w:ascii="Palatino Linotype" w:eastAsia="Palatino Linotype" w:hAnsi="Palatino Linotype" w:cs="Palatino Linotype"/>
          <w:b/>
        </w:rPr>
        <w:t xml:space="preserve">SUJETO OBLIGADO </w:t>
      </w:r>
      <w:r w:rsidR="001566C3">
        <w:rPr>
          <w:rFonts w:ascii="Palatino Linotype" w:eastAsia="Palatino Linotype" w:hAnsi="Palatino Linotype" w:cs="Palatino Linotype"/>
        </w:rPr>
        <w:t>de manera inicial</w:t>
      </w:r>
      <w:r>
        <w:rPr>
          <w:rFonts w:ascii="Palatino Linotype" w:eastAsia="Palatino Linotype" w:hAnsi="Palatino Linotype" w:cs="Palatino Linotype"/>
          <w:color w:val="000000"/>
        </w:rPr>
        <w:t>.</w:t>
      </w:r>
    </w:p>
    <w:p w14:paraId="4B232CE3" w14:textId="77777777" w:rsidR="001566C3" w:rsidRPr="001566C3" w:rsidRDefault="001566C3" w:rsidP="001566C3">
      <w:pPr>
        <w:pBdr>
          <w:top w:val="nil"/>
          <w:left w:val="nil"/>
          <w:bottom w:val="nil"/>
          <w:right w:val="nil"/>
          <w:between w:val="nil"/>
        </w:pBdr>
        <w:spacing w:line="360" w:lineRule="auto"/>
        <w:ind w:right="-787"/>
        <w:jc w:val="both"/>
      </w:pPr>
    </w:p>
    <w:p w14:paraId="1F7DCBFF" w14:textId="77777777" w:rsidR="001566C3" w:rsidRDefault="001566C3" w:rsidP="001566C3">
      <w:pPr>
        <w:pStyle w:val="Prrafodelista"/>
        <w:rPr>
          <w:rFonts w:ascii="Palatino Linotype" w:eastAsia="Palatino Linotype" w:hAnsi="Palatino Linotype" w:cs="Palatino Linotype"/>
          <w:color w:val="000000"/>
        </w:rPr>
      </w:pPr>
    </w:p>
    <w:p w14:paraId="3807ACB6" w14:textId="77777777" w:rsidR="001566C3" w:rsidRPr="00D40B27" w:rsidRDefault="001566C3" w:rsidP="00D40B27">
      <w:pPr>
        <w:numPr>
          <w:ilvl w:val="0"/>
          <w:numId w:val="4"/>
        </w:numPr>
        <w:pBdr>
          <w:top w:val="nil"/>
          <w:left w:val="nil"/>
          <w:bottom w:val="nil"/>
          <w:right w:val="nil"/>
          <w:between w:val="nil"/>
        </w:pBdr>
        <w:spacing w:line="360" w:lineRule="auto"/>
        <w:ind w:left="0" w:right="-787" w:firstLine="0"/>
        <w:jc w:val="both"/>
      </w:pPr>
      <w:r w:rsidRPr="00D40B27">
        <w:rPr>
          <w:rFonts w:ascii="Palatino Linotype" w:eastAsia="Palatino Linotype" w:hAnsi="Palatino Linotype" w:cs="Palatino Linotype"/>
          <w:b/>
        </w:rPr>
        <w:t>Ahora</w:t>
      </w:r>
      <w:r>
        <w:rPr>
          <w:rFonts w:ascii="Palatino Linotype" w:eastAsia="Palatino Linotype" w:hAnsi="Palatino Linotype" w:cs="Palatino Linotype"/>
          <w:color w:val="000000"/>
        </w:rPr>
        <w:t xml:space="preserve"> bien, en la etapa de manifestaciones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pretende subsanar la respuesta proporcionada de manera inicial, situación por la cual proporciona el siguiente link en formato abierto</w:t>
      </w:r>
      <w:r w:rsidR="00D40B27">
        <w:rPr>
          <w:rFonts w:ascii="Palatino Linotype" w:eastAsia="Palatino Linotype" w:hAnsi="Palatino Linotype" w:cs="Palatino Linotype"/>
          <w:color w:val="000000"/>
        </w:rPr>
        <w:t xml:space="preserve"> </w:t>
      </w:r>
      <w:hyperlink r:id="rId7" w:history="1">
        <w:r w:rsidR="00D40B27" w:rsidRPr="008910F9">
          <w:rPr>
            <w:rStyle w:val="Hipervnculo"/>
            <w:rFonts w:ascii="Palatino Linotype" w:eastAsia="Palatino Linotype" w:hAnsi="Palatino Linotype" w:cs="Palatino Linotype"/>
          </w:rPr>
          <w:t>https://www.ipomex.org.mx/ipo3/lgt/indice/TESJI/art_92_xxv_b/5.web?token=03AFcWeA4-39g3I3ITY0OT3_HJ8KE75Cec9HI0HN0FMFb9_fI81zdbm8QW_yUbcjAtDfGm0FIsNIc-_NAo505AmCoPZhPGsZymakK1EIPDa9pCYPGSGX5C5s-6VHpyi-yOZ87FASyCVP8bczTy21w-h7NRwJaXeIw2mPrkw3no0BGSQyXvwmvebGZABgi1QBIX-8YkW_BRveYZmV7yt9EkulPvb9gF_ThZnDPq6bPIRa23CQPWl0LGhc-Nb3WASYV_2C7ZFakeWQKpdktBiXKPEgbJspcYVRT-fBSpO1usP76E_HzSJbYwjKU0DUbTYiDBDIq1oq1XCohcj3Vg_rjxvWVrggFxGcWwIX8bZtqIg8NZDtfiMhKNHh34owMgYaHHw140b-G2p-MysqR_xyfPhVYWmbaSRhNzSUzUebZrNu3fR4XJLEDDSqrYAbH8_DCn6tAY84A0Nfh6Vfn9hMyeXkVsGx60bxIGVNNsTfjpNmmOOyHkJdqew0vr_HtEIw6INu9KB2pyioAY2Z-l4g9sWTfoouZHMN7AcJ5pER_NcPVqa7X0OsEyN236UGO1JWGE9HwFvxyMmUykIFWmYK9CpaGbLzaQfOWppj9mm62GUesLIX-8ZsWBCQKxlS17mCUG-_xticSo8xRSlgt05RCBoYQasObiBkeQsjCPDe2grjMeW4ogptPY2NvVjaNBAJJ2tSR0PNl6cY4JqD-6sqUsAWMoqMtubV7dbjDdwY14UEaeavOCYLyJDWMoxOF-RODVBXARrvQEWgJwkrTxZOx-ahkmqQNIxVxbQWx8kNsAcSUbuzItjiR-64AGNGzBCCBUv_7XRbvpfv_JB8MeMXo3LcTqoKONl7UXercVUb9QQUD_YPpYwcJqV0g</w:t>
        </w:r>
      </w:hyperlink>
      <w:r w:rsidR="00D40B27">
        <w:rPr>
          <w:rFonts w:ascii="Palatino Linotype" w:eastAsia="Palatino Linotype" w:hAnsi="Palatino Linotype" w:cs="Palatino Linotype"/>
          <w:color w:val="000000"/>
        </w:rPr>
        <w:t xml:space="preserve">. </w:t>
      </w:r>
    </w:p>
    <w:p w14:paraId="19798901" w14:textId="77777777" w:rsidR="00D40B27" w:rsidRPr="00D40B27" w:rsidRDefault="00D40B27" w:rsidP="00D40B27">
      <w:pPr>
        <w:numPr>
          <w:ilvl w:val="0"/>
          <w:numId w:val="4"/>
        </w:numPr>
        <w:pBdr>
          <w:top w:val="nil"/>
          <w:left w:val="nil"/>
          <w:bottom w:val="nil"/>
          <w:right w:val="nil"/>
          <w:between w:val="nil"/>
        </w:pBdr>
        <w:spacing w:line="360" w:lineRule="auto"/>
        <w:ind w:left="0" w:right="-787" w:firstLine="0"/>
        <w:jc w:val="both"/>
      </w:pPr>
      <w:r>
        <w:rPr>
          <w:rFonts w:ascii="Palatino Linotype" w:eastAsia="Palatino Linotype" w:hAnsi="Palatino Linotype" w:cs="Palatino Linotype"/>
        </w:rPr>
        <w:t xml:space="preserve">De dicho link se observa que remite a la página del </w:t>
      </w:r>
      <w:proofErr w:type="spellStart"/>
      <w:r>
        <w:rPr>
          <w:rFonts w:ascii="Palatino Linotype" w:eastAsia="Palatino Linotype" w:hAnsi="Palatino Linotype" w:cs="Palatino Linotype"/>
        </w:rPr>
        <w:t>ipomex</w:t>
      </w:r>
      <w:proofErr w:type="spellEnd"/>
      <w:r>
        <w:rPr>
          <w:rFonts w:ascii="Palatino Linotype" w:eastAsia="Palatino Linotype" w:hAnsi="Palatino Linotype" w:cs="Palatino Linotype"/>
        </w:rPr>
        <w:t xml:space="preserve"> 3.0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mediante del cual se observa la fracción XXV B, correspondiente el Ejercicio de los Egresos Presupuestarios. </w:t>
      </w:r>
    </w:p>
    <w:p w14:paraId="66899865" w14:textId="77777777" w:rsidR="00D40B27" w:rsidRPr="00D40B27" w:rsidRDefault="00D40B27" w:rsidP="00D40B27">
      <w:pPr>
        <w:pBdr>
          <w:top w:val="nil"/>
          <w:left w:val="nil"/>
          <w:bottom w:val="nil"/>
          <w:right w:val="nil"/>
          <w:between w:val="nil"/>
        </w:pBdr>
        <w:spacing w:line="360" w:lineRule="auto"/>
        <w:ind w:right="-787"/>
        <w:jc w:val="both"/>
      </w:pPr>
    </w:p>
    <w:p w14:paraId="47A83AE6" w14:textId="77777777" w:rsidR="00D40B27" w:rsidRPr="00D40B27" w:rsidRDefault="00D40B27" w:rsidP="00D40B27">
      <w:pPr>
        <w:numPr>
          <w:ilvl w:val="0"/>
          <w:numId w:val="4"/>
        </w:numPr>
        <w:pBdr>
          <w:top w:val="nil"/>
          <w:left w:val="nil"/>
          <w:bottom w:val="nil"/>
          <w:right w:val="nil"/>
          <w:between w:val="nil"/>
        </w:pBdr>
        <w:spacing w:line="360" w:lineRule="auto"/>
        <w:ind w:left="0" w:right="-787" w:firstLine="0"/>
        <w:jc w:val="both"/>
      </w:pPr>
      <w:r>
        <w:rPr>
          <w:rFonts w:ascii="Palatino Linotype" w:eastAsia="Palatino Linotype" w:hAnsi="Palatino Linotype" w:cs="Palatino Linotype"/>
        </w:rPr>
        <w:t xml:space="preserve">En esa línea si bien es cierto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pretende colmar el derecho de acceso a la información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también lo </w:t>
      </w:r>
      <w:r w:rsidR="00250259">
        <w:rPr>
          <w:rFonts w:ascii="Palatino Linotype" w:eastAsia="Palatino Linotype" w:hAnsi="Palatino Linotype" w:cs="Palatino Linotype"/>
        </w:rPr>
        <w:t>es que no se puede tener por colmado</w:t>
      </w:r>
      <w:r>
        <w:rPr>
          <w:rFonts w:ascii="Palatino Linotype" w:eastAsia="Palatino Linotype" w:hAnsi="Palatino Linotype" w:cs="Palatino Linotype"/>
        </w:rPr>
        <w:t xml:space="preserve">, toda vez que del </w:t>
      </w:r>
      <w:proofErr w:type="spellStart"/>
      <w:r>
        <w:rPr>
          <w:rFonts w:ascii="Palatino Linotype" w:eastAsia="Palatino Linotype" w:hAnsi="Palatino Linotype" w:cs="Palatino Linotype"/>
        </w:rPr>
        <w:t>analisis</w:t>
      </w:r>
      <w:proofErr w:type="spellEnd"/>
      <w:r>
        <w:rPr>
          <w:rFonts w:ascii="Palatino Linotype" w:eastAsia="Palatino Linotype" w:hAnsi="Palatino Linotype" w:cs="Palatino Linotype"/>
        </w:rPr>
        <w:t xml:space="preserve"> de la información, se observa que entregan el documento denominado Clasificación por Objeto del Gasto (Capítulo y Concepto) del uno de enero al treinta y uno de diciembre, de cual se visibiliza el presupuesto aprobado por concepto y lo ejercido durante dicho ejercicio fiscal, sin embargo se observa que el documento refiere el título de preliminar, tal y como se muestra a continuación. </w:t>
      </w:r>
    </w:p>
    <w:p w14:paraId="1BE86C17" w14:textId="77777777" w:rsidR="00D40B27" w:rsidRDefault="00D40B27" w:rsidP="00D40B27">
      <w:pPr>
        <w:pStyle w:val="Prrafodelista"/>
      </w:pPr>
      <w:r>
        <w:rPr>
          <w:noProof/>
          <w:lang w:val="es-MX" w:eastAsia="es-MX"/>
        </w:rPr>
        <mc:AlternateContent>
          <mc:Choice Requires="wps">
            <w:drawing>
              <wp:anchor distT="0" distB="0" distL="114300" distR="114300" simplePos="0" relativeHeight="251661312" behindDoc="0" locked="0" layoutInCell="1" allowOverlap="1" wp14:anchorId="2B92941F" wp14:editId="3149389D">
                <wp:simplePos x="0" y="0"/>
                <wp:positionH relativeFrom="column">
                  <wp:posOffset>13974</wp:posOffset>
                </wp:positionH>
                <wp:positionV relativeFrom="paragraph">
                  <wp:posOffset>54069</wp:posOffset>
                </wp:positionV>
                <wp:extent cx="6305660" cy="2383783"/>
                <wp:effectExtent l="0" t="0" r="19050" b="36195"/>
                <wp:wrapNone/>
                <wp:docPr id="2" name="Conector recto 2"/>
                <wp:cNvGraphicFramePr/>
                <a:graphic xmlns:a="http://schemas.openxmlformats.org/drawingml/2006/main">
                  <a:graphicData uri="http://schemas.microsoft.com/office/word/2010/wordprocessingShape">
                    <wps:wsp>
                      <wps:cNvCnPr/>
                      <wps:spPr>
                        <a:xfrm>
                          <a:off x="0" y="0"/>
                          <a:ext cx="6305660" cy="2383783"/>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AF2704"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pt,4.25pt" to="497.6pt,1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" strokecolor="black [3200]" strokeweight="1.5pt">
                <v:stroke joinstyle="miter"/>
              </v:line>
            </w:pict>
          </mc:Fallback>
        </mc:AlternateContent>
      </w:r>
    </w:p>
    <w:p w14:paraId="3E875C5D" w14:textId="77777777" w:rsidR="001566C3" w:rsidRPr="001566C3" w:rsidRDefault="00D40B27" w:rsidP="00D40B27">
      <w:pPr>
        <w:pBdr>
          <w:top w:val="nil"/>
          <w:left w:val="nil"/>
          <w:bottom w:val="nil"/>
          <w:right w:val="nil"/>
          <w:between w:val="nil"/>
        </w:pBdr>
        <w:spacing w:line="360" w:lineRule="auto"/>
        <w:ind w:right="-787"/>
        <w:jc w:val="center"/>
      </w:pPr>
      <w:r w:rsidRPr="00D40B27">
        <w:rPr>
          <w:noProof/>
          <w:lang w:val="es-MX"/>
        </w:rPr>
        <w:lastRenderedPageBreak/>
        <w:drawing>
          <wp:inline distT="0" distB="0" distL="0" distR="0" wp14:anchorId="610DA039" wp14:editId="62C88598">
            <wp:extent cx="3813662" cy="2737914"/>
            <wp:effectExtent l="152400" t="152400" r="358775" b="3676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21788" cy="2743748"/>
                    </a:xfrm>
                    <a:prstGeom prst="rect">
                      <a:avLst/>
                    </a:prstGeom>
                    <a:ln>
                      <a:noFill/>
                    </a:ln>
                    <a:effectLst>
                      <a:outerShdw blurRad="292100" dist="139700" dir="2700000" algn="tl" rotWithShape="0">
                        <a:srgbClr val="333333">
                          <a:alpha val="65000"/>
                        </a:srgbClr>
                      </a:outerShdw>
                    </a:effectLst>
                  </pic:spPr>
                </pic:pic>
              </a:graphicData>
            </a:graphic>
          </wp:inline>
        </w:drawing>
      </w:r>
    </w:p>
    <w:p w14:paraId="69EF237D" w14:textId="77777777" w:rsidR="00F05C59" w:rsidRDefault="00D40B27" w:rsidP="00F05C59">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F05C59">
        <w:rPr>
          <w:rFonts w:ascii="Palatino Linotype" w:eastAsia="Palatino Linotype" w:hAnsi="Palatino Linotype" w:cs="Palatino Linotype"/>
          <w:color w:val="000000"/>
        </w:rPr>
        <w:t>Situación que se comprueba con lo publicado en</w:t>
      </w:r>
      <w:r w:rsidR="00F05C59" w:rsidRPr="00F05C59">
        <w:rPr>
          <w:rFonts w:ascii="Palatino Linotype" w:eastAsia="Palatino Linotype" w:hAnsi="Palatino Linotype" w:cs="Palatino Linotype"/>
          <w:color w:val="000000"/>
        </w:rPr>
        <w:t xml:space="preserve"> la página del </w:t>
      </w:r>
      <w:proofErr w:type="spellStart"/>
      <w:r w:rsidR="00F05C59" w:rsidRPr="00F05C59">
        <w:rPr>
          <w:rFonts w:ascii="Palatino Linotype" w:eastAsia="Palatino Linotype" w:hAnsi="Palatino Linotype" w:cs="Palatino Linotype"/>
          <w:color w:val="000000"/>
        </w:rPr>
        <w:t>ipomex</w:t>
      </w:r>
      <w:proofErr w:type="spellEnd"/>
      <w:r w:rsidR="00F05C59" w:rsidRPr="00F05C59">
        <w:rPr>
          <w:rFonts w:ascii="Palatino Linotype" w:eastAsia="Palatino Linotype" w:hAnsi="Palatino Linotype" w:cs="Palatino Linotype"/>
          <w:color w:val="000000"/>
        </w:rPr>
        <w:t xml:space="preserve"> 3.0 del SUJETO OBLIGADO mediante del cual se observa la fracción XXV B, correspondiente el Ejercicio </w:t>
      </w:r>
      <w:r w:rsidR="00F05C59">
        <w:rPr>
          <w:rFonts w:ascii="Palatino Linotype" w:eastAsia="Palatino Linotype" w:hAnsi="Palatino Linotype" w:cs="Palatino Linotype"/>
          <w:color w:val="000000"/>
        </w:rPr>
        <w:t xml:space="preserve">de los Egresos Presupuestarios, de la cual se observa que es la información preliminar, toda vez que esta se considera definitiva hasta que se presenta la cuenta pública. </w:t>
      </w:r>
    </w:p>
    <w:p w14:paraId="16316C19" w14:textId="77777777" w:rsidR="00F05C59" w:rsidRPr="00F05C59" w:rsidRDefault="00F05C59" w:rsidP="00F05C59">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010CADF6" w14:textId="77777777" w:rsidR="00F05C59" w:rsidRPr="00F05C59" w:rsidRDefault="00F05C59" w:rsidP="00FF3119">
      <w:pPr>
        <w:numPr>
          <w:ilvl w:val="0"/>
          <w:numId w:val="4"/>
        </w:numPr>
        <w:pBdr>
          <w:top w:val="nil"/>
          <w:left w:val="nil"/>
          <w:bottom w:val="nil"/>
          <w:right w:val="nil"/>
          <w:between w:val="nil"/>
        </w:pBdr>
        <w:spacing w:line="360" w:lineRule="auto"/>
        <w:ind w:left="0" w:right="-787" w:firstLine="0"/>
        <w:jc w:val="both"/>
      </w:pPr>
      <w:r>
        <w:rPr>
          <w:rFonts w:ascii="Palatino Linotype" w:eastAsia="Palatino Linotype" w:hAnsi="Palatino Linotype" w:cs="Palatino Linotype"/>
          <w:color w:val="000000"/>
        </w:rPr>
        <w:t xml:space="preserve">En ese sentido, se colige que no se puede tener por colmado el derecho de acceso a </w:t>
      </w:r>
      <w:r w:rsidR="00250259">
        <w:rPr>
          <w:rFonts w:ascii="Palatino Linotype" w:eastAsia="Palatino Linotype" w:hAnsi="Palatino Linotype" w:cs="Palatino Linotype"/>
          <w:color w:val="000000"/>
        </w:rPr>
        <w:t xml:space="preserve">la </w:t>
      </w:r>
      <w:r>
        <w:rPr>
          <w:rFonts w:ascii="Palatino Linotype" w:eastAsia="Palatino Linotype" w:hAnsi="Palatino Linotype" w:cs="Palatino Linotype"/>
          <w:color w:val="000000"/>
        </w:rPr>
        <w:t xml:space="preserve">información del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toda vez que remiten información que no es la definitiva y al ser información preliminar pudo haber o existir cambios en el Estado Analítico del Objeto Clasificador  del Gasto por Capítulo y Concepto. </w:t>
      </w:r>
    </w:p>
    <w:p w14:paraId="5E7A76A7" w14:textId="77777777" w:rsidR="00F05C59" w:rsidRDefault="00F05C59" w:rsidP="00F05C59">
      <w:pPr>
        <w:pStyle w:val="Prrafodelista"/>
        <w:rPr>
          <w:rFonts w:ascii="Palatino Linotype" w:eastAsia="Palatino Linotype" w:hAnsi="Palatino Linotype" w:cs="Palatino Linotype"/>
          <w:color w:val="000000"/>
        </w:rPr>
      </w:pPr>
    </w:p>
    <w:p w14:paraId="1B26DF08" w14:textId="77777777" w:rsidR="00FF3119" w:rsidRDefault="00FF3119" w:rsidP="00FF3119">
      <w:pPr>
        <w:numPr>
          <w:ilvl w:val="0"/>
          <w:numId w:val="4"/>
        </w:numPr>
        <w:pBdr>
          <w:top w:val="nil"/>
          <w:left w:val="nil"/>
          <w:bottom w:val="nil"/>
          <w:right w:val="nil"/>
          <w:between w:val="nil"/>
        </w:pBdr>
        <w:spacing w:line="360" w:lineRule="auto"/>
        <w:ind w:left="0" w:right="-787" w:firstLine="0"/>
        <w:jc w:val="both"/>
      </w:pPr>
      <w:r>
        <w:rPr>
          <w:rFonts w:ascii="Palatino Linotype" w:eastAsia="Palatino Linotype" w:hAnsi="Palatino Linotype" w:cs="Palatino Linotype"/>
          <w:color w:val="000000"/>
        </w:rPr>
        <w:t xml:space="preserve"> </w:t>
      </w:r>
      <w:r w:rsidR="00F05C59">
        <w:rPr>
          <w:rFonts w:ascii="Palatino Linotype" w:eastAsia="Palatino Linotype" w:hAnsi="Palatino Linotype" w:cs="Palatino Linotype"/>
          <w:color w:val="000000"/>
        </w:rPr>
        <w:t xml:space="preserve">Ahora bien, se de </w:t>
      </w:r>
      <w:r>
        <w:rPr>
          <w:rFonts w:ascii="Palatino Linotype" w:eastAsia="Palatino Linotype" w:hAnsi="Palatino Linotype" w:cs="Palatino Linotype"/>
          <w:color w:val="000000"/>
        </w:rPr>
        <w:t xml:space="preserve">referir que respecto a la información solicitada se advierte que el </w:t>
      </w:r>
      <w:r>
        <w:rPr>
          <w:rFonts w:ascii="Palatino Linotype" w:eastAsia="Palatino Linotype" w:hAnsi="Palatino Linotype" w:cs="Palatino Linotype"/>
          <w:b/>
          <w:color w:val="000000"/>
        </w:rPr>
        <w:t xml:space="preserve">SUJETO OBLOGADO, </w:t>
      </w:r>
      <w:r>
        <w:rPr>
          <w:rFonts w:ascii="Palatino Linotype" w:eastAsia="Palatino Linotype" w:hAnsi="Palatino Linotype" w:cs="Palatino Linotype"/>
          <w:color w:val="000000"/>
        </w:rPr>
        <w:t xml:space="preserve">acepta que genera y/o posee y/o administra la información solicitada ya que entregó el ESTADO ANALITICO DEL </w:t>
      </w:r>
      <w:r w:rsidR="00E53C89">
        <w:rPr>
          <w:rFonts w:ascii="Palatino Linotype" w:eastAsia="Palatino Linotype" w:hAnsi="Palatino Linotype" w:cs="Palatino Linotype"/>
          <w:color w:val="000000"/>
        </w:rPr>
        <w:t xml:space="preserve">PRESUPUESTO DE EGREROS </w:t>
      </w:r>
      <w:r w:rsidR="00E53C89">
        <w:rPr>
          <w:rFonts w:ascii="Palatino Linotype" w:eastAsia="Palatino Linotype" w:hAnsi="Palatino Linotype" w:cs="Palatino Linotype"/>
          <w:color w:val="000000"/>
        </w:rPr>
        <w:lastRenderedPageBreak/>
        <w:t>POR LA CLASIFICACIÓN POR OBJETO DEL GASTO (CAPÍTULO Y CONCEPTO) DEL UNO DE ENERO AL 31 DE DICIEMBRE DE 2023</w:t>
      </w:r>
      <w:r>
        <w:rPr>
          <w:rFonts w:ascii="Palatino Linotype" w:eastAsia="Palatino Linotype" w:hAnsi="Palatino Linotype" w:cs="Palatino Linotype"/>
          <w:color w:val="000000"/>
        </w:rPr>
        <w:t xml:space="preserve">, por lo que en consecuencia, resulta innecesario establecer la fuente obligacional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para dar atención a la solicit</w:t>
      </w:r>
      <w:r w:rsidR="00E53C89">
        <w:rPr>
          <w:rFonts w:ascii="Palatino Linotype" w:eastAsia="Palatino Linotype" w:hAnsi="Palatino Linotype" w:cs="Palatino Linotype"/>
          <w:color w:val="000000"/>
        </w:rPr>
        <w:t xml:space="preserve">ud de información en comento. </w:t>
      </w:r>
    </w:p>
    <w:p w14:paraId="3D46E63C" w14:textId="77777777" w:rsidR="00FF3119" w:rsidRDefault="00FF3119" w:rsidP="00E53C89">
      <w:pPr>
        <w:pBdr>
          <w:top w:val="nil"/>
          <w:left w:val="nil"/>
          <w:bottom w:val="nil"/>
          <w:right w:val="nil"/>
          <w:between w:val="nil"/>
        </w:pBdr>
        <w:ind w:left="720" w:right="-787"/>
        <w:rPr>
          <w:rFonts w:ascii="Palatino Linotype" w:eastAsia="Palatino Linotype" w:hAnsi="Palatino Linotype" w:cs="Palatino Linotype"/>
          <w:color w:val="000000"/>
        </w:rPr>
      </w:pPr>
    </w:p>
    <w:p w14:paraId="63FB6BB4" w14:textId="77777777" w:rsidR="00E53C89" w:rsidRPr="00253F22" w:rsidRDefault="00FF3119" w:rsidP="00FF3119">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253F22">
        <w:rPr>
          <w:rFonts w:ascii="Palatino Linotype" w:eastAsia="Palatino Linotype" w:hAnsi="Palatino Linotype" w:cs="Palatino Linotype"/>
        </w:rPr>
        <w:t>En ese sentido, es conveniente precisar que lo</w:t>
      </w:r>
      <w:r w:rsidR="00E53C89" w:rsidRPr="00253F22">
        <w:rPr>
          <w:rFonts w:ascii="Palatino Linotype" w:eastAsia="Palatino Linotype" w:hAnsi="Palatino Linotype" w:cs="Palatino Linotype"/>
        </w:rPr>
        <w:t xml:space="preserve"> solicitado versa en que se </w:t>
      </w:r>
      <w:r w:rsidR="002444CE" w:rsidRPr="00253F22">
        <w:rPr>
          <w:rFonts w:ascii="Palatino Linotype" w:eastAsia="Palatino Linotype" w:hAnsi="Palatino Linotype" w:cs="Palatino Linotype"/>
        </w:rPr>
        <w:t>gastó</w:t>
      </w:r>
      <w:r w:rsidR="00E53C89" w:rsidRPr="00253F22">
        <w:rPr>
          <w:rFonts w:ascii="Palatino Linotype" w:eastAsia="Palatino Linotype" w:hAnsi="Palatino Linotype" w:cs="Palatino Linotype"/>
        </w:rPr>
        <w:t xml:space="preserve"> el </w:t>
      </w:r>
      <w:r w:rsidRPr="00253F22">
        <w:rPr>
          <w:rFonts w:ascii="Palatino Linotype" w:eastAsia="Palatino Linotype" w:hAnsi="Palatino Linotype" w:cs="Palatino Linotype"/>
        </w:rPr>
        <w:t xml:space="preserve">presupuesto asignado </w:t>
      </w:r>
      <w:r w:rsidR="00E53C89" w:rsidRPr="00253F22">
        <w:rPr>
          <w:rFonts w:ascii="Palatino Linotype" w:eastAsia="Palatino Linotype" w:hAnsi="Palatino Linotype" w:cs="Palatino Linotype"/>
        </w:rPr>
        <w:t xml:space="preserve">al </w:t>
      </w:r>
      <w:r w:rsidR="00E53C89" w:rsidRPr="00253F22">
        <w:rPr>
          <w:rFonts w:ascii="Palatino Linotype" w:eastAsia="Palatino Linotype" w:hAnsi="Palatino Linotype" w:cs="Palatino Linotype"/>
          <w:b/>
        </w:rPr>
        <w:t xml:space="preserve">SUJETO OBLIGADO </w:t>
      </w:r>
      <w:r w:rsidR="00E53C89" w:rsidRPr="00253F22">
        <w:rPr>
          <w:rFonts w:ascii="Palatino Linotype" w:eastAsia="Palatino Linotype" w:hAnsi="Palatino Linotype" w:cs="Palatino Linotype"/>
        </w:rPr>
        <w:t xml:space="preserve">durante el ejercicio fiscal dos mil veintitrés. </w:t>
      </w:r>
    </w:p>
    <w:p w14:paraId="3F5FC569" w14:textId="77777777" w:rsidR="00E53C89" w:rsidRPr="00253F22" w:rsidRDefault="00E53C89" w:rsidP="00E53C89">
      <w:pPr>
        <w:pStyle w:val="Prrafodelista"/>
        <w:rPr>
          <w:rFonts w:ascii="Palatino Linotype" w:eastAsia="Palatino Linotype" w:hAnsi="Palatino Linotype" w:cs="Palatino Linotype"/>
        </w:rPr>
      </w:pPr>
    </w:p>
    <w:p w14:paraId="582531FF" w14:textId="77777777" w:rsidR="00FF3119" w:rsidRPr="00253F22" w:rsidRDefault="00E53C89" w:rsidP="00FF3119">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253F22">
        <w:rPr>
          <w:rFonts w:ascii="Palatino Linotype" w:eastAsia="Palatino Linotype" w:hAnsi="Palatino Linotype" w:cs="Palatino Linotype"/>
        </w:rPr>
        <w:t xml:space="preserve">En esa </w:t>
      </w:r>
      <w:r w:rsidR="002444CE" w:rsidRPr="00253F22">
        <w:rPr>
          <w:rFonts w:ascii="Palatino Linotype" w:eastAsia="Palatino Linotype" w:hAnsi="Palatino Linotype" w:cs="Palatino Linotype"/>
        </w:rPr>
        <w:t>línea</w:t>
      </w:r>
      <w:r w:rsidR="00FF3119" w:rsidRPr="00253F22">
        <w:rPr>
          <w:rFonts w:ascii="Palatino Linotype" w:eastAsia="Palatino Linotype" w:hAnsi="Palatino Linotype" w:cs="Palatino Linotype"/>
        </w:rPr>
        <w:t>,</w:t>
      </w:r>
      <w:r w:rsidRPr="00253F22">
        <w:rPr>
          <w:rFonts w:ascii="Palatino Linotype" w:eastAsia="Palatino Linotype" w:hAnsi="Palatino Linotype" w:cs="Palatino Linotype"/>
        </w:rPr>
        <w:t xml:space="preserve"> se debe se referir que tal y como lo refirió el </w:t>
      </w:r>
      <w:r w:rsidRPr="00253F22">
        <w:rPr>
          <w:rFonts w:ascii="Palatino Linotype" w:eastAsia="Palatino Linotype" w:hAnsi="Palatino Linotype" w:cs="Palatino Linotype"/>
          <w:b/>
        </w:rPr>
        <w:t>SUJETO OBLIGADO</w:t>
      </w:r>
      <w:r w:rsidRPr="00253F22">
        <w:rPr>
          <w:rFonts w:ascii="Palatino Linotype" w:eastAsia="Palatino Linotype" w:hAnsi="Palatino Linotype" w:cs="Palatino Linotype"/>
        </w:rPr>
        <w:t xml:space="preserve"> </w:t>
      </w:r>
      <w:r w:rsidR="00FF3119" w:rsidRPr="00253F22">
        <w:rPr>
          <w:rFonts w:ascii="Palatino Linotype" w:eastAsia="Palatino Linotype" w:hAnsi="Palatino Linotype" w:cs="Palatino Linotype"/>
        </w:rPr>
        <w:t xml:space="preserve"> </w:t>
      </w:r>
      <w:r w:rsidRPr="00253F22">
        <w:rPr>
          <w:rFonts w:ascii="Palatino Linotype" w:eastAsia="Palatino Linotype" w:hAnsi="Palatino Linotype" w:cs="Palatino Linotype"/>
        </w:rPr>
        <w:t>en la etapa de manifestaciones, lo solicitado de manera enunciativa mas no limitativa</w:t>
      </w:r>
      <w:r w:rsidR="002444CE" w:rsidRPr="00253F22">
        <w:rPr>
          <w:rFonts w:ascii="Palatino Linotype" w:eastAsia="Palatino Linotype" w:hAnsi="Palatino Linotype" w:cs="Palatino Linotype"/>
        </w:rPr>
        <w:t xml:space="preserve"> se </w:t>
      </w:r>
      <w:r w:rsidRPr="00253F22">
        <w:rPr>
          <w:rFonts w:ascii="Palatino Linotype" w:eastAsia="Palatino Linotype" w:hAnsi="Palatino Linotype" w:cs="Palatino Linotype"/>
        </w:rPr>
        <w:t xml:space="preserve"> puede visualizar en lo regulado por </w:t>
      </w:r>
      <w:r w:rsidR="00FF3119" w:rsidRPr="00253F22">
        <w:rPr>
          <w:rFonts w:ascii="Palatino Linotype" w:eastAsia="Palatino Linotype" w:hAnsi="Palatino Linotype" w:cs="Palatino Linotype"/>
        </w:rPr>
        <w:t xml:space="preserve">el artículo 293 del Código Financiero del Estado de México, </w:t>
      </w:r>
      <w:r w:rsidR="002444CE" w:rsidRPr="00253F22">
        <w:rPr>
          <w:rFonts w:ascii="Palatino Linotype" w:eastAsia="Palatino Linotype" w:hAnsi="Palatino Linotype" w:cs="Palatino Linotype"/>
        </w:rPr>
        <w:t xml:space="preserve">que refiere que </w:t>
      </w:r>
      <w:r w:rsidR="00FF3119" w:rsidRPr="00253F22">
        <w:rPr>
          <w:rFonts w:ascii="Palatino Linotype" w:eastAsia="Palatino Linotype" w:hAnsi="Palatino Linotype" w:cs="Palatino Linotype"/>
          <w:b/>
        </w:rPr>
        <w:t>los capítulos de gasto se dividirán en concepto, partida genérica y partida específica</w:t>
      </w:r>
      <w:r w:rsidR="00FF3119" w:rsidRPr="00253F22">
        <w:rPr>
          <w:rFonts w:ascii="Palatino Linotype" w:eastAsia="Palatino Linotype" w:hAnsi="Palatino Linotype" w:cs="Palatino Linotype"/>
        </w:rPr>
        <w:t xml:space="preserve">, que representarán las autorizaciones específicas del presupuesto, las cuales se encuentran contenidas en el clasificador por objeto de gasto que debe emitir la </w:t>
      </w:r>
      <w:r w:rsidR="002444CE" w:rsidRPr="00253F22">
        <w:rPr>
          <w:rFonts w:ascii="Palatino Linotype" w:eastAsia="Palatino Linotype" w:hAnsi="Palatino Linotype" w:cs="Palatino Linotype"/>
        </w:rPr>
        <w:t>Subdirección de Administración y Finanzas</w:t>
      </w:r>
      <w:r w:rsidR="00FF3119" w:rsidRPr="00253F22">
        <w:rPr>
          <w:rFonts w:ascii="Palatino Linotype" w:eastAsia="Palatino Linotype" w:hAnsi="Palatino Linotype" w:cs="Palatino Linotype"/>
        </w:rPr>
        <w:t>, mismo que debe guardar congruencia con el clasificador que emita el Consejo Nacional de Armonización Contable y el Consejo de Armonización Contable del Estado de México, a saber:</w:t>
      </w:r>
    </w:p>
    <w:p w14:paraId="25FBF036" w14:textId="77777777" w:rsidR="00FF3119" w:rsidRPr="00253F22" w:rsidRDefault="00FF3119" w:rsidP="00FF3119">
      <w:pPr>
        <w:pBdr>
          <w:top w:val="nil"/>
          <w:left w:val="nil"/>
          <w:bottom w:val="nil"/>
          <w:right w:val="nil"/>
          <w:between w:val="nil"/>
        </w:pBdr>
        <w:ind w:left="1134" w:right="900"/>
        <w:jc w:val="both"/>
        <w:rPr>
          <w:rFonts w:ascii="Palatino Linotype" w:eastAsia="Palatino Linotype" w:hAnsi="Palatino Linotype" w:cs="Palatino Linotype"/>
          <w:i/>
          <w:sz w:val="22"/>
        </w:rPr>
      </w:pPr>
      <w:r w:rsidRPr="00253F22">
        <w:rPr>
          <w:rFonts w:ascii="Palatino Linotype" w:eastAsia="Palatino Linotype" w:hAnsi="Palatino Linotype" w:cs="Palatino Linotype"/>
          <w:i/>
          <w:sz w:val="22"/>
        </w:rPr>
        <w:t>“</w:t>
      </w:r>
      <w:r w:rsidRPr="00253F22">
        <w:rPr>
          <w:rFonts w:ascii="Palatino Linotype" w:eastAsia="Palatino Linotype" w:hAnsi="Palatino Linotype" w:cs="Palatino Linotype"/>
          <w:b/>
          <w:i/>
          <w:sz w:val="22"/>
        </w:rPr>
        <w:t>Artículo 293.-</w:t>
      </w:r>
      <w:r w:rsidRPr="00253F22">
        <w:rPr>
          <w:rFonts w:ascii="Palatino Linotype" w:eastAsia="Palatino Linotype" w:hAnsi="Palatino Linotype" w:cs="Palatino Linotype"/>
          <w:i/>
          <w:sz w:val="22"/>
        </w:rPr>
        <w:t xml:space="preserve"> Los capítulos de gasto se dividirán en concepto, partida genérica y partida específica, que representarán las autorizaciones específicas del presupuesto, las cuales se encuentran contenidas en el clasificador por objeto de gasto que emita el Consejo Nacional de Armonización Contable y el Consejo de Armonización Contable del Estado de México. </w:t>
      </w:r>
    </w:p>
    <w:p w14:paraId="4D3B02A9" w14:textId="77777777" w:rsidR="00FF3119" w:rsidRPr="00253F22" w:rsidRDefault="00FF3119" w:rsidP="00FF3119">
      <w:pPr>
        <w:pBdr>
          <w:top w:val="nil"/>
          <w:left w:val="nil"/>
          <w:bottom w:val="nil"/>
          <w:right w:val="nil"/>
          <w:between w:val="nil"/>
        </w:pBdr>
        <w:ind w:left="1134" w:right="900"/>
        <w:jc w:val="both"/>
        <w:rPr>
          <w:rFonts w:ascii="Palatino Linotype" w:eastAsia="Palatino Linotype" w:hAnsi="Palatino Linotype" w:cs="Palatino Linotype"/>
          <w:i/>
          <w:sz w:val="22"/>
        </w:rPr>
      </w:pPr>
    </w:p>
    <w:p w14:paraId="6BE1EC54" w14:textId="77777777" w:rsidR="00FF3119" w:rsidRPr="00253F22" w:rsidRDefault="00FF3119" w:rsidP="00FF3119">
      <w:pPr>
        <w:pBdr>
          <w:top w:val="nil"/>
          <w:left w:val="nil"/>
          <w:bottom w:val="nil"/>
          <w:right w:val="nil"/>
          <w:between w:val="nil"/>
        </w:pBdr>
        <w:ind w:left="1134" w:right="900"/>
        <w:jc w:val="both"/>
        <w:rPr>
          <w:rFonts w:ascii="Palatino Linotype" w:eastAsia="Palatino Linotype" w:hAnsi="Palatino Linotype" w:cs="Palatino Linotype"/>
          <w:i/>
          <w:sz w:val="22"/>
        </w:rPr>
      </w:pPr>
      <w:r w:rsidRPr="00253F22">
        <w:rPr>
          <w:rFonts w:ascii="Palatino Linotype" w:eastAsia="Palatino Linotype" w:hAnsi="Palatino Linotype" w:cs="Palatino Linotype"/>
          <w:i/>
          <w:sz w:val="22"/>
        </w:rPr>
        <w:t>En el caso de los municipios, corresponderá a su Tesorería emitir el Clasificador por Objeto del Gasto, el cual deberá guardar congruencia y homogeneidad con el señalado en el párrafo anterior.”</w:t>
      </w:r>
    </w:p>
    <w:p w14:paraId="553431AC"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p>
    <w:p w14:paraId="4E6287B3" w14:textId="77777777" w:rsidR="00FF3119" w:rsidRPr="00253F22" w:rsidRDefault="00FF3119" w:rsidP="00FF3119">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253F22">
        <w:rPr>
          <w:rFonts w:ascii="Palatino Linotype" w:eastAsia="Palatino Linotype" w:hAnsi="Palatino Linotype" w:cs="Palatino Linotype"/>
        </w:rPr>
        <w:lastRenderedPageBreak/>
        <w:t xml:space="preserve">Con base en lo anterior el </w:t>
      </w:r>
      <w:r w:rsidRPr="00253F22">
        <w:rPr>
          <w:rFonts w:ascii="Palatino Linotype" w:eastAsia="Palatino Linotype" w:hAnsi="Palatino Linotype" w:cs="Palatino Linotype"/>
          <w:b/>
        </w:rPr>
        <w:t>Clasificador por Objeto del Gasto</w:t>
      </w:r>
      <w:r w:rsidRPr="00253F22">
        <w:rPr>
          <w:rFonts w:ascii="Palatino Linotype" w:eastAsia="Palatino Linotype" w:hAnsi="Palatino Linotype" w:cs="Palatino Linotype"/>
        </w:rPr>
        <w:t>, es el que se estableció en cumplimiento al artículo cuarto transitorio de la Ley General de Contabilidad Gubernamental, el Gobierno del Estado de México, ya que realiza las acciones pertinentes para armonizar los sistemas contables de las dependencias, los poderes Legislativo y Judicial; las entidades públicas, los Órganos Autónomos y los Municipios de la entidad, para que éstos cuenten con un catálogo de partidas presupuestarias que se alinean al Clasificador por Objeto del Gasto autorizado por el CONAC, en la reunión celebrada el 28 de mayo del 2010 y que fue publicado en Gaceta del Gobierno del estado de México No. 118 del 23 de junio de 2010.</w:t>
      </w:r>
    </w:p>
    <w:p w14:paraId="34FCAD4D"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p>
    <w:p w14:paraId="5C91438E" w14:textId="77777777" w:rsidR="00FF3119" w:rsidRPr="00253F22" w:rsidRDefault="00FF3119" w:rsidP="00FF3119">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253F22">
        <w:rPr>
          <w:rFonts w:ascii="Palatino Linotype" w:eastAsia="Palatino Linotype" w:hAnsi="Palatino Linotype" w:cs="Palatino Linotype"/>
        </w:rPr>
        <w:t>Así, al ser un instrumento que permite la obtención de información para el análisis y seguimiento de la gestión financiera gubernamental, es considerado la clasificación operativa que permite conocer e</w:t>
      </w:r>
      <w:r w:rsidRPr="00253F22">
        <w:rPr>
          <w:rFonts w:ascii="Palatino Linotype" w:eastAsia="Palatino Linotype" w:hAnsi="Palatino Linotype" w:cs="Palatino Linotype"/>
          <w:b/>
        </w:rPr>
        <w:t xml:space="preserve">n qué se gasta, (base del registro de las transacciones económico – financieras) </w:t>
      </w:r>
      <w:r w:rsidRPr="00253F22">
        <w:rPr>
          <w:rFonts w:ascii="Palatino Linotype" w:eastAsia="Palatino Linotype" w:hAnsi="Palatino Linotype" w:cs="Palatino Linotype"/>
        </w:rPr>
        <w:t>y a su vez permite cuantificar la demanda de bienes y servicios que realiza el Sector Público; teniendo como objetivos principales los siguientes:</w:t>
      </w:r>
    </w:p>
    <w:p w14:paraId="4BD97D98"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p>
    <w:p w14:paraId="71B41658" w14:textId="77777777" w:rsidR="00FF3119" w:rsidRPr="00253F22" w:rsidRDefault="00FF3119" w:rsidP="00FF3119">
      <w:pPr>
        <w:pStyle w:val="Prrafodelista"/>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253F22">
        <w:rPr>
          <w:rFonts w:ascii="Palatino Linotype" w:eastAsia="Palatino Linotype" w:hAnsi="Palatino Linotype" w:cs="Palatino Linotype"/>
          <w:sz w:val="24"/>
          <w:szCs w:val="24"/>
        </w:rPr>
        <w:t>Ofrecer información valiosa de la demanda de bienes y servicios que realiza el Sector Público.</w:t>
      </w:r>
    </w:p>
    <w:p w14:paraId="24CA1DEA" w14:textId="77777777" w:rsidR="00FF3119" w:rsidRPr="00253F22" w:rsidRDefault="00FF3119" w:rsidP="00FF3119">
      <w:pPr>
        <w:pStyle w:val="Prrafodelista"/>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253F22">
        <w:rPr>
          <w:rFonts w:ascii="Palatino Linotype" w:eastAsia="Palatino Linotype" w:hAnsi="Palatino Linotype" w:cs="Palatino Linotype"/>
          <w:sz w:val="24"/>
          <w:szCs w:val="24"/>
        </w:rPr>
        <w:t>Permite identificar con claridad y transparencia los bienes y servicios que se adquieren, las transferencias que se realizan y las aplicaciones previstas en el presupuesto.</w:t>
      </w:r>
    </w:p>
    <w:p w14:paraId="78EA5BDE" w14:textId="77777777" w:rsidR="00FF3119" w:rsidRPr="00253F22" w:rsidRDefault="00FF3119" w:rsidP="00FF3119">
      <w:pPr>
        <w:pStyle w:val="Prrafodelista"/>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253F22">
        <w:rPr>
          <w:rFonts w:ascii="Palatino Linotype" w:eastAsia="Palatino Linotype" w:hAnsi="Palatino Linotype" w:cs="Palatino Linotype"/>
          <w:sz w:val="24"/>
          <w:szCs w:val="24"/>
        </w:rPr>
        <w:t>Facilitar la programación de las adquisiciones de bienes y servicios y otras acciones relacionadas con administración de bienes del Estado.</w:t>
      </w:r>
    </w:p>
    <w:p w14:paraId="51D346E3" w14:textId="77777777" w:rsidR="00FF3119" w:rsidRPr="00253F22" w:rsidRDefault="00FF3119" w:rsidP="00FF3119">
      <w:pPr>
        <w:pStyle w:val="Prrafodelista"/>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253F22">
        <w:rPr>
          <w:rFonts w:ascii="Palatino Linotype" w:eastAsia="Palatino Linotype" w:hAnsi="Palatino Linotype" w:cs="Palatino Linotype"/>
          <w:sz w:val="24"/>
          <w:szCs w:val="24"/>
        </w:rPr>
        <w:lastRenderedPageBreak/>
        <w:t>En el marco del sistema de cuentas gubernamentales, integradas e interrelacionadas, el Clasificador por Objeto del Gasto es uno de los principales elementos para obtener clasificaciones agregadas.</w:t>
      </w:r>
    </w:p>
    <w:p w14:paraId="31535A64" w14:textId="77777777" w:rsidR="00FF3119" w:rsidRPr="00253F22" w:rsidRDefault="00FF3119" w:rsidP="00FF3119">
      <w:pPr>
        <w:pStyle w:val="Prrafodelista"/>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253F22">
        <w:rPr>
          <w:rFonts w:ascii="Palatino Linotype" w:eastAsia="Palatino Linotype" w:hAnsi="Palatino Linotype" w:cs="Palatino Linotype"/>
          <w:sz w:val="24"/>
          <w:szCs w:val="24"/>
        </w:rPr>
        <w:t>Facilitar el ejercicio del control interno y externo de las transacciones de los entes públicos.</w:t>
      </w:r>
    </w:p>
    <w:p w14:paraId="65BF85B1" w14:textId="77777777" w:rsidR="00FF3119" w:rsidRPr="00253F22" w:rsidRDefault="00FF3119" w:rsidP="00FF3119">
      <w:pPr>
        <w:pStyle w:val="Prrafodelista"/>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253F22">
        <w:rPr>
          <w:rFonts w:ascii="Palatino Linotype" w:eastAsia="Palatino Linotype" w:hAnsi="Palatino Linotype" w:cs="Palatino Linotype"/>
          <w:sz w:val="24"/>
          <w:szCs w:val="24"/>
        </w:rPr>
        <w:t>Promover el desarrollo y aplicación de los sistemas de programación y gestión del gasto público.</w:t>
      </w:r>
    </w:p>
    <w:p w14:paraId="7F78CF8F" w14:textId="77777777" w:rsidR="00FF3119" w:rsidRPr="00253F22" w:rsidRDefault="00FF3119" w:rsidP="00FF3119">
      <w:pPr>
        <w:pStyle w:val="Prrafodelista"/>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253F22">
        <w:rPr>
          <w:rFonts w:ascii="Palatino Linotype" w:eastAsia="Palatino Linotype" w:hAnsi="Palatino Linotype" w:cs="Palatino Linotype"/>
          <w:sz w:val="24"/>
          <w:szCs w:val="24"/>
        </w:rPr>
        <w:t>Permitir el análisis de los efectos del gasto público y la proyección del mismo.</w:t>
      </w:r>
    </w:p>
    <w:p w14:paraId="58BF8F3E"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p>
    <w:p w14:paraId="47E725C0" w14:textId="77777777" w:rsidR="00FF3119" w:rsidRPr="00253F22" w:rsidRDefault="00FF3119" w:rsidP="00FF3119">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253F22">
        <w:rPr>
          <w:rFonts w:ascii="Palatino Linotype" w:eastAsia="Palatino Linotype" w:hAnsi="Palatino Linotype" w:cs="Palatino Linotype"/>
        </w:rPr>
        <w:t xml:space="preserve">Asimismo, cabe señalar que </w:t>
      </w:r>
      <w:r w:rsidRPr="00253F22">
        <w:rPr>
          <w:rFonts w:ascii="Palatino Linotype" w:eastAsia="Palatino Linotype" w:hAnsi="Palatino Linotype" w:cs="Palatino Linotype"/>
          <w:b/>
        </w:rPr>
        <w:t>el Clasificador por Objeto del Gasto</w:t>
      </w:r>
      <w:r w:rsidRPr="00253F22">
        <w:rPr>
          <w:rFonts w:ascii="Palatino Linotype" w:eastAsia="Palatino Linotype" w:hAnsi="Palatino Linotype" w:cs="Palatino Linotype"/>
        </w:rPr>
        <w:t xml:space="preserve">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w:t>
      </w:r>
      <w:r w:rsidR="003259CA" w:rsidRPr="00253F22">
        <w:rPr>
          <w:rFonts w:ascii="Palatino Linotype" w:eastAsia="Palatino Linotype" w:hAnsi="Palatino Linotype" w:cs="Palatino Linotype"/>
        </w:rPr>
        <w:t xml:space="preserve">licas, así como los Municipios. </w:t>
      </w:r>
    </w:p>
    <w:p w14:paraId="09A003A1" w14:textId="77777777" w:rsidR="003259CA" w:rsidRPr="00253F22" w:rsidRDefault="003259CA" w:rsidP="003259CA">
      <w:pPr>
        <w:pBdr>
          <w:top w:val="nil"/>
          <w:left w:val="nil"/>
          <w:bottom w:val="nil"/>
          <w:right w:val="nil"/>
          <w:between w:val="nil"/>
        </w:pBdr>
        <w:spacing w:line="360" w:lineRule="auto"/>
        <w:ind w:right="-787"/>
        <w:jc w:val="both"/>
        <w:rPr>
          <w:rFonts w:ascii="Palatino Linotype" w:eastAsia="Palatino Linotype" w:hAnsi="Palatino Linotype" w:cs="Palatino Linotype"/>
        </w:rPr>
      </w:pPr>
    </w:p>
    <w:p w14:paraId="5AB7F8E6" w14:textId="77777777" w:rsidR="00FF3119" w:rsidRPr="00253F22" w:rsidRDefault="003259CA" w:rsidP="00FF3119">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253F22">
        <w:rPr>
          <w:rFonts w:ascii="Palatino Linotype" w:eastAsia="Palatino Linotype" w:hAnsi="Palatino Linotype" w:cs="Palatino Linotype"/>
        </w:rPr>
        <w:t xml:space="preserve">Ahora bien, se debe de mencionar </w:t>
      </w:r>
      <w:r w:rsidR="00FF3119" w:rsidRPr="00253F22">
        <w:rPr>
          <w:rFonts w:ascii="Palatino Linotype" w:eastAsia="Palatino Linotype" w:hAnsi="Palatino Linotype" w:cs="Palatino Linotype"/>
        </w:rPr>
        <w:t>para identificar el gasto público por su naturaleza económica, durante el proceso de programación e integración del Anteproyecto de Presupuesto, así como para su ejercicio, las unidades ejecutoras deben establecer el vínculo, por capítulo, subcapítulo, partida de gasto genérica y partida de gasto específica, con el componente de la clave presupuestaria correspondiente.</w:t>
      </w:r>
    </w:p>
    <w:p w14:paraId="5ED47F59"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p>
    <w:p w14:paraId="19265379" w14:textId="77777777" w:rsidR="00FF3119" w:rsidRPr="00253F22" w:rsidRDefault="00FF3119" w:rsidP="00FF3119">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253F22">
        <w:rPr>
          <w:rFonts w:ascii="Palatino Linotype" w:eastAsia="Palatino Linotype" w:hAnsi="Palatino Linotype" w:cs="Palatino Linotype"/>
        </w:rPr>
        <w:lastRenderedPageBreak/>
        <w:t>Para tal efecto, el “</w:t>
      </w:r>
      <w:r w:rsidRPr="00253F22">
        <w:rPr>
          <w:rFonts w:ascii="Palatino Linotype" w:eastAsia="Palatino Linotype" w:hAnsi="Palatino Linotype" w:cs="Palatino Linotype"/>
          <w:b/>
        </w:rPr>
        <w:t>Clasificador por objeto del gasto”</w:t>
      </w:r>
      <w:r w:rsidRPr="00253F22">
        <w:rPr>
          <w:rFonts w:ascii="Palatino Linotype" w:eastAsia="Palatino Linotype" w:hAnsi="Palatino Linotype" w:cs="Palatino Linotype"/>
        </w:rPr>
        <w:t>, el cual se constituye un elemento fundamental del sistema general de cuentas donde cada componente destaca aspectos concretos del presupuesto y suministra información que atiende a necesidades diferentes pero enlazadas, permitiendo el vínculo con la contabilidad, es decir, que se trata de un instrumento que permite la obtención de información para el análisis y seguimiento de la gestión financiera gubernamental, por lo cual permite conocer en qué se gasta y cuantificar la demanda de bienes o servicios.</w:t>
      </w:r>
    </w:p>
    <w:p w14:paraId="6E5D1023"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p>
    <w:p w14:paraId="0340FDFD" w14:textId="77777777" w:rsidR="00FF3119" w:rsidRPr="00AC608D" w:rsidRDefault="00DA6AF5" w:rsidP="00FF3119">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253F22">
        <w:rPr>
          <w:rFonts w:ascii="Palatino Linotype" w:eastAsia="Palatino Linotype" w:hAnsi="Palatino Linotype" w:cs="Palatino Linotype"/>
        </w:rPr>
        <w:t>La estructura del Clasificador</w:t>
      </w:r>
      <w:r w:rsidR="00FF3119" w:rsidRPr="00253F22">
        <w:rPr>
          <w:rFonts w:ascii="Palatino Linotype" w:eastAsia="Palatino Linotype" w:hAnsi="Palatino Linotype" w:cs="Palatino Linotype"/>
        </w:rPr>
        <w:t>, fue diseñada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14:paraId="6F5C7C58" w14:textId="77777777" w:rsidR="00FF3119" w:rsidRPr="00253F22" w:rsidRDefault="00FF3119" w:rsidP="00FF3119">
      <w:pPr>
        <w:pBdr>
          <w:top w:val="nil"/>
          <w:left w:val="nil"/>
          <w:bottom w:val="nil"/>
          <w:right w:val="nil"/>
          <w:between w:val="nil"/>
        </w:pBdr>
        <w:spacing w:line="360" w:lineRule="auto"/>
        <w:jc w:val="center"/>
        <w:rPr>
          <w:rFonts w:ascii="Palatino Linotype" w:eastAsia="Palatino Linotype" w:hAnsi="Palatino Linotype" w:cs="Palatino Linotype"/>
        </w:rPr>
      </w:pPr>
      <w:r w:rsidRPr="00253F22">
        <w:rPr>
          <w:rFonts w:ascii="Palatino Linotype" w:hAnsi="Palatino Linotype"/>
          <w:noProof/>
          <w:lang w:val="es-MX"/>
        </w:rPr>
        <w:drawing>
          <wp:inline distT="0" distB="0" distL="0" distR="0" wp14:anchorId="41B9FEB9" wp14:editId="176DC545">
            <wp:extent cx="5324475" cy="962025"/>
            <wp:effectExtent l="152400" t="152400" r="371475" b="371475"/>
            <wp:docPr id="1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324475" cy="962025"/>
                    </a:xfrm>
                    <a:prstGeom prst="rect">
                      <a:avLst/>
                    </a:prstGeom>
                    <a:ln>
                      <a:noFill/>
                    </a:ln>
                    <a:effectLst>
                      <a:outerShdw blurRad="292100" dist="139700" dir="2700000" algn="tl" rotWithShape="0">
                        <a:srgbClr val="333333">
                          <a:alpha val="65000"/>
                        </a:srgbClr>
                      </a:outerShdw>
                    </a:effectLst>
                  </pic:spPr>
                </pic:pic>
              </a:graphicData>
            </a:graphic>
          </wp:inline>
        </w:drawing>
      </w:r>
    </w:p>
    <w:p w14:paraId="4A1B26F8" w14:textId="77777777" w:rsidR="00FF3119" w:rsidRPr="00253F22" w:rsidRDefault="00FF3119" w:rsidP="00FF3119">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253F22">
        <w:rPr>
          <w:rFonts w:ascii="Palatino Linotype" w:eastAsia="Palatino Linotype" w:hAnsi="Palatino Linotype" w:cs="Palatino Linotype"/>
        </w:rPr>
        <w:t>Debiendo definir cada una de las partes que lo integran como sigue:</w:t>
      </w:r>
    </w:p>
    <w:p w14:paraId="0EB2D156"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p>
    <w:p w14:paraId="7D159087"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r w:rsidRPr="00253F22">
        <w:rPr>
          <w:rFonts w:ascii="Palatino Linotype" w:eastAsia="Palatino Linotype" w:hAnsi="Palatino Linotype" w:cs="Palatino Linotype"/>
        </w:rPr>
        <w:t>●</w:t>
      </w:r>
      <w:r w:rsidRPr="00253F22">
        <w:rPr>
          <w:rFonts w:ascii="Palatino Linotype" w:eastAsia="Palatino Linotype" w:hAnsi="Palatino Linotype" w:cs="Palatino Linotype"/>
        </w:rPr>
        <w:tab/>
      </w:r>
      <w:r w:rsidRPr="00253F22">
        <w:rPr>
          <w:rFonts w:ascii="Palatino Linotype" w:eastAsia="Palatino Linotype" w:hAnsi="Palatino Linotype" w:cs="Palatino Linotype"/>
          <w:b/>
        </w:rPr>
        <w:t>Capítulo:</w:t>
      </w:r>
      <w:r w:rsidRPr="00253F22">
        <w:rPr>
          <w:rFonts w:ascii="Palatino Linotype" w:eastAsia="Palatino Linotype" w:hAnsi="Palatino Linotype" w:cs="Palatino Linotype"/>
        </w:rPr>
        <w:t xml:space="preserve"> Es el mayor nivel de agregación que identifica el conjunto homogéneo y ordenado de los bienes y servicios requeridos por los entes públicos. </w:t>
      </w:r>
    </w:p>
    <w:p w14:paraId="3F568567"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r w:rsidRPr="00253F22">
        <w:rPr>
          <w:rFonts w:ascii="Palatino Linotype" w:eastAsia="Palatino Linotype" w:hAnsi="Palatino Linotype" w:cs="Palatino Linotype"/>
        </w:rPr>
        <w:lastRenderedPageBreak/>
        <w:t>●</w:t>
      </w:r>
      <w:r w:rsidRPr="00253F22">
        <w:rPr>
          <w:rFonts w:ascii="Palatino Linotype" w:eastAsia="Palatino Linotype" w:hAnsi="Palatino Linotype" w:cs="Palatino Linotype"/>
        </w:rPr>
        <w:tab/>
      </w:r>
      <w:r w:rsidRPr="00253F22">
        <w:rPr>
          <w:rFonts w:ascii="Palatino Linotype" w:eastAsia="Palatino Linotype" w:hAnsi="Palatino Linotype" w:cs="Palatino Linotype"/>
          <w:b/>
        </w:rPr>
        <w:t>Concepto:</w:t>
      </w:r>
      <w:r w:rsidRPr="00253F22">
        <w:rPr>
          <w:rFonts w:ascii="Palatino Linotype" w:eastAsia="Palatino Linotype" w:hAnsi="Palatino Linotype" w:cs="Palatino Linotype"/>
        </w:rPr>
        <w:t xml:space="preserve"> Son subconjuntos homogéneos y ordenados en forma específica, producto de la desagregación de los bienes y servicios, incluidos en cada capítulo. </w:t>
      </w:r>
    </w:p>
    <w:p w14:paraId="75488BB8"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r w:rsidRPr="00253F22">
        <w:rPr>
          <w:rFonts w:ascii="Palatino Linotype" w:eastAsia="Palatino Linotype" w:hAnsi="Palatino Linotype" w:cs="Palatino Linotype"/>
        </w:rPr>
        <w:t>●</w:t>
      </w:r>
      <w:r w:rsidRPr="00253F22">
        <w:rPr>
          <w:rFonts w:ascii="Palatino Linotype" w:eastAsia="Palatino Linotype" w:hAnsi="Palatino Linotype" w:cs="Palatino Linotype"/>
        </w:rPr>
        <w:tab/>
      </w:r>
      <w:r w:rsidRPr="00253F22">
        <w:rPr>
          <w:rFonts w:ascii="Palatino Linotype" w:eastAsia="Palatino Linotype" w:hAnsi="Palatino Linotype" w:cs="Palatino Linotype"/>
          <w:b/>
        </w:rPr>
        <w:t>Partida:</w:t>
      </w:r>
      <w:r w:rsidRPr="00253F22">
        <w:rPr>
          <w:rFonts w:ascii="Palatino Linotype" w:eastAsia="Palatino Linotype" w:hAnsi="Palatino Linotype" w:cs="Palatino Linotype"/>
        </w:rPr>
        <w:t xml:space="preserve"> Es el nivel de agregación más específico en el cual se describen las expresiones concretas y detalladas de los bienes y servicios que se adquieren y se compone de: </w:t>
      </w:r>
    </w:p>
    <w:p w14:paraId="7B2500BC" w14:textId="77777777" w:rsidR="00FF3119" w:rsidRPr="00253F22" w:rsidRDefault="00FF3119" w:rsidP="00FF3119">
      <w:pPr>
        <w:pBdr>
          <w:top w:val="nil"/>
          <w:left w:val="nil"/>
          <w:bottom w:val="nil"/>
          <w:right w:val="nil"/>
          <w:between w:val="nil"/>
        </w:pBdr>
        <w:spacing w:line="360" w:lineRule="auto"/>
        <w:ind w:left="709"/>
        <w:jc w:val="both"/>
        <w:rPr>
          <w:rFonts w:ascii="Palatino Linotype" w:eastAsia="Palatino Linotype" w:hAnsi="Palatino Linotype" w:cs="Palatino Linotype"/>
        </w:rPr>
      </w:pPr>
      <w:r w:rsidRPr="00253F22">
        <w:rPr>
          <w:rFonts w:ascii="Palatino Linotype" w:eastAsia="Palatino Linotype" w:hAnsi="Palatino Linotype" w:cs="Palatino Linotype"/>
        </w:rPr>
        <w:t>a)</w:t>
      </w:r>
      <w:r w:rsidRPr="00253F22">
        <w:rPr>
          <w:rFonts w:ascii="Palatino Linotype" w:eastAsia="Palatino Linotype" w:hAnsi="Palatino Linotype" w:cs="Palatino Linotype"/>
        </w:rPr>
        <w:tab/>
        <w:t>La Partida Genérica se refiere al tercer dígito, el cual logrará la armonización a todos los niveles de gobierno.</w:t>
      </w:r>
    </w:p>
    <w:p w14:paraId="559A25E8" w14:textId="77777777" w:rsidR="00FF3119" w:rsidRPr="00253F22" w:rsidRDefault="00FF3119" w:rsidP="00FF3119">
      <w:pPr>
        <w:pBdr>
          <w:top w:val="nil"/>
          <w:left w:val="nil"/>
          <w:bottom w:val="nil"/>
          <w:right w:val="nil"/>
          <w:between w:val="nil"/>
        </w:pBdr>
        <w:spacing w:line="360" w:lineRule="auto"/>
        <w:ind w:left="720"/>
        <w:jc w:val="both"/>
        <w:rPr>
          <w:rFonts w:ascii="Palatino Linotype" w:eastAsia="Palatino Linotype" w:hAnsi="Palatino Linotype" w:cs="Palatino Linotype"/>
        </w:rPr>
      </w:pPr>
      <w:r w:rsidRPr="00253F22">
        <w:rPr>
          <w:rFonts w:ascii="Palatino Linotype" w:eastAsia="Palatino Linotype" w:hAnsi="Palatino Linotype" w:cs="Palatino Linotype"/>
        </w:rPr>
        <w:t>b)</w:t>
      </w:r>
      <w:r w:rsidRPr="00253F22">
        <w:rPr>
          <w:rFonts w:ascii="Palatino Linotype" w:eastAsia="Palatino Linotype" w:hAnsi="Palatino Linotype" w:cs="Palatino Linotype"/>
        </w:rPr>
        <w:tab/>
        <w:t>La Partida Específica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14:paraId="15AD07A1"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p>
    <w:p w14:paraId="2A0A76DE" w14:textId="77777777" w:rsidR="00FF3119" w:rsidRPr="00253F22" w:rsidRDefault="00FF3119" w:rsidP="00FF3119">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253F22">
        <w:rPr>
          <w:rFonts w:ascii="Palatino Linotype" w:eastAsia="Palatino Linotype" w:hAnsi="Palatino Linotype" w:cs="Palatino Linotype"/>
        </w:rPr>
        <w:t xml:space="preserve">De acuerdo con este nivel de desagregación del Clasificador por Objeto del Gasto </w:t>
      </w:r>
      <w:r w:rsidRPr="00253F22">
        <w:rPr>
          <w:rFonts w:ascii="Palatino Linotype" w:eastAsia="Palatino Linotype" w:hAnsi="Palatino Linotype" w:cs="Palatino Linotype"/>
          <w:b/>
        </w:rPr>
        <w:t xml:space="preserve">Estatal </w:t>
      </w:r>
      <w:r w:rsidRPr="00253F22">
        <w:rPr>
          <w:rFonts w:ascii="Palatino Linotype" w:eastAsia="Palatino Linotype" w:hAnsi="Palatino Linotype" w:cs="Palatino Linotype"/>
        </w:rPr>
        <w:t>y Municipal,</w:t>
      </w:r>
      <w:r w:rsidR="00DA6AF5" w:rsidRPr="00253F22">
        <w:rPr>
          <w:rFonts w:ascii="Palatino Linotype" w:eastAsia="Palatino Linotype" w:hAnsi="Palatino Linotype" w:cs="Palatino Linotype"/>
        </w:rPr>
        <w:t xml:space="preserve"> así como de los Órganos Autónomos, define </w:t>
      </w:r>
      <w:r w:rsidRPr="00253F22">
        <w:rPr>
          <w:rFonts w:ascii="Palatino Linotype" w:eastAsia="Palatino Linotype" w:hAnsi="Palatino Linotype" w:cs="Palatino Linotype"/>
        </w:rPr>
        <w:t xml:space="preserve">los Capítulos de gasto </w:t>
      </w:r>
      <w:r w:rsidR="00DA6AF5" w:rsidRPr="00253F22">
        <w:rPr>
          <w:rFonts w:ascii="Palatino Linotype" w:eastAsia="Palatino Linotype" w:hAnsi="Palatino Linotype" w:cs="Palatino Linotype"/>
        </w:rPr>
        <w:t>de la siguiente manera</w:t>
      </w:r>
      <w:r w:rsidRPr="00253F22">
        <w:rPr>
          <w:rFonts w:ascii="Palatino Linotype" w:eastAsia="Palatino Linotype" w:hAnsi="Palatino Linotype" w:cs="Palatino Linotype"/>
        </w:rPr>
        <w:t xml:space="preserve">: </w:t>
      </w:r>
    </w:p>
    <w:p w14:paraId="6E7EF225"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p>
    <w:p w14:paraId="171C6AEF"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r w:rsidRPr="00253F22">
        <w:rPr>
          <w:rFonts w:ascii="Palatino Linotype" w:eastAsia="Palatino Linotype" w:hAnsi="Palatino Linotype" w:cs="Palatino Linotype"/>
          <w:b/>
        </w:rPr>
        <w:t xml:space="preserve">1000 SERVICIOS PERSONALES. </w:t>
      </w:r>
      <w:r w:rsidRPr="00253F22">
        <w:rPr>
          <w:rFonts w:ascii="Palatino Linotype" w:eastAsia="Palatino Linotype" w:hAnsi="Palatino Linotype" w:cs="Palatino Linotype"/>
        </w:rPr>
        <w:t>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w:t>
      </w:r>
    </w:p>
    <w:p w14:paraId="383EFF1C"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p>
    <w:p w14:paraId="63CD960F"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r w:rsidRPr="00253F22">
        <w:rPr>
          <w:rFonts w:ascii="Palatino Linotype" w:eastAsia="Palatino Linotype" w:hAnsi="Palatino Linotype" w:cs="Palatino Linotype"/>
          <w:b/>
        </w:rPr>
        <w:t>2000 MATERIALES Y SUMINISTROS.</w:t>
      </w:r>
      <w:r w:rsidRPr="00253F22">
        <w:rPr>
          <w:rFonts w:ascii="Palatino Linotype" w:eastAsia="Palatino Linotype" w:hAnsi="Palatino Linotype" w:cs="Palatino Linotype"/>
        </w:rPr>
        <w:t xml:space="preserve"> Agrupa las asignaciones destinadas a la adquisición de toda clase de insumos y suministros requeridos para la prestación de bienes y servicios públicos y para el desempeño de las actividades administrativas. </w:t>
      </w:r>
    </w:p>
    <w:p w14:paraId="6102A2D3"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p>
    <w:p w14:paraId="3D2D6FA4"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r w:rsidRPr="00253F22">
        <w:rPr>
          <w:rFonts w:ascii="Palatino Linotype" w:eastAsia="Palatino Linotype" w:hAnsi="Palatino Linotype" w:cs="Palatino Linotype"/>
          <w:b/>
        </w:rPr>
        <w:t xml:space="preserve">3000 SERVICIOS GENERALES. </w:t>
      </w:r>
      <w:r w:rsidRPr="00253F22">
        <w:rPr>
          <w:rFonts w:ascii="Palatino Linotype" w:eastAsia="Palatino Linotype" w:hAnsi="Palatino Linotype" w:cs="Palatino Linotype"/>
        </w:rPr>
        <w:t xml:space="preserve">Asignaciones destinadas a cubrir el costo de todo tipo de servicios que se contraten con particulares o instituciones del propio sector público; así como los servicios oficiales requeridos para el desempeño de actividades vinculadas con la función pública. </w:t>
      </w:r>
    </w:p>
    <w:p w14:paraId="1320AB24"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p>
    <w:p w14:paraId="67523F45"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r w:rsidRPr="00253F22">
        <w:rPr>
          <w:rFonts w:ascii="Palatino Linotype" w:eastAsia="Palatino Linotype" w:hAnsi="Palatino Linotype" w:cs="Palatino Linotype"/>
          <w:b/>
        </w:rPr>
        <w:t>4000 TRANSFERENCIAS, ASIGNACIONES, SUBSIDIOS Y OTRAS AYUDAS.</w:t>
      </w:r>
      <w:r w:rsidRPr="00253F22">
        <w:rPr>
          <w:rFonts w:ascii="Palatino Linotype" w:eastAsia="Palatino Linotype" w:hAnsi="Palatino Linotype" w:cs="Palatino Linotype"/>
        </w:rPr>
        <w:t xml:space="preserve"> 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w:t>
      </w:r>
    </w:p>
    <w:p w14:paraId="595226F0"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p>
    <w:p w14:paraId="3FAC9C1B"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r w:rsidRPr="00253F22">
        <w:rPr>
          <w:rFonts w:ascii="Palatino Linotype" w:eastAsia="Palatino Linotype" w:hAnsi="Palatino Linotype" w:cs="Palatino Linotype"/>
          <w:b/>
        </w:rPr>
        <w:t>5000 BIENES MUEBLES, INMUEBLES E INTANGIBLES.</w:t>
      </w:r>
      <w:r w:rsidRPr="00253F22">
        <w:rPr>
          <w:rFonts w:ascii="Palatino Linotype" w:eastAsia="Palatino Linotype" w:hAnsi="Palatino Linotype" w:cs="Palatino Linotype"/>
        </w:rPr>
        <w:t xml:space="preserve">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14:paraId="5BED8642"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p>
    <w:p w14:paraId="424472A2"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r w:rsidRPr="00253F22">
        <w:rPr>
          <w:rFonts w:ascii="Palatino Linotype" w:eastAsia="Palatino Linotype" w:hAnsi="Palatino Linotype" w:cs="Palatino Linotype"/>
          <w:b/>
        </w:rPr>
        <w:lastRenderedPageBreak/>
        <w:t>6000 INVERSIÓN PÚBLICA.</w:t>
      </w:r>
      <w:r w:rsidRPr="00253F22">
        <w:rPr>
          <w:rFonts w:ascii="Palatino Linotype" w:eastAsia="Palatino Linotype" w:hAnsi="Palatino Linotype" w:cs="Palatino Linotype"/>
        </w:rPr>
        <w:t xml:space="preserve"> Asignaciones destinadas a obras por contrato y proyectos productivos y acciones de fomento. Incluye los gastos en estudios de pre‐inversión y preparación del proyecto. </w:t>
      </w:r>
    </w:p>
    <w:p w14:paraId="56EE96D4"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p>
    <w:p w14:paraId="1A1D2506"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r w:rsidRPr="00253F22">
        <w:rPr>
          <w:rFonts w:ascii="Palatino Linotype" w:eastAsia="Palatino Linotype" w:hAnsi="Palatino Linotype" w:cs="Palatino Linotype"/>
          <w:b/>
        </w:rPr>
        <w:t>7000 INVERSIONES FINANCIERAS Y OTRAS PROVISIONES.</w:t>
      </w:r>
      <w:r w:rsidRPr="00253F22">
        <w:rPr>
          <w:rFonts w:ascii="Palatino Linotype" w:eastAsia="Palatino Linotype" w:hAnsi="Palatino Linotype" w:cs="Palatino Linotype"/>
        </w:rPr>
        <w:t xml:space="preserve"> 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 </w:t>
      </w:r>
    </w:p>
    <w:p w14:paraId="6B222122"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p>
    <w:p w14:paraId="175DF9E8"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r w:rsidRPr="00253F22">
        <w:rPr>
          <w:rFonts w:ascii="Palatino Linotype" w:eastAsia="Palatino Linotype" w:hAnsi="Palatino Linotype" w:cs="Palatino Linotype"/>
          <w:b/>
        </w:rPr>
        <w:t xml:space="preserve">8000 PARTICIPACIONES Y APORTACIONES. </w:t>
      </w:r>
      <w:r w:rsidRPr="00253F22">
        <w:rPr>
          <w:rFonts w:ascii="Palatino Linotype" w:eastAsia="Palatino Linotype" w:hAnsi="Palatino Linotype" w:cs="Palatino Linotype"/>
        </w:rPr>
        <w:t xml:space="preserve">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14:paraId="0B490A22"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p>
    <w:p w14:paraId="0C166D75"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r w:rsidRPr="00253F22">
        <w:rPr>
          <w:rFonts w:ascii="Palatino Linotype" w:eastAsia="Palatino Linotype" w:hAnsi="Palatino Linotype" w:cs="Palatino Linotype"/>
          <w:b/>
        </w:rPr>
        <w:t xml:space="preserve">9000 DEUDA PÚBLICA. </w:t>
      </w:r>
      <w:r w:rsidRPr="00253F22">
        <w:rPr>
          <w:rFonts w:ascii="Palatino Linotype" w:eastAsia="Palatino Linotype" w:hAnsi="Palatino Linotype" w:cs="Palatino Linotype"/>
        </w:rPr>
        <w:t xml:space="preserve">Asignaciones destinadas a cubrir obligaciones por concepto de deuda pública interna y externa derivada de la contratación de empréstitos; incluye la amortización, los intereses, gastos y comisiones de la deuda </w:t>
      </w:r>
      <w:r w:rsidRPr="00253F22">
        <w:rPr>
          <w:rFonts w:ascii="Palatino Linotype" w:eastAsia="Palatino Linotype" w:hAnsi="Palatino Linotype" w:cs="Palatino Linotype"/>
        </w:rPr>
        <w:lastRenderedPageBreak/>
        <w:t xml:space="preserve">pública, así como las erogaciones relacionadas con la emisión y/o contratación de deuda. Asimismo, incluye los adeudos de ejercicios fiscales anteriores (ADEFAS). </w:t>
      </w:r>
    </w:p>
    <w:p w14:paraId="5371D055"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p>
    <w:p w14:paraId="50523ADF" w14:textId="77777777" w:rsidR="00FF3119" w:rsidRPr="00253F22" w:rsidRDefault="00FF3119" w:rsidP="00FF3119">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253F22">
        <w:rPr>
          <w:rFonts w:ascii="Palatino Linotype" w:eastAsia="Palatino Linotype" w:hAnsi="Palatino Linotype" w:cs="Palatino Linotype"/>
        </w:rPr>
        <w:t>De la estructura de codificación, se derivan subcapítulos, partidas genéricas y partidas específicas como se ejemplifica a continuación, para mejor referencia:</w:t>
      </w:r>
    </w:p>
    <w:p w14:paraId="7DA96FB9"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p>
    <w:p w14:paraId="68300FEE" w14:textId="77777777" w:rsidR="00FF3119" w:rsidRPr="00253F22" w:rsidRDefault="00FF3119" w:rsidP="00FF3119">
      <w:pPr>
        <w:pBdr>
          <w:top w:val="nil"/>
          <w:left w:val="nil"/>
          <w:bottom w:val="nil"/>
          <w:right w:val="nil"/>
          <w:between w:val="nil"/>
        </w:pBdr>
        <w:spacing w:line="360" w:lineRule="auto"/>
        <w:jc w:val="center"/>
        <w:rPr>
          <w:rFonts w:ascii="Palatino Linotype" w:eastAsia="Palatino Linotype" w:hAnsi="Palatino Linotype" w:cs="Palatino Linotype"/>
        </w:rPr>
      </w:pPr>
      <w:r w:rsidRPr="00253F22">
        <w:rPr>
          <w:rFonts w:ascii="Palatino Linotype" w:hAnsi="Palatino Linotype"/>
          <w:noProof/>
          <w:lang w:val="es-MX"/>
        </w:rPr>
        <w:drawing>
          <wp:inline distT="0" distB="0" distL="0" distR="0" wp14:anchorId="6935952C" wp14:editId="47A8A029">
            <wp:extent cx="4476902" cy="3138221"/>
            <wp:effectExtent l="152400" t="152400" r="361950" b="367030"/>
            <wp:docPr id="1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b="13318"/>
                    <a:stretch>
                      <a:fillRect/>
                    </a:stretch>
                  </pic:blipFill>
                  <pic:spPr>
                    <a:xfrm>
                      <a:off x="0" y="0"/>
                      <a:ext cx="4500492" cy="3154757"/>
                    </a:xfrm>
                    <a:prstGeom prst="rect">
                      <a:avLst/>
                    </a:prstGeom>
                    <a:ln>
                      <a:noFill/>
                    </a:ln>
                    <a:effectLst>
                      <a:outerShdw blurRad="292100" dist="139700" dir="2700000" algn="tl" rotWithShape="0">
                        <a:srgbClr val="333333">
                          <a:alpha val="65000"/>
                        </a:srgbClr>
                      </a:outerShdw>
                    </a:effectLst>
                  </pic:spPr>
                </pic:pic>
              </a:graphicData>
            </a:graphic>
          </wp:inline>
        </w:drawing>
      </w:r>
    </w:p>
    <w:p w14:paraId="16E003E4" w14:textId="77777777" w:rsidR="00FF3119" w:rsidRPr="00253F22" w:rsidRDefault="00FF3119" w:rsidP="00FF3119">
      <w:pPr>
        <w:pBdr>
          <w:top w:val="nil"/>
          <w:left w:val="nil"/>
          <w:bottom w:val="nil"/>
          <w:right w:val="nil"/>
          <w:between w:val="nil"/>
        </w:pBdr>
        <w:spacing w:line="360" w:lineRule="auto"/>
        <w:jc w:val="center"/>
        <w:rPr>
          <w:rFonts w:ascii="Palatino Linotype" w:eastAsia="Palatino Linotype" w:hAnsi="Palatino Linotype" w:cs="Palatino Linotype"/>
        </w:rPr>
      </w:pPr>
      <w:r w:rsidRPr="00253F22">
        <w:rPr>
          <w:rFonts w:ascii="Palatino Linotype" w:hAnsi="Palatino Linotype"/>
          <w:noProof/>
          <w:lang w:val="es-MX"/>
        </w:rPr>
        <w:lastRenderedPageBreak/>
        <w:drawing>
          <wp:inline distT="0" distB="0" distL="0" distR="0" wp14:anchorId="2B15234E" wp14:editId="64F83C14">
            <wp:extent cx="3935577" cy="1953158"/>
            <wp:effectExtent l="152400" t="152400" r="370205" b="371475"/>
            <wp:docPr id="1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b="46875"/>
                    <a:stretch>
                      <a:fillRect/>
                    </a:stretch>
                  </pic:blipFill>
                  <pic:spPr>
                    <a:xfrm>
                      <a:off x="0" y="0"/>
                      <a:ext cx="3975575" cy="1973008"/>
                    </a:xfrm>
                    <a:prstGeom prst="rect">
                      <a:avLst/>
                    </a:prstGeom>
                    <a:ln>
                      <a:noFill/>
                    </a:ln>
                    <a:effectLst>
                      <a:outerShdw blurRad="292100" dist="139700" dir="2700000" algn="tl" rotWithShape="0">
                        <a:srgbClr val="333333">
                          <a:alpha val="65000"/>
                        </a:srgbClr>
                      </a:outerShdw>
                    </a:effectLst>
                  </pic:spPr>
                </pic:pic>
              </a:graphicData>
            </a:graphic>
          </wp:inline>
        </w:drawing>
      </w:r>
    </w:p>
    <w:p w14:paraId="2B0200EB" w14:textId="77777777" w:rsidR="00FF3119" w:rsidRPr="00253F22" w:rsidRDefault="00FF3119" w:rsidP="00FF3119">
      <w:pPr>
        <w:pBdr>
          <w:top w:val="nil"/>
          <w:left w:val="nil"/>
          <w:bottom w:val="nil"/>
          <w:right w:val="nil"/>
          <w:between w:val="nil"/>
        </w:pBdr>
        <w:spacing w:line="360" w:lineRule="auto"/>
        <w:jc w:val="center"/>
        <w:rPr>
          <w:rFonts w:ascii="Palatino Linotype" w:eastAsia="Palatino Linotype" w:hAnsi="Palatino Linotype" w:cs="Palatino Linotype"/>
        </w:rPr>
      </w:pPr>
      <w:r w:rsidRPr="00253F22">
        <w:rPr>
          <w:rFonts w:ascii="Palatino Linotype" w:hAnsi="Palatino Linotype"/>
          <w:noProof/>
          <w:lang w:val="es-MX"/>
        </w:rPr>
        <w:drawing>
          <wp:inline distT="0" distB="0" distL="0" distR="0" wp14:anchorId="2225B5D1" wp14:editId="1BBCD1A5">
            <wp:extent cx="4330598" cy="1565452"/>
            <wp:effectExtent l="152400" t="152400" r="356235" b="358775"/>
            <wp:docPr id="1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b="42552"/>
                    <a:stretch>
                      <a:fillRect/>
                    </a:stretch>
                  </pic:blipFill>
                  <pic:spPr>
                    <a:xfrm>
                      <a:off x="0" y="0"/>
                      <a:ext cx="4395027" cy="1588742"/>
                    </a:xfrm>
                    <a:prstGeom prst="rect">
                      <a:avLst/>
                    </a:prstGeom>
                    <a:ln>
                      <a:noFill/>
                    </a:ln>
                    <a:effectLst>
                      <a:outerShdw blurRad="292100" dist="139700" dir="2700000" algn="tl" rotWithShape="0">
                        <a:srgbClr val="333333">
                          <a:alpha val="65000"/>
                        </a:srgbClr>
                      </a:outerShdw>
                    </a:effectLst>
                  </pic:spPr>
                </pic:pic>
              </a:graphicData>
            </a:graphic>
          </wp:inline>
        </w:drawing>
      </w:r>
    </w:p>
    <w:p w14:paraId="06EA0EF7" w14:textId="77777777" w:rsidR="00FF3119" w:rsidRPr="00253F22" w:rsidRDefault="00FF3119" w:rsidP="00FF3119">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253F22">
        <w:rPr>
          <w:rFonts w:ascii="Palatino Linotype" w:eastAsia="Palatino Linotype" w:hAnsi="Palatino Linotype" w:cs="Palatino Linotype"/>
        </w:rPr>
        <w:t>De las imágenes anteriores podemos advertir, por ejemplo, que la erogación por concepto de Sueldos base, se encuentra contemplado en la partida específica 1131, que pertenece a la partida genérica 1130 Sueldos base al personal permanente, del subcapítulo 1100 Remuneraciones al Personal de Carácter Permanente, del capítulo 1000 Servicios Personales.</w:t>
      </w:r>
    </w:p>
    <w:p w14:paraId="5C4CDA2B"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p>
    <w:p w14:paraId="0B5A858E" w14:textId="77777777" w:rsidR="00FF3119" w:rsidRPr="00253F22" w:rsidRDefault="00FF3119" w:rsidP="00FF3119">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253F22">
        <w:rPr>
          <w:rFonts w:ascii="Palatino Linotype" w:eastAsia="Palatino Linotype" w:hAnsi="Palatino Linotype" w:cs="Palatino Linotype"/>
        </w:rPr>
        <w:t xml:space="preserve">A mayor abundamiento, conviene traer a contexto que los Lineamientos para la Integración y Entrega de los Informes Trimestrales </w:t>
      </w:r>
      <w:r w:rsidR="00DA6AF5" w:rsidRPr="00253F22">
        <w:rPr>
          <w:rFonts w:ascii="Palatino Linotype" w:eastAsia="Palatino Linotype" w:hAnsi="Palatino Linotype" w:cs="Palatino Linotype"/>
        </w:rPr>
        <w:t>Estatales del Ejercicio Fiscal 2023</w:t>
      </w:r>
      <w:r w:rsidRPr="00253F22">
        <w:rPr>
          <w:rFonts w:ascii="Palatino Linotype" w:eastAsia="Palatino Linotype" w:hAnsi="Palatino Linotype" w:cs="Palatino Linotype"/>
        </w:rPr>
        <w:t xml:space="preserve">, refiere </w:t>
      </w:r>
      <w:r w:rsidRPr="00253F22">
        <w:rPr>
          <w:rFonts w:ascii="Palatino Linotype" w:eastAsia="Palatino Linotype" w:hAnsi="Palatino Linotype" w:cs="Palatino Linotype"/>
        </w:rPr>
        <w:lastRenderedPageBreak/>
        <w:t xml:space="preserve">que el </w:t>
      </w:r>
      <w:r w:rsidRPr="00253F22">
        <w:rPr>
          <w:rFonts w:ascii="Palatino Linotype" w:eastAsia="Palatino Linotype" w:hAnsi="Palatino Linotype" w:cs="Palatino Linotype"/>
          <w:b/>
        </w:rPr>
        <w:t>Estado Analítico del Ejercicio del Presupuesto de Egresos Clasificación por Objeto del Gasto (Capítulo y Concepto),</w:t>
      </w:r>
      <w:r w:rsidR="00DA6AF5" w:rsidRPr="00253F22">
        <w:rPr>
          <w:rFonts w:ascii="Palatino Linotype" w:eastAsia="Palatino Linotype" w:hAnsi="Palatino Linotype" w:cs="Palatino Linotype"/>
        </w:rPr>
        <w:t xml:space="preserve"> forma parte del Módulo </w:t>
      </w:r>
      <w:r w:rsidR="00CF3582">
        <w:rPr>
          <w:rFonts w:ascii="Palatino Linotype" w:eastAsia="Palatino Linotype" w:hAnsi="Palatino Linotype" w:cs="Palatino Linotype"/>
        </w:rPr>
        <w:t>2</w:t>
      </w:r>
      <w:r w:rsidRPr="00253F22">
        <w:rPr>
          <w:rFonts w:ascii="Palatino Linotype" w:eastAsia="Palatino Linotype" w:hAnsi="Palatino Linotype" w:cs="Palatino Linotype"/>
        </w:rPr>
        <w:t xml:space="preserve"> de la Información </w:t>
      </w:r>
      <w:r w:rsidR="00DA6AF5" w:rsidRPr="00253F22">
        <w:rPr>
          <w:rFonts w:ascii="Palatino Linotype" w:eastAsia="Palatino Linotype" w:hAnsi="Palatino Linotype" w:cs="Palatino Linotype"/>
        </w:rPr>
        <w:t xml:space="preserve">Contable y Financiera </w:t>
      </w:r>
      <w:r w:rsidRPr="00253F22">
        <w:rPr>
          <w:rFonts w:ascii="Palatino Linotype" w:eastAsia="Palatino Linotype" w:hAnsi="Palatino Linotype" w:cs="Palatino Linotype"/>
        </w:rPr>
        <w:t xml:space="preserve">que se integra dentro de los Informes Trimestrales </w:t>
      </w:r>
      <w:r w:rsidR="00DA6AF5" w:rsidRPr="00253F22">
        <w:rPr>
          <w:rFonts w:ascii="Palatino Linotype" w:eastAsia="Palatino Linotype" w:hAnsi="Palatino Linotype" w:cs="Palatino Linotype"/>
        </w:rPr>
        <w:t>Estatales</w:t>
      </w:r>
      <w:r w:rsidR="00CF3582">
        <w:rPr>
          <w:rFonts w:ascii="Palatino Linotype" w:eastAsia="Palatino Linotype" w:hAnsi="Palatino Linotype" w:cs="Palatino Linotype"/>
        </w:rPr>
        <w:t xml:space="preserve"> de los Organismo Públicos Descentralizados, </w:t>
      </w:r>
      <w:r w:rsidRPr="00253F22">
        <w:rPr>
          <w:rFonts w:ascii="Palatino Linotype" w:eastAsia="Palatino Linotype" w:hAnsi="Palatino Linotype" w:cs="Palatino Linotype"/>
          <w:b/>
        </w:rPr>
        <w:t>cuya periodicidad de elaboración es mensual</w:t>
      </w:r>
      <w:r w:rsidRPr="00253F22">
        <w:rPr>
          <w:rFonts w:ascii="Palatino Linotype" w:eastAsia="Palatino Linotype" w:hAnsi="Palatino Linotype" w:cs="Palatino Linotype"/>
        </w:rPr>
        <w:t>, tal y como a continuación se observa de la Matriz de documentos, firmas y archivos siguiente:</w:t>
      </w:r>
    </w:p>
    <w:p w14:paraId="2AC25B93" w14:textId="77777777" w:rsidR="00FF3119" w:rsidRPr="00253F22" w:rsidRDefault="00FF3119" w:rsidP="00FF3119">
      <w:pPr>
        <w:pBdr>
          <w:top w:val="nil"/>
          <w:left w:val="nil"/>
          <w:bottom w:val="nil"/>
          <w:right w:val="nil"/>
          <w:between w:val="nil"/>
        </w:pBdr>
        <w:spacing w:line="360" w:lineRule="auto"/>
        <w:jc w:val="center"/>
        <w:rPr>
          <w:rFonts w:ascii="Palatino Linotype" w:eastAsia="Palatino Linotype" w:hAnsi="Palatino Linotype" w:cs="Palatino Linotype"/>
        </w:rPr>
      </w:pPr>
      <w:r w:rsidRPr="00253F22">
        <w:rPr>
          <w:rFonts w:ascii="Palatino Linotype" w:hAnsi="Palatino Linotype"/>
          <w:noProof/>
          <w:lang w:val="es-MX"/>
        </w:rPr>
        <mc:AlternateContent>
          <mc:Choice Requires="wps">
            <w:drawing>
              <wp:anchor distT="0" distB="0" distL="114300" distR="114300" simplePos="0" relativeHeight="251659264" behindDoc="0" locked="0" layoutInCell="1" hidden="0" allowOverlap="1" wp14:anchorId="35C35BB1" wp14:editId="22A16A59">
                <wp:simplePos x="0" y="0"/>
                <wp:positionH relativeFrom="margin">
                  <wp:posOffset>1319504</wp:posOffset>
                </wp:positionH>
                <wp:positionV relativeFrom="paragraph">
                  <wp:posOffset>1223509</wp:posOffset>
                </wp:positionV>
                <wp:extent cx="3440893" cy="219456"/>
                <wp:effectExtent l="0" t="0" r="26670" b="28575"/>
                <wp:wrapNone/>
                <wp:docPr id="158" name="Rectángulo 158"/>
                <wp:cNvGraphicFramePr/>
                <a:graphic xmlns:a="http://schemas.openxmlformats.org/drawingml/2006/main">
                  <a:graphicData uri="http://schemas.microsoft.com/office/word/2010/wordprocessingShape">
                    <wps:wsp>
                      <wps:cNvSpPr/>
                      <wps:spPr>
                        <a:xfrm>
                          <a:off x="0" y="0"/>
                          <a:ext cx="3440893" cy="219456"/>
                        </a:xfrm>
                        <a:prstGeom prst="rect">
                          <a:avLst/>
                        </a:prstGeom>
                        <a:noFill/>
                        <a:ln w="19050" cap="flat" cmpd="sng">
                          <a:solidFill>
                            <a:srgbClr val="FF0000"/>
                          </a:solidFill>
                          <a:prstDash val="solid"/>
                          <a:miter lim="800000"/>
                          <a:headEnd type="none" w="sm" len="sm"/>
                          <a:tailEnd type="none" w="sm" len="sm"/>
                        </a:ln>
                      </wps:spPr>
                      <wps:txbx>
                        <w:txbxContent>
                          <w:p w14:paraId="63FFEE4F" w14:textId="77777777" w:rsidR="003259CA" w:rsidRDefault="003259CA" w:rsidP="00FF3119">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1971252" id="Rectángulo 158" o:spid="_x0000_s1026" style="position:absolute;left:0;text-align:left;margin-left:103.9pt;margin-top:96.35pt;width:270.95pt;height:1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" filled="f" strokecolor="red" strokeweight="1.5pt">
                <v:stroke startarrowwidth="narrow" startarrowlength="short" endarrowwidth="narrow" endarrowlength="short"/>
                <v:textbox inset="2.53958mm,2.53958mm,2.53958mm,2.53958mm">
                  <w:txbxContent>
                    <w:p w:rsidR="003259CA" w:rsidRDefault="003259CA" w:rsidP="00FF3119">
                      <w:pPr>
                        <w:jc w:val="center"/>
                        <w:textDirection w:val="btLr"/>
                      </w:pPr>
                    </w:p>
                  </w:txbxContent>
                </v:textbox>
                <w10:wrap anchorx="margin"/>
              </v:rect>
            </w:pict>
          </mc:Fallback>
        </mc:AlternateContent>
      </w:r>
      <w:r w:rsidR="00DA6AF5" w:rsidRPr="00253F22">
        <w:rPr>
          <w:noProof/>
          <w:lang w:val="es-MX"/>
        </w:rPr>
        <w:t xml:space="preserve"> </w:t>
      </w:r>
      <w:r w:rsidR="00CF3582" w:rsidRPr="00CF3582">
        <w:rPr>
          <w:noProof/>
          <w:lang w:val="es-MX"/>
        </w:rPr>
        <w:drawing>
          <wp:inline distT="0" distB="0" distL="0" distR="0" wp14:anchorId="25799207" wp14:editId="43E3EB23">
            <wp:extent cx="4148081" cy="3900736"/>
            <wp:effectExtent l="152400" t="152400" r="367030" b="3670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52116" cy="3904531"/>
                    </a:xfrm>
                    <a:prstGeom prst="rect">
                      <a:avLst/>
                    </a:prstGeom>
                    <a:ln>
                      <a:noFill/>
                    </a:ln>
                    <a:effectLst>
                      <a:outerShdw blurRad="292100" dist="139700" dir="2700000" algn="tl" rotWithShape="0">
                        <a:srgbClr val="333333">
                          <a:alpha val="65000"/>
                        </a:srgbClr>
                      </a:outerShdw>
                    </a:effectLst>
                  </pic:spPr>
                </pic:pic>
              </a:graphicData>
            </a:graphic>
          </wp:inline>
        </w:drawing>
      </w:r>
    </w:p>
    <w:p w14:paraId="7D3FD8B6" w14:textId="77777777" w:rsidR="00FF3119" w:rsidRPr="00253F22" w:rsidRDefault="00FF3119" w:rsidP="00FF3119">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rPr>
      </w:pPr>
      <w:r w:rsidRPr="00253F22">
        <w:rPr>
          <w:rFonts w:ascii="Palatino Linotype" w:eastAsia="Palatino Linotype" w:hAnsi="Palatino Linotype" w:cs="Palatino Linotype"/>
        </w:rPr>
        <w:t xml:space="preserve">Aunado a ello, el Manual de Contabilidad Gubernamental en su numeral II, inciso b), referente al Estado Analítico del Ejercicio del Presupuesto de Egresos del Consejo Nacional de Armonización Contable (CONAC), establece como finalidad realizar periódicamente el seguimiento del ejercicio de los egresos presupuestarios. </w:t>
      </w:r>
      <w:r w:rsidRPr="00253F22">
        <w:rPr>
          <w:rFonts w:ascii="Palatino Linotype" w:eastAsia="Palatino Linotype" w:hAnsi="Palatino Linotype" w:cs="Palatino Linotype"/>
          <w:b/>
        </w:rPr>
        <w:t xml:space="preserve">Dichos Estados </w:t>
      </w:r>
      <w:r w:rsidRPr="00253F22">
        <w:rPr>
          <w:rFonts w:ascii="Palatino Linotype" w:eastAsia="Palatino Linotype" w:hAnsi="Palatino Linotype" w:cs="Palatino Linotype"/>
          <w:b/>
        </w:rPr>
        <w:lastRenderedPageBreak/>
        <w:t xml:space="preserve">deben mostrar, a una fecha determinada del ejercicio del Presupuesto de Egresos, </w:t>
      </w:r>
      <w:r w:rsidRPr="00253F22">
        <w:rPr>
          <w:rFonts w:ascii="Palatino Linotype" w:eastAsia="Palatino Linotype" w:hAnsi="Palatino Linotype" w:cs="Palatino Linotype"/>
          <w:b/>
          <w:u w:val="single"/>
        </w:rPr>
        <w:t>los movimientos y la situación de cada cuenta de las distintas clasificaciones,</w:t>
      </w:r>
      <w:r w:rsidRPr="00253F22">
        <w:rPr>
          <w:rFonts w:ascii="Palatino Linotype" w:eastAsia="Palatino Linotype" w:hAnsi="Palatino Linotype" w:cs="Palatino Linotype"/>
          <w:b/>
        </w:rPr>
        <w:t xml:space="preserve"> de acuerdo con los diferentes grados de desagregación de las mismas que se requiera.</w:t>
      </w:r>
    </w:p>
    <w:p w14:paraId="1569B4CE"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p>
    <w:p w14:paraId="134A11E3" w14:textId="77777777" w:rsidR="00FF3119" w:rsidRPr="00253F22" w:rsidRDefault="00FF3119" w:rsidP="00FF3119">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253F22">
        <w:rPr>
          <w:rFonts w:ascii="Palatino Linotype" w:eastAsia="Palatino Linotype" w:hAnsi="Palatino Linotype" w:cs="Palatino Linotype"/>
        </w:rPr>
        <w:t>Los estados e informes agregados, en general, tienen como propósito aportar información pertinente, clara, confiable y oportuna a los responsables de la gestión política y económica del Estado para ser utilizada en la toma de decisiones gubernamentales en general y sobre finanzas públicas en particular, así como para ser utilizada por los analistas y la sociedad en general.</w:t>
      </w:r>
    </w:p>
    <w:p w14:paraId="1B9CFD25"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p>
    <w:p w14:paraId="70A83973" w14:textId="77777777" w:rsidR="00FF3119" w:rsidRPr="00253F22" w:rsidRDefault="00FF3119" w:rsidP="00FF3119">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253F22">
        <w:rPr>
          <w:rFonts w:ascii="Palatino Linotype" w:eastAsia="Palatino Linotype" w:hAnsi="Palatino Linotype" w:cs="Palatino Linotype"/>
        </w:rPr>
        <w:t>La clasificación de la información presupuestaria a generar será al menos la siguiente:</w:t>
      </w:r>
    </w:p>
    <w:p w14:paraId="00B0D5C9" w14:textId="77777777" w:rsidR="00FF3119" w:rsidRPr="00253F22" w:rsidRDefault="00FF3119" w:rsidP="00FF3119">
      <w:pPr>
        <w:pBdr>
          <w:top w:val="nil"/>
          <w:left w:val="nil"/>
          <w:bottom w:val="nil"/>
          <w:right w:val="nil"/>
          <w:between w:val="nil"/>
        </w:pBdr>
        <w:spacing w:line="360" w:lineRule="auto"/>
        <w:jc w:val="both"/>
        <w:rPr>
          <w:rFonts w:ascii="Palatino Linotype" w:eastAsia="Palatino Linotype" w:hAnsi="Palatino Linotype" w:cs="Palatino Linotype"/>
        </w:rPr>
      </w:pPr>
    </w:p>
    <w:p w14:paraId="1B062DCE" w14:textId="77777777" w:rsidR="00FF3119" w:rsidRPr="00253F22" w:rsidRDefault="00FF3119" w:rsidP="00FF3119">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253F22">
        <w:rPr>
          <w:rFonts w:ascii="Palatino Linotype" w:eastAsia="Palatino Linotype" w:hAnsi="Palatino Linotype" w:cs="Palatino Linotype"/>
          <w:b/>
          <w:color w:val="000000"/>
        </w:rPr>
        <w:t>Clasificación por Objeto del Gasto (Capítulo y Concepto).</w:t>
      </w:r>
    </w:p>
    <w:p w14:paraId="5717EAA3" w14:textId="77777777" w:rsidR="00FF3119" w:rsidRPr="00253F22" w:rsidRDefault="00FF3119" w:rsidP="00FF3119">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53F22">
        <w:rPr>
          <w:rFonts w:ascii="Palatino Linotype" w:eastAsia="Palatino Linotype" w:hAnsi="Palatino Linotype" w:cs="Palatino Linotype"/>
          <w:color w:val="000000"/>
        </w:rPr>
        <w:t>Clasificación Económica (por Tipo de Gasto).</w:t>
      </w:r>
    </w:p>
    <w:p w14:paraId="4B915A66" w14:textId="77777777" w:rsidR="00FF3119" w:rsidRPr="00253F22" w:rsidRDefault="00FF3119" w:rsidP="00FF3119">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253F22">
        <w:rPr>
          <w:rFonts w:ascii="Palatino Linotype" w:eastAsia="Palatino Linotype" w:hAnsi="Palatino Linotype" w:cs="Palatino Linotype"/>
          <w:b/>
          <w:color w:val="000000"/>
        </w:rPr>
        <w:t>Clasificación Administrativa.</w:t>
      </w:r>
    </w:p>
    <w:p w14:paraId="2245E1DC" w14:textId="77777777" w:rsidR="00FF3119" w:rsidRPr="00253F22" w:rsidRDefault="00FF3119" w:rsidP="00FF3119">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53F22">
        <w:rPr>
          <w:rFonts w:ascii="Palatino Linotype" w:eastAsia="Palatino Linotype" w:hAnsi="Palatino Linotype" w:cs="Palatino Linotype"/>
          <w:color w:val="000000"/>
        </w:rPr>
        <w:t>Clasificación Funcional (Finalidad y Función)</w:t>
      </w:r>
    </w:p>
    <w:p w14:paraId="6DF6707D" w14:textId="77777777" w:rsidR="00FF3119" w:rsidRPr="00253F22" w:rsidRDefault="00FF3119" w:rsidP="00FF3119">
      <w:pPr>
        <w:pBdr>
          <w:top w:val="nil"/>
          <w:left w:val="nil"/>
          <w:bottom w:val="nil"/>
          <w:right w:val="nil"/>
          <w:between w:val="nil"/>
        </w:pBdr>
        <w:spacing w:line="360" w:lineRule="auto"/>
        <w:jc w:val="center"/>
        <w:rPr>
          <w:rFonts w:ascii="Palatino Linotype" w:eastAsia="Palatino Linotype" w:hAnsi="Palatino Linotype" w:cs="Palatino Linotype"/>
        </w:rPr>
      </w:pPr>
      <w:r w:rsidRPr="00253F22">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60288" behindDoc="0" locked="0" layoutInCell="1" allowOverlap="1" wp14:anchorId="19C07A54" wp14:editId="0821AF7A">
                <wp:simplePos x="0" y="0"/>
                <wp:positionH relativeFrom="margin">
                  <wp:posOffset>1560652</wp:posOffset>
                </wp:positionH>
                <wp:positionV relativeFrom="paragraph">
                  <wp:posOffset>196037</wp:posOffset>
                </wp:positionV>
                <wp:extent cx="2466975" cy="403352"/>
                <wp:effectExtent l="0" t="0" r="28575" b="15875"/>
                <wp:wrapNone/>
                <wp:docPr id="1922341484" name="Rectángulo 1"/>
                <wp:cNvGraphicFramePr/>
                <a:graphic xmlns:a="http://schemas.openxmlformats.org/drawingml/2006/main">
                  <a:graphicData uri="http://schemas.microsoft.com/office/word/2010/wordprocessingShape">
                    <wps:wsp>
                      <wps:cNvSpPr/>
                      <wps:spPr>
                        <a:xfrm>
                          <a:off x="0" y="0"/>
                          <a:ext cx="2466975" cy="403352"/>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BED8B2" id="Rectángulo 1" o:spid="_x0000_s1026" style="position:absolute;margin-left:122.9pt;margin-top:15.45pt;width:194.25pt;height:31.7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" filled="f" strokecolor="red" strokeweight="1.5pt">
                <w10:wrap anchorx="margin"/>
              </v:rect>
            </w:pict>
          </mc:Fallback>
        </mc:AlternateContent>
      </w:r>
      <w:r w:rsidRPr="00253F22">
        <w:rPr>
          <w:rFonts w:ascii="Palatino Linotype" w:eastAsia="Palatino Linotype" w:hAnsi="Palatino Linotype" w:cs="Palatino Linotype"/>
          <w:noProof/>
          <w:lang w:val="es-MX"/>
        </w:rPr>
        <w:drawing>
          <wp:inline distT="0" distB="0" distL="0" distR="0" wp14:anchorId="0F558F53" wp14:editId="606818E0">
            <wp:extent cx="4235501" cy="5720486"/>
            <wp:effectExtent l="152400" t="152400" r="355600" b="356870"/>
            <wp:docPr id="16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250376" cy="5740576"/>
                    </a:xfrm>
                    <a:prstGeom prst="rect">
                      <a:avLst/>
                    </a:prstGeom>
                    <a:ln>
                      <a:noFill/>
                    </a:ln>
                    <a:effectLst>
                      <a:outerShdw blurRad="292100" dist="139700" dir="2700000" algn="tl" rotWithShape="0">
                        <a:srgbClr val="333333">
                          <a:alpha val="65000"/>
                        </a:srgbClr>
                      </a:outerShdw>
                    </a:effectLst>
                  </pic:spPr>
                </pic:pic>
              </a:graphicData>
            </a:graphic>
          </wp:inline>
        </w:drawing>
      </w:r>
    </w:p>
    <w:p w14:paraId="224654C3" w14:textId="77777777" w:rsidR="00FF3119" w:rsidRPr="00253F22" w:rsidRDefault="00FF3119" w:rsidP="00FF3119">
      <w:pPr>
        <w:pBdr>
          <w:top w:val="nil"/>
          <w:left w:val="nil"/>
          <w:bottom w:val="nil"/>
          <w:right w:val="nil"/>
          <w:between w:val="nil"/>
        </w:pBdr>
        <w:spacing w:line="360" w:lineRule="auto"/>
        <w:jc w:val="center"/>
        <w:rPr>
          <w:rFonts w:ascii="Palatino Linotype" w:eastAsia="Palatino Linotype" w:hAnsi="Palatino Linotype" w:cs="Palatino Linotype"/>
        </w:rPr>
      </w:pPr>
      <w:r w:rsidRPr="00253F22">
        <w:rPr>
          <w:rFonts w:ascii="Palatino Linotype" w:eastAsia="Palatino Linotype" w:hAnsi="Palatino Linotype" w:cs="Palatino Linotype"/>
          <w:noProof/>
          <w:lang w:val="es-MX"/>
        </w:rPr>
        <w:lastRenderedPageBreak/>
        <w:drawing>
          <wp:inline distT="0" distB="0" distL="0" distR="0" wp14:anchorId="148F2C49" wp14:editId="53A29701">
            <wp:extent cx="3321100" cy="3957523"/>
            <wp:effectExtent l="152400" t="152400" r="355600" b="367030"/>
            <wp:docPr id="1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327669" cy="3965350"/>
                    </a:xfrm>
                    <a:prstGeom prst="rect">
                      <a:avLst/>
                    </a:prstGeom>
                    <a:ln>
                      <a:noFill/>
                    </a:ln>
                    <a:effectLst>
                      <a:outerShdw blurRad="292100" dist="139700" dir="2700000" algn="tl" rotWithShape="0">
                        <a:srgbClr val="333333">
                          <a:alpha val="65000"/>
                        </a:srgbClr>
                      </a:outerShdw>
                    </a:effectLst>
                  </pic:spPr>
                </pic:pic>
              </a:graphicData>
            </a:graphic>
          </wp:inline>
        </w:drawing>
      </w:r>
    </w:p>
    <w:p w14:paraId="7F2E7F4C" w14:textId="77777777" w:rsidR="00253F22" w:rsidRPr="00253F22" w:rsidRDefault="00FF3119" w:rsidP="00FF3119">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253F22">
        <w:rPr>
          <w:rFonts w:ascii="Palatino Linotype" w:eastAsia="Palatino Linotype" w:hAnsi="Palatino Linotype" w:cs="Palatino Linotype"/>
        </w:rPr>
        <w:t>En ese sentido se debe de esta</w:t>
      </w:r>
      <w:r w:rsidR="00DA6AF5" w:rsidRPr="00253F22">
        <w:rPr>
          <w:rFonts w:ascii="Palatino Linotype" w:eastAsia="Palatino Linotype" w:hAnsi="Palatino Linotype" w:cs="Palatino Linotype"/>
        </w:rPr>
        <w:t xml:space="preserve">blecer que si bien es cierto la Subdirección de Administración y Finanzas, </w:t>
      </w:r>
      <w:r w:rsidRPr="00253F22">
        <w:rPr>
          <w:rFonts w:ascii="Palatino Linotype" w:eastAsia="Palatino Linotype" w:hAnsi="Palatino Linotype" w:cs="Palatino Linotype"/>
        </w:rPr>
        <w:t xml:space="preserve">remite el Estado Analítico </w:t>
      </w:r>
      <w:r w:rsidR="00DA6AF5" w:rsidRPr="00253F22">
        <w:rPr>
          <w:rFonts w:ascii="Palatino Linotype" w:eastAsia="Palatino Linotype" w:hAnsi="Palatino Linotype" w:cs="Palatino Linotype"/>
        </w:rPr>
        <w:t xml:space="preserve">de </w:t>
      </w:r>
      <w:r w:rsidRPr="00253F22">
        <w:rPr>
          <w:rFonts w:ascii="Palatino Linotype" w:eastAsia="Palatino Linotype" w:hAnsi="Palatino Linotype" w:cs="Palatino Linotype"/>
        </w:rPr>
        <w:t xml:space="preserve">la </w:t>
      </w:r>
      <w:r w:rsidRPr="00253F22">
        <w:rPr>
          <w:rFonts w:ascii="Palatino Linotype" w:eastAsia="Palatino Linotype" w:hAnsi="Palatino Linotype" w:cs="Palatino Linotype"/>
          <w:b/>
        </w:rPr>
        <w:t>Clasificación por Objeto del Gasto (Capítulo y Concepto)</w:t>
      </w:r>
      <w:r w:rsidR="00253F22" w:rsidRPr="00253F22">
        <w:rPr>
          <w:rFonts w:ascii="Palatino Linotype" w:eastAsia="Palatino Linotype" w:hAnsi="Palatino Linotype" w:cs="Palatino Linotype"/>
        </w:rPr>
        <w:t xml:space="preserve"> del ejercicio fiscal dos mil veintitrés, también lo es que remite el documento preliminar, es decir el que no sigo entregado a la cuenta pública. </w:t>
      </w:r>
    </w:p>
    <w:p w14:paraId="35D68B3C" w14:textId="77777777" w:rsidR="00253F22" w:rsidRPr="00253F22" w:rsidRDefault="00253F22" w:rsidP="00253F22">
      <w:pPr>
        <w:pBdr>
          <w:top w:val="nil"/>
          <w:left w:val="nil"/>
          <w:bottom w:val="nil"/>
          <w:right w:val="nil"/>
          <w:between w:val="nil"/>
        </w:pBdr>
        <w:spacing w:line="360" w:lineRule="auto"/>
        <w:ind w:right="-787"/>
        <w:jc w:val="both"/>
        <w:rPr>
          <w:rFonts w:ascii="Palatino Linotype" w:eastAsia="Palatino Linotype" w:hAnsi="Palatino Linotype" w:cs="Palatino Linotype"/>
        </w:rPr>
      </w:pPr>
    </w:p>
    <w:p w14:paraId="02A843C2" w14:textId="77777777" w:rsidR="00FF3119" w:rsidRPr="00253F22" w:rsidRDefault="00253F22" w:rsidP="00FF3119">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253F22">
        <w:rPr>
          <w:rFonts w:ascii="Palatino Linotype" w:eastAsia="Palatino Linotype" w:hAnsi="Palatino Linotype" w:cs="Palatino Linotype"/>
        </w:rPr>
        <w:t xml:space="preserve">En esa  línea, tal y como se precisó en párrafos anteriores dicho documento se integra </w:t>
      </w:r>
      <w:r w:rsidR="00FF3119" w:rsidRPr="00253F22">
        <w:rPr>
          <w:rFonts w:ascii="Palatino Linotype" w:eastAsia="Palatino Linotype" w:hAnsi="Palatino Linotype" w:cs="Palatino Linotype"/>
          <w:u w:val="single"/>
        </w:rPr>
        <w:t xml:space="preserve">de manera mensual del cual se identifica en forma genérica, homogénea y coherente el registro del gasto por los conceptos de servicios personales, materiales y suministros, </w:t>
      </w:r>
      <w:r w:rsidR="00FF3119" w:rsidRPr="00253F22">
        <w:rPr>
          <w:rFonts w:ascii="Palatino Linotype" w:eastAsia="Palatino Linotype" w:hAnsi="Palatino Linotype" w:cs="Palatino Linotype"/>
          <w:u w:val="single"/>
        </w:rPr>
        <w:lastRenderedPageBreak/>
        <w:t xml:space="preserve">servicios generales, transferencias, asignaciones subsidios y otras ayudas, bienes muebles, inmuebles e intangibles, inversión pública, inversiones financieras y otras provisiones, participaciones y aportaciones federales, y deuda </w:t>
      </w:r>
      <w:r w:rsidR="00FF3119" w:rsidRPr="00253F22">
        <w:rPr>
          <w:rFonts w:ascii="Palatino Linotype" w:eastAsia="Palatino Linotype" w:hAnsi="Palatino Linotype" w:cs="Palatino Linotype"/>
        </w:rPr>
        <w:t xml:space="preserve">pública, que requieren </w:t>
      </w:r>
      <w:r w:rsidR="00FF3119" w:rsidRPr="00253F22">
        <w:rPr>
          <w:rFonts w:ascii="Palatino Linotype" w:eastAsia="Palatino Linotype" w:hAnsi="Palatino Linotype" w:cs="Palatino Linotype"/>
          <w:u w:val="single"/>
        </w:rPr>
        <w:t>las dependencias, entidades públicas</w:t>
      </w:r>
      <w:r w:rsidR="00FF3119" w:rsidRPr="00253F22">
        <w:rPr>
          <w:rFonts w:ascii="Palatino Linotype" w:eastAsia="Palatino Linotype" w:hAnsi="Palatino Linotype" w:cs="Palatino Linotype"/>
        </w:rPr>
        <w:t>, así como</w:t>
      </w:r>
      <w:r w:rsidR="00FF3119" w:rsidRPr="00253F22">
        <w:rPr>
          <w:rFonts w:ascii="Palatino Linotype" w:eastAsia="Palatino Linotype" w:hAnsi="Palatino Linotype" w:cs="Palatino Linotype"/>
          <w:u w:val="single"/>
        </w:rPr>
        <w:t xml:space="preserve"> </w:t>
      </w:r>
      <w:r w:rsidRPr="00253F22">
        <w:rPr>
          <w:rFonts w:ascii="Palatino Linotype" w:eastAsia="Palatino Linotype" w:hAnsi="Palatino Linotype" w:cs="Palatino Linotype"/>
        </w:rPr>
        <w:t>los m</w:t>
      </w:r>
      <w:r w:rsidR="00FF3119" w:rsidRPr="00253F22">
        <w:rPr>
          <w:rFonts w:ascii="Palatino Linotype" w:eastAsia="Palatino Linotype" w:hAnsi="Palatino Linotype" w:cs="Palatino Linotype"/>
        </w:rPr>
        <w:t xml:space="preserve">unicipios, para cumplir con los objetivos y programas señalados en el Plan de Desarrollo del Estado de México vigente; por lo que, lo procedente es ordenar la entrega del documento </w:t>
      </w:r>
      <w:r w:rsidRPr="00253F22">
        <w:rPr>
          <w:rFonts w:ascii="Palatino Linotype" w:eastAsia="Palatino Linotype" w:hAnsi="Palatino Linotype" w:cs="Palatino Linotype"/>
        </w:rPr>
        <w:t xml:space="preserve">final </w:t>
      </w:r>
      <w:r w:rsidR="00FF3119" w:rsidRPr="00253F22">
        <w:rPr>
          <w:rFonts w:ascii="Palatino Linotype" w:eastAsia="Palatino Linotype" w:hAnsi="Palatino Linotype" w:cs="Palatino Linotype"/>
        </w:rPr>
        <w:t xml:space="preserve">donde conste </w:t>
      </w:r>
      <w:bookmarkStart w:id="12" w:name="_Hlk159630100"/>
      <w:r w:rsidRPr="00253F22">
        <w:rPr>
          <w:rFonts w:ascii="Palatino Linotype" w:eastAsia="Palatino Linotype" w:hAnsi="Palatino Linotype" w:cs="Palatino Linotype"/>
        </w:rPr>
        <w:t xml:space="preserve">el gasto </w:t>
      </w:r>
      <w:proofErr w:type="spellStart"/>
      <w:r w:rsidRPr="00253F22">
        <w:rPr>
          <w:rFonts w:ascii="Palatino Linotype" w:eastAsia="Palatino Linotype" w:hAnsi="Palatino Linotype" w:cs="Palatino Linotype"/>
        </w:rPr>
        <w:t>subejercido</w:t>
      </w:r>
      <w:proofErr w:type="spellEnd"/>
      <w:r w:rsidRPr="00253F22">
        <w:rPr>
          <w:rFonts w:ascii="Palatino Linotype" w:eastAsia="Palatino Linotype" w:hAnsi="Palatino Linotype" w:cs="Palatino Linotype"/>
        </w:rPr>
        <w:t xml:space="preserve"> por el </w:t>
      </w:r>
      <w:r w:rsidRPr="00253F22">
        <w:rPr>
          <w:rFonts w:ascii="Palatino Linotype" w:eastAsia="Palatino Linotype" w:hAnsi="Palatino Linotype" w:cs="Palatino Linotype"/>
          <w:b/>
        </w:rPr>
        <w:t xml:space="preserve">SUJETO OBLIGADO </w:t>
      </w:r>
      <w:r w:rsidRPr="00253F22">
        <w:rPr>
          <w:rFonts w:ascii="Palatino Linotype" w:eastAsia="Palatino Linotype" w:hAnsi="Palatino Linotype" w:cs="Palatino Linotype"/>
        </w:rPr>
        <w:t>durante el ejercicio fiscal dos mil veintitrés</w:t>
      </w:r>
      <w:r w:rsidR="00FF3119" w:rsidRPr="00253F22">
        <w:rPr>
          <w:rFonts w:ascii="Palatino Linotype" w:eastAsia="Palatino Linotype" w:hAnsi="Palatino Linotype" w:cs="Palatino Linotype"/>
        </w:rPr>
        <w:t xml:space="preserve">. </w:t>
      </w:r>
    </w:p>
    <w:bookmarkEnd w:id="12"/>
    <w:p w14:paraId="0C3C1D7B" w14:textId="77777777" w:rsidR="00FF3119" w:rsidRPr="008E4BF9" w:rsidRDefault="00FF3119" w:rsidP="00FF3119">
      <w:pPr>
        <w:rPr>
          <w:rFonts w:ascii="Palatino Linotype" w:eastAsia="Palatino Linotype" w:hAnsi="Palatino Linotype" w:cs="Palatino Linotype"/>
          <w:color w:val="000000"/>
        </w:rPr>
      </w:pPr>
    </w:p>
    <w:p w14:paraId="7943AD68" w14:textId="77777777" w:rsidR="00FF3119" w:rsidRDefault="00FF3119" w:rsidP="00FF3119">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Por lo anteriormente expuesto, este Órgano Garante considera fundadas las razones o motivos de inconformidad que plantea el</w:t>
      </w:r>
      <w:r>
        <w:rPr>
          <w:rFonts w:ascii="Palatino Linotype" w:eastAsia="Palatino Linotype" w:hAnsi="Palatino Linotype" w:cs="Palatino Linotype"/>
          <w:b/>
          <w:color w:val="000000"/>
        </w:rPr>
        <w:t xml:space="preserve"> RECURRENTE</w:t>
      </w:r>
      <w:r>
        <w:rPr>
          <w:rFonts w:ascii="Palatino Linotype" w:eastAsia="Palatino Linotype" w:hAnsi="Palatino Linotype" w:cs="Palatino Linotype"/>
          <w:color w:val="000000"/>
        </w:rPr>
        <w:t xml:space="preserve">, </w:t>
      </w:r>
      <w:r w:rsidRPr="00A4532D">
        <w:rPr>
          <w:rFonts w:ascii="Palatino Linotype" w:eastAsia="Palatino Linotype" w:hAnsi="Palatino Linotype" w:cs="Palatino Linotype"/>
          <w:color w:val="000000"/>
        </w:rPr>
        <w:t xml:space="preserve">determinando </w:t>
      </w:r>
      <w:r w:rsidR="00250259" w:rsidRPr="00A4532D">
        <w:rPr>
          <w:rFonts w:ascii="Palatino Linotype" w:eastAsia="Palatino Linotype" w:hAnsi="Palatino Linotype" w:cs="Palatino Linotype"/>
          <w:b/>
          <w:color w:val="000000"/>
        </w:rPr>
        <w:t xml:space="preserve">REVOCAR </w:t>
      </w:r>
      <w:r w:rsidRPr="00A4532D">
        <w:rPr>
          <w:rFonts w:ascii="Palatino Linotype" w:eastAsia="Palatino Linotype" w:hAnsi="Palatino Linotype" w:cs="Palatino Linotype"/>
          <w:color w:val="000000"/>
        </w:rPr>
        <w:t xml:space="preserve">la respuesta del </w:t>
      </w:r>
      <w:r w:rsidRPr="00A4532D">
        <w:rPr>
          <w:rFonts w:ascii="Palatino Linotype" w:eastAsia="Palatino Linotype" w:hAnsi="Palatino Linotype" w:cs="Palatino Linotype"/>
          <w:b/>
          <w:color w:val="000000"/>
        </w:rPr>
        <w:t>SUJETO OBLIGADO</w:t>
      </w:r>
      <w:r w:rsidRPr="00A4532D">
        <w:rPr>
          <w:rFonts w:ascii="Palatino Linotype" w:eastAsia="Palatino Linotype" w:hAnsi="Palatino Linotype" w:cs="Palatino Linotype"/>
          <w:color w:val="000000"/>
        </w:rPr>
        <w:t>, por lo que con fundamento en lo prescrito en los</w:t>
      </w:r>
      <w:r>
        <w:rPr>
          <w:rFonts w:ascii="Palatino Linotype" w:eastAsia="Palatino Linotype" w:hAnsi="Palatino Linotype" w:cs="Palatino Linotype"/>
          <w:color w:val="000000"/>
        </w:rPr>
        <w:t xml:space="preserve">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Pr>
          <w:rFonts w:ascii="Palatino Linotype" w:eastAsia="Palatino Linotype" w:hAnsi="Palatino Linotype" w:cs="Palatino Linotype"/>
          <w:b/>
          <w:color w:val="000000"/>
        </w:rPr>
        <w:t>ÓRGANO GARANTE</w:t>
      </w:r>
      <w:r>
        <w:rPr>
          <w:rFonts w:ascii="Palatino Linotype" w:eastAsia="Palatino Linotype" w:hAnsi="Palatino Linotype" w:cs="Palatino Linotype"/>
          <w:color w:val="000000"/>
        </w:rPr>
        <w:t xml:space="preserve"> emite los siguientes.</w:t>
      </w:r>
    </w:p>
    <w:p w14:paraId="346068AE" w14:textId="77777777" w:rsidR="00FF3119" w:rsidRDefault="00FF3119" w:rsidP="00FF3119">
      <w:pPr>
        <w:spacing w:line="360" w:lineRule="auto"/>
        <w:ind w:right="-787"/>
        <w:jc w:val="both"/>
        <w:rPr>
          <w:rFonts w:ascii="Palatino Linotype" w:eastAsia="Palatino Linotype" w:hAnsi="Palatino Linotype" w:cs="Palatino Linotype"/>
          <w:color w:val="000000"/>
        </w:rPr>
      </w:pPr>
    </w:p>
    <w:p w14:paraId="719CBA24" w14:textId="77777777" w:rsidR="00FF3119" w:rsidRDefault="00FF3119" w:rsidP="00FF3119">
      <w:pPr>
        <w:keepNext/>
        <w:keepLines/>
        <w:spacing w:line="360" w:lineRule="auto"/>
        <w:ind w:right="-78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O L U T I V O S</w:t>
      </w:r>
    </w:p>
    <w:p w14:paraId="249DFC9A" w14:textId="77777777" w:rsidR="00FF3119" w:rsidRDefault="00FF3119" w:rsidP="00FF3119">
      <w:pPr>
        <w:spacing w:line="360" w:lineRule="auto"/>
        <w:ind w:right="-787"/>
        <w:jc w:val="center"/>
        <w:rPr>
          <w:rFonts w:ascii="Palatino Linotype" w:eastAsia="Palatino Linotype" w:hAnsi="Palatino Linotype" w:cs="Palatino Linotype"/>
        </w:rPr>
      </w:pPr>
    </w:p>
    <w:p w14:paraId="5BF06DCB" w14:textId="77777777" w:rsidR="00FF3119" w:rsidRDefault="00FF3119" w:rsidP="00FF3119">
      <w:pPr>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fundadas las razones o motivos de inconformidad hechos valer en el recurso de revisión </w:t>
      </w:r>
      <w:r>
        <w:rPr>
          <w:rFonts w:ascii="Palatino Linotype" w:eastAsia="Palatino Linotype" w:hAnsi="Palatino Linotype" w:cs="Palatino Linotype"/>
          <w:b/>
        </w:rPr>
        <w:t xml:space="preserve">06078/INFOEM/IP/RR/2024 </w:t>
      </w:r>
      <w:r>
        <w:rPr>
          <w:rFonts w:ascii="Palatino Linotype" w:eastAsia="Palatino Linotype" w:hAnsi="Palatino Linotype" w:cs="Palatino Linotype"/>
        </w:rPr>
        <w:t xml:space="preserve">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la presente resolución. </w:t>
      </w:r>
    </w:p>
    <w:p w14:paraId="31B0FA62" w14:textId="77777777" w:rsidR="00FF3119" w:rsidRDefault="00FF3119" w:rsidP="00FF3119">
      <w:pPr>
        <w:spacing w:line="360" w:lineRule="auto"/>
        <w:ind w:right="-787"/>
        <w:jc w:val="both"/>
        <w:rPr>
          <w:rFonts w:ascii="Palatino Linotype" w:eastAsia="Palatino Linotype" w:hAnsi="Palatino Linotype" w:cs="Palatino Linotype"/>
        </w:rPr>
      </w:pPr>
    </w:p>
    <w:p w14:paraId="6D82622F" w14:textId="77777777" w:rsidR="00FF3119" w:rsidRPr="00E46E31" w:rsidRDefault="00FF3119" w:rsidP="00FF3119">
      <w:pPr>
        <w:spacing w:line="360" w:lineRule="auto"/>
        <w:ind w:right="-787"/>
        <w:jc w:val="both"/>
        <w:rPr>
          <w:rFonts w:ascii="Palatino Linotype" w:eastAsia="Palatino Linotype" w:hAnsi="Palatino Linotype" w:cs="Palatino Linotype"/>
        </w:rPr>
      </w:pPr>
      <w:bookmarkStart w:id="13" w:name="_heading=h.26in1rg" w:colFirst="0" w:colLast="0"/>
      <w:bookmarkEnd w:id="13"/>
      <w:r w:rsidRPr="00A4532D">
        <w:rPr>
          <w:rFonts w:ascii="Palatino Linotype" w:eastAsia="Palatino Linotype" w:hAnsi="Palatino Linotype" w:cs="Palatino Linotype"/>
          <w:b/>
        </w:rPr>
        <w:lastRenderedPageBreak/>
        <w:t xml:space="preserve">SEGUNDO. </w:t>
      </w:r>
      <w:r w:rsidRPr="00A4532D">
        <w:rPr>
          <w:rFonts w:ascii="Palatino Linotype" w:eastAsia="Palatino Linotype" w:hAnsi="Palatino Linotype" w:cs="Palatino Linotype"/>
          <w:color w:val="000000"/>
        </w:rPr>
        <w:t xml:space="preserve">Se </w:t>
      </w:r>
      <w:r w:rsidR="00250259" w:rsidRPr="00A4532D">
        <w:rPr>
          <w:rFonts w:ascii="Palatino Linotype" w:eastAsia="Palatino Linotype" w:hAnsi="Palatino Linotype" w:cs="Palatino Linotype"/>
          <w:b/>
          <w:color w:val="000000"/>
        </w:rPr>
        <w:t xml:space="preserve">REVOCA </w:t>
      </w:r>
      <w:r w:rsidR="00CF3582" w:rsidRPr="00A4532D">
        <w:rPr>
          <w:rFonts w:ascii="Palatino Linotype" w:eastAsia="Palatino Linotype" w:hAnsi="Palatino Linotype" w:cs="Palatino Linotype"/>
          <w:color w:val="000000"/>
        </w:rPr>
        <w:t>la</w:t>
      </w:r>
      <w:r w:rsidR="00CF3582">
        <w:rPr>
          <w:rFonts w:ascii="Palatino Linotype" w:eastAsia="Palatino Linotype" w:hAnsi="Palatino Linotype" w:cs="Palatino Linotype"/>
          <w:color w:val="000000"/>
        </w:rPr>
        <w:t xml:space="preserve"> respuesta </w:t>
      </w:r>
      <w:r w:rsidR="00CF3582">
        <w:rPr>
          <w:rFonts w:ascii="Palatino Linotype" w:eastAsia="Palatino Linotype" w:hAnsi="Palatino Linotype" w:cs="Palatino Linotype"/>
        </w:rPr>
        <w:t>emitida</w:t>
      </w:r>
      <w:r>
        <w:rPr>
          <w:rFonts w:ascii="Palatino Linotype" w:eastAsia="Palatino Linotype" w:hAnsi="Palatino Linotype" w:cs="Palatino Linotype"/>
          <w:color w:val="000000"/>
        </w:rPr>
        <w:t xml:space="preserve"> por el </w:t>
      </w:r>
      <w:r w:rsidR="00CF3582">
        <w:rPr>
          <w:rFonts w:ascii="Palatino Linotype" w:eastAsia="Palatino Linotype" w:hAnsi="Palatino Linotype" w:cs="Palatino Linotype"/>
          <w:color w:val="000000"/>
        </w:rPr>
        <w:t>Tecnológico</w:t>
      </w:r>
      <w:r>
        <w:rPr>
          <w:rFonts w:ascii="Palatino Linotype" w:eastAsia="Palatino Linotype" w:hAnsi="Palatino Linotype" w:cs="Palatino Linotype"/>
          <w:color w:val="000000"/>
        </w:rPr>
        <w:t xml:space="preserve"> de Estudios Superiores de Jilotepec y se </w:t>
      </w:r>
      <w:r>
        <w:rPr>
          <w:rFonts w:ascii="Palatino Linotype" w:eastAsia="Palatino Linotype" w:hAnsi="Palatino Linotype" w:cs="Palatino Linotype"/>
          <w:b/>
          <w:color w:val="000000"/>
        </w:rPr>
        <w:t>ORDENA</w:t>
      </w:r>
      <w:r>
        <w:rPr>
          <w:rFonts w:ascii="Palatino Linotype" w:eastAsia="Palatino Linotype" w:hAnsi="Palatino Linotype" w:cs="Palatino Linotype"/>
          <w:color w:val="000000"/>
        </w:rPr>
        <w:t xml:space="preserve"> entregar vía Sistema de Acceso a la Información Mexiquense </w:t>
      </w:r>
      <w:r w:rsidRPr="00E46E31">
        <w:rPr>
          <w:rFonts w:ascii="Palatino Linotype" w:eastAsia="Palatino Linotype" w:hAnsi="Palatino Linotype" w:cs="Palatino Linotype"/>
          <w:b/>
          <w:color w:val="000000"/>
        </w:rPr>
        <w:t>(SAIMEX)</w:t>
      </w:r>
      <w:r w:rsidRPr="00E46E31">
        <w:rPr>
          <w:rFonts w:ascii="Palatino Linotype" w:eastAsia="Palatino Linotype" w:hAnsi="Palatino Linotype" w:cs="Palatino Linotype"/>
          <w:color w:val="000000"/>
        </w:rPr>
        <w:t xml:space="preserve">, </w:t>
      </w:r>
      <w:r w:rsidR="00CF3582" w:rsidRPr="00E46E31">
        <w:rPr>
          <w:rFonts w:ascii="Palatino Linotype" w:eastAsia="Palatino Linotype" w:hAnsi="Palatino Linotype" w:cs="Palatino Linotype"/>
        </w:rPr>
        <w:t xml:space="preserve">en versión pública. </w:t>
      </w:r>
    </w:p>
    <w:p w14:paraId="3DFD8415" w14:textId="77777777" w:rsidR="00FF3119" w:rsidRPr="00E46E31" w:rsidRDefault="00CF3582" w:rsidP="00CF3582">
      <w:pPr>
        <w:numPr>
          <w:ilvl w:val="0"/>
          <w:numId w:val="3"/>
        </w:numPr>
        <w:pBdr>
          <w:top w:val="nil"/>
          <w:left w:val="nil"/>
          <w:bottom w:val="nil"/>
          <w:right w:val="nil"/>
          <w:between w:val="nil"/>
        </w:pBdr>
        <w:spacing w:before="240" w:line="360" w:lineRule="auto"/>
        <w:ind w:left="567" w:right="-787"/>
        <w:jc w:val="both"/>
        <w:rPr>
          <w:rFonts w:ascii="Palatino Linotype" w:eastAsia="Palatino Linotype" w:hAnsi="Palatino Linotype" w:cs="Palatino Linotype"/>
          <w:color w:val="000000"/>
        </w:rPr>
      </w:pPr>
      <w:r w:rsidRPr="00E46E31">
        <w:rPr>
          <w:rFonts w:ascii="Palatino Linotype" w:eastAsia="Palatino Linotype" w:hAnsi="Palatino Linotype" w:cs="Palatino Linotype"/>
          <w:color w:val="000000"/>
        </w:rPr>
        <w:t>Estado Analítico</w:t>
      </w:r>
      <w:r w:rsidR="00E46E31" w:rsidRPr="00E46E31">
        <w:rPr>
          <w:rFonts w:ascii="Palatino Linotype" w:eastAsia="Palatino Linotype" w:hAnsi="Palatino Linotype" w:cs="Palatino Linotype"/>
          <w:color w:val="000000"/>
        </w:rPr>
        <w:t xml:space="preserve"> definitivo</w:t>
      </w:r>
      <w:r w:rsidRPr="00E46E31">
        <w:rPr>
          <w:rFonts w:ascii="Palatino Linotype" w:eastAsia="Palatino Linotype" w:hAnsi="Palatino Linotype" w:cs="Palatino Linotype"/>
          <w:color w:val="000000"/>
        </w:rPr>
        <w:t xml:space="preserve"> de la </w:t>
      </w:r>
      <w:r w:rsidRPr="00E46E31">
        <w:rPr>
          <w:rFonts w:ascii="Palatino Linotype" w:eastAsia="Palatino Linotype" w:hAnsi="Palatino Linotype" w:cs="Palatino Linotype"/>
          <w:b/>
          <w:color w:val="000000"/>
        </w:rPr>
        <w:t>Clasificación por Objeto</w:t>
      </w:r>
      <w:r w:rsidR="00E46E31" w:rsidRPr="00E46E31">
        <w:rPr>
          <w:rFonts w:ascii="Palatino Linotype" w:eastAsia="Palatino Linotype" w:hAnsi="Palatino Linotype" w:cs="Palatino Linotype"/>
          <w:b/>
          <w:color w:val="000000"/>
        </w:rPr>
        <w:t xml:space="preserve"> del Gasto (Capítulo y Concepto) del ejercicio fiscal dos mil veintitrés. </w:t>
      </w:r>
    </w:p>
    <w:p w14:paraId="41C0FFC2" w14:textId="77777777" w:rsidR="00FF3119" w:rsidRDefault="00FF3119" w:rsidP="00FF3119">
      <w:pPr>
        <w:spacing w:line="360" w:lineRule="auto"/>
        <w:ind w:right="-787"/>
        <w:jc w:val="both"/>
        <w:rPr>
          <w:rFonts w:ascii="Palatino Linotype" w:eastAsia="Palatino Linotype" w:hAnsi="Palatino Linotype" w:cs="Palatino Linotype"/>
          <w:b/>
        </w:rPr>
      </w:pPr>
    </w:p>
    <w:p w14:paraId="24207F0F" w14:textId="77777777" w:rsidR="00FF3119" w:rsidRDefault="00FF3119" w:rsidP="00FF3119">
      <w:pPr>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rPr>
        <w:t xml:space="preserve">. NOTIFÍQUESE la presente resolución al Titular de la Unidad de Transparencia del Sujeto Obligado </w:t>
      </w:r>
      <w:r>
        <w:rPr>
          <w:rFonts w:ascii="Palatino Linotype" w:eastAsia="Palatino Linotype" w:hAnsi="Palatino Linotype" w:cs="Palatino Linotype"/>
          <w:b/>
        </w:rPr>
        <w:t>vía SAIMEX</w:t>
      </w:r>
      <w:r>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rPr>
        <w:t>dé cumplimiento a lo ordenado dentro del plazo de diez días hábiles,</w:t>
      </w:r>
      <w:r>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DB7242A" w14:textId="77777777" w:rsidR="00FF3119" w:rsidRDefault="00FF3119" w:rsidP="00FF3119">
      <w:pPr>
        <w:tabs>
          <w:tab w:val="left" w:pos="8080"/>
        </w:tabs>
        <w:spacing w:line="360" w:lineRule="auto"/>
        <w:ind w:right="-787"/>
        <w:jc w:val="both"/>
        <w:rPr>
          <w:rFonts w:ascii="Palatino Linotype" w:eastAsia="Palatino Linotype" w:hAnsi="Palatino Linotype" w:cs="Palatino Linotype"/>
          <w:highlight w:val="white"/>
        </w:rPr>
      </w:pPr>
    </w:p>
    <w:p w14:paraId="45F31E33" w14:textId="77777777" w:rsidR="00FF3119" w:rsidRDefault="00FF3119" w:rsidP="00FF3119">
      <w:pPr>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1ADA542F" w14:textId="77777777" w:rsidR="00FF3119" w:rsidRDefault="00FF3119" w:rsidP="00FF3119">
      <w:pPr>
        <w:spacing w:line="360" w:lineRule="auto"/>
        <w:ind w:right="-787"/>
        <w:jc w:val="both"/>
        <w:rPr>
          <w:rFonts w:ascii="Palatino Linotype" w:eastAsia="Palatino Linotype" w:hAnsi="Palatino Linotype" w:cs="Palatino Linotype"/>
        </w:rPr>
      </w:pPr>
    </w:p>
    <w:p w14:paraId="44DC57C1" w14:textId="77777777" w:rsidR="00FF3119" w:rsidRDefault="00FF3119" w:rsidP="00FF3119">
      <w:pPr>
        <w:tabs>
          <w:tab w:val="left" w:pos="8080"/>
        </w:tabs>
        <w:spacing w:line="360" w:lineRule="auto"/>
        <w:ind w:right="-787"/>
        <w:jc w:val="both"/>
        <w:rPr>
          <w:rFonts w:ascii="Palatino Linotype" w:eastAsia="Palatino Linotype" w:hAnsi="Palatino Linotype" w:cs="Palatino Linotype"/>
        </w:rPr>
      </w:pPr>
      <w:bookmarkStart w:id="14" w:name="_heading=h.lnxbz9" w:colFirst="0" w:colLast="0"/>
      <w:bookmarkEnd w:id="14"/>
      <w:r>
        <w:rPr>
          <w:rFonts w:ascii="Palatino Linotype" w:eastAsia="Palatino Linotype" w:hAnsi="Palatino Linotype" w:cs="Palatino Linotype"/>
          <w:b/>
        </w:rPr>
        <w:t xml:space="preserve">QUINTO. </w:t>
      </w:r>
      <w:r>
        <w:rPr>
          <w:rFonts w:ascii="Palatino Linotype" w:eastAsia="Palatino Linotype" w:hAnsi="Palatino Linotype" w:cs="Palatino Linotype"/>
        </w:rPr>
        <w:t xml:space="preserve">Notifíquese a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la presente resolución, vía SAIMEX.</w:t>
      </w:r>
    </w:p>
    <w:p w14:paraId="541F684B" w14:textId="77777777" w:rsidR="00FF3119" w:rsidRDefault="00FF3119" w:rsidP="00FF3119">
      <w:pPr>
        <w:tabs>
          <w:tab w:val="left" w:pos="8080"/>
        </w:tabs>
        <w:spacing w:line="360" w:lineRule="auto"/>
        <w:ind w:right="-787"/>
        <w:jc w:val="both"/>
        <w:rPr>
          <w:rFonts w:ascii="Palatino Linotype" w:eastAsia="Palatino Linotype" w:hAnsi="Palatino Linotype" w:cs="Palatino Linotype"/>
        </w:rPr>
      </w:pPr>
    </w:p>
    <w:p w14:paraId="53F0F5A3" w14:textId="77777777" w:rsidR="00FF3119" w:rsidRDefault="00FF3119" w:rsidP="00FF3119">
      <w:pPr>
        <w:shd w:val="clear" w:color="auto" w:fill="FFFFFF"/>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rPr>
        <w:lastRenderedPageBreak/>
        <w:t>SEXTO.</w:t>
      </w:r>
      <w:r>
        <w:rPr>
          <w:rFonts w:ascii="Palatino Linotype" w:eastAsia="Palatino Linotype" w:hAnsi="Palatino Linotype" w:cs="Palatino Linotype"/>
        </w:rPr>
        <w:t xml:space="preserve"> Se hace del conocimiento de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5E0C59BC" w14:textId="77777777" w:rsidR="00FF3119" w:rsidRDefault="00FF3119" w:rsidP="00FF3119">
      <w:pPr>
        <w:shd w:val="clear" w:color="auto" w:fill="FFFFFF"/>
        <w:spacing w:line="360" w:lineRule="auto"/>
        <w:ind w:right="-787"/>
        <w:jc w:val="both"/>
        <w:rPr>
          <w:rFonts w:ascii="Palatino Linotype" w:eastAsia="Palatino Linotype" w:hAnsi="Palatino Linotype" w:cs="Palatino Linotype"/>
        </w:rPr>
      </w:pPr>
    </w:p>
    <w:p w14:paraId="1ADB743D" w14:textId="77777777" w:rsidR="0083346F" w:rsidRPr="003C7186" w:rsidRDefault="0083346F" w:rsidP="0083346F">
      <w:pPr>
        <w:spacing w:line="360" w:lineRule="auto"/>
        <w:ind w:left="-142" w:right="-234" w:firstLine="1"/>
        <w:jc w:val="both"/>
        <w:rPr>
          <w:rFonts w:ascii="Palatino Linotype" w:hAnsi="Palatino Linotype"/>
        </w:rPr>
      </w:pPr>
      <w:r w:rsidRPr="003C7186">
        <w:rPr>
          <w:rFonts w:ascii="Palatino Linotype" w:hAnsi="Palatino Linotype"/>
        </w:rPr>
        <w:t xml:space="preserve">ASÍ LO RESUELVE, POR </w:t>
      </w:r>
      <w:r w:rsidR="00344AA6">
        <w:rPr>
          <w:rFonts w:ascii="Palatino Linotype" w:hAnsi="Palatino Linotype"/>
        </w:rPr>
        <w:t>MAYORÍA</w:t>
      </w:r>
      <w:r w:rsidRPr="003C7186">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Y GUADALUPE RAMÍREZ PEÑA</w:t>
      </w:r>
      <w:r w:rsidR="00344AA6">
        <w:rPr>
          <w:rFonts w:ascii="Palatino Linotype" w:hAnsi="Palatino Linotype"/>
        </w:rPr>
        <w:t xml:space="preserve"> EMITIENDO VOTO DISIDENTE</w:t>
      </w:r>
      <w:r>
        <w:rPr>
          <w:rFonts w:ascii="Palatino Linotype" w:hAnsi="Palatino Linotype"/>
        </w:rPr>
        <w:t xml:space="preserve">; </w:t>
      </w:r>
      <w:r w:rsidRPr="003C7186">
        <w:rPr>
          <w:rFonts w:ascii="Palatino Linotype" w:hAnsi="Palatino Linotype"/>
        </w:rPr>
        <w:t xml:space="preserve">EN LA </w:t>
      </w:r>
      <w:r>
        <w:rPr>
          <w:rFonts w:ascii="Palatino Linotype" w:hAnsi="Palatino Linotype"/>
        </w:rPr>
        <w:t xml:space="preserve">CUADRAGÉSIMA </w:t>
      </w:r>
      <w:r w:rsidRPr="003C7186">
        <w:rPr>
          <w:rFonts w:ascii="Palatino Linotype" w:hAnsi="Palatino Linotype"/>
        </w:rPr>
        <w:t xml:space="preserve">SESIÓN ORDINARIA CELEBRADA EL </w:t>
      </w:r>
      <w:r>
        <w:rPr>
          <w:rFonts w:ascii="Palatino Linotype" w:hAnsi="Palatino Linotype"/>
        </w:rPr>
        <w:t>VEINTIUNO</w:t>
      </w:r>
      <w:r w:rsidRPr="003C7186">
        <w:rPr>
          <w:rFonts w:ascii="Palatino Linotype" w:hAnsi="Palatino Linotype"/>
        </w:rPr>
        <w:t xml:space="preserve"> </w:t>
      </w:r>
      <w:r>
        <w:rPr>
          <w:rFonts w:ascii="Palatino Linotype" w:hAnsi="Palatino Linotype"/>
        </w:rPr>
        <w:t>(21) DE NOVIEMBRE</w:t>
      </w:r>
      <w:r w:rsidRPr="003C7186">
        <w:rPr>
          <w:rFonts w:ascii="Palatino Linotype" w:hAnsi="Palatino Linotype"/>
        </w:rPr>
        <w:t xml:space="preserve"> DE DOS MIL VEINTICUATRO, ANTE EL SECRETARIO TÉCNICO DEL PLENO ALEXIS TAPIA RAMÍREZ. </w:t>
      </w:r>
    </w:p>
    <w:p w14:paraId="7007140F" w14:textId="77777777" w:rsidR="00FF3119" w:rsidRDefault="00FF3119" w:rsidP="00FF3119">
      <w:pPr>
        <w:spacing w:line="360" w:lineRule="auto"/>
        <w:ind w:right="-787"/>
        <w:rPr>
          <w:rFonts w:ascii="Palatino Linotype" w:eastAsia="Palatino Linotype" w:hAnsi="Palatino Linotype" w:cs="Palatino Linotype"/>
        </w:rPr>
      </w:pPr>
    </w:p>
    <w:p w14:paraId="5A9983BA" w14:textId="77777777" w:rsidR="00FF3119" w:rsidRDefault="00FF3119" w:rsidP="00FF3119">
      <w:pPr>
        <w:spacing w:line="360" w:lineRule="auto"/>
        <w:ind w:right="-787"/>
        <w:rPr>
          <w:rFonts w:ascii="Palatino Linotype" w:eastAsia="Palatino Linotype" w:hAnsi="Palatino Linotype" w:cs="Palatino Linotype"/>
        </w:rPr>
      </w:pPr>
    </w:p>
    <w:p w14:paraId="4E5F4F36" w14:textId="77777777" w:rsidR="00FF3119" w:rsidRDefault="00FF3119" w:rsidP="00FF3119">
      <w:pPr>
        <w:spacing w:line="360" w:lineRule="auto"/>
        <w:ind w:right="-787"/>
        <w:rPr>
          <w:rFonts w:ascii="Palatino Linotype" w:eastAsia="Palatino Linotype" w:hAnsi="Palatino Linotype" w:cs="Palatino Linotype"/>
        </w:rPr>
      </w:pPr>
    </w:p>
    <w:p w14:paraId="396E9FE3" w14:textId="77777777" w:rsidR="00FF3119" w:rsidRDefault="00FF3119" w:rsidP="00FF3119">
      <w:pPr>
        <w:spacing w:line="360" w:lineRule="auto"/>
        <w:ind w:right="-787"/>
        <w:rPr>
          <w:rFonts w:ascii="Palatino Linotype" w:eastAsia="Palatino Linotype" w:hAnsi="Palatino Linotype" w:cs="Palatino Linotype"/>
        </w:rPr>
      </w:pPr>
    </w:p>
    <w:p w14:paraId="63F89610" w14:textId="77777777" w:rsidR="00FF3119" w:rsidRDefault="00FF3119" w:rsidP="00FF3119">
      <w:pPr>
        <w:spacing w:line="360" w:lineRule="auto"/>
        <w:ind w:right="-787"/>
        <w:rPr>
          <w:rFonts w:ascii="Palatino Linotype" w:eastAsia="Palatino Linotype" w:hAnsi="Palatino Linotype" w:cs="Palatino Linotype"/>
        </w:rPr>
      </w:pPr>
    </w:p>
    <w:p w14:paraId="52A1D268" w14:textId="77777777" w:rsidR="00FF3119" w:rsidRDefault="00FF3119" w:rsidP="00FF3119">
      <w:pPr>
        <w:spacing w:line="360" w:lineRule="auto"/>
        <w:ind w:right="-787"/>
        <w:rPr>
          <w:rFonts w:ascii="Palatino Linotype" w:eastAsia="Palatino Linotype" w:hAnsi="Palatino Linotype" w:cs="Palatino Linotype"/>
        </w:rPr>
      </w:pPr>
    </w:p>
    <w:p w14:paraId="2511BD85" w14:textId="77777777" w:rsidR="00FF3119" w:rsidRDefault="00FF3119" w:rsidP="00FF3119">
      <w:pPr>
        <w:spacing w:line="360" w:lineRule="auto"/>
        <w:ind w:right="-787"/>
        <w:rPr>
          <w:rFonts w:ascii="Palatino Linotype" w:eastAsia="Palatino Linotype" w:hAnsi="Palatino Linotype" w:cs="Palatino Linotype"/>
        </w:rPr>
      </w:pPr>
    </w:p>
    <w:p w14:paraId="34A053B6" w14:textId="77777777" w:rsidR="00FF3119" w:rsidRDefault="00FF3119" w:rsidP="00FF3119">
      <w:pPr>
        <w:spacing w:line="360" w:lineRule="auto"/>
        <w:ind w:right="-787"/>
        <w:rPr>
          <w:rFonts w:ascii="Palatino Linotype" w:eastAsia="Palatino Linotype" w:hAnsi="Palatino Linotype" w:cs="Palatino Linotype"/>
        </w:rPr>
      </w:pPr>
    </w:p>
    <w:p w14:paraId="05B83008" w14:textId="77777777" w:rsidR="00FF3119" w:rsidRDefault="00FF3119" w:rsidP="00FF3119">
      <w:pPr>
        <w:spacing w:line="360" w:lineRule="auto"/>
        <w:ind w:right="-787"/>
        <w:rPr>
          <w:rFonts w:ascii="Palatino Linotype" w:eastAsia="Palatino Linotype" w:hAnsi="Palatino Linotype" w:cs="Palatino Linotype"/>
        </w:rPr>
      </w:pPr>
    </w:p>
    <w:p w14:paraId="06175E41" w14:textId="77777777" w:rsidR="00FF3119" w:rsidRDefault="00FF3119" w:rsidP="00FF3119">
      <w:pPr>
        <w:spacing w:line="360" w:lineRule="auto"/>
        <w:ind w:right="-787"/>
        <w:rPr>
          <w:rFonts w:ascii="Palatino Linotype" w:eastAsia="Palatino Linotype" w:hAnsi="Palatino Linotype" w:cs="Palatino Linotype"/>
        </w:rPr>
      </w:pPr>
    </w:p>
    <w:p w14:paraId="498791B2" w14:textId="77777777" w:rsidR="00FF3119" w:rsidRDefault="00FF3119" w:rsidP="00FF3119">
      <w:pPr>
        <w:spacing w:line="360" w:lineRule="auto"/>
        <w:ind w:right="-787"/>
        <w:rPr>
          <w:rFonts w:ascii="Palatino Linotype" w:eastAsia="Palatino Linotype" w:hAnsi="Palatino Linotype" w:cs="Palatino Linotype"/>
        </w:rPr>
      </w:pPr>
    </w:p>
    <w:p w14:paraId="70ED2856" w14:textId="77777777" w:rsidR="00FF3119" w:rsidRDefault="00FF3119" w:rsidP="00FF3119">
      <w:pPr>
        <w:spacing w:line="360" w:lineRule="auto"/>
        <w:ind w:right="-787"/>
        <w:rPr>
          <w:rFonts w:ascii="Palatino Linotype" w:eastAsia="Palatino Linotype" w:hAnsi="Palatino Linotype" w:cs="Palatino Linotype"/>
        </w:rPr>
      </w:pPr>
    </w:p>
    <w:p w14:paraId="553160CE" w14:textId="77777777" w:rsidR="00FF3119" w:rsidRDefault="00FF3119" w:rsidP="00FF3119">
      <w:pPr>
        <w:spacing w:line="360" w:lineRule="auto"/>
        <w:ind w:right="-787"/>
        <w:rPr>
          <w:rFonts w:ascii="Palatino Linotype" w:eastAsia="Palatino Linotype" w:hAnsi="Palatino Linotype" w:cs="Palatino Linotype"/>
        </w:rPr>
      </w:pPr>
    </w:p>
    <w:p w14:paraId="625B9886" w14:textId="77777777" w:rsidR="00FF3119" w:rsidRDefault="00FF3119" w:rsidP="00FF3119">
      <w:pPr>
        <w:spacing w:line="360" w:lineRule="auto"/>
        <w:ind w:right="-787"/>
        <w:rPr>
          <w:rFonts w:ascii="Palatino Linotype" w:eastAsia="Palatino Linotype" w:hAnsi="Palatino Linotype" w:cs="Palatino Linotype"/>
        </w:rPr>
      </w:pPr>
    </w:p>
    <w:p w14:paraId="6EF736C7" w14:textId="77777777" w:rsidR="00FF3119" w:rsidRDefault="00FF3119" w:rsidP="00FF3119">
      <w:pPr>
        <w:spacing w:line="360" w:lineRule="auto"/>
        <w:ind w:right="-787"/>
        <w:rPr>
          <w:rFonts w:ascii="Palatino Linotype" w:eastAsia="Palatino Linotype" w:hAnsi="Palatino Linotype" w:cs="Palatino Linotype"/>
        </w:rPr>
      </w:pPr>
    </w:p>
    <w:p w14:paraId="1CFD51ED" w14:textId="77777777" w:rsidR="00FF3119" w:rsidRDefault="00FF3119" w:rsidP="00FF3119">
      <w:pPr>
        <w:spacing w:line="360" w:lineRule="auto"/>
        <w:ind w:right="-787"/>
        <w:rPr>
          <w:rFonts w:ascii="Palatino Linotype" w:eastAsia="Palatino Linotype" w:hAnsi="Palatino Linotype" w:cs="Palatino Linotype"/>
        </w:rPr>
      </w:pPr>
    </w:p>
    <w:p w14:paraId="3D3CBEA6" w14:textId="77777777" w:rsidR="00FF3119" w:rsidRDefault="00FF3119" w:rsidP="00FF3119">
      <w:pPr>
        <w:spacing w:line="360" w:lineRule="auto"/>
        <w:ind w:right="-787"/>
        <w:rPr>
          <w:rFonts w:ascii="Palatino Linotype" w:eastAsia="Palatino Linotype" w:hAnsi="Palatino Linotype" w:cs="Palatino Linotype"/>
        </w:rPr>
      </w:pPr>
    </w:p>
    <w:p w14:paraId="5E6AC011" w14:textId="77777777" w:rsidR="00FF3119" w:rsidRDefault="00FF3119" w:rsidP="00FF3119">
      <w:pPr>
        <w:spacing w:line="360" w:lineRule="auto"/>
        <w:ind w:right="-787"/>
        <w:rPr>
          <w:rFonts w:ascii="Palatino Linotype" w:eastAsia="Palatino Linotype" w:hAnsi="Palatino Linotype" w:cs="Palatino Linotype"/>
        </w:rPr>
      </w:pPr>
    </w:p>
    <w:p w14:paraId="40573D3E" w14:textId="77777777" w:rsidR="00FF3119" w:rsidRDefault="00FF3119" w:rsidP="00FF3119">
      <w:pPr>
        <w:ind w:right="-787"/>
      </w:pPr>
    </w:p>
    <w:p w14:paraId="6DD55108" w14:textId="77777777" w:rsidR="00056286" w:rsidRDefault="00056286"/>
    <w:sectPr w:rsidR="00056286">
      <w:headerReference w:type="default" r:id="rId16"/>
      <w:footerReference w:type="default" r:id="rId17"/>
      <w:headerReference w:type="first" r:id="rId18"/>
      <w:footerReference w:type="first" r:id="rId19"/>
      <w:pgSz w:w="12240" w:h="15840"/>
      <w:pgMar w:top="2410" w:right="1701" w:bottom="1985"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C6771" w14:textId="77777777" w:rsidR="00663453" w:rsidRDefault="00663453" w:rsidP="00FF3119">
      <w:r>
        <w:separator/>
      </w:r>
    </w:p>
  </w:endnote>
  <w:endnote w:type="continuationSeparator" w:id="0">
    <w:p w14:paraId="3431636E" w14:textId="77777777" w:rsidR="00663453" w:rsidRDefault="00663453" w:rsidP="00FF3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2CB56" w14:textId="77777777" w:rsidR="003259CA" w:rsidRDefault="003259C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60CF3">
      <w:rPr>
        <w:rFonts w:ascii="Arial" w:eastAsia="Arial" w:hAnsi="Arial" w:cs="Arial"/>
        <w:b/>
        <w:noProof/>
        <w:color w:val="000000"/>
        <w:sz w:val="20"/>
        <w:szCs w:val="20"/>
      </w:rPr>
      <w:t>28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60CF3">
      <w:rPr>
        <w:rFonts w:ascii="Arial" w:eastAsia="Arial" w:hAnsi="Arial" w:cs="Arial"/>
        <w:b/>
        <w:noProof/>
        <w:color w:val="000000"/>
        <w:sz w:val="20"/>
        <w:szCs w:val="20"/>
      </w:rPr>
      <w:t>31</w:t>
    </w:r>
    <w:r>
      <w:rPr>
        <w:rFonts w:ascii="Arial" w:eastAsia="Arial" w:hAnsi="Arial" w:cs="Arial"/>
        <w:b/>
        <w:color w:val="000000"/>
        <w:sz w:val="20"/>
        <w:szCs w:val="20"/>
      </w:rPr>
      <w:fldChar w:fldCharType="end"/>
    </w:r>
  </w:p>
  <w:p w14:paraId="1EDF744B" w14:textId="77777777" w:rsidR="003259CA" w:rsidRDefault="003259CA">
    <w:pPr>
      <w:pBdr>
        <w:top w:val="nil"/>
        <w:left w:val="nil"/>
        <w:bottom w:val="nil"/>
        <w:right w:val="nil"/>
        <w:between w:val="nil"/>
      </w:pBdr>
      <w:tabs>
        <w:tab w:val="center" w:pos="4252"/>
        <w:tab w:val="right" w:pos="8504"/>
      </w:tabs>
      <w:rPr>
        <w:color w:val="000000"/>
      </w:rPr>
    </w:pPr>
  </w:p>
  <w:p w14:paraId="7D7D10BF" w14:textId="77777777" w:rsidR="003259CA" w:rsidRDefault="003259CA">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3D336" w14:textId="77777777" w:rsidR="003259CA" w:rsidRDefault="003259C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60CF3">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60CF3">
      <w:rPr>
        <w:rFonts w:ascii="Arial" w:eastAsia="Arial" w:hAnsi="Arial" w:cs="Arial"/>
        <w:b/>
        <w:noProof/>
        <w:color w:val="000000"/>
        <w:sz w:val="20"/>
        <w:szCs w:val="20"/>
      </w:rPr>
      <w:t>31</w:t>
    </w:r>
    <w:r>
      <w:rPr>
        <w:rFonts w:ascii="Arial" w:eastAsia="Arial" w:hAnsi="Arial" w:cs="Arial"/>
        <w:b/>
        <w:color w:val="000000"/>
        <w:sz w:val="20"/>
        <w:szCs w:val="20"/>
      </w:rPr>
      <w:fldChar w:fldCharType="end"/>
    </w:r>
  </w:p>
  <w:p w14:paraId="0D3A62D0" w14:textId="77777777" w:rsidR="003259CA" w:rsidRDefault="003259CA">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62889" w14:textId="77777777" w:rsidR="00663453" w:rsidRDefault="00663453" w:rsidP="00FF3119">
      <w:r>
        <w:separator/>
      </w:r>
    </w:p>
  </w:footnote>
  <w:footnote w:type="continuationSeparator" w:id="0">
    <w:p w14:paraId="1345ABAB" w14:textId="77777777" w:rsidR="00663453" w:rsidRDefault="00663453" w:rsidP="00FF3119">
      <w:r>
        <w:continuationSeparator/>
      </w:r>
    </w:p>
  </w:footnote>
  <w:footnote w:id="1">
    <w:p w14:paraId="0C732524" w14:textId="77777777" w:rsidR="003259CA" w:rsidRDefault="003259CA" w:rsidP="00FF311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386486A2" w14:textId="77777777" w:rsidR="003259CA" w:rsidRDefault="003259CA" w:rsidP="00FF311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038DC34E" w14:textId="77777777" w:rsidR="003259CA" w:rsidRDefault="003259CA" w:rsidP="00FF311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708A41A1" w14:textId="77777777" w:rsidR="003259CA" w:rsidRDefault="003259CA" w:rsidP="00FF311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w:t>
      </w:r>
      <w:proofErr w:type="spellStart"/>
      <w:r>
        <w:rPr>
          <w:color w:val="000000"/>
          <w:sz w:val="20"/>
          <w:szCs w:val="20"/>
        </w:rPr>
        <w:t>Parr</w:t>
      </w:r>
      <w:proofErr w:type="spellEnd"/>
      <w:r>
        <w:rPr>
          <w:color w:val="000000"/>
          <w:sz w:val="20"/>
          <w:szCs w:val="20"/>
        </w:rPr>
        <w:t>.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30323" w14:textId="77777777" w:rsidR="003259CA" w:rsidRDefault="003259CA">
    <w:pPr>
      <w:widowControl w:val="0"/>
      <w:pBdr>
        <w:top w:val="nil"/>
        <w:left w:val="nil"/>
        <w:bottom w:val="nil"/>
        <w:right w:val="nil"/>
        <w:between w:val="nil"/>
      </w:pBdr>
      <w:spacing w:line="276" w:lineRule="auto"/>
      <w:rPr>
        <w:color w:val="000000"/>
        <w:sz w:val="20"/>
        <w:szCs w:val="20"/>
      </w:rPr>
    </w:pPr>
  </w:p>
  <w:tbl>
    <w:tblPr>
      <w:tblW w:w="6095" w:type="dxa"/>
      <w:tblInd w:w="2977" w:type="dxa"/>
      <w:tblLayout w:type="fixed"/>
      <w:tblLook w:val="0400" w:firstRow="0" w:lastRow="0" w:firstColumn="0" w:lastColumn="0" w:noHBand="0" w:noVBand="1"/>
    </w:tblPr>
    <w:tblGrid>
      <w:gridCol w:w="2552"/>
      <w:gridCol w:w="3543"/>
    </w:tblGrid>
    <w:tr w:rsidR="003259CA" w14:paraId="77834747" w14:textId="77777777">
      <w:tc>
        <w:tcPr>
          <w:tcW w:w="2552" w:type="dxa"/>
          <w:vAlign w:val="center"/>
        </w:tcPr>
        <w:p w14:paraId="708C3EB0" w14:textId="77777777" w:rsidR="003259CA" w:rsidRDefault="003259C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vAlign w:val="center"/>
        </w:tcPr>
        <w:p w14:paraId="4F4DD222" w14:textId="77777777" w:rsidR="003259CA" w:rsidRDefault="003259CA">
          <w:pPr>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06078/INFOEM/IP/RR/2024 </w:t>
          </w:r>
        </w:p>
      </w:tc>
    </w:tr>
    <w:tr w:rsidR="003259CA" w14:paraId="034ACE50" w14:textId="77777777">
      <w:trPr>
        <w:trHeight w:val="228"/>
      </w:trPr>
      <w:tc>
        <w:tcPr>
          <w:tcW w:w="2552" w:type="dxa"/>
          <w:vAlign w:val="center"/>
        </w:tcPr>
        <w:p w14:paraId="02526256" w14:textId="77777777" w:rsidR="003259CA" w:rsidRDefault="003259C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shd w:val="clear" w:color="auto" w:fill="auto"/>
          <w:vAlign w:val="center"/>
        </w:tcPr>
        <w:p w14:paraId="2D933451" w14:textId="77777777" w:rsidR="003259CA" w:rsidRDefault="003259CA">
          <w:pPr>
            <w:rPr>
              <w:rFonts w:ascii="Palatino Linotype" w:eastAsia="Palatino Linotype" w:hAnsi="Palatino Linotype" w:cs="Palatino Linotype"/>
              <w:sz w:val="22"/>
              <w:szCs w:val="22"/>
            </w:rPr>
          </w:pPr>
          <w:r w:rsidRPr="00FF3119">
            <w:rPr>
              <w:rFonts w:ascii="Palatino Linotype" w:eastAsia="Palatino Linotype" w:hAnsi="Palatino Linotype" w:cs="Palatino Linotype"/>
              <w:b/>
              <w:bCs/>
              <w:color w:val="000000"/>
              <w:sz w:val="22"/>
              <w:szCs w:val="22"/>
            </w:rPr>
            <w:t>Tecnológico de Estudios Superiores de Jilotepec</w:t>
          </w:r>
        </w:p>
      </w:tc>
    </w:tr>
    <w:tr w:rsidR="003259CA" w14:paraId="3DB29211" w14:textId="77777777">
      <w:tc>
        <w:tcPr>
          <w:tcW w:w="2552" w:type="dxa"/>
          <w:vAlign w:val="center"/>
        </w:tcPr>
        <w:p w14:paraId="67D99718" w14:textId="77777777" w:rsidR="003259CA" w:rsidRDefault="003259C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3" w:type="dxa"/>
          <w:vAlign w:val="center"/>
        </w:tcPr>
        <w:p w14:paraId="2186713A" w14:textId="77777777" w:rsidR="003259CA" w:rsidRDefault="003259CA">
          <w:pPr>
            <w:ind w:right="-53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14:paraId="069A6168" w14:textId="77777777" w:rsidR="003259CA" w:rsidRDefault="003259CA">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9264" behindDoc="1" locked="0" layoutInCell="1" hidden="0" allowOverlap="1" wp14:anchorId="4A6C4CB4" wp14:editId="37C77D04">
          <wp:simplePos x="0" y="0"/>
          <wp:positionH relativeFrom="column">
            <wp:posOffset>-1080134</wp:posOffset>
          </wp:positionH>
          <wp:positionV relativeFrom="paragraph">
            <wp:posOffset>-1492935</wp:posOffset>
          </wp:positionV>
          <wp:extent cx="7813085" cy="10170000"/>
          <wp:effectExtent l="0" t="0" r="0" b="0"/>
          <wp:wrapNone/>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97AFF" w14:textId="77777777" w:rsidR="003259CA" w:rsidRDefault="003259CA">
    <w:pPr>
      <w:pBdr>
        <w:top w:val="nil"/>
        <w:left w:val="nil"/>
        <w:bottom w:val="nil"/>
        <w:right w:val="nil"/>
        <w:between w:val="nil"/>
      </w:pBdr>
      <w:tabs>
        <w:tab w:val="center" w:pos="4252"/>
        <w:tab w:val="right" w:pos="8504"/>
        <w:tab w:val="left" w:pos="7154"/>
      </w:tabs>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r>
    <w:r>
      <w:rPr>
        <w:noProof/>
        <w:lang w:val="es-MX"/>
      </w:rPr>
      <w:drawing>
        <wp:anchor distT="0" distB="0" distL="0" distR="0" simplePos="0" relativeHeight="251660288" behindDoc="1" locked="0" layoutInCell="1" hidden="0" allowOverlap="1" wp14:anchorId="7B13E44E" wp14:editId="452A8D15">
          <wp:simplePos x="0" y="0"/>
          <wp:positionH relativeFrom="column">
            <wp:posOffset>-1078864</wp:posOffset>
          </wp:positionH>
          <wp:positionV relativeFrom="paragraph">
            <wp:posOffset>-411479</wp:posOffset>
          </wp:positionV>
          <wp:extent cx="7813085" cy="10170000"/>
          <wp:effectExtent l="0" t="0" r="0" b="0"/>
          <wp:wrapNone/>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tbl>
    <w:tblPr>
      <w:tblW w:w="6095" w:type="dxa"/>
      <w:tblInd w:w="3119" w:type="dxa"/>
      <w:tblLayout w:type="fixed"/>
      <w:tblLook w:val="0400" w:firstRow="0" w:lastRow="0" w:firstColumn="0" w:lastColumn="0" w:noHBand="0" w:noVBand="1"/>
    </w:tblPr>
    <w:tblGrid>
      <w:gridCol w:w="2551"/>
      <w:gridCol w:w="3544"/>
    </w:tblGrid>
    <w:tr w:rsidR="003259CA" w14:paraId="7A3E766F" w14:textId="77777777">
      <w:tc>
        <w:tcPr>
          <w:tcW w:w="2551" w:type="dxa"/>
          <w:vAlign w:val="center"/>
        </w:tcPr>
        <w:p w14:paraId="13807057" w14:textId="77777777" w:rsidR="003259CA" w:rsidRDefault="003259C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4" w:type="dxa"/>
          <w:vAlign w:val="center"/>
        </w:tcPr>
        <w:p w14:paraId="41627C11" w14:textId="77777777" w:rsidR="003259CA" w:rsidRDefault="003259CA">
          <w:pP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06078/INFOEM/IP/RR/2024 </w:t>
          </w:r>
        </w:p>
      </w:tc>
    </w:tr>
    <w:tr w:rsidR="003259CA" w14:paraId="6E5DF182" w14:textId="77777777">
      <w:tc>
        <w:tcPr>
          <w:tcW w:w="2551" w:type="dxa"/>
          <w:vAlign w:val="center"/>
        </w:tcPr>
        <w:p w14:paraId="49526D7F" w14:textId="77777777" w:rsidR="003259CA" w:rsidRDefault="003259CA">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544" w:type="dxa"/>
          <w:shd w:val="clear" w:color="auto" w:fill="auto"/>
          <w:vAlign w:val="center"/>
        </w:tcPr>
        <w:p w14:paraId="7A3F6DA3" w14:textId="26D65407" w:rsidR="003259CA" w:rsidRDefault="00512989">
          <w:pPr>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XXX </w:t>
          </w:r>
          <w:proofErr w:type="spellStart"/>
          <w:r>
            <w:rPr>
              <w:rFonts w:ascii="Palatino Linotype" w:eastAsia="Palatino Linotype" w:hAnsi="Palatino Linotype" w:cs="Palatino Linotype"/>
              <w:b/>
              <w:bCs/>
              <w:sz w:val="22"/>
              <w:szCs w:val="22"/>
            </w:rPr>
            <w:t>XXX</w:t>
          </w:r>
          <w:proofErr w:type="spellEnd"/>
        </w:p>
      </w:tc>
    </w:tr>
    <w:tr w:rsidR="003259CA" w14:paraId="290F6AFE" w14:textId="77777777">
      <w:trPr>
        <w:trHeight w:val="228"/>
      </w:trPr>
      <w:tc>
        <w:tcPr>
          <w:tcW w:w="2551" w:type="dxa"/>
          <w:vAlign w:val="center"/>
        </w:tcPr>
        <w:p w14:paraId="25070CA0" w14:textId="77777777" w:rsidR="003259CA" w:rsidRDefault="003259C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4" w:type="dxa"/>
          <w:shd w:val="clear" w:color="auto" w:fill="auto"/>
          <w:vAlign w:val="center"/>
        </w:tcPr>
        <w:p w14:paraId="1A7C2E78" w14:textId="77777777" w:rsidR="003259CA" w:rsidRDefault="003259CA">
          <w:pPr>
            <w:ind w:left="35" w:hanging="35"/>
            <w:rPr>
              <w:rFonts w:ascii="Palatino Linotype" w:eastAsia="Palatino Linotype" w:hAnsi="Palatino Linotype" w:cs="Palatino Linotype"/>
              <w:sz w:val="22"/>
              <w:szCs w:val="22"/>
            </w:rPr>
          </w:pPr>
          <w:r w:rsidRPr="00FF3119">
            <w:rPr>
              <w:rFonts w:ascii="Palatino Linotype" w:eastAsia="Palatino Linotype" w:hAnsi="Palatino Linotype" w:cs="Palatino Linotype"/>
              <w:b/>
              <w:bCs/>
              <w:color w:val="000000"/>
              <w:sz w:val="22"/>
              <w:szCs w:val="22"/>
            </w:rPr>
            <w:t>Tecnológico de Estudios Superiores de Jilotepec</w:t>
          </w:r>
        </w:p>
      </w:tc>
    </w:tr>
    <w:tr w:rsidR="003259CA" w14:paraId="54D304F8" w14:textId="77777777">
      <w:tc>
        <w:tcPr>
          <w:tcW w:w="2551" w:type="dxa"/>
          <w:vAlign w:val="center"/>
        </w:tcPr>
        <w:p w14:paraId="4F884AFE" w14:textId="77777777" w:rsidR="003259CA" w:rsidRDefault="003259C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4" w:type="dxa"/>
          <w:vAlign w:val="center"/>
        </w:tcPr>
        <w:p w14:paraId="3AB1DF5F" w14:textId="77777777" w:rsidR="003259CA" w:rsidRDefault="003259CA">
          <w:pPr>
            <w:ind w:right="-533"/>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14:paraId="3E72868B" w14:textId="77777777" w:rsidR="003259CA" w:rsidRDefault="003259CA">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851C24"/>
    <w:multiLevelType w:val="multilevel"/>
    <w:tmpl w:val="70F2912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3575EF0"/>
    <w:multiLevelType w:val="multilevel"/>
    <w:tmpl w:val="E04ED4CA"/>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2" w15:restartNumberingAfterBreak="0">
    <w:nsid w:val="43D90FDB"/>
    <w:multiLevelType w:val="hybridMultilevel"/>
    <w:tmpl w:val="76B2E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02B502A"/>
    <w:multiLevelType w:val="multilevel"/>
    <w:tmpl w:val="30FEDD12"/>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4E81DF4"/>
    <w:multiLevelType w:val="multilevel"/>
    <w:tmpl w:val="BCC218F4"/>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5" w15:restartNumberingAfterBreak="0">
    <w:nsid w:val="56A542E7"/>
    <w:multiLevelType w:val="multilevel"/>
    <w:tmpl w:val="C8B432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7D92A5A"/>
    <w:multiLevelType w:val="multilevel"/>
    <w:tmpl w:val="0A221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9290B62"/>
    <w:multiLevelType w:val="multilevel"/>
    <w:tmpl w:val="BF4083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03573CB"/>
    <w:multiLevelType w:val="multilevel"/>
    <w:tmpl w:val="F710E9F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015379427">
    <w:abstractNumId w:val="5"/>
  </w:num>
  <w:num w:numId="2" w16cid:durableId="87624820">
    <w:abstractNumId w:val="1"/>
  </w:num>
  <w:num w:numId="3" w16cid:durableId="1278176108">
    <w:abstractNumId w:val="8"/>
  </w:num>
  <w:num w:numId="4" w16cid:durableId="2070687439">
    <w:abstractNumId w:val="0"/>
  </w:num>
  <w:num w:numId="5" w16cid:durableId="530190501">
    <w:abstractNumId w:val="4"/>
  </w:num>
  <w:num w:numId="6" w16cid:durableId="1976715911">
    <w:abstractNumId w:val="3"/>
  </w:num>
  <w:num w:numId="7" w16cid:durableId="562057484">
    <w:abstractNumId w:val="2"/>
  </w:num>
  <w:num w:numId="8" w16cid:durableId="1671978560">
    <w:abstractNumId w:val="6"/>
  </w:num>
  <w:num w:numId="9" w16cid:durableId="19416403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119"/>
    <w:rsid w:val="00056286"/>
    <w:rsid w:val="001566C3"/>
    <w:rsid w:val="002444CE"/>
    <w:rsid w:val="00250259"/>
    <w:rsid w:val="00253F22"/>
    <w:rsid w:val="002B5830"/>
    <w:rsid w:val="003259CA"/>
    <w:rsid w:val="00344AA6"/>
    <w:rsid w:val="00372D52"/>
    <w:rsid w:val="004F34EF"/>
    <w:rsid w:val="00512989"/>
    <w:rsid w:val="00663453"/>
    <w:rsid w:val="006F0514"/>
    <w:rsid w:val="007A4525"/>
    <w:rsid w:val="00814817"/>
    <w:rsid w:val="0083346F"/>
    <w:rsid w:val="008402D3"/>
    <w:rsid w:val="00860CF3"/>
    <w:rsid w:val="00904A93"/>
    <w:rsid w:val="009C7C24"/>
    <w:rsid w:val="009E3B79"/>
    <w:rsid w:val="00A4532D"/>
    <w:rsid w:val="00AC608D"/>
    <w:rsid w:val="00B95F24"/>
    <w:rsid w:val="00BF5FE6"/>
    <w:rsid w:val="00C6455A"/>
    <w:rsid w:val="00CF3582"/>
    <w:rsid w:val="00D40B27"/>
    <w:rsid w:val="00D47B8A"/>
    <w:rsid w:val="00DA6AF5"/>
    <w:rsid w:val="00E46E31"/>
    <w:rsid w:val="00E53C89"/>
    <w:rsid w:val="00F05C59"/>
    <w:rsid w:val="00FF31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3A828"/>
  <w15:chartTrackingRefBased/>
  <w15:docId w15:val="{8D50DA7E-BF90-4F6B-B73A-DB7B24061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119"/>
    <w:pPr>
      <w:spacing w:after="0" w:line="240" w:lineRule="auto"/>
    </w:pPr>
    <w:rPr>
      <w:rFonts w:ascii="Times New Roman" w:eastAsia="Times New Roman" w:hAnsi="Times New Roman" w:cs="Times New Roman"/>
      <w:sz w:val="24"/>
      <w:szCs w:val="24"/>
      <w:lang w:val="es-ES" w:eastAsia="es-MX"/>
    </w:rPr>
  </w:style>
  <w:style w:type="paragraph" w:styleId="Ttulo1">
    <w:name w:val="heading 1"/>
    <w:basedOn w:val="Normal"/>
    <w:next w:val="Normal"/>
    <w:link w:val="Ttulo1Car"/>
    <w:uiPriority w:val="9"/>
    <w:qFormat/>
    <w:rsid w:val="00FF3119"/>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FF3119"/>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rsid w:val="00FF3119"/>
    <w:pPr>
      <w:keepNext/>
      <w:keepLines/>
      <w:spacing w:before="280" w:after="80"/>
      <w:outlineLvl w:val="2"/>
    </w:pPr>
    <w:rPr>
      <w:b/>
      <w:sz w:val="28"/>
      <w:szCs w:val="28"/>
    </w:rPr>
  </w:style>
  <w:style w:type="paragraph" w:styleId="Ttulo4">
    <w:name w:val="heading 4"/>
    <w:basedOn w:val="Normal"/>
    <w:next w:val="Normal"/>
    <w:link w:val="Ttulo4Car"/>
    <w:rsid w:val="00FF3119"/>
    <w:pPr>
      <w:keepNext/>
      <w:keepLines/>
      <w:spacing w:before="240" w:after="40"/>
      <w:outlineLvl w:val="3"/>
    </w:pPr>
    <w:rPr>
      <w:b/>
    </w:rPr>
  </w:style>
  <w:style w:type="paragraph" w:styleId="Ttulo5">
    <w:name w:val="heading 5"/>
    <w:basedOn w:val="Normal"/>
    <w:next w:val="Normal"/>
    <w:link w:val="Ttulo5Car"/>
    <w:rsid w:val="00FF3119"/>
    <w:pPr>
      <w:keepNext/>
      <w:keepLines/>
      <w:spacing w:before="220" w:after="40"/>
      <w:outlineLvl w:val="4"/>
    </w:pPr>
    <w:rPr>
      <w:b/>
      <w:sz w:val="22"/>
      <w:szCs w:val="22"/>
    </w:rPr>
  </w:style>
  <w:style w:type="paragraph" w:styleId="Ttulo6">
    <w:name w:val="heading 6"/>
    <w:basedOn w:val="Normal"/>
    <w:next w:val="Normal"/>
    <w:link w:val="Ttulo6Car"/>
    <w:rsid w:val="00FF3119"/>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F3119"/>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FF3119"/>
    <w:rPr>
      <w:rFonts w:asciiTheme="majorHAnsi" w:eastAsiaTheme="majorEastAsia" w:hAnsiTheme="majorHAnsi" w:cstheme="majorBidi"/>
      <w:color w:val="2E74B5" w:themeColor="accent1" w:themeShade="BF"/>
      <w:sz w:val="26"/>
      <w:szCs w:val="26"/>
      <w:lang w:val="es-ES"/>
    </w:rPr>
  </w:style>
  <w:style w:type="character" w:customStyle="1" w:styleId="Ttulo3Car">
    <w:name w:val="Título 3 Car"/>
    <w:basedOn w:val="Fuentedeprrafopredeter"/>
    <w:link w:val="Ttulo3"/>
    <w:rsid w:val="00FF3119"/>
    <w:rPr>
      <w:rFonts w:ascii="Times New Roman" w:eastAsia="Times New Roman" w:hAnsi="Times New Roman" w:cs="Times New Roman"/>
      <w:b/>
      <w:sz w:val="28"/>
      <w:szCs w:val="28"/>
      <w:lang w:val="es-ES" w:eastAsia="es-MX"/>
    </w:rPr>
  </w:style>
  <w:style w:type="character" w:customStyle="1" w:styleId="Ttulo4Car">
    <w:name w:val="Título 4 Car"/>
    <w:basedOn w:val="Fuentedeprrafopredeter"/>
    <w:link w:val="Ttulo4"/>
    <w:rsid w:val="00FF3119"/>
    <w:rPr>
      <w:rFonts w:ascii="Times New Roman" w:eastAsia="Times New Roman" w:hAnsi="Times New Roman" w:cs="Times New Roman"/>
      <w:b/>
      <w:sz w:val="24"/>
      <w:szCs w:val="24"/>
      <w:lang w:val="es-ES" w:eastAsia="es-MX"/>
    </w:rPr>
  </w:style>
  <w:style w:type="character" w:customStyle="1" w:styleId="Ttulo5Car">
    <w:name w:val="Título 5 Car"/>
    <w:basedOn w:val="Fuentedeprrafopredeter"/>
    <w:link w:val="Ttulo5"/>
    <w:rsid w:val="00FF3119"/>
    <w:rPr>
      <w:rFonts w:ascii="Times New Roman" w:eastAsia="Times New Roman" w:hAnsi="Times New Roman" w:cs="Times New Roman"/>
      <w:b/>
      <w:lang w:val="es-ES" w:eastAsia="es-MX"/>
    </w:rPr>
  </w:style>
  <w:style w:type="character" w:customStyle="1" w:styleId="Ttulo6Car">
    <w:name w:val="Título 6 Car"/>
    <w:basedOn w:val="Fuentedeprrafopredeter"/>
    <w:link w:val="Ttulo6"/>
    <w:rsid w:val="00FF3119"/>
    <w:rPr>
      <w:rFonts w:ascii="Times New Roman" w:eastAsia="Times New Roman" w:hAnsi="Times New Roman" w:cs="Times New Roman"/>
      <w:b/>
      <w:sz w:val="20"/>
      <w:szCs w:val="20"/>
      <w:lang w:val="es-ES" w:eastAsia="es-MX"/>
    </w:rPr>
  </w:style>
  <w:style w:type="table" w:customStyle="1" w:styleId="TableNormal">
    <w:name w:val="Table Normal"/>
    <w:rsid w:val="00FF3119"/>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FF3119"/>
    <w:pPr>
      <w:keepNext/>
      <w:keepLines/>
      <w:spacing w:before="480" w:after="120"/>
    </w:pPr>
    <w:rPr>
      <w:b/>
      <w:sz w:val="72"/>
      <w:szCs w:val="72"/>
    </w:rPr>
  </w:style>
  <w:style w:type="character" w:customStyle="1" w:styleId="TtuloCar">
    <w:name w:val="Título Car"/>
    <w:basedOn w:val="Fuentedeprrafopredeter"/>
    <w:link w:val="Ttulo"/>
    <w:rsid w:val="00FF3119"/>
    <w:rPr>
      <w:rFonts w:ascii="Times New Roman" w:eastAsia="Times New Roman" w:hAnsi="Times New Roman" w:cs="Times New Roman"/>
      <w:b/>
      <w:sz w:val="72"/>
      <w:szCs w:val="72"/>
      <w:lang w:val="es-ES" w:eastAsia="es-MX"/>
    </w:rPr>
  </w:style>
  <w:style w:type="paragraph" w:styleId="Encabezado">
    <w:name w:val="header"/>
    <w:basedOn w:val="Normal"/>
    <w:link w:val="EncabezadoCar"/>
    <w:uiPriority w:val="99"/>
    <w:unhideWhenUsed/>
    <w:rsid w:val="00FF3119"/>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FF3119"/>
    <w:rPr>
      <w:rFonts w:eastAsiaTheme="minorEastAsia"/>
      <w:sz w:val="24"/>
      <w:szCs w:val="24"/>
      <w:lang w:val="es-ES_tradnl" w:eastAsia="es-ES"/>
    </w:rPr>
  </w:style>
  <w:style w:type="paragraph" w:styleId="Piedepgina">
    <w:name w:val="footer"/>
    <w:basedOn w:val="Normal"/>
    <w:link w:val="PiedepginaCar"/>
    <w:uiPriority w:val="99"/>
    <w:unhideWhenUsed/>
    <w:rsid w:val="00FF3119"/>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FF3119"/>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F3119"/>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F3119"/>
    <w:pPr>
      <w:ind w:left="708"/>
    </w:pPr>
    <w:rPr>
      <w:sz w:val="22"/>
      <w:szCs w:val="22"/>
      <w:lang w:eastAsia="en-US"/>
    </w:rPr>
  </w:style>
  <w:style w:type="paragraph" w:styleId="Sangradetextonormal">
    <w:name w:val="Body Text Indent"/>
    <w:basedOn w:val="Normal"/>
    <w:link w:val="SangradetextonormalCar"/>
    <w:uiPriority w:val="99"/>
    <w:unhideWhenUsed/>
    <w:rsid w:val="00FF3119"/>
    <w:pPr>
      <w:spacing w:after="120"/>
      <w:ind w:left="283"/>
    </w:pPr>
  </w:style>
  <w:style w:type="character" w:customStyle="1" w:styleId="SangradetextonormalCar">
    <w:name w:val="Sangría de texto normal Car"/>
    <w:basedOn w:val="Fuentedeprrafopredeter"/>
    <w:link w:val="Sangradetextonormal"/>
    <w:uiPriority w:val="99"/>
    <w:rsid w:val="00FF3119"/>
    <w:rPr>
      <w:rFonts w:ascii="Times New Roman" w:eastAsia="Times New Roman" w:hAnsi="Times New Roman" w:cs="Times New Roman"/>
      <w:sz w:val="24"/>
      <w:szCs w:val="24"/>
      <w:lang w:val="es-ES" w:eastAsia="es-MX"/>
    </w:rPr>
  </w:style>
  <w:style w:type="paragraph" w:styleId="Textoindependienteprimerasangra2">
    <w:name w:val="Body Text First Indent 2"/>
    <w:basedOn w:val="Sangradetextonormal"/>
    <w:link w:val="Textoindependienteprimerasangra2Car"/>
    <w:uiPriority w:val="99"/>
    <w:unhideWhenUsed/>
    <w:rsid w:val="00FF311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F3119"/>
    <w:rPr>
      <w:rFonts w:ascii="Times New Roman" w:eastAsia="Times New Roman" w:hAnsi="Times New Roman" w:cs="Times New Roman"/>
      <w:sz w:val="24"/>
      <w:szCs w:val="24"/>
      <w:lang w:val="es-ES" w:eastAsia="es-MX"/>
    </w:rPr>
  </w:style>
  <w:style w:type="character" w:styleId="Hipervnculo">
    <w:name w:val="Hyperlink"/>
    <w:basedOn w:val="Fuentedeprrafopredeter"/>
    <w:uiPriority w:val="99"/>
    <w:unhideWhenUsed/>
    <w:rsid w:val="00FF3119"/>
    <w:rPr>
      <w:color w:val="0563C1" w:themeColor="hyperlink"/>
      <w:u w:val="single"/>
    </w:rPr>
  </w:style>
  <w:style w:type="paragraph" w:customStyle="1" w:styleId="Fundamentos">
    <w:name w:val="Fundamentos"/>
    <w:basedOn w:val="Normal"/>
    <w:next w:val="Normal"/>
    <w:qFormat/>
    <w:rsid w:val="00FF3119"/>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rPr>
  </w:style>
  <w:style w:type="character" w:styleId="Hipervnculovisitado">
    <w:name w:val="FollowedHyperlink"/>
    <w:basedOn w:val="Fuentedeprrafopredeter"/>
    <w:uiPriority w:val="99"/>
    <w:semiHidden/>
    <w:unhideWhenUsed/>
    <w:rsid w:val="00FF3119"/>
    <w:rPr>
      <w:color w:val="954F72" w:themeColor="followedHyperlink"/>
      <w:u w:val="single"/>
    </w:rPr>
  </w:style>
  <w:style w:type="table" w:styleId="Tablaconcuadrcula">
    <w:name w:val="Table Grid"/>
    <w:basedOn w:val="Tablanormal"/>
    <w:uiPriority w:val="39"/>
    <w:rsid w:val="00FF3119"/>
    <w:pPr>
      <w:spacing w:after="0" w:line="240" w:lineRule="auto"/>
    </w:pPr>
    <w:rPr>
      <w:rFonts w:ascii="Times New Roman" w:eastAsia="Times New Roman" w:hAnsi="Times New Roman" w:cs="Times New Roman"/>
      <w:sz w:val="24"/>
      <w:szCs w:val="24"/>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uiPriority w:val="99"/>
    <w:unhideWhenUsed/>
    <w:qFormat/>
    <w:rsid w:val="00FF3119"/>
    <w:pPr>
      <w:numPr>
        <w:numId w:val="6"/>
      </w:numPr>
      <w:contextualSpacing/>
    </w:pPr>
    <w:rPr>
      <w:sz w:val="20"/>
      <w:szCs w:val="20"/>
      <w:lang w:val="es-ES_tradnl" w:eastAsia="es-ES"/>
    </w:rPr>
  </w:style>
  <w:style w:type="paragraph" w:styleId="Subttulo">
    <w:name w:val="Subtitle"/>
    <w:basedOn w:val="Normal"/>
    <w:next w:val="Normal"/>
    <w:link w:val="SubttuloCar"/>
    <w:rsid w:val="00FF3119"/>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FF3119"/>
    <w:rPr>
      <w:rFonts w:ascii="Georgia" w:eastAsia="Georgia" w:hAnsi="Georgia" w:cs="Georgia"/>
      <w:i/>
      <w:color w:val="666666"/>
      <w:sz w:val="48"/>
      <w:szCs w:val="48"/>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ipomex.org.mx/ipo3/lgt/indice/TESJI/art_92_xxv_b/5.web?token=03AFcWeA4-39g3I3ITY0OT3_HJ8KE75Cec9HI0HN0FMFb9_fI81zdbm8QW_yUbcjAtDfGm0FIsNIc-_NAo505AmCoPZhPGsZymakK1EIPDa9pCYPGSGX5C5s-6VHpyi-yOZ87FASyCVP8bczTy21w-h7NRwJaXeIw2mPrkw3no0BGSQyXvwmvebGZABgi1QBIX-8YkW_BRveYZmV7yt9EkulPvb9gF_ThZnDPq6bPIRa23CQPWl0LGhc-Nb3WASYV_2C7ZFakeWQKpdktBiXKPEgbJspcYVRT-fBSpO1usP76E_HzSJbYwjKU0DUbTYiDBDIq1oq1XCohcj3Vg_rjxvWVrggFxGcWwIX8bZtqIg8NZDtfiMhKNHh34owMgYaHHw140b-G2p-MysqR_xyfPhVYWmbaSRhNzSUzUebZrNu3fR4XJLEDDSqrYAbH8_DCn6tAY84A0Nfh6Vfn9hMyeXkVsGx60bxIGVNNsTfjpNmmOOyHkJdqew0vr_HtEIw6INu9KB2pyioAY2Z-l4g9sWTfoouZHMN7AcJ5pER_NcPVqa7X0OsEyN236UGO1JWGE9HwFvxyMmUykIFWmYK9CpaGbLzaQfOWppj9mm62GUesLIX-8ZsWBCQKxlS17mCUG-_xticSo8xRSlgt05RCBoYQasObiBkeQsjCPDe2grjMeW4ogptPY2NvVjaNBAJJ2tSR0PNl6cY4JqD-6sqUsAWMoqMtubV7dbjDdwY14UEaeavOCYLyJDWMoxOF-RODVBXARrvQEWgJwkrTxZOx-ahkmqQNIxVxbQWx8kNsAcSUbuzItjiR-64AGNGzBCCBUv_7XRbvpfv_JB8MeMXo3LcTqoKONl7UXercVUb9QQUD_YPpYwcJqV0g"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31</Pages>
  <Words>5922</Words>
  <Characters>32574</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inf03m612@outlook.com</cp:lastModifiedBy>
  <cp:revision>7</cp:revision>
  <cp:lastPrinted>2024-11-25T20:34:00Z</cp:lastPrinted>
  <dcterms:created xsi:type="dcterms:W3CDTF">2024-11-19T18:03:00Z</dcterms:created>
  <dcterms:modified xsi:type="dcterms:W3CDTF">2024-12-10T19:06:00Z</dcterms:modified>
</cp:coreProperties>
</file>