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CA4F6C0"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381BB0">
        <w:t>veintiuno</w:t>
      </w:r>
      <w:r w:rsidR="00A04F05">
        <w:t xml:space="preserve"> de 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232F602"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DC4579">
        <w:rPr>
          <w:rFonts w:eastAsia="Palatino Linotype" w:cs="Palatino Linotype"/>
          <w:b/>
          <w:bCs/>
          <w:color w:val="000000" w:themeColor="text1"/>
          <w:lang w:val="es-ES"/>
        </w:rPr>
        <w:t>06060/INFOEM/IP/RR/2024</w:t>
      </w:r>
      <w:r w:rsidRPr="70652167">
        <w:rPr>
          <w:rFonts w:eastAsia="Palatino Linotype" w:cs="Palatino Linotype"/>
          <w:color w:val="000000" w:themeColor="text1"/>
          <w:lang w:val="es-ES"/>
        </w:rPr>
        <w:t xml:space="preserve">, interpuesto por </w:t>
      </w:r>
      <w:r w:rsidR="00C26121">
        <w:rPr>
          <w:rFonts w:eastAsia="Palatino Linotype" w:cs="Palatino Linotype"/>
          <w:b/>
          <w:bCs/>
          <w:color w:val="000000" w:themeColor="text1"/>
          <w:lang w:val="es-ES"/>
        </w:rPr>
        <w:t>XXXXXXXXXXXXXXXXXXXXX</w:t>
      </w:r>
      <w:bookmarkStart w:id="0" w:name="_GoBack"/>
      <w:bookmarkEnd w:id="0"/>
      <w:r w:rsidR="00E97C2F">
        <w:rPr>
          <w:rFonts w:eastAsia="Palatino Linotype" w:cs="Palatino Linotype"/>
          <w:color w:val="000000" w:themeColor="text1"/>
          <w:lang w:val="es-ES"/>
        </w:rPr>
        <w:t xml:space="preserve">, en lo sucesivo </w:t>
      </w:r>
      <w:r w:rsidR="000D603A">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21E81">
        <w:rPr>
          <w:rFonts w:eastAsia="Palatino Linotype" w:cs="Palatino Linotype"/>
          <w:color w:val="000000" w:themeColor="text1"/>
          <w:lang w:val="es-ES"/>
        </w:rPr>
        <w:t xml:space="preserve"> </w:t>
      </w:r>
      <w:r w:rsidR="00920835">
        <w:rPr>
          <w:rFonts w:eastAsia="Palatino Linotype" w:cs="Palatino Linotype"/>
          <w:color w:val="000000" w:themeColor="text1"/>
          <w:lang w:val="es-ES"/>
        </w:rPr>
        <w:t>l</w:t>
      </w:r>
      <w:r w:rsidR="00221E81">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221E81" w:rsidRPr="00221E81">
        <w:rPr>
          <w:rFonts w:eastAsia="Palatino Linotype" w:cs="Palatino Linotype"/>
          <w:b/>
          <w:bCs/>
          <w:color w:val="000000" w:themeColor="text1"/>
          <w:lang w:val="es-ES"/>
        </w:rPr>
        <w:t>Secretaría de Finanzas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E5298D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0D603A">
        <w:rPr>
          <w:rFonts w:eastAsia="Palatino Linotype" w:cs="Palatino Linotype"/>
          <w:color w:val="000000"/>
          <w:szCs w:val="24"/>
        </w:rPr>
        <w:t>veintiocho</w:t>
      </w:r>
      <w:r w:rsidR="00C91850">
        <w:rPr>
          <w:rFonts w:eastAsia="Palatino Linotype" w:cs="Palatino Linotype"/>
          <w:color w:val="000000"/>
          <w:szCs w:val="24"/>
        </w:rPr>
        <w:t xml:space="preserve"> de agosto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0D603A">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FD038E">
        <w:rPr>
          <w:rFonts w:eastAsia="Palatino Linotype" w:cs="Palatino Linotype"/>
          <w:b/>
          <w:bCs/>
          <w:color w:val="000000"/>
          <w:szCs w:val="24"/>
        </w:rPr>
        <w:t>00561/SF/IP/2024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74CAD0F" w:rsidR="00A970D5" w:rsidRPr="006922F5" w:rsidRDefault="70652167" w:rsidP="009950AD">
      <w:pPr>
        <w:pStyle w:val="Fundamentos"/>
      </w:pPr>
      <w:r w:rsidRPr="70652167">
        <w:rPr>
          <w:lang w:val="es-ES"/>
        </w:rPr>
        <w:t>«</w:t>
      </w:r>
      <w:r w:rsidR="00046B11" w:rsidRPr="00046B11">
        <w:rPr>
          <w:lang w:val="es-ES"/>
        </w:rPr>
        <w:t xml:space="preserve">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w:t>
      </w:r>
      <w:proofErr w:type="gramStart"/>
      <w:r w:rsidR="00046B11" w:rsidRPr="00046B11">
        <w:rPr>
          <w:lang w:val="es-ES"/>
        </w:rPr>
        <w:t>relevo</w:t>
      </w:r>
      <w:proofErr w:type="gramEnd"/>
      <w:r w:rsidR="00046B11" w:rsidRPr="00046B11">
        <w:rPr>
          <w:lang w:val="es-ES"/>
        </w:rPr>
        <w:t xml:space="preserve"> favor de especificar. Por otro lado y debido a que no soy experta en administración pública, me permito invocar el "principio pro persona", a fin de que cualquier defecto, falta o fallo detectado en esta redacción se supla o complemente de buena </w:t>
      </w:r>
      <w:proofErr w:type="spellStart"/>
      <w:r w:rsidR="00046B11" w:rsidRPr="00046B11">
        <w:rPr>
          <w:lang w:val="es-ES"/>
        </w:rPr>
        <w:t>fé</w:t>
      </w:r>
      <w:proofErr w:type="spellEnd"/>
      <w:r w:rsidR="00046B11" w:rsidRPr="00046B11">
        <w:rPr>
          <w:lang w:val="es-ES"/>
        </w:rPr>
        <w:t xml:space="preserve"> a </w:t>
      </w:r>
      <w:proofErr w:type="spellStart"/>
      <w:r w:rsidR="00046B11" w:rsidRPr="00046B11">
        <w:rPr>
          <w:lang w:val="es-ES"/>
        </w:rPr>
        <w:t>fn</w:t>
      </w:r>
      <w:proofErr w:type="spellEnd"/>
      <w:r w:rsidR="00046B11" w:rsidRPr="00046B11">
        <w:rPr>
          <w:lang w:val="es-ES"/>
        </w:rPr>
        <w:t xml:space="preserve"> de cumplir a plenitud con los principios de la transparencia y se atienda mi derecho de acceso a la información. Sin más, dejo un cordial saludo. Gracias.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6922F5" w:rsidRDefault="002942EA"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FAF021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916786">
        <w:rPr>
          <w:rFonts w:eastAsia="Palatino Linotype" w:cs="Palatino Linotype"/>
          <w:color w:val="000000"/>
          <w:szCs w:val="24"/>
        </w:rPr>
        <w:t>diecisiete de septiembre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50B2C0F" w14:textId="77777777" w:rsidR="00204D50" w:rsidRDefault="23740614" w:rsidP="00204D50">
      <w:pPr>
        <w:pStyle w:val="Fundamentos"/>
        <w:rPr>
          <w:lang w:val="es-ES"/>
        </w:rPr>
      </w:pPr>
      <w:r w:rsidRPr="23740614">
        <w:rPr>
          <w:lang w:val="es-ES"/>
        </w:rPr>
        <w:t>«</w:t>
      </w:r>
      <w:r w:rsidR="00204D50" w:rsidRPr="00204D50">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A812F5" w14:textId="77777777" w:rsidR="00204D50" w:rsidRPr="00204D50" w:rsidRDefault="00204D50" w:rsidP="00204D50">
      <w:pPr>
        <w:pStyle w:val="Fundamentos"/>
        <w:rPr>
          <w:lang w:val="es-ES"/>
        </w:rPr>
      </w:pPr>
    </w:p>
    <w:p w14:paraId="68A5F584" w14:textId="77777777" w:rsidR="00204D50" w:rsidRDefault="00204D50" w:rsidP="00204D50">
      <w:pPr>
        <w:pStyle w:val="Fundamentos"/>
        <w:rPr>
          <w:lang w:val="es-ES"/>
        </w:rPr>
      </w:pPr>
      <w:r w:rsidRPr="00204D50">
        <w:rPr>
          <w:lang w:val="es-ES"/>
        </w:rPr>
        <w:t>Sobre el particular, sírvase encontrar en archivo adjunto copia del oficio de notificación número 20700004S/UT-1665/2024, mediante el cual se detalla lo referente a su solicitud.</w:t>
      </w:r>
    </w:p>
    <w:p w14:paraId="79EB3556" w14:textId="77777777" w:rsidR="00204D50" w:rsidRPr="00204D50" w:rsidRDefault="00204D50" w:rsidP="00204D50">
      <w:pPr>
        <w:pStyle w:val="Fundamentos"/>
        <w:rPr>
          <w:lang w:val="es-ES"/>
        </w:rPr>
      </w:pPr>
    </w:p>
    <w:p w14:paraId="41C8C064" w14:textId="77777777" w:rsidR="00204D50" w:rsidRPr="00204D50" w:rsidRDefault="00204D50" w:rsidP="00204D50">
      <w:pPr>
        <w:pStyle w:val="Fundamentos"/>
        <w:rPr>
          <w:lang w:val="es-ES"/>
        </w:rPr>
      </w:pPr>
      <w:r w:rsidRPr="00204D50">
        <w:rPr>
          <w:lang w:val="es-ES"/>
        </w:rPr>
        <w:t>ATENTAMENTE</w:t>
      </w:r>
    </w:p>
    <w:p w14:paraId="3FE4A9EF" w14:textId="4D898455" w:rsidR="00A970D5" w:rsidRPr="00404754" w:rsidRDefault="00204D50" w:rsidP="00204D50">
      <w:pPr>
        <w:pStyle w:val="Fundamentos"/>
        <w:rPr>
          <w:lang w:val="es-MX"/>
        </w:rPr>
      </w:pPr>
      <w:r w:rsidRPr="00204D50">
        <w:rPr>
          <w:lang w:val="es-ES"/>
        </w:rPr>
        <w:t>M. en D. Mario Reyes Santos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87A1ACF"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B9082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B9082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B90829">
        <w:rPr>
          <w:rFonts w:eastAsia="Palatino Linotype" w:cs="Palatino Linotype"/>
          <w:color w:val="000000" w:themeColor="text1"/>
          <w:lang w:val="es-ES"/>
        </w:rPr>
        <w:t>s</w:t>
      </w:r>
      <w:r w:rsidR="00204D50">
        <w:rPr>
          <w:rFonts w:eastAsia="Palatino Linotype" w:cs="Palatino Linotype"/>
          <w:color w:val="000000" w:themeColor="text1"/>
          <w:lang w:val="es-ES"/>
        </w:rPr>
        <w:t xml:space="preserve"> </w:t>
      </w:r>
      <w:r w:rsidR="00204D50" w:rsidRPr="70652167">
        <w:rPr>
          <w:rFonts w:eastAsia="Palatino Linotype" w:cs="Palatino Linotype"/>
          <w:b/>
          <w:bCs/>
          <w:color w:val="000000" w:themeColor="text1"/>
          <w:lang w:val="es-ES"/>
        </w:rPr>
        <w:t>«</w:t>
      </w:r>
      <w:r w:rsidR="00BC469F">
        <w:rPr>
          <w:rFonts w:eastAsia="Palatino Linotype" w:cs="Palatino Linotype"/>
          <w:b/>
          <w:bCs/>
          <w:color w:val="000000" w:themeColor="text1"/>
          <w:lang w:val="es-ES"/>
        </w:rPr>
        <w:t>00561 SOLICITANTE</w:t>
      </w:r>
      <w:r w:rsidR="00204D50" w:rsidRPr="70652167">
        <w:rPr>
          <w:rFonts w:eastAsia="Palatino Linotype" w:cs="Palatino Linotype"/>
          <w:b/>
          <w:bCs/>
          <w:color w:val="000000" w:themeColor="text1"/>
          <w:lang w:val="es-ES"/>
        </w:rPr>
        <w:t>.pdf»</w:t>
      </w:r>
      <w:r w:rsidR="00204D50" w:rsidRPr="70652167">
        <w:rPr>
          <w:rFonts w:eastAsia="Palatino Linotype" w:cs="Palatino Linotype"/>
          <w:color w:val="000000" w:themeColor="text1"/>
          <w:lang w:val="es-ES"/>
        </w:rPr>
        <w:t>,</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BC469F">
        <w:rPr>
          <w:rFonts w:eastAsia="Palatino Linotype" w:cs="Palatino Linotype"/>
          <w:b/>
          <w:bCs/>
          <w:color w:val="000000" w:themeColor="text1"/>
          <w:lang w:val="es-ES"/>
        </w:rPr>
        <w:t>00561 COORDINACION JURIDICA</w:t>
      </w:r>
      <w:r w:rsidR="001E4621" w:rsidRPr="70652167">
        <w:rPr>
          <w:rFonts w:eastAsia="Palatino Linotype" w:cs="Palatino Linotype"/>
          <w:b/>
          <w:bCs/>
          <w:color w:val="000000" w:themeColor="text1"/>
          <w:lang w:val="es-ES"/>
        </w:rPr>
        <w:t>.pdf»</w:t>
      </w:r>
      <w:r w:rsidR="00B90829">
        <w:rPr>
          <w:rFonts w:eastAsia="Palatino Linotype" w:cs="Palatino Linotype"/>
          <w:color w:val="000000" w:themeColor="text1"/>
          <w:lang w:val="es-ES"/>
        </w:rPr>
        <w:t xml:space="preserve"> y</w:t>
      </w:r>
      <w:r w:rsidR="001E4621" w:rsidRPr="70652167">
        <w:rPr>
          <w:rFonts w:eastAsia="Palatino Linotype" w:cs="Palatino Linotype"/>
          <w:color w:val="000000" w:themeColor="text1"/>
          <w:lang w:val="es-ES"/>
        </w:rPr>
        <w:t xml:space="preserve"> </w:t>
      </w:r>
      <w:r w:rsidR="00B90829" w:rsidRPr="70652167">
        <w:rPr>
          <w:rFonts w:eastAsia="Palatino Linotype" w:cs="Palatino Linotype"/>
          <w:b/>
          <w:bCs/>
          <w:color w:val="000000" w:themeColor="text1"/>
          <w:lang w:val="es-ES"/>
        </w:rPr>
        <w:t>«</w:t>
      </w:r>
      <w:r w:rsidR="00D47CE8">
        <w:rPr>
          <w:rFonts w:eastAsia="Palatino Linotype" w:cs="Palatino Linotype"/>
          <w:b/>
          <w:bCs/>
          <w:color w:val="000000" w:themeColor="text1"/>
          <w:lang w:val="es-ES"/>
        </w:rPr>
        <w:t>00561 ORGANO INTERNO DE CONTROL</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667ACE3"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916786">
        <w:rPr>
          <w:rFonts w:eastAsia="Palatino Linotype" w:cs="Palatino Linotype"/>
          <w:color w:val="000000"/>
          <w:szCs w:val="24"/>
        </w:rPr>
        <w:t>la</w:t>
      </w:r>
      <w:r w:rsidRPr="0090115A">
        <w:rPr>
          <w:rFonts w:eastAsia="Palatino Linotype" w:cs="Palatino Linotype"/>
          <w:color w:val="000000"/>
          <w:szCs w:val="24"/>
        </w:rPr>
        <w:t xml:space="preserve"> Recurrente interpuso el presente recurso de revisión el día </w:t>
      </w:r>
      <w:r w:rsidR="00F619CA">
        <w:rPr>
          <w:rFonts w:eastAsia="Palatino Linotype" w:cs="Palatino Linotype"/>
          <w:color w:val="000000"/>
          <w:szCs w:val="24"/>
        </w:rPr>
        <w:t>ocho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en el SAIMEX con el expediente </w:t>
      </w:r>
      <w:r w:rsidR="00DC4579">
        <w:rPr>
          <w:rFonts w:eastAsia="Palatino Linotype" w:cs="Palatino Linotype"/>
          <w:b/>
          <w:color w:val="000000"/>
          <w:szCs w:val="24"/>
        </w:rPr>
        <w:t>06060/INFOEM/IP/RR/2024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4D825B41" w:rsidR="00A970D5" w:rsidRPr="006922F5" w:rsidRDefault="5C35490E" w:rsidP="5C35490E">
      <w:pPr>
        <w:pStyle w:val="Fundamentos"/>
        <w:rPr>
          <w:b/>
          <w:bCs/>
          <w:lang w:val="es-ES"/>
        </w:rPr>
      </w:pPr>
      <w:r w:rsidRPr="5C35490E">
        <w:rPr>
          <w:lang w:val="es-ES"/>
        </w:rPr>
        <w:t>«</w:t>
      </w:r>
      <w:r w:rsidR="008D7FFC" w:rsidRPr="008D7FFC">
        <w:rPr>
          <w:lang w:val="es-ES"/>
        </w:rPr>
        <w:t>Respuesta incongruente en relación a lo solicitado.</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41253AD" w:rsidR="00300EA0" w:rsidRPr="006922F5" w:rsidRDefault="00300EA0" w:rsidP="00300EA0">
      <w:pPr>
        <w:pStyle w:val="Fundamentos"/>
        <w:rPr>
          <w:b/>
          <w:bCs/>
          <w:lang w:val="es-ES"/>
        </w:rPr>
      </w:pPr>
      <w:r w:rsidRPr="5C35490E">
        <w:rPr>
          <w:lang w:val="es-ES"/>
        </w:rPr>
        <w:t>«</w:t>
      </w:r>
      <w:r w:rsidR="008D7FFC" w:rsidRPr="008D7FFC">
        <w:t xml:space="preserve">Por medio del presente recurso solicito atentamente a los integrantes de ese órgano garante se revise la respuesta entregada a esta particular, dado que no corresponde a lo solicitado. Por una parte se me entregan respuestas de dos áreas </w:t>
      </w:r>
      <w:proofErr w:type="spellStart"/>
      <w:r w:rsidR="008D7FFC" w:rsidRPr="008D7FFC">
        <w:t>admnistrativas</w:t>
      </w:r>
      <w:proofErr w:type="spellEnd"/>
      <w:r w:rsidR="008D7FFC" w:rsidRPr="008D7FFC">
        <w:t xml:space="preserve"> a las que no </w:t>
      </w:r>
      <w:proofErr w:type="spellStart"/>
      <w:r w:rsidR="008D7FFC" w:rsidRPr="008D7FFC">
        <w:t>dirijí</w:t>
      </w:r>
      <w:proofErr w:type="spellEnd"/>
      <w:r w:rsidR="008D7FFC" w:rsidRPr="008D7FFC">
        <w:t xml:space="preserve"> de manera directa mi solicitud (Coordinación Jurídica de Igualdad de Género y el Órgano Interno de Control) y por lado se señala que no precise el área a la que iba dirigida, sin embargo no es así. Claramente cite a los titulares de área y eso incluye </w:t>
      </w:r>
      <w:proofErr w:type="spellStart"/>
      <w:r w:rsidR="008D7FFC" w:rsidRPr="008D7FFC">
        <w:t>porsupuesto</w:t>
      </w:r>
      <w:proofErr w:type="spellEnd"/>
      <w:r w:rsidR="008D7FFC" w:rsidRPr="008D7FFC">
        <w:t xml:space="preserve"> a la Secretaria de Finanzas cómo tal, pues es a esa instancia y no otra a la que presente mi solicitud pues es justamente la opción que aparece como "sujeto obligado" en el apartado de opciones del IPOMEX para presentar las solicitudes. De ahí se desprende claramente a que titular me refiero, pero </w:t>
      </w:r>
      <w:proofErr w:type="spellStart"/>
      <w:r w:rsidR="008D7FFC" w:rsidRPr="008D7FFC">
        <w:t>aún</w:t>
      </w:r>
      <w:proofErr w:type="spellEnd"/>
      <w:r w:rsidR="008D7FFC" w:rsidRPr="008D7FFC">
        <w:t xml:space="preserve"> así use la palabra "titulares" en referencia al relevo de secretarios (secretario a secretaria) que se dio con el relevo en el Poder Ejecutivo, por si acaso cito este contexto en mi propia solicitud. Por lo anterior reitero mi petición y solicito </w:t>
      </w:r>
      <w:proofErr w:type="spellStart"/>
      <w:r w:rsidR="008D7FFC" w:rsidRPr="008D7FFC">
        <w:t>atentamete</w:t>
      </w:r>
      <w:proofErr w:type="spellEnd"/>
      <w:r w:rsidR="008D7FFC" w:rsidRPr="008D7FFC">
        <w:t xml:space="preserve"> a este órgano garante de la transparencia y acceso a la información pública se revise la "no respuesta" entregada. No obvio mencionar que la gobernadora Delfina Gómez ofreció una administración totalmente transparente como una forma de combatir la corrupción, sin embargo la respuesta que me da la Secretaria de Finanzas no abona a ese propósito. Por otro lado solicito me permito solicitar que cualquier discusión o medida que se asuma en torno a este recurso, contemple el principio "pro persona", a fin de que mis derechos ciudadanos de acceso a la información no sean atropellados. Gracias.</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121FA77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DD3886">
        <w:rPr>
          <w:rFonts w:eastAsia="Palatino Linotype" w:cs="Palatino Linotype"/>
          <w:color w:val="000000" w:themeColor="text1"/>
          <w:lang w:val="es-ES"/>
        </w:rPr>
        <w:t>d</w:t>
      </w:r>
      <w:r w:rsidR="00822680">
        <w:rPr>
          <w:rFonts w:eastAsia="Palatino Linotype" w:cs="Palatino Linotype"/>
          <w:color w:val="000000" w:themeColor="text1"/>
          <w:lang w:val="es-ES"/>
        </w:rPr>
        <w:t>ie</w:t>
      </w:r>
      <w:r w:rsidR="00A7070E">
        <w:rPr>
          <w:rFonts w:eastAsia="Palatino Linotype" w:cs="Palatino Linotype"/>
          <w:color w:val="000000" w:themeColor="text1"/>
          <w:lang w:val="es-ES"/>
        </w:rPr>
        <w:t xml:space="preserve">z de </w:t>
      </w:r>
      <w:r w:rsidR="008D7FFC">
        <w:rPr>
          <w:rFonts w:eastAsia="Palatino Linotype" w:cs="Palatino Linotype"/>
          <w:color w:val="000000" w:themeColor="text1"/>
          <w:lang w:val="es-ES"/>
        </w:rPr>
        <w:t>octubre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lastRenderedPageBreak/>
        <w:t>QUINTO</w:t>
      </w:r>
      <w:r w:rsidR="00A970D5" w:rsidRPr="006922F5">
        <w:rPr>
          <w:rFonts w:eastAsia="Palatino Linotype"/>
        </w:rPr>
        <w:t>. De la etapa de instrucción.</w:t>
      </w:r>
    </w:p>
    <w:p w14:paraId="609BD12D" w14:textId="1FDDE4AF" w:rsidR="00BF1812" w:rsidRPr="00875A72" w:rsidRDefault="3DFFB217" w:rsidP="3DFFB217">
      <w:pPr>
        <w:pBdr>
          <w:top w:val="nil"/>
          <w:left w:val="nil"/>
          <w:bottom w:val="nil"/>
          <w:right w:val="nil"/>
          <w:between w:val="nil"/>
        </w:pBdr>
        <w:rPr>
          <w:rFonts w:eastAsia="Palatino Linotype" w:cs="Palatino Linotype"/>
          <w:color w:val="000000"/>
          <w:lang w:val="es-ES"/>
        </w:rPr>
      </w:pPr>
      <w:r w:rsidRPr="3DFFB217">
        <w:rPr>
          <w:rFonts w:eastAsia="Palatino Linotype" w:cs="Palatino Linotype"/>
          <w:color w:val="000000" w:themeColor="text1"/>
          <w:lang w:val="es-ES"/>
        </w:rPr>
        <w:t xml:space="preserve">Durante la etapa de instrucción, en el sumario se observa que el veintidós de octubre de dos mil veinticuatro, el Sujeto Obligado rindió su Informe Justificado mediante la presentación de los documentos denominados </w:t>
      </w:r>
      <w:r w:rsidRPr="3DFFB217">
        <w:rPr>
          <w:rFonts w:eastAsia="Palatino Linotype" w:cs="Palatino Linotype"/>
          <w:b/>
          <w:bCs/>
          <w:color w:val="000000" w:themeColor="text1"/>
          <w:lang w:val="es-ES"/>
        </w:rPr>
        <w:t>«RR 06060-2024 INFORME JUSTIFICADO.pdf»</w:t>
      </w:r>
      <w:r w:rsidRPr="3DFFB217">
        <w:rPr>
          <w:rFonts w:eastAsia="Palatino Linotype" w:cs="Palatino Linotype"/>
          <w:color w:val="000000" w:themeColor="text1"/>
          <w:lang w:val="es-ES"/>
        </w:rPr>
        <w:t xml:space="preserve">, </w:t>
      </w:r>
      <w:r w:rsidRPr="3DFFB217">
        <w:rPr>
          <w:rFonts w:eastAsia="Palatino Linotype" w:cs="Palatino Linotype"/>
          <w:b/>
          <w:bCs/>
          <w:color w:val="000000" w:themeColor="text1"/>
          <w:lang w:val="es-ES"/>
        </w:rPr>
        <w:t>«RR 0606-2024 COORDINACION JURIDICA.pdf»</w:t>
      </w:r>
      <w:r w:rsidRPr="3DFFB217">
        <w:rPr>
          <w:rFonts w:eastAsia="Palatino Linotype" w:cs="Palatino Linotype"/>
          <w:color w:val="000000" w:themeColor="text1"/>
          <w:lang w:val="es-ES"/>
        </w:rPr>
        <w:t xml:space="preserve"> y </w:t>
      </w:r>
      <w:r w:rsidRPr="3DFFB217">
        <w:rPr>
          <w:rFonts w:eastAsia="Palatino Linotype" w:cs="Palatino Linotype"/>
          <w:b/>
          <w:bCs/>
          <w:color w:val="000000" w:themeColor="text1"/>
          <w:lang w:val="es-ES"/>
        </w:rPr>
        <w:t>«RR 06060-2024 OIC.pdf»</w:t>
      </w:r>
      <w:r w:rsidRPr="3DFFB217">
        <w:rPr>
          <w:rFonts w:eastAsia="Palatino Linotype" w:cs="Palatino Linotype"/>
          <w:color w:val="000000" w:themeColor="text1"/>
          <w:lang w:val="es-ES"/>
        </w:rPr>
        <w:t xml:space="preserve">, los cuales fueron puestos a la vista de la Recurrente mediante acuerdo de fecha veintitrés de octubre del año en curso, en términos de la fracción III del artículo 185 de la Ley de Transparencia y Acceso a la Información Pública del Estado de México y Municipios, otorgando al solicitante un término de tres días para manifestar lo que a su derecho conviniera. Por su parte, el veinticuatro de octubre de dos mil veinticuatro, la Recurrente realizó sus manifestaciones presentando el documento denominado </w:t>
      </w:r>
      <w:r w:rsidRPr="3DFFB217">
        <w:rPr>
          <w:rFonts w:eastAsia="Palatino Linotype" w:cs="Palatino Linotype"/>
          <w:b/>
          <w:bCs/>
          <w:color w:val="000000" w:themeColor="text1"/>
          <w:lang w:val="es-ES"/>
        </w:rPr>
        <w:t>«RATIFICACIÓN RECURSO DE INCONFORMIDAD.pdf»</w:t>
      </w:r>
      <w:r w:rsidRPr="3DFFB217">
        <w:rPr>
          <w:rFonts w:eastAsia="Palatino Linotype" w:cs="Palatino Linotype"/>
          <w:color w:val="000000" w:themeColor="text1"/>
          <w:lang w:val="es-ES"/>
        </w:rPr>
        <w:t>. El contenido de los documentos referidos será motivo de análisis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280DA815"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992AA9">
        <w:rPr>
          <w:rFonts w:eastAsia="Palatino Linotype" w:cs="Palatino Linotype"/>
          <w:color w:val="000000"/>
          <w:szCs w:val="24"/>
        </w:rPr>
        <w:t>treinta de octubre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F5A152D" w14:textId="039894BB" w:rsidR="00FD1FA6" w:rsidRPr="00546575" w:rsidRDefault="00992AA9" w:rsidP="00FD1FA6">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5B547E">
        <w:rPr>
          <w:rFonts w:eastAsiaTheme="minorHAnsi" w:cstheme="minorBidi"/>
          <w:szCs w:val="24"/>
          <w:lang w:eastAsia="en-US"/>
        </w:rPr>
        <w:t>---------------------------------------------------------------------------------------------------------------------</w:t>
      </w: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598A791" w14:textId="77777777" w:rsidR="00275599" w:rsidRDefault="00275599" w:rsidP="006922F5"/>
    <w:p w14:paraId="7E828C31" w14:textId="777A98BF" w:rsidR="00454915" w:rsidRPr="006922F5" w:rsidRDefault="00E63F82" w:rsidP="00454915">
      <w:pPr>
        <w:pStyle w:val="Ttulo2"/>
        <w:rPr>
          <w:rFonts w:eastAsia="Palatino Linotype"/>
        </w:rPr>
      </w:pPr>
      <w:r>
        <w:rPr>
          <w:rFonts w:eastAsia="Palatino Linotype"/>
        </w:rPr>
        <w:lastRenderedPageBreak/>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E32C07B" w:rsidR="00454915" w:rsidRPr="006922F5" w:rsidRDefault="00E63F82"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1D1FB6CF" w:rsidR="00391CB5" w:rsidRDefault="004A3367" w:rsidP="00BB404F">
      <w:pPr>
        <w:rPr>
          <w:rFonts w:eastAsiaTheme="minorHAnsi" w:cstheme="minorBidi"/>
          <w:lang w:eastAsia="en-US"/>
        </w:rPr>
      </w:pPr>
      <w:r w:rsidRPr="00D42552">
        <w:rPr>
          <w:rFonts w:eastAsiaTheme="minorHAnsi" w:cstheme="minorBidi"/>
          <w:szCs w:val="24"/>
          <w:lang w:eastAsia="en-US"/>
        </w:rPr>
        <w:lastRenderedPageBreak/>
        <w:t xml:space="preserve">En virtud de lo anterior, es conveniente recordar que </w:t>
      </w:r>
      <w:r w:rsidR="00E63F82">
        <w:rPr>
          <w:rFonts w:eastAsiaTheme="minorHAnsi" w:cstheme="minorBidi"/>
          <w:szCs w:val="24"/>
          <w:lang w:eastAsia="en-US"/>
        </w:rPr>
        <w:t>la</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745087">
        <w:rPr>
          <w:rFonts w:eastAsiaTheme="minorHAnsi" w:cstheme="minorBidi"/>
          <w:szCs w:val="24"/>
          <w:lang w:eastAsia="en-US"/>
        </w:rPr>
        <w:t xml:space="preserve">proporcionara </w:t>
      </w:r>
      <w:r w:rsidR="00E63F82">
        <w:rPr>
          <w:rFonts w:eastAsiaTheme="minorHAnsi" w:cstheme="minorBidi"/>
          <w:szCs w:val="24"/>
          <w:lang w:eastAsia="en-US"/>
        </w:rPr>
        <w:t>lo siguiente:</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3331B99D" w14:textId="3CFBC018" w:rsidR="00E63F82" w:rsidRPr="00C05172" w:rsidRDefault="3DFFB217" w:rsidP="00C55387">
      <w:pPr>
        <w:pStyle w:val="Prrafodelista"/>
        <w:numPr>
          <w:ilvl w:val="0"/>
          <w:numId w:val="51"/>
        </w:numPr>
        <w:pBdr>
          <w:top w:val="nil"/>
          <w:left w:val="nil"/>
          <w:bottom w:val="nil"/>
          <w:right w:val="nil"/>
          <w:between w:val="nil"/>
        </w:pBdr>
        <w:contextualSpacing/>
        <w:rPr>
          <w:rFonts w:eastAsia="Palatino Linotype" w:cs="Palatino Linotype"/>
          <w:color w:val="000000"/>
        </w:rPr>
      </w:pPr>
      <w:r w:rsidRPr="3DFFB217">
        <w:rPr>
          <w:rFonts w:eastAsia="Palatino Linotype" w:cs="Palatino Linotype"/>
          <w:color w:val="000000" w:themeColor="text1"/>
        </w:rPr>
        <w:t xml:space="preserve">Copia de las actas de entrega recepción que se firmaron con el relevo o cambio en la administración pública de septiembre del 2023 y que se firmaron entre los nuevos titulares y los anteriores en esa Dependencia. Y, en el supuesto de no haberse realizado el relevo, se especifique. </w:t>
      </w:r>
    </w:p>
    <w:p w14:paraId="48760FE3" w14:textId="77777777" w:rsidR="00E63F82" w:rsidRDefault="00E63F82" w:rsidP="00B62DEC">
      <w:pPr>
        <w:pBdr>
          <w:top w:val="nil"/>
          <w:left w:val="nil"/>
          <w:bottom w:val="nil"/>
          <w:right w:val="nil"/>
          <w:between w:val="nil"/>
        </w:pBdr>
        <w:contextualSpacing/>
        <w:rPr>
          <w:rFonts w:eastAsia="Palatino Linotype" w:cs="Palatino Linotype"/>
          <w:color w:val="000000"/>
          <w:szCs w:val="24"/>
        </w:rPr>
      </w:pPr>
    </w:p>
    <w:p w14:paraId="494F2E41" w14:textId="08A4B999"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003A8F">
        <w:rPr>
          <w:rFonts w:eastAsia="Palatino Linotype" w:cs="Palatino Linotype"/>
          <w:color w:val="000000"/>
          <w:szCs w:val="24"/>
        </w:rPr>
        <w:t xml:space="preserve"> </w:t>
      </w:r>
      <w:r w:rsidR="00E25725">
        <w:rPr>
          <w:rFonts w:eastAsia="Palatino Linotype" w:cs="Palatino Linotype"/>
          <w:color w:val="000000"/>
          <w:szCs w:val="24"/>
        </w:rPr>
        <w:t>l</w:t>
      </w:r>
      <w:r w:rsidR="00003A8F">
        <w:rPr>
          <w:rFonts w:eastAsia="Palatino Linotype" w:cs="Palatino Linotype"/>
          <w:color w:val="000000"/>
          <w:szCs w:val="24"/>
        </w:rPr>
        <w:t>os</w:t>
      </w:r>
      <w:r w:rsidR="001F2F39">
        <w:rPr>
          <w:rFonts w:eastAsia="Palatino Linotype" w:cs="Palatino Linotype"/>
          <w:color w:val="000000"/>
          <w:szCs w:val="24"/>
        </w:rPr>
        <w:t xml:space="preserve"> </w:t>
      </w:r>
      <w:r w:rsidR="006B1E90">
        <w:rPr>
          <w:rFonts w:eastAsia="Palatino Linotype" w:cs="Palatino Linotype"/>
          <w:color w:val="000000"/>
          <w:szCs w:val="24"/>
        </w:rPr>
        <w:t>siguientes documentos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720D4B41" w14:textId="227B9A5E" w:rsidR="00C05172" w:rsidRPr="00C05172" w:rsidRDefault="00C05172" w:rsidP="00C05172">
      <w:pPr>
        <w:pStyle w:val="Prrafodelista"/>
        <w:numPr>
          <w:ilvl w:val="0"/>
          <w:numId w:val="28"/>
        </w:numPr>
        <w:rPr>
          <w:rFonts w:eastAsia="Palatino Linotype" w:cs="Palatino Linotype"/>
          <w:color w:val="000000" w:themeColor="text1"/>
        </w:rPr>
      </w:pPr>
      <w:r>
        <w:rPr>
          <w:rFonts w:eastAsia="Palatino Linotype" w:cs="Palatino Linotype"/>
          <w:b/>
          <w:bCs/>
          <w:color w:val="000000" w:themeColor="text1"/>
        </w:rPr>
        <w:t>00561 SOLICITANTE</w:t>
      </w:r>
      <w:r w:rsidRPr="70652167">
        <w:rPr>
          <w:rFonts w:eastAsia="Palatino Linotype" w:cs="Palatino Linotype"/>
          <w:b/>
          <w:bCs/>
          <w:color w:val="000000" w:themeColor="text1"/>
        </w:rPr>
        <w:t>.pdf</w:t>
      </w:r>
      <w:r>
        <w:rPr>
          <w:rFonts w:eastAsia="Palatino Linotype" w:cs="Palatino Linotype"/>
          <w:color w:val="000000" w:themeColor="text1"/>
        </w:rPr>
        <w:t>.</w:t>
      </w:r>
      <w:r w:rsidR="003848AF">
        <w:rPr>
          <w:rFonts w:eastAsia="Palatino Linotype" w:cs="Palatino Linotype"/>
          <w:color w:val="000000" w:themeColor="text1"/>
        </w:rPr>
        <w:t xml:space="preserve"> Oficio número 2070000</w:t>
      </w:r>
      <w:r w:rsidR="006E0A8C">
        <w:rPr>
          <w:rFonts w:eastAsia="Palatino Linotype" w:cs="Palatino Linotype"/>
          <w:color w:val="000000" w:themeColor="text1"/>
        </w:rPr>
        <w:t>4S</w:t>
      </w:r>
      <w:r w:rsidR="006555A6">
        <w:rPr>
          <w:rFonts w:eastAsia="Palatino Linotype" w:cs="Palatino Linotype"/>
          <w:color w:val="000000" w:themeColor="text1"/>
        </w:rPr>
        <w:t xml:space="preserve">/UT-1665/2024 signado por </w:t>
      </w:r>
      <w:r w:rsidR="003E7F16">
        <w:rPr>
          <w:rFonts w:eastAsia="Palatino Linotype" w:cs="Palatino Linotype"/>
          <w:color w:val="000000" w:themeColor="text1"/>
        </w:rPr>
        <w:t>el Jefe de la Unidad de Información, Pl</w:t>
      </w:r>
      <w:r w:rsidR="00BD099D">
        <w:rPr>
          <w:rFonts w:eastAsia="Palatino Linotype" w:cs="Palatino Linotype"/>
          <w:color w:val="000000" w:themeColor="text1"/>
        </w:rPr>
        <w:t>aneación, Programación y Evaluación y Titular de la Unidad de Transparencia, con el que se señaló que se hacía entrega de las respuestas emitidas por la Coordinación Jurídica y el Órgano Interno de Control</w:t>
      </w:r>
      <w:r w:rsidR="005C1B39">
        <w:rPr>
          <w:rFonts w:eastAsia="Palatino Linotype" w:cs="Palatino Linotype"/>
          <w:color w:val="000000" w:themeColor="text1"/>
        </w:rPr>
        <w:t>.</w:t>
      </w:r>
    </w:p>
    <w:p w14:paraId="5A02031B" w14:textId="7A07546B" w:rsidR="00C05172" w:rsidRPr="00C05172" w:rsidRDefault="00C05172" w:rsidP="00C05172">
      <w:pPr>
        <w:pStyle w:val="Prrafodelista"/>
        <w:numPr>
          <w:ilvl w:val="0"/>
          <w:numId w:val="28"/>
        </w:numPr>
        <w:rPr>
          <w:rFonts w:eastAsia="Palatino Linotype" w:cs="Palatino Linotype"/>
          <w:color w:val="000000" w:themeColor="text1"/>
        </w:rPr>
      </w:pPr>
      <w:r>
        <w:rPr>
          <w:rFonts w:eastAsia="Palatino Linotype" w:cs="Palatino Linotype"/>
          <w:b/>
          <w:bCs/>
          <w:color w:val="000000" w:themeColor="text1"/>
        </w:rPr>
        <w:t>00561 COORDINACION JURIDICA</w:t>
      </w:r>
      <w:r w:rsidRPr="70652167">
        <w:rPr>
          <w:rFonts w:eastAsia="Palatino Linotype" w:cs="Palatino Linotype"/>
          <w:b/>
          <w:bCs/>
          <w:color w:val="000000" w:themeColor="text1"/>
        </w:rPr>
        <w:t>.pdf</w:t>
      </w:r>
      <w:r>
        <w:rPr>
          <w:rFonts w:eastAsia="Palatino Linotype" w:cs="Palatino Linotype"/>
          <w:color w:val="000000" w:themeColor="text1"/>
        </w:rPr>
        <w:t>.</w:t>
      </w:r>
      <w:r w:rsidR="000D64F5">
        <w:rPr>
          <w:rFonts w:eastAsia="Palatino Linotype" w:cs="Palatino Linotype"/>
          <w:color w:val="000000" w:themeColor="text1"/>
        </w:rPr>
        <w:t xml:space="preserve"> Oficio </w:t>
      </w:r>
      <w:r w:rsidR="006E0A8C">
        <w:rPr>
          <w:rFonts w:eastAsia="Palatino Linotype" w:cs="Palatino Linotype"/>
          <w:color w:val="000000" w:themeColor="text1"/>
        </w:rPr>
        <w:t>207700005A</w:t>
      </w:r>
      <w:r w:rsidR="00BF0A50">
        <w:rPr>
          <w:rFonts w:eastAsia="Palatino Linotype" w:cs="Palatino Linotype"/>
          <w:color w:val="000000" w:themeColor="text1"/>
        </w:rPr>
        <w:t xml:space="preserve">/035/2024 emitido por la </w:t>
      </w:r>
      <w:r w:rsidR="00F41850">
        <w:rPr>
          <w:rFonts w:eastAsia="Palatino Linotype" w:cs="Palatino Linotype"/>
          <w:color w:val="000000" w:themeColor="text1"/>
        </w:rPr>
        <w:t xml:space="preserve">servidora pública habilitada de la </w:t>
      </w:r>
      <w:r w:rsidR="00BF0A50">
        <w:rPr>
          <w:rFonts w:eastAsia="Palatino Linotype" w:cs="Palatino Linotype"/>
          <w:color w:val="000000" w:themeColor="text1"/>
        </w:rPr>
        <w:t xml:space="preserve">Coordinación Jurídica de Igualdad de Género </w:t>
      </w:r>
      <w:r w:rsidR="002F61D3">
        <w:rPr>
          <w:rFonts w:eastAsia="Palatino Linotype" w:cs="Palatino Linotype"/>
          <w:color w:val="000000" w:themeColor="text1"/>
        </w:rPr>
        <w:t xml:space="preserve">y Erradicación de la Violencia, </w:t>
      </w:r>
      <w:r w:rsidR="00F41850">
        <w:rPr>
          <w:rFonts w:eastAsia="Palatino Linotype" w:cs="Palatino Linotype"/>
          <w:color w:val="000000" w:themeColor="text1"/>
        </w:rPr>
        <w:t>quien man</w:t>
      </w:r>
      <w:r w:rsidR="00070A4C">
        <w:rPr>
          <w:rFonts w:eastAsia="Palatino Linotype" w:cs="Palatino Linotype"/>
          <w:color w:val="000000" w:themeColor="text1"/>
        </w:rPr>
        <w:t>i</w:t>
      </w:r>
      <w:r w:rsidR="00F41850">
        <w:rPr>
          <w:rFonts w:eastAsia="Palatino Linotype" w:cs="Palatino Linotype"/>
          <w:color w:val="000000" w:themeColor="text1"/>
        </w:rPr>
        <w:t>festó</w:t>
      </w:r>
      <w:r w:rsidR="00070A4C">
        <w:rPr>
          <w:rFonts w:eastAsia="Palatino Linotype" w:cs="Palatino Linotype"/>
          <w:color w:val="000000" w:themeColor="text1"/>
        </w:rPr>
        <w:t xml:space="preserve"> que</w:t>
      </w:r>
      <w:r w:rsidR="004157A7">
        <w:rPr>
          <w:rFonts w:eastAsia="Palatino Linotype" w:cs="Palatino Linotype"/>
          <w:color w:val="000000" w:themeColor="text1"/>
        </w:rPr>
        <w:t xml:space="preserve"> la solicitante no precisó a qué dependencia, unidad administrativa u organismo auxiliar se refiere, por lo que se requiere que se complemente, corrija o amplíe los datos a efecto de orientar la búsqueda de la información correspondiente y atender la solicitud.</w:t>
      </w:r>
    </w:p>
    <w:p w14:paraId="61D7C787" w14:textId="0682C1BC" w:rsidR="00E25725" w:rsidRPr="00532C9B" w:rsidRDefault="00C05172" w:rsidP="00C05172">
      <w:pPr>
        <w:pStyle w:val="Prrafodelista"/>
        <w:numPr>
          <w:ilvl w:val="0"/>
          <w:numId w:val="28"/>
        </w:numPr>
        <w:rPr>
          <w:rFonts w:eastAsia="Palatino Linotype" w:cs="Palatino Linotype"/>
          <w:color w:val="000000" w:themeColor="text1"/>
        </w:rPr>
      </w:pPr>
      <w:r>
        <w:rPr>
          <w:rFonts w:eastAsia="Palatino Linotype" w:cs="Palatino Linotype"/>
          <w:b/>
          <w:bCs/>
          <w:color w:val="000000" w:themeColor="text1"/>
        </w:rPr>
        <w:t>00561 ORGANO INTERNO DE CONTROL</w:t>
      </w:r>
      <w:r w:rsidRPr="70652167">
        <w:rPr>
          <w:rFonts w:eastAsia="Palatino Linotype" w:cs="Palatino Linotype"/>
          <w:b/>
          <w:bCs/>
          <w:color w:val="000000" w:themeColor="text1"/>
        </w:rPr>
        <w:t>.pdf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532C9B">
        <w:rPr>
          <w:rFonts w:eastAsia="Palatino Linotype" w:cs="Palatino Linotype"/>
          <w:bCs/>
          <w:color w:val="000000"/>
          <w:lang w:val="es-ES_tradnl"/>
        </w:rPr>
        <w:t>Documento que contiene los siguientes elementos:</w:t>
      </w:r>
    </w:p>
    <w:p w14:paraId="30A28E51" w14:textId="46F5489B" w:rsidR="00532C9B" w:rsidRDefault="00B0254D" w:rsidP="00532C9B">
      <w:pPr>
        <w:pStyle w:val="Prrafodelista"/>
        <w:numPr>
          <w:ilvl w:val="1"/>
          <w:numId w:val="28"/>
        </w:numPr>
        <w:rPr>
          <w:rFonts w:eastAsia="Palatino Linotype" w:cs="Palatino Linotype"/>
          <w:color w:val="000000" w:themeColor="text1"/>
        </w:rPr>
      </w:pPr>
      <w:r>
        <w:rPr>
          <w:rFonts w:eastAsia="Palatino Linotype" w:cs="Palatino Linotype"/>
          <w:color w:val="000000" w:themeColor="text1"/>
        </w:rPr>
        <w:lastRenderedPageBreak/>
        <w:t>Oficio 20700003000500S-704/2024</w:t>
      </w:r>
      <w:r w:rsidR="00DE7D89">
        <w:rPr>
          <w:rFonts w:eastAsia="Palatino Linotype" w:cs="Palatino Linotype"/>
          <w:color w:val="000000" w:themeColor="text1"/>
        </w:rPr>
        <w:t xml:space="preserve"> suscrito por </w:t>
      </w:r>
      <w:r w:rsidR="00991DAF">
        <w:rPr>
          <w:rFonts w:eastAsia="Palatino Linotype" w:cs="Palatino Linotype"/>
          <w:color w:val="000000" w:themeColor="text1"/>
        </w:rPr>
        <w:t>el servidor público habilitado del Órgano Interno de Control, con el que se señaló que se adjuntan las respuestas de los titulares de las áreas de Auditoría.</w:t>
      </w:r>
    </w:p>
    <w:p w14:paraId="587B7D1C" w14:textId="7EB47C39" w:rsidR="00991DAF" w:rsidRDefault="00E6679D" w:rsidP="00532C9B">
      <w:pPr>
        <w:pStyle w:val="Prrafodelista"/>
        <w:numPr>
          <w:ilvl w:val="1"/>
          <w:numId w:val="28"/>
        </w:numPr>
        <w:rPr>
          <w:rFonts w:eastAsia="Palatino Linotype" w:cs="Palatino Linotype"/>
          <w:color w:val="000000" w:themeColor="text1"/>
        </w:rPr>
      </w:pPr>
      <w:r>
        <w:rPr>
          <w:rFonts w:eastAsia="Palatino Linotype" w:cs="Palatino Linotype"/>
          <w:color w:val="000000" w:themeColor="text1"/>
        </w:rPr>
        <w:t>Oficio 20700003000000S-370/2024 signado por el Titular del Área de Auditor</w:t>
      </w:r>
      <w:r w:rsidR="0083178A">
        <w:rPr>
          <w:rFonts w:eastAsia="Palatino Linotype" w:cs="Palatino Linotype"/>
          <w:color w:val="000000" w:themeColor="text1"/>
        </w:rPr>
        <w:t xml:space="preserve">ía, quien manifestó que esa unidad administrativa no participo en actos de entrega recepción relacionados con </w:t>
      </w:r>
      <w:r w:rsidR="008600A9">
        <w:rPr>
          <w:rFonts w:eastAsia="Palatino Linotype" w:cs="Palatino Linotype"/>
          <w:color w:val="000000" w:themeColor="text1"/>
        </w:rPr>
        <w:t>entregas de servidores públicos adscritos a la Secretaría de Finanzas.</w:t>
      </w:r>
    </w:p>
    <w:p w14:paraId="64AECF95" w14:textId="320693C6" w:rsidR="008600A9" w:rsidRDefault="00F74CA2" w:rsidP="00532C9B">
      <w:pPr>
        <w:pStyle w:val="Prrafodelista"/>
        <w:numPr>
          <w:ilvl w:val="1"/>
          <w:numId w:val="28"/>
        </w:numPr>
        <w:rPr>
          <w:rFonts w:eastAsia="Palatino Linotype" w:cs="Palatino Linotype"/>
          <w:color w:val="000000" w:themeColor="text1"/>
        </w:rPr>
      </w:pPr>
      <w:r>
        <w:rPr>
          <w:rFonts w:eastAsia="Palatino Linotype" w:cs="Palatino Linotype"/>
          <w:color w:val="000000" w:themeColor="text1"/>
        </w:rPr>
        <w:t>Oficio 20700003000300S-455/2024</w:t>
      </w:r>
      <w:r w:rsidR="006209FE">
        <w:rPr>
          <w:rFonts w:eastAsia="Palatino Linotype" w:cs="Palatino Linotype"/>
          <w:color w:val="000000" w:themeColor="text1"/>
        </w:rPr>
        <w:t xml:space="preserve"> </w:t>
      </w:r>
      <w:r w:rsidR="00064AC8">
        <w:rPr>
          <w:rFonts w:eastAsia="Palatino Linotype" w:cs="Palatino Linotype"/>
          <w:color w:val="000000" w:themeColor="text1"/>
        </w:rPr>
        <w:t>emitido por el Titular del Área de Auditoría, por medio del cual se informó que, después de realizar una búsqueda exhaustiva y razonable en los archivos que obran en esa área de auditoría, Departamentos de Auditoría C-I. C-II y C-III, no se cuenta con la información solicitada.</w:t>
      </w:r>
    </w:p>
    <w:p w14:paraId="15F18B6D" w14:textId="6315AD0D" w:rsidR="00064AC8" w:rsidRPr="006427F4" w:rsidRDefault="004A2A0C" w:rsidP="00532C9B">
      <w:pPr>
        <w:pStyle w:val="Prrafodelista"/>
        <w:numPr>
          <w:ilvl w:val="1"/>
          <w:numId w:val="28"/>
        </w:numPr>
        <w:rPr>
          <w:rFonts w:eastAsia="Palatino Linotype" w:cs="Palatino Linotype"/>
          <w:color w:val="000000" w:themeColor="text1"/>
        </w:rPr>
      </w:pPr>
      <w:r>
        <w:rPr>
          <w:rFonts w:eastAsia="Palatino Linotype" w:cs="Palatino Linotype"/>
          <w:color w:val="000000" w:themeColor="text1"/>
        </w:rPr>
        <w:t>Oficio 207</w:t>
      </w:r>
      <w:r w:rsidR="000B4507">
        <w:rPr>
          <w:rFonts w:eastAsia="Palatino Linotype" w:cs="Palatino Linotype"/>
          <w:color w:val="000000" w:themeColor="text1"/>
        </w:rPr>
        <w:t xml:space="preserve">000030002000S-282/2024 suscrito por </w:t>
      </w:r>
      <w:r w:rsidR="00BC0C53">
        <w:rPr>
          <w:rFonts w:eastAsia="Palatino Linotype" w:cs="Palatino Linotype"/>
          <w:color w:val="000000" w:themeColor="text1"/>
        </w:rPr>
        <w:t>el Titular del Área de Auditoría, mediante el cual se informó que, después de haber realizado una búsqueda exhaustiva en los archivos de esa área, no se cuenta con información de la entrega y recepción de la oficina pública de la Secretaría de Finanzas.</w:t>
      </w:r>
    </w:p>
    <w:p w14:paraId="02A4F6BB" w14:textId="77777777" w:rsidR="00C05172" w:rsidRDefault="00C05172"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50B63602" w:rsidR="00A970D5" w:rsidRPr="00BA51FA" w:rsidRDefault="44E9108F" w:rsidP="44E9108F">
      <w:pPr>
        <w:pBdr>
          <w:top w:val="nil"/>
          <w:left w:val="nil"/>
          <w:bottom w:val="nil"/>
          <w:right w:val="nil"/>
          <w:between w:val="nil"/>
        </w:pBdr>
        <w:contextualSpacing/>
        <w:rPr>
          <w:rFonts w:eastAsia="Palatino Linotype" w:cs="Palatino Linotype"/>
          <w:color w:val="000000"/>
          <w:szCs w:val="24"/>
          <w:lang w:val="es-ES"/>
        </w:rPr>
      </w:pPr>
      <w:r w:rsidRPr="006427F4">
        <w:rPr>
          <w:rFonts w:eastAsia="Palatino Linotype" w:cs="Palatino Linotype"/>
          <w:color w:val="000000" w:themeColor="text1"/>
          <w:szCs w:val="24"/>
          <w:lang w:val="es-ES"/>
        </w:rPr>
        <w:t>Ante la respuesta em</w:t>
      </w:r>
      <w:r w:rsidR="005D1DD0" w:rsidRPr="006427F4">
        <w:rPr>
          <w:rFonts w:eastAsia="Palatino Linotype" w:cs="Palatino Linotype"/>
          <w:color w:val="000000" w:themeColor="text1"/>
          <w:szCs w:val="24"/>
          <w:lang w:val="es-ES"/>
        </w:rPr>
        <w:t>itida por el Sujeto Obligado,</w:t>
      </w:r>
      <w:r w:rsidR="00842420" w:rsidRPr="006427F4">
        <w:rPr>
          <w:rFonts w:eastAsia="Palatino Linotype" w:cs="Palatino Linotype"/>
          <w:color w:val="000000" w:themeColor="text1"/>
          <w:szCs w:val="24"/>
          <w:lang w:val="es-ES"/>
        </w:rPr>
        <w:t xml:space="preserve"> el</w:t>
      </w:r>
      <w:r w:rsidRPr="006427F4">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6427F4">
        <w:rPr>
          <w:rFonts w:eastAsia="Palatino Linotype" w:cs="Palatino Linotype"/>
          <w:color w:val="000000" w:themeColor="text1"/>
          <w:szCs w:val="24"/>
          <w:lang w:val="es-ES"/>
        </w:rPr>
        <w:t xml:space="preserve"> </w:t>
      </w:r>
      <w:r w:rsidR="00842420" w:rsidRPr="006427F4">
        <w:rPr>
          <w:rFonts w:eastAsia="Palatino Linotype" w:cs="Palatino Linotype"/>
          <w:color w:val="000000" w:themeColor="text1"/>
          <w:szCs w:val="24"/>
          <w:lang w:val="es-ES"/>
        </w:rPr>
        <w:t>la respuesta</w:t>
      </w:r>
      <w:r w:rsidR="005879EF">
        <w:rPr>
          <w:rFonts w:eastAsia="Palatino Linotype" w:cs="Palatino Linotype"/>
          <w:color w:val="000000" w:themeColor="text1"/>
          <w:szCs w:val="24"/>
          <w:lang w:val="es-ES"/>
        </w:rPr>
        <w:t xml:space="preserve"> inc</w:t>
      </w:r>
      <w:r w:rsidR="00473B8F">
        <w:rPr>
          <w:rFonts w:eastAsia="Palatino Linotype" w:cs="Palatino Linotype"/>
          <w:color w:val="000000" w:themeColor="text1"/>
          <w:szCs w:val="24"/>
          <w:lang w:val="es-ES"/>
        </w:rPr>
        <w:t>ongruente con relación a lo solicitado</w:t>
      </w:r>
      <w:r w:rsidR="00842420" w:rsidRPr="006427F4">
        <w:rPr>
          <w:rFonts w:eastAsia="Palatino Linotype" w:cs="Palatino Linotype"/>
          <w:color w:val="000000" w:themeColor="text1"/>
          <w:szCs w:val="24"/>
          <w:lang w:val="es-ES"/>
        </w:rPr>
        <w:t xml:space="preserve"> </w:t>
      </w:r>
      <w:r w:rsidR="005740E5" w:rsidRPr="006427F4">
        <w:rPr>
          <w:rFonts w:eastAsia="Palatino Linotype" w:cs="Palatino Linotype"/>
          <w:color w:val="000000" w:themeColor="text1"/>
          <w:szCs w:val="24"/>
          <w:lang w:val="es-ES"/>
        </w:rPr>
        <w:t>y</w:t>
      </w:r>
      <w:r w:rsidR="0049738F" w:rsidRPr="006427F4">
        <w:rPr>
          <w:rFonts w:eastAsia="Palatino Linotype" w:cs="Palatino Linotype"/>
          <w:color w:val="000000" w:themeColor="text1"/>
          <w:szCs w:val="24"/>
          <w:lang w:val="es-ES"/>
        </w:rPr>
        <w:t xml:space="preserve"> </w:t>
      </w:r>
      <w:r w:rsidR="00842420" w:rsidRPr="006427F4">
        <w:rPr>
          <w:rFonts w:eastAsia="Palatino Linotype" w:cs="Palatino Linotype"/>
          <w:color w:val="000000" w:themeColor="text1"/>
          <w:szCs w:val="24"/>
          <w:lang w:val="es-ES"/>
        </w:rPr>
        <w:t xml:space="preserve">dando </w:t>
      </w:r>
      <w:r w:rsidR="005740E5" w:rsidRPr="006427F4">
        <w:rPr>
          <w:rFonts w:eastAsia="Palatino Linotype" w:cs="Palatino Linotype"/>
          <w:color w:val="000000" w:themeColor="text1"/>
          <w:szCs w:val="24"/>
          <w:lang w:val="es-ES"/>
        </w:rPr>
        <w:t xml:space="preserve">como razones o motivos de inconformidad </w:t>
      </w:r>
      <w:r w:rsidR="00842420" w:rsidRPr="006427F4">
        <w:rPr>
          <w:rFonts w:eastAsia="Palatino Linotype" w:cs="Palatino Linotype"/>
          <w:color w:val="000000" w:themeColor="text1"/>
          <w:szCs w:val="24"/>
          <w:lang w:val="es-ES"/>
        </w:rPr>
        <w:t xml:space="preserve">que se </w:t>
      </w:r>
      <w:r w:rsidR="002C754E">
        <w:rPr>
          <w:rFonts w:eastAsia="Palatino Linotype" w:cs="Palatino Linotype"/>
          <w:color w:val="000000" w:themeColor="text1"/>
          <w:szCs w:val="24"/>
          <w:lang w:val="es-ES"/>
        </w:rPr>
        <w:t xml:space="preserve">entregaron respuestas de dos áreas administrativas a las que no dirigió </w:t>
      </w:r>
      <w:r w:rsidR="005A6080">
        <w:rPr>
          <w:rFonts w:eastAsia="Palatino Linotype" w:cs="Palatino Linotype"/>
          <w:color w:val="000000" w:themeColor="text1"/>
          <w:szCs w:val="24"/>
          <w:lang w:val="es-ES"/>
        </w:rPr>
        <w:t xml:space="preserve">de manera directa a la solicitud y </w:t>
      </w:r>
      <w:r w:rsidR="003B3667">
        <w:rPr>
          <w:rFonts w:eastAsia="Palatino Linotype" w:cs="Palatino Linotype"/>
          <w:color w:val="000000" w:themeColor="text1"/>
          <w:szCs w:val="24"/>
          <w:lang w:val="es-ES"/>
        </w:rPr>
        <w:t xml:space="preserve">que se respondió que no se señaló el área, </w:t>
      </w:r>
      <w:r w:rsidR="00B24AE6">
        <w:rPr>
          <w:rFonts w:eastAsia="Palatino Linotype" w:cs="Palatino Linotype"/>
          <w:color w:val="000000" w:themeColor="text1"/>
          <w:szCs w:val="24"/>
          <w:lang w:val="es-ES"/>
        </w:rPr>
        <w:t xml:space="preserve">lo que no es así, ya que se señaló a </w:t>
      </w:r>
      <w:r w:rsidR="00B24AE6">
        <w:rPr>
          <w:rFonts w:eastAsia="Palatino Linotype" w:cs="Palatino Linotype"/>
          <w:color w:val="000000" w:themeColor="text1"/>
          <w:szCs w:val="24"/>
          <w:lang w:val="es-ES"/>
        </w:rPr>
        <w:lastRenderedPageBreak/>
        <w:t xml:space="preserve">los titulares de área y eso incluye </w:t>
      </w:r>
      <w:r w:rsidR="00C0536C">
        <w:rPr>
          <w:rFonts w:eastAsia="Palatino Linotype" w:cs="Palatino Linotype"/>
          <w:color w:val="000000" w:themeColor="text1"/>
          <w:szCs w:val="24"/>
          <w:lang w:val="es-ES"/>
        </w:rPr>
        <w:t xml:space="preserve">a la Secretaría de Finanzas, por lo que se refiere al relevo de </w:t>
      </w:r>
      <w:r w:rsidR="002B2B87">
        <w:rPr>
          <w:rFonts w:eastAsia="Palatino Linotype" w:cs="Palatino Linotype"/>
          <w:color w:val="000000" w:themeColor="text1"/>
          <w:szCs w:val="24"/>
          <w:lang w:val="es-ES"/>
        </w:rPr>
        <w:t>titulares que se dio con el cambio en el Poder Ejecutivo</w:t>
      </w:r>
      <w:r w:rsidR="00E21016">
        <w:rPr>
          <w:rFonts w:eastAsia="Palatino Linotype" w:cs="Palatino Linotype"/>
          <w:color w:val="000000" w:themeColor="text1"/>
          <w:szCs w:val="24"/>
          <w:lang w:val="es-ES"/>
        </w:rPr>
        <w:t xml:space="preserve">; por lo anterior se reitera </w:t>
      </w:r>
      <w:r w:rsidR="00BE2C1B">
        <w:rPr>
          <w:rFonts w:eastAsia="Palatino Linotype" w:cs="Palatino Linotype"/>
          <w:color w:val="000000" w:themeColor="text1"/>
          <w:szCs w:val="24"/>
          <w:lang w:val="es-ES"/>
        </w:rPr>
        <w:t xml:space="preserve">el requerimiento realizado y se solicita que </w:t>
      </w:r>
      <w:r w:rsidR="00BA51FA">
        <w:rPr>
          <w:rFonts w:eastAsia="Palatino Linotype" w:cs="Palatino Linotype"/>
          <w:color w:val="000000" w:themeColor="text1"/>
          <w:szCs w:val="24"/>
          <w:lang w:val="es-ES"/>
        </w:rPr>
        <w:t xml:space="preserve">se aplique el principio </w:t>
      </w:r>
      <w:r w:rsidR="00BA51FA">
        <w:rPr>
          <w:rFonts w:eastAsia="Palatino Linotype" w:cs="Palatino Linotype"/>
          <w:i/>
          <w:iCs/>
          <w:color w:val="000000" w:themeColor="text1"/>
          <w:szCs w:val="24"/>
          <w:lang w:val="es-ES"/>
        </w:rPr>
        <w:t>pro persona</w:t>
      </w:r>
      <w:r w:rsidR="00BA51FA">
        <w:rPr>
          <w:rFonts w:eastAsia="Palatino Linotype" w:cs="Palatino Linotype"/>
          <w:color w:val="000000" w:themeColor="text1"/>
          <w:szCs w:val="24"/>
          <w:lang w:val="es-ES"/>
        </w:rPr>
        <w:t xml:space="preserve"> durante la sustanciación del presente recurso.</w:t>
      </w:r>
    </w:p>
    <w:p w14:paraId="4A6500B8" w14:textId="77777777" w:rsidR="008F50E6" w:rsidRPr="006427F4" w:rsidRDefault="008F50E6" w:rsidP="00A04222">
      <w:pPr>
        <w:rPr>
          <w:szCs w:val="24"/>
        </w:rPr>
      </w:pPr>
    </w:p>
    <w:p w14:paraId="1E3D6018" w14:textId="0BF280B3" w:rsidR="006B1E90" w:rsidRPr="006427F4" w:rsidRDefault="00A05AAB" w:rsidP="00A04222">
      <w:pPr>
        <w:rPr>
          <w:szCs w:val="24"/>
        </w:rPr>
      </w:pPr>
      <w:r w:rsidRPr="006427F4">
        <w:rPr>
          <w:szCs w:val="24"/>
        </w:rPr>
        <w:t>Durante la etapa de instrucción, el Sujeto Obligado rindió su Informe Justificado mediante la presentación de los siguientes documentos:</w:t>
      </w:r>
    </w:p>
    <w:p w14:paraId="0DCA98A0" w14:textId="77777777" w:rsidR="006B1E90" w:rsidRDefault="006B1E90" w:rsidP="00A04222"/>
    <w:p w14:paraId="5B6D5BE0" w14:textId="4EE9FFF4" w:rsidR="00BA51FA" w:rsidRPr="00BA51FA" w:rsidRDefault="00BA51FA" w:rsidP="00C55387">
      <w:pPr>
        <w:pStyle w:val="Prrafodelista"/>
        <w:numPr>
          <w:ilvl w:val="0"/>
          <w:numId w:val="49"/>
        </w:numPr>
      </w:pPr>
      <w:r w:rsidRPr="00BA51FA">
        <w:rPr>
          <w:rFonts w:eastAsia="Palatino Linotype" w:cs="Palatino Linotype"/>
          <w:b/>
          <w:color w:val="000000"/>
          <w:lang w:val="es-MX"/>
        </w:rPr>
        <w:t>RR 06060-2024 INFORME JUSTIFICADO.pdf</w:t>
      </w:r>
      <w:r>
        <w:rPr>
          <w:rFonts w:eastAsia="Palatino Linotype" w:cs="Palatino Linotype"/>
          <w:bCs/>
          <w:color w:val="000000"/>
          <w:lang w:val="es-MX"/>
        </w:rPr>
        <w:t>.</w:t>
      </w:r>
      <w:r w:rsidR="009B46EB">
        <w:rPr>
          <w:rFonts w:eastAsia="Palatino Linotype" w:cs="Palatino Linotype"/>
          <w:bCs/>
          <w:color w:val="000000"/>
          <w:lang w:val="es-MX"/>
        </w:rPr>
        <w:t xml:space="preserve"> Escrito suscrito por </w:t>
      </w:r>
      <w:r w:rsidR="002235D7">
        <w:rPr>
          <w:rFonts w:eastAsia="Palatino Linotype" w:cs="Palatino Linotype"/>
          <w:color w:val="000000" w:themeColor="text1"/>
        </w:rPr>
        <w:t>el Jefe de la Unidad de Información, Planeación, Programación y Evaluación y Titular de la Unidad de Transparencia</w:t>
      </w:r>
      <w:r w:rsidR="003A1E35">
        <w:rPr>
          <w:rFonts w:eastAsia="Palatino Linotype" w:cs="Palatino Linotype"/>
          <w:color w:val="000000" w:themeColor="text1"/>
        </w:rPr>
        <w:t xml:space="preserve"> quien </w:t>
      </w:r>
      <w:r w:rsidR="006D4936">
        <w:rPr>
          <w:rFonts w:eastAsia="Palatino Linotype" w:cs="Palatino Linotype"/>
          <w:color w:val="000000" w:themeColor="text1"/>
        </w:rPr>
        <w:t>hizo referencia a los manifestado por</w:t>
      </w:r>
      <w:r w:rsidR="003A1E35">
        <w:rPr>
          <w:rFonts w:eastAsia="Palatino Linotype" w:cs="Palatino Linotype"/>
          <w:color w:val="000000" w:themeColor="text1"/>
        </w:rPr>
        <w:t xml:space="preserve"> los servidores públicos habilitados de</w:t>
      </w:r>
      <w:r w:rsidR="006C7DA4">
        <w:rPr>
          <w:rFonts w:eastAsia="Palatino Linotype" w:cs="Palatino Linotype"/>
          <w:color w:val="000000" w:themeColor="text1"/>
        </w:rPr>
        <w:t xml:space="preserve"> la Coordinación Jurídica, de Igualdad de </w:t>
      </w:r>
      <w:r w:rsidR="009B64EB">
        <w:rPr>
          <w:rFonts w:eastAsia="Palatino Linotype" w:cs="Palatino Linotype"/>
          <w:color w:val="000000" w:themeColor="text1"/>
        </w:rPr>
        <w:t>Género</w:t>
      </w:r>
      <w:r w:rsidR="006C7DA4">
        <w:rPr>
          <w:rFonts w:eastAsia="Palatino Linotype" w:cs="Palatino Linotype"/>
          <w:color w:val="000000" w:themeColor="text1"/>
        </w:rPr>
        <w:t xml:space="preserve"> y Erradicación de la Violencia y del Órgano Interno de Control</w:t>
      </w:r>
      <w:r w:rsidR="006D4936">
        <w:rPr>
          <w:rFonts w:eastAsia="Palatino Linotype" w:cs="Palatino Linotype"/>
          <w:color w:val="000000" w:themeColor="text1"/>
        </w:rPr>
        <w:t xml:space="preserve"> mediante los </w:t>
      </w:r>
      <w:r w:rsidR="009B64EB">
        <w:rPr>
          <w:rFonts w:eastAsia="Palatino Linotype" w:cs="Palatino Linotype"/>
          <w:color w:val="000000" w:themeColor="text1"/>
        </w:rPr>
        <w:t>oficios anexos al Informe Justificado.</w:t>
      </w:r>
    </w:p>
    <w:p w14:paraId="48FD480D" w14:textId="05E3CAB4" w:rsidR="00BA51FA" w:rsidRPr="00BA51FA" w:rsidRDefault="00BA51FA" w:rsidP="00C55387">
      <w:pPr>
        <w:pStyle w:val="Prrafodelista"/>
        <w:numPr>
          <w:ilvl w:val="0"/>
          <w:numId w:val="49"/>
        </w:numPr>
      </w:pPr>
      <w:r w:rsidRPr="00BA51FA">
        <w:rPr>
          <w:rFonts w:eastAsia="Palatino Linotype" w:cs="Palatino Linotype"/>
          <w:b/>
          <w:color w:val="000000"/>
          <w:lang w:val="es-MX"/>
        </w:rPr>
        <w:t>RR 0606-2024 COORDINACION JURIDICA.pdf</w:t>
      </w:r>
      <w:r>
        <w:rPr>
          <w:rFonts w:eastAsia="Palatino Linotype" w:cs="Palatino Linotype"/>
          <w:bCs/>
          <w:color w:val="000000"/>
          <w:lang w:val="es-MX"/>
        </w:rPr>
        <w:t>.</w:t>
      </w:r>
      <w:r w:rsidR="009B64EB">
        <w:rPr>
          <w:rFonts w:eastAsia="Palatino Linotype" w:cs="Palatino Linotype"/>
          <w:bCs/>
          <w:color w:val="000000"/>
          <w:lang w:val="es-MX"/>
        </w:rPr>
        <w:t xml:space="preserve"> Oficio 207</w:t>
      </w:r>
      <w:r w:rsidR="0097603D">
        <w:rPr>
          <w:rFonts w:eastAsia="Palatino Linotype" w:cs="Palatino Linotype"/>
          <w:bCs/>
          <w:color w:val="000000"/>
          <w:lang w:val="es-MX"/>
        </w:rPr>
        <w:t>00005AA/068/2024</w:t>
      </w:r>
      <w:r w:rsidR="001E5366">
        <w:rPr>
          <w:rFonts w:eastAsia="Palatino Linotype" w:cs="Palatino Linotype"/>
          <w:bCs/>
          <w:color w:val="000000"/>
          <w:lang w:val="es-MX"/>
        </w:rPr>
        <w:t xml:space="preserve"> </w:t>
      </w:r>
      <w:r w:rsidR="001E5366">
        <w:rPr>
          <w:rFonts w:eastAsia="Palatino Linotype" w:cs="Palatino Linotype"/>
          <w:color w:val="000000" w:themeColor="text1"/>
        </w:rPr>
        <w:t>emitido por la servidora pública habilitada de la Coordinación Jurídica de Igualdad de Género y Erradicación de la Violencia</w:t>
      </w:r>
      <w:r w:rsidR="00BB4C1F">
        <w:rPr>
          <w:rFonts w:eastAsia="Palatino Linotype" w:cs="Palatino Linotype"/>
          <w:color w:val="000000" w:themeColor="text1"/>
        </w:rPr>
        <w:t xml:space="preserve">, por medio del cual señaló que esa unidad administrativa no cuenta con las actas entrega recepción correspondiente al cambio de titulares </w:t>
      </w:r>
      <w:r w:rsidR="00BA2459">
        <w:rPr>
          <w:rFonts w:eastAsia="Palatino Linotype" w:cs="Palatino Linotype"/>
          <w:color w:val="000000" w:themeColor="text1"/>
        </w:rPr>
        <w:t>de la Secretaría de Finanzas que se llevó a cabo en 2023.</w:t>
      </w:r>
    </w:p>
    <w:p w14:paraId="0F91163F" w14:textId="761C98AC" w:rsidR="006B1E90" w:rsidRDefault="00BA51FA" w:rsidP="00C55387">
      <w:pPr>
        <w:pStyle w:val="Prrafodelista"/>
        <w:numPr>
          <w:ilvl w:val="0"/>
          <w:numId w:val="49"/>
        </w:numPr>
      </w:pPr>
      <w:r w:rsidRPr="00BA51FA">
        <w:rPr>
          <w:rFonts w:eastAsia="Palatino Linotype" w:cs="Palatino Linotype"/>
          <w:b/>
          <w:color w:val="000000"/>
          <w:lang w:val="es-MX"/>
        </w:rPr>
        <w:t>RR 06060-2024 OIC.pdf</w:t>
      </w:r>
      <w:r w:rsidR="00F562B2" w:rsidRPr="0059431B">
        <w:rPr>
          <w:rFonts w:eastAsia="Palatino Linotype" w:cs="Palatino Linotype"/>
          <w:bCs/>
          <w:color w:val="000000"/>
          <w:lang w:val="es-MX"/>
        </w:rPr>
        <w:t>.</w:t>
      </w:r>
      <w:r w:rsidR="0059431B" w:rsidRPr="0059431B">
        <w:rPr>
          <w:rFonts w:eastAsia="Palatino Linotype" w:cs="Palatino Linotype"/>
          <w:bCs/>
          <w:color w:val="000000"/>
          <w:lang w:val="es-MX"/>
        </w:rPr>
        <w:t xml:space="preserve"> </w:t>
      </w:r>
      <w:r w:rsidR="00BA2459">
        <w:rPr>
          <w:rFonts w:eastAsia="Palatino Linotype" w:cs="Palatino Linotype"/>
          <w:color w:val="000000" w:themeColor="text1"/>
        </w:rPr>
        <w:t xml:space="preserve">Oficio 20700003000500S-704/2024 signado por el servidor público habilitado del Órgano Interno de Control, mediante el cual se informó que los Titulares de las Áreas de Auditoría </w:t>
      </w:r>
      <w:r w:rsidR="003C1B35">
        <w:rPr>
          <w:rFonts w:eastAsia="Palatino Linotype" w:cs="Palatino Linotype"/>
          <w:color w:val="000000" w:themeColor="text1"/>
        </w:rPr>
        <w:t>informaron que no cuentan con información relacionada con la solicitud de información.</w:t>
      </w:r>
    </w:p>
    <w:p w14:paraId="6879D00B" w14:textId="77777777" w:rsidR="00BA51FA" w:rsidRDefault="00BA51FA" w:rsidP="006100FC">
      <w:pPr>
        <w:pBdr>
          <w:top w:val="nil"/>
          <w:left w:val="nil"/>
          <w:bottom w:val="nil"/>
          <w:right w:val="nil"/>
          <w:between w:val="nil"/>
        </w:pBdr>
        <w:contextualSpacing/>
        <w:rPr>
          <w:rFonts w:eastAsia="Palatino Linotype" w:cs="Palatino Linotype"/>
          <w:color w:val="000000"/>
          <w:szCs w:val="24"/>
        </w:rPr>
      </w:pPr>
    </w:p>
    <w:p w14:paraId="04A54322" w14:textId="03C3B308" w:rsidR="00FC6ADF" w:rsidRDefault="00FC6ADF"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la Recurrente presentó su</w:t>
      </w:r>
      <w:r w:rsidR="00615131">
        <w:rPr>
          <w:rFonts w:eastAsia="Palatino Linotype" w:cs="Palatino Linotype"/>
          <w:color w:val="000000"/>
          <w:szCs w:val="24"/>
        </w:rPr>
        <w:t>s</w:t>
      </w:r>
      <w:r>
        <w:rPr>
          <w:rFonts w:eastAsia="Palatino Linotype" w:cs="Palatino Linotype"/>
          <w:color w:val="000000"/>
          <w:szCs w:val="24"/>
        </w:rPr>
        <w:t xml:space="preserve"> manifestaciones en las que expresó </w:t>
      </w:r>
      <w:r w:rsidR="00615131">
        <w:rPr>
          <w:rFonts w:eastAsia="Palatino Linotype" w:cs="Palatino Linotype"/>
          <w:color w:val="000000"/>
          <w:szCs w:val="24"/>
        </w:rPr>
        <w:t>lo siguiente:</w:t>
      </w:r>
    </w:p>
    <w:p w14:paraId="56C9E740" w14:textId="77777777" w:rsidR="00615131" w:rsidRDefault="00615131" w:rsidP="006100FC">
      <w:pPr>
        <w:pBdr>
          <w:top w:val="nil"/>
          <w:left w:val="nil"/>
          <w:bottom w:val="nil"/>
          <w:right w:val="nil"/>
          <w:between w:val="nil"/>
        </w:pBdr>
        <w:contextualSpacing/>
        <w:rPr>
          <w:rFonts w:eastAsia="Palatino Linotype" w:cs="Palatino Linotype"/>
          <w:color w:val="000000"/>
          <w:szCs w:val="24"/>
        </w:rPr>
      </w:pPr>
    </w:p>
    <w:p w14:paraId="688815CB" w14:textId="026F7ED0" w:rsidR="00D30D80" w:rsidRDefault="00D30D80" w:rsidP="00D30D80">
      <w:pPr>
        <w:pStyle w:val="Fundamentos"/>
      </w:pPr>
      <w:r>
        <w:t>«</w:t>
      </w:r>
      <w:r w:rsidRPr="00D30D80">
        <w:t>Por medio de la presente ratifico todos y cada uno de mis argumentos expuestos en el recurso de inconformidad respectivo, apelando a mi derecho humano de acceso a la información, pero también al ofrecimiento de transparencia que hizo la gobernadora constitucional, Delfina Gómez Álvarez con los ciudadanos como parte de sus compromisos de combate a la corrupción.</w:t>
      </w:r>
    </w:p>
    <w:p w14:paraId="7E4043A1" w14:textId="77777777" w:rsidR="00D30D80" w:rsidRPr="00D30D80" w:rsidRDefault="00D30D80" w:rsidP="00D30D80">
      <w:pPr>
        <w:pStyle w:val="Fundamentos"/>
      </w:pPr>
    </w:p>
    <w:p w14:paraId="53F1F152" w14:textId="202756E8" w:rsidR="00615131" w:rsidRDefault="3DFFB217" w:rsidP="00D30D80">
      <w:pPr>
        <w:pStyle w:val="Fundamentos"/>
      </w:pPr>
      <w:r w:rsidRPr="3DFFB217">
        <w:rPr>
          <w:lang w:val="es-ES"/>
        </w:rPr>
        <w:t>Solicito a este órgano garante resolver mi recurso bajo la perspectiva de “pro persona”.» (Sic)</w:t>
      </w:r>
    </w:p>
    <w:p w14:paraId="3AE6C636" w14:textId="77777777" w:rsidR="00FC6ADF" w:rsidRDefault="00FC6ADF" w:rsidP="006100FC">
      <w:pPr>
        <w:pBdr>
          <w:top w:val="nil"/>
          <w:left w:val="nil"/>
          <w:bottom w:val="nil"/>
          <w:right w:val="nil"/>
          <w:between w:val="nil"/>
        </w:pBdr>
        <w:contextualSpacing/>
        <w:rPr>
          <w:rFonts w:eastAsia="Palatino Linotype" w:cs="Palatino Linotype"/>
          <w:color w:val="000000"/>
          <w:szCs w:val="24"/>
        </w:rPr>
      </w:pPr>
    </w:p>
    <w:p w14:paraId="0208343B" w14:textId="3232F8A6"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w:t>
      </w:r>
      <w:r w:rsidRPr="006922F5">
        <w:lastRenderedPageBreak/>
        <w:t xml:space="preserve">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1535A6C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6217FE3" w:rsidR="006100FC" w:rsidRPr="006922F5" w:rsidRDefault="006100FC" w:rsidP="006100FC">
      <w:pPr>
        <w:pStyle w:val="Fundamentos"/>
      </w:pPr>
    </w:p>
    <w:p w14:paraId="451DBD48" w14:textId="0072B373" w:rsidR="006100FC" w:rsidRPr="006922F5" w:rsidRDefault="006100FC" w:rsidP="006100FC">
      <w:pPr>
        <w:pStyle w:val="Fundamentos"/>
      </w:pPr>
      <w:r w:rsidRPr="006922F5">
        <w:rPr>
          <w:b/>
          <w:bCs/>
        </w:rPr>
        <w:t>I.</w:t>
      </w:r>
      <w:r>
        <w:rPr>
          <w:b/>
          <w:bCs/>
        </w:rPr>
        <w:t xml:space="preserve"> </w:t>
      </w:r>
      <w:r w:rsidR="005E625F">
        <w:t>Los</w:t>
      </w:r>
      <w:r w:rsidRPr="006922F5">
        <w:t xml:space="preserve"> </w:t>
      </w:r>
      <w:r w:rsidR="00D634E0" w:rsidRPr="00D634E0">
        <w:t>Poder Ejecutivo del Estado de México, las dependencias, organismos auxiliares, órganos, entidades, fideicomisos y fondos públicos, así como la Procuraduría General de Justicia</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43079B5D" w:rsidR="00737EBC" w:rsidRDefault="00737EBC" w:rsidP="006100FC">
      <w:r>
        <w:t xml:space="preserve">Asimismo, </w:t>
      </w:r>
      <w:r w:rsidR="00726486">
        <w:t xml:space="preserve">de una interpretación </w:t>
      </w:r>
      <w:r>
        <w:t xml:space="preserve">a los motivos de inconformidad expresados por </w:t>
      </w:r>
      <w:r w:rsidR="00194590">
        <w:t>la</w:t>
      </w:r>
      <w:r>
        <w:t xml:space="preserve"> Recurrente, se estima que en el presente caso se actualizó la causal de procedencia del recurso de revisión</w:t>
      </w:r>
      <w:r w:rsidR="001B7214">
        <w:t xml:space="preserve"> prevista en la fracción </w:t>
      </w:r>
      <w:r w:rsidR="00194590">
        <w:t>V</w:t>
      </w:r>
      <w:r w:rsidR="001B7214">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lastRenderedPageBreak/>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36482E0A" w:rsidR="0090120A" w:rsidRPr="009A41B1" w:rsidRDefault="00194590" w:rsidP="007A5010">
      <w:pPr>
        <w:pStyle w:val="Fundamentos"/>
        <w:rPr>
          <w:lang w:val="es-MX"/>
        </w:rPr>
      </w:pPr>
      <w:r>
        <w:rPr>
          <w:lang w:val="es-MX"/>
        </w:rPr>
        <w:t>[…]</w:t>
      </w:r>
    </w:p>
    <w:p w14:paraId="5C4DD805" w14:textId="633E6EFC" w:rsidR="009A41B1" w:rsidRDefault="44E9108F" w:rsidP="00C55387">
      <w:pPr>
        <w:pStyle w:val="Fundamentos"/>
        <w:numPr>
          <w:ilvl w:val="0"/>
          <w:numId w:val="54"/>
        </w:numPr>
      </w:pPr>
      <w:r w:rsidRPr="44E9108F">
        <w:rPr>
          <w:lang w:val="es-ES"/>
        </w:rPr>
        <w:t xml:space="preserve">La </w:t>
      </w:r>
      <w:r w:rsidR="0081265E" w:rsidRPr="0081265E">
        <w:rPr>
          <w:lang w:val="es-ES"/>
        </w:rPr>
        <w:t>entrega de información que no corresponda con lo solicitado</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2901661" w14:textId="0BE9EAB4" w:rsidR="00CA59E3" w:rsidRDefault="08CA8470" w:rsidP="00637679">
      <w:r w:rsidRPr="08CA8470">
        <w:rPr>
          <w:lang w:val="es-ES"/>
        </w:rPr>
        <w:t xml:space="preserve">En segundo término, se estima toral determinar qué información requiere </w:t>
      </w:r>
      <w:proofErr w:type="gramStart"/>
      <w:r w:rsidRPr="08CA8470">
        <w:rPr>
          <w:lang w:val="es-ES"/>
        </w:rPr>
        <w:t>la</w:t>
      </w:r>
      <w:proofErr w:type="gramEnd"/>
      <w:r w:rsidRPr="08CA8470">
        <w:rPr>
          <w:lang w:val="es-ES"/>
        </w:rPr>
        <w:t xml:space="preserve"> hoy Recurrente, en virtud de que al momento de realizar la solicitud de información manifestó que no es experta en los temas de la administración pública y pidió que se aplicara el principio </w:t>
      </w:r>
      <w:r w:rsidRPr="08CA8470">
        <w:rPr>
          <w:i/>
          <w:iCs/>
          <w:lang w:val="es-ES"/>
        </w:rPr>
        <w:t>pro persona</w:t>
      </w:r>
      <w:r w:rsidRPr="08CA8470">
        <w:rPr>
          <w:lang w:val="es-ES"/>
        </w:rPr>
        <w:t xml:space="preserve"> a efecto de que cualquier defecto, falta o fallo detectado se supla.</w:t>
      </w:r>
    </w:p>
    <w:p w14:paraId="00113ABC" w14:textId="77777777" w:rsidR="002F279E" w:rsidRDefault="002F279E" w:rsidP="00637679"/>
    <w:p w14:paraId="17A3B184" w14:textId="09C5B978" w:rsidR="002F279E" w:rsidRDefault="002F279E" w:rsidP="00637679">
      <w:r>
        <w:t xml:space="preserve">Lo anterior resulta procedente conforme a lo dispuesto en </w:t>
      </w:r>
      <w:r w:rsidR="00D43B18">
        <w:t>los artículos 13 y181</w:t>
      </w:r>
      <w:r w:rsidR="00133A1A">
        <w:t xml:space="preserve"> cuarto párrafo</w:t>
      </w:r>
      <w:r w:rsidR="00D43B18">
        <w:t xml:space="preserve"> de la Ley de la Materia</w:t>
      </w:r>
      <w:r w:rsidR="00C104EB">
        <w:t xml:space="preserve"> que a la letra establecen lo siguiente:</w:t>
      </w:r>
    </w:p>
    <w:p w14:paraId="7C3069F7" w14:textId="77777777" w:rsidR="00C104EB" w:rsidRDefault="00C104EB" w:rsidP="00637679"/>
    <w:p w14:paraId="074721FA" w14:textId="77777777" w:rsidR="00A03840" w:rsidRPr="00A03840" w:rsidRDefault="00A03840" w:rsidP="00A03840">
      <w:pPr>
        <w:pStyle w:val="Fundamentos"/>
        <w:rPr>
          <w:lang w:val="es-MX"/>
        </w:rPr>
      </w:pPr>
      <w:r w:rsidRPr="00A03840">
        <w:rPr>
          <w:b/>
          <w:lang w:val="es-MX"/>
        </w:rPr>
        <w:t xml:space="preserve">Artículo 13. </w:t>
      </w:r>
      <w:r w:rsidRPr="00A03840">
        <w:rPr>
          <w:lang w:val="es-MX"/>
        </w:rPr>
        <w:t>El Instituto, en el ámbito de sus atribuciones, deberá suplir cualquier deficiencia para garantizar el ejercicio del derecho de acceso a la información.</w:t>
      </w:r>
    </w:p>
    <w:p w14:paraId="7F6669CB" w14:textId="77777777" w:rsidR="00C104EB" w:rsidRDefault="00C104EB" w:rsidP="00C213B0">
      <w:pPr>
        <w:pStyle w:val="Fundamentos"/>
        <w:rPr>
          <w:lang w:val="es-MX"/>
        </w:rPr>
      </w:pPr>
    </w:p>
    <w:p w14:paraId="6554413C" w14:textId="79ED728A" w:rsidR="00133A1A" w:rsidRPr="00133A1A" w:rsidRDefault="00133A1A" w:rsidP="00133A1A">
      <w:pPr>
        <w:pStyle w:val="Fundamentos"/>
        <w:rPr>
          <w:lang w:val="es-MX"/>
        </w:rPr>
      </w:pPr>
      <w:r w:rsidRPr="00133A1A">
        <w:rPr>
          <w:b/>
          <w:lang w:val="es-MX"/>
        </w:rPr>
        <w:t xml:space="preserve">Artículo 181. </w:t>
      </w:r>
      <w:r w:rsidRPr="00133A1A">
        <w:rPr>
          <w:bCs/>
          <w:lang w:val="es-MX"/>
        </w:rPr>
        <w:t xml:space="preserve">[…] </w:t>
      </w:r>
    </w:p>
    <w:p w14:paraId="6C579095" w14:textId="77777777" w:rsidR="00133A1A" w:rsidRPr="00133A1A" w:rsidRDefault="00133A1A" w:rsidP="00133A1A">
      <w:pPr>
        <w:pStyle w:val="Fundamentos"/>
        <w:rPr>
          <w:lang w:val="es-MX"/>
        </w:rPr>
      </w:pPr>
    </w:p>
    <w:p w14:paraId="765292A5" w14:textId="77777777" w:rsidR="00133A1A" w:rsidRPr="00133A1A" w:rsidRDefault="00133A1A" w:rsidP="00133A1A">
      <w:pPr>
        <w:pStyle w:val="Fundamentos"/>
        <w:rPr>
          <w:lang w:val="es-MX"/>
        </w:rPr>
      </w:pPr>
      <w:r w:rsidRPr="00133A1A">
        <w:rPr>
          <w:b/>
          <w:bCs/>
          <w:u w:val="single"/>
          <w:lang w:val="es-MX"/>
        </w:rPr>
        <w:t>Durante el procedimiento deberá aplicarse la suplencia de la queja a favor del recurrente, sin cambiar los hechos expuestos</w:t>
      </w:r>
      <w:r w:rsidRPr="00133A1A">
        <w:rPr>
          <w:lang w:val="es-MX"/>
        </w:rPr>
        <w:t>, asegurándose de que las partes puedan presentar, de manera oral o escrita, los argumentos que funden y motiven sus pretensiones.</w:t>
      </w:r>
    </w:p>
    <w:p w14:paraId="58D0C125" w14:textId="471E2E74" w:rsidR="00133A1A" w:rsidRPr="00133A1A" w:rsidRDefault="00133A1A" w:rsidP="00133A1A">
      <w:pPr>
        <w:pStyle w:val="Fundamentos"/>
        <w:rPr>
          <w:lang w:val="es-MX"/>
        </w:rPr>
      </w:pPr>
      <w:r>
        <w:rPr>
          <w:lang w:val="es-MX"/>
        </w:rPr>
        <w:t>[…]</w:t>
      </w:r>
    </w:p>
    <w:p w14:paraId="5D15C5E4" w14:textId="77777777" w:rsidR="00C213B0" w:rsidRDefault="00C213B0" w:rsidP="00637679"/>
    <w:p w14:paraId="1BABB828" w14:textId="4A625EB2" w:rsidR="00C213B0" w:rsidRDefault="004A3DD2" w:rsidP="00637679">
      <w:r>
        <w:t>Así, de la lectura e interpretación de la solicitud de información se estima que la Recurrente requiere la entrega de las actas entr</w:t>
      </w:r>
      <w:r w:rsidR="001E3F4C">
        <w:t xml:space="preserve">ega recepción </w:t>
      </w:r>
      <w:r w:rsidR="00A22B6A">
        <w:t xml:space="preserve">de </w:t>
      </w:r>
      <w:r w:rsidR="001E3F4C">
        <w:t xml:space="preserve">todas las áreas de la Secretaría de Finanzas que se hayan </w:t>
      </w:r>
      <w:r w:rsidR="00A22B6A">
        <w:t xml:space="preserve">generado a raíz del cambio de la administración pública estatal </w:t>
      </w:r>
      <w:r w:rsidR="004E41AA">
        <w:t>d</w:t>
      </w:r>
      <w:r w:rsidR="00AA1BD0">
        <w:t>el año 2023</w:t>
      </w:r>
      <w:r w:rsidR="008F67C1">
        <w:t xml:space="preserve">, comprendiendo el periodo del dieciséis de septiembre de </w:t>
      </w:r>
      <w:r w:rsidR="008F67C1">
        <w:lastRenderedPageBreak/>
        <w:t>dos mil veintitrés al veintiocho de agosto de dos mil veinticuatro</w:t>
      </w:r>
      <w:r w:rsidR="00993570">
        <w:t>, fecha en la que se realizó la solicitud de información.</w:t>
      </w:r>
    </w:p>
    <w:p w14:paraId="7F2049B5" w14:textId="77777777" w:rsidR="00C213B0" w:rsidRDefault="00C213B0" w:rsidP="00637679"/>
    <w:p w14:paraId="0904EF1E" w14:textId="306356AF" w:rsidR="00C213B0" w:rsidRDefault="00462B7C" w:rsidP="00637679">
      <w:pPr>
        <w:rPr>
          <w:rFonts w:eastAsia="Palatino Linotype" w:cs="Palatino Linotype"/>
          <w:color w:val="000000" w:themeColor="text1"/>
        </w:rPr>
      </w:pPr>
      <w:r>
        <w:t xml:space="preserve">Ahora bien, </w:t>
      </w:r>
      <w:r w:rsidR="006A7B3B">
        <w:t xml:space="preserve">se tiene que el Sujeto Obligado manifestó mediante los pronunciamientos de </w:t>
      </w:r>
      <w:r w:rsidR="00390F95">
        <w:t xml:space="preserve">los servidores públicos habilitados de la </w:t>
      </w:r>
      <w:r w:rsidR="00390F95">
        <w:rPr>
          <w:rFonts w:eastAsia="Palatino Linotype" w:cs="Palatino Linotype"/>
          <w:color w:val="000000" w:themeColor="text1"/>
        </w:rPr>
        <w:t>Coordinación Jurídica de Igualdad de Género y Erradicación de la Violencia y del Órgano Interno de Control que</w:t>
      </w:r>
      <w:r w:rsidR="00AB6551">
        <w:rPr>
          <w:rFonts w:eastAsia="Palatino Linotype" w:cs="Palatino Linotype"/>
          <w:color w:val="000000" w:themeColor="text1"/>
        </w:rPr>
        <w:t>, luego de una búsqueda en los archivos de sus áreas, no se cuenta con la documentación solicitada.</w:t>
      </w:r>
    </w:p>
    <w:p w14:paraId="40CE8183" w14:textId="77777777" w:rsidR="00AB6551" w:rsidRDefault="00AB6551" w:rsidP="00637679">
      <w:pPr>
        <w:rPr>
          <w:rFonts w:eastAsia="Palatino Linotype" w:cs="Palatino Linotype"/>
          <w:color w:val="000000" w:themeColor="text1"/>
        </w:rPr>
      </w:pPr>
    </w:p>
    <w:p w14:paraId="5DA64FFA" w14:textId="06735D2D" w:rsidR="00AB6551" w:rsidRPr="00BF5532" w:rsidRDefault="006C635A" w:rsidP="00637679">
      <w:r>
        <w:rPr>
          <w:rFonts w:eastAsia="Palatino Linotype" w:cs="Palatino Linotype"/>
          <w:color w:val="000000" w:themeColor="text1"/>
        </w:rPr>
        <w:t xml:space="preserve">Por tanto, </w:t>
      </w:r>
      <w:r w:rsidR="00724970">
        <w:rPr>
          <w:rFonts w:eastAsia="Palatino Linotype" w:cs="Palatino Linotype"/>
          <w:color w:val="000000" w:themeColor="text1"/>
        </w:rPr>
        <w:t xml:space="preserve">es conveniente hacer referencia a lo dispuesto </w:t>
      </w:r>
      <w:r w:rsidR="00E12C68">
        <w:rPr>
          <w:rFonts w:eastAsia="Palatino Linotype" w:cs="Palatino Linotype"/>
          <w:color w:val="000000" w:themeColor="text1"/>
        </w:rPr>
        <w:t xml:space="preserve">en el </w:t>
      </w:r>
      <w:r w:rsidR="00B523D6" w:rsidRPr="00B523D6">
        <w:rPr>
          <w:rFonts w:eastAsia="Palatino Linotype" w:cs="Palatino Linotype"/>
          <w:color w:val="000000" w:themeColor="text1"/>
        </w:rPr>
        <w:t xml:space="preserve">Reglamento para los Procesos de Entrega y Recepción y de Rendición de Cuentas de la Administración Pública del Estado de México, </w:t>
      </w:r>
      <w:r w:rsidR="00B523D6">
        <w:rPr>
          <w:rFonts w:eastAsia="Palatino Linotype" w:cs="Palatino Linotype"/>
          <w:color w:val="000000" w:themeColor="text1"/>
        </w:rPr>
        <w:t xml:space="preserve">en el </w:t>
      </w:r>
      <w:r w:rsidR="00B523D6" w:rsidRPr="00B523D6">
        <w:rPr>
          <w:rFonts w:eastAsia="Palatino Linotype" w:cs="Palatino Linotype"/>
          <w:color w:val="000000" w:themeColor="text1"/>
        </w:rPr>
        <w:t>que establece lo siguiente:</w:t>
      </w:r>
    </w:p>
    <w:p w14:paraId="7C5B4A87" w14:textId="77777777" w:rsidR="00953960" w:rsidRDefault="00953960" w:rsidP="00637679"/>
    <w:p w14:paraId="63A67003" w14:textId="77777777" w:rsidR="00CF07A8" w:rsidRPr="00CF07A8" w:rsidRDefault="00CF07A8" w:rsidP="00CF07A8">
      <w:pPr>
        <w:pStyle w:val="Fundamentos"/>
        <w:rPr>
          <w:lang w:val="es-MX"/>
        </w:rPr>
      </w:pPr>
      <w:r w:rsidRPr="00CF07A8">
        <w:rPr>
          <w:b/>
          <w:bCs/>
          <w:lang w:val="es-MX"/>
        </w:rPr>
        <w:t>Artículo 1</w:t>
      </w:r>
      <w:r w:rsidRPr="00CF07A8">
        <w:rPr>
          <w:lang w:val="es-MX"/>
        </w:rPr>
        <w:t>. El presente Reglamento tiene por objeto regular los procesos de Entrega y Recepción de recursos, programas, proyectos, acciones, asuntos, compromisos e información a cargo de las personas servidoras públicas adscritas a las Unidades Administrativas de las Dependencias y Organismos Auxiliares, así como de la rendición de cuentas institucionales por el término del periodo constitucional de la gestión de gobierno de la persona titular del Poder Ejecutivo del Estado de México.</w:t>
      </w:r>
    </w:p>
    <w:p w14:paraId="032402ED" w14:textId="77777777" w:rsidR="00CF07A8" w:rsidRPr="00CF07A8" w:rsidRDefault="00CF07A8" w:rsidP="00CF07A8">
      <w:pPr>
        <w:pStyle w:val="Fundamentos"/>
        <w:rPr>
          <w:lang w:val="es-MX"/>
        </w:rPr>
      </w:pPr>
    </w:p>
    <w:p w14:paraId="1790FDCA" w14:textId="77777777" w:rsidR="00CF07A8" w:rsidRPr="00CF07A8" w:rsidRDefault="00CF07A8" w:rsidP="00CF07A8">
      <w:pPr>
        <w:pStyle w:val="Fundamentos"/>
        <w:rPr>
          <w:lang w:val="es-MX"/>
        </w:rPr>
      </w:pPr>
      <w:r w:rsidRPr="00CF07A8">
        <w:rPr>
          <w:b/>
          <w:bCs/>
          <w:lang w:val="es-MX"/>
        </w:rPr>
        <w:t>Artículo 3.</w:t>
      </w:r>
      <w:r w:rsidRPr="00CF07A8">
        <w:rPr>
          <w:lang w:val="es-MX"/>
        </w:rPr>
        <w:t xml:space="preserve"> Para efectos del presente Reglamento, se entiende por: </w:t>
      </w:r>
    </w:p>
    <w:p w14:paraId="3064F0FF" w14:textId="77777777" w:rsidR="00CF07A8" w:rsidRPr="00CF07A8" w:rsidRDefault="00CF07A8" w:rsidP="00CF07A8">
      <w:pPr>
        <w:pStyle w:val="Fundamentos"/>
        <w:rPr>
          <w:lang w:val="es-MX"/>
        </w:rPr>
      </w:pPr>
    </w:p>
    <w:p w14:paraId="2B7E4379" w14:textId="77777777" w:rsidR="00CF07A8" w:rsidRPr="00CF07A8" w:rsidRDefault="00CF07A8" w:rsidP="00CF07A8">
      <w:pPr>
        <w:pStyle w:val="Fundamentos"/>
        <w:rPr>
          <w:lang w:val="es-MX"/>
        </w:rPr>
      </w:pPr>
      <w:r w:rsidRPr="00CF07A8">
        <w:rPr>
          <w:lang w:val="es-MX"/>
        </w:rPr>
        <w:t xml:space="preserve">I. </w:t>
      </w:r>
      <w:r w:rsidRPr="00CF07A8">
        <w:rPr>
          <w:b/>
          <w:bCs/>
          <w:lang w:val="es-MX"/>
        </w:rPr>
        <w:t>Acta Administrativa:</w:t>
      </w:r>
      <w:r w:rsidRPr="00CF07A8">
        <w:rPr>
          <w:lang w:val="es-MX"/>
        </w:rPr>
        <w:t xml:space="preserve"> Al 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25EF54D2" w14:textId="77777777" w:rsidR="00CF07A8" w:rsidRPr="00CF07A8" w:rsidRDefault="00CF07A8" w:rsidP="00CF07A8">
      <w:pPr>
        <w:pStyle w:val="Fundamentos"/>
        <w:rPr>
          <w:lang w:val="es-MX"/>
        </w:rPr>
      </w:pPr>
      <w:r w:rsidRPr="00CF07A8">
        <w:rPr>
          <w:lang w:val="es-MX"/>
        </w:rPr>
        <w:t>…</w:t>
      </w:r>
    </w:p>
    <w:p w14:paraId="6995CA4A" w14:textId="77777777" w:rsidR="00CF07A8" w:rsidRPr="00CF07A8" w:rsidRDefault="00CF07A8" w:rsidP="00CF07A8">
      <w:pPr>
        <w:pStyle w:val="Fundamentos"/>
        <w:rPr>
          <w:lang w:val="es-MX"/>
        </w:rPr>
      </w:pPr>
    </w:p>
    <w:p w14:paraId="327E5618" w14:textId="77777777" w:rsidR="00CF07A8" w:rsidRPr="00CF07A8" w:rsidRDefault="00CF07A8" w:rsidP="00CF07A8">
      <w:pPr>
        <w:pStyle w:val="Fundamentos"/>
        <w:rPr>
          <w:lang w:val="es-MX"/>
        </w:rPr>
      </w:pPr>
      <w:r w:rsidRPr="00CF07A8">
        <w:rPr>
          <w:lang w:val="es-MX"/>
        </w:rPr>
        <w:lastRenderedPageBreak/>
        <w:t xml:space="preserve">VII. </w:t>
      </w:r>
      <w:r w:rsidRPr="00CF07A8">
        <w:rPr>
          <w:b/>
          <w:bCs/>
          <w:lang w:val="es-MX"/>
        </w:rPr>
        <w:t>Dependencias</w:t>
      </w:r>
      <w:r w:rsidRPr="00CF07A8">
        <w:rPr>
          <w:lang w:val="es-MX"/>
        </w:rPr>
        <w:t>: A las Dependencias del Poder Ejecutivo del Estado de México previstas en la Ley Orgánica de la Administración Pública del Estado de México, y sus órganos desconcentrados;</w:t>
      </w:r>
    </w:p>
    <w:p w14:paraId="33B9AF0F" w14:textId="77777777" w:rsidR="00CF07A8" w:rsidRPr="00CF07A8" w:rsidRDefault="00CF07A8" w:rsidP="00CF07A8">
      <w:pPr>
        <w:pStyle w:val="Fundamentos"/>
        <w:rPr>
          <w:lang w:val="es-MX"/>
        </w:rPr>
      </w:pPr>
    </w:p>
    <w:p w14:paraId="757DB234" w14:textId="77777777" w:rsidR="00CF07A8" w:rsidRPr="00CF07A8" w:rsidRDefault="00CF07A8" w:rsidP="00CF07A8">
      <w:pPr>
        <w:pStyle w:val="Fundamentos"/>
        <w:rPr>
          <w:lang w:val="es-MX"/>
        </w:rPr>
      </w:pPr>
      <w:r w:rsidRPr="00CF07A8">
        <w:rPr>
          <w:lang w:val="es-MX"/>
        </w:rPr>
        <w:t>…</w:t>
      </w:r>
    </w:p>
    <w:p w14:paraId="722A7A56" w14:textId="77777777" w:rsidR="00CF07A8" w:rsidRPr="00CF07A8" w:rsidRDefault="00CF07A8" w:rsidP="00CF07A8">
      <w:pPr>
        <w:pStyle w:val="Fundamentos"/>
        <w:rPr>
          <w:lang w:val="es-MX"/>
        </w:rPr>
      </w:pPr>
      <w:r w:rsidRPr="00CF07A8">
        <w:rPr>
          <w:lang w:val="es-MX"/>
        </w:rPr>
        <w:t xml:space="preserve">IX. </w:t>
      </w:r>
      <w:r w:rsidRPr="00CF07A8">
        <w:rPr>
          <w:b/>
          <w:bCs/>
          <w:lang w:val="es-MX"/>
        </w:rPr>
        <w:t>Entrega y Recepción</w:t>
      </w:r>
      <w:r w:rsidRPr="00CF07A8">
        <w:rPr>
          <w:lang w:val="es-MX"/>
        </w:rPr>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directa, a quien reciba legalmente para sustituirle o a la persona que su superior jerárquico designe como encargada o encargado, o responsable para tales efectos; </w:t>
      </w:r>
    </w:p>
    <w:p w14:paraId="62A42269" w14:textId="77777777" w:rsidR="00CF07A8" w:rsidRPr="00CF07A8" w:rsidRDefault="00CF07A8" w:rsidP="00CF07A8">
      <w:pPr>
        <w:pStyle w:val="Fundamentos"/>
        <w:rPr>
          <w:lang w:val="es-MX"/>
        </w:rPr>
      </w:pPr>
    </w:p>
    <w:p w14:paraId="4DC90902" w14:textId="77777777" w:rsidR="00CF07A8" w:rsidRPr="00CF07A8" w:rsidRDefault="00CF07A8" w:rsidP="00CF07A8">
      <w:pPr>
        <w:pStyle w:val="Fundamentos"/>
        <w:rPr>
          <w:lang w:val="es-MX"/>
        </w:rPr>
      </w:pPr>
      <w:r w:rsidRPr="00CF07A8">
        <w:rPr>
          <w:lang w:val="es-MX"/>
        </w:rPr>
        <w:t xml:space="preserve">X. </w:t>
      </w:r>
      <w:r w:rsidRPr="00CF07A8">
        <w:rPr>
          <w:b/>
          <w:bCs/>
          <w:lang w:val="es-MX"/>
        </w:rPr>
        <w:t>Entrega y Recepción Institucional</w:t>
      </w:r>
      <w:r w:rsidRPr="00CF07A8">
        <w:rPr>
          <w:lang w:val="es-MX"/>
        </w:rPr>
        <w:t>: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346B7D06" w14:textId="77777777" w:rsidR="00CF07A8" w:rsidRPr="00CF07A8" w:rsidRDefault="00CF07A8" w:rsidP="00CF07A8">
      <w:pPr>
        <w:pStyle w:val="Fundamentos"/>
        <w:rPr>
          <w:b/>
          <w:bCs/>
          <w:lang w:val="es-MX"/>
        </w:rPr>
      </w:pPr>
    </w:p>
    <w:p w14:paraId="1AA82D38" w14:textId="77777777" w:rsidR="00CF07A8" w:rsidRPr="00CF07A8" w:rsidRDefault="00CF07A8" w:rsidP="00CF07A8">
      <w:pPr>
        <w:pStyle w:val="Fundamentos"/>
        <w:rPr>
          <w:lang w:val="es-MX"/>
        </w:rPr>
      </w:pPr>
      <w:r w:rsidRPr="00CF07A8">
        <w:rPr>
          <w:b/>
          <w:bCs/>
          <w:lang w:val="es-MX"/>
        </w:rPr>
        <w:t>Artículo 5</w:t>
      </w:r>
      <w:r w:rsidRPr="00CF07A8">
        <w:rPr>
          <w:b/>
          <w:bCs/>
          <w:u w:val="single"/>
          <w:lang w:val="es-MX"/>
        </w:rPr>
        <w:t>. La Entrega y Recepción se realizará cuando una persona servidora pública se separe de su empleo, cargo o comisión, por cualquier motivo, incluyendo licencias, suplencias, encargos o el término del periodo constitucional de la gestión de gobierno de la persona titular del Poder Ejecutivo del Estado de México</w:t>
      </w:r>
      <w:r w:rsidRPr="00CF07A8">
        <w:rPr>
          <w:lang w:val="es-MX"/>
        </w:rPr>
        <w:t xml:space="preserve">. </w:t>
      </w:r>
    </w:p>
    <w:p w14:paraId="40DB6F3F" w14:textId="77777777" w:rsidR="00CF07A8" w:rsidRPr="00CF07A8" w:rsidRDefault="00CF07A8" w:rsidP="00CF07A8">
      <w:pPr>
        <w:pStyle w:val="Fundamentos"/>
        <w:rPr>
          <w:lang w:val="es-MX"/>
        </w:rPr>
      </w:pPr>
    </w:p>
    <w:p w14:paraId="3D479CAD" w14:textId="77777777" w:rsidR="00CF07A8" w:rsidRPr="00CF07A8" w:rsidRDefault="00CF07A8" w:rsidP="00CF07A8">
      <w:pPr>
        <w:pStyle w:val="Fundamentos"/>
        <w:rPr>
          <w:lang w:val="es-MX"/>
        </w:rPr>
      </w:pPr>
      <w:r w:rsidRPr="00CF07A8">
        <w:rPr>
          <w:lang w:val="es-MX"/>
        </w:rPr>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7F527C0D" w14:textId="77777777" w:rsidR="00CF07A8" w:rsidRPr="00CF07A8" w:rsidRDefault="00CF07A8" w:rsidP="00CF07A8">
      <w:pPr>
        <w:pStyle w:val="Fundamentos"/>
        <w:rPr>
          <w:b/>
          <w:bCs/>
          <w:lang w:val="es-MX"/>
        </w:rPr>
      </w:pPr>
    </w:p>
    <w:p w14:paraId="1A6DEB72" w14:textId="77777777" w:rsidR="00CF07A8" w:rsidRPr="00CF07A8" w:rsidRDefault="00CF07A8" w:rsidP="00CF07A8">
      <w:pPr>
        <w:pStyle w:val="Fundamentos"/>
        <w:rPr>
          <w:lang w:val="es-MX"/>
        </w:rPr>
      </w:pPr>
      <w:r w:rsidRPr="00CF07A8">
        <w:rPr>
          <w:b/>
          <w:bCs/>
          <w:lang w:val="es-MX"/>
        </w:rPr>
        <w:t>Artículo 7</w:t>
      </w:r>
      <w:r w:rsidRPr="00CF07A8">
        <w:rPr>
          <w:lang w:val="es-MX"/>
        </w:rPr>
        <w:t xml:space="preserve">. </w:t>
      </w:r>
      <w:r w:rsidRPr="00CF07A8">
        <w:rPr>
          <w:b/>
          <w:bCs/>
          <w:u w:val="single"/>
          <w:lang w:val="es-MX"/>
        </w:rPr>
        <w:t>La Entrega y Recepción se efectuará en un plazo máximo de cinco días hábiles</w:t>
      </w:r>
      <w:r w:rsidRPr="00CF07A8">
        <w:rPr>
          <w:lang w:val="es-MX"/>
        </w:rPr>
        <w:t xml:space="preserve">, contados a partir de que surta efectos la separación del empleo, cargo o comisión y se dejará constancia mediante el Acta Administrativa correspondiente. </w:t>
      </w:r>
    </w:p>
    <w:p w14:paraId="05EE3D79" w14:textId="77777777" w:rsidR="00CF07A8" w:rsidRPr="00CF07A8" w:rsidRDefault="00CF07A8" w:rsidP="00CF07A8">
      <w:pPr>
        <w:pStyle w:val="Fundamentos"/>
        <w:rPr>
          <w:lang w:val="es-MX"/>
        </w:rPr>
      </w:pPr>
    </w:p>
    <w:p w14:paraId="1FB90242" w14:textId="77777777" w:rsidR="00CF07A8" w:rsidRPr="00CF07A8" w:rsidRDefault="00CF07A8" w:rsidP="00CF07A8">
      <w:pPr>
        <w:pStyle w:val="Fundamentos"/>
        <w:rPr>
          <w:bCs/>
          <w:lang w:val="es-MX"/>
        </w:rPr>
      </w:pPr>
      <w:r w:rsidRPr="00CF07A8">
        <w:rPr>
          <w:bCs/>
          <w:lang w:val="es-MX"/>
        </w:rPr>
        <w:t xml:space="preserve">En el caso de los procesos de Entrega y Recepción derivados de reestructuraciones organizacionales; descentralización o desconcentración de Unidades Administrativas; </w:t>
      </w:r>
      <w:r w:rsidRPr="00CF07A8">
        <w:rPr>
          <w:bCs/>
          <w:lang w:val="es-MX"/>
        </w:rPr>
        <w:lastRenderedPageBreak/>
        <w:t>extinción, liquidación, disolución o fusión de Organismos Auxiliares; creación o supresión de Unidades Administrativas, Dependencias, Órganos Administrativos Desconcentrados y Organismos Auxiliares; los Órganos Internos de Control y las Áreas de Administración 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p>
    <w:p w14:paraId="783E409E" w14:textId="77777777" w:rsidR="00724970" w:rsidRDefault="00724970" w:rsidP="00637679"/>
    <w:p w14:paraId="08561256" w14:textId="49A7B4D2" w:rsidR="00724970" w:rsidRDefault="0067595F" w:rsidP="00637679">
      <w:r>
        <w:t xml:space="preserve">De los preceptos en cita se desprende que </w:t>
      </w:r>
      <w:r w:rsidR="00AA2EFC">
        <w:t xml:space="preserve">el proceso de entrega recepción se lleva a cabo cuando </w:t>
      </w:r>
      <w:r w:rsidR="005F158A" w:rsidRPr="005F158A">
        <w:t>una persona servidora pública que concluye su empleo, cargo o comisión hace entrega y rinde cuentas de los Recursos asignados; de los programas, proyectos, asuntos y acciones a su cargo y del estado que guardan</w:t>
      </w:r>
      <w:r w:rsidR="005F158A">
        <w:t xml:space="preserve">; asimismo, la entrega y recepción institución lo realizan </w:t>
      </w:r>
      <w:r w:rsidR="008B7367" w:rsidRPr="008B7367">
        <w:t>las personas titulares de las Dependencias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w:t>
      </w:r>
      <w:r w:rsidR="008B7367">
        <w:t xml:space="preserve">, y en ambos supuestos se genera </w:t>
      </w:r>
      <w:r w:rsidR="00D0737E">
        <w:t xml:space="preserve">un acta administrativa, que puede ser un </w:t>
      </w:r>
      <w:r w:rsidR="00F96F3C" w:rsidRPr="008001A7">
        <w:t>documento físico o electrónico que debe presentar la persona servidora pública que concluye un empleo, cargo o comisión, en el que consta la Entrega y Recepción de los Recursos asignados, 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w:t>
      </w:r>
      <w:r w:rsidR="00F96F3C">
        <w:t>.</w:t>
      </w:r>
      <w:r w:rsidR="00F41EDA">
        <w:t xml:space="preserve"> Dicho proceso </w:t>
      </w:r>
      <w:r w:rsidR="00F41EDA" w:rsidRPr="00F41EDA">
        <w:t>se efectuará en un plazo máximo de cinco días hábiles, contados a partir de que surta efectos la separación del empleo, cargo o comisión y se dejará constancia mediante el Acta Administrativa correspondiente</w:t>
      </w:r>
    </w:p>
    <w:p w14:paraId="4356F2DF" w14:textId="77777777" w:rsidR="00724970" w:rsidRDefault="00724970" w:rsidP="00637679"/>
    <w:p w14:paraId="7680D8AF" w14:textId="75809E37" w:rsidR="00724970" w:rsidRDefault="00031619" w:rsidP="00637679">
      <w:r>
        <w:t xml:space="preserve">Ahora bien, debido a que el Sujeto Obligado manifestó </w:t>
      </w:r>
      <w:r w:rsidR="0078235C">
        <w:t xml:space="preserve">mediante el pronunciamiento de dos de sus áreas que no cuenta con la información solicitada, es necesario hacer referencia a lo dispuesto en el </w:t>
      </w:r>
      <w:r w:rsidR="001F02CD">
        <w:t xml:space="preserve">Reglamento Interior de la Secretaría de Finanzas, que en su artículo </w:t>
      </w:r>
      <w:r w:rsidR="00786DFB">
        <w:t>34 fracción XI establece lo siguiente:</w:t>
      </w:r>
    </w:p>
    <w:p w14:paraId="1C7F3CAE" w14:textId="77777777" w:rsidR="00724970" w:rsidRDefault="00724970" w:rsidP="00637679"/>
    <w:p w14:paraId="51A46421" w14:textId="6560149F" w:rsidR="00724970" w:rsidRDefault="00590F89" w:rsidP="00146638">
      <w:pPr>
        <w:pStyle w:val="Fundamentos"/>
      </w:pPr>
      <w:r w:rsidRPr="00590F89">
        <w:rPr>
          <w:b/>
          <w:bCs/>
        </w:rPr>
        <w:t>Artículo 34.</w:t>
      </w:r>
      <w:r w:rsidRPr="00590F89">
        <w:t xml:space="preserve"> Corresponde a la Coordinación Administrativa:</w:t>
      </w:r>
    </w:p>
    <w:p w14:paraId="281F0007" w14:textId="68523543" w:rsidR="00724970" w:rsidRDefault="00590F89" w:rsidP="00146638">
      <w:pPr>
        <w:pStyle w:val="Fundamentos"/>
      </w:pPr>
      <w:r>
        <w:t>[…]</w:t>
      </w:r>
    </w:p>
    <w:p w14:paraId="5E5620CE" w14:textId="66927BA0" w:rsidR="00724970" w:rsidRDefault="0000157A" w:rsidP="00146638">
      <w:pPr>
        <w:pStyle w:val="Fundamentos"/>
      </w:pPr>
      <w:r>
        <w:t xml:space="preserve">XI. </w:t>
      </w:r>
      <w:r w:rsidRPr="00146638">
        <w:rPr>
          <w:b/>
          <w:bCs/>
          <w:u w:val="single"/>
        </w:rPr>
        <w:t>Convocar y organizar los actos de entrega y recepción de las unidades administrativas, así como de las personas servidoras públicas con la intervención del Órgano Interno de Control con apego a la normatividad aplicable</w:t>
      </w:r>
      <w:r>
        <w:t>;</w:t>
      </w:r>
    </w:p>
    <w:p w14:paraId="08CBDD8B" w14:textId="7F4C8318" w:rsidR="0000157A" w:rsidRDefault="0000157A" w:rsidP="00146638">
      <w:pPr>
        <w:pStyle w:val="Fundamentos"/>
      </w:pPr>
      <w:r>
        <w:t>[…]</w:t>
      </w:r>
    </w:p>
    <w:p w14:paraId="3C4AC1A6" w14:textId="77777777" w:rsidR="0000157A" w:rsidRDefault="0000157A" w:rsidP="0000157A"/>
    <w:p w14:paraId="16DF4022" w14:textId="577087B4" w:rsidR="0000157A" w:rsidRDefault="20F3BDC3" w:rsidP="0000157A">
      <w:r w:rsidRPr="20F3BDC3">
        <w:rPr>
          <w:lang w:val="es-ES"/>
        </w:rPr>
        <w:t>Como se observa, si bien es cierto que se pronunciaron dos áreas del Sujeto Obligado, también lo es que esa dependencia cuenta entre sus unidades administrativas con la Coordinación Administrativa la cual es la facultadas para convocar y organizar los actos de entrega y recepción de las unidades administrativas y personas servidoras públicas.</w:t>
      </w:r>
    </w:p>
    <w:p w14:paraId="596806A0" w14:textId="77777777" w:rsidR="003515A5" w:rsidRDefault="003515A5" w:rsidP="0000157A"/>
    <w:p w14:paraId="6A18BA37" w14:textId="3335C6F6" w:rsidR="003515A5" w:rsidRDefault="003515A5" w:rsidP="0000157A">
      <w:r>
        <w:t>Por tal motivo, se estima que</w:t>
      </w:r>
      <w:r w:rsidR="00CC70FF">
        <w:t>,</w:t>
      </w:r>
      <w:r>
        <w:t xml:space="preserve"> al no haberse turnado la solicitud a todas las áreas que pudieran contar con la información </w:t>
      </w:r>
      <w:r w:rsidR="00E00B49">
        <w:t xml:space="preserve">conforme a sus atribuciones, facultades o competencias, </w:t>
      </w:r>
      <w:r w:rsidR="00CC70FF">
        <w:t xml:space="preserve">el Sujeto Obligado dejó de observar lo dispuesto en el artículo </w:t>
      </w:r>
      <w:r w:rsidR="0088739A">
        <w:t>162 de la Ley de Transparencia local, que a la letra dispone lo siguiente:</w:t>
      </w:r>
    </w:p>
    <w:p w14:paraId="7F027BF1" w14:textId="77777777" w:rsidR="0088739A" w:rsidRDefault="0088739A" w:rsidP="0000157A"/>
    <w:p w14:paraId="34F882B4" w14:textId="77777777" w:rsidR="00465A07" w:rsidRPr="00465A07" w:rsidRDefault="00465A07" w:rsidP="00465A07">
      <w:pPr>
        <w:pStyle w:val="Fundamentos"/>
        <w:rPr>
          <w:lang w:val="es-MX"/>
        </w:rPr>
      </w:pPr>
      <w:r w:rsidRPr="00465A07">
        <w:rPr>
          <w:b/>
          <w:lang w:val="es-MX"/>
        </w:rPr>
        <w:t xml:space="preserve">Artículo 162. </w:t>
      </w:r>
      <w:r w:rsidRPr="00465A07">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70B7124" w14:textId="77777777" w:rsidR="0088739A" w:rsidRPr="00465A07" w:rsidRDefault="0088739A" w:rsidP="0000157A">
      <w:pPr>
        <w:rPr>
          <w:lang w:val="es-MX"/>
        </w:rPr>
      </w:pPr>
    </w:p>
    <w:p w14:paraId="6B201E1F" w14:textId="02DD43FD" w:rsidR="004E41AA" w:rsidRDefault="009F32AD" w:rsidP="004E41AA">
      <w:r w:rsidRPr="7B6D7691">
        <w:rPr>
          <w:lang w:val="es-ES"/>
        </w:rPr>
        <w:lastRenderedPageBreak/>
        <w:t>Por lo anterior, con la finalidad de que se otorgue la debida certeza a</w:t>
      </w:r>
      <w:r>
        <w:rPr>
          <w:lang w:val="es-ES"/>
        </w:rPr>
        <w:t xml:space="preserve"> </w:t>
      </w:r>
      <w:r w:rsidRPr="7B6D7691">
        <w:rPr>
          <w:lang w:val="es-ES"/>
        </w:rPr>
        <w:t>l</w:t>
      </w:r>
      <w:r>
        <w:rPr>
          <w:lang w:val="es-ES"/>
        </w:rPr>
        <w:t>a</w:t>
      </w:r>
      <w:r w:rsidRPr="7B6D7691">
        <w:rPr>
          <w:lang w:val="es-ES"/>
        </w:rPr>
        <w:t xml:space="preserve"> Recurrente respecto de la información que es de su interés, es necesario que se realice una nueva búsqueda exhaustiva y razonable en los archivos de todas las áreas que se consideren competentes con la finalidad de que se haga entrega de </w:t>
      </w:r>
      <w:r w:rsidR="004E41AA">
        <w:t>las actas entrega recepción de todas las áreas de la Secretaría de Finanzas que se hayan generado a raíz del cambio de la administración pública estatal del año dos mil veintitrés.</w:t>
      </w:r>
    </w:p>
    <w:p w14:paraId="7F584DDA" w14:textId="4A307B34" w:rsidR="00724970" w:rsidRDefault="00724970" w:rsidP="00637679"/>
    <w:p w14:paraId="44A3E61A" w14:textId="38D7DE30" w:rsidR="005B7B78" w:rsidRPr="005B7B78" w:rsidRDefault="005B7B78" w:rsidP="005B7B78">
      <w:pPr>
        <w:rPr>
          <w:lang w:val="es-MX"/>
        </w:rPr>
      </w:pPr>
      <w:r w:rsidRPr="005B7B78">
        <w:rPr>
          <w:bCs/>
          <w:lang w:val="es-MX"/>
        </w:rPr>
        <w:t>Por otra parte, no se omite comentar que existe la posibilidad de que las actas de entrega</w:t>
      </w:r>
      <w:r w:rsidR="00B764F3">
        <w:rPr>
          <w:bCs/>
          <w:lang w:val="es-MX"/>
        </w:rPr>
        <w:t xml:space="preserve"> y </w:t>
      </w:r>
      <w:r w:rsidRPr="005B7B78">
        <w:rPr>
          <w:bCs/>
          <w:lang w:val="es-MX"/>
        </w:rPr>
        <w:t xml:space="preserve">recepción de las cuales se ordena su entrega pudieran tener observaciones que </w:t>
      </w:r>
      <w:r w:rsidRPr="005B7B78">
        <w:rPr>
          <w:lang w:val="es-MX"/>
        </w:rPr>
        <w:t>deriven en un procedimiento administrativo que se encuentre en trámite</w:t>
      </w:r>
      <w:r w:rsidR="001139D3">
        <w:rPr>
          <w:lang w:val="es-MX"/>
        </w:rPr>
        <w:t>; por lo que</w:t>
      </w:r>
      <w:r w:rsidR="00862709">
        <w:rPr>
          <w:lang w:val="es-MX"/>
        </w:rPr>
        <w:t>, de ser el caso,</w:t>
      </w:r>
      <w:r w:rsidR="00347660" w:rsidRPr="005B7B78">
        <w:rPr>
          <w:lang w:val="es-MX"/>
        </w:rPr>
        <w:t xml:space="preserve"> </w:t>
      </w:r>
      <w:r w:rsidR="00347660">
        <w:rPr>
          <w:lang w:val="es-MX"/>
        </w:rPr>
        <w:t>e</w:t>
      </w:r>
      <w:r w:rsidR="00347660" w:rsidRPr="005B7B78">
        <w:rPr>
          <w:lang w:val="es-MX"/>
        </w:rPr>
        <w:t xml:space="preserve">l Sujeto Obligado </w:t>
      </w:r>
      <w:r w:rsidRPr="005B7B78">
        <w:rPr>
          <w:lang w:val="es-MX"/>
        </w:rPr>
        <w:t>deberá de hacerlo del conocimiento de la particular, remitiendo el Acta de Comité de Transparencia donde funde y motive la reserva de la información.</w:t>
      </w:r>
    </w:p>
    <w:p w14:paraId="5EBF50CE" w14:textId="77777777" w:rsidR="005B7B78" w:rsidRPr="005B7B78" w:rsidRDefault="005B7B78" w:rsidP="005B7B78">
      <w:pPr>
        <w:rPr>
          <w:lang w:val="es-MX"/>
        </w:rPr>
      </w:pPr>
    </w:p>
    <w:p w14:paraId="6C8BD51C" w14:textId="4FD4AA65" w:rsidR="005B7B78" w:rsidRPr="005B7B78" w:rsidRDefault="00862709" w:rsidP="005B7B78">
      <w:pPr>
        <w:rPr>
          <w:lang w:val="es-MX"/>
        </w:rPr>
      </w:pPr>
      <w:r>
        <w:rPr>
          <w:lang w:val="es-MX"/>
        </w:rPr>
        <w:t>Por tanto</w:t>
      </w:r>
      <w:r w:rsidR="005B7B78" w:rsidRPr="005B7B78">
        <w:rPr>
          <w:lang w:val="es-MX"/>
        </w:rPr>
        <w:t xml:space="preserve">, </w:t>
      </w:r>
      <w:r>
        <w:rPr>
          <w:lang w:val="es-MX"/>
        </w:rPr>
        <w:t>es dable</w:t>
      </w:r>
      <w:r w:rsidR="005B7B78" w:rsidRPr="005B7B78">
        <w:rPr>
          <w:lang w:val="es-MX"/>
        </w:rPr>
        <w:t xml:space="preserve"> señalar que el artículo 140 fracción VI de la Ley de Transparencia </w:t>
      </w:r>
      <w:r>
        <w:rPr>
          <w:lang w:val="es-MX"/>
        </w:rPr>
        <w:t>estata</w:t>
      </w:r>
      <w:r w:rsidR="00231E69">
        <w:rPr>
          <w:lang w:val="es-MX"/>
        </w:rPr>
        <w:t xml:space="preserve">l establece lo siguiente: </w:t>
      </w:r>
    </w:p>
    <w:p w14:paraId="4B7B910D" w14:textId="77777777" w:rsidR="005B7B78" w:rsidRPr="005B7B78" w:rsidRDefault="005B7B78" w:rsidP="005B7B78">
      <w:pPr>
        <w:rPr>
          <w:lang w:val="es-MX"/>
        </w:rPr>
      </w:pPr>
    </w:p>
    <w:p w14:paraId="5E787F8E" w14:textId="2C99B863" w:rsidR="005B7B78" w:rsidRPr="005B7B78" w:rsidRDefault="005B7B78" w:rsidP="00231E69">
      <w:pPr>
        <w:pStyle w:val="Fundamentos"/>
        <w:rPr>
          <w:lang w:val="es-MX"/>
        </w:rPr>
      </w:pPr>
      <w:r w:rsidRPr="005B7B78">
        <w:rPr>
          <w:b/>
          <w:lang w:val="es-MX"/>
        </w:rPr>
        <w:t>Artículo 140.</w:t>
      </w:r>
      <w:r w:rsidRPr="005B7B78">
        <w:rPr>
          <w:lang w:val="es-MX"/>
        </w:rPr>
        <w:t xml:space="preserve"> El acceso a la información pública será restringido excepcionalmente, cuando por razones de interés público, ésta sea clasificada como reservada, conforme a los criterios siguientes: </w:t>
      </w:r>
    </w:p>
    <w:p w14:paraId="4FC250A3" w14:textId="465F810B" w:rsidR="005B7B78" w:rsidRPr="005B7B78" w:rsidRDefault="00231E69" w:rsidP="00231E69">
      <w:pPr>
        <w:pStyle w:val="Fundamentos"/>
        <w:rPr>
          <w:lang w:val="es-MX"/>
        </w:rPr>
      </w:pPr>
      <w:r>
        <w:rPr>
          <w:lang w:val="es-MX"/>
        </w:rPr>
        <w:t>[…]</w:t>
      </w:r>
      <w:r w:rsidR="005B7B78" w:rsidRPr="005B7B78">
        <w:rPr>
          <w:lang w:val="es-MX"/>
        </w:rPr>
        <w:t xml:space="preserve"> </w:t>
      </w:r>
    </w:p>
    <w:p w14:paraId="6C9C6630" w14:textId="77777777" w:rsidR="005B7B78" w:rsidRPr="005B7B78" w:rsidRDefault="005B7B78" w:rsidP="00231E69">
      <w:pPr>
        <w:pStyle w:val="Fundamentos"/>
        <w:rPr>
          <w:lang w:val="es-MX"/>
        </w:rPr>
      </w:pPr>
      <w:r w:rsidRPr="005B7B78">
        <w:rPr>
          <w:b/>
          <w:bCs/>
          <w:lang w:val="es-MX"/>
        </w:rPr>
        <w:t>VI.</w:t>
      </w:r>
      <w:r w:rsidRPr="005B7B78">
        <w:rPr>
          <w:lang w:val="es-MX"/>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w:t>
      </w:r>
      <w:r w:rsidRPr="005B7B78">
        <w:rPr>
          <w:b/>
          <w:lang w:val="es-MX"/>
        </w:rPr>
        <w:t>incluidos los de quejas, denuncias, inconformidades, responsabilidades administrativas y resarcitorias en tanto no hayan quedado firmes</w:t>
      </w:r>
      <w:r w:rsidRPr="005B7B78">
        <w:rPr>
          <w:lang w:val="es-MX"/>
        </w:rPr>
        <w:t xml:space="preserve"> o afecte la administración de justicia o la seguridad de un denunciante, querellante o testigo, así como sus familias, en los términos de las disposiciones jurídicas aplicables; </w:t>
      </w:r>
    </w:p>
    <w:p w14:paraId="45DBCAC8" w14:textId="07EFDA14" w:rsidR="005B7B78" w:rsidRPr="005B7B78" w:rsidRDefault="00231E69" w:rsidP="00231E69">
      <w:pPr>
        <w:pStyle w:val="Fundamentos"/>
        <w:rPr>
          <w:lang w:val="es-MX"/>
        </w:rPr>
      </w:pPr>
      <w:r>
        <w:rPr>
          <w:lang w:val="es-MX"/>
        </w:rPr>
        <w:t>[…]</w:t>
      </w:r>
    </w:p>
    <w:p w14:paraId="1BFF27D6" w14:textId="77777777" w:rsidR="005B7B78" w:rsidRPr="005B7B78" w:rsidRDefault="005B7B78" w:rsidP="005B7B78">
      <w:pPr>
        <w:rPr>
          <w:lang w:val="es-MX"/>
        </w:rPr>
      </w:pPr>
    </w:p>
    <w:p w14:paraId="26A7F3AB" w14:textId="4D036848" w:rsidR="005B7B78" w:rsidRPr="005B7B78" w:rsidRDefault="005B7B78" w:rsidP="005B7B78">
      <w:pPr>
        <w:rPr>
          <w:lang w:val="es-MX"/>
        </w:rPr>
      </w:pPr>
      <w:r w:rsidRPr="005B7B78">
        <w:rPr>
          <w:lang w:val="es-MX"/>
        </w:rPr>
        <w:lastRenderedPageBreak/>
        <w:t xml:space="preserve">Lo anterior cobra relevancia, toda vez que existe la posibilidad en que los documentos de los cuales se ordenan su entrega pudieran encontrarse en un procedimiento de investigación en la cual se continua allegando de elementos </w:t>
      </w:r>
      <w:r w:rsidRPr="005B7B78">
        <w:rPr>
          <w:bCs/>
          <w:lang w:val="es-MX"/>
        </w:rPr>
        <w:t xml:space="preserve">para determinar si existe alguna responsabilidad administrativa por parte de los servidores públicos respectivos, por ende tiene a lugar lo establecido en </w:t>
      </w:r>
      <w:r w:rsidRPr="005B7B78">
        <w:rPr>
          <w:lang w:val="es-MX"/>
        </w:rPr>
        <w:t xml:space="preserve">los Lineamientos Generales en materia de clasificación y desclasificación de la información, así como para la elaboración de versiones públicas, </w:t>
      </w:r>
      <w:r w:rsidR="007D3797">
        <w:rPr>
          <w:lang w:val="es-MX"/>
        </w:rPr>
        <w:t xml:space="preserve">el que </w:t>
      </w:r>
      <w:r w:rsidRPr="005B7B78">
        <w:rPr>
          <w:lang w:val="es-MX"/>
        </w:rPr>
        <w:t>se prevé lo siguiente:</w:t>
      </w:r>
    </w:p>
    <w:p w14:paraId="143BA012" w14:textId="77777777" w:rsidR="005B7B78" w:rsidRPr="005B7B78" w:rsidRDefault="005B7B78" w:rsidP="005B7B78">
      <w:pPr>
        <w:rPr>
          <w:lang w:val="es-MX"/>
        </w:rPr>
      </w:pPr>
    </w:p>
    <w:p w14:paraId="4E7887D0" w14:textId="7B314CE3" w:rsidR="005B7B78" w:rsidRDefault="005B7B78" w:rsidP="007D3797">
      <w:pPr>
        <w:pStyle w:val="Fundamentos"/>
        <w:rPr>
          <w:lang w:val="es-MX"/>
        </w:rPr>
      </w:pPr>
      <w:r w:rsidRPr="005B7B78">
        <w:rPr>
          <w:b/>
          <w:lang w:val="es-MX"/>
        </w:rPr>
        <w:t>Vigésimo octavo</w:t>
      </w:r>
      <w:r w:rsidRPr="005B7B78">
        <w:rPr>
          <w:lang w:val="es-MX"/>
        </w:rPr>
        <w:t>.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49C5E4BB" w14:textId="77777777" w:rsidR="007D3797" w:rsidRPr="005B7B78" w:rsidRDefault="007D3797" w:rsidP="007D3797">
      <w:pPr>
        <w:pStyle w:val="Fundamentos"/>
        <w:rPr>
          <w:lang w:val="es-MX"/>
        </w:rPr>
      </w:pPr>
    </w:p>
    <w:p w14:paraId="00FF1606" w14:textId="77777777" w:rsidR="005B7B78" w:rsidRPr="005B7B78" w:rsidRDefault="005B7B78" w:rsidP="007D3797">
      <w:pPr>
        <w:pStyle w:val="Fundamentos"/>
        <w:rPr>
          <w:b/>
          <w:lang w:val="es-MX"/>
        </w:rPr>
      </w:pPr>
      <w:r w:rsidRPr="005B7B78">
        <w:rPr>
          <w:b/>
          <w:lang w:val="es-MX"/>
        </w:rPr>
        <w:t xml:space="preserve">I. La existencia de un procedimiento de responsabilidad administrativa en trámite, y </w:t>
      </w:r>
    </w:p>
    <w:p w14:paraId="54FCA764" w14:textId="47E4B918" w:rsidR="005B7B78" w:rsidRPr="005B7B78" w:rsidRDefault="005B7B78" w:rsidP="007D3797">
      <w:pPr>
        <w:pStyle w:val="Fundamentos"/>
        <w:rPr>
          <w:b/>
          <w:lang w:val="es-MX"/>
        </w:rPr>
      </w:pPr>
      <w:r w:rsidRPr="005B7B78">
        <w:rPr>
          <w:b/>
          <w:lang w:val="es-MX"/>
        </w:rPr>
        <w:t>II. Que la información se refiera a actuaciones, diligencias y constancias propias del procedimiento de responsabilidad.</w:t>
      </w:r>
    </w:p>
    <w:p w14:paraId="7BAE7E8B" w14:textId="2808F87B" w:rsidR="005B7B78" w:rsidRPr="005B7B78" w:rsidRDefault="007D3797" w:rsidP="007D3797">
      <w:pPr>
        <w:pStyle w:val="Fundamentos"/>
        <w:rPr>
          <w:lang w:val="es-MX"/>
        </w:rPr>
      </w:pPr>
      <w:r>
        <w:rPr>
          <w:lang w:val="es-MX"/>
        </w:rPr>
        <w:t>[…]</w:t>
      </w:r>
    </w:p>
    <w:p w14:paraId="70399048" w14:textId="77777777" w:rsidR="005B7B78" w:rsidRPr="005B7B78" w:rsidRDefault="005B7B78" w:rsidP="005B7B78">
      <w:pPr>
        <w:rPr>
          <w:bCs/>
          <w:lang w:val="es-MX"/>
        </w:rPr>
      </w:pPr>
    </w:p>
    <w:p w14:paraId="6B6108AC" w14:textId="6F21C2FA" w:rsidR="005B7B78" w:rsidRPr="005B7B78" w:rsidRDefault="005B7B78" w:rsidP="005B7B78">
      <w:pPr>
        <w:rPr>
          <w:bCs/>
          <w:lang w:val="es-MX"/>
        </w:rPr>
      </w:pPr>
      <w:r w:rsidRPr="005B7B78">
        <w:rPr>
          <w:bCs/>
          <w:lang w:val="es-MX"/>
        </w:rPr>
        <w:t xml:space="preserve">De la normatividad citada, se desprende que el supuesto de clasificación </w:t>
      </w:r>
      <w:r w:rsidR="007D3797">
        <w:rPr>
          <w:bCs/>
          <w:lang w:val="es-MX"/>
        </w:rPr>
        <w:t>refer</w:t>
      </w:r>
      <w:r w:rsidR="00BB7CB2">
        <w:rPr>
          <w:bCs/>
          <w:lang w:val="es-MX"/>
        </w:rPr>
        <w:t xml:space="preserve">ido </w:t>
      </w:r>
      <w:r w:rsidRPr="005B7B78">
        <w:rPr>
          <w:bCs/>
          <w:lang w:val="es-MX"/>
        </w:rPr>
        <w:t xml:space="preserve">prevé como información reservada </w:t>
      </w:r>
      <w:r w:rsidRPr="005B7B78">
        <w:rPr>
          <w:b/>
          <w:bCs/>
          <w:lang w:val="es-MX"/>
        </w:rPr>
        <w:t>a aquella que vulnere la conducción de los procedimientos de responsabilidades administrativas en trámite, en tanto no hayan causado estado</w:t>
      </w:r>
      <w:r w:rsidR="00BB7CB2">
        <w:rPr>
          <w:b/>
          <w:bCs/>
          <w:lang w:val="es-MX"/>
        </w:rPr>
        <w:t>.</w:t>
      </w:r>
    </w:p>
    <w:p w14:paraId="0496ABB2" w14:textId="77777777" w:rsidR="005B7B78" w:rsidRPr="005B7B78" w:rsidRDefault="005B7B78" w:rsidP="005B7B78">
      <w:pPr>
        <w:rPr>
          <w:bCs/>
          <w:lang w:val="es-MX"/>
        </w:rPr>
      </w:pPr>
    </w:p>
    <w:p w14:paraId="23456CDC" w14:textId="7A76666B" w:rsidR="005B7B78" w:rsidRPr="005B7B78" w:rsidRDefault="005B7B78" w:rsidP="005B7B78">
      <w:pPr>
        <w:rPr>
          <w:bCs/>
          <w:lang w:val="es-MX"/>
        </w:rPr>
      </w:pPr>
      <w:r w:rsidRPr="005B7B78">
        <w:rPr>
          <w:bCs/>
          <w:lang w:val="es-MX"/>
        </w:rPr>
        <w:t>Sobre el particular, cabe traer a colación el artículo 141 de la Ley de Transparencia</w:t>
      </w:r>
      <w:r w:rsidR="00BB7CB2">
        <w:rPr>
          <w:bCs/>
          <w:lang w:val="es-MX"/>
        </w:rPr>
        <w:t xml:space="preserve"> local</w:t>
      </w:r>
      <w:r w:rsidRPr="005B7B78">
        <w:rPr>
          <w:bCs/>
          <w:lang w:val="es-MX"/>
        </w:rPr>
        <w:t>, que establece que las causales de reserva se deberán fundar y motivar, a través de la aplicación de la prueba de daño establecida en el artículo 129 de dicho ordenamiento, que se debe justificar de la siguiente manera:</w:t>
      </w:r>
    </w:p>
    <w:p w14:paraId="396DF94E" w14:textId="77777777" w:rsidR="005B7B78" w:rsidRPr="005B7B78" w:rsidRDefault="005B7B78" w:rsidP="005B7B78">
      <w:pPr>
        <w:rPr>
          <w:bCs/>
          <w:lang w:val="es-MX"/>
        </w:rPr>
      </w:pPr>
    </w:p>
    <w:p w14:paraId="4B0206D1" w14:textId="77777777" w:rsidR="005B7B78" w:rsidRPr="005B7B78" w:rsidRDefault="005B7B78" w:rsidP="00C55387">
      <w:pPr>
        <w:numPr>
          <w:ilvl w:val="0"/>
          <w:numId w:val="55"/>
        </w:numPr>
        <w:rPr>
          <w:bCs/>
          <w:lang w:val="es-MX"/>
        </w:rPr>
      </w:pPr>
      <w:r w:rsidRPr="005B7B78">
        <w:rPr>
          <w:bCs/>
          <w:lang w:val="es-MX"/>
        </w:rPr>
        <w:lastRenderedPageBreak/>
        <w:t>La divulgación de la información representa un riesgo real, demostrable e identificable de perjuicio significativo al interés público o a la seguridad nacional.</w:t>
      </w:r>
    </w:p>
    <w:p w14:paraId="27CC65D4" w14:textId="77777777" w:rsidR="005B7B78" w:rsidRPr="005B7B78" w:rsidRDefault="005B7B78" w:rsidP="00C55387">
      <w:pPr>
        <w:numPr>
          <w:ilvl w:val="0"/>
          <w:numId w:val="55"/>
        </w:numPr>
        <w:rPr>
          <w:bCs/>
          <w:lang w:val="es-MX"/>
        </w:rPr>
      </w:pPr>
      <w:r w:rsidRPr="005B7B78">
        <w:rPr>
          <w:bCs/>
          <w:lang w:val="es-MX"/>
        </w:rPr>
        <w:t>El riesgo de perjuicio supera el interés público general de que se difunda.</w:t>
      </w:r>
    </w:p>
    <w:p w14:paraId="676B510D" w14:textId="77777777" w:rsidR="005B7B78" w:rsidRPr="005B7B78" w:rsidRDefault="005B7B78" w:rsidP="00C55387">
      <w:pPr>
        <w:numPr>
          <w:ilvl w:val="0"/>
          <w:numId w:val="55"/>
        </w:numPr>
        <w:rPr>
          <w:bCs/>
          <w:lang w:val="es-MX"/>
        </w:rPr>
      </w:pPr>
      <w:r w:rsidRPr="005B7B78">
        <w:rPr>
          <w:bCs/>
          <w:lang w:val="es-MX"/>
        </w:rPr>
        <w:t>Que la limitación se adecua al principio de proporcionalidad y representa el medio menos restrictivo disponible para evitar el perjuicio.</w:t>
      </w:r>
    </w:p>
    <w:p w14:paraId="1B11542A" w14:textId="77777777" w:rsidR="005B7B78" w:rsidRPr="005B7B78" w:rsidRDefault="005B7B78" w:rsidP="005B7B78">
      <w:pPr>
        <w:rPr>
          <w:bCs/>
          <w:lang w:val="es-MX"/>
        </w:rPr>
      </w:pPr>
    </w:p>
    <w:p w14:paraId="02D68D14" w14:textId="13895797" w:rsidR="005B7B78" w:rsidRPr="005B7B78" w:rsidRDefault="005B7B78" w:rsidP="005B7B78">
      <w:pPr>
        <w:rPr>
          <w:bCs/>
          <w:lang w:val="es-MX"/>
        </w:rPr>
      </w:pPr>
      <w:r w:rsidRPr="005B7B78">
        <w:rPr>
          <w:bCs/>
          <w:lang w:val="es-MX"/>
        </w:rPr>
        <w:t xml:space="preserve">Por lo anterior se considera que, para el caso en que la información requerida actualice el supuesto de clasificación anteriormente señalado, </w:t>
      </w:r>
      <w:r w:rsidR="004D372E">
        <w:rPr>
          <w:lang w:val="es-MX"/>
        </w:rPr>
        <w:t>e</w:t>
      </w:r>
      <w:r w:rsidR="004D372E" w:rsidRPr="005B7B78">
        <w:rPr>
          <w:lang w:val="es-MX"/>
        </w:rPr>
        <w:t>l Sujeto Obligado</w:t>
      </w:r>
      <w:r w:rsidR="004D372E" w:rsidRPr="005B7B78">
        <w:rPr>
          <w:b/>
          <w:bCs/>
          <w:lang w:val="es-MX"/>
        </w:rPr>
        <w:t xml:space="preserve"> </w:t>
      </w:r>
      <w:r w:rsidRPr="005B7B78">
        <w:rPr>
          <w:bCs/>
          <w:lang w:val="es-MX"/>
        </w:rPr>
        <w:t xml:space="preserve">deberá emitir el acuerdo debidamente fundado y motivado que de sustento a la reserva de la información requerida. </w:t>
      </w:r>
    </w:p>
    <w:p w14:paraId="145590FB" w14:textId="77777777" w:rsidR="005B7B78" w:rsidRPr="005B7B78" w:rsidRDefault="005B7B78" w:rsidP="00637679">
      <w:pPr>
        <w:rPr>
          <w:lang w:val="es-MX"/>
        </w:rPr>
      </w:pPr>
    </w:p>
    <w:p w14:paraId="0D159506" w14:textId="4F3B0258" w:rsidR="00C4548D" w:rsidRDefault="63E72531" w:rsidP="00C4548D">
      <w:r w:rsidRPr="63E72531">
        <w:rPr>
          <w:lang w:val="es-ES"/>
        </w:rPr>
        <w:t xml:space="preserve">Por lo argumentado anteriormente, este Instituto estima que los motivos de inconformidad planteados por </w:t>
      </w:r>
      <w:r w:rsidR="00D37828">
        <w:rPr>
          <w:lang w:val="es-ES"/>
        </w:rPr>
        <w:t>el</w:t>
      </w:r>
      <w:r w:rsidRPr="63E72531">
        <w:rPr>
          <w:lang w:val="es-ES"/>
        </w:rPr>
        <w:t xml:space="preserve"> Recurrente devienen fundados, por lo que es procedente revocar la respuesta y ordenar al Sujeto Obligado que lleve a cabo una búsqueda exhaustiva y razonable en los archivos de las áreas que se estimen competentes con la finalidad de hacer entrega a</w:t>
      </w:r>
      <w:r w:rsidR="00DF5784">
        <w:rPr>
          <w:lang w:val="es-ES"/>
        </w:rPr>
        <w:t xml:space="preserve"> </w:t>
      </w:r>
      <w:r w:rsidR="008F73F9">
        <w:rPr>
          <w:lang w:val="es-ES"/>
        </w:rPr>
        <w:t>l</w:t>
      </w:r>
      <w:r w:rsidR="00DF5784">
        <w:rPr>
          <w:lang w:val="es-ES"/>
        </w:rPr>
        <w:t>a</w:t>
      </w:r>
      <w:r w:rsidR="008F73F9">
        <w:rPr>
          <w:lang w:val="es-ES"/>
        </w:rPr>
        <w:t xml:space="preserve"> </w:t>
      </w:r>
      <w:r w:rsidRPr="63E72531">
        <w:rPr>
          <w:lang w:val="es-ES"/>
        </w:rPr>
        <w:t xml:space="preserve">particular de </w:t>
      </w:r>
      <w:r w:rsidR="00C4548D">
        <w:t>las actas entrega recepción de todas las áreas de la Secretaría de Finanzas que se hayan generado a raíz del cambio de la administración pública estatal del año 2023, en versión pública de ser procedente.</w:t>
      </w:r>
    </w:p>
    <w:p w14:paraId="305C81E8" w14:textId="1002C0F4" w:rsidR="00CE34FE" w:rsidRDefault="00CE34FE" w:rsidP="00CE34FE"/>
    <w:p w14:paraId="1DD2527B" w14:textId="77777777" w:rsidR="00141A0C" w:rsidRPr="004547CA" w:rsidRDefault="00141A0C" w:rsidP="00141A0C">
      <w:pPr>
        <w:pStyle w:val="Ttulo3"/>
        <w:rPr>
          <w:rFonts w:eastAsia="Times New Roman"/>
        </w:rPr>
      </w:pPr>
      <w:r w:rsidRPr="004547CA">
        <w:rPr>
          <w:rFonts w:eastAsia="Times New Roman"/>
        </w:rPr>
        <w:t>DE LA VERSIÓN PÚBLICA</w:t>
      </w:r>
    </w:p>
    <w:p w14:paraId="69D0E1B7" w14:textId="77777777" w:rsidR="00B040E5" w:rsidRPr="004547CA" w:rsidRDefault="00B040E5" w:rsidP="00B040E5">
      <w:pPr>
        <w:ind w:right="49"/>
        <w:rPr>
          <w:rFonts w:eastAsia="Palatino Linotype" w:cs="Palatino Linotype"/>
          <w:szCs w:val="24"/>
          <w:lang w:val="es-MX"/>
        </w:rPr>
      </w:pPr>
      <w:r w:rsidRPr="004547CA">
        <w:rPr>
          <w:rFonts w:eastAsia="Palatino Linotype" w:cs="Palatino Linotype"/>
          <w:szCs w:val="24"/>
          <w:lang w:val="es-MX"/>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w:t>
      </w:r>
      <w:r w:rsidRPr="004547CA">
        <w:rPr>
          <w:rFonts w:eastAsia="Palatino Linotype" w:cs="Palatino Linotype"/>
          <w:szCs w:val="24"/>
          <w:lang w:val="es-MX"/>
        </w:rPr>
        <w:lastRenderedPageBreak/>
        <w:t xml:space="preserve">deban ser clasificados en los términos que la misma Ley de la Materia señala, el </w:t>
      </w:r>
      <w:r w:rsidRPr="004547CA">
        <w:rPr>
          <w:rFonts w:eastAsia="Palatino Linotype" w:cs="Palatino Linotype"/>
          <w:b/>
          <w:szCs w:val="24"/>
          <w:lang w:val="es-MX"/>
        </w:rPr>
        <w:t>Sujeto Obligado</w:t>
      </w:r>
      <w:r w:rsidRPr="004547CA">
        <w:rPr>
          <w:rFonts w:eastAsia="Palatino Linotype" w:cs="Palatino Linotype"/>
          <w:szCs w:val="24"/>
          <w:lang w:val="es-MX"/>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D70299C" w14:textId="77777777" w:rsidR="00B040E5" w:rsidRPr="004547CA" w:rsidRDefault="00B040E5" w:rsidP="00B040E5">
      <w:pPr>
        <w:ind w:right="49"/>
        <w:rPr>
          <w:rFonts w:eastAsia="Palatino Linotype" w:cs="Palatino Linotype"/>
          <w:szCs w:val="24"/>
          <w:lang w:val="es-MX"/>
        </w:rPr>
      </w:pPr>
    </w:p>
    <w:p w14:paraId="22F91061" w14:textId="77777777" w:rsidR="00B040E5" w:rsidRPr="004547CA" w:rsidRDefault="00B040E5" w:rsidP="00B040E5">
      <w:pPr>
        <w:ind w:right="50"/>
        <w:rPr>
          <w:rFonts w:eastAsia="Palatino Linotype" w:cs="Palatino Linotype"/>
          <w:szCs w:val="24"/>
          <w:lang w:val="es-MX"/>
        </w:rPr>
      </w:pPr>
      <w:r w:rsidRPr="004547CA">
        <w:rPr>
          <w:rFonts w:eastAsia="Palatino Linotype" w:cs="Palatino Linotype"/>
          <w:szCs w:val="24"/>
          <w:lang w:val="es-MX"/>
        </w:rPr>
        <w:t xml:space="preserve">Lo anterior, de conformidad a lo que señalan los artículos 3 fracciones IX, XX, XXI y XLV, 91, 132 fracciones II y III, y 143 </w:t>
      </w:r>
      <w:proofErr w:type="gramStart"/>
      <w:r w:rsidRPr="004547CA">
        <w:rPr>
          <w:rFonts w:eastAsia="Palatino Linotype" w:cs="Palatino Linotype"/>
          <w:szCs w:val="24"/>
          <w:lang w:val="es-MX"/>
        </w:rPr>
        <w:t>fracción</w:t>
      </w:r>
      <w:proofErr w:type="gramEnd"/>
      <w:r w:rsidRPr="004547CA">
        <w:rPr>
          <w:rFonts w:eastAsia="Palatino Linotype" w:cs="Palatino Linotype"/>
          <w:szCs w:val="24"/>
          <w:lang w:val="es-MX"/>
        </w:rPr>
        <w:t xml:space="preserve"> I de la Ley de Transparencia y Acceso a la Información Pública del Estado de México y Municipios que establecen:</w:t>
      </w:r>
    </w:p>
    <w:p w14:paraId="47F61063" w14:textId="77777777" w:rsidR="00B040E5" w:rsidRPr="004547CA" w:rsidRDefault="00B040E5" w:rsidP="00B040E5">
      <w:pPr>
        <w:ind w:right="50"/>
        <w:rPr>
          <w:rFonts w:eastAsia="Palatino Linotype" w:cs="Palatino Linotype"/>
          <w:szCs w:val="24"/>
          <w:lang w:val="es-MX"/>
        </w:rPr>
      </w:pPr>
    </w:p>
    <w:p w14:paraId="45DF73D1"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w:t>
      </w:r>
      <w:r w:rsidRPr="004547CA">
        <w:rPr>
          <w:rFonts w:eastAsia="Palatino Linotype" w:cs="Palatino Linotype"/>
          <w:b/>
          <w:i/>
          <w:sz w:val="22"/>
          <w:lang w:val="es-MX"/>
        </w:rPr>
        <w:t>Artículo 3</w:t>
      </w:r>
      <w:r w:rsidRPr="004547CA">
        <w:rPr>
          <w:rFonts w:eastAsia="Palatino Linotype" w:cs="Palatino Linotype"/>
          <w:i/>
          <w:sz w:val="22"/>
          <w:lang w:val="es-MX"/>
        </w:rPr>
        <w:t>. Para los efectos de la presente Ley se entenderá por:</w:t>
      </w:r>
    </w:p>
    <w:p w14:paraId="286AE834"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w:t>
      </w:r>
    </w:p>
    <w:p w14:paraId="285ACD1D"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IX. Datos personales:</w:t>
      </w:r>
      <w:r w:rsidRPr="004547CA">
        <w:rPr>
          <w:rFonts w:eastAsia="Palatino Linotype" w:cs="Palatino Linotype"/>
          <w:i/>
          <w:sz w:val="22"/>
          <w:lang w:val="es-MX"/>
        </w:rPr>
        <w:t xml:space="preserve"> La información concerniente a una persona, identificada o identificable según lo dispuesto por la Ley de Protección de Datos Personales del Estado de México; </w:t>
      </w:r>
    </w:p>
    <w:p w14:paraId="3E7B8A2E"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XX. Información clasificada</w:t>
      </w:r>
      <w:r w:rsidRPr="004547CA">
        <w:rPr>
          <w:rFonts w:eastAsia="Palatino Linotype" w:cs="Palatino Linotype"/>
          <w:i/>
          <w:sz w:val="22"/>
          <w:lang w:val="es-MX"/>
        </w:rPr>
        <w:t>: Aquella considerada por la presente Ley como reservada o confidencial;</w:t>
      </w:r>
    </w:p>
    <w:p w14:paraId="2470ECD7"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XXI. Información confidencial:</w:t>
      </w:r>
      <w:r w:rsidRPr="004547CA">
        <w:rPr>
          <w:rFonts w:eastAsia="Palatino Linotype" w:cs="Palatino Linotype"/>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B3ABDB0"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XLV. Versión pública:</w:t>
      </w:r>
      <w:r w:rsidRPr="004547CA">
        <w:rPr>
          <w:rFonts w:eastAsia="Palatino Linotype" w:cs="Palatino Linotype"/>
          <w:i/>
          <w:sz w:val="22"/>
          <w:lang w:val="es-MX"/>
        </w:rPr>
        <w:t xml:space="preserve"> Documento en el que se elimine, suprime o borra la información clasificada como reservada o confidencial para permitir su acceso.</w:t>
      </w:r>
    </w:p>
    <w:p w14:paraId="378BCAA7"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w:t>
      </w:r>
    </w:p>
    <w:p w14:paraId="08EA279D"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 xml:space="preserve">Artículo 91. </w:t>
      </w:r>
      <w:r w:rsidRPr="004547CA">
        <w:rPr>
          <w:rFonts w:eastAsia="Palatino Linotype" w:cs="Palatino Linotype"/>
          <w:i/>
          <w:sz w:val="22"/>
          <w:lang w:val="es-MX"/>
        </w:rPr>
        <w:t>El acceso a la información pública será restringido excepcionalmente, cuando ésta sea clasificada como reservada o confidencial.</w:t>
      </w:r>
    </w:p>
    <w:p w14:paraId="19FE5554"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 xml:space="preserve">Artículo 132. </w:t>
      </w:r>
      <w:r w:rsidRPr="004547CA">
        <w:rPr>
          <w:rFonts w:eastAsia="Palatino Linotype" w:cs="Palatino Linotype"/>
          <w:i/>
          <w:sz w:val="22"/>
          <w:lang w:val="es-MX"/>
        </w:rPr>
        <w:t>La clasificación de la información se llevará a cabo en el momento en que:</w:t>
      </w:r>
    </w:p>
    <w:p w14:paraId="4D1C4032"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w:t>
      </w:r>
      <w:r w:rsidRPr="004547CA">
        <w:rPr>
          <w:rFonts w:eastAsia="Palatino Linotype" w:cs="Palatino Linotype"/>
          <w:i/>
          <w:sz w:val="22"/>
          <w:lang w:val="es-MX"/>
        </w:rPr>
        <w:t>. Se reciba una solicitud de acceso a la información;</w:t>
      </w:r>
    </w:p>
    <w:p w14:paraId="4FD79F58"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II</w:t>
      </w:r>
      <w:r w:rsidRPr="004547CA">
        <w:rPr>
          <w:rFonts w:eastAsia="Palatino Linotype" w:cs="Palatino Linotype"/>
          <w:i/>
          <w:sz w:val="22"/>
          <w:lang w:val="es-MX"/>
        </w:rPr>
        <w:t>. Se determine mediante resolución de autoridad competente; o</w:t>
      </w:r>
    </w:p>
    <w:p w14:paraId="1E08E35D"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lastRenderedPageBreak/>
        <w:t>III</w:t>
      </w:r>
      <w:r w:rsidRPr="004547CA">
        <w:rPr>
          <w:rFonts w:eastAsia="Palatino Linotype" w:cs="Palatino Linotype"/>
          <w:i/>
          <w:sz w:val="22"/>
          <w:lang w:val="es-MX"/>
        </w:rPr>
        <w:t>. Se generen versiones públicas para dar cumplimiento a las obligaciones de transparencia previstas en esta Ley.</w:t>
      </w:r>
    </w:p>
    <w:p w14:paraId="56072BF1"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w:t>
      </w:r>
    </w:p>
    <w:p w14:paraId="6C2DAF7D"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Artículo 143</w:t>
      </w:r>
      <w:r w:rsidRPr="004547CA">
        <w:rPr>
          <w:rFonts w:eastAsia="Palatino Linotype" w:cs="Palatino Linotype"/>
          <w:i/>
          <w:sz w:val="22"/>
          <w:lang w:val="es-MX"/>
        </w:rPr>
        <w:t>. Para los efectos de esta Ley se considera información confidencial, la clasificada como tal, de manera permanente, por su naturaleza, cuando:</w:t>
      </w:r>
    </w:p>
    <w:p w14:paraId="2FB240AD"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w:t>
      </w:r>
      <w:r w:rsidRPr="004547CA">
        <w:rPr>
          <w:rFonts w:eastAsia="Palatino Linotype" w:cs="Palatino Linotype"/>
          <w:i/>
          <w:sz w:val="22"/>
          <w:lang w:val="es-MX"/>
        </w:rPr>
        <w:t xml:space="preserve"> Se refiera a la información privada y los datos personales concernientes a una persona física o </w:t>
      </w:r>
      <w:proofErr w:type="gramStart"/>
      <w:r w:rsidRPr="004547CA">
        <w:rPr>
          <w:rFonts w:eastAsia="Palatino Linotype" w:cs="Palatino Linotype"/>
          <w:i/>
          <w:sz w:val="22"/>
          <w:lang w:val="es-MX"/>
        </w:rPr>
        <w:t>jurídico</w:t>
      </w:r>
      <w:proofErr w:type="gramEnd"/>
      <w:r w:rsidRPr="004547CA">
        <w:rPr>
          <w:rFonts w:eastAsia="Palatino Linotype" w:cs="Palatino Linotype"/>
          <w:i/>
          <w:sz w:val="22"/>
          <w:lang w:val="es-MX"/>
        </w:rPr>
        <w:t xml:space="preserve"> colectiva identificada o identificable;</w:t>
      </w:r>
    </w:p>
    <w:p w14:paraId="646806D6"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II.</w:t>
      </w:r>
      <w:r w:rsidRPr="004547CA">
        <w:rPr>
          <w:rFonts w:eastAsia="Palatino Linotype" w:cs="Palatino Linotype"/>
          <w:i/>
          <w:sz w:val="22"/>
          <w:lang w:val="es-MX"/>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5DB1F5B"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b/>
          <w:i/>
          <w:sz w:val="22"/>
          <w:lang w:val="es-MX"/>
        </w:rPr>
        <w:t>III</w:t>
      </w:r>
      <w:r w:rsidRPr="004547CA">
        <w:rPr>
          <w:rFonts w:eastAsia="Palatino Linotype" w:cs="Palatino Linotype"/>
          <w:i/>
          <w:sz w:val="22"/>
          <w:lang w:val="es-MX"/>
        </w:rPr>
        <w:t>. La que presenten los particulares a los sujetos obligados, de conformidad con lo dispuesto por las leyes o los tratados internacionales.</w:t>
      </w:r>
    </w:p>
    <w:p w14:paraId="424E90D8"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La información confidencial no estará sujeta a temporalidad alguna y sólo podrán tener acceso a ella los titulares de la misma, sus representantes y los servidores públicos facultados para ello.</w:t>
      </w:r>
    </w:p>
    <w:p w14:paraId="5B177D71" w14:textId="77777777" w:rsidR="00B040E5" w:rsidRPr="004547CA" w:rsidRDefault="00B040E5" w:rsidP="00B040E5">
      <w:pPr>
        <w:spacing w:line="276" w:lineRule="auto"/>
        <w:ind w:left="567" w:right="902"/>
        <w:rPr>
          <w:rFonts w:eastAsia="Palatino Linotype" w:cs="Palatino Linotype"/>
          <w:i/>
          <w:sz w:val="22"/>
          <w:lang w:val="es-MX"/>
        </w:rPr>
      </w:pPr>
      <w:r w:rsidRPr="004547CA">
        <w:rPr>
          <w:rFonts w:eastAsia="Palatino Linotype" w:cs="Palatino Linotype"/>
          <w:i/>
          <w:sz w:val="22"/>
          <w:lang w:val="es-MX"/>
        </w:rPr>
        <w:t>No se considerará confidencial la información que se encuentre en los registros públicos o en fuentes de acceso público, ni tampoco la que sea considerada por la presente ley como información pública.”</w:t>
      </w:r>
    </w:p>
    <w:p w14:paraId="2F344320" w14:textId="77777777" w:rsidR="00B040E5" w:rsidRPr="004547CA" w:rsidRDefault="00B040E5" w:rsidP="00B040E5">
      <w:pPr>
        <w:spacing w:line="276" w:lineRule="auto"/>
        <w:ind w:left="567" w:right="902"/>
        <w:rPr>
          <w:rFonts w:eastAsia="Palatino Linotype" w:cs="Palatino Linotype"/>
          <w:i/>
          <w:szCs w:val="24"/>
          <w:lang w:val="es-MX"/>
        </w:rPr>
      </w:pPr>
    </w:p>
    <w:p w14:paraId="02FFEBC2"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F042FBE"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Entorno a lo que aquí nos interesa, los Lineamientos Quincuagésimo, Quincuagésimo primero, Quincuagésimo segundo, Quincuagésimo tercero, Quincuagésimo cuarto y </w:t>
      </w:r>
      <w:r w:rsidRPr="004547CA">
        <w:rPr>
          <w:rFonts w:eastAsia="Palatino Linotype" w:cs="Palatino Linotype"/>
          <w:szCs w:val="24"/>
          <w:lang w:val="es-MX"/>
        </w:rPr>
        <w:lastRenderedPageBreak/>
        <w:t xml:space="preserve">Quincuagésimo quinto señalan las formalidades que deberá llevar el acuerdo de clasificación que deberá emitir el </w:t>
      </w:r>
      <w:r w:rsidRPr="004547CA">
        <w:rPr>
          <w:rFonts w:eastAsia="Palatino Linotype" w:cs="Palatino Linotype"/>
          <w:b/>
          <w:szCs w:val="24"/>
          <w:lang w:val="es-MX"/>
        </w:rPr>
        <w:t>Sujeto Obligado</w:t>
      </w:r>
      <w:r w:rsidRPr="004547CA">
        <w:rPr>
          <w:rFonts w:eastAsia="Palatino Linotype" w:cs="Palatino Linotype"/>
          <w:szCs w:val="24"/>
          <w:lang w:val="es-MX"/>
        </w:rPr>
        <w:t>, siendo estas las siguientes:</w:t>
      </w:r>
    </w:p>
    <w:p w14:paraId="4EA863B1" w14:textId="77777777" w:rsidR="00B040E5" w:rsidRPr="004547CA" w:rsidRDefault="00B040E5" w:rsidP="00B040E5">
      <w:pPr>
        <w:rPr>
          <w:rFonts w:eastAsia="Palatino Linotype" w:cs="Palatino Linotype"/>
          <w:szCs w:val="24"/>
          <w:lang w:val="es-MX"/>
        </w:rPr>
      </w:pPr>
    </w:p>
    <w:p w14:paraId="2D055BB6" w14:textId="77777777" w:rsidR="00B040E5" w:rsidRPr="004547CA" w:rsidRDefault="00B040E5" w:rsidP="00B040E5">
      <w:pPr>
        <w:spacing w:line="276" w:lineRule="auto"/>
        <w:ind w:left="567"/>
        <w:rPr>
          <w:rFonts w:eastAsia="Palatino Linotype" w:cs="Palatino Linotype"/>
          <w:i/>
          <w:sz w:val="22"/>
          <w:lang w:val="es-MX"/>
        </w:rPr>
      </w:pPr>
      <w:r w:rsidRPr="004547CA">
        <w:rPr>
          <w:rFonts w:eastAsia="Palatino Linotype" w:cs="Palatino Linotype"/>
          <w:i/>
          <w:sz w:val="22"/>
          <w:lang w:val="es-MX"/>
        </w:rPr>
        <w:t xml:space="preserve">“CAPÍTULO VIII </w:t>
      </w:r>
    </w:p>
    <w:p w14:paraId="419C29DC" w14:textId="77777777" w:rsidR="00B040E5" w:rsidRPr="004547CA" w:rsidRDefault="00B040E5" w:rsidP="00B040E5">
      <w:pPr>
        <w:spacing w:line="276" w:lineRule="auto"/>
        <w:ind w:left="567"/>
        <w:rPr>
          <w:rFonts w:eastAsia="Palatino Linotype" w:cs="Palatino Linotype"/>
          <w:i/>
          <w:sz w:val="22"/>
          <w:lang w:val="es-MX"/>
        </w:rPr>
      </w:pPr>
      <w:r w:rsidRPr="004547CA">
        <w:rPr>
          <w:rFonts w:eastAsia="Palatino Linotype" w:cs="Palatino Linotype"/>
          <w:i/>
          <w:sz w:val="22"/>
          <w:lang w:val="es-MX"/>
        </w:rPr>
        <w:t xml:space="preserve">DE LOS ELEMENTOS PARA LA CLASIFICACIÓN </w:t>
      </w:r>
    </w:p>
    <w:p w14:paraId="1EFEC779" w14:textId="77777777" w:rsidR="00B040E5" w:rsidRPr="004547CA" w:rsidRDefault="00B040E5" w:rsidP="00B040E5">
      <w:pPr>
        <w:spacing w:line="276" w:lineRule="auto"/>
        <w:ind w:left="567" w:right="900"/>
        <w:rPr>
          <w:rFonts w:eastAsia="Palatino Linotype" w:cs="Palatino Linotype"/>
          <w:i/>
          <w:sz w:val="22"/>
          <w:lang w:val="es-MX"/>
        </w:rPr>
      </w:pPr>
      <w:r w:rsidRPr="004547CA">
        <w:rPr>
          <w:rFonts w:eastAsia="Palatino Linotype" w:cs="Palatino Linotype"/>
          <w:b/>
          <w:i/>
          <w:sz w:val="22"/>
          <w:lang w:val="es-MX"/>
        </w:rPr>
        <w:t>Quincuagésimo.</w:t>
      </w:r>
      <w:r w:rsidRPr="004547CA">
        <w:rPr>
          <w:rFonts w:eastAsia="Palatino Linotype" w:cs="Palatino Linotype"/>
          <w:i/>
          <w:sz w:val="22"/>
          <w:lang w:val="es-MX"/>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F372BAC" w14:textId="77777777" w:rsidR="00B040E5" w:rsidRPr="004547CA" w:rsidRDefault="00B040E5" w:rsidP="00B040E5">
      <w:pPr>
        <w:spacing w:line="276" w:lineRule="auto"/>
        <w:ind w:left="567" w:right="900"/>
        <w:rPr>
          <w:rFonts w:eastAsia="Palatino Linotype" w:cs="Palatino Linotype"/>
          <w:i/>
          <w:sz w:val="22"/>
          <w:lang w:val="es-MX"/>
        </w:rPr>
      </w:pPr>
      <w:r w:rsidRPr="004547CA">
        <w:rPr>
          <w:rFonts w:eastAsia="Palatino Linotype" w:cs="Palatino Linotype"/>
          <w:b/>
          <w:i/>
          <w:sz w:val="22"/>
          <w:lang w:val="es-MX"/>
        </w:rPr>
        <w:t>Quincuagésimo primero.</w:t>
      </w:r>
      <w:r w:rsidRPr="004547CA">
        <w:rPr>
          <w:rFonts w:eastAsia="Palatino Linotype" w:cs="Palatino Linotype"/>
          <w:i/>
          <w:sz w:val="22"/>
          <w:lang w:val="es-MX"/>
        </w:rPr>
        <w:t xml:space="preserve"> Toda acta del Comité de Transparencia deberá contener: </w:t>
      </w:r>
    </w:p>
    <w:p w14:paraId="72934098" w14:textId="77777777" w:rsidR="00B040E5" w:rsidRPr="004547CA" w:rsidRDefault="00B040E5" w:rsidP="00C55387">
      <w:pPr>
        <w:numPr>
          <w:ilvl w:val="1"/>
          <w:numId w:val="60"/>
        </w:numPr>
        <w:pBdr>
          <w:top w:val="nil"/>
          <w:left w:val="nil"/>
          <w:bottom w:val="nil"/>
          <w:right w:val="nil"/>
          <w:between w:val="nil"/>
        </w:pBdr>
        <w:spacing w:after="160" w:line="276" w:lineRule="auto"/>
        <w:ind w:left="567" w:right="900" w:firstLine="0"/>
        <w:jc w:val="left"/>
        <w:rPr>
          <w:rFonts w:eastAsia="Palatino Linotype" w:cs="Palatino Linotype"/>
          <w:i/>
          <w:sz w:val="22"/>
          <w:lang w:val="es-MX"/>
        </w:rPr>
      </w:pPr>
      <w:r w:rsidRPr="004547CA">
        <w:rPr>
          <w:rFonts w:eastAsia="Palatino Linotype" w:cs="Palatino Linotype"/>
          <w:i/>
          <w:sz w:val="22"/>
          <w:lang w:val="es-MX"/>
        </w:rPr>
        <w:t xml:space="preserve">El número de sesión y fecha; </w:t>
      </w:r>
    </w:p>
    <w:p w14:paraId="162202A1" w14:textId="77777777" w:rsidR="00B040E5" w:rsidRPr="004547CA" w:rsidRDefault="00B040E5" w:rsidP="00C55387">
      <w:pPr>
        <w:numPr>
          <w:ilvl w:val="1"/>
          <w:numId w:val="60"/>
        </w:numPr>
        <w:pBdr>
          <w:top w:val="nil"/>
          <w:left w:val="nil"/>
          <w:bottom w:val="nil"/>
          <w:right w:val="nil"/>
          <w:between w:val="nil"/>
        </w:pBdr>
        <w:spacing w:after="160" w:line="276" w:lineRule="auto"/>
        <w:ind w:left="426" w:right="900" w:firstLine="0"/>
        <w:jc w:val="left"/>
        <w:rPr>
          <w:rFonts w:eastAsia="Palatino Linotype" w:cs="Palatino Linotype"/>
          <w:i/>
          <w:sz w:val="22"/>
          <w:lang w:val="es-MX"/>
        </w:rPr>
      </w:pPr>
      <w:r w:rsidRPr="004547CA">
        <w:rPr>
          <w:rFonts w:eastAsia="Palatino Linotype" w:cs="Palatino Linotype"/>
          <w:i/>
          <w:sz w:val="22"/>
          <w:lang w:val="es-MX"/>
        </w:rPr>
        <w:t xml:space="preserve">El nombre del área que solicitó la clasificación de información; </w:t>
      </w:r>
    </w:p>
    <w:p w14:paraId="31CB9442" w14:textId="77777777" w:rsidR="00B040E5" w:rsidRPr="004547CA" w:rsidRDefault="00B040E5" w:rsidP="00C55387">
      <w:pPr>
        <w:numPr>
          <w:ilvl w:val="1"/>
          <w:numId w:val="60"/>
        </w:numPr>
        <w:pBdr>
          <w:top w:val="nil"/>
          <w:left w:val="nil"/>
          <w:bottom w:val="nil"/>
          <w:right w:val="nil"/>
          <w:between w:val="nil"/>
        </w:pBdr>
        <w:spacing w:after="160" w:line="276" w:lineRule="auto"/>
        <w:ind w:left="426" w:right="900" w:firstLine="0"/>
        <w:jc w:val="left"/>
        <w:rPr>
          <w:rFonts w:eastAsia="Palatino Linotype" w:cs="Palatino Linotype"/>
          <w:i/>
          <w:sz w:val="22"/>
          <w:lang w:val="es-MX"/>
        </w:rPr>
      </w:pPr>
      <w:r w:rsidRPr="004547CA">
        <w:rPr>
          <w:rFonts w:eastAsia="Palatino Linotype" w:cs="Palatino Linotype"/>
          <w:i/>
          <w:sz w:val="22"/>
          <w:lang w:val="es-MX"/>
        </w:rPr>
        <w:t xml:space="preserve">La fundamentación legal y motivación correspondiente; </w:t>
      </w:r>
    </w:p>
    <w:p w14:paraId="6A038389" w14:textId="77777777" w:rsidR="00B040E5" w:rsidRPr="004547CA" w:rsidRDefault="00B040E5" w:rsidP="00C55387">
      <w:pPr>
        <w:numPr>
          <w:ilvl w:val="1"/>
          <w:numId w:val="60"/>
        </w:numPr>
        <w:pBdr>
          <w:top w:val="nil"/>
          <w:left w:val="nil"/>
          <w:bottom w:val="nil"/>
          <w:right w:val="nil"/>
          <w:between w:val="nil"/>
        </w:pBdr>
        <w:spacing w:after="160" w:line="276" w:lineRule="auto"/>
        <w:ind w:left="426" w:right="900" w:firstLine="0"/>
        <w:jc w:val="left"/>
        <w:rPr>
          <w:rFonts w:eastAsia="Palatino Linotype" w:cs="Palatino Linotype"/>
          <w:i/>
          <w:sz w:val="22"/>
          <w:lang w:val="es-MX"/>
        </w:rPr>
      </w:pPr>
      <w:r w:rsidRPr="004547CA">
        <w:rPr>
          <w:rFonts w:eastAsia="Palatino Linotype" w:cs="Palatino Linotype"/>
          <w:i/>
          <w:sz w:val="22"/>
          <w:lang w:val="es-MX"/>
        </w:rPr>
        <w:t xml:space="preserve">La resolución o resoluciones aprobadas; y </w:t>
      </w:r>
    </w:p>
    <w:p w14:paraId="23DA1DA0" w14:textId="77777777" w:rsidR="00B040E5" w:rsidRPr="004547CA" w:rsidRDefault="00B040E5" w:rsidP="00C55387">
      <w:pPr>
        <w:numPr>
          <w:ilvl w:val="1"/>
          <w:numId w:val="60"/>
        </w:numPr>
        <w:pBdr>
          <w:top w:val="nil"/>
          <w:left w:val="nil"/>
          <w:bottom w:val="nil"/>
          <w:right w:val="nil"/>
          <w:between w:val="nil"/>
        </w:pBdr>
        <w:spacing w:after="160" w:line="276" w:lineRule="auto"/>
        <w:ind w:left="426" w:right="900" w:firstLine="0"/>
        <w:jc w:val="left"/>
        <w:rPr>
          <w:rFonts w:eastAsia="Palatino Linotype" w:cs="Palatino Linotype"/>
          <w:i/>
          <w:sz w:val="22"/>
          <w:lang w:val="es-MX"/>
        </w:rPr>
      </w:pPr>
      <w:r w:rsidRPr="004547CA">
        <w:rPr>
          <w:rFonts w:eastAsia="Palatino Linotype" w:cs="Palatino Linotype"/>
          <w:i/>
          <w:sz w:val="22"/>
          <w:lang w:val="es-MX"/>
        </w:rPr>
        <w:t xml:space="preserve">La rúbrica o firma digital de cada integrante del Comité de Transparencia. </w:t>
      </w:r>
    </w:p>
    <w:p w14:paraId="01AF4A76"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 xml:space="preserve">Las resoluciones del Comité en las que se haya determinado confirmar o modificar la clasificación de información pública como reservada, deberán incluir, cuando menos: </w:t>
      </w:r>
    </w:p>
    <w:p w14:paraId="3CC84159"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I. Los motivos y razonamientos que sustenten la confirmación o modificación de la prueba de daño;</w:t>
      </w:r>
    </w:p>
    <w:p w14:paraId="697FBAD0"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 xml:space="preserve">II. Descripción de las partes o secciones reservadas, en caso de clasificación parcial; </w:t>
      </w:r>
    </w:p>
    <w:p w14:paraId="642EB958"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 xml:space="preserve">III. El periodo por el que mantendrá su clasificación y fecha de expiración; y </w:t>
      </w:r>
    </w:p>
    <w:p w14:paraId="6F894181"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 xml:space="preserve">IV. El nombre del titular y área encargada de realizar la versión pública del documento, en su caso. </w:t>
      </w:r>
    </w:p>
    <w:p w14:paraId="7FA2D836"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 xml:space="preserve">En los casos en que se clasifique la información como reservada siempre se entregará o anexará la prueba de daño con la respuesta al solicitante. </w:t>
      </w:r>
    </w:p>
    <w:p w14:paraId="254D949E"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b/>
          <w:i/>
          <w:sz w:val="22"/>
          <w:lang w:val="es-MX"/>
        </w:rPr>
      </w:pPr>
      <w:r w:rsidRPr="004547CA">
        <w:rPr>
          <w:rFonts w:eastAsia="Palatino Linotype" w:cs="Palatino Linotype"/>
          <w:b/>
          <w:i/>
          <w:sz w:val="22"/>
          <w:lang w:val="es-MX"/>
        </w:rPr>
        <w:t>En los casos de resoluciones del Comité de Transparencia en las que se confirme la clasificación de información confidencial solo se deberán de identificar los tipos de datos protegidos, de conformidad con el lineamiento trigésimo octavo.</w:t>
      </w:r>
    </w:p>
    <w:p w14:paraId="2C4B34C3"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b/>
          <w:i/>
          <w:sz w:val="22"/>
          <w:lang w:val="es-MX"/>
        </w:rPr>
        <w:t xml:space="preserve">Quincuagésimo segundo. </w:t>
      </w:r>
      <w:r w:rsidRPr="004547CA">
        <w:rPr>
          <w:rFonts w:eastAsia="Palatino Linotype" w:cs="Palatino Linotype"/>
          <w:i/>
          <w:sz w:val="22"/>
          <w:lang w:val="es-MX"/>
        </w:rPr>
        <w:t xml:space="preserve">Para la clasificación y elaboración de versiones públicas de documentos que contengan información clasificada como reservada o confidencial, las áreas </w:t>
      </w:r>
      <w:r w:rsidRPr="004547CA">
        <w:rPr>
          <w:rFonts w:eastAsia="Palatino Linotype" w:cs="Palatino Linotype"/>
          <w:i/>
          <w:sz w:val="22"/>
          <w:lang w:val="es-MX"/>
        </w:rPr>
        <w:lastRenderedPageBreak/>
        <w:t xml:space="preserve">de los sujetos obligados deberán tomar las medidas pertinentes tendientes a asegurar que el espacio utilizado para testar la información no podrá ser empleado para la </w:t>
      </w:r>
      <w:proofErr w:type="spellStart"/>
      <w:r w:rsidRPr="004547CA">
        <w:rPr>
          <w:rFonts w:eastAsia="Palatino Linotype" w:cs="Palatino Linotype"/>
          <w:i/>
          <w:sz w:val="22"/>
          <w:lang w:val="es-MX"/>
        </w:rPr>
        <w:t>sobreposición</w:t>
      </w:r>
      <w:proofErr w:type="spellEnd"/>
      <w:r w:rsidRPr="004547CA">
        <w:rPr>
          <w:rFonts w:eastAsia="Palatino Linotype" w:cs="Palatino Linotype"/>
          <w:i/>
          <w:sz w:val="22"/>
          <w:lang w:val="es-MX"/>
        </w:rPr>
        <w:t xml:space="preserve"> de contenido distinto al autorizado por el Comité.</w:t>
      </w:r>
    </w:p>
    <w:p w14:paraId="5C33DBA1"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bookmarkStart w:id="1" w:name="_heading=h.lnxbz9" w:colFirst="0" w:colLast="0"/>
      <w:bookmarkEnd w:id="1"/>
      <w:r w:rsidRPr="004547CA">
        <w:rPr>
          <w:rFonts w:eastAsia="Palatino Linotype" w:cs="Palatino Linotype"/>
          <w:i/>
          <w:sz w:val="22"/>
          <w:lang w:val="es-MX"/>
        </w:rPr>
        <w:t>En el caso específico de la clasificación y elaboración de versiones públicas de documentos que contengan información confidencial, las áreas de los sujetos obligados deberán:</w:t>
      </w:r>
    </w:p>
    <w:p w14:paraId="4C7D9192"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I. Fijar la fecha en que se elaboró la versión pública y la fecha en la cual el Comité de</w:t>
      </w:r>
    </w:p>
    <w:p w14:paraId="08465EF7"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Transparencia confirmó dicha versión;</w:t>
      </w:r>
    </w:p>
    <w:p w14:paraId="0EB5E3CE"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II. Señalar dentro del documento el tipo de información confidencial que fue testada en cada caso específico, de conformidad con el lineamiento trigésimo octavo; y</w:t>
      </w:r>
    </w:p>
    <w:p w14:paraId="72F1008B"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III. Señalar las personas o instancias autorizadas a acceder a la información clasificada.</w:t>
      </w:r>
    </w:p>
    <w:p w14:paraId="22AEC2DE"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i/>
          <w:sz w:val="22"/>
          <w:lang w:val="es-MX"/>
        </w:rPr>
        <w:t>En los documentos de difusión electrónica, señalar en la primera hoja y en el nombre del archivo, que la versión pública corresponde a un documento que contiene información confidencial.</w:t>
      </w:r>
    </w:p>
    <w:p w14:paraId="2576878E" w14:textId="77777777" w:rsidR="00B040E5" w:rsidRPr="004547CA" w:rsidRDefault="00B040E5" w:rsidP="00B040E5">
      <w:pPr>
        <w:pBdr>
          <w:top w:val="nil"/>
          <w:left w:val="nil"/>
          <w:bottom w:val="nil"/>
          <w:right w:val="nil"/>
          <w:between w:val="nil"/>
        </w:pBdr>
        <w:spacing w:line="276" w:lineRule="auto"/>
        <w:ind w:right="900"/>
        <w:rPr>
          <w:rFonts w:eastAsia="Palatino Linotype" w:cs="Palatino Linotype"/>
          <w:b/>
          <w:i/>
          <w:sz w:val="22"/>
          <w:lang w:val="es-MX"/>
        </w:rPr>
      </w:pPr>
    </w:p>
    <w:p w14:paraId="4F3B224F"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b/>
          <w:i/>
          <w:sz w:val="22"/>
          <w:lang w:val="es-MX"/>
        </w:rPr>
        <w:t xml:space="preserve">Quincuagésimo cuarto. </w:t>
      </w:r>
      <w:r w:rsidRPr="004547CA">
        <w:rPr>
          <w:rFonts w:eastAsia="Palatino Linotype" w:cs="Palatino Linotype"/>
          <w:i/>
          <w:sz w:val="22"/>
          <w:lang w:val="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AA014BB"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b/>
          <w:i/>
          <w:sz w:val="22"/>
          <w:lang w:val="es-MX"/>
        </w:rPr>
      </w:pPr>
    </w:p>
    <w:p w14:paraId="5A481037"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i/>
          <w:sz w:val="22"/>
          <w:lang w:val="es-MX"/>
        </w:rPr>
      </w:pPr>
      <w:r w:rsidRPr="004547CA">
        <w:rPr>
          <w:rFonts w:eastAsia="Palatino Linotype" w:cs="Palatino Linotype"/>
          <w:b/>
          <w:i/>
          <w:sz w:val="22"/>
          <w:lang w:val="es-MX"/>
        </w:rPr>
        <w:t xml:space="preserve">Quincuagésimo quinto. </w:t>
      </w:r>
      <w:r w:rsidRPr="004547CA">
        <w:rPr>
          <w:rFonts w:eastAsia="Palatino Linotype" w:cs="Palatino Linotype"/>
          <w:i/>
          <w:sz w:val="22"/>
          <w:lang w:val="es-MX"/>
        </w:rPr>
        <w:t xml:space="preserve">Cada área del sujeto obligado podrá designar formalmente a una o más personas como responsables del </w:t>
      </w:r>
      <w:proofErr w:type="spellStart"/>
      <w:r w:rsidRPr="004547CA">
        <w:rPr>
          <w:rFonts w:eastAsia="Palatino Linotype" w:cs="Palatino Linotype"/>
          <w:i/>
          <w:sz w:val="22"/>
          <w:lang w:val="es-MX"/>
        </w:rPr>
        <w:t>testado</w:t>
      </w:r>
      <w:proofErr w:type="spellEnd"/>
      <w:r w:rsidRPr="004547CA">
        <w:rPr>
          <w:rFonts w:eastAsia="Palatino Linotype" w:cs="Palatino Linotype"/>
          <w:i/>
          <w:sz w:val="22"/>
          <w:lang w:val="es-MX"/>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9A2F65C" w14:textId="77777777" w:rsidR="00B040E5" w:rsidRPr="004547CA" w:rsidRDefault="00B040E5" w:rsidP="00B040E5">
      <w:pPr>
        <w:pBdr>
          <w:top w:val="nil"/>
          <w:left w:val="nil"/>
          <w:bottom w:val="nil"/>
          <w:right w:val="nil"/>
          <w:between w:val="nil"/>
        </w:pBdr>
        <w:spacing w:line="276" w:lineRule="auto"/>
        <w:ind w:left="567" w:right="900"/>
        <w:rPr>
          <w:rFonts w:eastAsia="Palatino Linotype" w:cs="Palatino Linotype"/>
          <w:szCs w:val="24"/>
          <w:lang w:val="es-MX"/>
        </w:rPr>
      </w:pPr>
    </w:p>
    <w:p w14:paraId="1BD1DBE0"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547CA">
        <w:rPr>
          <w:rFonts w:eastAsia="Palatino Linotype" w:cs="Palatino Linotype"/>
          <w:b/>
          <w:szCs w:val="24"/>
          <w:lang w:val="es-MX"/>
        </w:rPr>
        <w:t>Sujeto Obligado</w:t>
      </w:r>
      <w:r w:rsidRPr="004547CA">
        <w:rPr>
          <w:rFonts w:eastAsia="Palatino Linotype" w:cs="Palatino Linotype"/>
          <w:szCs w:val="24"/>
          <w:lang w:val="es-MX"/>
        </w:rPr>
        <w:t xml:space="preserve"> a testar, suprimir o eliminar datos de dicho soporte documental, ya que no hacerlo, se reitera que lo entregado no tendría un </w:t>
      </w:r>
      <w:r w:rsidRPr="004547CA">
        <w:rPr>
          <w:rFonts w:eastAsia="Palatino Linotype" w:cs="Palatino Linotype"/>
          <w:szCs w:val="24"/>
          <w:lang w:val="es-MX"/>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CECD98B" w14:textId="77777777" w:rsidR="00B040E5" w:rsidRPr="004547CA" w:rsidRDefault="00B040E5" w:rsidP="00B040E5">
      <w:pPr>
        <w:rPr>
          <w:rFonts w:eastAsia="Palatino Linotype" w:cs="Palatino Linotype"/>
          <w:szCs w:val="24"/>
          <w:lang w:val="es-MX"/>
        </w:rPr>
      </w:pPr>
    </w:p>
    <w:p w14:paraId="05629A0B" w14:textId="77777777" w:rsidR="00B040E5" w:rsidRPr="004547CA" w:rsidRDefault="00B040E5" w:rsidP="00B040E5">
      <w:pPr>
        <w:ind w:right="49"/>
        <w:rPr>
          <w:rFonts w:eastAsia="Palatino Linotype" w:cs="Palatino Linotype"/>
          <w:szCs w:val="24"/>
          <w:lang w:val="es-MX"/>
        </w:rPr>
      </w:pPr>
      <w:r w:rsidRPr="004547CA">
        <w:rPr>
          <w:rFonts w:eastAsia="Palatino Linotype" w:cs="Palatino Linotype"/>
          <w:szCs w:val="24"/>
          <w:lang w:val="es-MX"/>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4547CA">
        <w:rPr>
          <w:rFonts w:eastAsia="Palatino Linotype" w:cs="Palatino Linotype"/>
          <w:b/>
          <w:szCs w:val="24"/>
          <w:lang w:val="es-MX"/>
        </w:rPr>
        <w:t>Registro Federal de Contribuyentes</w:t>
      </w:r>
      <w:r w:rsidRPr="004547CA">
        <w:rPr>
          <w:rFonts w:eastAsia="Palatino Linotype" w:cs="Palatino Linotype"/>
          <w:szCs w:val="24"/>
          <w:lang w:val="es-MX"/>
        </w:rPr>
        <w:t xml:space="preserve"> (RFC) y la </w:t>
      </w:r>
      <w:r w:rsidRPr="004547CA">
        <w:rPr>
          <w:rFonts w:eastAsia="Palatino Linotype" w:cs="Palatino Linotype"/>
          <w:b/>
          <w:szCs w:val="24"/>
          <w:lang w:val="es-MX"/>
        </w:rPr>
        <w:t>Clave Única de Registro de Población</w:t>
      </w:r>
      <w:r w:rsidRPr="004547CA">
        <w:rPr>
          <w:rFonts w:eastAsia="Palatino Linotype" w:cs="Palatino Linotype"/>
          <w:szCs w:val="24"/>
          <w:lang w:val="es-MX"/>
        </w:rPr>
        <w:t xml:space="preserve"> (CURP).</w:t>
      </w:r>
    </w:p>
    <w:p w14:paraId="32BC44BB" w14:textId="77777777" w:rsidR="00B040E5" w:rsidRPr="004547CA" w:rsidRDefault="00B040E5" w:rsidP="00B040E5">
      <w:pPr>
        <w:ind w:right="49"/>
        <w:rPr>
          <w:rFonts w:eastAsia="Palatino Linotype" w:cs="Palatino Linotype"/>
          <w:szCs w:val="24"/>
          <w:lang w:val="es-MX"/>
        </w:rPr>
      </w:pPr>
    </w:p>
    <w:p w14:paraId="7BA57E44"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Por cuanto hace al </w:t>
      </w:r>
      <w:r w:rsidRPr="004547CA">
        <w:rPr>
          <w:rFonts w:eastAsia="Palatino Linotype" w:cs="Palatino Linotype"/>
          <w:b/>
          <w:szCs w:val="24"/>
          <w:lang w:val="es-MX"/>
        </w:rPr>
        <w:t>Registro Federal de Contribuyentes (RFC),</w:t>
      </w:r>
      <w:r w:rsidRPr="004547CA">
        <w:rPr>
          <w:rFonts w:eastAsia="Palatino Linotype" w:cs="Palatino Linotype"/>
          <w:szCs w:val="24"/>
          <w:lang w:val="es-MX"/>
        </w:rPr>
        <w:t xml:space="preserve"> de las personas físicas, constituye un dato personal, pues se genera con caracteres alfanuméricos a partir del nombre y la fecha de nacimiento de cada persona, y finalmente la </w:t>
      </w:r>
      <w:proofErr w:type="spellStart"/>
      <w:r w:rsidRPr="004547CA">
        <w:rPr>
          <w:rFonts w:eastAsia="Palatino Linotype" w:cs="Palatino Linotype"/>
          <w:szCs w:val="24"/>
          <w:lang w:val="es-MX"/>
        </w:rPr>
        <w:t>homoclave</w:t>
      </w:r>
      <w:proofErr w:type="spellEnd"/>
      <w:r w:rsidRPr="004547CA">
        <w:rPr>
          <w:rFonts w:eastAsia="Palatino Linotype" w:cs="Palatino Linotype"/>
          <w:szCs w:val="24"/>
          <w:lang w:val="es-MX"/>
        </w:rPr>
        <w:t>, por lo que para su obtención es necesario acreditar ante la autoridad fiscal previamente la identidad de la persona, su fecha de nacimiento, entre otros aspectos.</w:t>
      </w:r>
    </w:p>
    <w:p w14:paraId="16E9E9B9" w14:textId="77777777" w:rsidR="00B040E5" w:rsidRPr="004547CA" w:rsidRDefault="00B040E5" w:rsidP="00B040E5">
      <w:pPr>
        <w:rPr>
          <w:rFonts w:eastAsia="Palatino Linotype" w:cs="Palatino Linotype"/>
          <w:szCs w:val="24"/>
          <w:lang w:val="es-MX"/>
        </w:rPr>
      </w:pPr>
    </w:p>
    <w:p w14:paraId="26B80ACB"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D82C424" w14:textId="77777777" w:rsidR="00B040E5" w:rsidRPr="004547CA" w:rsidRDefault="00B040E5" w:rsidP="00B040E5">
      <w:pPr>
        <w:rPr>
          <w:rFonts w:eastAsia="Palatino Linotype" w:cs="Palatino Linotype"/>
          <w:szCs w:val="24"/>
          <w:lang w:val="es-MX"/>
        </w:rPr>
      </w:pPr>
    </w:p>
    <w:p w14:paraId="1CAB9456" w14:textId="77777777" w:rsidR="00B040E5" w:rsidRPr="004547CA" w:rsidRDefault="00B040E5" w:rsidP="00B040E5">
      <w:pPr>
        <w:ind w:right="49"/>
        <w:rPr>
          <w:rFonts w:eastAsia="Palatino Linotype" w:cs="Palatino Linotype"/>
          <w:szCs w:val="24"/>
          <w:lang w:val="es-MX"/>
        </w:rPr>
      </w:pPr>
      <w:r w:rsidRPr="004547CA">
        <w:rPr>
          <w:rFonts w:eastAsia="Palatino Linotype" w:cs="Palatino Linotype"/>
          <w:szCs w:val="24"/>
          <w:lang w:val="es-MX"/>
        </w:rPr>
        <w:t>Lo anterior es compartido por el entonces Instituto Federal de Acceso a la Información Pública y Protección de Datos Personales (IFAI) a través del Criterio 19/17, el cual es del tenor literal siguiente:</w:t>
      </w:r>
    </w:p>
    <w:p w14:paraId="7D66796F" w14:textId="77777777" w:rsidR="00B040E5" w:rsidRPr="004547CA" w:rsidRDefault="00B040E5" w:rsidP="00B040E5">
      <w:pPr>
        <w:ind w:left="851" w:right="900"/>
        <w:rPr>
          <w:rFonts w:eastAsia="Palatino Linotype" w:cs="Palatino Linotype"/>
          <w:b/>
          <w:i/>
          <w:szCs w:val="24"/>
          <w:lang w:val="es-MX"/>
        </w:rPr>
      </w:pPr>
    </w:p>
    <w:p w14:paraId="5F4DA17E" w14:textId="41123A14" w:rsidR="00B040E5" w:rsidRPr="004547CA" w:rsidRDefault="00B040E5" w:rsidP="00B040E5">
      <w:pPr>
        <w:pStyle w:val="Fundamentos"/>
        <w:rPr>
          <w:lang w:val="es-MX"/>
        </w:rPr>
      </w:pPr>
      <w:r w:rsidRPr="004547CA">
        <w:rPr>
          <w:b/>
          <w:lang w:val="es-MX"/>
        </w:rPr>
        <w:t>Registro Federal de Contribuyentes (RFC) de personas físicas</w:t>
      </w:r>
      <w:r w:rsidRPr="004547CA">
        <w:rPr>
          <w:lang w:val="es-MX"/>
        </w:rPr>
        <w:t xml:space="preserve">. El RFC es una clave de carácter fiscal, </w:t>
      </w:r>
      <w:proofErr w:type="gramStart"/>
      <w:r w:rsidRPr="004547CA">
        <w:rPr>
          <w:lang w:val="es-MX"/>
        </w:rPr>
        <w:t>única</w:t>
      </w:r>
      <w:proofErr w:type="gramEnd"/>
      <w:r w:rsidRPr="004547CA">
        <w:rPr>
          <w:lang w:val="es-MX"/>
        </w:rPr>
        <w:t xml:space="preserve"> e irrepetible, que permite identificar al titular, su edad y fecha de nacimiento, por lo que es un dato personal de carácter confidencial.</w:t>
      </w:r>
    </w:p>
    <w:p w14:paraId="40393684" w14:textId="77777777" w:rsidR="00B040E5" w:rsidRPr="004547CA" w:rsidRDefault="00B040E5" w:rsidP="00B040E5">
      <w:pPr>
        <w:rPr>
          <w:rFonts w:eastAsia="Palatino Linotype" w:cs="Palatino Linotype"/>
          <w:szCs w:val="24"/>
          <w:lang w:val="es-MX"/>
        </w:rPr>
      </w:pPr>
    </w:p>
    <w:p w14:paraId="6DED3453"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Así, el Registro Federal de Contribuyentes, RFC, se vincula al nombre de su titular y permite identificar la edad de la persona, su fecha de nacimiento, así como su </w:t>
      </w:r>
      <w:proofErr w:type="spellStart"/>
      <w:r w:rsidRPr="004547CA">
        <w:rPr>
          <w:rFonts w:eastAsia="Palatino Linotype" w:cs="Palatino Linotype"/>
          <w:szCs w:val="24"/>
          <w:lang w:val="es-MX"/>
        </w:rPr>
        <w:t>homoclave</w:t>
      </w:r>
      <w:proofErr w:type="spellEnd"/>
      <w:r w:rsidRPr="004547CA">
        <w:rPr>
          <w:rFonts w:eastAsia="Palatino Linotype" w:cs="Palatino Linotype"/>
          <w:szCs w:val="24"/>
          <w:lang w:val="es-MX"/>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3FFD5435" w14:textId="77777777" w:rsidR="00B040E5" w:rsidRPr="004547CA" w:rsidRDefault="00B040E5" w:rsidP="00B040E5">
      <w:pPr>
        <w:rPr>
          <w:rFonts w:eastAsia="Palatino Linotype" w:cs="Palatino Linotype"/>
          <w:szCs w:val="24"/>
          <w:lang w:val="es-MX"/>
        </w:rPr>
      </w:pPr>
    </w:p>
    <w:p w14:paraId="74943910"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De igual manera la </w:t>
      </w:r>
      <w:r w:rsidRPr="004547CA">
        <w:rPr>
          <w:rFonts w:eastAsia="Palatino Linotype" w:cs="Palatino Linotype"/>
          <w:b/>
          <w:szCs w:val="24"/>
          <w:lang w:val="es-MX"/>
        </w:rPr>
        <w:t>Clave Única de Registro de Población (CURP)</w:t>
      </w:r>
      <w:r w:rsidRPr="004547CA">
        <w:rPr>
          <w:rFonts w:eastAsia="Palatino Linotype" w:cs="Palatino Linotype"/>
          <w:szCs w:val="24"/>
          <w:lang w:val="es-MX"/>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55E0369" w14:textId="77777777" w:rsidR="00B040E5" w:rsidRPr="004547CA" w:rsidRDefault="00B040E5" w:rsidP="00B040E5">
      <w:pPr>
        <w:rPr>
          <w:rFonts w:eastAsia="Palatino Linotype" w:cs="Palatino Linotype"/>
          <w:szCs w:val="24"/>
          <w:lang w:val="es-MX"/>
        </w:rPr>
      </w:pPr>
    </w:p>
    <w:p w14:paraId="32B5C2DD"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Argumento que es compartido por el Instituto Nacional de Transparencia, Acceso a la Información y Protección de Datos Personales, INAI</w:t>
      </w:r>
      <w:r w:rsidRPr="004547CA">
        <w:rPr>
          <w:rFonts w:eastAsia="Palatino Linotype" w:cs="Palatino Linotype"/>
          <w:b/>
          <w:szCs w:val="24"/>
          <w:lang w:val="es-MX"/>
        </w:rPr>
        <w:t xml:space="preserve">, conforme al </w:t>
      </w:r>
      <w:r w:rsidRPr="004547CA">
        <w:rPr>
          <w:rFonts w:eastAsia="Palatino Linotype" w:cs="Palatino Linotype"/>
          <w:szCs w:val="24"/>
          <w:lang w:val="es-MX"/>
        </w:rPr>
        <w:t xml:space="preserve">criterio 18/17, el cual refiere: </w:t>
      </w:r>
    </w:p>
    <w:p w14:paraId="02016B89" w14:textId="77777777" w:rsidR="00B040E5" w:rsidRPr="004547CA" w:rsidRDefault="00B040E5" w:rsidP="00B040E5">
      <w:pPr>
        <w:rPr>
          <w:rFonts w:eastAsia="Palatino Linotype" w:cs="Palatino Linotype"/>
          <w:szCs w:val="24"/>
          <w:lang w:val="es-MX"/>
        </w:rPr>
      </w:pPr>
    </w:p>
    <w:p w14:paraId="0B8712AE" w14:textId="61BBBFB9" w:rsidR="00B040E5" w:rsidRPr="004547CA" w:rsidRDefault="00B040E5" w:rsidP="00B040E5">
      <w:pPr>
        <w:pStyle w:val="Fundamentos"/>
        <w:rPr>
          <w:lang w:val="es-MX"/>
        </w:rPr>
      </w:pPr>
      <w:r w:rsidRPr="004547CA">
        <w:rPr>
          <w:b/>
          <w:lang w:val="es-MX"/>
        </w:rPr>
        <w:t xml:space="preserve">Clave Única de Registro de Población (CURP). </w:t>
      </w:r>
      <w:r w:rsidRPr="004547CA">
        <w:rPr>
          <w:lang w:val="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7E4619F" w14:textId="77777777" w:rsidR="00B040E5" w:rsidRPr="004547CA" w:rsidRDefault="00B040E5" w:rsidP="00B040E5">
      <w:pPr>
        <w:ind w:right="-91"/>
        <w:rPr>
          <w:rFonts w:eastAsia="Palatino Linotype" w:cs="Palatino Linotype"/>
          <w:szCs w:val="24"/>
          <w:lang w:val="es-MX"/>
        </w:rPr>
      </w:pPr>
    </w:p>
    <w:p w14:paraId="6F81FB5F" w14:textId="77777777" w:rsidR="00B040E5" w:rsidRPr="004547CA" w:rsidRDefault="00B040E5" w:rsidP="00B040E5">
      <w:pPr>
        <w:ind w:right="-93"/>
        <w:rPr>
          <w:rFonts w:eastAsia="Palatino Linotype" w:cs="Palatino Linotype"/>
          <w:szCs w:val="24"/>
          <w:lang w:val="es-MX"/>
        </w:rPr>
      </w:pPr>
      <w:r w:rsidRPr="004547CA">
        <w:rPr>
          <w:rFonts w:eastAsia="Palatino Linotype" w:cs="Palatino Linotype"/>
          <w:szCs w:val="24"/>
          <w:lang w:val="es-MX"/>
        </w:rPr>
        <w:t xml:space="preserve">Al respecto, es de señalar que </w:t>
      </w:r>
      <w:r w:rsidRPr="004547CA">
        <w:rPr>
          <w:rFonts w:eastAsia="Palatino Linotype" w:cs="Palatino Linotype"/>
          <w:b/>
          <w:szCs w:val="24"/>
          <w:lang w:val="es-MX"/>
        </w:rPr>
        <w:t xml:space="preserve">la firma </w:t>
      </w:r>
      <w:r w:rsidRPr="004547CA">
        <w:rPr>
          <w:rFonts w:eastAsia="Palatino Linotype" w:cs="Palatino Linotype"/>
          <w:szCs w:val="24"/>
          <w:lang w:val="es-MX"/>
        </w:rPr>
        <w:t xml:space="preserve">es considerada un dato personal, al tratarse de información gráfica a través de la cual su titular exterioriza su voluntad en actos públicos y privados; no obstante, en el presente caso, dicho dato, es de la autoridad emisora. </w:t>
      </w:r>
    </w:p>
    <w:p w14:paraId="68956EA2" w14:textId="77777777" w:rsidR="00B040E5" w:rsidRPr="004547CA" w:rsidRDefault="00B040E5" w:rsidP="00B040E5">
      <w:pPr>
        <w:ind w:right="-93"/>
        <w:rPr>
          <w:rFonts w:eastAsia="Palatino Linotype" w:cs="Palatino Linotype"/>
          <w:szCs w:val="24"/>
          <w:lang w:val="es-MX"/>
        </w:rPr>
      </w:pPr>
    </w:p>
    <w:p w14:paraId="47C23842" w14:textId="77777777" w:rsidR="00B040E5" w:rsidRPr="004547CA" w:rsidRDefault="00B040E5" w:rsidP="00B040E5">
      <w:pPr>
        <w:ind w:right="-93"/>
        <w:rPr>
          <w:rFonts w:eastAsia="Palatino Linotype" w:cs="Palatino Linotype"/>
          <w:szCs w:val="24"/>
          <w:lang w:val="es-MX"/>
        </w:rPr>
      </w:pPr>
      <w:r w:rsidRPr="004547CA">
        <w:rPr>
          <w:rFonts w:eastAsia="Palatino Linotype" w:cs="Palatino Linotype"/>
          <w:szCs w:val="24"/>
          <w:lang w:val="es-MX"/>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00F51C0A" w14:textId="77777777" w:rsidR="00B040E5" w:rsidRPr="004547CA" w:rsidRDefault="00B040E5" w:rsidP="00B040E5">
      <w:pPr>
        <w:ind w:right="-93"/>
        <w:rPr>
          <w:rFonts w:eastAsia="Palatino Linotype" w:cs="Palatino Linotype"/>
          <w:szCs w:val="24"/>
          <w:lang w:val="es-MX"/>
        </w:rPr>
      </w:pPr>
    </w:p>
    <w:p w14:paraId="564159DD" w14:textId="77777777" w:rsidR="00B040E5" w:rsidRPr="004547CA" w:rsidRDefault="00B040E5" w:rsidP="00B040E5">
      <w:pPr>
        <w:ind w:right="-93"/>
        <w:rPr>
          <w:rFonts w:eastAsia="Palatino Linotype" w:cs="Palatino Linotype"/>
          <w:szCs w:val="24"/>
          <w:lang w:val="es-MX"/>
        </w:rPr>
      </w:pPr>
      <w:r w:rsidRPr="004547CA">
        <w:rPr>
          <w:rFonts w:eastAsia="Palatino Linotype" w:cs="Palatino Linotype"/>
          <w:szCs w:val="24"/>
          <w:lang w:val="es-MX"/>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24214FE6" w14:textId="77777777" w:rsidR="00B040E5" w:rsidRPr="004547CA" w:rsidRDefault="00B040E5" w:rsidP="00B040E5">
      <w:pPr>
        <w:ind w:right="-93"/>
        <w:rPr>
          <w:rFonts w:eastAsia="Palatino Linotype" w:cs="Palatino Linotype"/>
          <w:szCs w:val="24"/>
          <w:lang w:val="es-MX"/>
        </w:rPr>
      </w:pPr>
    </w:p>
    <w:p w14:paraId="2D02FCFA" w14:textId="77777777" w:rsidR="00B040E5" w:rsidRPr="004547CA" w:rsidRDefault="00B040E5" w:rsidP="00B040E5">
      <w:pPr>
        <w:ind w:right="49"/>
        <w:rPr>
          <w:rFonts w:eastAsia="Palatino Linotype" w:cs="Palatino Linotype"/>
          <w:szCs w:val="24"/>
          <w:lang w:val="es-MX"/>
        </w:rPr>
      </w:pPr>
      <w:r w:rsidRPr="004547CA">
        <w:rPr>
          <w:rFonts w:eastAsia="Palatino Linotype" w:cs="Palatino Linotype"/>
          <w:szCs w:val="24"/>
          <w:lang w:val="es-MX"/>
        </w:rPr>
        <w:lastRenderedPageBreak/>
        <w:t>Sirve de sustento a lo anterior el Criterio de Interpretación 02/19 emitido por el Instituto Nacional de Transparencia, Acceso a la Información y Protección de Datos Personales, cuyo rubro y texto establecen lo siguiente:</w:t>
      </w:r>
    </w:p>
    <w:p w14:paraId="11AA49EB" w14:textId="77777777" w:rsidR="00B040E5" w:rsidRPr="004547CA" w:rsidRDefault="00B040E5" w:rsidP="00B040E5">
      <w:pPr>
        <w:ind w:right="49"/>
        <w:rPr>
          <w:rFonts w:eastAsia="Palatino Linotype" w:cs="Palatino Linotype"/>
          <w:szCs w:val="24"/>
          <w:lang w:val="es-MX"/>
        </w:rPr>
      </w:pPr>
    </w:p>
    <w:p w14:paraId="66AFD52A" w14:textId="549FD2DB" w:rsidR="00B040E5" w:rsidRPr="004547CA" w:rsidRDefault="00B040E5" w:rsidP="00B040E5">
      <w:pPr>
        <w:pStyle w:val="Fundamentos"/>
        <w:rPr>
          <w:lang w:val="es-MX"/>
        </w:rPr>
      </w:pPr>
      <w:r w:rsidRPr="004547CA">
        <w:rPr>
          <w:b/>
          <w:lang w:val="es-MX"/>
        </w:rPr>
        <w:t>FIRMA Y RÚBRICA DE SERVIDORES PÚBLICOS.</w:t>
      </w:r>
      <w:r w:rsidRPr="004547CA">
        <w:rPr>
          <w:lang w:val="es-MX"/>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2919E01" w14:textId="77777777" w:rsidR="00B040E5" w:rsidRPr="004547CA" w:rsidRDefault="00B040E5" w:rsidP="00B040E5">
      <w:pPr>
        <w:rPr>
          <w:rFonts w:eastAsia="Palatino Linotype" w:cs="Palatino Linotype"/>
          <w:szCs w:val="24"/>
          <w:lang w:val="es-MX"/>
        </w:rPr>
      </w:pPr>
    </w:p>
    <w:p w14:paraId="27673580"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3D7C3EA1" w14:textId="77777777" w:rsidR="00B040E5" w:rsidRPr="004547CA" w:rsidRDefault="00B040E5" w:rsidP="00B040E5">
      <w:pPr>
        <w:rPr>
          <w:rFonts w:eastAsia="Palatino Linotype" w:cs="Palatino Linotype"/>
          <w:szCs w:val="24"/>
          <w:lang w:val="es-MX"/>
        </w:rPr>
      </w:pPr>
    </w:p>
    <w:p w14:paraId="627B69C6" w14:textId="7B50999D"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b/>
          <w:i/>
          <w:sz w:val="22"/>
          <w:lang w:val="es-MX"/>
        </w:rPr>
        <w:t>Artículo 156</w:t>
      </w:r>
      <w:r w:rsidRPr="004547CA">
        <w:rPr>
          <w:rFonts w:eastAsia="Palatino Linotype" w:cs="Palatino Linotype"/>
          <w:i/>
          <w:sz w:val="22"/>
          <w:lang w:val="es-MX"/>
        </w:rPr>
        <w:t>.</w:t>
      </w:r>
    </w:p>
    <w:p w14:paraId="3395AF1E"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b/>
          <w:i/>
          <w:sz w:val="22"/>
          <w:lang w:val="es-MX"/>
        </w:rPr>
        <w:t>1.</w:t>
      </w:r>
      <w:r w:rsidRPr="004547CA">
        <w:rPr>
          <w:rFonts w:eastAsia="Palatino Linotype" w:cs="Palatino Linotype"/>
          <w:i/>
          <w:sz w:val="22"/>
          <w:lang w:val="es-MX"/>
        </w:rPr>
        <w:t xml:space="preserve"> </w:t>
      </w:r>
      <w:r w:rsidRPr="004547CA">
        <w:rPr>
          <w:rFonts w:eastAsia="Palatino Linotype" w:cs="Palatino Linotype"/>
          <w:b/>
          <w:i/>
          <w:sz w:val="22"/>
          <w:u w:val="single"/>
          <w:lang w:val="es-MX"/>
        </w:rPr>
        <w:t>La credencial para votar deberá contener, cuando menos, los siguientes datos del elector</w:t>
      </w:r>
      <w:r w:rsidRPr="004547CA">
        <w:rPr>
          <w:rFonts w:eastAsia="Palatino Linotype" w:cs="Palatino Linotype"/>
          <w:i/>
          <w:sz w:val="22"/>
          <w:lang w:val="es-MX"/>
        </w:rPr>
        <w:t>:</w:t>
      </w:r>
    </w:p>
    <w:p w14:paraId="106BD1BE"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w:t>
      </w:r>
    </w:p>
    <w:p w14:paraId="135A1036"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 xml:space="preserve">d) </w:t>
      </w:r>
      <w:r w:rsidRPr="004547CA">
        <w:rPr>
          <w:rFonts w:eastAsia="Palatino Linotype" w:cs="Palatino Linotype"/>
          <w:b/>
          <w:i/>
          <w:sz w:val="22"/>
          <w:u w:val="single"/>
          <w:lang w:val="es-MX"/>
        </w:rPr>
        <w:t>Domicilio</w:t>
      </w:r>
      <w:r w:rsidRPr="004547CA">
        <w:rPr>
          <w:rFonts w:eastAsia="Palatino Linotype" w:cs="Palatino Linotype"/>
          <w:i/>
          <w:sz w:val="22"/>
          <w:lang w:val="es-MX"/>
        </w:rPr>
        <w:t>;</w:t>
      </w:r>
    </w:p>
    <w:p w14:paraId="012CA536"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w:t>
      </w:r>
    </w:p>
    <w:p w14:paraId="28CAC7EF"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 xml:space="preserve">g) </w:t>
      </w:r>
      <w:r w:rsidRPr="004547CA">
        <w:rPr>
          <w:rFonts w:eastAsia="Palatino Linotype" w:cs="Palatino Linotype"/>
          <w:b/>
          <w:i/>
          <w:sz w:val="22"/>
          <w:lang w:val="es-MX"/>
        </w:rPr>
        <w:t>Firma</w:t>
      </w:r>
      <w:r w:rsidRPr="004547CA">
        <w:rPr>
          <w:rFonts w:eastAsia="Palatino Linotype" w:cs="Palatino Linotype"/>
          <w:i/>
          <w:sz w:val="22"/>
          <w:lang w:val="es-MX"/>
        </w:rPr>
        <w:t xml:space="preserve">, </w:t>
      </w:r>
      <w:r w:rsidRPr="004547CA">
        <w:rPr>
          <w:rFonts w:eastAsia="Palatino Linotype" w:cs="Palatino Linotype"/>
          <w:b/>
          <w:i/>
          <w:sz w:val="22"/>
          <w:u w:val="single"/>
          <w:lang w:val="es-MX"/>
        </w:rPr>
        <w:t>huella digital</w:t>
      </w:r>
      <w:r w:rsidRPr="004547CA">
        <w:rPr>
          <w:rFonts w:eastAsia="Palatino Linotype" w:cs="Palatino Linotype"/>
          <w:i/>
          <w:sz w:val="22"/>
          <w:lang w:val="es-MX"/>
        </w:rPr>
        <w:t xml:space="preserve"> y </w:t>
      </w:r>
      <w:r w:rsidRPr="004547CA">
        <w:rPr>
          <w:rFonts w:eastAsia="Palatino Linotype" w:cs="Palatino Linotype"/>
          <w:b/>
          <w:i/>
          <w:sz w:val="22"/>
          <w:u w:val="single"/>
          <w:lang w:val="es-MX"/>
        </w:rPr>
        <w:t>fotografía del elector</w:t>
      </w:r>
      <w:r w:rsidRPr="004547CA">
        <w:rPr>
          <w:rFonts w:eastAsia="Palatino Linotype" w:cs="Palatino Linotype"/>
          <w:i/>
          <w:sz w:val="22"/>
          <w:lang w:val="es-MX"/>
        </w:rPr>
        <w:t>;</w:t>
      </w:r>
    </w:p>
    <w:p w14:paraId="0664E1F6" w14:textId="77777777"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w:t>
      </w:r>
    </w:p>
    <w:p w14:paraId="673D59F1" w14:textId="12384843" w:rsidR="00B040E5" w:rsidRPr="004547CA" w:rsidRDefault="00B040E5" w:rsidP="00B040E5">
      <w:pPr>
        <w:spacing w:line="240" w:lineRule="auto"/>
        <w:ind w:left="567" w:right="565"/>
        <w:rPr>
          <w:rFonts w:ascii="Calibri" w:hAnsi="Calibri"/>
          <w:sz w:val="22"/>
          <w:lang w:val="es-MX"/>
        </w:rPr>
      </w:pPr>
      <w:r w:rsidRPr="004547CA">
        <w:rPr>
          <w:rFonts w:eastAsia="Palatino Linotype" w:cs="Palatino Linotype"/>
          <w:i/>
          <w:sz w:val="22"/>
          <w:lang w:val="es-MX"/>
        </w:rPr>
        <w:t xml:space="preserve">i) </w:t>
      </w:r>
      <w:r w:rsidRPr="004547CA">
        <w:rPr>
          <w:rFonts w:eastAsia="Palatino Linotype" w:cs="Palatino Linotype"/>
          <w:b/>
          <w:i/>
          <w:sz w:val="22"/>
          <w:u w:val="single"/>
          <w:lang w:val="es-MX"/>
        </w:rPr>
        <w:t>Clave Única del Registro de Población</w:t>
      </w:r>
      <w:r w:rsidRPr="004547CA">
        <w:rPr>
          <w:rFonts w:eastAsia="Palatino Linotype" w:cs="Palatino Linotype"/>
          <w:i/>
          <w:sz w:val="22"/>
          <w:lang w:val="es-MX"/>
        </w:rPr>
        <w:t xml:space="preserve">. </w:t>
      </w:r>
    </w:p>
    <w:p w14:paraId="37B06441" w14:textId="77777777" w:rsidR="00B040E5" w:rsidRPr="004547CA" w:rsidRDefault="00B040E5" w:rsidP="00B040E5">
      <w:pPr>
        <w:jc w:val="left"/>
        <w:rPr>
          <w:rFonts w:eastAsia="Palatino Linotype" w:cs="Palatino Linotype"/>
          <w:szCs w:val="24"/>
          <w:lang w:val="es-MX"/>
        </w:rPr>
      </w:pPr>
    </w:p>
    <w:p w14:paraId="0502F0C7"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t>Así, el conocimiento de dichos datos afecta la esfera más íntima de su Titular, en razón de que su utilización indebida pueda dar origen a un riesgo grave para éste.</w:t>
      </w:r>
    </w:p>
    <w:p w14:paraId="5CDBA9A1"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Asimismo, en el caso particular de la clave de elector, debe precisarse que es un código alfa numérico compuesto por letras de los apellidos y nombre de la persona, seguido de </w:t>
      </w:r>
      <w:r w:rsidRPr="004547CA">
        <w:rPr>
          <w:rFonts w:eastAsia="Palatino Linotype" w:cs="Palatino Linotype"/>
          <w:szCs w:val="24"/>
          <w:lang w:val="es-MX"/>
        </w:rPr>
        <w:lastRenderedPageBreak/>
        <w:t>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72076D30" w14:textId="77777777" w:rsidR="00B040E5" w:rsidRPr="004547CA" w:rsidRDefault="00B040E5" w:rsidP="00B040E5">
      <w:pPr>
        <w:rPr>
          <w:rFonts w:eastAsia="Palatino Linotype" w:cs="Palatino Linotype"/>
          <w:szCs w:val="24"/>
          <w:lang w:val="es-MX"/>
        </w:rPr>
      </w:pPr>
    </w:p>
    <w:p w14:paraId="21F4B344"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8">
        <w:r w:rsidRPr="004547CA">
          <w:rPr>
            <w:rFonts w:eastAsia="Palatino Linotype" w:cs="Palatino Linotype"/>
            <w:szCs w:val="24"/>
            <w:u w:val="single"/>
            <w:lang w:val="es-MX"/>
          </w:rPr>
          <w:t>http://portalanterior.ine.mx/archivos2/portal/credencial/pdf-credencial/ABC_credenciales_ INE_2015.pdf</w:t>
        </w:r>
      </w:hyperlink>
      <w:r w:rsidRPr="004547CA">
        <w:rPr>
          <w:rFonts w:eastAsia="Palatino Linotype" w:cs="Palatino Linotype"/>
          <w:szCs w:val="24"/>
          <w:lang w:val="es-MX"/>
        </w:rPr>
        <w:t xml:space="preserve"> , como se muestra a continuación, en su parte medular: </w:t>
      </w:r>
    </w:p>
    <w:p w14:paraId="438DEFAD" w14:textId="77777777" w:rsidR="00B040E5" w:rsidRPr="004547CA" w:rsidRDefault="00B040E5" w:rsidP="00B040E5">
      <w:pPr>
        <w:rPr>
          <w:rFonts w:eastAsia="Palatino Linotype" w:cs="Palatino Linotype"/>
          <w:szCs w:val="24"/>
          <w:lang w:val="es-MX"/>
        </w:rPr>
      </w:pPr>
    </w:p>
    <w:p w14:paraId="37308DA0"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5CB5FB6E" w14:textId="77777777" w:rsidR="00B040E5" w:rsidRPr="004547CA" w:rsidRDefault="00B040E5" w:rsidP="00B040E5">
      <w:pPr>
        <w:rPr>
          <w:rFonts w:eastAsia="Palatino Linotype" w:cs="Palatino Linotype"/>
          <w:szCs w:val="24"/>
          <w:lang w:val="es-MX"/>
        </w:rPr>
      </w:pPr>
    </w:p>
    <w:p w14:paraId="4C7B8FAA"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En el caso de la edad, se trata de un dato personal sensible que concierne únicamente a su titular, al corresponder a su esfera más íntima. </w:t>
      </w:r>
    </w:p>
    <w:p w14:paraId="3B434B65" w14:textId="77777777" w:rsidR="00B040E5" w:rsidRPr="004547CA" w:rsidRDefault="00B040E5" w:rsidP="00B040E5">
      <w:pPr>
        <w:rPr>
          <w:rFonts w:ascii="Calibri" w:hAnsi="Calibri"/>
          <w:szCs w:val="24"/>
          <w:lang w:val="es-MX"/>
        </w:rPr>
      </w:pPr>
    </w:p>
    <w:p w14:paraId="1FB024FB"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 xml:space="preserve">El código de barras bidimensional y cifrado, como fue anteriormente mencionado, se trata de un medio de almacenamiento de información, que en el caso de las credenciales </w:t>
      </w:r>
      <w:r w:rsidRPr="004547CA">
        <w:rPr>
          <w:rFonts w:eastAsia="Palatino Linotype" w:cs="Palatino Linotype"/>
          <w:szCs w:val="24"/>
          <w:lang w:val="es-MX"/>
        </w:rPr>
        <w:lastRenderedPageBreak/>
        <w:t>para votar, contiene datos e información, utilizada para efectos electorales, misma, que únicamente concierne a las autoridades competentes en la materia y a su propio titular.</w:t>
      </w:r>
    </w:p>
    <w:p w14:paraId="43876901" w14:textId="77777777" w:rsidR="00B040E5" w:rsidRPr="004547CA" w:rsidRDefault="00B040E5" w:rsidP="00B040E5">
      <w:pPr>
        <w:rPr>
          <w:rFonts w:eastAsia="Palatino Linotype" w:cs="Palatino Linotype"/>
          <w:szCs w:val="24"/>
          <w:lang w:val="es-MX"/>
        </w:rPr>
      </w:pPr>
    </w:p>
    <w:p w14:paraId="3CD43191"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Por lo que se refiere a la CURP</w:t>
      </w:r>
      <w:r w:rsidRPr="004547CA">
        <w:rPr>
          <w:rFonts w:eastAsia="Palatino Linotype" w:cs="Palatino Linotype"/>
          <w:b/>
          <w:szCs w:val="24"/>
          <w:lang w:val="es-MX"/>
        </w:rPr>
        <w:t xml:space="preserve">, </w:t>
      </w:r>
      <w:r w:rsidRPr="004547CA">
        <w:rPr>
          <w:rFonts w:eastAsia="Palatino Linotype" w:cs="Palatino Linotype"/>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37E583A" w14:textId="77777777" w:rsidR="00B040E5" w:rsidRPr="004547CA" w:rsidRDefault="00B040E5" w:rsidP="00B040E5">
      <w:pPr>
        <w:rPr>
          <w:rFonts w:eastAsia="Palatino Linotype" w:cs="Palatino Linotype"/>
          <w:szCs w:val="24"/>
          <w:lang w:val="es-MX"/>
        </w:rPr>
      </w:pPr>
    </w:p>
    <w:p w14:paraId="110B66AA"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Lo anterior, tiene sustento en los artículos 86 y 91 de la Ley General de Población, la cual señala lo siguiente:</w:t>
      </w:r>
    </w:p>
    <w:p w14:paraId="7D6E4712" w14:textId="77777777" w:rsidR="00B040E5" w:rsidRPr="004547CA" w:rsidRDefault="00B040E5" w:rsidP="00B040E5">
      <w:pPr>
        <w:rPr>
          <w:rFonts w:eastAsia="Palatino Linotype" w:cs="Palatino Linotype"/>
          <w:szCs w:val="24"/>
          <w:lang w:val="es-MX"/>
        </w:rPr>
      </w:pPr>
    </w:p>
    <w:p w14:paraId="0AA96A0A" w14:textId="44B150C0" w:rsidR="00B040E5" w:rsidRPr="004547CA" w:rsidRDefault="00B040E5" w:rsidP="00B040E5">
      <w:pPr>
        <w:pStyle w:val="Fundamentos"/>
        <w:rPr>
          <w:lang w:val="es-MX"/>
        </w:rPr>
      </w:pPr>
      <w:r w:rsidRPr="004547CA">
        <w:rPr>
          <w:b/>
          <w:lang w:val="es-MX"/>
        </w:rPr>
        <w:t xml:space="preserve">Artículo 86. </w:t>
      </w:r>
      <w:r w:rsidRPr="004547CA">
        <w:rPr>
          <w:lang w:val="es-MX"/>
        </w:rPr>
        <w:t>El Registro Nacional de Población tiene como finalidad registrar a cada una de las personas que integran la población del país, con los datos que permitan certificar y acreditar fehacientemente su identidad.</w:t>
      </w:r>
    </w:p>
    <w:p w14:paraId="33463A6A" w14:textId="77777777" w:rsidR="00B040E5" w:rsidRPr="004547CA" w:rsidRDefault="00B040E5" w:rsidP="00B040E5">
      <w:pPr>
        <w:pStyle w:val="Fundamentos"/>
        <w:rPr>
          <w:rFonts w:ascii="Calibri" w:hAnsi="Calibri"/>
          <w:lang w:val="es-MX"/>
        </w:rPr>
      </w:pPr>
    </w:p>
    <w:p w14:paraId="2055B5B6" w14:textId="2C9A373F" w:rsidR="00B040E5" w:rsidRPr="004547CA" w:rsidRDefault="00B040E5" w:rsidP="00B040E5">
      <w:pPr>
        <w:pStyle w:val="Fundamentos"/>
        <w:rPr>
          <w:lang w:val="es-MX"/>
        </w:rPr>
      </w:pPr>
      <w:r w:rsidRPr="004547CA">
        <w:rPr>
          <w:b/>
          <w:lang w:val="es-MX"/>
        </w:rPr>
        <w:t>Artículo 91. Al incorporar a una persona en el Registro Nacional de Población</w:t>
      </w:r>
      <w:r w:rsidRPr="004547CA">
        <w:rPr>
          <w:lang w:val="es-MX"/>
        </w:rPr>
        <w:t xml:space="preserve">, se le asignará una clave </w:t>
      </w:r>
      <w:r w:rsidRPr="004547CA">
        <w:rPr>
          <w:b/>
          <w:lang w:val="es-MX"/>
        </w:rPr>
        <w:t>que se denominará Clave Única de Registro de Población</w:t>
      </w:r>
      <w:r w:rsidRPr="004547CA">
        <w:rPr>
          <w:lang w:val="es-MX"/>
        </w:rPr>
        <w:t xml:space="preserve">. </w:t>
      </w:r>
      <w:r w:rsidRPr="004547CA">
        <w:rPr>
          <w:b/>
          <w:lang w:val="es-MX"/>
        </w:rPr>
        <w:t>Esta servirá para</w:t>
      </w:r>
      <w:r w:rsidRPr="004547CA">
        <w:rPr>
          <w:lang w:val="es-MX"/>
        </w:rPr>
        <w:t xml:space="preserve"> registrarla e </w:t>
      </w:r>
      <w:r w:rsidRPr="004547CA">
        <w:rPr>
          <w:b/>
          <w:lang w:val="es-MX"/>
        </w:rPr>
        <w:t>identificarla en forma individual</w:t>
      </w:r>
      <w:r w:rsidRPr="004547CA">
        <w:rPr>
          <w:lang w:val="es-MX"/>
        </w:rPr>
        <w:t>.</w:t>
      </w:r>
    </w:p>
    <w:p w14:paraId="1328C3D0" w14:textId="77777777" w:rsidR="00B040E5" w:rsidRPr="004547CA" w:rsidRDefault="00B040E5" w:rsidP="00B040E5">
      <w:pPr>
        <w:ind w:left="567" w:right="851"/>
        <w:rPr>
          <w:rFonts w:eastAsia="Palatino Linotype" w:cs="Palatino Linotype"/>
          <w:szCs w:val="24"/>
          <w:lang w:val="es-MX"/>
        </w:rPr>
      </w:pPr>
    </w:p>
    <w:p w14:paraId="1DECBAFC"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1DCE26C6" w14:textId="77777777" w:rsidR="00B040E5" w:rsidRPr="004547CA" w:rsidRDefault="00B040E5" w:rsidP="00B040E5">
      <w:pPr>
        <w:rPr>
          <w:rFonts w:ascii="Calibri" w:hAnsi="Calibri"/>
          <w:szCs w:val="24"/>
          <w:lang w:val="es-MX"/>
        </w:rPr>
      </w:pPr>
    </w:p>
    <w:p w14:paraId="08B22983"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Al respecto, el INAI, a través del Criterio 18/17 de la Segunda Época, señala literalmente lo siguiente:</w:t>
      </w:r>
    </w:p>
    <w:p w14:paraId="35EF472E" w14:textId="77777777" w:rsidR="00B040E5" w:rsidRPr="004547CA" w:rsidRDefault="00B040E5" w:rsidP="00B040E5">
      <w:pPr>
        <w:rPr>
          <w:rFonts w:ascii="Calibri" w:hAnsi="Calibri"/>
          <w:szCs w:val="24"/>
          <w:lang w:val="es-MX"/>
        </w:rPr>
      </w:pPr>
    </w:p>
    <w:p w14:paraId="378A7937" w14:textId="0A3F97DB" w:rsidR="00B040E5" w:rsidRPr="004547CA" w:rsidRDefault="00B040E5" w:rsidP="00B040E5">
      <w:pPr>
        <w:pStyle w:val="Fundamentos"/>
        <w:rPr>
          <w:rFonts w:ascii="Calibri" w:hAnsi="Calibri"/>
          <w:lang w:val="es-MX"/>
        </w:rPr>
      </w:pPr>
      <w:r w:rsidRPr="004547CA">
        <w:rPr>
          <w:b/>
          <w:lang w:val="es-MX"/>
        </w:rPr>
        <w:t>Clave Única de Registro de Población (CURP)</w:t>
      </w:r>
      <w:r w:rsidRPr="004547CA">
        <w:rPr>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961DEF0" w14:textId="77777777" w:rsidR="00B040E5" w:rsidRPr="004547CA" w:rsidRDefault="00B040E5" w:rsidP="00B040E5">
      <w:pPr>
        <w:spacing w:after="160" w:line="276" w:lineRule="auto"/>
        <w:ind w:left="851" w:right="851"/>
        <w:rPr>
          <w:rFonts w:eastAsia="Palatino Linotype" w:cs="Palatino Linotype"/>
          <w:szCs w:val="24"/>
          <w:lang w:val="es-MX"/>
        </w:rPr>
      </w:pPr>
    </w:p>
    <w:p w14:paraId="2AB26558" w14:textId="77777777" w:rsidR="00B040E5" w:rsidRPr="004547CA" w:rsidRDefault="00B040E5" w:rsidP="00B040E5">
      <w:pPr>
        <w:tabs>
          <w:tab w:val="left" w:pos="6570"/>
        </w:tabs>
        <w:rPr>
          <w:rFonts w:eastAsia="Palatino Linotype" w:cs="Palatino Linotype"/>
          <w:szCs w:val="24"/>
          <w:lang w:val="es-MX"/>
        </w:rPr>
      </w:pPr>
      <w:r w:rsidRPr="004547CA">
        <w:rPr>
          <w:rFonts w:eastAsia="Palatino Linotype" w:cs="Palatino Linotype"/>
          <w:szCs w:val="24"/>
          <w:lang w:val="es-MX"/>
        </w:rPr>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8E6B7BD" w14:textId="77777777" w:rsidR="00B040E5" w:rsidRPr="004547CA" w:rsidRDefault="00B040E5" w:rsidP="00B040E5">
      <w:pPr>
        <w:tabs>
          <w:tab w:val="left" w:pos="6570"/>
        </w:tabs>
        <w:rPr>
          <w:rFonts w:ascii="Calibri" w:hAnsi="Calibri"/>
          <w:szCs w:val="24"/>
          <w:lang w:val="es-MX"/>
        </w:rPr>
      </w:pPr>
    </w:p>
    <w:p w14:paraId="66238E2C"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7D1216E1" w14:textId="77777777" w:rsidR="00B040E5" w:rsidRPr="004547CA" w:rsidRDefault="00B040E5" w:rsidP="00B040E5">
      <w:pPr>
        <w:rPr>
          <w:rFonts w:ascii="Calibri" w:hAnsi="Calibri"/>
          <w:szCs w:val="24"/>
          <w:lang w:val="es-MX"/>
        </w:rPr>
      </w:pPr>
    </w:p>
    <w:p w14:paraId="3A04C155"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Por lo que la clasificación del domicilio particular, por tratarse de un dato personal confidencial, en términos del artículo 143, fracción I de la Ley de Transparencia y Acceso a la Información Pública del Estado de México y Municipios. </w:t>
      </w:r>
    </w:p>
    <w:p w14:paraId="63799CA3" w14:textId="77777777" w:rsidR="00B040E5" w:rsidRPr="004547CA" w:rsidRDefault="00B040E5" w:rsidP="00B040E5">
      <w:pPr>
        <w:rPr>
          <w:rFonts w:ascii="Calibri" w:hAnsi="Calibri"/>
          <w:szCs w:val="24"/>
          <w:lang w:val="es-MX"/>
        </w:rPr>
      </w:pPr>
    </w:p>
    <w:p w14:paraId="4B7B1359"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9">
        <w:r w:rsidRPr="004547CA">
          <w:rPr>
            <w:rFonts w:eastAsia="Palatino Linotype" w:cs="Palatino Linotype"/>
            <w:szCs w:val="24"/>
            <w:u w:val="single"/>
            <w:lang w:val="es-MX"/>
          </w:rPr>
          <w:t>https://docplayer.es/5455342-Nuevas-tecnologias-biometricas-instituto-nacional-de-ciencias-penales-procuraduria-general-de-la-republica-version-1-0.html</w:t>
        </w:r>
      </w:hyperlink>
      <w:r w:rsidRPr="004547CA">
        <w:rPr>
          <w:rFonts w:eastAsia="Palatino Linotype" w:cs="Palatino Linotype"/>
          <w:szCs w:val="24"/>
          <w:lang w:val="es-MX"/>
        </w:rPr>
        <w:t>, se indica que existen tres principios fundamentales para la identificación de las huellas dactilares, a saber: </w:t>
      </w:r>
    </w:p>
    <w:p w14:paraId="4BA21A05" w14:textId="77777777" w:rsidR="00B040E5" w:rsidRPr="004547CA" w:rsidRDefault="00B040E5" w:rsidP="00B040E5">
      <w:pPr>
        <w:rPr>
          <w:rFonts w:eastAsia="Palatino Linotype" w:cs="Palatino Linotype"/>
          <w:szCs w:val="24"/>
          <w:lang w:val="es-MX"/>
        </w:rPr>
      </w:pPr>
    </w:p>
    <w:p w14:paraId="24CCFFBE" w14:textId="77777777" w:rsidR="00B040E5" w:rsidRPr="004547CA" w:rsidRDefault="00B040E5" w:rsidP="00C55387">
      <w:pPr>
        <w:numPr>
          <w:ilvl w:val="0"/>
          <w:numId w:val="61"/>
        </w:numPr>
        <w:spacing w:after="160" w:line="259" w:lineRule="auto"/>
        <w:ind w:right="474"/>
        <w:jc w:val="left"/>
        <w:rPr>
          <w:rFonts w:eastAsia="Palatino Linotype" w:cs="Palatino Linotype"/>
          <w:szCs w:val="24"/>
          <w:lang w:val="es-MX"/>
        </w:rPr>
      </w:pPr>
      <w:r w:rsidRPr="004547CA">
        <w:rPr>
          <w:rFonts w:eastAsia="Palatino Linotype" w:cs="Palatino Linotype"/>
          <w:szCs w:val="24"/>
          <w:lang w:val="es-MX"/>
        </w:rPr>
        <w:t>Primer principio. La huella es una característica individual. No hay dos huellas con características en las crestas que sean idénticas. </w:t>
      </w:r>
    </w:p>
    <w:p w14:paraId="677BF244" w14:textId="77777777" w:rsidR="00B040E5" w:rsidRPr="004547CA" w:rsidRDefault="00B040E5" w:rsidP="00C55387">
      <w:pPr>
        <w:numPr>
          <w:ilvl w:val="0"/>
          <w:numId w:val="61"/>
        </w:numPr>
        <w:spacing w:after="160" w:line="259" w:lineRule="auto"/>
        <w:ind w:right="474"/>
        <w:jc w:val="left"/>
        <w:rPr>
          <w:rFonts w:eastAsia="Palatino Linotype" w:cs="Palatino Linotype"/>
          <w:szCs w:val="24"/>
          <w:lang w:val="es-MX"/>
        </w:rPr>
      </w:pPr>
      <w:r w:rsidRPr="004547CA">
        <w:rPr>
          <w:rFonts w:eastAsia="Palatino Linotype" w:cs="Palatino Linotype"/>
          <w:szCs w:val="24"/>
          <w:lang w:val="es-MX"/>
        </w:rPr>
        <w:t>Segundo principio. Una huella permanece sin cambios durante toda la vida de un individuo (sin embargo, puede adquirir cicatrices o cualquier otra deformación que impida su identificación clara). </w:t>
      </w:r>
    </w:p>
    <w:p w14:paraId="1909F72B" w14:textId="77777777" w:rsidR="00B040E5" w:rsidRPr="004547CA" w:rsidRDefault="00B040E5" w:rsidP="00C55387">
      <w:pPr>
        <w:numPr>
          <w:ilvl w:val="0"/>
          <w:numId w:val="61"/>
        </w:numPr>
        <w:spacing w:after="160" w:line="259" w:lineRule="auto"/>
        <w:ind w:right="474"/>
        <w:jc w:val="left"/>
        <w:rPr>
          <w:rFonts w:eastAsia="Palatino Linotype" w:cs="Palatino Linotype"/>
          <w:szCs w:val="24"/>
          <w:lang w:val="es-MX"/>
        </w:rPr>
      </w:pPr>
      <w:r w:rsidRPr="004547CA">
        <w:rPr>
          <w:rFonts w:eastAsia="Palatino Linotype" w:cs="Palatino Linotype"/>
          <w:szCs w:val="24"/>
          <w:lang w:val="es-MX"/>
        </w:rPr>
        <w:t>Tercer principio. Las huellas tienen patrones que se forman con sus crestas, lo que hace posible clasificarlas sistemáticamente para agilizar las búsquedas. </w:t>
      </w:r>
    </w:p>
    <w:p w14:paraId="2E5BE5A5" w14:textId="77777777" w:rsidR="00B040E5" w:rsidRPr="004547CA" w:rsidRDefault="00B040E5" w:rsidP="00B040E5">
      <w:pPr>
        <w:jc w:val="left"/>
        <w:rPr>
          <w:rFonts w:eastAsia="Palatino Linotype" w:cs="Palatino Linotype"/>
          <w:szCs w:val="24"/>
          <w:lang w:val="es-MX"/>
        </w:rPr>
      </w:pPr>
    </w:p>
    <w:p w14:paraId="1685A730"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lastRenderedPageBreak/>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206B916A" w14:textId="77777777" w:rsidR="00B040E5" w:rsidRPr="004547CA" w:rsidRDefault="00B040E5" w:rsidP="00B040E5">
      <w:pPr>
        <w:jc w:val="left"/>
        <w:rPr>
          <w:rFonts w:eastAsia="Palatino Linotype" w:cs="Palatino Linotype"/>
          <w:szCs w:val="24"/>
          <w:lang w:val="es-MX"/>
        </w:rPr>
      </w:pPr>
    </w:p>
    <w:p w14:paraId="59B65318"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429E936A" w14:textId="77777777" w:rsidR="00B040E5" w:rsidRPr="004547CA" w:rsidRDefault="00B040E5" w:rsidP="00B040E5">
      <w:pPr>
        <w:jc w:val="left"/>
        <w:rPr>
          <w:rFonts w:eastAsia="Palatino Linotype" w:cs="Palatino Linotype"/>
          <w:szCs w:val="24"/>
          <w:lang w:val="es-MX"/>
        </w:rPr>
      </w:pPr>
    </w:p>
    <w:p w14:paraId="588A1F39" w14:textId="3D0C9488" w:rsidR="00B040E5" w:rsidRPr="004547CA" w:rsidRDefault="00B040E5" w:rsidP="00B040E5">
      <w:pPr>
        <w:spacing w:line="276" w:lineRule="auto"/>
        <w:ind w:left="567" w:right="567"/>
        <w:rPr>
          <w:rFonts w:eastAsia="Palatino Linotype" w:cs="Palatino Linotype"/>
          <w:i/>
          <w:sz w:val="22"/>
          <w:lang w:val="es-MX"/>
        </w:rPr>
      </w:pPr>
      <w:r w:rsidRPr="004547CA">
        <w:rPr>
          <w:rFonts w:eastAsia="Palatino Linotype" w:cs="Palatino Linotype"/>
          <w:b/>
          <w:i/>
          <w:sz w:val="22"/>
          <w:lang w:val="es-MX"/>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4547CA">
        <w:rPr>
          <w:rFonts w:eastAsia="Palatino Linotype" w:cs="Palatino Linotype"/>
          <w:i/>
          <w:sz w:val="22"/>
          <w:lang w:val="es-MX"/>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w:t>
      </w:r>
      <w:r w:rsidRPr="004547CA">
        <w:rPr>
          <w:rFonts w:eastAsia="Palatino Linotype" w:cs="Palatino Linotype"/>
          <w:i/>
          <w:sz w:val="22"/>
          <w:lang w:val="es-MX"/>
        </w:rPr>
        <w:lastRenderedPageBreak/>
        <w:t>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45DCC61E" w14:textId="77777777" w:rsidR="00B040E5" w:rsidRPr="004547CA" w:rsidRDefault="00B040E5" w:rsidP="00B040E5">
      <w:pPr>
        <w:ind w:left="567" w:right="567"/>
        <w:rPr>
          <w:rFonts w:eastAsia="Palatino Linotype" w:cs="Palatino Linotype"/>
          <w:sz w:val="28"/>
          <w:szCs w:val="28"/>
          <w:lang w:val="es-MX"/>
        </w:rPr>
      </w:pPr>
    </w:p>
    <w:p w14:paraId="41A942C4"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t xml:space="preserve"> En la actualidad existen sistemas denominados AFIS por sus siglas en inglés </w:t>
      </w:r>
      <w:proofErr w:type="spellStart"/>
      <w:r w:rsidRPr="004547CA">
        <w:rPr>
          <w:rFonts w:eastAsia="Palatino Linotype" w:cs="Palatino Linotype"/>
          <w:i/>
          <w:szCs w:val="24"/>
          <w:lang w:val="es-MX"/>
        </w:rPr>
        <w:t>Automated</w:t>
      </w:r>
      <w:proofErr w:type="spellEnd"/>
      <w:r w:rsidRPr="004547CA">
        <w:rPr>
          <w:rFonts w:eastAsia="Palatino Linotype" w:cs="Palatino Linotype"/>
          <w:i/>
          <w:szCs w:val="24"/>
          <w:lang w:val="es-MX"/>
        </w:rPr>
        <w:t xml:space="preserve"> </w:t>
      </w:r>
      <w:proofErr w:type="spellStart"/>
      <w:r w:rsidRPr="004547CA">
        <w:rPr>
          <w:rFonts w:eastAsia="Palatino Linotype" w:cs="Palatino Linotype"/>
          <w:i/>
          <w:szCs w:val="24"/>
          <w:lang w:val="es-MX"/>
        </w:rPr>
        <w:t>Fingerprint</w:t>
      </w:r>
      <w:proofErr w:type="spellEnd"/>
      <w:r w:rsidRPr="004547CA">
        <w:rPr>
          <w:rFonts w:eastAsia="Palatino Linotype" w:cs="Palatino Linotype"/>
          <w:i/>
          <w:szCs w:val="24"/>
          <w:lang w:val="es-MX"/>
        </w:rPr>
        <w:t xml:space="preserve"> </w:t>
      </w:r>
      <w:proofErr w:type="spellStart"/>
      <w:r w:rsidRPr="004547CA">
        <w:rPr>
          <w:rFonts w:eastAsia="Palatino Linotype" w:cs="Palatino Linotype"/>
          <w:i/>
          <w:szCs w:val="24"/>
          <w:lang w:val="es-MX"/>
        </w:rPr>
        <w:t>Identification</w:t>
      </w:r>
      <w:proofErr w:type="spellEnd"/>
      <w:r w:rsidRPr="004547CA">
        <w:rPr>
          <w:rFonts w:eastAsia="Palatino Linotype" w:cs="Palatino Linotype"/>
          <w:i/>
          <w:szCs w:val="24"/>
          <w:lang w:val="es-MX"/>
        </w:rPr>
        <w:t xml:space="preserve"> </w:t>
      </w:r>
      <w:proofErr w:type="spellStart"/>
      <w:r w:rsidRPr="004547CA">
        <w:rPr>
          <w:rFonts w:eastAsia="Palatino Linotype" w:cs="Palatino Linotype"/>
          <w:i/>
          <w:szCs w:val="24"/>
          <w:lang w:val="es-MX"/>
        </w:rPr>
        <w:t>System</w:t>
      </w:r>
      <w:proofErr w:type="spellEnd"/>
      <w:r w:rsidRPr="004547CA">
        <w:rPr>
          <w:rFonts w:eastAsia="Palatino Linotype" w:cs="Palatino Linotype"/>
          <w:szCs w:val="24"/>
          <w:lang w:val="es-MX"/>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15733930" w14:textId="77777777" w:rsidR="00B040E5" w:rsidRPr="004547CA" w:rsidRDefault="00B040E5" w:rsidP="00B040E5">
      <w:pPr>
        <w:jc w:val="left"/>
        <w:rPr>
          <w:rFonts w:ascii="Calibri" w:hAnsi="Calibri"/>
          <w:szCs w:val="24"/>
          <w:lang w:val="es-MX"/>
        </w:rPr>
      </w:pPr>
    </w:p>
    <w:p w14:paraId="0065B411" w14:textId="77777777" w:rsidR="00B040E5" w:rsidRPr="004547CA" w:rsidRDefault="00B040E5" w:rsidP="00B040E5">
      <w:pPr>
        <w:rPr>
          <w:rFonts w:ascii="Calibri" w:hAnsi="Calibri"/>
          <w:szCs w:val="24"/>
          <w:lang w:val="es-MX"/>
        </w:rPr>
      </w:pPr>
      <w:r w:rsidRPr="004547CA">
        <w:rPr>
          <w:rFonts w:eastAsia="Palatino Linotype" w:cs="Palatino Linotype"/>
          <w:szCs w:val="24"/>
          <w:lang w:val="es-MX"/>
        </w:rPr>
        <w:t xml:space="preserve">En términos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w:t>
      </w:r>
      <w:r w:rsidRPr="004547CA">
        <w:rPr>
          <w:rFonts w:eastAsia="Palatino Linotype" w:cs="Palatino Linotype"/>
          <w:szCs w:val="24"/>
          <w:lang w:val="es-MX"/>
        </w:rPr>
        <w:lastRenderedPageBreak/>
        <w:t>medio de escáneres y multifuncionales de venta al público general de diversas marcas y que pueden proporcionar una resolución de hasta 600 pixeles por pulgada. </w:t>
      </w:r>
    </w:p>
    <w:p w14:paraId="58B9AA8B" w14:textId="77777777" w:rsidR="00B040E5" w:rsidRPr="004547CA" w:rsidRDefault="00B040E5" w:rsidP="00B040E5">
      <w:pPr>
        <w:jc w:val="left"/>
        <w:rPr>
          <w:rFonts w:eastAsia="Palatino Linotype" w:cs="Palatino Linotype"/>
          <w:szCs w:val="24"/>
          <w:lang w:val="es-MX"/>
        </w:rPr>
      </w:pPr>
    </w:p>
    <w:p w14:paraId="65D08371"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0B4F7253" w14:textId="77777777" w:rsidR="00B040E5" w:rsidRPr="004547CA" w:rsidRDefault="00B040E5" w:rsidP="00B040E5">
      <w:pPr>
        <w:rPr>
          <w:rFonts w:eastAsia="Palatino Linotype" w:cs="Palatino Linotype"/>
          <w:szCs w:val="24"/>
          <w:lang w:val="es-MX"/>
        </w:rPr>
      </w:pPr>
    </w:p>
    <w:p w14:paraId="01E19FB1" w14:textId="77777777" w:rsidR="00B040E5" w:rsidRPr="004547CA" w:rsidRDefault="00B040E5" w:rsidP="00B040E5">
      <w:pPr>
        <w:rPr>
          <w:rFonts w:eastAsia="Palatino Linotype" w:cs="Palatino Linotype"/>
          <w:szCs w:val="24"/>
          <w:lang w:val="es-MX"/>
        </w:rPr>
      </w:pPr>
      <w:r w:rsidRPr="004547CA">
        <w:rPr>
          <w:rFonts w:eastAsia="Palatino Linotype" w:cs="Palatino Linotype"/>
          <w:szCs w:val="24"/>
          <w:lang w:val="es-MX"/>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47B7EBFE" w14:textId="77777777" w:rsidR="00B040E5" w:rsidRPr="004547CA" w:rsidRDefault="00B040E5" w:rsidP="00B040E5">
      <w:pPr>
        <w:rPr>
          <w:rFonts w:eastAsia="Palatino Linotype" w:cs="Palatino Linotype"/>
          <w:szCs w:val="24"/>
          <w:lang w:val="es-MX"/>
        </w:rPr>
      </w:pPr>
    </w:p>
    <w:p w14:paraId="75E54CEF"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r w:rsidRPr="004547CA">
        <w:rPr>
          <w:rFonts w:eastAsia="Palatino Linotype" w:cs="Palatino Linotype"/>
          <w:szCs w:val="24"/>
          <w:lang w:val="es-MX"/>
        </w:rPr>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4547CA">
        <w:rPr>
          <w:rFonts w:eastAsia="Palatino Linotype" w:cs="Palatino Linotype"/>
          <w:b/>
          <w:szCs w:val="24"/>
          <w:lang w:val="es-MX"/>
        </w:rPr>
        <w:t>Sujeto Obligado</w:t>
      </w:r>
      <w:r w:rsidRPr="004547CA">
        <w:rPr>
          <w:rFonts w:eastAsia="Palatino Linotype" w:cs="Palatino Linotype"/>
          <w:szCs w:val="24"/>
          <w:lang w:val="es-MX"/>
        </w:rPr>
        <w:t xml:space="preserve"> deberá emitir el Acuerdo del Comité de Transparencia, donde clasifique de manera fundada y motivada estos soportes documentales, ello en términos de los artículos 49, fracciones II y VIII, 140 fracción VIII, así como 141 de la Ley de Transparencia y Acceso a la Información Pública del Estado de México y Municipios.</w:t>
      </w:r>
    </w:p>
    <w:p w14:paraId="78C55F9C" w14:textId="77777777" w:rsidR="00B040E5" w:rsidRPr="004547CA" w:rsidRDefault="00B040E5" w:rsidP="00B040E5">
      <w:pPr>
        <w:jc w:val="left"/>
        <w:rPr>
          <w:rFonts w:eastAsia="Palatino Linotype" w:cs="Palatino Linotype"/>
          <w:szCs w:val="24"/>
          <w:lang w:val="es-MX"/>
        </w:rPr>
      </w:pPr>
    </w:p>
    <w:p w14:paraId="46F1EE5D"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szCs w:val="24"/>
          <w:lang w:val="es-MX"/>
        </w:rPr>
        <w:lastRenderedPageBreak/>
        <w:t xml:space="preserve">Bajo este contexto, se considera que en el supuesto de que la información se encuentre en el supuesto antes establecido, el </w:t>
      </w:r>
      <w:r w:rsidRPr="004547CA">
        <w:rPr>
          <w:rFonts w:eastAsia="Palatino Linotype" w:cs="Palatino Linotype"/>
          <w:b/>
          <w:szCs w:val="24"/>
          <w:lang w:val="es-MX"/>
        </w:rPr>
        <w:t>Sujeto Obligado</w:t>
      </w:r>
      <w:r w:rsidRPr="004547CA">
        <w:rPr>
          <w:rFonts w:eastAsia="Palatino Linotype" w:cs="Palatino Linotype"/>
          <w:szCs w:val="24"/>
          <w:lang w:val="es-MX"/>
        </w:rPr>
        <w:t xml:space="preserve"> deberá clasificar las observaciones, emitiendo en su caso el acuerdo correspondiente</w:t>
      </w:r>
      <w:r w:rsidRPr="004547CA">
        <w:rPr>
          <w:rFonts w:eastAsia="Palatino Linotype" w:cs="Palatino Linotype"/>
          <w:b/>
          <w:szCs w:val="24"/>
          <w:lang w:val="es-MX"/>
        </w:rPr>
        <w:t>,</w:t>
      </w:r>
      <w:r w:rsidRPr="004547CA">
        <w:rPr>
          <w:rFonts w:eastAsia="Palatino Linotype" w:cs="Palatino Linotype"/>
          <w:szCs w:val="24"/>
          <w:lang w:val="es-MX"/>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4547CA">
        <w:rPr>
          <w:rFonts w:eastAsia="Palatino Linotype" w:cs="Palatino Linotype"/>
          <w:b/>
          <w:i/>
          <w:szCs w:val="24"/>
          <w:lang w:val="es-MX"/>
        </w:rPr>
        <w:t xml:space="preserve">“prueba de daño”, </w:t>
      </w:r>
      <w:r w:rsidRPr="004547CA">
        <w:rPr>
          <w:rFonts w:eastAsia="Palatino Linotype" w:cs="Palatino Linotype"/>
          <w:szCs w:val="24"/>
          <w:lang w:val="es-MX"/>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4A524804" w14:textId="77777777" w:rsidR="00B040E5" w:rsidRPr="004547CA" w:rsidRDefault="00B040E5" w:rsidP="00B040E5">
      <w:pPr>
        <w:jc w:val="left"/>
        <w:rPr>
          <w:rFonts w:eastAsia="Palatino Linotype" w:cs="Palatino Linotype"/>
          <w:szCs w:val="24"/>
          <w:lang w:val="es-MX"/>
        </w:rPr>
      </w:pPr>
    </w:p>
    <w:p w14:paraId="51A1A050"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szCs w:val="24"/>
          <w:lang w:val="es-MX"/>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4547CA">
        <w:rPr>
          <w:rFonts w:eastAsia="Palatino Linotype" w:cs="Palatino Linotype"/>
          <w:b/>
          <w:szCs w:val="24"/>
          <w:u w:val="single"/>
          <w:lang w:val="es-MX"/>
        </w:rPr>
        <w:t>sino de cada uno de los documentos que lo integran</w:t>
      </w:r>
      <w:r w:rsidRPr="004547CA">
        <w:rPr>
          <w:rFonts w:eastAsia="Palatino Linotype" w:cs="Palatino Linotype"/>
          <w:szCs w:val="24"/>
          <w:lang w:val="es-MX"/>
        </w:rPr>
        <w:t>.</w:t>
      </w:r>
    </w:p>
    <w:p w14:paraId="408FF541" w14:textId="77777777" w:rsidR="00B040E5" w:rsidRPr="004547CA" w:rsidRDefault="00B040E5" w:rsidP="00B040E5">
      <w:pPr>
        <w:jc w:val="left"/>
        <w:rPr>
          <w:rFonts w:ascii="Calibri" w:hAnsi="Calibri"/>
          <w:szCs w:val="24"/>
          <w:lang w:val="es-MX"/>
        </w:rPr>
      </w:pPr>
    </w:p>
    <w:p w14:paraId="6DC0906F"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szCs w:val="24"/>
          <w:lang w:val="es-MX"/>
        </w:rPr>
        <w:t>Para aplicar la prueba de daño, se deberán de precisar las razones objetivas por las que la apertura genera una afectación, acreditando que:</w:t>
      </w:r>
    </w:p>
    <w:p w14:paraId="0F71D9A7" w14:textId="77777777" w:rsidR="00B040E5" w:rsidRPr="004547CA" w:rsidRDefault="00B040E5" w:rsidP="00B040E5">
      <w:pPr>
        <w:jc w:val="left"/>
        <w:rPr>
          <w:rFonts w:eastAsia="Palatino Linotype" w:cs="Palatino Linotype"/>
          <w:szCs w:val="24"/>
          <w:lang w:val="es-MX"/>
        </w:rPr>
      </w:pPr>
    </w:p>
    <w:p w14:paraId="1DB7A1BA" w14:textId="77777777" w:rsidR="00B040E5" w:rsidRPr="004547CA" w:rsidRDefault="00B040E5" w:rsidP="00B040E5">
      <w:pPr>
        <w:pBdr>
          <w:top w:val="nil"/>
          <w:left w:val="nil"/>
          <w:bottom w:val="nil"/>
          <w:right w:val="nil"/>
          <w:between w:val="nil"/>
        </w:pBdr>
        <w:ind w:left="567" w:right="851"/>
        <w:rPr>
          <w:rFonts w:ascii="Calibri" w:hAnsi="Calibri"/>
          <w:szCs w:val="24"/>
          <w:lang w:val="es-MX"/>
        </w:rPr>
      </w:pPr>
      <w:r w:rsidRPr="004547CA">
        <w:rPr>
          <w:rFonts w:eastAsia="Palatino Linotype" w:cs="Palatino Linotype"/>
          <w:szCs w:val="24"/>
          <w:lang w:val="es-MX"/>
        </w:rPr>
        <w:lastRenderedPageBreak/>
        <w:t>I. La divulgación de la información representa un riesgo real, demostrable e identificable del perjuicio significativo al interés público o a la seguridad pública; </w:t>
      </w:r>
    </w:p>
    <w:p w14:paraId="28C4300B" w14:textId="77777777" w:rsidR="00B040E5" w:rsidRPr="004547CA" w:rsidRDefault="00B040E5" w:rsidP="00B040E5">
      <w:pPr>
        <w:pBdr>
          <w:top w:val="nil"/>
          <w:left w:val="nil"/>
          <w:bottom w:val="nil"/>
          <w:right w:val="nil"/>
          <w:between w:val="nil"/>
        </w:pBdr>
        <w:ind w:left="567" w:right="851"/>
        <w:rPr>
          <w:rFonts w:ascii="Calibri" w:hAnsi="Calibri"/>
          <w:szCs w:val="24"/>
          <w:lang w:val="es-MX"/>
        </w:rPr>
      </w:pPr>
      <w:r w:rsidRPr="004547CA">
        <w:rPr>
          <w:rFonts w:eastAsia="Palatino Linotype" w:cs="Palatino Linotype"/>
          <w:szCs w:val="24"/>
          <w:lang w:val="es-MX"/>
        </w:rPr>
        <w:t>II. El riesgo de perjuicio que supondría la divulgación supera el interés público general de que se difunda; y </w:t>
      </w:r>
    </w:p>
    <w:p w14:paraId="0973D6D0" w14:textId="77777777" w:rsidR="00B040E5" w:rsidRPr="004547CA" w:rsidRDefault="00B040E5" w:rsidP="00B040E5">
      <w:pPr>
        <w:pBdr>
          <w:top w:val="nil"/>
          <w:left w:val="nil"/>
          <w:bottom w:val="nil"/>
          <w:right w:val="nil"/>
          <w:between w:val="nil"/>
        </w:pBdr>
        <w:ind w:left="567" w:right="851"/>
        <w:rPr>
          <w:rFonts w:eastAsia="Palatino Linotype" w:cs="Palatino Linotype"/>
          <w:szCs w:val="24"/>
          <w:lang w:val="es-MX"/>
        </w:rPr>
      </w:pPr>
      <w:r w:rsidRPr="004547CA">
        <w:rPr>
          <w:rFonts w:eastAsia="Palatino Linotype" w:cs="Palatino Linotype"/>
          <w:szCs w:val="24"/>
          <w:lang w:val="es-MX"/>
        </w:rPr>
        <w:t>III. La limitación se adecua al principio de proporcionalidad y representa el medio menos restrictivo disponible para evitar el perjuicio. </w:t>
      </w:r>
    </w:p>
    <w:p w14:paraId="3C04A19C" w14:textId="77777777" w:rsidR="00B040E5" w:rsidRPr="004547CA" w:rsidRDefault="00B040E5" w:rsidP="00B040E5">
      <w:pPr>
        <w:pBdr>
          <w:top w:val="nil"/>
          <w:left w:val="nil"/>
          <w:bottom w:val="nil"/>
          <w:right w:val="nil"/>
          <w:between w:val="nil"/>
        </w:pBdr>
        <w:ind w:left="567" w:right="851"/>
        <w:rPr>
          <w:rFonts w:ascii="Calibri" w:hAnsi="Calibri"/>
          <w:szCs w:val="24"/>
          <w:lang w:val="es-MX"/>
        </w:rPr>
      </w:pPr>
    </w:p>
    <w:p w14:paraId="18B8B26B"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szCs w:val="24"/>
          <w:lang w:val="es-MX"/>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00A1770F" w14:textId="77777777" w:rsidR="00B040E5" w:rsidRPr="004547CA" w:rsidRDefault="00B040E5" w:rsidP="00B040E5">
      <w:pPr>
        <w:jc w:val="left"/>
        <w:rPr>
          <w:rFonts w:eastAsia="Palatino Linotype" w:cs="Palatino Linotype"/>
          <w:szCs w:val="24"/>
          <w:lang w:val="es-MX"/>
        </w:rPr>
      </w:pPr>
    </w:p>
    <w:p w14:paraId="4D61392A"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szCs w:val="24"/>
          <w:lang w:val="es-MX"/>
        </w:rPr>
        <w:t>Identificado ese riesgo, se debe demostrar que el mismo supera el interés público general porque se difunda dicha información. </w:t>
      </w:r>
    </w:p>
    <w:p w14:paraId="25DADB60" w14:textId="77777777" w:rsidR="00B040E5" w:rsidRPr="004547CA" w:rsidRDefault="00B040E5" w:rsidP="00B040E5">
      <w:pPr>
        <w:jc w:val="left"/>
        <w:rPr>
          <w:rFonts w:eastAsia="Palatino Linotype" w:cs="Palatino Linotype"/>
          <w:szCs w:val="24"/>
          <w:lang w:val="es-MX"/>
        </w:rPr>
      </w:pPr>
    </w:p>
    <w:p w14:paraId="581EAC05"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r w:rsidRPr="004547CA">
        <w:rPr>
          <w:rFonts w:eastAsia="Palatino Linotype" w:cs="Palatino Linotype"/>
          <w:szCs w:val="24"/>
          <w:lang w:val="es-MX"/>
        </w:rPr>
        <w:t xml:space="preserve">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w:t>
      </w:r>
      <w:r w:rsidRPr="004547CA">
        <w:rPr>
          <w:rFonts w:eastAsia="Palatino Linotype" w:cs="Palatino Linotype"/>
          <w:szCs w:val="24"/>
          <w:lang w:val="es-MX"/>
        </w:rPr>
        <w:lastRenderedPageBreak/>
        <w:t>proporcionalidad esto es, que el derecho que prevalezca sea en la dimensión estrictamente proporcional al derecho que retrocede.</w:t>
      </w:r>
    </w:p>
    <w:p w14:paraId="2BBA13DC"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p>
    <w:p w14:paraId="7C0B6303" w14:textId="434BB1C8" w:rsidR="00B040E5" w:rsidRPr="004547CA" w:rsidRDefault="00B040E5" w:rsidP="00B040E5">
      <w:pPr>
        <w:pBdr>
          <w:top w:val="nil"/>
          <w:left w:val="nil"/>
          <w:bottom w:val="nil"/>
          <w:right w:val="nil"/>
          <w:between w:val="nil"/>
        </w:pBdr>
        <w:rPr>
          <w:rFonts w:eastAsia="Palatino Linotype" w:cs="Palatino Linotype"/>
          <w:szCs w:val="24"/>
          <w:lang w:val="es-MX"/>
        </w:rPr>
      </w:pPr>
      <w:r w:rsidRPr="004547CA">
        <w:rPr>
          <w:rFonts w:eastAsia="Palatino Linotype" w:cs="Palatino Linotype"/>
          <w:szCs w:val="24"/>
          <w:lang w:val="es-MX"/>
        </w:rPr>
        <w:t>Es así, que al configurarse tales requisitos, se otorga certidumbre jurídica y se protege la esfera más íntima del derecho humano constitucional y convencionalmente reconocido. En virtud de lo anterior, se desprende que los Acuerdos de Reserva deberán de cumplir los siguientes parámetros de forma y fondo:</w:t>
      </w:r>
    </w:p>
    <w:p w14:paraId="5BE263FF"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p>
    <w:p w14:paraId="17231BDC" w14:textId="77777777" w:rsidR="00B040E5" w:rsidRPr="004547CA" w:rsidRDefault="00B040E5" w:rsidP="00C55387">
      <w:pPr>
        <w:numPr>
          <w:ilvl w:val="0"/>
          <w:numId w:val="58"/>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Número de folio de la solicitud</w:t>
      </w:r>
    </w:p>
    <w:p w14:paraId="38F081D1" w14:textId="77777777" w:rsidR="00B040E5" w:rsidRPr="004547CA" w:rsidRDefault="00B040E5" w:rsidP="00C55387">
      <w:pPr>
        <w:numPr>
          <w:ilvl w:val="0"/>
          <w:numId w:val="58"/>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Referencia a la información solicitada</w:t>
      </w:r>
    </w:p>
    <w:p w14:paraId="7DB0FFEB" w14:textId="77777777" w:rsidR="00B040E5" w:rsidRPr="004547CA" w:rsidRDefault="00B040E5" w:rsidP="00C55387">
      <w:pPr>
        <w:numPr>
          <w:ilvl w:val="0"/>
          <w:numId w:val="58"/>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Causal aplicable del artículo 113 de la Ley General, vinculándola con el Lineamiento específico del presente ordenamiento y, cuando corresponda, el supuesto normativo que expresamente le otorga el carácter de información reservada</w:t>
      </w:r>
    </w:p>
    <w:p w14:paraId="0A56E824" w14:textId="77777777" w:rsidR="00B040E5" w:rsidRPr="004547CA" w:rsidRDefault="00B040E5" w:rsidP="00C55387">
      <w:pPr>
        <w:numPr>
          <w:ilvl w:val="0"/>
          <w:numId w:val="58"/>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Fundamento y motivación legal</w:t>
      </w:r>
    </w:p>
    <w:p w14:paraId="431453AB" w14:textId="77777777" w:rsidR="00B040E5" w:rsidRPr="004547CA" w:rsidRDefault="00B040E5" w:rsidP="00C55387">
      <w:pPr>
        <w:numPr>
          <w:ilvl w:val="0"/>
          <w:numId w:val="58"/>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Conexión entre los fundamentos y motivos que dieron origen a la reserva de la información</w:t>
      </w:r>
    </w:p>
    <w:p w14:paraId="7DDA8F80" w14:textId="77777777" w:rsidR="00B040E5" w:rsidRPr="004547CA" w:rsidRDefault="00B040E5" w:rsidP="00B040E5">
      <w:pPr>
        <w:pBdr>
          <w:top w:val="nil"/>
          <w:left w:val="nil"/>
          <w:bottom w:val="nil"/>
          <w:right w:val="nil"/>
          <w:between w:val="nil"/>
        </w:pBdr>
        <w:rPr>
          <w:rFonts w:ascii="Calibri" w:hAnsi="Calibri"/>
          <w:szCs w:val="24"/>
          <w:lang w:val="es-MX"/>
        </w:rPr>
      </w:pPr>
      <w:r w:rsidRPr="004547CA">
        <w:rPr>
          <w:rFonts w:eastAsia="Palatino Linotype" w:cs="Palatino Linotype"/>
          <w:b/>
          <w:szCs w:val="24"/>
          <w:lang w:val="es-MX"/>
        </w:rPr>
        <w:t>Prueba de daño </w:t>
      </w:r>
    </w:p>
    <w:p w14:paraId="44C00D2C" w14:textId="77777777" w:rsidR="00B040E5" w:rsidRPr="004547CA" w:rsidRDefault="00B040E5" w:rsidP="00C55387">
      <w:pPr>
        <w:numPr>
          <w:ilvl w:val="0"/>
          <w:numId w:val="59"/>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Riesgo real, demostrable e identificable (modo, tiempo y lugar)</w:t>
      </w:r>
    </w:p>
    <w:p w14:paraId="16C62B93" w14:textId="77777777" w:rsidR="00B040E5" w:rsidRPr="004547CA" w:rsidRDefault="00B040E5" w:rsidP="00C55387">
      <w:pPr>
        <w:numPr>
          <w:ilvl w:val="0"/>
          <w:numId w:val="59"/>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Temporalidad de la reserva de la información</w:t>
      </w:r>
    </w:p>
    <w:p w14:paraId="4B827108" w14:textId="77777777" w:rsidR="00B040E5" w:rsidRPr="004547CA" w:rsidRDefault="00B040E5" w:rsidP="00C55387">
      <w:pPr>
        <w:numPr>
          <w:ilvl w:val="0"/>
          <w:numId w:val="59"/>
        </w:numPr>
        <w:pBdr>
          <w:top w:val="nil"/>
          <w:left w:val="nil"/>
          <w:bottom w:val="nil"/>
          <w:right w:val="nil"/>
          <w:between w:val="nil"/>
        </w:pBdr>
        <w:spacing w:after="160" w:line="259" w:lineRule="auto"/>
        <w:jc w:val="left"/>
        <w:rPr>
          <w:rFonts w:eastAsia="Palatino Linotype" w:cs="Palatino Linotype"/>
          <w:szCs w:val="24"/>
          <w:lang w:val="es-MX"/>
        </w:rPr>
      </w:pPr>
      <w:r w:rsidRPr="004547CA">
        <w:rPr>
          <w:rFonts w:eastAsia="Palatino Linotype" w:cs="Palatino Linotype"/>
          <w:szCs w:val="24"/>
          <w:lang w:val="es-MX"/>
        </w:rPr>
        <w:t>Autoridades competentes </w:t>
      </w:r>
    </w:p>
    <w:p w14:paraId="66371672" w14:textId="77777777" w:rsidR="00B040E5" w:rsidRPr="004547CA" w:rsidRDefault="00B040E5" w:rsidP="00B040E5">
      <w:pPr>
        <w:pBdr>
          <w:top w:val="nil"/>
          <w:left w:val="nil"/>
          <w:bottom w:val="nil"/>
          <w:right w:val="nil"/>
          <w:between w:val="nil"/>
        </w:pBdr>
        <w:ind w:left="720"/>
        <w:rPr>
          <w:rFonts w:eastAsia="Palatino Linotype" w:cs="Palatino Linotype"/>
          <w:szCs w:val="24"/>
          <w:lang w:val="es-MX"/>
        </w:rPr>
      </w:pPr>
    </w:p>
    <w:p w14:paraId="6A650BBF"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r w:rsidRPr="004547CA">
        <w:rPr>
          <w:rFonts w:eastAsia="Palatino Linotype" w:cs="Palatino Linotype"/>
          <w:szCs w:val="24"/>
          <w:lang w:val="es-MX"/>
        </w:rPr>
        <w:t xml:space="preserve">En razón de lo anterior, se destaca que la pauta metodológica necesaria para clasificar la información como reservada se desprende inicialmente de identificar las causales aplicables, por ello, resulta oportuno realizar un análisis integral del numeral 140 de la </w:t>
      </w:r>
      <w:r w:rsidRPr="004547CA">
        <w:rPr>
          <w:rFonts w:eastAsia="Palatino Linotype" w:cs="Palatino Linotype"/>
          <w:szCs w:val="24"/>
          <w:lang w:val="es-MX"/>
        </w:rPr>
        <w:lastRenderedPageBreak/>
        <w:t>Ley de Transparencia y Acceso a la Información Pública del Estado de México y Municipios, porción normativa que dispone a la literalidad lo siguiente: </w:t>
      </w:r>
    </w:p>
    <w:p w14:paraId="418093A6" w14:textId="77777777" w:rsidR="00B040E5" w:rsidRPr="004547CA" w:rsidRDefault="00B040E5" w:rsidP="00B040E5">
      <w:pPr>
        <w:pBdr>
          <w:top w:val="nil"/>
          <w:left w:val="nil"/>
          <w:bottom w:val="nil"/>
          <w:right w:val="nil"/>
          <w:between w:val="nil"/>
        </w:pBdr>
        <w:rPr>
          <w:rFonts w:ascii="Calibri" w:hAnsi="Calibri"/>
          <w:szCs w:val="24"/>
          <w:lang w:val="es-MX"/>
        </w:rPr>
      </w:pPr>
    </w:p>
    <w:p w14:paraId="7CAD2B68" w14:textId="77777777" w:rsidR="00B040E5" w:rsidRPr="004547CA" w:rsidRDefault="00B040E5" w:rsidP="00B040E5">
      <w:pPr>
        <w:pStyle w:val="Fundamentos"/>
        <w:rPr>
          <w:rFonts w:ascii="Calibri" w:hAnsi="Calibri"/>
          <w:lang w:val="es-MX"/>
        </w:rPr>
      </w:pPr>
      <w:r w:rsidRPr="004547CA">
        <w:rPr>
          <w:lang w:val="es-MX"/>
        </w:rPr>
        <w:t xml:space="preserve"> “Artículo 140. El acceso a la información pública será restringido excepcionalmente, cuando por razones de interés público, ésta sea clasificada como reservada, conforme a los criterios siguientes: </w:t>
      </w:r>
    </w:p>
    <w:p w14:paraId="1A672866" w14:textId="77777777" w:rsidR="00B040E5" w:rsidRPr="004547CA" w:rsidRDefault="00B040E5" w:rsidP="00B040E5">
      <w:pPr>
        <w:pStyle w:val="Fundamentos"/>
        <w:rPr>
          <w:rFonts w:ascii="Calibri" w:hAnsi="Calibri"/>
          <w:lang w:val="es-MX"/>
        </w:rPr>
      </w:pPr>
      <w:r w:rsidRPr="004547CA">
        <w:rPr>
          <w:lang w:val="es-MX"/>
        </w:rPr>
        <w:t>I. Comprometa la seguridad pública y cuente con un propósito genuino y un efecto demostrable; </w:t>
      </w:r>
    </w:p>
    <w:p w14:paraId="02858F06" w14:textId="77777777" w:rsidR="00B040E5" w:rsidRPr="004547CA" w:rsidRDefault="00B040E5" w:rsidP="00B040E5">
      <w:pPr>
        <w:pStyle w:val="Fundamentos"/>
        <w:rPr>
          <w:rFonts w:ascii="Calibri" w:hAnsi="Calibri"/>
          <w:lang w:val="es-MX"/>
        </w:rPr>
      </w:pPr>
      <w:r w:rsidRPr="004547CA">
        <w:rPr>
          <w:lang w:val="es-MX"/>
        </w:rPr>
        <w:t>II. Pueda menoscabar la conducción de las negociaciones y relaciones internacionales; </w:t>
      </w:r>
    </w:p>
    <w:p w14:paraId="58CC94F9" w14:textId="77777777" w:rsidR="00B040E5" w:rsidRPr="004547CA" w:rsidRDefault="00B040E5" w:rsidP="00B040E5">
      <w:pPr>
        <w:pStyle w:val="Fundamentos"/>
        <w:rPr>
          <w:rFonts w:ascii="Calibri" w:hAnsi="Calibri"/>
          <w:lang w:val="es-MX"/>
        </w:rPr>
      </w:pPr>
      <w:r w:rsidRPr="004547CA">
        <w:rPr>
          <w:lang w:val="es-MX"/>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3B7BEC5A" w14:textId="77777777" w:rsidR="00B040E5" w:rsidRPr="004547CA" w:rsidRDefault="00B040E5" w:rsidP="00B040E5">
      <w:pPr>
        <w:pStyle w:val="Fundamentos"/>
        <w:rPr>
          <w:rFonts w:ascii="Calibri" w:hAnsi="Calibri"/>
          <w:lang w:val="es-MX"/>
        </w:rPr>
      </w:pPr>
      <w:r w:rsidRPr="004547CA">
        <w:rPr>
          <w:lang w:val="es-MX"/>
        </w:rPr>
        <w:t>IV. Ponga en riesgo la vida, la seguridad o la salud de una persona física; </w:t>
      </w:r>
    </w:p>
    <w:p w14:paraId="1C2705A6" w14:textId="77777777" w:rsidR="00B040E5" w:rsidRPr="004547CA" w:rsidRDefault="00B040E5" w:rsidP="00B040E5">
      <w:pPr>
        <w:pStyle w:val="Fundamentos"/>
        <w:rPr>
          <w:rFonts w:ascii="Calibri" w:hAnsi="Calibri"/>
          <w:lang w:val="es-MX"/>
        </w:rPr>
      </w:pPr>
      <w:r w:rsidRPr="004547CA">
        <w:rPr>
          <w:lang w:val="es-MX"/>
        </w:rPr>
        <w:t>V. Aquella cuya divulgación obstruya o pueda causar un serio perjuicio a: </w:t>
      </w:r>
    </w:p>
    <w:p w14:paraId="201079B0" w14:textId="77777777" w:rsidR="00B040E5" w:rsidRPr="004547CA" w:rsidRDefault="00B040E5" w:rsidP="00B040E5">
      <w:pPr>
        <w:pStyle w:val="Fundamentos"/>
        <w:rPr>
          <w:rFonts w:ascii="Calibri" w:hAnsi="Calibri"/>
          <w:lang w:val="es-MX"/>
        </w:rPr>
      </w:pPr>
      <w:bookmarkStart w:id="2" w:name="_heading=h.35nkun2" w:colFirst="0" w:colLast="0"/>
      <w:bookmarkEnd w:id="2"/>
      <w:r w:rsidRPr="004547CA">
        <w:rPr>
          <w:lang w:val="es-MX"/>
        </w:rPr>
        <w:t>1. Las actividades de fiscalización, verificación, inspección, comprobación y auditoría sobre el cumplimiento de las Leyes; o </w:t>
      </w:r>
    </w:p>
    <w:p w14:paraId="33191A3F" w14:textId="77777777" w:rsidR="00B040E5" w:rsidRPr="004547CA" w:rsidRDefault="00B040E5" w:rsidP="00B040E5">
      <w:pPr>
        <w:pStyle w:val="Fundamentos"/>
        <w:rPr>
          <w:rFonts w:ascii="Calibri" w:hAnsi="Calibri"/>
          <w:lang w:val="es-MX"/>
        </w:rPr>
      </w:pPr>
      <w:r w:rsidRPr="004547CA">
        <w:rPr>
          <w:lang w:val="es-MX"/>
        </w:rPr>
        <w:t>2. La recaudación de las contribuciones. </w:t>
      </w:r>
    </w:p>
    <w:p w14:paraId="6510BD66" w14:textId="77777777" w:rsidR="00B040E5" w:rsidRPr="004547CA" w:rsidRDefault="00B040E5" w:rsidP="00B040E5">
      <w:pPr>
        <w:pStyle w:val="Fundamentos"/>
        <w:rPr>
          <w:rFonts w:ascii="Calibri" w:hAnsi="Calibri"/>
          <w:lang w:val="es-MX"/>
        </w:rPr>
      </w:pPr>
      <w:r w:rsidRPr="004547CA">
        <w:rPr>
          <w:lang w:val="es-MX"/>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E3EDC14" w14:textId="77777777" w:rsidR="00B040E5" w:rsidRPr="004547CA" w:rsidRDefault="00B040E5" w:rsidP="00B040E5">
      <w:pPr>
        <w:pStyle w:val="Fundamentos"/>
        <w:rPr>
          <w:rFonts w:ascii="Calibri" w:hAnsi="Calibri"/>
          <w:lang w:val="es-MX"/>
        </w:rPr>
      </w:pPr>
      <w:r w:rsidRPr="004547CA">
        <w:rPr>
          <w:lang w:val="es-MX"/>
        </w:rPr>
        <w:t>VII. La que contengan las opiniones, recomendaciones o puntos de vista que formen parte del proceso deliberativo de los servidores públicos, hasta en tanto sea adoptada la decisión definitiva, la cual deberá estar documentada; </w:t>
      </w:r>
    </w:p>
    <w:p w14:paraId="5C8DC5ED" w14:textId="77777777" w:rsidR="00B040E5" w:rsidRPr="004547CA" w:rsidRDefault="00B040E5" w:rsidP="00B040E5">
      <w:pPr>
        <w:pStyle w:val="Fundamentos"/>
        <w:rPr>
          <w:rFonts w:ascii="Calibri" w:hAnsi="Calibri"/>
          <w:lang w:val="es-MX"/>
        </w:rPr>
      </w:pPr>
      <w:r w:rsidRPr="004547CA">
        <w:rPr>
          <w:lang w:val="es-MX"/>
        </w:rPr>
        <w:t>VIII. Vulnere la conducción de los expedientes judiciales o de los procedimientos administrativos seguidos en forma de juicio, en tanto no hayan quedado firmes; </w:t>
      </w:r>
    </w:p>
    <w:p w14:paraId="45EF0D0F" w14:textId="77777777" w:rsidR="00B040E5" w:rsidRPr="004547CA" w:rsidRDefault="00B040E5" w:rsidP="00B040E5">
      <w:pPr>
        <w:pStyle w:val="Fundamentos"/>
        <w:rPr>
          <w:rFonts w:ascii="Calibri" w:hAnsi="Calibri"/>
          <w:lang w:val="es-MX"/>
        </w:rPr>
      </w:pPr>
      <w:r w:rsidRPr="004547CA">
        <w:rPr>
          <w:lang w:val="es-MX"/>
        </w:rPr>
        <w:t>IX. Se encuentre contenida dentro de las investigaciones de hechos que la Ley señale como delitos y se tramiten ante el Ministerio Público; </w:t>
      </w:r>
    </w:p>
    <w:p w14:paraId="7ED4CADE" w14:textId="77777777" w:rsidR="00B040E5" w:rsidRPr="004547CA" w:rsidRDefault="00B040E5" w:rsidP="00B040E5">
      <w:pPr>
        <w:pStyle w:val="Fundamentos"/>
        <w:rPr>
          <w:rFonts w:ascii="Calibri" w:hAnsi="Calibri"/>
          <w:lang w:val="es-MX"/>
        </w:rPr>
      </w:pPr>
      <w:r w:rsidRPr="004547CA">
        <w:rPr>
          <w:lang w:val="es-MX"/>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44779F5C" w14:textId="77777777" w:rsidR="00B040E5" w:rsidRPr="004547CA" w:rsidRDefault="00B040E5" w:rsidP="00B040E5">
      <w:pPr>
        <w:pStyle w:val="Fundamentos"/>
        <w:rPr>
          <w:rFonts w:ascii="Calibri" w:hAnsi="Calibri"/>
          <w:lang w:val="es-MX"/>
        </w:rPr>
      </w:pPr>
      <w:r w:rsidRPr="004547CA">
        <w:rPr>
          <w:lang w:val="es-MX"/>
        </w:rPr>
        <w:t xml:space="preserve">Cuando se trate de información sobre estudios y proyectos cuya divulgación pueda causar daños al interés del Estado o suponga un riesgo para su realización, siempre que esté </w:t>
      </w:r>
      <w:r w:rsidRPr="004547CA">
        <w:rPr>
          <w:lang w:val="es-MX"/>
        </w:rPr>
        <w:lastRenderedPageBreak/>
        <w:t>directamente relacionado con procesos o procedimientos administrativos o judiciales que no hayan quedado firmes; y </w:t>
      </w:r>
    </w:p>
    <w:p w14:paraId="3C2957E0" w14:textId="77777777" w:rsidR="00B040E5" w:rsidRPr="004547CA" w:rsidRDefault="00B040E5" w:rsidP="00B040E5">
      <w:pPr>
        <w:pStyle w:val="Fundamentos"/>
        <w:rPr>
          <w:lang w:val="es-MX"/>
        </w:rPr>
      </w:pPr>
      <w:r w:rsidRPr="004547CA">
        <w:rPr>
          <w:lang w:val="es-MX"/>
        </w:rPr>
        <w:t xml:space="preserve">XI. Las que por disposición expresa de una ley tengan tal carácter, siempre que sean acordes con las bases, principios y disposiciones establecidos en esta Ley y no la contravengan; así como las previstas en tratados internacionales.” </w:t>
      </w:r>
    </w:p>
    <w:p w14:paraId="191D02D8" w14:textId="77777777" w:rsidR="00B040E5" w:rsidRPr="004547CA" w:rsidRDefault="00B040E5" w:rsidP="00B040E5">
      <w:pPr>
        <w:pBdr>
          <w:top w:val="nil"/>
          <w:left w:val="nil"/>
          <w:bottom w:val="nil"/>
          <w:right w:val="nil"/>
          <w:between w:val="nil"/>
        </w:pBdr>
        <w:spacing w:line="276" w:lineRule="auto"/>
        <w:ind w:left="851" w:right="851"/>
        <w:rPr>
          <w:rFonts w:eastAsia="Palatino Linotype" w:cs="Palatino Linotype"/>
          <w:szCs w:val="24"/>
          <w:lang w:val="es-MX"/>
        </w:rPr>
      </w:pPr>
    </w:p>
    <w:p w14:paraId="0902E37A"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r w:rsidRPr="004547CA">
        <w:rPr>
          <w:rFonts w:eastAsia="Palatino Linotype" w:cs="Palatino Linotype"/>
          <w:sz w:val="22"/>
          <w:lang w:val="es-MX"/>
        </w:rPr>
        <w:t xml:space="preserve">En </w:t>
      </w:r>
      <w:r w:rsidRPr="004547CA">
        <w:rPr>
          <w:rFonts w:eastAsia="Palatino Linotype" w:cs="Palatino Linotype"/>
          <w:szCs w:val="24"/>
          <w:lang w:val="es-MX"/>
        </w:rPr>
        <w:t xml:space="preserve">virtud de lo anterior, resulta competencia del </w:t>
      </w:r>
      <w:r w:rsidRPr="004547CA">
        <w:rPr>
          <w:rFonts w:eastAsia="Palatino Linotype" w:cs="Palatino Linotype"/>
          <w:b/>
          <w:szCs w:val="24"/>
          <w:lang w:val="es-MX"/>
        </w:rPr>
        <w:t xml:space="preserve">Sujeto Obligado </w:t>
      </w:r>
      <w:r w:rsidRPr="004547CA">
        <w:rPr>
          <w:rFonts w:eastAsia="Palatino Linotype" w:cs="Palatino Linotype"/>
          <w:szCs w:val="24"/>
          <w:lang w:val="es-MX"/>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4EDD6BFA" w14:textId="77777777" w:rsidR="00B040E5" w:rsidRPr="004547CA" w:rsidRDefault="00B040E5" w:rsidP="00B040E5">
      <w:pPr>
        <w:pBdr>
          <w:top w:val="nil"/>
          <w:left w:val="nil"/>
          <w:bottom w:val="nil"/>
          <w:right w:val="nil"/>
          <w:between w:val="nil"/>
        </w:pBdr>
        <w:rPr>
          <w:rFonts w:eastAsia="Palatino Linotype" w:cs="Palatino Linotype"/>
          <w:szCs w:val="24"/>
          <w:lang w:val="es-MX"/>
        </w:rPr>
      </w:pPr>
    </w:p>
    <w:p w14:paraId="1F84398D" w14:textId="77777777" w:rsidR="00B040E5" w:rsidRPr="004547CA" w:rsidRDefault="00B040E5" w:rsidP="00B040E5">
      <w:pPr>
        <w:pStyle w:val="Fundamentos"/>
        <w:rPr>
          <w:rFonts w:ascii="Calibri" w:hAnsi="Calibri"/>
          <w:lang w:val="es-MX"/>
        </w:rPr>
      </w:pPr>
      <w:r w:rsidRPr="004547CA">
        <w:rPr>
          <w:lang w:val="es-MX"/>
        </w:rPr>
        <w:t>“Artículo 142. Bajo ninguna circunstancia podrá invocarse el carácter de reservado cuando:</w:t>
      </w:r>
    </w:p>
    <w:p w14:paraId="2EA0A6FF" w14:textId="77777777" w:rsidR="00B040E5" w:rsidRPr="004547CA" w:rsidRDefault="00B040E5" w:rsidP="00B040E5">
      <w:pPr>
        <w:pStyle w:val="Fundamentos"/>
        <w:rPr>
          <w:rFonts w:ascii="Calibri" w:hAnsi="Calibri"/>
          <w:lang w:val="es-MX"/>
        </w:rPr>
      </w:pPr>
      <w:r w:rsidRPr="004547CA">
        <w:rPr>
          <w:lang w:val="es-MX"/>
        </w:rPr>
        <w:t> I. Se trate de violaciones graves de derechos humanos, calificada así por autoridad competente; </w:t>
      </w:r>
    </w:p>
    <w:p w14:paraId="64335722" w14:textId="77777777" w:rsidR="00B040E5" w:rsidRPr="004547CA" w:rsidRDefault="00B040E5" w:rsidP="00B040E5">
      <w:pPr>
        <w:pStyle w:val="Fundamentos"/>
        <w:rPr>
          <w:rFonts w:ascii="Calibri" w:hAnsi="Calibri"/>
          <w:lang w:val="es-MX"/>
        </w:rPr>
      </w:pPr>
      <w:r w:rsidRPr="004547CA">
        <w:rPr>
          <w:lang w:val="es-MX"/>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20A28CAB" w14:textId="77777777" w:rsidR="00B040E5" w:rsidRPr="004547CA" w:rsidRDefault="00B040E5" w:rsidP="00B040E5">
      <w:pPr>
        <w:pStyle w:val="Fundamentos"/>
        <w:rPr>
          <w:rFonts w:ascii="Calibri" w:hAnsi="Calibri"/>
          <w:lang w:val="es-MX"/>
        </w:rPr>
      </w:pPr>
      <w:r w:rsidRPr="004547CA">
        <w:rPr>
          <w:lang w:val="es-MX"/>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16FB4361" w14:textId="77777777" w:rsidR="00B040E5" w:rsidRPr="00B040E5" w:rsidRDefault="00B040E5" w:rsidP="00B040E5">
      <w:pPr>
        <w:pStyle w:val="Fundamentos"/>
        <w:rPr>
          <w:lang w:val="es-MX"/>
        </w:rPr>
      </w:pPr>
      <w:r w:rsidRPr="004547CA">
        <w:rPr>
          <w:lang w:val="es-MX"/>
        </w:rPr>
        <w:t>IV. Se trate de información relacionada con actos de corrupción de conformidad con las disposiciones jurídicas aplicables.”</w:t>
      </w:r>
      <w:r w:rsidRPr="00B040E5">
        <w:rPr>
          <w:lang w:val="es-MX"/>
        </w:rPr>
        <w:t xml:space="preserve"> </w:t>
      </w:r>
    </w:p>
    <w:p w14:paraId="6B46EC0A" w14:textId="77777777" w:rsidR="0004710C" w:rsidRDefault="0004710C" w:rsidP="00CE34FE"/>
    <w:p w14:paraId="07B920B4" w14:textId="72DF34DF"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D7D96">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FD038E">
        <w:rPr>
          <w:rFonts w:eastAsia="Palatino Linotype" w:cs="Palatino Linotype"/>
          <w:b/>
          <w:bCs/>
          <w:color w:val="000000"/>
          <w:szCs w:val="24"/>
        </w:rPr>
        <w:t>00561/SF/IP/2024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Pr="00D623F7" w:rsidRDefault="00454915" w:rsidP="008F50E6">
      <w:pPr>
        <w:rPr>
          <w:sz w:val="22"/>
          <w:szCs w:val="21"/>
        </w:rPr>
      </w:pPr>
    </w:p>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D623F7" w:rsidRDefault="00581587" w:rsidP="00581587">
      <w:pPr>
        <w:pBdr>
          <w:top w:val="nil"/>
          <w:left w:val="nil"/>
          <w:bottom w:val="nil"/>
          <w:right w:val="nil"/>
          <w:between w:val="nil"/>
        </w:pBdr>
        <w:rPr>
          <w:rFonts w:eastAsia="Palatino Linotype" w:cs="Palatino Linotype"/>
          <w:b/>
          <w:color w:val="000000"/>
          <w:sz w:val="22"/>
        </w:rPr>
      </w:pPr>
    </w:p>
    <w:p w14:paraId="2E76CA1A" w14:textId="7BF9187D"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FD038E">
        <w:rPr>
          <w:rFonts w:eastAsia="Palatino Linotype" w:cs="Palatino Linotype"/>
          <w:b/>
          <w:bCs/>
          <w:color w:val="000000" w:themeColor="text1"/>
        </w:rPr>
        <w:t>00561/SF/IP/2024</w:t>
      </w:r>
      <w:r w:rsidRPr="7A2C2CA2">
        <w:rPr>
          <w:rFonts w:eastAsia="Palatino Linotype" w:cs="Palatino Linotype"/>
          <w:color w:val="000000" w:themeColor="text1"/>
        </w:rPr>
        <w:t xml:space="preserve">, por resultar fundados los motivos de inconformidad argüidos por </w:t>
      </w:r>
      <w:r w:rsidR="00A537DC">
        <w:rPr>
          <w:rFonts w:eastAsia="Palatino Linotype" w:cs="Palatino Linotype"/>
          <w:color w:val="000000" w:themeColor="text1"/>
        </w:rPr>
        <w:t>el</w:t>
      </w:r>
      <w:r w:rsidRPr="7A2C2CA2">
        <w:rPr>
          <w:rFonts w:eastAsia="Palatino Linotype" w:cs="Palatino Linotype"/>
          <w:color w:val="000000" w:themeColor="text1"/>
        </w:rPr>
        <w:t xml:space="preserve"> Recurrente, en términos del</w:t>
      </w:r>
      <w:r w:rsidRPr="7A2C2CA2">
        <w:rPr>
          <w:rFonts w:eastAsia="Palatino Linotype" w:cs="Palatino Linotype"/>
          <w:b/>
          <w:bCs/>
          <w:color w:val="000000" w:themeColor="text1"/>
        </w:rPr>
        <w:t xml:space="preserve"> Considerando </w:t>
      </w:r>
      <w:r w:rsidR="00CF426A">
        <w:rPr>
          <w:rFonts w:eastAsia="Palatino Linotype" w:cs="Palatino Linotype"/>
          <w:b/>
          <w:bCs/>
          <w:color w:val="000000" w:themeColor="text1"/>
        </w:rPr>
        <w:t>CUAR</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2E1266E6"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 xml:space="preserve">al Sujeto Obligado que </w:t>
      </w:r>
      <w:r w:rsidR="008F3C6D">
        <w:rPr>
          <w:rFonts w:eastAsia="Palatino Linotype" w:cs="Palatino Linotype"/>
          <w:color w:val="000000"/>
          <w:szCs w:val="24"/>
        </w:rPr>
        <w:t>realice</w:t>
      </w:r>
      <w:r w:rsidR="006451AD">
        <w:rPr>
          <w:rFonts w:eastAsia="Palatino Linotype" w:cs="Palatino Linotype"/>
          <w:color w:val="000000"/>
          <w:szCs w:val="24"/>
        </w:rPr>
        <w:t xml:space="preserve"> una búsqueda exhaustiva y razonable en los archivos de todas las áreas que se consideren competentes con </w:t>
      </w:r>
      <w:r w:rsidR="008F3C6D">
        <w:rPr>
          <w:rFonts w:eastAsia="Palatino Linotype" w:cs="Palatino Linotype"/>
          <w:color w:val="000000"/>
          <w:szCs w:val="24"/>
        </w:rPr>
        <w:t>el propósito</w:t>
      </w:r>
      <w:r w:rsidR="006451AD">
        <w:rPr>
          <w:rFonts w:eastAsia="Palatino Linotype" w:cs="Palatino Linotype"/>
          <w:color w:val="000000"/>
          <w:szCs w:val="24"/>
        </w:rPr>
        <w:t xml:space="preserve"> de que se </w:t>
      </w:r>
      <w:r w:rsidR="007501B9" w:rsidRPr="003F3F63">
        <w:rPr>
          <w:rFonts w:eastAsia="Palatino Linotype" w:cs="Palatino Linotype"/>
          <w:color w:val="000000"/>
          <w:szCs w:val="24"/>
        </w:rPr>
        <w:t>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F3545C">
        <w:rPr>
          <w:rFonts w:eastAsia="Palatino Linotype" w:cs="Palatino Linotype"/>
          <w:color w:val="000000"/>
          <w:szCs w:val="24"/>
        </w:rPr>
        <w:t>, en versión pública de ser procedente</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AB5828">
        <w:rPr>
          <w:rFonts w:eastAsia="Palatino Linotype" w:cs="Palatino Linotype"/>
          <w:b/>
          <w:color w:val="000000"/>
          <w:szCs w:val="24"/>
        </w:rPr>
        <w:t>CUAR</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121D779E" w:rsidR="00581587" w:rsidRPr="00884919" w:rsidRDefault="26006269" w:rsidP="26006269">
      <w:pPr>
        <w:numPr>
          <w:ilvl w:val="0"/>
          <w:numId w:val="2"/>
        </w:numPr>
        <w:pBdr>
          <w:top w:val="nil"/>
          <w:left w:val="nil"/>
          <w:bottom w:val="nil"/>
          <w:right w:val="nil"/>
          <w:between w:val="nil"/>
        </w:pBdr>
        <w:spacing w:line="240" w:lineRule="auto"/>
        <w:rPr>
          <w:rFonts w:eastAsia="Palatino Linotype" w:cs="Palatino Linotype"/>
          <w:i/>
          <w:iCs/>
          <w:color w:val="000000"/>
          <w:lang w:val="es-ES"/>
        </w:rPr>
      </w:pPr>
      <w:r w:rsidRPr="26006269">
        <w:rPr>
          <w:rFonts w:eastAsia="Palatino Linotype" w:cs="Palatino Linotype"/>
          <w:i/>
          <w:iCs/>
          <w:color w:val="000000" w:themeColor="text1"/>
          <w:lang w:val="es-ES"/>
        </w:rPr>
        <w:t>Las actas entrega recepción de todas las áreas de la Secretaría de Finanzas que se hayan generado a raíz del cambio de la administración pública estatal del año dos mil veintitrés, comprendiendo el periodo del dieciséis de septiembre de dos mil veintitrés al veintiocho de agosto de dos mil veinticuatro.</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35D84A47" w14:textId="7B4035DD" w:rsidR="00671145" w:rsidRDefault="00671145" w:rsidP="00671145">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De ser necesario, </w:t>
      </w:r>
      <w:r w:rsidR="00272EE4">
        <w:rPr>
          <w:rFonts w:eastAsia="Palatino Linotype" w:cs="Palatino Linotype"/>
          <w:color w:val="000000"/>
          <w:szCs w:val="24"/>
        </w:rPr>
        <w:t xml:space="preserve">como sustento de la </w:t>
      </w:r>
      <w:r w:rsidRPr="001353D5">
        <w:rPr>
          <w:rFonts w:eastAsia="Palatino Linotype" w:cs="Palatino Linotype"/>
          <w:color w:val="000000"/>
          <w:szCs w:val="24"/>
        </w:rPr>
        <w:t xml:space="preserve">versión pública </w:t>
      </w:r>
      <w:r w:rsidR="00272EE4">
        <w:rPr>
          <w:rFonts w:eastAsia="Palatino Linotype" w:cs="Palatino Linotype"/>
          <w:color w:val="000000"/>
          <w:szCs w:val="24"/>
        </w:rPr>
        <w:t xml:space="preserve">se </w:t>
      </w:r>
      <w:r w:rsidRPr="001353D5">
        <w:rPr>
          <w:rFonts w:eastAsia="Palatino Linotype" w:cs="Palatino Linotype"/>
          <w:color w:val="000000"/>
          <w:szCs w:val="24"/>
        </w:rPr>
        <w:t xml:space="preserve">deberá emitir el Acuerdo del Comité de Transparencia en términos de los artículos 49, fracción VIII y 132 fracción II de la Ley de Transparencia y Acceso a la Información Pública del Estado de México y </w:t>
      </w:r>
      <w:r w:rsidRPr="001353D5">
        <w:rPr>
          <w:rFonts w:eastAsia="Palatino Linotype" w:cs="Palatino Linotype"/>
          <w:color w:val="000000"/>
          <w:szCs w:val="24"/>
        </w:rPr>
        <w:lastRenderedPageBreak/>
        <w:t>Municipios, en el que funde y motive las razones sobre los datos que se supriman o eliminen y se ponga a disposición del Recurrente.</w:t>
      </w:r>
    </w:p>
    <w:p w14:paraId="68BD00E5" w14:textId="77777777" w:rsidR="00671145" w:rsidRDefault="00671145"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325BCB">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Default="00454915" w:rsidP="008F50E6"/>
    <w:p w14:paraId="279420FA" w14:textId="2BE15CF2" w:rsidR="008D4F1C" w:rsidRDefault="005A45B1" w:rsidP="00264BD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4141D3">
        <w:rPr>
          <w:rFonts w:eastAsia="Palatino Linotype" w:cs="Palatino Linotype"/>
          <w:color w:val="000000"/>
          <w:szCs w:val="24"/>
        </w:rPr>
        <w:t xml:space="preserve">(EMITIENDO VOTO PARTICULAR)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62856">
        <w:rPr>
          <w:rFonts w:eastAsia="Palatino Linotype" w:cs="Palatino Linotype"/>
          <w:color w:val="000000"/>
          <w:szCs w:val="24"/>
        </w:rPr>
        <w:t>CUADRAGÉSIMA</w:t>
      </w:r>
      <w:r w:rsidR="004547CA">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62856">
        <w:rPr>
          <w:rFonts w:eastAsia="Palatino Linotype" w:cs="Palatino Linotype"/>
          <w:color w:val="000000"/>
          <w:szCs w:val="24"/>
        </w:rPr>
        <w:t>VEINTIUNO</w:t>
      </w:r>
      <w:r w:rsidR="00A04F05">
        <w:rPr>
          <w:rFonts w:eastAsia="Palatino Linotype" w:cs="Palatino Linotype"/>
          <w:color w:val="000000"/>
          <w:szCs w:val="24"/>
        </w:rPr>
        <w:t xml:space="preserve">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337FA1">
        <w:rPr>
          <w:rFonts w:eastAsia="Palatino Linotype" w:cs="Palatino Linotype"/>
          <w:color w:val="000000"/>
          <w:szCs w:val="24"/>
        </w:rPr>
        <w:t>---------------</w:t>
      </w:r>
      <w:r w:rsidR="00264BD8">
        <w:rPr>
          <w:rFonts w:eastAsia="Palatino Linotype" w:cs="Palatino Linotype"/>
          <w:color w:val="000000"/>
          <w:szCs w:val="24"/>
        </w:rPr>
        <w:t>------------------------------------------------------------------------------------------------------------------------------------------------</w:t>
      </w:r>
      <w:r w:rsidR="00B040E5">
        <w:rPr>
          <w:rFonts w:eastAsia="Palatino Linotype" w:cs="Palatino Linotype"/>
          <w:color w:val="000000"/>
          <w:szCs w:val="24"/>
        </w:rPr>
        <w:t>----------------------------------------------------------------------------------------------------------------------------------------------------------------------------------------------------------------------------------------------------------------------------------------------------------------------------------------------------------------------------------------------------------------------------------------------------------------------------------------------------------------------------------------------------------------------------------------------------------------------------------------------------------------------------------------------------------------------------------------------------------------------------------------------------------------------------------------------------------------------------------------------------------------------------------------------------------------------------------------------------------------------------------------------------------------------------------------------------------------------------------------------------</w:t>
      </w:r>
    </w:p>
    <w:p w14:paraId="4DA57669" w14:textId="20924CAC" w:rsidR="00A970D5" w:rsidRPr="004B7011"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089C" w14:textId="77777777" w:rsidR="00CA4359" w:rsidRDefault="00CA4359" w:rsidP="00F2498E">
      <w:pPr>
        <w:spacing w:line="240" w:lineRule="auto"/>
      </w:pPr>
      <w:r>
        <w:separator/>
      </w:r>
    </w:p>
  </w:endnote>
  <w:endnote w:type="continuationSeparator" w:id="0">
    <w:p w14:paraId="7171560E" w14:textId="77777777" w:rsidR="00CA4359" w:rsidRDefault="00CA4359" w:rsidP="00F2498E">
      <w:pPr>
        <w:spacing w:line="240" w:lineRule="auto"/>
      </w:pPr>
      <w:r>
        <w:continuationSeparator/>
      </w:r>
    </w:p>
  </w:endnote>
  <w:endnote w:type="continuationNotice" w:id="1">
    <w:p w14:paraId="11B40960" w14:textId="77777777" w:rsidR="00CA4359" w:rsidRDefault="00CA43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26121">
      <w:rPr>
        <w:rFonts w:ascii="Palatino Linotype" w:hAnsi="Palatino Linotype"/>
        <w:b/>
        <w:bCs/>
        <w:noProof/>
        <w:sz w:val="20"/>
      </w:rPr>
      <w:t>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26121">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2612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26121">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B800E" w14:textId="77777777" w:rsidR="00CA4359" w:rsidRDefault="00CA4359" w:rsidP="00F2498E">
      <w:pPr>
        <w:spacing w:line="240" w:lineRule="auto"/>
      </w:pPr>
      <w:r>
        <w:separator/>
      </w:r>
    </w:p>
  </w:footnote>
  <w:footnote w:type="continuationSeparator" w:id="0">
    <w:p w14:paraId="524D0330" w14:textId="77777777" w:rsidR="00CA4359" w:rsidRDefault="00CA4359" w:rsidP="00F2498E">
      <w:pPr>
        <w:spacing w:line="240" w:lineRule="auto"/>
      </w:pPr>
      <w:r>
        <w:continuationSeparator/>
      </w:r>
    </w:p>
  </w:footnote>
  <w:footnote w:type="continuationNotice" w:id="1">
    <w:p w14:paraId="231CDF0B" w14:textId="77777777" w:rsidR="00CA4359" w:rsidRDefault="00CA4359">
      <w:pPr>
        <w:spacing w:line="240" w:lineRule="auto"/>
      </w:pPr>
    </w:p>
  </w:footnote>
  <w:footnote w:id="2">
    <w:p w14:paraId="2BCE50A0"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451AD" w:rsidRPr="0031280C" w:rsidRDefault="006451AD"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451AD" w:rsidRPr="0031280C" w:rsidRDefault="006451AD"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451AD" w:rsidRDefault="00C26121">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rsidRPr="00B17577" w14:paraId="37B9EBDE" w14:textId="77777777" w:rsidTr="003938ED">
      <w:trPr>
        <w:trHeight w:val="227"/>
      </w:trPr>
      <w:tc>
        <w:tcPr>
          <w:tcW w:w="5103" w:type="dxa"/>
          <w:hideMark/>
        </w:tcPr>
        <w:p w14:paraId="4964FBC5" w14:textId="54CDA645" w:rsidR="006451AD" w:rsidRPr="00096248" w:rsidRDefault="006451A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8847925" w:rsidR="006451AD" w:rsidRPr="00096248" w:rsidRDefault="00DC4579" w:rsidP="00011C4D">
          <w:pPr>
            <w:spacing w:after="120" w:line="240" w:lineRule="auto"/>
            <w:ind w:right="71"/>
            <w:jc w:val="right"/>
            <w:rPr>
              <w:rFonts w:cs="Arial"/>
              <w:b/>
              <w:szCs w:val="24"/>
            </w:rPr>
          </w:pPr>
          <w:r>
            <w:rPr>
              <w:rFonts w:cs="Arial"/>
              <w:b/>
              <w:bCs/>
              <w:szCs w:val="24"/>
            </w:rPr>
            <w:t>06060/INFOEM/IP/RR/2024</w:t>
          </w:r>
        </w:p>
      </w:tc>
    </w:tr>
    <w:tr w:rsidR="006451AD" w14:paraId="7591D3C9" w14:textId="77777777" w:rsidTr="003938ED">
      <w:trPr>
        <w:trHeight w:val="242"/>
      </w:trPr>
      <w:tc>
        <w:tcPr>
          <w:tcW w:w="5103" w:type="dxa"/>
          <w:hideMark/>
        </w:tcPr>
        <w:p w14:paraId="729A65A8" w14:textId="77777777" w:rsidR="006451AD" w:rsidRPr="00096248" w:rsidRDefault="006451A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6CF8433" w:rsidR="006451AD" w:rsidRPr="00096248" w:rsidRDefault="00360B25" w:rsidP="00011C4D">
          <w:pPr>
            <w:spacing w:after="120" w:line="240" w:lineRule="auto"/>
            <w:ind w:left="-81" w:right="71"/>
            <w:jc w:val="right"/>
            <w:rPr>
              <w:rFonts w:cs="Arial"/>
              <w:szCs w:val="24"/>
            </w:rPr>
          </w:pPr>
          <w:r w:rsidRPr="00360B25">
            <w:rPr>
              <w:rFonts w:cs="Arial"/>
              <w:szCs w:val="24"/>
            </w:rPr>
            <w:t>Secretaría de Finanzas</w:t>
          </w:r>
        </w:p>
      </w:tc>
    </w:tr>
    <w:tr w:rsidR="006451AD" w:rsidRPr="00F63239" w14:paraId="037E914D" w14:textId="77777777" w:rsidTr="003938ED">
      <w:trPr>
        <w:trHeight w:val="342"/>
      </w:trPr>
      <w:tc>
        <w:tcPr>
          <w:tcW w:w="5103" w:type="dxa"/>
          <w:hideMark/>
        </w:tcPr>
        <w:p w14:paraId="7676B68F" w14:textId="64D69EAF" w:rsidR="006451AD" w:rsidRPr="00096248" w:rsidRDefault="006451A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451AD" w:rsidRDefault="006451A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451AD" w:rsidRPr="00711916" w:rsidRDefault="006451AD" w:rsidP="00011C4D">
          <w:pPr>
            <w:spacing w:after="120" w:line="240" w:lineRule="auto"/>
            <w:ind w:left="-486" w:right="71" w:firstLine="567"/>
            <w:jc w:val="right"/>
            <w:rPr>
              <w:rFonts w:cs="Arial"/>
              <w:sz w:val="2"/>
              <w:szCs w:val="2"/>
            </w:rPr>
          </w:pPr>
        </w:p>
      </w:tc>
    </w:tr>
  </w:tbl>
  <w:p w14:paraId="2998DBFD" w14:textId="25A9F426" w:rsidR="006451AD" w:rsidRPr="00871A91" w:rsidRDefault="00C26121">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95pt;margin-top:-143.1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14:paraId="0F9FE9B6" w14:textId="77777777" w:rsidTr="70652167">
      <w:trPr>
        <w:trHeight w:val="227"/>
      </w:trPr>
      <w:tc>
        <w:tcPr>
          <w:tcW w:w="5103" w:type="dxa"/>
          <w:hideMark/>
        </w:tcPr>
        <w:p w14:paraId="6D1D9D71" w14:textId="4D6D7B43" w:rsidR="006451AD" w:rsidRPr="00663A37" w:rsidRDefault="006451AD"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BDADED9" w:rsidR="006451AD" w:rsidRPr="00C81ECD" w:rsidRDefault="00DC4579" w:rsidP="00313752">
          <w:pPr>
            <w:spacing w:after="120" w:line="240" w:lineRule="auto"/>
            <w:ind w:left="-486" w:firstLine="558"/>
            <w:jc w:val="right"/>
            <w:rPr>
              <w:rFonts w:cs="Arial"/>
              <w:b/>
              <w:szCs w:val="24"/>
            </w:rPr>
          </w:pPr>
          <w:r>
            <w:rPr>
              <w:rFonts w:cs="Arial"/>
              <w:b/>
              <w:bCs/>
              <w:szCs w:val="24"/>
            </w:rPr>
            <w:t>06060/INFOEM/IP/RR/2024</w:t>
          </w:r>
        </w:p>
      </w:tc>
    </w:tr>
    <w:tr w:rsidR="006451AD" w:rsidRPr="001F57CD" w14:paraId="1377D264" w14:textId="77777777" w:rsidTr="70652167">
      <w:trPr>
        <w:trHeight w:val="196"/>
      </w:trPr>
      <w:tc>
        <w:tcPr>
          <w:tcW w:w="5103" w:type="dxa"/>
          <w:hideMark/>
        </w:tcPr>
        <w:p w14:paraId="04D597A1" w14:textId="77777777" w:rsidR="006451AD" w:rsidRPr="00663A37" w:rsidRDefault="006451AD"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20A90DD3" w:rsidR="006451AD" w:rsidRPr="00663A37" w:rsidRDefault="00C26121" w:rsidP="00313752">
          <w:pPr>
            <w:spacing w:after="120" w:line="240" w:lineRule="auto"/>
            <w:jc w:val="right"/>
            <w:rPr>
              <w:rFonts w:cs="Arial"/>
              <w:lang w:val="es-ES"/>
            </w:rPr>
          </w:pPr>
          <w:r>
            <w:rPr>
              <w:rFonts w:cs="Arial"/>
              <w:lang w:val="es-ES"/>
            </w:rPr>
            <w:t>XXXXXXXXXXXXXXXXXXXX</w:t>
          </w:r>
        </w:p>
      </w:tc>
    </w:tr>
    <w:tr w:rsidR="006451AD" w14:paraId="4DC11993" w14:textId="77777777" w:rsidTr="70652167">
      <w:trPr>
        <w:trHeight w:val="242"/>
      </w:trPr>
      <w:tc>
        <w:tcPr>
          <w:tcW w:w="5103" w:type="dxa"/>
          <w:hideMark/>
        </w:tcPr>
        <w:p w14:paraId="76CEF1B5" w14:textId="77777777" w:rsidR="006451AD" w:rsidRPr="00663A37" w:rsidRDefault="006451AD"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477F926C" w:rsidR="006451AD" w:rsidRPr="00663A37" w:rsidRDefault="00360B25" w:rsidP="00313752">
          <w:pPr>
            <w:spacing w:after="120" w:line="240" w:lineRule="auto"/>
            <w:ind w:left="-70"/>
            <w:jc w:val="right"/>
            <w:rPr>
              <w:rFonts w:cs="Arial"/>
              <w:szCs w:val="24"/>
            </w:rPr>
          </w:pPr>
          <w:r w:rsidRPr="00360B25">
            <w:rPr>
              <w:rFonts w:cs="Arial"/>
              <w:szCs w:val="24"/>
            </w:rPr>
            <w:t>Secretaría de Finanzas</w:t>
          </w:r>
        </w:p>
      </w:tc>
    </w:tr>
    <w:tr w:rsidR="006451AD" w14:paraId="5C2B511D" w14:textId="77777777" w:rsidTr="70652167">
      <w:trPr>
        <w:trHeight w:val="342"/>
      </w:trPr>
      <w:tc>
        <w:tcPr>
          <w:tcW w:w="5103" w:type="dxa"/>
          <w:hideMark/>
        </w:tcPr>
        <w:p w14:paraId="03FEF68C" w14:textId="45E91CF4" w:rsidR="006451AD" w:rsidRPr="00663A37" w:rsidRDefault="006451AD"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6451AD" w:rsidRPr="00663A37" w:rsidRDefault="006451AD"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6451AD" w:rsidRPr="00871A91" w:rsidRDefault="00C26121">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95pt;margin-top:-143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1E1"/>
    <w:multiLevelType w:val="multilevel"/>
    <w:tmpl w:val="6E623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1C16"/>
    <w:multiLevelType w:val="multilevel"/>
    <w:tmpl w:val="BB52E21A"/>
    <w:styleLink w:val="Listaactual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C57DBE"/>
    <w:multiLevelType w:val="multilevel"/>
    <w:tmpl w:val="7996C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A22E39"/>
    <w:multiLevelType w:val="multilevel"/>
    <w:tmpl w:val="BC385170"/>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272EAA"/>
    <w:multiLevelType w:val="multilevel"/>
    <w:tmpl w:val="2E9C64FC"/>
    <w:styleLink w:val="Listaactual34"/>
    <w:lvl w:ilvl="0">
      <w:start w:val="1"/>
      <w:numFmt w:val="upperRoman"/>
      <w:lvlText w:val="%1."/>
      <w:lvlJc w:val="right"/>
      <w:pPr>
        <w:ind w:left="709" w:hanging="425"/>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2D280FCD"/>
    <w:multiLevelType w:val="hybridMultilevel"/>
    <w:tmpl w:val="16D42FAC"/>
    <w:lvl w:ilvl="0" w:tplc="C0C02B7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EB1157"/>
    <w:multiLevelType w:val="multilevel"/>
    <w:tmpl w:val="CBCAB8D6"/>
    <w:styleLink w:val="Listaactual32"/>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2DC1680"/>
    <w:multiLevelType w:val="multilevel"/>
    <w:tmpl w:val="D2CC6FB8"/>
    <w:styleLink w:val="Listaactual33"/>
    <w:lvl w:ilvl="0">
      <w:start w:val="1"/>
      <w:numFmt w:val="upperRoman"/>
      <w:lvlText w:val="%1."/>
      <w:lvlJc w:val="left"/>
      <w:pPr>
        <w:ind w:left="1080" w:hanging="720"/>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2D15ED"/>
    <w:multiLevelType w:val="multilevel"/>
    <w:tmpl w:val="BC0CA5F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4DB61B5"/>
    <w:multiLevelType w:val="hybridMultilevel"/>
    <w:tmpl w:val="A0D0C30A"/>
    <w:lvl w:ilvl="0" w:tplc="92A2B422">
      <w:start w:val="1"/>
      <w:numFmt w:val="upperRoman"/>
      <w:lvlText w:val="%1."/>
      <w:lvlJc w:val="left"/>
      <w:pPr>
        <w:ind w:left="709" w:hanging="425"/>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685F5A46"/>
    <w:multiLevelType w:val="hybridMultilevel"/>
    <w:tmpl w:val="987EBE88"/>
    <w:lvl w:ilvl="0" w:tplc="F23C8DD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176612"/>
    <w:multiLevelType w:val="hybridMultilevel"/>
    <w:tmpl w:val="54ACBAD6"/>
    <w:lvl w:ilvl="0" w:tplc="2014FFE4">
      <w:start w:val="1"/>
      <w:numFmt w:val="decimal"/>
      <w:lvlText w:val="%1."/>
      <w:lvlJc w:val="left"/>
      <w:pPr>
        <w:ind w:left="709" w:hanging="42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5"/>
  </w:num>
  <w:num w:numId="3">
    <w:abstractNumId w:val="41"/>
  </w:num>
  <w:num w:numId="4">
    <w:abstractNumId w:val="17"/>
  </w:num>
  <w:num w:numId="5">
    <w:abstractNumId w:val="54"/>
  </w:num>
  <w:num w:numId="6">
    <w:abstractNumId w:val="7"/>
  </w:num>
  <w:num w:numId="7">
    <w:abstractNumId w:val="44"/>
  </w:num>
  <w:num w:numId="8">
    <w:abstractNumId w:val="14"/>
  </w:num>
  <w:num w:numId="9">
    <w:abstractNumId w:val="5"/>
  </w:num>
  <w:num w:numId="10">
    <w:abstractNumId w:val="24"/>
  </w:num>
  <w:num w:numId="11">
    <w:abstractNumId w:val="27"/>
  </w:num>
  <w:num w:numId="12">
    <w:abstractNumId w:val="58"/>
  </w:num>
  <w:num w:numId="13">
    <w:abstractNumId w:val="51"/>
  </w:num>
  <w:num w:numId="14">
    <w:abstractNumId w:val="34"/>
  </w:num>
  <w:num w:numId="15">
    <w:abstractNumId w:val="40"/>
  </w:num>
  <w:num w:numId="16">
    <w:abstractNumId w:val="21"/>
  </w:num>
  <w:num w:numId="17">
    <w:abstractNumId w:val="32"/>
  </w:num>
  <w:num w:numId="18">
    <w:abstractNumId w:val="19"/>
  </w:num>
  <w:num w:numId="19">
    <w:abstractNumId w:val="9"/>
  </w:num>
  <w:num w:numId="20">
    <w:abstractNumId w:val="10"/>
  </w:num>
  <w:num w:numId="21">
    <w:abstractNumId w:val="18"/>
  </w:num>
  <w:num w:numId="22">
    <w:abstractNumId w:val="29"/>
  </w:num>
  <w:num w:numId="23">
    <w:abstractNumId w:val="4"/>
  </w:num>
  <w:num w:numId="24">
    <w:abstractNumId w:val="37"/>
  </w:num>
  <w:num w:numId="25">
    <w:abstractNumId w:val="43"/>
  </w:num>
  <w:num w:numId="26">
    <w:abstractNumId w:val="53"/>
  </w:num>
  <w:num w:numId="27">
    <w:abstractNumId w:val="23"/>
  </w:num>
  <w:num w:numId="28">
    <w:abstractNumId w:val="11"/>
  </w:num>
  <w:num w:numId="29">
    <w:abstractNumId w:val="46"/>
  </w:num>
  <w:num w:numId="30">
    <w:abstractNumId w:val="30"/>
  </w:num>
  <w:num w:numId="31">
    <w:abstractNumId w:val="28"/>
  </w:num>
  <w:num w:numId="32">
    <w:abstractNumId w:val="20"/>
  </w:num>
  <w:num w:numId="33">
    <w:abstractNumId w:val="39"/>
  </w:num>
  <w:num w:numId="34">
    <w:abstractNumId w:val="42"/>
  </w:num>
  <w:num w:numId="35">
    <w:abstractNumId w:val="8"/>
  </w:num>
  <w:num w:numId="36">
    <w:abstractNumId w:val="56"/>
  </w:num>
  <w:num w:numId="37">
    <w:abstractNumId w:val="60"/>
  </w:num>
  <w:num w:numId="38">
    <w:abstractNumId w:val="50"/>
  </w:num>
  <w:num w:numId="39">
    <w:abstractNumId w:val="12"/>
  </w:num>
  <w:num w:numId="40">
    <w:abstractNumId w:val="48"/>
  </w:num>
  <w:num w:numId="41">
    <w:abstractNumId w:val="13"/>
  </w:num>
  <w:num w:numId="42">
    <w:abstractNumId w:val="45"/>
  </w:num>
  <w:num w:numId="43">
    <w:abstractNumId w:val="55"/>
  </w:num>
  <w:num w:numId="44">
    <w:abstractNumId w:val="1"/>
  </w:num>
  <w:num w:numId="45">
    <w:abstractNumId w:val="3"/>
  </w:num>
  <w:num w:numId="46">
    <w:abstractNumId w:val="31"/>
  </w:num>
  <w:num w:numId="47">
    <w:abstractNumId w:val="22"/>
  </w:num>
  <w:num w:numId="48">
    <w:abstractNumId w:val="59"/>
  </w:num>
  <w:num w:numId="49">
    <w:abstractNumId w:val="52"/>
  </w:num>
  <w:num w:numId="50">
    <w:abstractNumId w:val="25"/>
  </w:num>
  <w:num w:numId="51">
    <w:abstractNumId w:val="26"/>
  </w:num>
  <w:num w:numId="52">
    <w:abstractNumId w:val="2"/>
  </w:num>
  <w:num w:numId="53">
    <w:abstractNumId w:val="33"/>
  </w:num>
  <w:num w:numId="54">
    <w:abstractNumId w:val="49"/>
  </w:num>
  <w:num w:numId="55">
    <w:abstractNumId w:val="47"/>
  </w:num>
  <w:num w:numId="56">
    <w:abstractNumId w:val="36"/>
  </w:num>
  <w:num w:numId="57">
    <w:abstractNumId w:val="16"/>
  </w:num>
  <w:num w:numId="58">
    <w:abstractNumId w:val="0"/>
  </w:num>
  <w:num w:numId="59">
    <w:abstractNumId w:val="6"/>
  </w:num>
  <w:num w:numId="60">
    <w:abstractNumId w:val="38"/>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57A"/>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07DFE"/>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619"/>
    <w:rsid w:val="00031BA3"/>
    <w:rsid w:val="000325A7"/>
    <w:rsid w:val="00032686"/>
    <w:rsid w:val="0003268C"/>
    <w:rsid w:val="00032C99"/>
    <w:rsid w:val="00032FBE"/>
    <w:rsid w:val="00033089"/>
    <w:rsid w:val="00033336"/>
    <w:rsid w:val="00033479"/>
    <w:rsid w:val="00033562"/>
    <w:rsid w:val="000343A2"/>
    <w:rsid w:val="0003521B"/>
    <w:rsid w:val="00035558"/>
    <w:rsid w:val="0003577D"/>
    <w:rsid w:val="00035A30"/>
    <w:rsid w:val="0003692B"/>
    <w:rsid w:val="000369F1"/>
    <w:rsid w:val="00036D5F"/>
    <w:rsid w:val="00036EFC"/>
    <w:rsid w:val="00040A10"/>
    <w:rsid w:val="00041421"/>
    <w:rsid w:val="00041670"/>
    <w:rsid w:val="000417BE"/>
    <w:rsid w:val="00041AE7"/>
    <w:rsid w:val="00041D16"/>
    <w:rsid w:val="00041DEA"/>
    <w:rsid w:val="000429D8"/>
    <w:rsid w:val="00042C8A"/>
    <w:rsid w:val="00042C95"/>
    <w:rsid w:val="000452AA"/>
    <w:rsid w:val="00045F38"/>
    <w:rsid w:val="00045F86"/>
    <w:rsid w:val="00046717"/>
    <w:rsid w:val="00046A15"/>
    <w:rsid w:val="00046B11"/>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AC8"/>
    <w:rsid w:val="00064E15"/>
    <w:rsid w:val="00065463"/>
    <w:rsid w:val="000658E9"/>
    <w:rsid w:val="000666B3"/>
    <w:rsid w:val="000672FA"/>
    <w:rsid w:val="000676A2"/>
    <w:rsid w:val="00070A4C"/>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0D36"/>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7A3"/>
    <w:rsid w:val="00094B23"/>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507"/>
    <w:rsid w:val="000B491D"/>
    <w:rsid w:val="000B503C"/>
    <w:rsid w:val="000B51CE"/>
    <w:rsid w:val="000B5296"/>
    <w:rsid w:val="000B5608"/>
    <w:rsid w:val="000B5690"/>
    <w:rsid w:val="000B65C3"/>
    <w:rsid w:val="000B6BC4"/>
    <w:rsid w:val="000C0203"/>
    <w:rsid w:val="000C066A"/>
    <w:rsid w:val="000C0E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3A"/>
    <w:rsid w:val="000D609A"/>
    <w:rsid w:val="000D648C"/>
    <w:rsid w:val="000D64F5"/>
    <w:rsid w:val="000D66A1"/>
    <w:rsid w:val="000D7340"/>
    <w:rsid w:val="000D772A"/>
    <w:rsid w:val="000D7808"/>
    <w:rsid w:val="000E06A3"/>
    <w:rsid w:val="000E0D32"/>
    <w:rsid w:val="000E195F"/>
    <w:rsid w:val="000E1FD4"/>
    <w:rsid w:val="000E27CE"/>
    <w:rsid w:val="000E2EEB"/>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27FB"/>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4E1F"/>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39D3"/>
    <w:rsid w:val="00113F1E"/>
    <w:rsid w:val="001141AE"/>
    <w:rsid w:val="00114F1E"/>
    <w:rsid w:val="0011513C"/>
    <w:rsid w:val="00115495"/>
    <w:rsid w:val="00116B11"/>
    <w:rsid w:val="00116E4B"/>
    <w:rsid w:val="00116F6B"/>
    <w:rsid w:val="001171FF"/>
    <w:rsid w:val="00120F0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A1A"/>
    <w:rsid w:val="00133F26"/>
    <w:rsid w:val="0013462D"/>
    <w:rsid w:val="001360B8"/>
    <w:rsid w:val="0013657B"/>
    <w:rsid w:val="00136A94"/>
    <w:rsid w:val="00137436"/>
    <w:rsid w:val="00140181"/>
    <w:rsid w:val="0014092A"/>
    <w:rsid w:val="00140A63"/>
    <w:rsid w:val="00140CBA"/>
    <w:rsid w:val="00140EF5"/>
    <w:rsid w:val="00141A0C"/>
    <w:rsid w:val="00142D35"/>
    <w:rsid w:val="00143916"/>
    <w:rsid w:val="00143E8A"/>
    <w:rsid w:val="00143FC6"/>
    <w:rsid w:val="00144A6E"/>
    <w:rsid w:val="00144ABF"/>
    <w:rsid w:val="00144BA8"/>
    <w:rsid w:val="00145C22"/>
    <w:rsid w:val="001464CD"/>
    <w:rsid w:val="00146638"/>
    <w:rsid w:val="00147D4D"/>
    <w:rsid w:val="00150293"/>
    <w:rsid w:val="001502AD"/>
    <w:rsid w:val="001509C0"/>
    <w:rsid w:val="00151431"/>
    <w:rsid w:val="00151764"/>
    <w:rsid w:val="00151FF5"/>
    <w:rsid w:val="001522A2"/>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3EA"/>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590"/>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3F4C"/>
    <w:rsid w:val="001E4621"/>
    <w:rsid w:val="001E48A4"/>
    <w:rsid w:val="001E5273"/>
    <w:rsid w:val="001E5286"/>
    <w:rsid w:val="001E5366"/>
    <w:rsid w:val="001E5453"/>
    <w:rsid w:val="001E5C3D"/>
    <w:rsid w:val="001E678B"/>
    <w:rsid w:val="001E7C62"/>
    <w:rsid w:val="001F02CD"/>
    <w:rsid w:val="001F0525"/>
    <w:rsid w:val="001F27B9"/>
    <w:rsid w:val="001F2B26"/>
    <w:rsid w:val="001F2BC9"/>
    <w:rsid w:val="001F2F39"/>
    <w:rsid w:val="001F34DD"/>
    <w:rsid w:val="001F408E"/>
    <w:rsid w:val="001F4349"/>
    <w:rsid w:val="001F4860"/>
    <w:rsid w:val="001F4EDD"/>
    <w:rsid w:val="001F57CD"/>
    <w:rsid w:val="001F5A76"/>
    <w:rsid w:val="001F5B07"/>
    <w:rsid w:val="001F5E58"/>
    <w:rsid w:val="001F6270"/>
    <w:rsid w:val="001F65BE"/>
    <w:rsid w:val="001F7890"/>
    <w:rsid w:val="001F7D76"/>
    <w:rsid w:val="001F7D9A"/>
    <w:rsid w:val="00200FAD"/>
    <w:rsid w:val="002015CF"/>
    <w:rsid w:val="00201765"/>
    <w:rsid w:val="0020257F"/>
    <w:rsid w:val="002036AC"/>
    <w:rsid w:val="00204436"/>
    <w:rsid w:val="00204AA1"/>
    <w:rsid w:val="00204D50"/>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1D4D"/>
    <w:rsid w:val="00221E81"/>
    <w:rsid w:val="0022245F"/>
    <w:rsid w:val="00223256"/>
    <w:rsid w:val="002235D7"/>
    <w:rsid w:val="0022406E"/>
    <w:rsid w:val="00224FEA"/>
    <w:rsid w:val="002262C0"/>
    <w:rsid w:val="00226345"/>
    <w:rsid w:val="002264AE"/>
    <w:rsid w:val="00227691"/>
    <w:rsid w:val="00227A85"/>
    <w:rsid w:val="00227B4C"/>
    <w:rsid w:val="00227BB0"/>
    <w:rsid w:val="00227DBC"/>
    <w:rsid w:val="00230284"/>
    <w:rsid w:val="00230E13"/>
    <w:rsid w:val="0023118D"/>
    <w:rsid w:val="00231E69"/>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2EE4"/>
    <w:rsid w:val="00273E61"/>
    <w:rsid w:val="00273F5F"/>
    <w:rsid w:val="00273F7C"/>
    <w:rsid w:val="002745A2"/>
    <w:rsid w:val="0027555F"/>
    <w:rsid w:val="00275599"/>
    <w:rsid w:val="00275719"/>
    <w:rsid w:val="00275727"/>
    <w:rsid w:val="00275BE9"/>
    <w:rsid w:val="00275F2C"/>
    <w:rsid w:val="00277BEF"/>
    <w:rsid w:val="00280398"/>
    <w:rsid w:val="00280D22"/>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EF2"/>
    <w:rsid w:val="002A6FCE"/>
    <w:rsid w:val="002A7172"/>
    <w:rsid w:val="002A7501"/>
    <w:rsid w:val="002A7744"/>
    <w:rsid w:val="002B042B"/>
    <w:rsid w:val="002B0EA1"/>
    <w:rsid w:val="002B1DAC"/>
    <w:rsid w:val="002B2B87"/>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54E"/>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279E"/>
    <w:rsid w:val="002F368E"/>
    <w:rsid w:val="002F386D"/>
    <w:rsid w:val="002F3AAF"/>
    <w:rsid w:val="002F40FF"/>
    <w:rsid w:val="002F48DE"/>
    <w:rsid w:val="002F4C06"/>
    <w:rsid w:val="002F5101"/>
    <w:rsid w:val="002F5C83"/>
    <w:rsid w:val="002F61D3"/>
    <w:rsid w:val="002F713F"/>
    <w:rsid w:val="002F7466"/>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31ED"/>
    <w:rsid w:val="00333B3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660"/>
    <w:rsid w:val="00347B20"/>
    <w:rsid w:val="003505B2"/>
    <w:rsid w:val="0035063B"/>
    <w:rsid w:val="00350B04"/>
    <w:rsid w:val="003515A5"/>
    <w:rsid w:val="00351DF7"/>
    <w:rsid w:val="00352677"/>
    <w:rsid w:val="0035374E"/>
    <w:rsid w:val="0035393E"/>
    <w:rsid w:val="003540E4"/>
    <w:rsid w:val="00354255"/>
    <w:rsid w:val="00355981"/>
    <w:rsid w:val="00356AA0"/>
    <w:rsid w:val="003573D2"/>
    <w:rsid w:val="003579CE"/>
    <w:rsid w:val="00360189"/>
    <w:rsid w:val="00360B25"/>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E78"/>
    <w:rsid w:val="0037526D"/>
    <w:rsid w:val="0037545E"/>
    <w:rsid w:val="00375978"/>
    <w:rsid w:val="00376405"/>
    <w:rsid w:val="0037699E"/>
    <w:rsid w:val="00376C54"/>
    <w:rsid w:val="00381027"/>
    <w:rsid w:val="0038157C"/>
    <w:rsid w:val="00381BAB"/>
    <w:rsid w:val="00381BB0"/>
    <w:rsid w:val="00381FE7"/>
    <w:rsid w:val="0038209B"/>
    <w:rsid w:val="003837A2"/>
    <w:rsid w:val="003839F9"/>
    <w:rsid w:val="00383E06"/>
    <w:rsid w:val="003848AF"/>
    <w:rsid w:val="00385421"/>
    <w:rsid w:val="00386A48"/>
    <w:rsid w:val="00386F51"/>
    <w:rsid w:val="00387CF3"/>
    <w:rsid w:val="00390536"/>
    <w:rsid w:val="00390611"/>
    <w:rsid w:val="00390F95"/>
    <w:rsid w:val="00391B34"/>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1E35"/>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667"/>
    <w:rsid w:val="003B380A"/>
    <w:rsid w:val="003B4BBE"/>
    <w:rsid w:val="003B542D"/>
    <w:rsid w:val="003B54E4"/>
    <w:rsid w:val="003B5841"/>
    <w:rsid w:val="003B595A"/>
    <w:rsid w:val="003B5FBE"/>
    <w:rsid w:val="003B7208"/>
    <w:rsid w:val="003B7403"/>
    <w:rsid w:val="003B75A5"/>
    <w:rsid w:val="003C0A73"/>
    <w:rsid w:val="003C1100"/>
    <w:rsid w:val="003C19CB"/>
    <w:rsid w:val="003C1B35"/>
    <w:rsid w:val="003C1CFB"/>
    <w:rsid w:val="003C1DE6"/>
    <w:rsid w:val="003C27A8"/>
    <w:rsid w:val="003C30DA"/>
    <w:rsid w:val="003C3CFB"/>
    <w:rsid w:val="003C4A15"/>
    <w:rsid w:val="003C4FF5"/>
    <w:rsid w:val="003C57BF"/>
    <w:rsid w:val="003C5A88"/>
    <w:rsid w:val="003C6226"/>
    <w:rsid w:val="003C66C3"/>
    <w:rsid w:val="003C744C"/>
    <w:rsid w:val="003D0AE2"/>
    <w:rsid w:val="003D17AF"/>
    <w:rsid w:val="003D2681"/>
    <w:rsid w:val="003D3477"/>
    <w:rsid w:val="003D372B"/>
    <w:rsid w:val="003D5450"/>
    <w:rsid w:val="003D58CE"/>
    <w:rsid w:val="003D6B20"/>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E7F16"/>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1D3"/>
    <w:rsid w:val="0041428D"/>
    <w:rsid w:val="0041493D"/>
    <w:rsid w:val="00415270"/>
    <w:rsid w:val="004154DB"/>
    <w:rsid w:val="004157A7"/>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87"/>
    <w:rsid w:val="004300F9"/>
    <w:rsid w:val="00430C63"/>
    <w:rsid w:val="00430E3B"/>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7CA"/>
    <w:rsid w:val="00454915"/>
    <w:rsid w:val="004558BD"/>
    <w:rsid w:val="004569FF"/>
    <w:rsid w:val="004579DC"/>
    <w:rsid w:val="00457A56"/>
    <w:rsid w:val="00460C5B"/>
    <w:rsid w:val="004610DA"/>
    <w:rsid w:val="004615D3"/>
    <w:rsid w:val="0046281E"/>
    <w:rsid w:val="00462856"/>
    <w:rsid w:val="00462B7C"/>
    <w:rsid w:val="00463909"/>
    <w:rsid w:val="004639C1"/>
    <w:rsid w:val="00464AF4"/>
    <w:rsid w:val="00464D6B"/>
    <w:rsid w:val="00465A07"/>
    <w:rsid w:val="00467C83"/>
    <w:rsid w:val="00467D01"/>
    <w:rsid w:val="00470110"/>
    <w:rsid w:val="00471468"/>
    <w:rsid w:val="00471E09"/>
    <w:rsid w:val="004728C4"/>
    <w:rsid w:val="00473538"/>
    <w:rsid w:val="0047369A"/>
    <w:rsid w:val="00473B4F"/>
    <w:rsid w:val="00473B8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2A0C"/>
    <w:rsid w:val="004A3000"/>
    <w:rsid w:val="004A3367"/>
    <w:rsid w:val="004A3998"/>
    <w:rsid w:val="004A3DD2"/>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0EE3"/>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5884"/>
    <w:rsid w:val="004C64EB"/>
    <w:rsid w:val="004C6779"/>
    <w:rsid w:val="004C7156"/>
    <w:rsid w:val="004C75B3"/>
    <w:rsid w:val="004C7D54"/>
    <w:rsid w:val="004D069A"/>
    <w:rsid w:val="004D0CC4"/>
    <w:rsid w:val="004D0E43"/>
    <w:rsid w:val="004D11A8"/>
    <w:rsid w:val="004D1756"/>
    <w:rsid w:val="004D2366"/>
    <w:rsid w:val="004D307E"/>
    <w:rsid w:val="004D3254"/>
    <w:rsid w:val="004D33DA"/>
    <w:rsid w:val="004D372E"/>
    <w:rsid w:val="004D555A"/>
    <w:rsid w:val="004D571F"/>
    <w:rsid w:val="004D6095"/>
    <w:rsid w:val="004D64C0"/>
    <w:rsid w:val="004D66AD"/>
    <w:rsid w:val="004D6995"/>
    <w:rsid w:val="004D69DF"/>
    <w:rsid w:val="004D7D96"/>
    <w:rsid w:val="004E07A1"/>
    <w:rsid w:val="004E1729"/>
    <w:rsid w:val="004E1B3C"/>
    <w:rsid w:val="004E1CA8"/>
    <w:rsid w:val="004E34A8"/>
    <w:rsid w:val="004E3959"/>
    <w:rsid w:val="004E3F86"/>
    <w:rsid w:val="004E41AA"/>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500E29"/>
    <w:rsid w:val="00501E92"/>
    <w:rsid w:val="005025C7"/>
    <w:rsid w:val="005039C0"/>
    <w:rsid w:val="00504B42"/>
    <w:rsid w:val="00506436"/>
    <w:rsid w:val="00506DB2"/>
    <w:rsid w:val="00507EFE"/>
    <w:rsid w:val="00510493"/>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62F"/>
    <w:rsid w:val="00532C9B"/>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5364"/>
    <w:rsid w:val="00575B36"/>
    <w:rsid w:val="00576366"/>
    <w:rsid w:val="0057697F"/>
    <w:rsid w:val="005807A8"/>
    <w:rsid w:val="00580D15"/>
    <w:rsid w:val="00581587"/>
    <w:rsid w:val="00581A2E"/>
    <w:rsid w:val="00582613"/>
    <w:rsid w:val="0058344E"/>
    <w:rsid w:val="00584C51"/>
    <w:rsid w:val="00585165"/>
    <w:rsid w:val="005856B3"/>
    <w:rsid w:val="00585AA7"/>
    <w:rsid w:val="00587662"/>
    <w:rsid w:val="005879EF"/>
    <w:rsid w:val="00587B1E"/>
    <w:rsid w:val="00587E84"/>
    <w:rsid w:val="00587FBA"/>
    <w:rsid w:val="00590F89"/>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80"/>
    <w:rsid w:val="005A60E9"/>
    <w:rsid w:val="005A77E1"/>
    <w:rsid w:val="005A7E33"/>
    <w:rsid w:val="005B10CC"/>
    <w:rsid w:val="005B12BF"/>
    <w:rsid w:val="005B265D"/>
    <w:rsid w:val="005B32C9"/>
    <w:rsid w:val="005B4E14"/>
    <w:rsid w:val="005B52A0"/>
    <w:rsid w:val="005B538B"/>
    <w:rsid w:val="005B5434"/>
    <w:rsid w:val="005B547E"/>
    <w:rsid w:val="005B5555"/>
    <w:rsid w:val="005B643F"/>
    <w:rsid w:val="005B6FFD"/>
    <w:rsid w:val="005B72D5"/>
    <w:rsid w:val="005B7B78"/>
    <w:rsid w:val="005C0894"/>
    <w:rsid w:val="005C16A8"/>
    <w:rsid w:val="005C16D1"/>
    <w:rsid w:val="005C196C"/>
    <w:rsid w:val="005C1B39"/>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58A"/>
    <w:rsid w:val="005F1AB4"/>
    <w:rsid w:val="005F21B0"/>
    <w:rsid w:val="005F30F1"/>
    <w:rsid w:val="005F3103"/>
    <w:rsid w:val="005F3144"/>
    <w:rsid w:val="005F33B2"/>
    <w:rsid w:val="005F4D3D"/>
    <w:rsid w:val="005F514E"/>
    <w:rsid w:val="005F5B10"/>
    <w:rsid w:val="005F6CAB"/>
    <w:rsid w:val="005F7025"/>
    <w:rsid w:val="005F760D"/>
    <w:rsid w:val="0060049C"/>
    <w:rsid w:val="0060129A"/>
    <w:rsid w:val="0060244C"/>
    <w:rsid w:val="00603988"/>
    <w:rsid w:val="0060429C"/>
    <w:rsid w:val="006054AB"/>
    <w:rsid w:val="006055AB"/>
    <w:rsid w:val="0060623B"/>
    <w:rsid w:val="00606D46"/>
    <w:rsid w:val="006100FC"/>
    <w:rsid w:val="00610274"/>
    <w:rsid w:val="00610A95"/>
    <w:rsid w:val="006115F0"/>
    <w:rsid w:val="00611CEF"/>
    <w:rsid w:val="006124C2"/>
    <w:rsid w:val="00613401"/>
    <w:rsid w:val="00613F4F"/>
    <w:rsid w:val="00614F26"/>
    <w:rsid w:val="00615131"/>
    <w:rsid w:val="0061516D"/>
    <w:rsid w:val="00615B10"/>
    <w:rsid w:val="006165FB"/>
    <w:rsid w:val="006168EB"/>
    <w:rsid w:val="00616DEB"/>
    <w:rsid w:val="006209FE"/>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5A6"/>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145"/>
    <w:rsid w:val="0067157E"/>
    <w:rsid w:val="00672247"/>
    <w:rsid w:val="006723F9"/>
    <w:rsid w:val="006728CE"/>
    <w:rsid w:val="00672989"/>
    <w:rsid w:val="00673EAA"/>
    <w:rsid w:val="0067405E"/>
    <w:rsid w:val="006748F5"/>
    <w:rsid w:val="00674ABA"/>
    <w:rsid w:val="0067595F"/>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3B"/>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35A"/>
    <w:rsid w:val="006C6C41"/>
    <w:rsid w:val="006C746A"/>
    <w:rsid w:val="006C7DA4"/>
    <w:rsid w:val="006C7E69"/>
    <w:rsid w:val="006D0A02"/>
    <w:rsid w:val="006D1335"/>
    <w:rsid w:val="006D1470"/>
    <w:rsid w:val="006D1BA8"/>
    <w:rsid w:val="006D1EC8"/>
    <w:rsid w:val="006D2466"/>
    <w:rsid w:val="006D2D2B"/>
    <w:rsid w:val="006D33D6"/>
    <w:rsid w:val="006D3F59"/>
    <w:rsid w:val="006D41A6"/>
    <w:rsid w:val="006D438A"/>
    <w:rsid w:val="006D4936"/>
    <w:rsid w:val="006D4CBD"/>
    <w:rsid w:val="006D6830"/>
    <w:rsid w:val="006D685C"/>
    <w:rsid w:val="006D6CD1"/>
    <w:rsid w:val="006D719C"/>
    <w:rsid w:val="006D7352"/>
    <w:rsid w:val="006D73B3"/>
    <w:rsid w:val="006D786D"/>
    <w:rsid w:val="006D7DF3"/>
    <w:rsid w:val="006E0A8C"/>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BF0"/>
    <w:rsid w:val="00723C6D"/>
    <w:rsid w:val="00724970"/>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35C"/>
    <w:rsid w:val="0078246A"/>
    <w:rsid w:val="007826F1"/>
    <w:rsid w:val="00782890"/>
    <w:rsid w:val="007833CB"/>
    <w:rsid w:val="00783618"/>
    <w:rsid w:val="00783B56"/>
    <w:rsid w:val="007843DB"/>
    <w:rsid w:val="00785BC4"/>
    <w:rsid w:val="00786897"/>
    <w:rsid w:val="00786CFF"/>
    <w:rsid w:val="00786DFB"/>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2A9"/>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14B"/>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3797"/>
    <w:rsid w:val="007D4712"/>
    <w:rsid w:val="007D4AFF"/>
    <w:rsid w:val="007D555C"/>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265E"/>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78A"/>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6857"/>
    <w:rsid w:val="0085719C"/>
    <w:rsid w:val="008575E1"/>
    <w:rsid w:val="0085760A"/>
    <w:rsid w:val="008576D9"/>
    <w:rsid w:val="00857F5B"/>
    <w:rsid w:val="008600A9"/>
    <w:rsid w:val="0086045A"/>
    <w:rsid w:val="00860CE1"/>
    <w:rsid w:val="0086170A"/>
    <w:rsid w:val="00861D35"/>
    <w:rsid w:val="008623CC"/>
    <w:rsid w:val="00862709"/>
    <w:rsid w:val="00863328"/>
    <w:rsid w:val="00863820"/>
    <w:rsid w:val="00864348"/>
    <w:rsid w:val="0086448F"/>
    <w:rsid w:val="008647F5"/>
    <w:rsid w:val="00864D6E"/>
    <w:rsid w:val="008659A2"/>
    <w:rsid w:val="00866099"/>
    <w:rsid w:val="0086690B"/>
    <w:rsid w:val="00866973"/>
    <w:rsid w:val="00866F10"/>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4827"/>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8739A"/>
    <w:rsid w:val="00890A85"/>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367"/>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4F1C"/>
    <w:rsid w:val="008D5835"/>
    <w:rsid w:val="008D6B04"/>
    <w:rsid w:val="008D72B9"/>
    <w:rsid w:val="008D7FFC"/>
    <w:rsid w:val="008E05B1"/>
    <w:rsid w:val="008E19F2"/>
    <w:rsid w:val="008E2254"/>
    <w:rsid w:val="008E2654"/>
    <w:rsid w:val="008E2AF5"/>
    <w:rsid w:val="008E2C34"/>
    <w:rsid w:val="008E35F3"/>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7C1"/>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786"/>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8F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62DC"/>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3D24"/>
    <w:rsid w:val="00974A7A"/>
    <w:rsid w:val="00975014"/>
    <w:rsid w:val="00975180"/>
    <w:rsid w:val="009752FA"/>
    <w:rsid w:val="009754C3"/>
    <w:rsid w:val="009755CD"/>
    <w:rsid w:val="009758B1"/>
    <w:rsid w:val="0097603D"/>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1DAF"/>
    <w:rsid w:val="00992771"/>
    <w:rsid w:val="00992AA9"/>
    <w:rsid w:val="00993570"/>
    <w:rsid w:val="0099397C"/>
    <w:rsid w:val="00994A07"/>
    <w:rsid w:val="00994A4C"/>
    <w:rsid w:val="009950AD"/>
    <w:rsid w:val="009958C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8F3"/>
    <w:rsid w:val="009A6BA8"/>
    <w:rsid w:val="009A70F6"/>
    <w:rsid w:val="009A7364"/>
    <w:rsid w:val="009A7F00"/>
    <w:rsid w:val="009B0D00"/>
    <w:rsid w:val="009B139E"/>
    <w:rsid w:val="009B14CD"/>
    <w:rsid w:val="009B1548"/>
    <w:rsid w:val="009B321A"/>
    <w:rsid w:val="009B3A1D"/>
    <w:rsid w:val="009B41F0"/>
    <w:rsid w:val="009B44F0"/>
    <w:rsid w:val="009B4620"/>
    <w:rsid w:val="009B46EB"/>
    <w:rsid w:val="009B55BC"/>
    <w:rsid w:val="009B56A2"/>
    <w:rsid w:val="009B58D1"/>
    <w:rsid w:val="009B59F0"/>
    <w:rsid w:val="009B64EB"/>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32AD"/>
    <w:rsid w:val="009F463C"/>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3840"/>
    <w:rsid w:val="00A04222"/>
    <w:rsid w:val="00A046BB"/>
    <w:rsid w:val="00A04C7E"/>
    <w:rsid w:val="00A04F05"/>
    <w:rsid w:val="00A05AAB"/>
    <w:rsid w:val="00A0616C"/>
    <w:rsid w:val="00A06896"/>
    <w:rsid w:val="00A07CA6"/>
    <w:rsid w:val="00A10645"/>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2B6A"/>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6A60"/>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41C"/>
    <w:rsid w:val="00A96A6C"/>
    <w:rsid w:val="00A96DBD"/>
    <w:rsid w:val="00A970D5"/>
    <w:rsid w:val="00A97638"/>
    <w:rsid w:val="00A978AF"/>
    <w:rsid w:val="00AA0B4E"/>
    <w:rsid w:val="00AA1BBB"/>
    <w:rsid w:val="00AA1BD0"/>
    <w:rsid w:val="00AA1E74"/>
    <w:rsid w:val="00AA216B"/>
    <w:rsid w:val="00AA24D2"/>
    <w:rsid w:val="00AA2EFC"/>
    <w:rsid w:val="00AA3388"/>
    <w:rsid w:val="00AA423E"/>
    <w:rsid w:val="00AA66F5"/>
    <w:rsid w:val="00AA6C98"/>
    <w:rsid w:val="00AA7316"/>
    <w:rsid w:val="00AA7803"/>
    <w:rsid w:val="00AA78CE"/>
    <w:rsid w:val="00AA7F42"/>
    <w:rsid w:val="00AB0C12"/>
    <w:rsid w:val="00AB0FA7"/>
    <w:rsid w:val="00AB1B57"/>
    <w:rsid w:val="00AB2605"/>
    <w:rsid w:val="00AB26D5"/>
    <w:rsid w:val="00AB2FF9"/>
    <w:rsid w:val="00AB3885"/>
    <w:rsid w:val="00AB39A6"/>
    <w:rsid w:val="00AB45DB"/>
    <w:rsid w:val="00AB49EA"/>
    <w:rsid w:val="00AB4F00"/>
    <w:rsid w:val="00AB5828"/>
    <w:rsid w:val="00AB5C26"/>
    <w:rsid w:val="00AB5F3B"/>
    <w:rsid w:val="00AB6551"/>
    <w:rsid w:val="00AB7FB4"/>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642"/>
    <w:rsid w:val="00AD1EAE"/>
    <w:rsid w:val="00AD2275"/>
    <w:rsid w:val="00AD2280"/>
    <w:rsid w:val="00AD26C0"/>
    <w:rsid w:val="00AD2B85"/>
    <w:rsid w:val="00AD3CC4"/>
    <w:rsid w:val="00AD4839"/>
    <w:rsid w:val="00AD4C7C"/>
    <w:rsid w:val="00AD76EF"/>
    <w:rsid w:val="00AE1305"/>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54D"/>
    <w:rsid w:val="00B02674"/>
    <w:rsid w:val="00B02AA5"/>
    <w:rsid w:val="00B040E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1CD1"/>
    <w:rsid w:val="00B23256"/>
    <w:rsid w:val="00B244AA"/>
    <w:rsid w:val="00B24AE6"/>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03A"/>
    <w:rsid w:val="00B4620E"/>
    <w:rsid w:val="00B46CB0"/>
    <w:rsid w:val="00B4725D"/>
    <w:rsid w:val="00B47408"/>
    <w:rsid w:val="00B475E8"/>
    <w:rsid w:val="00B511BC"/>
    <w:rsid w:val="00B523D6"/>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4F3"/>
    <w:rsid w:val="00B7667D"/>
    <w:rsid w:val="00B80533"/>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459"/>
    <w:rsid w:val="00BA2861"/>
    <w:rsid w:val="00BA3873"/>
    <w:rsid w:val="00BA51FA"/>
    <w:rsid w:val="00BA636A"/>
    <w:rsid w:val="00BA65B1"/>
    <w:rsid w:val="00BA6707"/>
    <w:rsid w:val="00BA7C0B"/>
    <w:rsid w:val="00BA7C85"/>
    <w:rsid w:val="00BB0F85"/>
    <w:rsid w:val="00BB1497"/>
    <w:rsid w:val="00BB16D5"/>
    <w:rsid w:val="00BB1940"/>
    <w:rsid w:val="00BB2A3A"/>
    <w:rsid w:val="00BB2E4D"/>
    <w:rsid w:val="00BB3445"/>
    <w:rsid w:val="00BB36D5"/>
    <w:rsid w:val="00BB404F"/>
    <w:rsid w:val="00BB4C1F"/>
    <w:rsid w:val="00BB5301"/>
    <w:rsid w:val="00BB57E8"/>
    <w:rsid w:val="00BB58C8"/>
    <w:rsid w:val="00BB63AD"/>
    <w:rsid w:val="00BB7349"/>
    <w:rsid w:val="00BB778D"/>
    <w:rsid w:val="00BB7CB2"/>
    <w:rsid w:val="00BB7DF0"/>
    <w:rsid w:val="00BB7F90"/>
    <w:rsid w:val="00BC0196"/>
    <w:rsid w:val="00BC0367"/>
    <w:rsid w:val="00BC0C53"/>
    <w:rsid w:val="00BC1CAA"/>
    <w:rsid w:val="00BC219A"/>
    <w:rsid w:val="00BC3946"/>
    <w:rsid w:val="00BC42A8"/>
    <w:rsid w:val="00BC469F"/>
    <w:rsid w:val="00BC4869"/>
    <w:rsid w:val="00BC5097"/>
    <w:rsid w:val="00BC6627"/>
    <w:rsid w:val="00BC66EE"/>
    <w:rsid w:val="00BC69F2"/>
    <w:rsid w:val="00BC72BE"/>
    <w:rsid w:val="00BC7535"/>
    <w:rsid w:val="00BC7F3C"/>
    <w:rsid w:val="00BC7FFB"/>
    <w:rsid w:val="00BD034D"/>
    <w:rsid w:val="00BD099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C1B"/>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0A50"/>
    <w:rsid w:val="00BF1812"/>
    <w:rsid w:val="00BF26EE"/>
    <w:rsid w:val="00BF4B2D"/>
    <w:rsid w:val="00BF5532"/>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72"/>
    <w:rsid w:val="00C0536C"/>
    <w:rsid w:val="00C05398"/>
    <w:rsid w:val="00C056BE"/>
    <w:rsid w:val="00C05906"/>
    <w:rsid w:val="00C06182"/>
    <w:rsid w:val="00C06249"/>
    <w:rsid w:val="00C068BC"/>
    <w:rsid w:val="00C07235"/>
    <w:rsid w:val="00C07871"/>
    <w:rsid w:val="00C0787B"/>
    <w:rsid w:val="00C07B7F"/>
    <w:rsid w:val="00C07EC8"/>
    <w:rsid w:val="00C07FB1"/>
    <w:rsid w:val="00C10243"/>
    <w:rsid w:val="00C104EB"/>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B0"/>
    <w:rsid w:val="00C213C6"/>
    <w:rsid w:val="00C21537"/>
    <w:rsid w:val="00C216A8"/>
    <w:rsid w:val="00C21B3C"/>
    <w:rsid w:val="00C22169"/>
    <w:rsid w:val="00C233B3"/>
    <w:rsid w:val="00C235D5"/>
    <w:rsid w:val="00C238FB"/>
    <w:rsid w:val="00C23BF7"/>
    <w:rsid w:val="00C240FA"/>
    <w:rsid w:val="00C25B3F"/>
    <w:rsid w:val="00C25CE7"/>
    <w:rsid w:val="00C26121"/>
    <w:rsid w:val="00C2627B"/>
    <w:rsid w:val="00C27F6A"/>
    <w:rsid w:val="00C31080"/>
    <w:rsid w:val="00C31B8E"/>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548D"/>
    <w:rsid w:val="00C5042D"/>
    <w:rsid w:val="00C510A7"/>
    <w:rsid w:val="00C51E1C"/>
    <w:rsid w:val="00C52AC3"/>
    <w:rsid w:val="00C52FE5"/>
    <w:rsid w:val="00C536D2"/>
    <w:rsid w:val="00C54558"/>
    <w:rsid w:val="00C55387"/>
    <w:rsid w:val="00C558A4"/>
    <w:rsid w:val="00C559CD"/>
    <w:rsid w:val="00C57E04"/>
    <w:rsid w:val="00C606E2"/>
    <w:rsid w:val="00C60938"/>
    <w:rsid w:val="00C61818"/>
    <w:rsid w:val="00C61B06"/>
    <w:rsid w:val="00C61FEC"/>
    <w:rsid w:val="00C6206D"/>
    <w:rsid w:val="00C62B4F"/>
    <w:rsid w:val="00C62FC2"/>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59"/>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0FF"/>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C8C"/>
    <w:rsid w:val="00CE7027"/>
    <w:rsid w:val="00CE727A"/>
    <w:rsid w:val="00CE7CC1"/>
    <w:rsid w:val="00CE7E37"/>
    <w:rsid w:val="00CF07A8"/>
    <w:rsid w:val="00CF0972"/>
    <w:rsid w:val="00CF0AE0"/>
    <w:rsid w:val="00CF120B"/>
    <w:rsid w:val="00CF1678"/>
    <w:rsid w:val="00CF194D"/>
    <w:rsid w:val="00CF31B4"/>
    <w:rsid w:val="00CF32A8"/>
    <w:rsid w:val="00CF33E8"/>
    <w:rsid w:val="00CF35BF"/>
    <w:rsid w:val="00CF426A"/>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37E"/>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0D80"/>
    <w:rsid w:val="00D32986"/>
    <w:rsid w:val="00D334AD"/>
    <w:rsid w:val="00D338DB"/>
    <w:rsid w:val="00D34C89"/>
    <w:rsid w:val="00D3511F"/>
    <w:rsid w:val="00D35B8D"/>
    <w:rsid w:val="00D360DF"/>
    <w:rsid w:val="00D36BE0"/>
    <w:rsid w:val="00D36DB6"/>
    <w:rsid w:val="00D3752B"/>
    <w:rsid w:val="00D37828"/>
    <w:rsid w:val="00D37CE0"/>
    <w:rsid w:val="00D40470"/>
    <w:rsid w:val="00D41147"/>
    <w:rsid w:val="00D41F91"/>
    <w:rsid w:val="00D43190"/>
    <w:rsid w:val="00D43B18"/>
    <w:rsid w:val="00D44AD8"/>
    <w:rsid w:val="00D44B6E"/>
    <w:rsid w:val="00D4515E"/>
    <w:rsid w:val="00D4521D"/>
    <w:rsid w:val="00D45819"/>
    <w:rsid w:val="00D46397"/>
    <w:rsid w:val="00D464F2"/>
    <w:rsid w:val="00D47CE8"/>
    <w:rsid w:val="00D50BE1"/>
    <w:rsid w:val="00D50F44"/>
    <w:rsid w:val="00D524DF"/>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77DAB"/>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579"/>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E0F"/>
    <w:rsid w:val="00DE0F3E"/>
    <w:rsid w:val="00DE1DEE"/>
    <w:rsid w:val="00DE20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E7D89"/>
    <w:rsid w:val="00DF06C4"/>
    <w:rsid w:val="00DF0BD1"/>
    <w:rsid w:val="00DF1033"/>
    <w:rsid w:val="00DF1156"/>
    <w:rsid w:val="00DF1173"/>
    <w:rsid w:val="00DF2CB0"/>
    <w:rsid w:val="00DF33A6"/>
    <w:rsid w:val="00DF383C"/>
    <w:rsid w:val="00DF4465"/>
    <w:rsid w:val="00DF451B"/>
    <w:rsid w:val="00DF451C"/>
    <w:rsid w:val="00DF4ACF"/>
    <w:rsid w:val="00DF4F09"/>
    <w:rsid w:val="00DF5784"/>
    <w:rsid w:val="00DF5B04"/>
    <w:rsid w:val="00DF5D03"/>
    <w:rsid w:val="00DF6006"/>
    <w:rsid w:val="00DF6955"/>
    <w:rsid w:val="00DF6AE6"/>
    <w:rsid w:val="00DF6D4C"/>
    <w:rsid w:val="00DF7B01"/>
    <w:rsid w:val="00DF7E4B"/>
    <w:rsid w:val="00E00957"/>
    <w:rsid w:val="00E00B49"/>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C68"/>
    <w:rsid w:val="00E12D07"/>
    <w:rsid w:val="00E145C0"/>
    <w:rsid w:val="00E14BA9"/>
    <w:rsid w:val="00E1701F"/>
    <w:rsid w:val="00E1736D"/>
    <w:rsid w:val="00E1746A"/>
    <w:rsid w:val="00E207AC"/>
    <w:rsid w:val="00E2095F"/>
    <w:rsid w:val="00E21016"/>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3F82"/>
    <w:rsid w:val="00E64245"/>
    <w:rsid w:val="00E64613"/>
    <w:rsid w:val="00E650E0"/>
    <w:rsid w:val="00E654A0"/>
    <w:rsid w:val="00E65521"/>
    <w:rsid w:val="00E65D6D"/>
    <w:rsid w:val="00E6679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45C"/>
    <w:rsid w:val="00F35ED7"/>
    <w:rsid w:val="00F36B72"/>
    <w:rsid w:val="00F37626"/>
    <w:rsid w:val="00F37687"/>
    <w:rsid w:val="00F37E44"/>
    <w:rsid w:val="00F4001D"/>
    <w:rsid w:val="00F4019E"/>
    <w:rsid w:val="00F41850"/>
    <w:rsid w:val="00F41EDA"/>
    <w:rsid w:val="00F4201A"/>
    <w:rsid w:val="00F423F6"/>
    <w:rsid w:val="00F43528"/>
    <w:rsid w:val="00F43916"/>
    <w:rsid w:val="00F44306"/>
    <w:rsid w:val="00F44F84"/>
    <w:rsid w:val="00F45971"/>
    <w:rsid w:val="00F462E2"/>
    <w:rsid w:val="00F46668"/>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2B2"/>
    <w:rsid w:val="00F56426"/>
    <w:rsid w:val="00F5643F"/>
    <w:rsid w:val="00F56CB4"/>
    <w:rsid w:val="00F6068A"/>
    <w:rsid w:val="00F619C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CA2"/>
    <w:rsid w:val="00F74FB9"/>
    <w:rsid w:val="00F764E0"/>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3F38"/>
    <w:rsid w:val="00F946F9"/>
    <w:rsid w:val="00F95F2A"/>
    <w:rsid w:val="00F965E2"/>
    <w:rsid w:val="00F96F3C"/>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23A"/>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ADF"/>
    <w:rsid w:val="00FC6C30"/>
    <w:rsid w:val="00FC6F04"/>
    <w:rsid w:val="00FC79E8"/>
    <w:rsid w:val="00FD038E"/>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08CA8470"/>
    <w:rsid w:val="20F3BDC3"/>
    <w:rsid w:val="23740614"/>
    <w:rsid w:val="26006269"/>
    <w:rsid w:val="3DFFB217"/>
    <w:rsid w:val="44E9108F"/>
    <w:rsid w:val="5552A197"/>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0"/>
      </w:numPr>
    </w:pPr>
  </w:style>
  <w:style w:type="numbering" w:customStyle="1" w:styleId="Listaactual91">
    <w:name w:val="Lista actual91"/>
    <w:uiPriority w:val="99"/>
    <w:rsid w:val="00F37E44"/>
    <w:pPr>
      <w:numPr>
        <w:numId w:val="31"/>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2"/>
      </w:numPr>
    </w:pPr>
  </w:style>
  <w:style w:type="numbering" w:customStyle="1" w:styleId="Listaactual211">
    <w:name w:val="Lista actual211"/>
    <w:uiPriority w:val="99"/>
    <w:rsid w:val="00F37E44"/>
    <w:pPr>
      <w:numPr>
        <w:numId w:val="33"/>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4"/>
      </w:numPr>
    </w:pPr>
  </w:style>
  <w:style w:type="numbering" w:customStyle="1" w:styleId="Listaactual121">
    <w:name w:val="Lista actual121"/>
    <w:uiPriority w:val="99"/>
    <w:rsid w:val="00F37E44"/>
    <w:pPr>
      <w:numPr>
        <w:numId w:val="35"/>
      </w:numPr>
    </w:pPr>
  </w:style>
  <w:style w:type="numbering" w:customStyle="1" w:styleId="Listaactual131">
    <w:name w:val="Lista actual131"/>
    <w:uiPriority w:val="99"/>
    <w:rsid w:val="00F37E44"/>
    <w:pPr>
      <w:numPr>
        <w:numId w:val="36"/>
      </w:numPr>
    </w:pPr>
  </w:style>
  <w:style w:type="numbering" w:customStyle="1" w:styleId="Listaactual221">
    <w:name w:val="Lista actual221"/>
    <w:uiPriority w:val="99"/>
    <w:rsid w:val="00F37E44"/>
    <w:pPr>
      <w:numPr>
        <w:numId w:val="37"/>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8"/>
      </w:numPr>
    </w:pPr>
  </w:style>
  <w:style w:type="numbering" w:customStyle="1" w:styleId="Listaactual51">
    <w:name w:val="Lista actual51"/>
    <w:uiPriority w:val="99"/>
    <w:rsid w:val="00F37E44"/>
    <w:pPr>
      <w:numPr>
        <w:numId w:val="39"/>
      </w:numPr>
    </w:pPr>
  </w:style>
  <w:style w:type="numbering" w:customStyle="1" w:styleId="Listaactual61">
    <w:name w:val="Lista actual61"/>
    <w:uiPriority w:val="99"/>
    <w:rsid w:val="00F37E44"/>
    <w:pPr>
      <w:numPr>
        <w:numId w:val="40"/>
      </w:numPr>
    </w:pPr>
  </w:style>
  <w:style w:type="numbering" w:customStyle="1" w:styleId="Listaactual71">
    <w:name w:val="Lista actual71"/>
    <w:uiPriority w:val="99"/>
    <w:rsid w:val="00F37E44"/>
    <w:pPr>
      <w:numPr>
        <w:numId w:val="41"/>
      </w:numPr>
    </w:pPr>
  </w:style>
  <w:style w:type="numbering" w:customStyle="1" w:styleId="Listaactual811">
    <w:name w:val="Lista actual811"/>
    <w:uiPriority w:val="99"/>
    <w:rsid w:val="00F37E44"/>
    <w:pPr>
      <w:numPr>
        <w:numId w:val="42"/>
      </w:numPr>
    </w:pPr>
  </w:style>
  <w:style w:type="numbering" w:customStyle="1" w:styleId="Listaactual911">
    <w:name w:val="Lista actual911"/>
    <w:uiPriority w:val="99"/>
    <w:rsid w:val="00F37E44"/>
    <w:pPr>
      <w:numPr>
        <w:numId w:val="43"/>
      </w:numPr>
    </w:pPr>
  </w:style>
  <w:style w:type="numbering" w:customStyle="1" w:styleId="Listaactual1011">
    <w:name w:val="Lista actual1011"/>
    <w:uiPriority w:val="99"/>
    <w:rsid w:val="00F37E44"/>
    <w:pPr>
      <w:numPr>
        <w:numId w:val="44"/>
      </w:numPr>
    </w:pPr>
  </w:style>
  <w:style w:type="numbering" w:customStyle="1" w:styleId="Listaactual1111">
    <w:name w:val="Lista actual1111"/>
    <w:uiPriority w:val="99"/>
    <w:rsid w:val="00F37E44"/>
    <w:pPr>
      <w:numPr>
        <w:numId w:val="45"/>
      </w:numPr>
    </w:pPr>
  </w:style>
  <w:style w:type="numbering" w:customStyle="1" w:styleId="Listaactual1211">
    <w:name w:val="Lista actual1211"/>
    <w:uiPriority w:val="99"/>
    <w:rsid w:val="00F37E44"/>
    <w:pPr>
      <w:numPr>
        <w:numId w:val="46"/>
      </w:numPr>
    </w:pPr>
  </w:style>
  <w:style w:type="numbering" w:customStyle="1" w:styleId="Listaactual1311">
    <w:name w:val="Lista actual1311"/>
    <w:uiPriority w:val="99"/>
    <w:rsid w:val="00F37E44"/>
    <w:pPr>
      <w:numPr>
        <w:numId w:val="47"/>
      </w:numPr>
    </w:pPr>
  </w:style>
  <w:style w:type="numbering" w:customStyle="1" w:styleId="Listaactual28">
    <w:name w:val="Lista actual28"/>
    <w:uiPriority w:val="99"/>
    <w:rsid w:val="00C07FB1"/>
    <w:pPr>
      <w:numPr>
        <w:numId w:val="48"/>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0"/>
      </w:numPr>
    </w:pPr>
  </w:style>
  <w:style w:type="numbering" w:customStyle="1" w:styleId="Listaactual30">
    <w:name w:val="Lista actual30"/>
    <w:uiPriority w:val="99"/>
    <w:rsid w:val="00C05172"/>
    <w:pPr>
      <w:numPr>
        <w:numId w:val="52"/>
      </w:numPr>
    </w:pPr>
  </w:style>
  <w:style w:type="numbering" w:customStyle="1" w:styleId="Listaactual32">
    <w:name w:val="Lista actual32"/>
    <w:uiPriority w:val="99"/>
    <w:rsid w:val="00532C9B"/>
    <w:pPr>
      <w:numPr>
        <w:numId w:val="53"/>
      </w:numPr>
    </w:pPr>
  </w:style>
  <w:style w:type="numbering" w:customStyle="1" w:styleId="Listaactual33">
    <w:name w:val="Lista actual33"/>
    <w:uiPriority w:val="99"/>
    <w:rsid w:val="00080D36"/>
    <w:pPr>
      <w:numPr>
        <w:numId w:val="56"/>
      </w:numPr>
    </w:pPr>
  </w:style>
  <w:style w:type="numbering" w:customStyle="1" w:styleId="Listaactual34">
    <w:name w:val="Lista actual34"/>
    <w:uiPriority w:val="99"/>
    <w:rsid w:val="00080D3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nterior.ine.mx/archivos2/portal/credencial/pdf-credencial/ABC_credenciales_%20INE_201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player.es/5455342-Nuevas-tecnologias-biometricas-instituto-nacional-de-ciencias-penales-procuraduria-general-de-la-republica-version-1-0.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8214-0976-4448-8144-644880F1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12443</Words>
  <Characters>68437</Characters>
  <Application>Microsoft Office Word</Application>
  <DocSecurity>0</DocSecurity>
  <Lines>570</Lines>
  <Paragraphs>161</Paragraphs>
  <ScaleCrop>false</ScaleCrop>
  <Company/>
  <LinksUpToDate>false</LinksUpToDate>
  <CharactersWithSpaces>80719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498</cp:revision>
  <cp:lastPrinted>2024-09-12T23:03:00Z</cp:lastPrinted>
  <dcterms:created xsi:type="dcterms:W3CDTF">2024-08-12T18:21:00Z</dcterms:created>
  <dcterms:modified xsi:type="dcterms:W3CDTF">2024-12-03T19:05:00Z</dcterms:modified>
</cp:coreProperties>
</file>