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5EDF" w14:textId="77777777" w:rsidR="0000295C" w:rsidRDefault="0077296B">
      <w:pPr>
        <w:tabs>
          <w:tab w:val="left" w:pos="3465"/>
        </w:tabs>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catorce (14) de agosto de dos mil veinticuatro.</w:t>
      </w:r>
    </w:p>
    <w:p w14:paraId="79E46959" w14:textId="77777777" w:rsidR="0000295C" w:rsidRDefault="0000295C">
      <w:pPr>
        <w:tabs>
          <w:tab w:val="left" w:pos="3465"/>
        </w:tabs>
        <w:spacing w:line="360" w:lineRule="auto"/>
        <w:ind w:right="-646"/>
        <w:jc w:val="both"/>
        <w:rPr>
          <w:rFonts w:ascii="Palatino Linotype" w:eastAsia="Palatino Linotype" w:hAnsi="Palatino Linotype" w:cs="Palatino Linotype"/>
        </w:rPr>
      </w:pPr>
    </w:p>
    <w:p w14:paraId="4AAA8174" w14:textId="4A4E56C3" w:rsidR="0000295C" w:rsidRDefault="0077296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123FAB">
        <w:rPr>
          <w:rFonts w:ascii="Palatino Linotype" w:eastAsia="Palatino Linotype" w:hAnsi="Palatino Linotype" w:cs="Palatino Linotype"/>
        </w:rPr>
        <w:t xml:space="preserve"> </w:t>
      </w:r>
      <w:r w:rsidR="00123FAB" w:rsidRPr="00123FAB">
        <w:rPr>
          <w:rFonts w:ascii="Palatino Linotype" w:eastAsia="Palatino Linotype" w:hAnsi="Palatino Linotype" w:cs="Palatino Linotype"/>
          <w:b/>
          <w:color w:val="000000"/>
          <w:sz w:val="22"/>
          <w:szCs w:val="22"/>
        </w:rPr>
        <w:t>02698/INFOEM/IP/RR/2024</w:t>
      </w:r>
      <w:r w:rsidR="00123FAB">
        <w:rPr>
          <w:rFonts w:ascii="Palatino Linotype" w:eastAsia="Palatino Linotype" w:hAnsi="Palatino Linotype" w:cs="Palatino Linotype"/>
        </w:rPr>
        <w:t>,</w:t>
      </w:r>
      <w:r>
        <w:rPr>
          <w:rFonts w:ascii="Palatino Linotype" w:eastAsia="Palatino Linotype" w:hAnsi="Palatino Linotype" w:cs="Palatino Linotype"/>
        </w:rPr>
        <w:t xml:space="preserve"> presentado por </w:t>
      </w:r>
      <w:r w:rsidR="0065509D">
        <w:rPr>
          <w:rFonts w:ascii="Palatino Linotype" w:eastAsia="Palatino Linotype" w:hAnsi="Palatino Linotype" w:cs="Palatino Linotype"/>
        </w:rPr>
        <w:t xml:space="preserve">XXX </w:t>
      </w:r>
      <w:proofErr w:type="spellStart"/>
      <w:proofErr w:type="gramStart"/>
      <w:r w:rsidR="0065509D">
        <w:rPr>
          <w:rFonts w:ascii="Palatino Linotype" w:eastAsia="Palatino Linotype" w:hAnsi="Palatino Linotype" w:cs="Palatino Linotype"/>
        </w:rPr>
        <w:t>XXX</w:t>
      </w:r>
      <w:proofErr w:type="spellEnd"/>
      <w:r>
        <w:rPr>
          <w:rFonts w:ascii="Palatino Linotype" w:eastAsia="Palatino Linotype" w:hAnsi="Palatino Linotype" w:cs="Palatino Linotype"/>
        </w:rPr>
        <w:t>,  en</w:t>
      </w:r>
      <w:proofErr w:type="gramEnd"/>
      <w:r>
        <w:rPr>
          <w:rFonts w:ascii="Palatino Linotype" w:eastAsia="Palatino Linotype" w:hAnsi="Palatino Linotype" w:cs="Palatino Linotype"/>
        </w:rPr>
        <w:t xml:space="preserve"> lo sucesivo se denominará como</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en contra de la respuesta otorgada a la solicitud de información </w:t>
      </w:r>
      <w:r>
        <w:rPr>
          <w:rFonts w:ascii="Palatino Linotype" w:eastAsia="Palatino Linotype" w:hAnsi="Palatino Linotype" w:cs="Palatino Linotype"/>
          <w:b/>
        </w:rPr>
        <w:t>00169/ECATEPEC/IP/2024</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Ayuntamiento de Ecatepec de Morelos,</w:t>
      </w:r>
      <w:r>
        <w:rPr>
          <w:rFonts w:ascii="Palatino Linotype" w:eastAsia="Palatino Linotype" w:hAnsi="Palatino Linotype" w:cs="Palatino Linotype"/>
        </w:rPr>
        <w:t xml:space="preserve"> en adelante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se emite la presente resolución con base en los siguientes:</w:t>
      </w:r>
    </w:p>
    <w:p w14:paraId="0A351E61" w14:textId="77777777" w:rsidR="0000295C" w:rsidRDefault="0000295C">
      <w:pPr>
        <w:spacing w:line="360" w:lineRule="auto"/>
        <w:ind w:right="-646"/>
        <w:jc w:val="both"/>
        <w:rPr>
          <w:rFonts w:ascii="Palatino Linotype" w:eastAsia="Palatino Linotype" w:hAnsi="Palatino Linotype" w:cs="Palatino Linotype"/>
        </w:rPr>
      </w:pPr>
    </w:p>
    <w:p w14:paraId="32DB1D8C" w14:textId="77777777" w:rsidR="0000295C" w:rsidRDefault="0077296B">
      <w:pPr>
        <w:pStyle w:val="Ttulo1"/>
        <w:spacing w:before="0" w:line="360" w:lineRule="auto"/>
        <w:ind w:right="-646"/>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1B094114" w14:textId="77777777" w:rsidR="0000295C" w:rsidRDefault="0000295C">
      <w:pPr>
        <w:spacing w:line="360" w:lineRule="auto"/>
        <w:ind w:right="-646"/>
        <w:rPr>
          <w:rFonts w:ascii="Palatino Linotype" w:eastAsia="Palatino Linotype" w:hAnsi="Palatino Linotype" w:cs="Palatino Linotype"/>
        </w:rPr>
      </w:pPr>
    </w:p>
    <w:p w14:paraId="4D125F1A" w14:textId="77777777" w:rsidR="0000295C" w:rsidRDefault="0077296B">
      <w:pPr>
        <w:numPr>
          <w:ilvl w:val="0"/>
          <w:numId w:val="5"/>
        </w:numPr>
        <w:pBdr>
          <w:top w:val="nil"/>
          <w:left w:val="nil"/>
          <w:bottom w:val="nil"/>
          <w:right w:val="nil"/>
          <w:between w:val="nil"/>
        </w:pBdr>
        <w:tabs>
          <w:tab w:val="left" w:pos="0"/>
        </w:tabs>
        <w:spacing w:line="360" w:lineRule="auto"/>
        <w:ind w:left="0" w:right="-646"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veinte de marzo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54D7432F" w14:textId="77777777" w:rsidR="0000295C" w:rsidRDefault="0000295C">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61393AA3" w14:textId="77777777" w:rsidR="0000295C" w:rsidRDefault="0077296B">
      <w:pPr>
        <w:pBdr>
          <w:top w:val="nil"/>
          <w:left w:val="nil"/>
          <w:bottom w:val="nil"/>
          <w:right w:val="nil"/>
          <w:between w:val="nil"/>
        </w:pBdr>
        <w:ind w:left="425" w:right="-64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“SOLICITO REFERENTE AL SECRETARIO TÉCNICO OMAR ALEJANDRO BALDERAS FERNÁNDEZ, LA DIRECTORA DE ADMINISTRACIÓN LA LIC. BERENICE, CONTESTE PORQUE SI EL LE SOLICITA DAR DE BAJA A CUALQUIER PERSONA ADSCRITA A LA NOMINA DEL H. AYUNTAMIENTO DE ECATEPEC DE MORELOS, ESTA LO OBEDECE SIN PREGUNTAR EL PORQUE Y SIMPLEMENTE MUEVEN AL PERSONAL A SU ANTOJO, ASÍ MISMO SE REFIERA SI EXISTE ALGÚN TIPO DE RELACIÓN AMOROSA, DE AMISTAD O DE CUALQUIER ÍNDOLE ENTRE ESTOS, PORQUE SOLO ASÍ SE JUSTIFICARÍA (NO JUSTIFICARÍA NADA) QUE ELLA LO OBEDEZCA COMO BORREGA.” </w:t>
      </w:r>
      <w:r>
        <w:rPr>
          <w:rFonts w:ascii="Palatino Linotype" w:eastAsia="Palatino Linotype" w:hAnsi="Palatino Linotype" w:cs="Palatino Linotype"/>
          <w:b/>
          <w:color w:val="000000"/>
        </w:rPr>
        <w:t>(Sic)</w:t>
      </w:r>
    </w:p>
    <w:p w14:paraId="6B8B73E0" w14:textId="77777777" w:rsidR="0000295C" w:rsidRDefault="0000295C">
      <w:pPr>
        <w:pBdr>
          <w:top w:val="nil"/>
          <w:left w:val="nil"/>
          <w:bottom w:val="nil"/>
          <w:right w:val="nil"/>
          <w:between w:val="nil"/>
        </w:pBdr>
        <w:spacing w:line="360" w:lineRule="auto"/>
        <w:ind w:left="851" w:right="-646"/>
        <w:jc w:val="both"/>
        <w:rPr>
          <w:rFonts w:ascii="Palatino Linotype" w:eastAsia="Palatino Linotype" w:hAnsi="Palatino Linotype" w:cs="Palatino Linotype"/>
          <w:color w:val="000000"/>
        </w:rPr>
      </w:pPr>
    </w:p>
    <w:p w14:paraId="5FE95175" w14:textId="77777777" w:rsidR="0000295C" w:rsidRDefault="0077296B">
      <w:pPr>
        <w:numPr>
          <w:ilvl w:val="0"/>
          <w:numId w:val="4"/>
        </w:numPr>
        <w:pBdr>
          <w:top w:val="nil"/>
          <w:left w:val="nil"/>
          <w:bottom w:val="nil"/>
          <w:right w:val="nil"/>
          <w:between w:val="nil"/>
        </w:pBdr>
        <w:tabs>
          <w:tab w:val="left" w:pos="0"/>
        </w:tabs>
        <w:spacing w:line="360" w:lineRule="auto"/>
        <w:ind w:left="709"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14E6E3BA" w14:textId="77777777" w:rsidR="0000295C" w:rsidRDefault="0077296B">
      <w:pPr>
        <w:numPr>
          <w:ilvl w:val="0"/>
          <w:numId w:val="5"/>
        </w:numPr>
        <w:pBdr>
          <w:top w:val="nil"/>
          <w:left w:val="nil"/>
          <w:bottom w:val="nil"/>
          <w:right w:val="nil"/>
          <w:between w:val="nil"/>
        </w:pBdr>
        <w:tabs>
          <w:tab w:val="left" w:pos="0"/>
        </w:tabs>
        <w:spacing w:line="360" w:lineRule="auto"/>
        <w:ind w:left="0" w:right="-646" w:firstLine="0"/>
        <w:jc w:val="both"/>
        <w:rPr>
          <w:color w:val="000000"/>
        </w:rPr>
      </w:pPr>
      <w:r>
        <w:rPr>
          <w:rFonts w:ascii="Palatino Linotype" w:eastAsia="Palatino Linotype" w:hAnsi="Palatino Linotype" w:cs="Palatino Linotype"/>
          <w:b/>
          <w:color w:val="000000"/>
        </w:rPr>
        <w:lastRenderedPageBreak/>
        <w:t>El diecisiete de abril de dos mil veinticuatro</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del siguiente archivo electrónico denominado </w:t>
      </w:r>
      <w:proofErr w:type="spellStart"/>
      <w:r>
        <w:rPr>
          <w:rFonts w:ascii="Palatino Linotype" w:eastAsia="Palatino Linotype" w:hAnsi="Palatino Linotype" w:cs="Palatino Linotype"/>
          <w:b/>
          <w:i/>
          <w:color w:val="000000"/>
        </w:rPr>
        <w:t>Resp</w:t>
      </w:r>
      <w:proofErr w:type="spellEnd"/>
      <w:r>
        <w:rPr>
          <w:rFonts w:ascii="Palatino Linotype" w:eastAsia="Palatino Linotype" w:hAnsi="Palatino Linotype" w:cs="Palatino Linotype"/>
          <w:b/>
          <w:i/>
          <w:color w:val="000000"/>
        </w:rPr>
        <w:t xml:space="preserve">. de </w:t>
      </w:r>
      <w:proofErr w:type="spellStart"/>
      <w:r>
        <w:rPr>
          <w:rFonts w:ascii="Palatino Linotype" w:eastAsia="Palatino Linotype" w:hAnsi="Palatino Linotype" w:cs="Palatino Linotype"/>
          <w:b/>
          <w:i/>
          <w:color w:val="000000"/>
        </w:rPr>
        <w:t>Solic</w:t>
      </w:r>
      <w:proofErr w:type="spellEnd"/>
      <w:r>
        <w:rPr>
          <w:rFonts w:ascii="Palatino Linotype" w:eastAsia="Palatino Linotype" w:hAnsi="Palatino Linotype" w:cs="Palatino Linotype"/>
          <w:b/>
          <w:i/>
          <w:color w:val="000000"/>
        </w:rPr>
        <w:t xml:space="preserve"> 00169 2024.pdf</w:t>
      </w:r>
      <w:r>
        <w:rPr>
          <w:rFonts w:ascii="Palatino Linotype" w:eastAsia="Palatino Linotype" w:hAnsi="Palatino Linotype" w:cs="Palatino Linotype"/>
          <w:color w:val="000000"/>
        </w:rPr>
        <w:t>,</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contiene la siguiente información: </w:t>
      </w:r>
    </w:p>
    <w:p w14:paraId="78BB1176" w14:textId="77777777" w:rsidR="0000295C" w:rsidRPr="00003487" w:rsidRDefault="0077296B">
      <w:pPr>
        <w:numPr>
          <w:ilvl w:val="0"/>
          <w:numId w:val="1"/>
        </w:numPr>
        <w:pBdr>
          <w:top w:val="nil"/>
          <w:left w:val="nil"/>
          <w:bottom w:val="nil"/>
          <w:right w:val="nil"/>
          <w:between w:val="nil"/>
        </w:pBdr>
        <w:tabs>
          <w:tab w:val="left" w:pos="0"/>
        </w:tabs>
        <w:ind w:left="851" w:right="62"/>
        <w:jc w:val="both"/>
        <w:rPr>
          <w:rFonts w:ascii="Palatino Linotype" w:eastAsia="Palatino Linotype" w:hAnsi="Palatino Linotype" w:cs="Palatino Linotype"/>
          <w:color w:val="000000"/>
          <w:sz w:val="22"/>
        </w:rPr>
      </w:pPr>
      <w:r w:rsidRPr="00003487">
        <w:rPr>
          <w:rFonts w:ascii="Palatino Linotype" w:eastAsia="Palatino Linotype" w:hAnsi="Palatino Linotype" w:cs="Palatino Linotype"/>
          <w:color w:val="000000"/>
          <w:sz w:val="22"/>
        </w:rPr>
        <w:t xml:space="preserve">Oficio </w:t>
      </w:r>
      <w:r w:rsidRPr="00003487">
        <w:rPr>
          <w:rFonts w:ascii="Palatino Linotype" w:eastAsia="Palatino Linotype" w:hAnsi="Palatino Linotype" w:cs="Palatino Linotype"/>
          <w:b/>
          <w:color w:val="000000"/>
          <w:sz w:val="22"/>
        </w:rPr>
        <w:t>ST/ECA/0123/2024</w:t>
      </w:r>
      <w:r w:rsidRPr="00003487">
        <w:rPr>
          <w:rFonts w:ascii="Palatino Linotype" w:eastAsia="Palatino Linotype" w:hAnsi="Palatino Linotype" w:cs="Palatino Linotype"/>
          <w:color w:val="000000"/>
          <w:sz w:val="22"/>
        </w:rPr>
        <w:t xml:space="preserve">, signado por el Secretario Técnico de Gabinete, mediante el cual informa que la información solicitada de su persona forma parte de su vida personal que no es de carácter público.  </w:t>
      </w:r>
    </w:p>
    <w:p w14:paraId="3B99D33B" w14:textId="77777777" w:rsidR="0000295C" w:rsidRPr="00003487" w:rsidRDefault="0077296B">
      <w:pPr>
        <w:numPr>
          <w:ilvl w:val="0"/>
          <w:numId w:val="1"/>
        </w:numPr>
        <w:pBdr>
          <w:top w:val="nil"/>
          <w:left w:val="nil"/>
          <w:bottom w:val="nil"/>
          <w:right w:val="nil"/>
          <w:between w:val="nil"/>
        </w:pBdr>
        <w:tabs>
          <w:tab w:val="left" w:pos="0"/>
        </w:tabs>
        <w:ind w:left="851" w:right="62"/>
        <w:jc w:val="both"/>
        <w:rPr>
          <w:rFonts w:ascii="Palatino Linotype" w:eastAsia="Palatino Linotype" w:hAnsi="Palatino Linotype" w:cs="Palatino Linotype"/>
          <w:color w:val="000000"/>
          <w:sz w:val="22"/>
        </w:rPr>
      </w:pPr>
      <w:r w:rsidRPr="00003487">
        <w:rPr>
          <w:rFonts w:ascii="Palatino Linotype" w:eastAsia="Palatino Linotype" w:hAnsi="Palatino Linotype" w:cs="Palatino Linotype"/>
          <w:color w:val="000000"/>
          <w:sz w:val="22"/>
        </w:rPr>
        <w:t xml:space="preserve">En el mismo documento se anexa el oficio </w:t>
      </w:r>
      <w:r w:rsidRPr="00003487">
        <w:rPr>
          <w:rFonts w:ascii="Palatino Linotype" w:eastAsia="Palatino Linotype" w:hAnsi="Palatino Linotype" w:cs="Palatino Linotype"/>
          <w:b/>
          <w:color w:val="000000"/>
          <w:sz w:val="22"/>
        </w:rPr>
        <w:t>DA/ECA/SRH/</w:t>
      </w:r>
      <w:proofErr w:type="spellStart"/>
      <w:r w:rsidRPr="00003487">
        <w:rPr>
          <w:rFonts w:ascii="Palatino Linotype" w:eastAsia="Palatino Linotype" w:hAnsi="Palatino Linotype" w:cs="Palatino Linotype"/>
          <w:b/>
          <w:color w:val="000000"/>
          <w:sz w:val="22"/>
        </w:rPr>
        <w:t>DRLyDP</w:t>
      </w:r>
      <w:proofErr w:type="spellEnd"/>
      <w:r w:rsidRPr="00003487">
        <w:rPr>
          <w:rFonts w:ascii="Palatino Linotype" w:eastAsia="Palatino Linotype" w:hAnsi="Palatino Linotype" w:cs="Palatino Linotype"/>
          <w:b/>
          <w:color w:val="000000"/>
          <w:sz w:val="22"/>
        </w:rPr>
        <w:t xml:space="preserve">/901/2024 </w:t>
      </w:r>
      <w:r w:rsidRPr="00003487">
        <w:rPr>
          <w:rFonts w:ascii="Palatino Linotype" w:eastAsia="Palatino Linotype" w:hAnsi="Palatino Linotype" w:cs="Palatino Linotype"/>
          <w:color w:val="000000"/>
          <w:sz w:val="22"/>
        </w:rPr>
        <w:t xml:space="preserve">mediante el cual informa que la Dirección de Administración cuenta con atribuciones ejecutoras para efectos legales y administrativos. </w:t>
      </w:r>
    </w:p>
    <w:p w14:paraId="17493F8D" w14:textId="77777777" w:rsidR="0000295C" w:rsidRPr="00003487" w:rsidRDefault="0000295C">
      <w:pPr>
        <w:pBdr>
          <w:top w:val="nil"/>
          <w:left w:val="nil"/>
          <w:bottom w:val="nil"/>
          <w:right w:val="nil"/>
          <w:between w:val="nil"/>
        </w:pBdr>
        <w:tabs>
          <w:tab w:val="left" w:pos="0"/>
        </w:tabs>
        <w:spacing w:line="360" w:lineRule="auto"/>
        <w:ind w:left="709" w:right="-646"/>
        <w:jc w:val="both"/>
        <w:rPr>
          <w:rFonts w:ascii="Palatino Linotype" w:eastAsia="Palatino Linotype" w:hAnsi="Palatino Linotype" w:cs="Palatino Linotype"/>
          <w:i/>
          <w:color w:val="000000"/>
          <w:sz w:val="22"/>
        </w:rPr>
      </w:pPr>
    </w:p>
    <w:p w14:paraId="7017B1C7" w14:textId="77777777" w:rsidR="0000295C" w:rsidRDefault="0077296B">
      <w:pPr>
        <w:numPr>
          <w:ilvl w:val="0"/>
          <w:numId w:val="5"/>
        </w:numPr>
        <w:pBdr>
          <w:top w:val="nil"/>
          <w:left w:val="nil"/>
          <w:bottom w:val="nil"/>
          <w:right w:val="nil"/>
          <w:between w:val="nil"/>
        </w:pBdr>
        <w:tabs>
          <w:tab w:val="left" w:pos="0"/>
        </w:tabs>
        <w:spacing w:line="360" w:lineRule="auto"/>
        <w:ind w:left="0" w:right="-646"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nueve de mayo de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580C09EA" w14:textId="77777777" w:rsidR="0000295C" w:rsidRDefault="0077296B">
      <w:pPr>
        <w:numPr>
          <w:ilvl w:val="0"/>
          <w:numId w:val="1"/>
        </w:numPr>
        <w:pBdr>
          <w:top w:val="nil"/>
          <w:left w:val="nil"/>
          <w:bottom w:val="nil"/>
          <w:right w:val="nil"/>
          <w:between w:val="nil"/>
        </w:pBdr>
        <w:ind w:left="993" w:right="-646"/>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“no respondió lo solicitado.”</w:t>
      </w:r>
    </w:p>
    <w:p w14:paraId="60E54221" w14:textId="77777777" w:rsidR="0000295C" w:rsidRDefault="0077296B">
      <w:pPr>
        <w:numPr>
          <w:ilvl w:val="0"/>
          <w:numId w:val="1"/>
        </w:numPr>
        <w:pBdr>
          <w:top w:val="nil"/>
          <w:left w:val="nil"/>
          <w:bottom w:val="nil"/>
          <w:right w:val="nil"/>
          <w:between w:val="nil"/>
        </w:pBdr>
        <w:ind w:left="993" w:right="-646"/>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Razones o Motivos de inconformidad: “</w:t>
      </w:r>
      <w:r>
        <w:rPr>
          <w:rFonts w:ascii="Palatino Linotype" w:eastAsia="Palatino Linotype" w:hAnsi="Palatino Linotype" w:cs="Palatino Linotype"/>
          <w:i/>
          <w:color w:val="000000"/>
          <w:sz w:val="22"/>
          <w:szCs w:val="22"/>
        </w:rPr>
        <w:t xml:space="preserve">no respondió lo solicitado.” </w:t>
      </w:r>
      <w:r>
        <w:rPr>
          <w:rFonts w:ascii="Palatino Linotype" w:eastAsia="Palatino Linotype" w:hAnsi="Palatino Linotype" w:cs="Palatino Linotype"/>
          <w:color w:val="000000"/>
          <w:sz w:val="22"/>
          <w:szCs w:val="22"/>
        </w:rPr>
        <w:t>(Sic)</w:t>
      </w:r>
    </w:p>
    <w:p w14:paraId="5626C9F3" w14:textId="77777777" w:rsidR="0000295C" w:rsidRDefault="0000295C">
      <w:pPr>
        <w:pBdr>
          <w:top w:val="nil"/>
          <w:left w:val="nil"/>
          <w:bottom w:val="nil"/>
          <w:right w:val="nil"/>
          <w:between w:val="nil"/>
        </w:pBdr>
        <w:tabs>
          <w:tab w:val="left" w:pos="0"/>
        </w:tabs>
        <w:spacing w:line="360" w:lineRule="auto"/>
        <w:ind w:right="-646"/>
        <w:jc w:val="both"/>
        <w:rPr>
          <w:rFonts w:ascii="Palatino Linotype" w:eastAsia="Palatino Linotype" w:hAnsi="Palatino Linotype" w:cs="Palatino Linotype"/>
          <w:i/>
          <w:color w:val="000000"/>
          <w:u w:val="single"/>
        </w:rPr>
      </w:pPr>
    </w:p>
    <w:p w14:paraId="291E4094"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08A02451" w14:textId="77777777" w:rsidR="0000295C" w:rsidRDefault="0000295C">
      <w:pPr>
        <w:pBdr>
          <w:top w:val="nil"/>
          <w:left w:val="nil"/>
          <w:bottom w:val="nil"/>
          <w:right w:val="nil"/>
          <w:between w:val="nil"/>
        </w:pBdr>
        <w:spacing w:line="360" w:lineRule="auto"/>
        <w:ind w:right="-646"/>
        <w:jc w:val="both"/>
        <w:rPr>
          <w:rFonts w:ascii="Palatino Linotype" w:eastAsia="Palatino Linotype" w:hAnsi="Palatino Linotype" w:cs="Palatino Linotype"/>
          <w:i/>
          <w:color w:val="000000"/>
        </w:rPr>
      </w:pPr>
    </w:p>
    <w:p w14:paraId="029DF3E6"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presentó informe justificado a través de dos archivos, cuyo contenido </w:t>
      </w:r>
      <w:r>
        <w:rPr>
          <w:rFonts w:ascii="Palatino Linotype" w:eastAsia="Palatino Linotype" w:hAnsi="Palatino Linotype" w:cs="Palatino Linotype"/>
          <w:color w:val="000000"/>
          <w:u w:val="single"/>
        </w:rPr>
        <w:t>esencial</w:t>
      </w:r>
      <w:r>
        <w:rPr>
          <w:rFonts w:ascii="Palatino Linotype" w:eastAsia="Palatino Linotype" w:hAnsi="Palatino Linotype" w:cs="Palatino Linotype"/>
          <w:color w:val="000000"/>
        </w:rPr>
        <w:t xml:space="preserve"> es el siguiente: </w:t>
      </w:r>
    </w:p>
    <w:p w14:paraId="00A26213" w14:textId="77777777" w:rsidR="0000295C" w:rsidRDefault="0077296B" w:rsidP="00003487">
      <w:pPr>
        <w:numPr>
          <w:ilvl w:val="0"/>
          <w:numId w:val="3"/>
        </w:numPr>
        <w:pBdr>
          <w:top w:val="nil"/>
          <w:left w:val="nil"/>
          <w:bottom w:val="nil"/>
          <w:right w:val="nil"/>
          <w:between w:val="nil"/>
        </w:pBdr>
        <w:ind w:left="709"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sol169.pdf: </w:t>
      </w:r>
      <w:r>
        <w:rPr>
          <w:rFonts w:ascii="Palatino Linotype" w:eastAsia="Palatino Linotype" w:hAnsi="Palatino Linotype" w:cs="Palatino Linotype"/>
          <w:color w:val="000000"/>
          <w:sz w:val="22"/>
          <w:szCs w:val="22"/>
        </w:rPr>
        <w:t xml:space="preserve">Oficio </w:t>
      </w:r>
      <w:r>
        <w:rPr>
          <w:rFonts w:ascii="Palatino Linotype" w:eastAsia="Palatino Linotype" w:hAnsi="Palatino Linotype" w:cs="Palatino Linotype"/>
          <w:b/>
          <w:color w:val="000000"/>
          <w:sz w:val="22"/>
          <w:szCs w:val="22"/>
        </w:rPr>
        <w:t>DA/ECA/SRH/</w:t>
      </w:r>
      <w:proofErr w:type="spellStart"/>
      <w:r>
        <w:rPr>
          <w:rFonts w:ascii="Palatino Linotype" w:eastAsia="Palatino Linotype" w:hAnsi="Palatino Linotype" w:cs="Palatino Linotype"/>
          <w:b/>
          <w:color w:val="000000"/>
          <w:sz w:val="22"/>
          <w:szCs w:val="22"/>
        </w:rPr>
        <w:t>DRLyDP</w:t>
      </w:r>
      <w:proofErr w:type="spellEnd"/>
      <w:r>
        <w:rPr>
          <w:rFonts w:ascii="Palatino Linotype" w:eastAsia="Palatino Linotype" w:hAnsi="Palatino Linotype" w:cs="Palatino Linotype"/>
          <w:b/>
          <w:color w:val="000000"/>
          <w:sz w:val="22"/>
          <w:szCs w:val="22"/>
        </w:rPr>
        <w:t>/1600/2024</w:t>
      </w:r>
      <w:r>
        <w:rPr>
          <w:rFonts w:ascii="Palatino Linotype" w:eastAsia="Palatino Linotype" w:hAnsi="Palatino Linotype" w:cs="Palatino Linotype"/>
          <w:color w:val="000000"/>
          <w:sz w:val="22"/>
          <w:szCs w:val="22"/>
        </w:rPr>
        <w:t xml:space="preserve"> de la Encargada del Despacho de la Dirección de Administración, mediante el cual informa que la Dirección de Administración cuenta con atribuciones para realizar movimientos en el Sistema de Nómina, así como los movimientos de baja en la nómina, en el mismo oficio refiere que la relación laboral de los servidores públicos referidos en la solicitud de información es exclusivamente laboral. </w:t>
      </w:r>
    </w:p>
    <w:p w14:paraId="70992A20" w14:textId="77777777" w:rsidR="0000295C" w:rsidRDefault="0077296B" w:rsidP="00003487">
      <w:pPr>
        <w:numPr>
          <w:ilvl w:val="0"/>
          <w:numId w:val="3"/>
        </w:numPr>
        <w:pBdr>
          <w:top w:val="nil"/>
          <w:left w:val="nil"/>
          <w:bottom w:val="nil"/>
          <w:right w:val="nil"/>
          <w:between w:val="nil"/>
        </w:pBdr>
        <w:ind w:left="709"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u w:val="single"/>
        </w:rPr>
        <w:lastRenderedPageBreak/>
        <w:t>sol 169030624.pdf</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oficios de la Titular de la Unidad de Transparencia mediante el cual solicita a la Encargada del Despacho de </w:t>
      </w:r>
      <w:proofErr w:type="gramStart"/>
      <w:r>
        <w:rPr>
          <w:rFonts w:ascii="Palatino Linotype" w:eastAsia="Palatino Linotype" w:hAnsi="Palatino Linotype" w:cs="Palatino Linotype"/>
          <w:color w:val="000000"/>
          <w:sz w:val="22"/>
          <w:szCs w:val="22"/>
        </w:rPr>
        <w:t>la  Dirección</w:t>
      </w:r>
      <w:proofErr w:type="gramEnd"/>
      <w:r>
        <w:rPr>
          <w:rFonts w:ascii="Palatino Linotype" w:eastAsia="Palatino Linotype" w:hAnsi="Palatino Linotype" w:cs="Palatino Linotype"/>
          <w:color w:val="000000"/>
          <w:sz w:val="22"/>
          <w:szCs w:val="22"/>
        </w:rPr>
        <w:t xml:space="preserve"> de Administración remita la respuesta del informe justificado que deviene del oficio ST/ECA/0123/2024. </w:t>
      </w:r>
    </w:p>
    <w:p w14:paraId="3EF1F971" w14:textId="77777777" w:rsidR="0000295C" w:rsidRDefault="0077296B" w:rsidP="00003487">
      <w:pPr>
        <w:numPr>
          <w:ilvl w:val="0"/>
          <w:numId w:val="3"/>
        </w:numPr>
        <w:pBdr>
          <w:top w:val="nil"/>
          <w:left w:val="nil"/>
          <w:bottom w:val="nil"/>
          <w:right w:val="nil"/>
          <w:between w:val="nil"/>
        </w:pBdr>
        <w:ind w:left="709"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mismo archivo mediante el oficio </w:t>
      </w:r>
      <w:r>
        <w:rPr>
          <w:rFonts w:ascii="Palatino Linotype" w:eastAsia="Palatino Linotype" w:hAnsi="Palatino Linotype" w:cs="Palatino Linotype"/>
          <w:b/>
          <w:color w:val="000000"/>
          <w:sz w:val="22"/>
          <w:szCs w:val="22"/>
        </w:rPr>
        <w:t>DA/ECA/SRH/</w:t>
      </w:r>
      <w:proofErr w:type="spellStart"/>
      <w:r>
        <w:rPr>
          <w:rFonts w:ascii="Palatino Linotype" w:eastAsia="Palatino Linotype" w:hAnsi="Palatino Linotype" w:cs="Palatino Linotype"/>
          <w:b/>
          <w:color w:val="000000"/>
          <w:sz w:val="22"/>
          <w:szCs w:val="22"/>
        </w:rPr>
        <w:t>DRLyDP</w:t>
      </w:r>
      <w:proofErr w:type="spellEnd"/>
      <w:r>
        <w:rPr>
          <w:rFonts w:ascii="Palatino Linotype" w:eastAsia="Palatino Linotype" w:hAnsi="Palatino Linotype" w:cs="Palatino Linotype"/>
          <w:b/>
          <w:color w:val="000000"/>
          <w:sz w:val="22"/>
          <w:szCs w:val="22"/>
        </w:rPr>
        <w:t xml:space="preserve">/1527/2024 </w:t>
      </w:r>
      <w:r>
        <w:rPr>
          <w:rFonts w:ascii="Palatino Linotype" w:eastAsia="Palatino Linotype" w:hAnsi="Palatino Linotype" w:cs="Palatino Linotype"/>
          <w:color w:val="000000"/>
          <w:sz w:val="22"/>
          <w:szCs w:val="22"/>
        </w:rPr>
        <w:t xml:space="preserve">la Encargada del Despacho de la Dirección de Administración refiere que no dieron respuesta con el oficio ST/ECA/0123/2024. </w:t>
      </w:r>
    </w:p>
    <w:p w14:paraId="63FB3964" w14:textId="77777777" w:rsidR="0000295C" w:rsidRDefault="0000295C">
      <w:pPr>
        <w:pBdr>
          <w:top w:val="nil"/>
          <w:left w:val="nil"/>
          <w:bottom w:val="nil"/>
          <w:right w:val="nil"/>
          <w:between w:val="nil"/>
        </w:pBdr>
        <w:ind w:left="709" w:right="-646"/>
        <w:jc w:val="both"/>
        <w:rPr>
          <w:rFonts w:ascii="Palatino Linotype" w:eastAsia="Palatino Linotype" w:hAnsi="Palatino Linotype" w:cs="Palatino Linotype"/>
          <w:color w:val="000000"/>
        </w:rPr>
      </w:pPr>
    </w:p>
    <w:p w14:paraId="37D5AD43" w14:textId="77777777" w:rsidR="0000295C" w:rsidRDefault="0000295C">
      <w:pPr>
        <w:pBdr>
          <w:top w:val="nil"/>
          <w:left w:val="nil"/>
          <w:bottom w:val="nil"/>
          <w:right w:val="nil"/>
          <w:between w:val="nil"/>
        </w:pBdr>
        <w:spacing w:line="360" w:lineRule="auto"/>
        <w:ind w:left="360" w:right="-646"/>
        <w:jc w:val="both"/>
        <w:rPr>
          <w:rFonts w:ascii="Palatino Linotype" w:eastAsia="Palatino Linotype" w:hAnsi="Palatino Linotype" w:cs="Palatino Linotype"/>
          <w:color w:val="000000"/>
        </w:rPr>
      </w:pPr>
    </w:p>
    <w:p w14:paraId="1B64A774"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14:paraId="7F78C4E2" w14:textId="77777777" w:rsidR="0000295C" w:rsidRDefault="0000295C">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572617B3"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B6802C5" w14:textId="77777777" w:rsidR="0000295C" w:rsidRDefault="0000295C">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103F2A1E"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3F7FC3"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14:paraId="391544E4" w14:textId="77777777" w:rsidR="0000295C" w:rsidRDefault="0000295C">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0000ABA2"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34C5204C" w14:textId="77777777" w:rsidR="0000295C" w:rsidRDefault="0077296B">
      <w:pPr>
        <w:numPr>
          <w:ilvl w:val="0"/>
          <w:numId w:val="6"/>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0974D12A" w14:textId="77777777" w:rsidR="0000295C" w:rsidRDefault="0077296B">
      <w:pPr>
        <w:numPr>
          <w:ilvl w:val="0"/>
          <w:numId w:val="6"/>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188F972" w14:textId="77777777" w:rsidR="0000295C" w:rsidRDefault="0077296B">
      <w:pPr>
        <w:numPr>
          <w:ilvl w:val="0"/>
          <w:numId w:val="6"/>
        </w:numPr>
        <w:pBdr>
          <w:top w:val="nil"/>
          <w:left w:val="nil"/>
          <w:bottom w:val="nil"/>
          <w:right w:val="nil"/>
          <w:between w:val="nil"/>
        </w:pBdr>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5ED6654D" w14:textId="77777777" w:rsidR="0000295C" w:rsidRDefault="0077296B">
      <w:pPr>
        <w:ind w:left="851" w:right="62"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61F92179" w14:textId="77777777" w:rsidR="0000295C" w:rsidRDefault="0000295C">
      <w:pPr>
        <w:spacing w:line="360" w:lineRule="auto"/>
        <w:ind w:left="851" w:right="-646" w:hanging="284"/>
        <w:jc w:val="both"/>
        <w:rPr>
          <w:rFonts w:ascii="Palatino Linotype" w:eastAsia="Palatino Linotype" w:hAnsi="Palatino Linotype" w:cs="Palatino Linotype"/>
        </w:rPr>
      </w:pPr>
    </w:p>
    <w:p w14:paraId="2D860B61"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6F5BB6" w14:textId="77777777" w:rsidR="0000295C" w:rsidRDefault="0000295C">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6D1E15EE" w14:textId="77777777" w:rsidR="0000295C" w:rsidRDefault="0077296B">
      <w:pPr>
        <w:numPr>
          <w:ilvl w:val="0"/>
          <w:numId w:val="5"/>
        </w:numPr>
        <w:pBdr>
          <w:top w:val="nil"/>
          <w:left w:val="nil"/>
          <w:bottom w:val="nil"/>
          <w:right w:val="nil"/>
          <w:between w:val="nil"/>
        </w:pBdr>
        <w:spacing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363C29DF" w14:textId="77777777" w:rsidR="0000295C" w:rsidRDefault="0000295C">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3D1F24C2" w14:textId="77777777" w:rsidR="0000295C" w:rsidRDefault="0077296B">
      <w:pPr>
        <w:numPr>
          <w:ilvl w:val="0"/>
          <w:numId w:val="5"/>
        </w:numPr>
        <w:pBdr>
          <w:top w:val="nil"/>
          <w:left w:val="nil"/>
          <w:bottom w:val="nil"/>
          <w:right w:val="nil"/>
          <w:between w:val="nil"/>
        </w:pBdr>
        <w:spacing w:line="360" w:lineRule="auto"/>
        <w:ind w:left="0" w:right="-646"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lastRenderedPageBreak/>
        <w:t xml:space="preserve">Seguidamente, en fecha </w:t>
      </w:r>
      <w:r>
        <w:rPr>
          <w:rFonts w:ascii="Palatino Linotype" w:eastAsia="Palatino Linotype" w:hAnsi="Palatino Linotype" w:cs="Palatino Linotype"/>
          <w:b/>
          <w:color w:val="000000"/>
        </w:rPr>
        <w:t>catorce de agosto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6ED1EAA9" w14:textId="77777777" w:rsidR="0000295C" w:rsidRDefault="0000295C">
      <w:pPr>
        <w:pBdr>
          <w:top w:val="nil"/>
          <w:left w:val="nil"/>
          <w:bottom w:val="nil"/>
          <w:right w:val="nil"/>
          <w:between w:val="nil"/>
        </w:pBdr>
        <w:spacing w:line="360" w:lineRule="auto"/>
        <w:ind w:left="360" w:right="-646"/>
        <w:jc w:val="both"/>
        <w:rPr>
          <w:rFonts w:ascii="Palatino Linotype" w:eastAsia="Palatino Linotype" w:hAnsi="Palatino Linotype" w:cs="Palatino Linotype"/>
        </w:rPr>
      </w:pPr>
      <w:bookmarkStart w:id="4" w:name="_heading=h.otmntjqrn8tb" w:colFirst="0" w:colLast="0"/>
      <w:bookmarkEnd w:id="4"/>
    </w:p>
    <w:p w14:paraId="06243A7A" w14:textId="77777777" w:rsidR="0000295C" w:rsidRDefault="0077296B">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36E40F25" w14:textId="77777777" w:rsidR="0000295C" w:rsidRDefault="0000295C">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6625DA74" w14:textId="77777777" w:rsidR="0000295C" w:rsidRDefault="0077296B">
      <w:pPr>
        <w:pStyle w:val="Ttulo2"/>
        <w:spacing w:before="0" w:line="360" w:lineRule="auto"/>
        <w:ind w:right="-646"/>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PRIMERA. Competencia</w:t>
      </w:r>
    </w:p>
    <w:p w14:paraId="553A7014"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DEA843C" w14:textId="77777777" w:rsidR="0000295C" w:rsidRDefault="0000295C">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p>
    <w:p w14:paraId="68DFCAE2" w14:textId="77777777" w:rsidR="0000295C" w:rsidRDefault="0077296B">
      <w:pPr>
        <w:pStyle w:val="Ttulo2"/>
        <w:spacing w:before="0" w:line="360" w:lineRule="auto"/>
        <w:ind w:right="-646"/>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SEGUNDA. Procedencia.</w:t>
      </w:r>
    </w:p>
    <w:p w14:paraId="6C773F2D" w14:textId="77777777" w:rsidR="0000295C" w:rsidRPr="00003487" w:rsidRDefault="0077296B">
      <w:pPr>
        <w:numPr>
          <w:ilvl w:val="0"/>
          <w:numId w:val="5"/>
        </w:numPr>
        <w:spacing w:line="360" w:lineRule="auto"/>
        <w:ind w:left="0" w:right="-646"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14:paraId="35BFA3F3" w14:textId="77777777" w:rsidR="00003487" w:rsidRDefault="00003487" w:rsidP="00003487">
      <w:pPr>
        <w:spacing w:line="360" w:lineRule="auto"/>
        <w:ind w:right="-646"/>
        <w:jc w:val="both"/>
      </w:pPr>
    </w:p>
    <w:p w14:paraId="14016BD6"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159299F5" w14:textId="77777777" w:rsidR="0000295C" w:rsidRDefault="0000295C">
      <w:pPr>
        <w:pBdr>
          <w:top w:val="nil"/>
          <w:left w:val="nil"/>
          <w:bottom w:val="nil"/>
          <w:right w:val="nil"/>
          <w:between w:val="nil"/>
        </w:pBdr>
        <w:spacing w:line="360" w:lineRule="auto"/>
        <w:ind w:right="-646"/>
        <w:rPr>
          <w:rFonts w:ascii="Palatino Linotype" w:eastAsia="Palatino Linotype" w:hAnsi="Palatino Linotype" w:cs="Palatino Linotype"/>
          <w:color w:val="000000"/>
        </w:rPr>
      </w:pPr>
    </w:p>
    <w:p w14:paraId="3428FBBC" w14:textId="77777777" w:rsidR="0000295C" w:rsidRDefault="0077296B">
      <w:pPr>
        <w:pStyle w:val="Ttulo1"/>
        <w:spacing w:before="0" w:line="360" w:lineRule="auto"/>
        <w:ind w:right="-646"/>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TERCERA. Descripción de hechos y planteamiento de la controversia.</w:t>
      </w:r>
    </w:p>
    <w:p w14:paraId="234E29D3"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Se solicitó tener acceso a la información anteriormente transcrita en su literalidad en el </w:t>
      </w:r>
      <w:r>
        <w:rPr>
          <w:rFonts w:ascii="Palatino Linotype" w:eastAsia="Palatino Linotype" w:hAnsi="Palatino Linotype" w:cs="Palatino Linotype"/>
        </w:rPr>
        <w:t>párrafo</w:t>
      </w:r>
      <w:r>
        <w:rPr>
          <w:rFonts w:ascii="Palatino Linotype" w:eastAsia="Palatino Linotype" w:hAnsi="Palatino Linotype" w:cs="Palatino Linotype"/>
          <w:color w:val="000000"/>
        </w:rPr>
        <w:t xml:space="preserve"> 1. En respuesta,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remitió los archivos ya descritos en el anterior Párrafo 2. Inconforme con la respuesta, se interpuso recurso de revisión argumentando sustancialmente la negativa de la información solicitada.</w:t>
      </w:r>
    </w:p>
    <w:p w14:paraId="08A744EB" w14:textId="77777777" w:rsidR="0000295C" w:rsidRDefault="0000295C">
      <w:pPr>
        <w:spacing w:line="360" w:lineRule="auto"/>
        <w:ind w:right="-646"/>
        <w:jc w:val="both"/>
        <w:rPr>
          <w:rFonts w:ascii="Palatino Linotype" w:eastAsia="Palatino Linotype" w:hAnsi="Palatino Linotype" w:cs="Palatino Linotype"/>
          <w:i/>
          <w:color w:val="000000"/>
        </w:rPr>
      </w:pPr>
    </w:p>
    <w:p w14:paraId="140BA6DE"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 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w:t>
      </w:r>
      <w:proofErr w:type="gramStart"/>
      <w:r>
        <w:rPr>
          <w:rFonts w:ascii="Palatino Linotype" w:eastAsia="Palatino Linotype" w:hAnsi="Palatino Linotype" w:cs="Palatino Linotype"/>
          <w:color w:val="000000"/>
        </w:rPr>
        <w:t>la  negativa</w:t>
      </w:r>
      <w:proofErr w:type="gramEnd"/>
      <w:r>
        <w:rPr>
          <w:rFonts w:ascii="Palatino Linotype" w:eastAsia="Palatino Linotype" w:hAnsi="Palatino Linotype" w:cs="Palatino Linotype"/>
          <w:color w:val="000000"/>
        </w:rPr>
        <w:t xml:space="preserve"> de la información solicitada; </w:t>
      </w:r>
      <w:r>
        <w:rPr>
          <w:rFonts w:ascii="Palatino Linotype" w:eastAsia="Palatino Linotype" w:hAnsi="Palatino Linotype" w:cs="Palatino Linotype"/>
        </w:rPr>
        <w:t>contexto del cual se dolió la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1E0D4EAB" w14:textId="77777777" w:rsidR="0000295C" w:rsidRDefault="0000295C">
      <w:pPr>
        <w:spacing w:line="360" w:lineRule="auto"/>
        <w:ind w:right="-646"/>
        <w:rPr>
          <w:rFonts w:ascii="Palatino Linotype" w:eastAsia="Palatino Linotype" w:hAnsi="Palatino Linotype" w:cs="Palatino Linotype"/>
        </w:rPr>
      </w:pPr>
    </w:p>
    <w:p w14:paraId="7F8FBC8D" w14:textId="77777777" w:rsidR="0000295C" w:rsidRDefault="0077296B">
      <w:pPr>
        <w:pStyle w:val="Ttulo2"/>
        <w:spacing w:before="0" w:line="360" w:lineRule="auto"/>
        <w:ind w:right="-646"/>
        <w:rPr>
          <w:rFonts w:ascii="Palatino Linotype" w:eastAsia="Palatino Linotype" w:hAnsi="Palatino Linotype" w:cs="Palatino Linotype"/>
          <w:b/>
          <w:color w:val="000000"/>
          <w:sz w:val="24"/>
          <w:szCs w:val="24"/>
        </w:rPr>
      </w:pPr>
      <w:bookmarkStart w:id="8" w:name="_heading=h.1t3h5sf" w:colFirst="0" w:colLast="0"/>
      <w:bookmarkEnd w:id="8"/>
      <w:r>
        <w:rPr>
          <w:rFonts w:ascii="Palatino Linotype" w:eastAsia="Palatino Linotype" w:hAnsi="Palatino Linotype" w:cs="Palatino Linotype"/>
          <w:b/>
          <w:color w:val="000000"/>
          <w:sz w:val="24"/>
          <w:szCs w:val="24"/>
        </w:rPr>
        <w:lastRenderedPageBreak/>
        <w:t>CUARTA. Estudio de la controversia.</w:t>
      </w:r>
    </w:p>
    <w:p w14:paraId="48416389"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0F94516B" w14:textId="77777777" w:rsidR="0000295C" w:rsidRDefault="0000295C">
      <w:pPr>
        <w:spacing w:line="360" w:lineRule="auto"/>
        <w:ind w:right="-646"/>
        <w:jc w:val="both"/>
        <w:rPr>
          <w:rFonts w:ascii="Palatino Linotype" w:eastAsia="Palatino Linotype" w:hAnsi="Palatino Linotype" w:cs="Palatino Linotype"/>
        </w:rPr>
      </w:pPr>
    </w:p>
    <w:p w14:paraId="480436C2"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4B595DA" w14:textId="77777777" w:rsidR="0000295C" w:rsidRDefault="0000295C">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2542C32F"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w:t>
      </w:r>
      <w:r>
        <w:rPr>
          <w:rFonts w:ascii="Palatino Linotype" w:eastAsia="Palatino Linotype" w:hAnsi="Palatino Linotype" w:cs="Palatino Linotype"/>
        </w:rPr>
        <w:lastRenderedPageBreak/>
        <w:t>encontrarse publicada en cualquier medio de difusión o porque la requieren a través de una solicitud de acceso a la información, siempre y cuando no encuadre en una de las excepciones contempladas por la ley.</w:t>
      </w:r>
    </w:p>
    <w:p w14:paraId="0D46A6A3" w14:textId="77777777" w:rsidR="0000295C" w:rsidRDefault="0000295C">
      <w:pPr>
        <w:spacing w:line="360" w:lineRule="auto"/>
        <w:ind w:left="360" w:right="-646"/>
        <w:jc w:val="both"/>
        <w:rPr>
          <w:rFonts w:ascii="Palatino Linotype" w:eastAsia="Palatino Linotype" w:hAnsi="Palatino Linotype" w:cs="Palatino Linotype"/>
        </w:rPr>
      </w:pPr>
    </w:p>
    <w:p w14:paraId="6A737668" w14:textId="77777777" w:rsidR="0000295C" w:rsidRDefault="0077296B">
      <w:pPr>
        <w:numPr>
          <w:ilvl w:val="0"/>
          <w:numId w:val="2"/>
        </w:numPr>
        <w:pBdr>
          <w:top w:val="nil"/>
          <w:left w:val="nil"/>
          <w:bottom w:val="nil"/>
          <w:right w:val="nil"/>
          <w:between w:val="nil"/>
        </w:pBdr>
        <w:spacing w:line="360" w:lineRule="auto"/>
        <w:ind w:right="-64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las causales de sobreseimiento</w:t>
      </w:r>
    </w:p>
    <w:p w14:paraId="6A9260A6"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 xml:space="preserve">Dicho lo anterior y atendiendo a que la controversia a resolver, </w:t>
      </w:r>
      <w:proofErr w:type="gramStart"/>
      <w:r>
        <w:rPr>
          <w:rFonts w:ascii="Palatino Linotype" w:eastAsia="Palatino Linotype" w:hAnsi="Palatino Linotype" w:cs="Palatino Linotype"/>
        </w:rPr>
        <w:t>primeramente</w:t>
      </w:r>
      <w:proofErr w:type="gramEnd"/>
      <w:r>
        <w:rPr>
          <w:rFonts w:ascii="Palatino Linotype" w:eastAsia="Palatino Linotype" w:hAnsi="Palatino Linotype" w:cs="Palatino Linotype"/>
        </w:rPr>
        <w:t xml:space="preserve"> se debe de señalar que el particular no pretende acceder a soporte documental generado, poseído o administrado por el Sujeto Obligado previo a la interposición de la solicitud de información; sino que pretende satisfacer dudas o inquietudes personales, por lo que se concluye que se está en presencia del ejercicio de un derecho diverso como lo es el de petición. </w:t>
      </w:r>
    </w:p>
    <w:p w14:paraId="0C92BD97" w14:textId="77777777" w:rsidR="0000295C" w:rsidRDefault="0000295C">
      <w:pPr>
        <w:spacing w:line="360" w:lineRule="auto"/>
        <w:ind w:right="-646"/>
        <w:jc w:val="both"/>
        <w:rPr>
          <w:rFonts w:ascii="Palatino Linotype" w:eastAsia="Palatino Linotype" w:hAnsi="Palatino Linotype" w:cs="Palatino Linotype"/>
        </w:rPr>
      </w:pPr>
    </w:p>
    <w:p w14:paraId="747FF1F0"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 xml:space="preserve">Por lo anterior, este Instituto realiza el estudio de las </w:t>
      </w:r>
      <w:proofErr w:type="gramStart"/>
      <w:r>
        <w:rPr>
          <w:rFonts w:ascii="Palatino Linotype" w:eastAsia="Palatino Linotype" w:hAnsi="Palatino Linotype" w:cs="Palatino Linotype"/>
        </w:rPr>
        <w:t>cuales</w:t>
      </w:r>
      <w:proofErr w:type="gramEnd"/>
      <w:r>
        <w:rPr>
          <w:rFonts w:ascii="Palatino Linotype" w:eastAsia="Palatino Linotype" w:hAnsi="Palatino Linotype" w:cs="Palatino Linotype"/>
        </w:rPr>
        <w:t xml:space="preserve"> de improcedencia, en el entendido de que las mismas deben ser analizadas sea que las hayan hecho valer o no las partes, por tratarse de una cuestión de orden público y de estudio preferente, atento a lo establecido por la Jurisprudencia número 940, publicada en la página 1538 de la Segunda Parte del Apéndice del Semanario Judicial de la Federación 1917-1918 que a la letra señala:</w:t>
      </w:r>
    </w:p>
    <w:p w14:paraId="6B718B35" w14:textId="77777777" w:rsidR="0000295C" w:rsidRDefault="0077296B" w:rsidP="00003487">
      <w:pPr>
        <w:pBdr>
          <w:top w:val="nil"/>
          <w:left w:val="nil"/>
          <w:bottom w:val="nil"/>
          <w:right w:val="nil"/>
          <w:between w:val="nil"/>
        </w:pBdr>
        <w:spacing w:before="240" w:after="240"/>
        <w:ind w:left="567" w:right="19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“Improcedencia: Sea que las partes la aleguen o no, debe examinarse previamente la procedencia del juicio de amparo, por ser cuestión de orden público en el juicio de garantías</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Sic)</w:t>
      </w:r>
    </w:p>
    <w:p w14:paraId="7DF65661"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Por su parte los artículos 186, 191 y 192 de la Ley en cita, disponen lo siguiente:</w:t>
      </w:r>
    </w:p>
    <w:p w14:paraId="6E5CB741" w14:textId="77777777" w:rsidR="0000295C" w:rsidRDefault="0077296B">
      <w:pPr>
        <w:pBdr>
          <w:top w:val="nil"/>
          <w:left w:val="nil"/>
          <w:bottom w:val="nil"/>
          <w:right w:val="nil"/>
          <w:between w:val="nil"/>
        </w:pBdr>
        <w:spacing w:before="240" w:after="240"/>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“Artículo 186. Las resoluciones del Instituto podrán:</w:t>
      </w:r>
    </w:p>
    <w:p w14:paraId="75EF27BB" w14:textId="77777777" w:rsidR="0000295C" w:rsidRDefault="0077296B">
      <w:pPr>
        <w:pBdr>
          <w:top w:val="nil"/>
          <w:left w:val="nil"/>
          <w:bottom w:val="nil"/>
          <w:right w:val="nil"/>
          <w:between w:val="nil"/>
        </w:pBdr>
        <w:spacing w:before="240"/>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b/>
          <w:i/>
          <w:color w:val="000000"/>
          <w:sz w:val="22"/>
          <w:szCs w:val="22"/>
        </w:rPr>
        <w:t>I. Desechar o sobreseer el recurso;</w:t>
      </w:r>
    </w:p>
    <w:p w14:paraId="72D41928"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lastRenderedPageBreak/>
        <w:t>II. Confirmar la respuesta del sujeto obligado;</w:t>
      </w:r>
    </w:p>
    <w:p w14:paraId="4DD606D8"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III. Revocar o modificar la respuesta del sujeto obligado; y</w:t>
      </w:r>
    </w:p>
    <w:p w14:paraId="26D17B4A" w14:textId="77777777" w:rsidR="0000295C" w:rsidRDefault="0077296B">
      <w:pPr>
        <w:pBdr>
          <w:top w:val="nil"/>
          <w:left w:val="nil"/>
          <w:bottom w:val="nil"/>
          <w:right w:val="nil"/>
          <w:between w:val="nil"/>
        </w:pBdr>
        <w:ind w:left="851"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Ordenar la entrega de la información…”</w:t>
      </w:r>
    </w:p>
    <w:p w14:paraId="4D739229" w14:textId="77777777" w:rsidR="0000295C" w:rsidRDefault="0000295C">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p>
    <w:p w14:paraId="65BB0549"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 xml:space="preserve"> Artículo 191. El recurso será desechado por improcedente cuando:</w:t>
      </w:r>
    </w:p>
    <w:p w14:paraId="52C6ABEB"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I. Sea extemporáneo por haber transcurrido el plazo establecido en la presente Ley, a partir de la respuesta;</w:t>
      </w:r>
    </w:p>
    <w:p w14:paraId="2ABE2D84"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II. Se esté tramitando ante el Poder Judicial de la Federación algún recurso o medio de defensa interpuesto por el recurrente;</w:t>
      </w:r>
    </w:p>
    <w:p w14:paraId="5CE4DDF1"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III. No actualice alguno de los supuestos previstos en la presente Ley;</w:t>
      </w:r>
    </w:p>
    <w:p w14:paraId="53236135"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0F55155C"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V. Se impugne la veracidad de la información proporcionada;</w:t>
      </w:r>
    </w:p>
    <w:p w14:paraId="4E211B80"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b/>
          <w:i/>
          <w:color w:val="000000"/>
          <w:sz w:val="22"/>
          <w:szCs w:val="22"/>
          <w:u w:val="single"/>
        </w:rPr>
        <w:t>VI. Se trate de una consulta</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o trámite en específico; y</w:t>
      </w:r>
    </w:p>
    <w:p w14:paraId="6728D65D"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24B497F6" w14:textId="77777777" w:rsidR="0000295C" w:rsidRDefault="0000295C">
      <w:pPr>
        <w:pBdr>
          <w:top w:val="nil"/>
          <w:left w:val="nil"/>
          <w:bottom w:val="nil"/>
          <w:right w:val="nil"/>
          <w:between w:val="nil"/>
        </w:pBdr>
        <w:ind w:left="851" w:right="62"/>
        <w:jc w:val="both"/>
        <w:rPr>
          <w:rFonts w:ascii="Palatino Linotype" w:eastAsia="Palatino Linotype" w:hAnsi="Palatino Linotype" w:cs="Palatino Linotype"/>
          <w:i/>
          <w:color w:val="000000"/>
          <w:sz w:val="22"/>
          <w:szCs w:val="22"/>
        </w:rPr>
      </w:pPr>
    </w:p>
    <w:p w14:paraId="3F367A9B"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“Artículo 192. El recurso será sobreseído, en todo o en parte, cuando una vez admitido, se actualicen alguno de los siguientes supuestos:</w:t>
      </w:r>
    </w:p>
    <w:p w14:paraId="280A55AA"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I. El recurrente se desista expresamente del recurso;</w:t>
      </w:r>
    </w:p>
    <w:p w14:paraId="2F852DEE"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II. El recurrente fallezca o, tratándose de personas jurídicas colectivas, se disuelva;</w:t>
      </w:r>
    </w:p>
    <w:p w14:paraId="233FCEC4"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III. El sujeto obligado responsable del acto lo modifique o revoque de tal manera que el recurso de revisión quede sin materia;</w:t>
      </w:r>
    </w:p>
    <w:p w14:paraId="61EBFDBB"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b/>
          <w:i/>
          <w:color w:val="000000"/>
          <w:sz w:val="22"/>
          <w:szCs w:val="22"/>
        </w:rPr>
        <w:t>IV. Admitido el recurso de revisión, aparezca alguna causal de improcedencia en los términos de la presente Ley; y</w:t>
      </w:r>
    </w:p>
    <w:p w14:paraId="3571E88B" w14:textId="77777777" w:rsidR="0000295C" w:rsidRDefault="0077296B">
      <w:p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r>
        <w:rPr>
          <w:rFonts w:ascii="Palatino Linotype" w:eastAsia="Palatino Linotype" w:hAnsi="Palatino Linotype" w:cs="Palatino Linotype"/>
          <w:i/>
          <w:color w:val="000000"/>
          <w:sz w:val="22"/>
          <w:szCs w:val="22"/>
        </w:rPr>
        <w:t>V. Cuando por cualquier motivo quede sin materia el recurso.” (Sic)</w:t>
      </w:r>
    </w:p>
    <w:p w14:paraId="6DF2EEC4" w14:textId="77777777" w:rsidR="0000295C" w:rsidRDefault="0000295C">
      <w:pPr>
        <w:pBdr>
          <w:top w:val="nil"/>
          <w:left w:val="nil"/>
          <w:bottom w:val="nil"/>
          <w:right w:val="nil"/>
          <w:between w:val="nil"/>
        </w:pBdr>
        <w:spacing w:after="240" w:line="360" w:lineRule="auto"/>
        <w:ind w:left="851" w:right="-646"/>
        <w:jc w:val="both"/>
        <w:rPr>
          <w:rFonts w:ascii="Palatino Linotype" w:eastAsia="Palatino Linotype" w:hAnsi="Palatino Linotype" w:cs="Palatino Linotype"/>
          <w:color w:val="000000"/>
        </w:rPr>
      </w:pPr>
    </w:p>
    <w:p w14:paraId="1BBEBFFA"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En el presente caso, se advierte que, una vez admitido el Recurso de Revisión y en su estudio a detalle, surgió la causal de improcedencia, prevista en el artículo 191 fracción VI de la Ley de Transparencia y Acceso a la Información Pública del Estado de México y Municipios.</w:t>
      </w:r>
    </w:p>
    <w:p w14:paraId="7FD7AD83"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 xml:space="preserve">Trayendo consigo </w:t>
      </w:r>
      <w:proofErr w:type="gramStart"/>
      <w:r>
        <w:rPr>
          <w:rFonts w:ascii="Palatino Linotype" w:eastAsia="Palatino Linotype" w:hAnsi="Palatino Linotype" w:cs="Palatino Linotype"/>
        </w:rPr>
        <w:t>a  lo</w:t>
      </w:r>
      <w:proofErr w:type="gramEnd"/>
      <w:r>
        <w:rPr>
          <w:rFonts w:ascii="Palatino Linotype" w:eastAsia="Palatino Linotype" w:hAnsi="Palatino Linotype" w:cs="Palatino Linotype"/>
        </w:rPr>
        <w:t xml:space="preserve"> previsto en la fracción IV del artículo 192, en razón a que al haber sido el recurso y al actualizarse una causal de improcedencia, debe ser </w:t>
      </w:r>
      <w:r>
        <w:rPr>
          <w:rFonts w:ascii="Palatino Linotype" w:eastAsia="Palatino Linotype" w:hAnsi="Palatino Linotype" w:cs="Palatino Linotype"/>
          <w:b/>
        </w:rPr>
        <w:t>sobreseído.</w:t>
      </w:r>
    </w:p>
    <w:p w14:paraId="102876AD" w14:textId="77777777" w:rsidR="0000295C" w:rsidRDefault="0000295C">
      <w:pPr>
        <w:spacing w:line="360" w:lineRule="auto"/>
        <w:ind w:right="-646"/>
        <w:jc w:val="both"/>
        <w:rPr>
          <w:rFonts w:ascii="Palatino Linotype" w:eastAsia="Palatino Linotype" w:hAnsi="Palatino Linotype" w:cs="Palatino Linotype"/>
        </w:rPr>
      </w:pPr>
    </w:p>
    <w:p w14:paraId="7B5D7687"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lastRenderedPageBreak/>
        <w:t xml:space="preserve">En atención de lo anterior, se procede a analizar las razones por las cuales se dio lugar a la causal de sobreseimiento por consulta. </w:t>
      </w:r>
    </w:p>
    <w:p w14:paraId="4B991546" w14:textId="77777777" w:rsidR="0000295C" w:rsidRDefault="0000295C">
      <w:pPr>
        <w:spacing w:line="360" w:lineRule="auto"/>
        <w:ind w:right="-646"/>
        <w:jc w:val="both"/>
        <w:rPr>
          <w:rFonts w:ascii="Palatino Linotype" w:eastAsia="Palatino Linotype" w:hAnsi="Palatino Linotype" w:cs="Palatino Linotype"/>
        </w:rPr>
      </w:pPr>
    </w:p>
    <w:p w14:paraId="4AD1FE90"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 xml:space="preserve">Así,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 fracción VI del artículo 191 de la misma Ley citado con antelación, por no existir elementos de procedencia, en virtud de que el mismo no actualiza alguno de los supuestos previstos en el citado artículo 179, toda vez que la parte Recurrente, mediante el recurso de revisión, solicita le sea contestada una consulta para un caso específico. </w:t>
      </w:r>
    </w:p>
    <w:p w14:paraId="751FB5DF" w14:textId="77777777" w:rsidR="0000295C" w:rsidRDefault="0000295C">
      <w:pPr>
        <w:pBdr>
          <w:top w:val="nil"/>
          <w:left w:val="nil"/>
          <w:bottom w:val="nil"/>
          <w:right w:val="nil"/>
          <w:between w:val="nil"/>
        </w:pBdr>
        <w:ind w:left="720" w:right="-646"/>
        <w:rPr>
          <w:rFonts w:ascii="Palatino Linotype" w:eastAsia="Palatino Linotype" w:hAnsi="Palatino Linotype" w:cs="Palatino Linotype"/>
          <w:color w:val="000000"/>
        </w:rPr>
      </w:pPr>
    </w:p>
    <w:p w14:paraId="5C912ADD" w14:textId="77777777" w:rsidR="0000295C" w:rsidRDefault="0077296B">
      <w:pPr>
        <w:numPr>
          <w:ilvl w:val="0"/>
          <w:numId w:val="5"/>
        </w:numPr>
        <w:spacing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lo anterior, es necesario mencionar que, del análisis de la solicitud de información motivo del recurso de revisión que ahora se resuelve, se advierte que la parte solicitante requirió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le proporcione información consistente en lo siguiente.</w:t>
      </w:r>
    </w:p>
    <w:p w14:paraId="48264E0E" w14:textId="77777777" w:rsidR="0000295C" w:rsidRDefault="0077296B">
      <w:pPr>
        <w:ind w:left="425" w:right="62"/>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“…SOLICITO REFERENTE AL SECRETARIO TÉCNICO OMAR ALEJANDRO BALDERAS FERNÁNDEZ, LA DIRECTORA DE ADMINISTRACIÓN LA LIC. BERENICE, CONTESTE PORQUE SI EL LE SOLICITA DAR DE BAJA A CUALQUIER PERSONA ADSCRITA A LA NOMINA DEL H. AYUNTAMIENTO DE ECATEPEC DE MORELOS, ESTA LO OBEDECE SIN PREGUNTAR EL PORQUE Y SIMPLEMENTE MUEVEN AL PERSONAL A SU ANTOJO, ASÍ MISMO SE REFIERA SI EXISTE ALGÚN TIPO DE RELACIÓN AMOROSA, DE AMISTAD O DE CUALQUIER ÍNDOLE ENTRE ESTOS, PORQUE SOLO ASÍ SE JUSTIFICARÍA (NO JUSTIFICARÍA NADA) QUE ELLA LO OBEDEZCA COMO BORREGA.</w:t>
      </w:r>
      <w:r>
        <w:rPr>
          <w:rFonts w:ascii="Palatino Linotype" w:eastAsia="Palatino Linotype" w:hAnsi="Palatino Linotype" w:cs="Palatino Linotype"/>
          <w:b/>
          <w:i/>
          <w:color w:val="000000"/>
        </w:rPr>
        <w:t>…”</w:t>
      </w:r>
    </w:p>
    <w:p w14:paraId="008D4CE6" w14:textId="77777777" w:rsidR="0000295C" w:rsidRDefault="0000295C">
      <w:pPr>
        <w:spacing w:line="360" w:lineRule="auto"/>
        <w:ind w:left="360" w:right="62"/>
        <w:jc w:val="both"/>
        <w:rPr>
          <w:rFonts w:ascii="Palatino Linotype" w:eastAsia="Palatino Linotype" w:hAnsi="Palatino Linotype" w:cs="Palatino Linotype"/>
          <w:color w:val="000000"/>
        </w:rPr>
      </w:pPr>
    </w:p>
    <w:p w14:paraId="47CBD6EA"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lastRenderedPageBreak/>
        <w:t xml:space="preserve">De la solicitud se advierte, que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planteó cuestionamientos con los que pretendía que el </w:t>
      </w:r>
      <w:r>
        <w:rPr>
          <w:rFonts w:ascii="Palatino Linotype" w:eastAsia="Palatino Linotype" w:hAnsi="Palatino Linotype" w:cs="Palatino Linotype"/>
          <w:b/>
          <w:color w:val="000000"/>
        </w:rPr>
        <w:t xml:space="preserve">Sujeto Obligado diera respuesta a los mismos, situación que –se insiste– no es aplicable en materia de acceso a la información; toda vez que los sujetos obligados </w:t>
      </w:r>
      <w:r>
        <w:rPr>
          <w:rFonts w:ascii="Palatino Linotype" w:eastAsia="Palatino Linotype" w:hAnsi="Palatino Linotype" w:cs="Palatino Linotype"/>
          <w:b/>
        </w:rPr>
        <w:t>sólo</w:t>
      </w:r>
      <w:r>
        <w:rPr>
          <w:rFonts w:ascii="Palatino Linotype" w:eastAsia="Palatino Linotype" w:hAnsi="Palatino Linotype" w:cs="Palatino Linotype"/>
          <w:b/>
          <w:color w:val="000000"/>
        </w:rPr>
        <w:t xml:space="preserve"> están obligados a remitir la información en el estado en que se encuentre y, no el atender dudas o inquietudes de los solicitantes, lo anterior de conformidad con el artículo 12 de la ley de Transparencia y Acceso a la Información Pública del Estado de México y Municipios, a saber:</w:t>
      </w:r>
    </w:p>
    <w:p w14:paraId="7200B429" w14:textId="77777777" w:rsidR="0000295C" w:rsidRDefault="0077296B">
      <w:pPr>
        <w:ind w:left="567" w:right="6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12.</w:t>
      </w:r>
      <w:r>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14:paraId="200C7671" w14:textId="77777777" w:rsidR="0000295C" w:rsidRDefault="0077296B">
      <w:pPr>
        <w:ind w:left="567"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928961C" w14:textId="77777777" w:rsidR="0000295C" w:rsidRDefault="0077296B">
      <w:pPr>
        <w:ind w:left="1134"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p>
    <w:p w14:paraId="45136778" w14:textId="77777777" w:rsidR="0000295C" w:rsidRDefault="0077296B">
      <w:pPr>
        <w:numPr>
          <w:ilvl w:val="0"/>
          <w:numId w:val="5"/>
        </w:numPr>
        <w:spacing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ese sentido, se reitera que el particular no está ejerciendo su derecho de acceso a la información pública; debido a que en la solicitud consiste en una consulta que no es factible atenderse vía acceso a la información, es decir, que dicho cuestionamiento se colme con documentos que obren en los archivos del </w:t>
      </w:r>
      <w:r>
        <w:rPr>
          <w:rFonts w:ascii="Palatino Linotype" w:eastAsia="Palatino Linotype" w:hAnsi="Palatino Linotype" w:cs="Palatino Linotype"/>
          <w:b/>
          <w:color w:val="000000"/>
        </w:rPr>
        <w:t>Sujeto Obligado.</w:t>
      </w:r>
    </w:p>
    <w:p w14:paraId="14754262" w14:textId="77777777" w:rsidR="0000295C" w:rsidRDefault="0000295C">
      <w:pPr>
        <w:spacing w:line="360" w:lineRule="auto"/>
        <w:ind w:right="-646"/>
        <w:jc w:val="both"/>
        <w:rPr>
          <w:rFonts w:ascii="Palatino Linotype" w:eastAsia="Palatino Linotype" w:hAnsi="Palatino Linotype" w:cs="Palatino Linotype"/>
          <w:color w:val="000000"/>
        </w:rPr>
      </w:pPr>
    </w:p>
    <w:p w14:paraId="718070A2"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 xml:space="preserve">De lo anteriormente expuesto, se advierte que la solicitud no constituye un derecho de acceso a la información y por lo tanto no es atendible mediante una solicitud de acceso a la información pública, porque se trata de una </w:t>
      </w:r>
      <w:r>
        <w:rPr>
          <w:rFonts w:ascii="Palatino Linotype" w:eastAsia="Palatino Linotype" w:hAnsi="Palatino Linotype" w:cs="Palatino Linotype"/>
          <w:b/>
          <w:color w:val="000000"/>
        </w:rPr>
        <w:t>consulta</w:t>
      </w:r>
      <w:r>
        <w:rPr>
          <w:rFonts w:ascii="Palatino Linotype" w:eastAsia="Palatino Linotype" w:hAnsi="Palatino Linotype" w:cs="Palatino Linotype"/>
          <w:color w:val="000000"/>
        </w:rPr>
        <w:t xml:space="preserve"> para un caso específico, situación que conlleva a afirmar que se está en presencia del ejercicio del derecho de petición.</w:t>
      </w:r>
    </w:p>
    <w:p w14:paraId="676DD82E"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En ese sentido, es importante diferenciar lo que se entiende por derecho de petición y por derecho de acceso a la información pública.</w:t>
      </w:r>
    </w:p>
    <w:p w14:paraId="7C0B5B1D" w14:textId="77777777" w:rsidR="0000295C" w:rsidRDefault="0077296B">
      <w:pPr>
        <w:spacing w:before="240" w:after="240"/>
        <w:ind w:left="1134" w:right="62"/>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Derecho de Petición:</w:t>
      </w:r>
    </w:p>
    <w:p w14:paraId="5AB351C8" w14:textId="77777777" w:rsidR="0000295C" w:rsidRDefault="0077296B">
      <w:pPr>
        <w:spacing w:before="240" w:after="240"/>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El Doctor Ignacio Burgoa Orihuela refiere que derecho de petición: "...es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rPr>
        <w:t>(Sic)</w:t>
      </w:r>
    </w:p>
    <w:p w14:paraId="2C555560" w14:textId="77777777" w:rsidR="0000295C" w:rsidRDefault="0077296B">
      <w:pPr>
        <w:pBdr>
          <w:top w:val="nil"/>
          <w:left w:val="nil"/>
          <w:bottom w:val="nil"/>
          <w:right w:val="nil"/>
          <w:between w:val="nil"/>
        </w:pBdr>
        <w:spacing w:before="240" w:after="360"/>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su parte, David Cienfuegos Salgado, concibe al derecho de petición como “el derecho de toda persona a ser escuchado por quienes ejercen el poder público.</w:t>
      </w:r>
      <w:r>
        <w:rPr>
          <w:rFonts w:ascii="Palatino Linotype" w:eastAsia="Palatino Linotype" w:hAnsi="Palatino Linotype" w:cs="Palatino Linotype"/>
          <w:i/>
          <w:color w:val="000000"/>
          <w:vertAlign w:val="superscript"/>
        </w:rPr>
        <w:t xml:space="preserve"> </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i/>
          <w:color w:val="000000"/>
        </w:rPr>
        <w:t xml:space="preserve">” (Sic) </w:t>
      </w:r>
    </w:p>
    <w:p w14:paraId="60B9170B"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 xml:space="preserve">De la misma manera, Migue Carbonell en su libro “Los derechos fundamentales” refiere que el derecho de petición se ha entendido de dos </w:t>
      </w:r>
      <w:r>
        <w:rPr>
          <w:rFonts w:ascii="Palatino Linotype" w:eastAsia="Palatino Linotype" w:hAnsi="Palatino Linotype" w:cs="Palatino Linotype"/>
        </w:rPr>
        <w:t>distintas</w:t>
      </w:r>
      <w:r>
        <w:rPr>
          <w:rFonts w:ascii="Palatino Linotype" w:eastAsia="Palatino Linotype" w:hAnsi="Palatino Linotype" w:cs="Palatino Linotype"/>
          <w:color w:val="000000"/>
        </w:rPr>
        <w:t xml:space="preserve">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Pr>
          <w:rFonts w:ascii="Palatino Linotype" w:eastAsia="Palatino Linotype" w:hAnsi="Palatino Linotype" w:cs="Palatino Linotype"/>
          <w:color w:val="000000"/>
          <w:vertAlign w:val="superscript"/>
        </w:rPr>
        <w:footnoteReference w:id="3"/>
      </w:r>
    </w:p>
    <w:p w14:paraId="37B5F2AA" w14:textId="77777777" w:rsidR="0000295C" w:rsidRDefault="0000295C">
      <w:pPr>
        <w:spacing w:line="360" w:lineRule="auto"/>
        <w:ind w:right="-646"/>
        <w:jc w:val="both"/>
        <w:rPr>
          <w:rFonts w:ascii="Palatino Linotype" w:eastAsia="Palatino Linotype" w:hAnsi="Palatino Linotype" w:cs="Palatino Linotype"/>
          <w:b/>
        </w:rPr>
      </w:pPr>
    </w:p>
    <w:p w14:paraId="5A2B2C4A" w14:textId="77777777" w:rsidR="0000295C" w:rsidRDefault="0077296B">
      <w:pPr>
        <w:spacing w:line="360" w:lineRule="auto"/>
        <w:ind w:right="-646"/>
        <w:jc w:val="both"/>
        <w:rPr>
          <w:rFonts w:ascii="Palatino Linotype" w:eastAsia="Palatino Linotype" w:hAnsi="Palatino Linotype" w:cs="Palatino Linotype"/>
          <w:b/>
        </w:rPr>
      </w:pPr>
      <w:r>
        <w:rPr>
          <w:rFonts w:ascii="Palatino Linotype" w:eastAsia="Palatino Linotype" w:hAnsi="Palatino Linotype" w:cs="Palatino Linotype"/>
          <w:b/>
        </w:rPr>
        <w:t>Derecho de Acceso a la Información Pública:</w:t>
      </w:r>
    </w:p>
    <w:p w14:paraId="454EE621"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lastRenderedPageBreak/>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7EDF5242" w14:textId="77777777" w:rsidR="0000295C" w:rsidRDefault="0000295C">
      <w:pPr>
        <w:spacing w:line="360" w:lineRule="auto"/>
        <w:ind w:right="-646"/>
        <w:jc w:val="both"/>
        <w:rPr>
          <w:rFonts w:ascii="Palatino Linotype" w:eastAsia="Palatino Linotype" w:hAnsi="Palatino Linotype" w:cs="Palatino Linotype"/>
          <w:color w:val="000000"/>
        </w:rPr>
      </w:pPr>
    </w:p>
    <w:p w14:paraId="586398C0"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Pr>
          <w:rFonts w:ascii="Palatino Linotype" w:eastAsia="Palatino Linotype" w:hAnsi="Palatino Linotype" w:cs="Palatino Linotype"/>
          <w:color w:val="000000"/>
          <w:vertAlign w:val="superscript"/>
        </w:rPr>
        <w:footnoteReference w:id="4"/>
      </w:r>
    </w:p>
    <w:p w14:paraId="7FE7D171" w14:textId="77777777" w:rsidR="0000295C" w:rsidRDefault="0000295C">
      <w:pPr>
        <w:spacing w:line="360" w:lineRule="auto"/>
        <w:ind w:right="-646"/>
        <w:jc w:val="both"/>
        <w:rPr>
          <w:rFonts w:ascii="Palatino Linotype" w:eastAsia="Palatino Linotype" w:hAnsi="Palatino Linotype" w:cs="Palatino Linotype"/>
          <w:color w:val="000000"/>
        </w:rPr>
      </w:pPr>
    </w:p>
    <w:p w14:paraId="7B5AD821"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 xml:space="preserve">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w:t>
      </w:r>
      <w:r>
        <w:rPr>
          <w:rFonts w:ascii="Palatino Linotype" w:eastAsia="Palatino Linotype" w:hAnsi="Palatino Linotype" w:cs="Palatino Linotype"/>
        </w:rPr>
        <w:t>bien</w:t>
      </w:r>
      <w:r>
        <w:rPr>
          <w:rFonts w:ascii="Palatino Linotype" w:eastAsia="Palatino Linotype" w:hAnsi="Palatino Linotype" w:cs="Palatino Linotype"/>
          <w:color w:val="000000"/>
        </w:rPr>
        <w:t xml:space="preserve"> jurídico que coadyuva al desarrollo de las personas y a la formación de opinión pública de calidad para poder participar y luego influir en la vida pública.”</w:t>
      </w:r>
    </w:p>
    <w:p w14:paraId="67226265" w14:textId="77777777" w:rsidR="0000295C" w:rsidRDefault="0000295C">
      <w:pPr>
        <w:spacing w:line="360" w:lineRule="auto"/>
        <w:ind w:right="-646"/>
        <w:jc w:val="both"/>
        <w:rPr>
          <w:rFonts w:ascii="Palatino Linotype" w:eastAsia="Palatino Linotype" w:hAnsi="Palatino Linotype" w:cs="Palatino Linotype"/>
          <w:color w:val="000000"/>
        </w:rPr>
      </w:pPr>
    </w:p>
    <w:p w14:paraId="2D25B900"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 xml:space="preserve">De ahí que, para entender los alcances de la información pública se considera importante citar el criterio de interpretación en el orden administrativo número 0002-11, emitido por Acuerdo del Pleno de este Instituto de Transparencia y Acceso a la </w:t>
      </w:r>
      <w:r>
        <w:rPr>
          <w:rFonts w:ascii="Palatino Linotype" w:eastAsia="Palatino Linotype" w:hAnsi="Palatino Linotype" w:cs="Palatino Linotype"/>
          <w:color w:val="000000"/>
        </w:rPr>
        <w:lastRenderedPageBreak/>
        <w:t>Información Pública del Estado de México y Municipios, publicado en el Periódico Oficial del Gobierno del Estado Libre y Soberano de México “Gaceta del Gobierno” el diecinueve de octubre de dos mil once, cuyo rubro y texto dispone:</w:t>
      </w:r>
    </w:p>
    <w:p w14:paraId="1B36F597" w14:textId="77777777" w:rsidR="0000295C" w:rsidRDefault="0077296B">
      <w:pPr>
        <w:ind w:left="426"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26786B5D" w14:textId="77777777" w:rsidR="0000295C" w:rsidRDefault="0077296B">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4BB8987" w14:textId="77777777" w:rsidR="0000295C" w:rsidRDefault="0077296B">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997E977" w14:textId="77777777" w:rsidR="0000295C" w:rsidRDefault="0077296B">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33E469F3" w14:textId="77777777" w:rsidR="0000295C" w:rsidRDefault="0077296B">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5CC16272" w14:textId="77777777" w:rsidR="0000295C" w:rsidRDefault="0077296B">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w:t>
      </w:r>
    </w:p>
    <w:p w14:paraId="01EAA116" w14:textId="77777777" w:rsidR="0000295C" w:rsidRDefault="0000295C">
      <w:pPr>
        <w:ind w:left="1134" w:right="-646"/>
        <w:jc w:val="both"/>
        <w:rPr>
          <w:rFonts w:ascii="Palatino Linotype" w:eastAsia="Palatino Linotype" w:hAnsi="Palatino Linotype" w:cs="Palatino Linotype"/>
          <w:i/>
          <w:color w:val="000000"/>
        </w:rPr>
      </w:pPr>
    </w:p>
    <w:p w14:paraId="21326B29"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De lo anterior se puede concluir que la distinción entre el derecho de petición y el derecho de acceso a la información, principalmente, es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645D725" w14:textId="77777777" w:rsidR="0000295C" w:rsidRDefault="0000295C">
      <w:pPr>
        <w:spacing w:line="360" w:lineRule="auto"/>
        <w:ind w:right="-646"/>
        <w:jc w:val="both"/>
        <w:rPr>
          <w:rFonts w:ascii="Palatino Linotype" w:eastAsia="Palatino Linotype" w:hAnsi="Palatino Linotype" w:cs="Palatino Linotype"/>
          <w:color w:val="000000"/>
        </w:rPr>
      </w:pPr>
    </w:p>
    <w:p w14:paraId="605B695A"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 xml:space="preserve">Con base a lo anterior, tenemos que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en su solicitud de información requiere de una explicación o bien una razón a una </w:t>
      </w:r>
      <w:r>
        <w:rPr>
          <w:rFonts w:ascii="Palatino Linotype" w:eastAsia="Palatino Linotype" w:hAnsi="Palatino Linotype" w:cs="Palatino Linotype"/>
          <w:b/>
          <w:color w:val="000000"/>
        </w:rPr>
        <w:t>consulta</w:t>
      </w:r>
      <w:r>
        <w:rPr>
          <w:rFonts w:ascii="Palatino Linotype" w:eastAsia="Palatino Linotype" w:hAnsi="Palatino Linotype" w:cs="Palatino Linotype"/>
          <w:color w:val="000000"/>
        </w:rPr>
        <w:t xml:space="preserve"> sobre un caso específico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por consiguiente, la entrega de una razón o la respuesta a </w:t>
      </w:r>
      <w:r>
        <w:rPr>
          <w:rFonts w:ascii="Palatino Linotype" w:eastAsia="Palatino Linotype" w:hAnsi="Palatino Linotype" w:cs="Palatino Linotype"/>
          <w:color w:val="000000"/>
        </w:rPr>
        <w:lastRenderedPageBreak/>
        <w:t xml:space="preserve">cuestionamientos que no encuentren soporte documental alguno, por parte de los Sujetos Obligados no es algo que la Ley de la Materia </w:t>
      </w:r>
      <w:r>
        <w:rPr>
          <w:rFonts w:ascii="Palatino Linotype" w:eastAsia="Palatino Linotype" w:hAnsi="Palatino Linotype" w:cs="Palatino Linotype"/>
        </w:rPr>
        <w:t>establece</w:t>
      </w:r>
      <w:r>
        <w:rPr>
          <w:rFonts w:ascii="Palatino Linotype" w:eastAsia="Palatino Linotype" w:hAnsi="Palatino Linotype" w:cs="Palatino Linotype"/>
          <w:color w:val="000000"/>
        </w:rPr>
        <w:t xml:space="preserve">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2DE58367" w14:textId="77777777" w:rsidR="0000295C" w:rsidRDefault="0000295C">
      <w:pPr>
        <w:spacing w:line="360" w:lineRule="auto"/>
        <w:ind w:right="-646"/>
        <w:jc w:val="both"/>
        <w:rPr>
          <w:rFonts w:ascii="Palatino Linotype" w:eastAsia="Palatino Linotype" w:hAnsi="Palatino Linotype" w:cs="Palatino Linotype"/>
        </w:rPr>
      </w:pPr>
    </w:p>
    <w:p w14:paraId="58EEDADC"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Por otro lado, no pasa desapercibido que los adjetivos calificativos vertidos en la solicitud de información atentan contra la honorabilidad de los servidores públicos, al querer acceder a la información mediante un lenguaje lascivo que expone a los funcionarios públicos al escarnio público, sin que ello sea el fin último de las solicitudes de información.</w:t>
      </w:r>
    </w:p>
    <w:p w14:paraId="5E4F1EF5" w14:textId="77777777" w:rsidR="0000295C" w:rsidRDefault="0000295C">
      <w:pPr>
        <w:pBdr>
          <w:top w:val="nil"/>
          <w:left w:val="nil"/>
          <w:bottom w:val="nil"/>
          <w:right w:val="nil"/>
          <w:between w:val="nil"/>
        </w:pBdr>
        <w:spacing w:line="360" w:lineRule="auto"/>
        <w:ind w:left="360" w:right="-646"/>
        <w:jc w:val="both"/>
        <w:rPr>
          <w:rFonts w:ascii="Palatino Linotype" w:eastAsia="Palatino Linotype" w:hAnsi="Palatino Linotype" w:cs="Palatino Linotype"/>
          <w:color w:val="000000"/>
        </w:rPr>
      </w:pPr>
    </w:p>
    <w:p w14:paraId="1C639292"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En ese sentido se considera que el derecho de acceso a la información pública debe ser ejercido de forma respetuosa, sin usar lenguaje altisonante, usando groserías o expresiones insultantes o en doble sentido, cuya finalidad o intención sea ocasionar agravios en la moral de los servidores públicos o la de tratar de amenazar a los sujetos obligados.</w:t>
      </w:r>
    </w:p>
    <w:p w14:paraId="32FA9E4B" w14:textId="77777777" w:rsidR="0000295C" w:rsidRDefault="0000295C">
      <w:pPr>
        <w:pBdr>
          <w:top w:val="nil"/>
          <w:left w:val="nil"/>
          <w:bottom w:val="nil"/>
          <w:right w:val="nil"/>
          <w:between w:val="nil"/>
        </w:pBdr>
        <w:spacing w:line="360" w:lineRule="auto"/>
        <w:ind w:left="360" w:right="-646"/>
        <w:jc w:val="both"/>
        <w:rPr>
          <w:rFonts w:ascii="Palatino Linotype" w:eastAsia="Palatino Linotype" w:hAnsi="Palatino Linotype" w:cs="Palatino Linotype"/>
          <w:color w:val="000000"/>
        </w:rPr>
      </w:pPr>
    </w:p>
    <w:p w14:paraId="53976003"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Se considera que no se puede ejercer el derecho de acceso a la información para amenazar e insultar a los servidores públicos; es decir, faltando al respeto, y que dicha falta de respeto se normalice, se pase por alto como si los insultos, las injurias, las ofensas no estuvieran escritas en la solicitud de información,</w:t>
      </w:r>
      <w:r>
        <w:rPr>
          <w:rFonts w:ascii="Palatino Linotype" w:eastAsia="Palatino Linotype" w:hAnsi="Palatino Linotype" w:cs="Palatino Linotype"/>
          <w:i/>
        </w:rPr>
        <w:t xml:space="preserve"> máxime</w:t>
      </w:r>
      <w:r>
        <w:rPr>
          <w:rFonts w:ascii="Palatino Linotype" w:eastAsia="Palatino Linotype" w:hAnsi="Palatino Linotype" w:cs="Palatino Linotype"/>
        </w:rPr>
        <w:t xml:space="preserve"> que, como se repite su fin es hacer amenazar o lastimar la moral de las personas funcionarias públicas.</w:t>
      </w:r>
    </w:p>
    <w:p w14:paraId="714B38D7" w14:textId="77777777" w:rsidR="0000295C" w:rsidRDefault="0000295C">
      <w:pPr>
        <w:pBdr>
          <w:top w:val="nil"/>
          <w:left w:val="nil"/>
          <w:bottom w:val="nil"/>
          <w:right w:val="nil"/>
          <w:between w:val="nil"/>
        </w:pBdr>
        <w:spacing w:line="360" w:lineRule="auto"/>
        <w:ind w:left="360" w:right="-646"/>
        <w:jc w:val="both"/>
        <w:rPr>
          <w:rFonts w:ascii="Palatino Linotype" w:eastAsia="Palatino Linotype" w:hAnsi="Palatino Linotype" w:cs="Palatino Linotype"/>
          <w:color w:val="000000"/>
        </w:rPr>
      </w:pPr>
    </w:p>
    <w:p w14:paraId="6DD08391"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p>
    <w:p w14:paraId="73544E6E" w14:textId="77777777" w:rsidR="0000295C" w:rsidRDefault="0077296B">
      <w:pPr>
        <w:pBdr>
          <w:top w:val="nil"/>
          <w:left w:val="nil"/>
          <w:bottom w:val="nil"/>
          <w:right w:val="nil"/>
          <w:between w:val="nil"/>
        </w:pBdr>
        <w:ind w:left="426"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8o.</w:t>
      </w:r>
      <w:r>
        <w:rPr>
          <w:rFonts w:ascii="Palatino Linotype" w:eastAsia="Palatino Linotype" w:hAnsi="Palatino Linotype" w:cs="Palatino Linotype"/>
          <w:i/>
          <w:color w:val="000000"/>
          <w:sz w:val="22"/>
          <w:szCs w:val="22"/>
        </w:rPr>
        <w:t xml:space="preserve"> Los funcionarios y empleados públicos respetarán el ejercicio del derecho de petición, siempre que ésta se formule por escrito, </w:t>
      </w:r>
      <w:r>
        <w:rPr>
          <w:rFonts w:ascii="Palatino Linotype" w:eastAsia="Palatino Linotype" w:hAnsi="Palatino Linotype" w:cs="Palatino Linotype"/>
          <w:b/>
          <w:i/>
          <w:color w:val="000000"/>
          <w:sz w:val="22"/>
          <w:szCs w:val="22"/>
          <w:u w:val="single"/>
        </w:rPr>
        <w:t>de manera pacífica y respetuosa</w:t>
      </w:r>
      <w:r>
        <w:rPr>
          <w:rFonts w:ascii="Palatino Linotype" w:eastAsia="Palatino Linotype" w:hAnsi="Palatino Linotype" w:cs="Palatino Linotype"/>
          <w:i/>
          <w:color w:val="000000"/>
          <w:sz w:val="22"/>
          <w:szCs w:val="22"/>
        </w:rPr>
        <w:t>;”</w:t>
      </w:r>
    </w:p>
    <w:p w14:paraId="0451BC70" w14:textId="77777777" w:rsidR="0000295C" w:rsidRDefault="0000295C">
      <w:pPr>
        <w:pBdr>
          <w:top w:val="nil"/>
          <w:left w:val="nil"/>
          <w:bottom w:val="nil"/>
          <w:right w:val="nil"/>
          <w:between w:val="nil"/>
        </w:pBdr>
        <w:spacing w:line="360" w:lineRule="auto"/>
        <w:ind w:left="360" w:right="-646"/>
        <w:jc w:val="both"/>
        <w:rPr>
          <w:rFonts w:ascii="Palatino Linotype" w:eastAsia="Palatino Linotype" w:hAnsi="Palatino Linotype" w:cs="Palatino Linotype"/>
          <w:color w:val="000000"/>
        </w:rPr>
      </w:pPr>
    </w:p>
    <w:p w14:paraId="4EB6CC82"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 xml:space="preserve">Si bien es cierto que la naturaleza jurídica del bien tutelado por los artículos 6° y 8° de la Constitución son distintos, lo cierto es que de una interpretación adminiculada respecto del </w:t>
      </w:r>
      <w:r>
        <w:rPr>
          <w:rFonts w:ascii="Palatino Linotype" w:eastAsia="Palatino Linotype" w:hAnsi="Palatino Linotype" w:cs="Palatino Linotype"/>
          <w:b/>
          <w:u w:val="single"/>
        </w:rPr>
        <w:t>respeto</w:t>
      </w:r>
      <w:r>
        <w:rPr>
          <w:rFonts w:ascii="Palatino Linotype" w:eastAsia="Palatino Linotype" w:hAnsi="Palatino Linotype" w:cs="Palatino Linotype"/>
        </w:rPr>
        <w:t>, se homologa, pues no podemos interpretar a contrario sensu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14:paraId="55D07D6E" w14:textId="77777777" w:rsidR="0000295C" w:rsidRDefault="0000295C">
      <w:pPr>
        <w:pBdr>
          <w:top w:val="nil"/>
          <w:left w:val="nil"/>
          <w:bottom w:val="nil"/>
          <w:right w:val="nil"/>
          <w:between w:val="nil"/>
        </w:pBdr>
        <w:spacing w:line="360" w:lineRule="auto"/>
        <w:ind w:left="360" w:right="-646"/>
        <w:jc w:val="both"/>
        <w:rPr>
          <w:rFonts w:ascii="Palatino Linotype" w:eastAsia="Palatino Linotype" w:hAnsi="Palatino Linotype" w:cs="Palatino Linotype"/>
          <w:color w:val="000000"/>
        </w:rPr>
      </w:pPr>
    </w:p>
    <w:p w14:paraId="3A68B582" w14:textId="77777777" w:rsidR="0000295C" w:rsidRDefault="0077296B">
      <w:pPr>
        <w:numPr>
          <w:ilvl w:val="0"/>
          <w:numId w:val="5"/>
        </w:numPr>
        <w:spacing w:line="360" w:lineRule="auto"/>
        <w:ind w:left="0" w:right="-646" w:firstLine="0"/>
        <w:jc w:val="both"/>
      </w:pPr>
      <w:r>
        <w:rPr>
          <w:rFonts w:ascii="Palatino Linotype" w:eastAsia="Palatino Linotype" w:hAnsi="Palatino Linotype" w:cs="Palatino Linotype"/>
        </w:rPr>
        <w:t>En ese mismo orden de ideas el artículo 9 Constitucional, refiere:</w:t>
      </w:r>
    </w:p>
    <w:p w14:paraId="5E08202E" w14:textId="77777777" w:rsidR="0000295C" w:rsidRDefault="0077296B">
      <w:pPr>
        <w:pBdr>
          <w:top w:val="nil"/>
          <w:left w:val="nil"/>
          <w:bottom w:val="nil"/>
          <w:right w:val="nil"/>
          <w:between w:val="nil"/>
        </w:pBdr>
        <w:ind w:left="426"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considerará ilegal, y no podrá ser disuelta una asamblea o reunión que tenga por objeto hacer una petición o presentar una protesta por algún acto, a una autoridad, si no se profieren injurias contra </w:t>
      </w:r>
      <w:proofErr w:type="gramStart"/>
      <w:r>
        <w:rPr>
          <w:rFonts w:ascii="Palatino Linotype" w:eastAsia="Palatino Linotype" w:hAnsi="Palatino Linotype" w:cs="Palatino Linotype"/>
          <w:i/>
          <w:color w:val="000000"/>
          <w:sz w:val="22"/>
          <w:szCs w:val="22"/>
        </w:rPr>
        <w:t>ésta,…</w:t>
      </w:r>
      <w:proofErr w:type="gramEnd"/>
      <w:r>
        <w:rPr>
          <w:rFonts w:ascii="Palatino Linotype" w:eastAsia="Palatino Linotype" w:hAnsi="Palatino Linotype" w:cs="Palatino Linotype"/>
          <w:i/>
          <w:color w:val="000000"/>
          <w:sz w:val="22"/>
          <w:szCs w:val="22"/>
        </w:rPr>
        <w:t>”</w:t>
      </w:r>
    </w:p>
    <w:p w14:paraId="78C76A63" w14:textId="77777777" w:rsidR="0000295C" w:rsidRDefault="0000295C">
      <w:pPr>
        <w:pBdr>
          <w:top w:val="nil"/>
          <w:left w:val="nil"/>
          <w:bottom w:val="nil"/>
          <w:right w:val="nil"/>
          <w:between w:val="nil"/>
        </w:pBdr>
        <w:spacing w:line="360" w:lineRule="auto"/>
        <w:ind w:left="360" w:right="-646"/>
        <w:jc w:val="both"/>
        <w:rPr>
          <w:rFonts w:ascii="Palatino Linotype" w:eastAsia="Palatino Linotype" w:hAnsi="Palatino Linotype" w:cs="Palatino Linotype"/>
          <w:color w:val="000000"/>
        </w:rPr>
      </w:pPr>
    </w:p>
    <w:p w14:paraId="15494477" w14:textId="77777777" w:rsidR="0000295C" w:rsidRDefault="0077296B">
      <w:pPr>
        <w:numPr>
          <w:ilvl w:val="0"/>
          <w:numId w:val="5"/>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A </w:t>
      </w:r>
      <w:r>
        <w:rPr>
          <w:rFonts w:ascii="Palatino Linotype" w:eastAsia="Palatino Linotype" w:hAnsi="Palatino Linotype" w:cs="Palatino Linotype"/>
          <w:i/>
          <w:color w:val="000000"/>
        </w:rPr>
        <w:t>contrario sensu</w:t>
      </w:r>
      <w:r>
        <w:rPr>
          <w:rFonts w:ascii="Palatino Linotype" w:eastAsia="Palatino Linotype" w:hAnsi="Palatino Linotype" w:cs="Palatino Linotype"/>
          <w:color w:val="000000"/>
        </w:rPr>
        <w:t xml:space="preserve">, el derecho de asociación será ilegal y la asociación que resulte, disuelta, si su petición </w:t>
      </w:r>
      <w:r>
        <w:rPr>
          <w:rFonts w:ascii="Palatino Linotype" w:eastAsia="Palatino Linotype" w:hAnsi="Palatino Linotype" w:cs="Palatino Linotype"/>
        </w:rPr>
        <w:t>profieren</w:t>
      </w:r>
      <w:r>
        <w:rPr>
          <w:rFonts w:ascii="Palatino Linotype" w:eastAsia="Palatino Linotype" w:hAnsi="Palatino Linotype" w:cs="Palatino Linotype"/>
          <w:color w:val="000000"/>
        </w:rPr>
        <w:t xml:space="preserve"> injurias contra la autoridades, tampoco se discute en el presente apartado la diferencia de bien jurídico tutelado entre el artículo 6° y 9°, sino la similitud en el pedir o solicitar de las autoridades algo, de forma análoga podemos ver que se pueden hacer protestas solicitando algo de la autoridad, pero sin </w:t>
      </w:r>
      <w:r>
        <w:rPr>
          <w:rFonts w:ascii="Palatino Linotype" w:eastAsia="Palatino Linotype" w:hAnsi="Palatino Linotype" w:cs="Palatino Linotype"/>
        </w:rPr>
        <w:t>injuriar</w:t>
      </w:r>
      <w:r>
        <w:rPr>
          <w:rFonts w:ascii="Palatino Linotype" w:eastAsia="Palatino Linotype" w:hAnsi="Palatino Linotype" w:cs="Palatino Linotype"/>
          <w:color w:val="000000"/>
        </w:rPr>
        <w:t>, sin insultarla y ello conlleva a sus funcionarios públicos.</w:t>
      </w:r>
    </w:p>
    <w:p w14:paraId="36D43D4E" w14:textId="77777777" w:rsidR="0000295C" w:rsidRDefault="0000295C">
      <w:pPr>
        <w:pBdr>
          <w:top w:val="nil"/>
          <w:left w:val="nil"/>
          <w:bottom w:val="nil"/>
          <w:right w:val="nil"/>
          <w:between w:val="nil"/>
        </w:pBdr>
        <w:ind w:left="720" w:right="-646"/>
        <w:rPr>
          <w:rFonts w:ascii="Palatino Linotype" w:eastAsia="Palatino Linotype" w:hAnsi="Palatino Linotype" w:cs="Palatino Linotype"/>
          <w:color w:val="000000"/>
        </w:rPr>
      </w:pPr>
    </w:p>
    <w:p w14:paraId="0740BC65"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 xml:space="preserve">En virtud de los argumentos expuestos con anterioridad así como del análisis realizado a las constancias que obran en el expediente electrónico del recurso de revisión </w:t>
      </w:r>
      <w:r>
        <w:rPr>
          <w:rFonts w:ascii="Palatino Linotype" w:eastAsia="Palatino Linotype" w:hAnsi="Palatino Linotype" w:cs="Palatino Linotype"/>
          <w:b/>
          <w:color w:val="000000"/>
        </w:rPr>
        <w:t>02698/INFOEM/IP/RR/2024</w:t>
      </w:r>
      <w:r>
        <w:rPr>
          <w:rFonts w:ascii="Palatino Linotype" w:eastAsia="Palatino Linotype" w:hAnsi="Palatino Linotype" w:cs="Palatino Linotype"/>
          <w:color w:val="000000"/>
        </w:rPr>
        <w:t xml:space="preserve">, se determina </w:t>
      </w:r>
      <w:r>
        <w:rPr>
          <w:rFonts w:ascii="Palatino Linotype" w:eastAsia="Palatino Linotype" w:hAnsi="Palatino Linotype" w:cs="Palatino Linotype"/>
          <w:b/>
          <w:color w:val="000000"/>
        </w:rPr>
        <w:t>sobreseer</w:t>
      </w:r>
      <w:r>
        <w:rPr>
          <w:rFonts w:ascii="Palatino Linotype" w:eastAsia="Palatino Linotype" w:hAnsi="Palatino Linotype" w:cs="Palatino Linotype"/>
          <w:color w:val="000000"/>
        </w:rPr>
        <w:t xml:space="preserve">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5988271C"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192.</w:t>
      </w:r>
      <w:r>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575154C2"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62D6C6B"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IV</w:t>
      </w:r>
      <w:r>
        <w:rPr>
          <w:rFonts w:ascii="Palatino Linotype" w:eastAsia="Palatino Linotype" w:hAnsi="Palatino Linotype" w:cs="Palatino Linotype"/>
          <w:i/>
          <w:color w:val="000000"/>
          <w:sz w:val="22"/>
          <w:szCs w:val="22"/>
        </w:rPr>
        <w:t xml:space="preserve">. Admitido el recurso de revisión, </w:t>
      </w:r>
      <w:r>
        <w:rPr>
          <w:rFonts w:ascii="Palatino Linotype" w:eastAsia="Palatino Linotype" w:hAnsi="Palatino Linotype" w:cs="Palatino Linotype"/>
          <w:b/>
          <w:i/>
          <w:color w:val="000000"/>
          <w:sz w:val="22"/>
          <w:szCs w:val="22"/>
        </w:rPr>
        <w:t>aparezca alguna causal de improcedencia</w:t>
      </w:r>
      <w:r>
        <w:rPr>
          <w:rFonts w:ascii="Palatino Linotype" w:eastAsia="Palatino Linotype" w:hAnsi="Palatino Linotype" w:cs="Palatino Linotype"/>
          <w:i/>
          <w:color w:val="000000"/>
          <w:sz w:val="22"/>
          <w:szCs w:val="22"/>
        </w:rPr>
        <w:t xml:space="preserve"> en los términos de la presente Ley…”</w:t>
      </w:r>
    </w:p>
    <w:p w14:paraId="77A52BD2" w14:textId="77777777" w:rsidR="0000295C" w:rsidRDefault="0000295C">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p>
    <w:p w14:paraId="168F0729"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recurso</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será </w:t>
      </w:r>
      <w:r>
        <w:rPr>
          <w:rFonts w:ascii="Palatino Linotype" w:eastAsia="Palatino Linotype" w:hAnsi="Palatino Linotype" w:cs="Palatino Linotype"/>
          <w:i/>
          <w:color w:val="000000"/>
          <w:sz w:val="22"/>
          <w:szCs w:val="22"/>
        </w:rPr>
        <w:t xml:space="preserve">desechado por </w:t>
      </w:r>
      <w:r>
        <w:rPr>
          <w:rFonts w:ascii="Palatino Linotype" w:eastAsia="Palatino Linotype" w:hAnsi="Palatino Linotype" w:cs="Palatino Linotype"/>
          <w:b/>
          <w:i/>
          <w:color w:val="000000"/>
          <w:sz w:val="22"/>
          <w:szCs w:val="22"/>
        </w:rPr>
        <w:t>improcedente cuando</w:t>
      </w:r>
      <w:r>
        <w:rPr>
          <w:rFonts w:ascii="Palatino Linotype" w:eastAsia="Palatino Linotype" w:hAnsi="Palatino Linotype" w:cs="Palatino Linotype"/>
          <w:i/>
          <w:color w:val="000000"/>
          <w:sz w:val="22"/>
          <w:szCs w:val="22"/>
        </w:rPr>
        <w:t>:</w:t>
      </w:r>
    </w:p>
    <w:p w14:paraId="08126AB8"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594B882"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 Se trate de una consulta</w:t>
      </w:r>
      <w:r>
        <w:rPr>
          <w:rFonts w:ascii="Palatino Linotype" w:eastAsia="Palatino Linotype" w:hAnsi="Palatino Linotype" w:cs="Palatino Linotype"/>
          <w:i/>
          <w:color w:val="000000"/>
          <w:sz w:val="22"/>
          <w:szCs w:val="22"/>
        </w:rPr>
        <w:t>, o tramite en específico...”</w:t>
      </w:r>
    </w:p>
    <w:p w14:paraId="75773EBF" w14:textId="77777777" w:rsidR="0000295C" w:rsidRDefault="0000295C">
      <w:pPr>
        <w:spacing w:before="240" w:line="360" w:lineRule="auto"/>
        <w:ind w:right="-646"/>
        <w:jc w:val="both"/>
        <w:rPr>
          <w:rFonts w:ascii="Palatino Linotype" w:eastAsia="Palatino Linotype" w:hAnsi="Palatino Linotype" w:cs="Palatino Linotype"/>
        </w:rPr>
      </w:pPr>
    </w:p>
    <w:p w14:paraId="7AAF1853"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Siendo el sobreseimiento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A451A92"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SOBRESEIMIENTO, NO PERMITE ENTRAR AL ESTUDIO DE LAS CUESTIONES DE FONDO</w:t>
      </w:r>
    </w:p>
    <w:p w14:paraId="3819149A"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Localización: 213609. II.2o.183 K. Tribunales Colegiados de Circuito. Octava Época. Semanario Judicial de la Federación. Tomo XIII, </w:t>
      </w:r>
      <w:proofErr w:type="gramStart"/>
      <w:r>
        <w:rPr>
          <w:rFonts w:ascii="Palatino Linotype" w:eastAsia="Palatino Linotype" w:hAnsi="Palatino Linotype" w:cs="Palatino Linotype"/>
          <w:i/>
          <w:color w:val="000000"/>
          <w:sz w:val="22"/>
          <w:szCs w:val="22"/>
        </w:rPr>
        <w:t>Febrero</w:t>
      </w:r>
      <w:proofErr w:type="gramEnd"/>
      <w:r>
        <w:rPr>
          <w:rFonts w:ascii="Palatino Linotype" w:eastAsia="Palatino Linotype" w:hAnsi="Palatino Linotype" w:cs="Palatino Linotype"/>
          <w:i/>
          <w:color w:val="000000"/>
          <w:sz w:val="22"/>
          <w:szCs w:val="22"/>
        </w:rPr>
        <w:t xml:space="preserve"> de 1994, Pág. 420</w:t>
      </w:r>
    </w:p>
    <w:p w14:paraId="35382F50"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Cuerpo de tesis: No causa agravio la sentencia que no se ocupa de los razonamientos tendientes a demostrar la inconstitucionalidad de los actos reclamados de las autoridades responsables, que constituyen el problema de fondo, si se decreta el sobreseimiento del juicio.”</w:t>
      </w:r>
    </w:p>
    <w:p w14:paraId="477BE1F6" w14:textId="77777777" w:rsidR="0000295C" w:rsidRDefault="0000295C">
      <w:pPr>
        <w:pBdr>
          <w:top w:val="nil"/>
          <w:left w:val="nil"/>
          <w:bottom w:val="nil"/>
          <w:right w:val="nil"/>
          <w:between w:val="nil"/>
        </w:pBdr>
        <w:ind w:left="360" w:right="-646"/>
        <w:jc w:val="both"/>
        <w:rPr>
          <w:rFonts w:ascii="Palatino Linotype" w:eastAsia="Palatino Linotype" w:hAnsi="Palatino Linotype" w:cs="Palatino Linotype"/>
          <w:i/>
          <w:color w:val="000000"/>
        </w:rPr>
      </w:pPr>
    </w:p>
    <w:p w14:paraId="7698624C" w14:textId="77777777" w:rsidR="0000295C" w:rsidRDefault="0077296B">
      <w:pPr>
        <w:numPr>
          <w:ilvl w:val="0"/>
          <w:numId w:val="5"/>
        </w:numPr>
        <w:spacing w:line="360" w:lineRule="auto"/>
        <w:ind w:left="0" w:right="-646" w:firstLine="0"/>
        <w:jc w:val="both"/>
        <w:rPr>
          <w:color w:val="000000"/>
        </w:rPr>
      </w:pPr>
      <w:r>
        <w:rPr>
          <w:rFonts w:ascii="Palatino Linotype" w:eastAsia="Palatino Linotype" w:hAnsi="Palatino Linotype" w:cs="Palatino Linotype"/>
          <w:color w:val="000000"/>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4EFFE5D6"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“DESECHAMIENTO O SOBRESEIMIENTO EN EL JUICIO DE AMPARO. NO IMPLICA DENEGACIÓN DE JUSTICIA NI GENERA INSEGURIDAD JURÍDICA”</w:t>
      </w:r>
    </w:p>
    <w:p w14:paraId="4A210FB1" w14:textId="77777777" w:rsidR="0000295C" w:rsidRDefault="0077296B">
      <w:pPr>
        <w:pBdr>
          <w:top w:val="nil"/>
          <w:left w:val="nil"/>
          <w:bottom w:val="nil"/>
          <w:right w:val="nil"/>
          <w:between w:val="nil"/>
        </w:pBdr>
        <w:ind w:left="567" w:right="6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7163E80B" w14:textId="77777777" w:rsidR="0000295C" w:rsidRDefault="0000295C">
      <w:pPr>
        <w:pBdr>
          <w:top w:val="nil"/>
          <w:left w:val="nil"/>
          <w:bottom w:val="nil"/>
          <w:right w:val="nil"/>
          <w:between w:val="nil"/>
        </w:pBdr>
        <w:ind w:right="-646"/>
        <w:jc w:val="both"/>
        <w:rPr>
          <w:rFonts w:ascii="Palatino Linotype" w:eastAsia="Palatino Linotype" w:hAnsi="Palatino Linotype" w:cs="Palatino Linotype"/>
          <w:i/>
          <w:color w:val="000000"/>
        </w:rPr>
      </w:pPr>
    </w:p>
    <w:p w14:paraId="20C9D9AC" w14:textId="77777777" w:rsidR="0000295C" w:rsidRDefault="0000295C">
      <w:pPr>
        <w:pBdr>
          <w:top w:val="nil"/>
          <w:left w:val="nil"/>
          <w:bottom w:val="nil"/>
          <w:right w:val="nil"/>
          <w:between w:val="nil"/>
        </w:pBdr>
        <w:ind w:left="1134" w:right="-646"/>
        <w:jc w:val="both"/>
        <w:rPr>
          <w:rFonts w:ascii="Palatino Linotype" w:eastAsia="Palatino Linotype" w:hAnsi="Palatino Linotype" w:cs="Palatino Linotype"/>
          <w:i/>
          <w:color w:val="000000"/>
        </w:rPr>
      </w:pPr>
    </w:p>
    <w:p w14:paraId="7AB04FB5" w14:textId="77777777" w:rsidR="0000295C" w:rsidRDefault="0077296B">
      <w:pPr>
        <w:numPr>
          <w:ilvl w:val="0"/>
          <w:numId w:val="5"/>
        </w:numPr>
        <w:spacing w:line="360" w:lineRule="auto"/>
        <w:ind w:left="0" w:right="-646" w:firstLine="0"/>
        <w:jc w:val="both"/>
      </w:pPr>
      <w:bookmarkStart w:id="9" w:name="_heading=h.2s8eyo1" w:colFirst="0" w:colLast="0"/>
      <w:bookmarkEnd w:id="9"/>
      <w:r>
        <w:rPr>
          <w:rFonts w:ascii="Palatino Linotype" w:eastAsia="Palatino Linotype" w:hAnsi="Palatino Linotype" w:cs="Palatino Linotype"/>
        </w:rPr>
        <w:t>Por anteriormente expuesto y fundado, el Pleno de este Instituto de Transparencia, Acceso a la Información Pública y Protección de Datos Personales del Estado de México y Municipios:</w:t>
      </w:r>
    </w:p>
    <w:p w14:paraId="58EEC3BF" w14:textId="77777777" w:rsidR="0000295C" w:rsidRDefault="0077296B">
      <w:pPr>
        <w:spacing w:line="360" w:lineRule="auto"/>
        <w:ind w:right="-646"/>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5AD84CED" w14:textId="77777777" w:rsidR="00123FAB" w:rsidRDefault="0077296B" w:rsidP="002E679F">
      <w:pPr>
        <w:pBdr>
          <w:top w:val="nil"/>
          <w:left w:val="nil"/>
          <w:bottom w:val="nil"/>
          <w:right w:val="nil"/>
          <w:between w:val="nil"/>
        </w:pBdr>
        <w:tabs>
          <w:tab w:val="left" w:pos="7936"/>
        </w:tabs>
        <w:spacing w:before="240" w:after="240" w:line="360" w:lineRule="auto"/>
        <w:ind w:left="-285" w:right="-646"/>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PRIMERO. </w:t>
      </w:r>
      <w:r>
        <w:rPr>
          <w:rFonts w:ascii="Palatino Linotype" w:eastAsia="Palatino Linotype" w:hAnsi="Palatino Linotype" w:cs="Palatino Linotype"/>
        </w:rPr>
        <w:t>Se</w:t>
      </w:r>
      <w:r>
        <w:rPr>
          <w:rFonts w:ascii="Palatino Linotype" w:eastAsia="Palatino Linotype" w:hAnsi="Palatino Linotype" w:cs="Palatino Linotype"/>
          <w:b/>
        </w:rPr>
        <w:t xml:space="preserve"> SOBRESEE </w:t>
      </w:r>
      <w:r>
        <w:rPr>
          <w:rFonts w:ascii="Palatino Linotype" w:eastAsia="Palatino Linotype" w:hAnsi="Palatino Linotype" w:cs="Palatino Linotype"/>
        </w:rPr>
        <w:t xml:space="preserve">el recurso de revisión número </w:t>
      </w:r>
      <w:r>
        <w:rPr>
          <w:rFonts w:ascii="Palatino Linotype" w:eastAsia="Palatino Linotype" w:hAnsi="Palatino Linotype" w:cs="Palatino Linotype"/>
          <w:b/>
        </w:rPr>
        <w:t xml:space="preserve">02698/INFOEM/IP/RR/2024, </w:t>
      </w:r>
      <w:r>
        <w:rPr>
          <w:rFonts w:ascii="Palatino Linotype" w:eastAsia="Palatino Linotype" w:hAnsi="Palatino Linotype" w:cs="Palatino Linotype"/>
        </w:rPr>
        <w:t>porque una vez admitido se actualizó la causal de improcedencia prevista en artículo 192 fracción IV, en relación con la fracción VI del artículo 191, de la Ley de Transparencia vigente en la entidad, por ser improcedente en términos del Considerando</w:t>
      </w:r>
      <w:r>
        <w:rPr>
          <w:rFonts w:ascii="Palatino Linotype" w:eastAsia="Palatino Linotype" w:hAnsi="Palatino Linotype" w:cs="Palatino Linotype"/>
          <w:b/>
        </w:rPr>
        <w:t xml:space="preserve"> Cuarto </w:t>
      </w:r>
      <w:r>
        <w:rPr>
          <w:rFonts w:ascii="Palatino Linotype" w:eastAsia="Palatino Linotype" w:hAnsi="Palatino Linotype" w:cs="Palatino Linotype"/>
        </w:rPr>
        <w:t>de la presente resolución.</w:t>
      </w:r>
    </w:p>
    <w:p w14:paraId="370C186F" w14:textId="77777777" w:rsidR="00123FAB" w:rsidRDefault="0077296B" w:rsidP="002E679F">
      <w:pPr>
        <w:pBdr>
          <w:top w:val="nil"/>
          <w:left w:val="nil"/>
          <w:bottom w:val="nil"/>
          <w:right w:val="nil"/>
          <w:between w:val="nil"/>
        </w:pBdr>
        <w:tabs>
          <w:tab w:val="left" w:pos="7936"/>
        </w:tabs>
        <w:spacing w:before="240" w:after="240" w:line="360" w:lineRule="auto"/>
        <w:ind w:left="-285" w:right="-646"/>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 xml:space="preserve"> al Responsable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presente resolución, para su conocimiento.</w:t>
      </w:r>
    </w:p>
    <w:p w14:paraId="66122939" w14:textId="77777777" w:rsidR="0000295C" w:rsidRDefault="0077296B">
      <w:pPr>
        <w:widowControl w:val="0"/>
        <w:pBdr>
          <w:top w:val="nil"/>
          <w:left w:val="nil"/>
          <w:bottom w:val="nil"/>
          <w:right w:val="nil"/>
          <w:between w:val="nil"/>
        </w:pBdr>
        <w:tabs>
          <w:tab w:val="left" w:pos="1701"/>
        </w:tabs>
        <w:spacing w:before="240" w:line="360" w:lineRule="auto"/>
        <w:ind w:left="-285" w:right="-646"/>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TERCERO</w:t>
      </w:r>
      <w:r>
        <w:rPr>
          <w:rFonts w:ascii="Palatino Linotype" w:eastAsia="Palatino Linotype" w:hAnsi="Palatino Linotype" w:cs="Palatino Linotype"/>
          <w:b/>
          <w:color w:val="222222"/>
        </w:rPr>
        <w:t xml:space="preserve">. Notifíquese </w:t>
      </w:r>
      <w:r>
        <w:rPr>
          <w:rFonts w:ascii="Palatino Linotype" w:eastAsia="Palatino Linotype" w:hAnsi="Palatino Linotype" w:cs="Palatino Linotype"/>
          <w:color w:val="222222"/>
        </w:rPr>
        <w:t>a</w:t>
      </w:r>
      <w:r>
        <w:rPr>
          <w:rFonts w:ascii="Palatino Linotype" w:eastAsia="Palatino Linotype" w:hAnsi="Palatino Linotype" w:cs="Palatino Linotype"/>
          <w:b/>
          <w:color w:val="222222"/>
        </w:rPr>
        <w:t xml:space="preserve"> </w:t>
      </w:r>
      <w:r>
        <w:rPr>
          <w:rFonts w:ascii="Palatino Linotype" w:eastAsia="Palatino Linotype" w:hAnsi="Palatino Linotype" w:cs="Palatino Linotype"/>
          <w:color w:val="222222"/>
        </w:rPr>
        <w:t>la</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222222"/>
        </w:rPr>
        <w:t xml:space="preserve"> la presente resolución, vía </w:t>
      </w:r>
      <w:r>
        <w:rPr>
          <w:rFonts w:ascii="Palatino Linotype" w:eastAsia="Palatino Linotype" w:hAnsi="Palatino Linotype" w:cs="Palatino Linotype"/>
          <w:b/>
          <w:color w:val="222222"/>
        </w:rPr>
        <w:t>SAIMEX</w:t>
      </w:r>
      <w:r>
        <w:rPr>
          <w:rFonts w:ascii="Palatino Linotype" w:eastAsia="Palatino Linotype" w:hAnsi="Palatino Linotype" w:cs="Palatino Linotype"/>
          <w:color w:val="222222"/>
        </w:rPr>
        <w:t>.</w:t>
      </w:r>
    </w:p>
    <w:p w14:paraId="61C453CF" w14:textId="77777777" w:rsidR="0000295C" w:rsidRDefault="0000295C">
      <w:pPr>
        <w:widowControl w:val="0"/>
        <w:pBdr>
          <w:top w:val="nil"/>
          <w:left w:val="nil"/>
          <w:bottom w:val="nil"/>
          <w:right w:val="nil"/>
          <w:between w:val="nil"/>
        </w:pBdr>
        <w:tabs>
          <w:tab w:val="left" w:pos="1701"/>
        </w:tabs>
        <w:spacing w:line="360" w:lineRule="auto"/>
        <w:ind w:left="-285" w:right="-646"/>
        <w:jc w:val="both"/>
        <w:rPr>
          <w:rFonts w:ascii="Palatino Linotype" w:eastAsia="Palatino Linotype" w:hAnsi="Palatino Linotype" w:cs="Palatino Linotype"/>
          <w:color w:val="222222"/>
        </w:rPr>
      </w:pPr>
    </w:p>
    <w:p w14:paraId="43D01FD0" w14:textId="77777777" w:rsidR="0000295C" w:rsidRDefault="0077296B">
      <w:pPr>
        <w:widowControl w:val="0"/>
        <w:pBdr>
          <w:top w:val="nil"/>
          <w:left w:val="nil"/>
          <w:bottom w:val="nil"/>
          <w:right w:val="nil"/>
          <w:between w:val="nil"/>
        </w:pBdr>
        <w:tabs>
          <w:tab w:val="left" w:pos="1701"/>
        </w:tabs>
        <w:spacing w:line="360" w:lineRule="auto"/>
        <w:ind w:left="-285"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222222"/>
        </w:rPr>
        <w:t xml:space="preserve">CUARTO. </w:t>
      </w:r>
      <w:r>
        <w:rPr>
          <w:rFonts w:ascii="Palatino Linotype" w:eastAsia="Palatino Linotype" w:hAnsi="Palatino Linotype" w:cs="Palatino Linotype"/>
          <w:color w:val="000000"/>
        </w:rPr>
        <w:t xml:space="preserve">Se hace del conocimiento de </w:t>
      </w:r>
      <w:r>
        <w:rPr>
          <w:rFonts w:ascii="Palatino Linotype" w:eastAsia="Palatino Linotype" w:hAnsi="Palatino Linotype" w:cs="Palatino Linotype"/>
          <w:b/>
          <w:color w:val="000000"/>
        </w:rPr>
        <w:t>la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226152D2" w14:textId="77777777" w:rsidR="0000295C" w:rsidRDefault="0000295C">
      <w:pPr>
        <w:widowControl w:val="0"/>
        <w:pBdr>
          <w:top w:val="nil"/>
          <w:left w:val="nil"/>
          <w:bottom w:val="nil"/>
          <w:right w:val="nil"/>
          <w:between w:val="nil"/>
        </w:pBdr>
        <w:tabs>
          <w:tab w:val="left" w:pos="1701"/>
        </w:tabs>
        <w:spacing w:line="360" w:lineRule="auto"/>
        <w:ind w:left="-285" w:right="-646"/>
        <w:jc w:val="both"/>
        <w:rPr>
          <w:rFonts w:ascii="Palatino Linotype" w:eastAsia="Palatino Linotype" w:hAnsi="Palatino Linotype" w:cs="Palatino Linotype"/>
          <w:color w:val="222222"/>
        </w:rPr>
      </w:pPr>
    </w:p>
    <w:p w14:paraId="0AB2F71E" w14:textId="77777777" w:rsidR="00123FAB" w:rsidRDefault="00123FAB" w:rsidP="00F10871">
      <w:pPr>
        <w:spacing w:line="360" w:lineRule="auto"/>
        <w:ind w:left="-284" w:right="-660" w:firstLine="1"/>
        <w:jc w:val="both"/>
        <w:rPr>
          <w:rFonts w:ascii="Palatino Linotype" w:hAnsi="Palatino Linotype"/>
        </w:rPr>
      </w:pPr>
      <w:bookmarkStart w:id="10" w:name="_heading=h.y289k3hdq067" w:colFirst="0" w:colLast="0"/>
      <w:bookmarkEnd w:id="10"/>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0EBEEF8D" w14:textId="77777777" w:rsidR="0000295C" w:rsidRDefault="0000295C">
      <w:pPr>
        <w:spacing w:line="360" w:lineRule="auto"/>
        <w:ind w:left="-285" w:right="-646"/>
        <w:jc w:val="both"/>
        <w:rPr>
          <w:rFonts w:ascii="Palatino Linotype" w:eastAsia="Palatino Linotype" w:hAnsi="Palatino Linotype" w:cs="Palatino Linotype"/>
        </w:rPr>
      </w:pPr>
    </w:p>
    <w:p w14:paraId="4DF8A9CC" w14:textId="77777777" w:rsidR="0000295C" w:rsidRDefault="0000295C">
      <w:pPr>
        <w:spacing w:line="360" w:lineRule="auto"/>
        <w:ind w:left="-285" w:right="-646"/>
        <w:jc w:val="both"/>
        <w:rPr>
          <w:rFonts w:ascii="Palatino Linotype" w:eastAsia="Palatino Linotype" w:hAnsi="Palatino Linotype" w:cs="Palatino Linotype"/>
        </w:rPr>
      </w:pPr>
      <w:bookmarkStart w:id="11" w:name="_heading=h.tvmw57c3it0i" w:colFirst="0" w:colLast="0"/>
      <w:bookmarkEnd w:id="11"/>
    </w:p>
    <w:p w14:paraId="5796CC14" w14:textId="77777777" w:rsidR="0000295C" w:rsidRDefault="0000295C">
      <w:pPr>
        <w:spacing w:line="360" w:lineRule="auto"/>
        <w:ind w:left="-285" w:right="-646"/>
        <w:jc w:val="both"/>
        <w:rPr>
          <w:rFonts w:ascii="Palatino Linotype" w:eastAsia="Palatino Linotype" w:hAnsi="Palatino Linotype" w:cs="Palatino Linotype"/>
        </w:rPr>
      </w:pPr>
      <w:bookmarkStart w:id="12" w:name="_heading=h.bahcqywi9bmk" w:colFirst="0" w:colLast="0"/>
      <w:bookmarkEnd w:id="12"/>
    </w:p>
    <w:p w14:paraId="4F1FF45B" w14:textId="77777777" w:rsidR="0000295C" w:rsidRDefault="0000295C">
      <w:pPr>
        <w:spacing w:line="360" w:lineRule="auto"/>
        <w:ind w:left="-285" w:right="-646"/>
        <w:jc w:val="both"/>
        <w:rPr>
          <w:rFonts w:ascii="Palatino Linotype" w:eastAsia="Palatino Linotype" w:hAnsi="Palatino Linotype" w:cs="Palatino Linotype"/>
        </w:rPr>
      </w:pPr>
      <w:bookmarkStart w:id="13" w:name="_heading=h.d3yyf0931ab9" w:colFirst="0" w:colLast="0"/>
      <w:bookmarkEnd w:id="13"/>
    </w:p>
    <w:p w14:paraId="17EE1FC7" w14:textId="77777777" w:rsidR="0000295C" w:rsidRDefault="0000295C">
      <w:pPr>
        <w:spacing w:line="360" w:lineRule="auto"/>
        <w:ind w:left="-285" w:right="-646"/>
        <w:jc w:val="both"/>
        <w:rPr>
          <w:rFonts w:ascii="Palatino Linotype" w:eastAsia="Palatino Linotype" w:hAnsi="Palatino Linotype" w:cs="Palatino Linotype"/>
        </w:rPr>
      </w:pPr>
      <w:bookmarkStart w:id="14" w:name="_heading=h.etvu6yl0l3f1" w:colFirst="0" w:colLast="0"/>
      <w:bookmarkEnd w:id="14"/>
    </w:p>
    <w:p w14:paraId="2545CB2B" w14:textId="77777777" w:rsidR="0000295C" w:rsidRDefault="0000295C">
      <w:pPr>
        <w:spacing w:line="360" w:lineRule="auto"/>
        <w:ind w:left="-285" w:right="-646"/>
        <w:jc w:val="both"/>
        <w:rPr>
          <w:rFonts w:ascii="Palatino Linotype" w:eastAsia="Palatino Linotype" w:hAnsi="Palatino Linotype" w:cs="Palatino Linotype"/>
        </w:rPr>
      </w:pPr>
      <w:bookmarkStart w:id="15" w:name="_heading=h.dtjjd1giu553" w:colFirst="0" w:colLast="0"/>
      <w:bookmarkEnd w:id="15"/>
    </w:p>
    <w:p w14:paraId="018FFB1B" w14:textId="77777777" w:rsidR="0000295C" w:rsidRDefault="0000295C">
      <w:pPr>
        <w:spacing w:line="360" w:lineRule="auto"/>
        <w:ind w:left="-285" w:right="-646"/>
        <w:jc w:val="both"/>
        <w:rPr>
          <w:rFonts w:ascii="Palatino Linotype" w:eastAsia="Palatino Linotype" w:hAnsi="Palatino Linotype" w:cs="Palatino Linotype"/>
        </w:rPr>
      </w:pPr>
      <w:bookmarkStart w:id="16" w:name="_heading=h.a35nboeblna6" w:colFirst="0" w:colLast="0"/>
      <w:bookmarkEnd w:id="16"/>
    </w:p>
    <w:p w14:paraId="0BA0DD0E" w14:textId="77777777" w:rsidR="0000295C" w:rsidRDefault="0000295C">
      <w:pPr>
        <w:spacing w:line="360" w:lineRule="auto"/>
        <w:ind w:left="-285" w:right="-646"/>
        <w:jc w:val="both"/>
        <w:rPr>
          <w:rFonts w:ascii="Palatino Linotype" w:eastAsia="Palatino Linotype" w:hAnsi="Palatino Linotype" w:cs="Palatino Linotype"/>
        </w:rPr>
      </w:pPr>
      <w:bookmarkStart w:id="17" w:name="_heading=h.2s23zrolc3o" w:colFirst="0" w:colLast="0"/>
      <w:bookmarkEnd w:id="17"/>
    </w:p>
    <w:p w14:paraId="354D15F0" w14:textId="77777777" w:rsidR="0000295C" w:rsidRDefault="0000295C">
      <w:pPr>
        <w:spacing w:line="360" w:lineRule="auto"/>
        <w:ind w:left="-285" w:right="-646"/>
        <w:jc w:val="both"/>
        <w:rPr>
          <w:rFonts w:ascii="Palatino Linotype" w:eastAsia="Palatino Linotype" w:hAnsi="Palatino Linotype" w:cs="Palatino Linotype"/>
        </w:rPr>
      </w:pPr>
      <w:bookmarkStart w:id="18" w:name="_heading=h.45i6l8wmkilh" w:colFirst="0" w:colLast="0"/>
      <w:bookmarkEnd w:id="18"/>
    </w:p>
    <w:p w14:paraId="694F71D6" w14:textId="77777777" w:rsidR="0000295C" w:rsidRDefault="0000295C">
      <w:pPr>
        <w:spacing w:line="360" w:lineRule="auto"/>
        <w:ind w:left="-285" w:right="-646"/>
        <w:jc w:val="both"/>
        <w:rPr>
          <w:rFonts w:ascii="Palatino Linotype" w:eastAsia="Palatino Linotype" w:hAnsi="Palatino Linotype" w:cs="Palatino Linotype"/>
        </w:rPr>
      </w:pPr>
      <w:bookmarkStart w:id="19" w:name="_heading=h.dwkouiojmit" w:colFirst="0" w:colLast="0"/>
      <w:bookmarkEnd w:id="19"/>
    </w:p>
    <w:p w14:paraId="27CF188A" w14:textId="77777777" w:rsidR="0000295C" w:rsidRDefault="0000295C">
      <w:pPr>
        <w:spacing w:line="360" w:lineRule="auto"/>
        <w:ind w:left="-285" w:right="-646"/>
        <w:jc w:val="both"/>
        <w:rPr>
          <w:rFonts w:ascii="Palatino Linotype" w:eastAsia="Palatino Linotype" w:hAnsi="Palatino Linotype" w:cs="Palatino Linotype"/>
        </w:rPr>
      </w:pPr>
      <w:bookmarkStart w:id="20" w:name="_heading=h.jsxj7a2h9mk5" w:colFirst="0" w:colLast="0"/>
      <w:bookmarkEnd w:id="20"/>
    </w:p>
    <w:p w14:paraId="4EED369B" w14:textId="77777777" w:rsidR="0000295C" w:rsidRDefault="0000295C">
      <w:pPr>
        <w:spacing w:line="360" w:lineRule="auto"/>
        <w:ind w:left="-285" w:right="-646"/>
        <w:jc w:val="both"/>
        <w:rPr>
          <w:rFonts w:ascii="Palatino Linotype" w:eastAsia="Palatino Linotype" w:hAnsi="Palatino Linotype" w:cs="Palatino Linotype"/>
        </w:rPr>
      </w:pPr>
      <w:bookmarkStart w:id="21" w:name="_heading=h.zejmep2ogcko" w:colFirst="0" w:colLast="0"/>
      <w:bookmarkEnd w:id="21"/>
    </w:p>
    <w:p w14:paraId="7D54B54B" w14:textId="77777777" w:rsidR="0000295C" w:rsidRDefault="0000295C">
      <w:pPr>
        <w:spacing w:line="360" w:lineRule="auto"/>
        <w:ind w:left="-285" w:right="-646"/>
        <w:jc w:val="both"/>
        <w:rPr>
          <w:rFonts w:ascii="Palatino Linotype" w:eastAsia="Palatino Linotype" w:hAnsi="Palatino Linotype" w:cs="Palatino Linotype"/>
        </w:rPr>
      </w:pPr>
      <w:bookmarkStart w:id="22" w:name="_heading=h.dvqbn6ymikso" w:colFirst="0" w:colLast="0"/>
      <w:bookmarkEnd w:id="22"/>
    </w:p>
    <w:p w14:paraId="35BBE80C" w14:textId="77777777" w:rsidR="0000295C" w:rsidRDefault="0000295C">
      <w:pPr>
        <w:spacing w:line="360" w:lineRule="auto"/>
        <w:ind w:left="-285" w:right="-646"/>
        <w:jc w:val="both"/>
        <w:rPr>
          <w:rFonts w:ascii="Palatino Linotype" w:eastAsia="Palatino Linotype" w:hAnsi="Palatino Linotype" w:cs="Palatino Linotype"/>
        </w:rPr>
      </w:pPr>
      <w:bookmarkStart w:id="23" w:name="_heading=h.akfvucnv2pi" w:colFirst="0" w:colLast="0"/>
      <w:bookmarkEnd w:id="23"/>
    </w:p>
    <w:p w14:paraId="04C1DA1F" w14:textId="77777777" w:rsidR="0000295C" w:rsidRDefault="0000295C">
      <w:pPr>
        <w:spacing w:line="360" w:lineRule="auto"/>
        <w:ind w:left="-285" w:right="-646"/>
        <w:jc w:val="both"/>
        <w:rPr>
          <w:rFonts w:ascii="Palatino Linotype" w:eastAsia="Palatino Linotype" w:hAnsi="Palatino Linotype" w:cs="Palatino Linotype"/>
        </w:rPr>
      </w:pPr>
      <w:bookmarkStart w:id="24" w:name="_heading=h.iegojgt7ojjh" w:colFirst="0" w:colLast="0"/>
      <w:bookmarkEnd w:id="24"/>
    </w:p>
    <w:p w14:paraId="1BD98EDC" w14:textId="77777777" w:rsidR="0000295C" w:rsidRDefault="0000295C">
      <w:pPr>
        <w:spacing w:line="360" w:lineRule="auto"/>
        <w:ind w:left="-285" w:right="-646"/>
        <w:jc w:val="both"/>
        <w:rPr>
          <w:rFonts w:ascii="Palatino Linotype" w:eastAsia="Palatino Linotype" w:hAnsi="Palatino Linotype" w:cs="Palatino Linotype"/>
        </w:rPr>
      </w:pPr>
      <w:bookmarkStart w:id="25" w:name="_heading=h.mdkzh6nvoffz" w:colFirst="0" w:colLast="0"/>
      <w:bookmarkEnd w:id="25"/>
    </w:p>
    <w:p w14:paraId="044A5F39" w14:textId="77777777" w:rsidR="0000295C" w:rsidRDefault="0000295C">
      <w:pPr>
        <w:spacing w:line="360" w:lineRule="auto"/>
        <w:ind w:left="-285" w:right="-646"/>
        <w:jc w:val="both"/>
        <w:rPr>
          <w:rFonts w:ascii="Palatino Linotype" w:eastAsia="Palatino Linotype" w:hAnsi="Palatino Linotype" w:cs="Palatino Linotype"/>
        </w:rPr>
      </w:pPr>
      <w:bookmarkStart w:id="26" w:name="_heading=h.17dp8vu" w:colFirst="0" w:colLast="0"/>
      <w:bookmarkEnd w:id="26"/>
    </w:p>
    <w:p w14:paraId="3433C442" w14:textId="77777777" w:rsidR="0000295C" w:rsidRDefault="0000295C">
      <w:pPr>
        <w:spacing w:line="360" w:lineRule="auto"/>
        <w:ind w:right="-646"/>
        <w:jc w:val="both"/>
        <w:rPr>
          <w:rFonts w:ascii="Palatino Linotype" w:eastAsia="Palatino Linotype" w:hAnsi="Palatino Linotype" w:cs="Palatino Linotype"/>
          <w:color w:val="000000"/>
        </w:rPr>
      </w:pPr>
    </w:p>
    <w:p w14:paraId="40FCD472" w14:textId="77777777" w:rsidR="0000295C" w:rsidRDefault="0000295C">
      <w:pPr>
        <w:spacing w:line="360" w:lineRule="auto"/>
        <w:ind w:right="-646"/>
        <w:jc w:val="both"/>
        <w:rPr>
          <w:rFonts w:ascii="Palatino Linotype" w:eastAsia="Palatino Linotype" w:hAnsi="Palatino Linotype" w:cs="Palatino Linotype"/>
        </w:rPr>
      </w:pPr>
    </w:p>
    <w:p w14:paraId="3E6EE34B" w14:textId="77777777" w:rsidR="0000295C" w:rsidRDefault="0000295C">
      <w:pPr>
        <w:spacing w:line="360" w:lineRule="auto"/>
        <w:ind w:right="-646"/>
        <w:jc w:val="both"/>
        <w:rPr>
          <w:rFonts w:ascii="Palatino Linotype" w:eastAsia="Palatino Linotype" w:hAnsi="Palatino Linotype" w:cs="Palatino Linotype"/>
        </w:rPr>
      </w:pPr>
    </w:p>
    <w:p w14:paraId="3F1291D5" w14:textId="77777777" w:rsidR="0000295C" w:rsidRDefault="0000295C">
      <w:pPr>
        <w:spacing w:line="360" w:lineRule="auto"/>
        <w:ind w:right="-646"/>
        <w:jc w:val="both"/>
        <w:rPr>
          <w:rFonts w:ascii="Palatino Linotype" w:eastAsia="Palatino Linotype" w:hAnsi="Palatino Linotype" w:cs="Palatino Linotype"/>
        </w:rPr>
      </w:pPr>
    </w:p>
    <w:p w14:paraId="46716D33" w14:textId="77777777" w:rsidR="0000295C" w:rsidRDefault="0000295C">
      <w:pPr>
        <w:spacing w:line="360" w:lineRule="auto"/>
        <w:ind w:right="-646"/>
        <w:jc w:val="both"/>
        <w:rPr>
          <w:rFonts w:ascii="Palatino Linotype" w:eastAsia="Palatino Linotype" w:hAnsi="Palatino Linotype" w:cs="Palatino Linotype"/>
        </w:rPr>
      </w:pPr>
    </w:p>
    <w:p w14:paraId="087708AF" w14:textId="77777777" w:rsidR="0000295C" w:rsidRDefault="0077296B">
      <w:pPr>
        <w:tabs>
          <w:tab w:val="left" w:pos="3374"/>
        </w:tabs>
        <w:spacing w:line="360" w:lineRule="auto"/>
        <w:ind w:right="-646"/>
        <w:rPr>
          <w:rFonts w:ascii="Palatino Linotype" w:eastAsia="Palatino Linotype" w:hAnsi="Palatino Linotype" w:cs="Palatino Linotype"/>
        </w:rPr>
      </w:pPr>
      <w:r>
        <w:rPr>
          <w:rFonts w:ascii="Palatino Linotype" w:eastAsia="Palatino Linotype" w:hAnsi="Palatino Linotype" w:cs="Palatino Linotype"/>
        </w:rPr>
        <w:tab/>
      </w:r>
    </w:p>
    <w:sectPr w:rsidR="0000295C">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A0B4" w14:textId="77777777" w:rsidR="00E4681C" w:rsidRDefault="00E4681C">
      <w:r>
        <w:separator/>
      </w:r>
    </w:p>
  </w:endnote>
  <w:endnote w:type="continuationSeparator" w:id="0">
    <w:p w14:paraId="12D92F55" w14:textId="77777777" w:rsidR="00E4681C" w:rsidRDefault="00E4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9214" w14:textId="77777777" w:rsidR="0000295C" w:rsidRDefault="0077296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E679F">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E679F">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p w14:paraId="5065B7B8" w14:textId="77777777" w:rsidR="0000295C" w:rsidRDefault="0000295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5631" w14:textId="77777777" w:rsidR="0000295C" w:rsidRDefault="0077296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E679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E679F">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p w14:paraId="0B157FC1" w14:textId="77777777" w:rsidR="0000295C" w:rsidRDefault="0000295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BFFB" w14:textId="77777777" w:rsidR="00E4681C" w:rsidRDefault="00E4681C">
      <w:r>
        <w:separator/>
      </w:r>
    </w:p>
  </w:footnote>
  <w:footnote w:type="continuationSeparator" w:id="0">
    <w:p w14:paraId="3A9BC690" w14:textId="77777777" w:rsidR="00E4681C" w:rsidRDefault="00E4681C">
      <w:r>
        <w:continuationSeparator/>
      </w:r>
    </w:p>
  </w:footnote>
  <w:footnote w:id="1">
    <w:p w14:paraId="2887FA5D" w14:textId="77777777" w:rsidR="0000295C" w:rsidRDefault="0077296B">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14:paraId="039C7C88" w14:textId="77777777" w:rsidR="0000295C" w:rsidRDefault="0077296B">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14:paraId="25623078" w14:textId="77777777" w:rsidR="0000295C" w:rsidRDefault="0077296B">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14:paraId="42EA34E0" w14:textId="77777777" w:rsidR="0000295C" w:rsidRDefault="0077296B">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VILLANUEVA </w:t>
      </w:r>
      <w:r>
        <w:rPr>
          <w:rFonts w:ascii="Palatino Linotype" w:eastAsia="Palatino Linotype" w:hAnsi="Palatino Linotype" w:cs="Palatino Linotype"/>
          <w:color w:val="000000"/>
          <w:sz w:val="16"/>
          <w:szCs w:val="16"/>
        </w:rPr>
        <w:t>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6A48" w14:textId="77777777" w:rsidR="0000295C" w:rsidRDefault="00E4681C">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4613E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7125" w:type="dxa"/>
      <w:tblInd w:w="2694" w:type="dxa"/>
      <w:tblLayout w:type="fixed"/>
      <w:tblLook w:val="0400" w:firstRow="0" w:lastRow="0" w:firstColumn="0" w:lastColumn="0" w:noHBand="0" w:noVBand="1"/>
    </w:tblPr>
    <w:tblGrid>
      <w:gridCol w:w="2970"/>
      <w:gridCol w:w="4155"/>
    </w:tblGrid>
    <w:tr w:rsidR="0000295C" w14:paraId="67CF2A31" w14:textId="77777777">
      <w:trPr>
        <w:trHeight w:val="227"/>
      </w:trPr>
      <w:tc>
        <w:tcPr>
          <w:tcW w:w="2970" w:type="dxa"/>
          <w:vAlign w:val="center"/>
        </w:tcPr>
        <w:p w14:paraId="3E50E345" w14:textId="77777777" w:rsidR="0000295C" w:rsidRDefault="0077296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55" w:type="dxa"/>
          <w:vAlign w:val="center"/>
        </w:tcPr>
        <w:p w14:paraId="402BB518" w14:textId="77777777" w:rsidR="0000295C" w:rsidRDefault="0077296B">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02698/INFOEM/IP/RR/2024</w:t>
          </w:r>
        </w:p>
      </w:tc>
    </w:tr>
    <w:tr w:rsidR="0000295C" w14:paraId="541ACC0C" w14:textId="77777777">
      <w:trPr>
        <w:trHeight w:val="242"/>
      </w:trPr>
      <w:tc>
        <w:tcPr>
          <w:tcW w:w="2970" w:type="dxa"/>
          <w:vAlign w:val="center"/>
        </w:tcPr>
        <w:p w14:paraId="119276CA" w14:textId="77777777" w:rsidR="0000295C" w:rsidRDefault="0077296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55" w:type="dxa"/>
          <w:vAlign w:val="center"/>
        </w:tcPr>
        <w:p w14:paraId="3AE3E6D2" w14:textId="77777777" w:rsidR="0000295C" w:rsidRDefault="0077296B">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Ecatepec de Morelos</w:t>
          </w:r>
        </w:p>
      </w:tc>
    </w:tr>
    <w:tr w:rsidR="0000295C" w14:paraId="4D1C6DE7" w14:textId="77777777">
      <w:trPr>
        <w:trHeight w:val="342"/>
      </w:trPr>
      <w:tc>
        <w:tcPr>
          <w:tcW w:w="2970" w:type="dxa"/>
          <w:vAlign w:val="center"/>
        </w:tcPr>
        <w:p w14:paraId="2312C652" w14:textId="77777777" w:rsidR="0000295C" w:rsidRDefault="0077296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55" w:type="dxa"/>
          <w:vAlign w:val="center"/>
        </w:tcPr>
        <w:p w14:paraId="224F0917" w14:textId="77777777" w:rsidR="0000295C" w:rsidRDefault="0077296B">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6B119BF" w14:textId="77777777" w:rsidR="0000295C" w:rsidRDefault="00E4681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04545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70.75pt;margin-top:-120.3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7410" w:type="dxa"/>
      <w:tblInd w:w="2552" w:type="dxa"/>
      <w:tblLayout w:type="fixed"/>
      <w:tblLook w:val="0400" w:firstRow="0" w:lastRow="0" w:firstColumn="0" w:lastColumn="0" w:noHBand="0" w:noVBand="1"/>
    </w:tblPr>
    <w:tblGrid>
      <w:gridCol w:w="2970"/>
      <w:gridCol w:w="4440"/>
    </w:tblGrid>
    <w:tr w:rsidR="0000295C" w14:paraId="3CFB7A18" w14:textId="77777777">
      <w:trPr>
        <w:trHeight w:val="227"/>
      </w:trPr>
      <w:tc>
        <w:tcPr>
          <w:tcW w:w="2970" w:type="dxa"/>
          <w:vAlign w:val="center"/>
        </w:tcPr>
        <w:p w14:paraId="3D624D61" w14:textId="77777777" w:rsidR="0000295C" w:rsidRDefault="007729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40" w:type="dxa"/>
          <w:vAlign w:val="center"/>
        </w:tcPr>
        <w:p w14:paraId="7F3F5DB9" w14:textId="77777777" w:rsidR="0000295C" w:rsidRDefault="0077296B">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02698/INFOEM/IP/RR/2024</w:t>
          </w:r>
        </w:p>
      </w:tc>
    </w:tr>
    <w:tr w:rsidR="0000295C" w14:paraId="7F6D0924" w14:textId="77777777">
      <w:trPr>
        <w:trHeight w:val="242"/>
      </w:trPr>
      <w:tc>
        <w:tcPr>
          <w:tcW w:w="2970" w:type="dxa"/>
          <w:vAlign w:val="center"/>
        </w:tcPr>
        <w:p w14:paraId="1687B62D" w14:textId="77777777" w:rsidR="0000295C" w:rsidRDefault="007729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40" w:type="dxa"/>
        </w:tcPr>
        <w:p w14:paraId="6F648C73" w14:textId="503F8590" w:rsidR="0000295C" w:rsidRDefault="0065509D">
          <w:pPr>
            <w:pBdr>
              <w:top w:val="nil"/>
              <w:left w:val="nil"/>
              <w:bottom w:val="nil"/>
              <w:right w:val="nil"/>
              <w:between w:val="nil"/>
            </w:pBdr>
            <w:tabs>
              <w:tab w:val="center" w:pos="4419"/>
              <w:tab w:val="right" w:pos="8838"/>
              <w:tab w:val="left" w:pos="521"/>
            </w:tabs>
            <w:ind w:right="-71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00295C" w14:paraId="772F0D1D" w14:textId="77777777">
      <w:trPr>
        <w:trHeight w:val="342"/>
      </w:trPr>
      <w:tc>
        <w:tcPr>
          <w:tcW w:w="2970" w:type="dxa"/>
          <w:vAlign w:val="center"/>
        </w:tcPr>
        <w:p w14:paraId="1504A38A" w14:textId="77777777" w:rsidR="0000295C" w:rsidRDefault="007729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40" w:type="dxa"/>
          <w:vAlign w:val="center"/>
        </w:tcPr>
        <w:p w14:paraId="6E02A98A" w14:textId="77777777" w:rsidR="0000295C" w:rsidRDefault="0077296B">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Ecatepec de Morelos</w:t>
          </w:r>
        </w:p>
      </w:tc>
    </w:tr>
    <w:tr w:rsidR="0000295C" w14:paraId="575AAB52" w14:textId="77777777">
      <w:trPr>
        <w:trHeight w:val="342"/>
      </w:trPr>
      <w:tc>
        <w:tcPr>
          <w:tcW w:w="2970" w:type="dxa"/>
          <w:vAlign w:val="center"/>
        </w:tcPr>
        <w:p w14:paraId="631706A5" w14:textId="77777777" w:rsidR="0000295C" w:rsidRDefault="0077296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40" w:type="dxa"/>
          <w:vAlign w:val="center"/>
        </w:tcPr>
        <w:p w14:paraId="0566E48D" w14:textId="77777777" w:rsidR="0000295C" w:rsidRDefault="0077296B">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4C6B482C" w14:textId="77777777" w:rsidR="0000295C" w:rsidRDefault="00E4681C">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318DD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1.2pt;margin-top:-117.05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0E18"/>
    <w:multiLevelType w:val="multilevel"/>
    <w:tmpl w:val="C532B6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34C94DEF"/>
    <w:multiLevelType w:val="multilevel"/>
    <w:tmpl w:val="17B0036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3443FB"/>
    <w:multiLevelType w:val="multilevel"/>
    <w:tmpl w:val="6D22233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 w15:restartNumberingAfterBreak="0">
    <w:nsid w:val="50674F83"/>
    <w:multiLevelType w:val="multilevel"/>
    <w:tmpl w:val="33524E6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6358661C"/>
    <w:multiLevelType w:val="multilevel"/>
    <w:tmpl w:val="FB28BE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94D6AB4"/>
    <w:multiLevelType w:val="multilevel"/>
    <w:tmpl w:val="8EE2E2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588391592">
    <w:abstractNumId w:val="0"/>
  </w:num>
  <w:num w:numId="2" w16cid:durableId="1115320769">
    <w:abstractNumId w:val="2"/>
  </w:num>
  <w:num w:numId="3" w16cid:durableId="894705619">
    <w:abstractNumId w:val="5"/>
  </w:num>
  <w:num w:numId="4" w16cid:durableId="41296590">
    <w:abstractNumId w:val="3"/>
  </w:num>
  <w:num w:numId="5" w16cid:durableId="1904027695">
    <w:abstractNumId w:val="1"/>
  </w:num>
  <w:num w:numId="6" w16cid:durableId="212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5C"/>
    <w:rsid w:val="0000295C"/>
    <w:rsid w:val="00003487"/>
    <w:rsid w:val="00123FAB"/>
    <w:rsid w:val="002E679F"/>
    <w:rsid w:val="00627C4D"/>
    <w:rsid w:val="0065509D"/>
    <w:rsid w:val="0077296B"/>
    <w:rsid w:val="00CC7C76"/>
    <w:rsid w:val="00E4681C"/>
    <w:rsid w:val="00F10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11F5"/>
  <w15:docId w15:val="{A5C06E15-C797-4FEC-824A-29EFE0A3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EE056A"/>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EE056A"/>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JxNvD9SL4wh+idU2tMsnTIYCA==">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5008</Words>
  <Characters>27548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8</cp:revision>
  <cp:lastPrinted>2024-08-16T03:55:00Z</cp:lastPrinted>
  <dcterms:created xsi:type="dcterms:W3CDTF">2024-08-08T17:39:00Z</dcterms:created>
  <dcterms:modified xsi:type="dcterms:W3CDTF">2024-08-27T18:10:00Z</dcterms:modified>
</cp:coreProperties>
</file>