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E5B73" w14:textId="77777777" w:rsidR="00ED76AF" w:rsidRDefault="00ED76AF" w:rsidP="006B0B50">
      <w:pPr>
        <w:tabs>
          <w:tab w:val="left" w:pos="3969"/>
        </w:tabs>
        <w:spacing w:line="360" w:lineRule="auto"/>
        <w:contextualSpacing/>
        <w:jc w:val="both"/>
        <w:rPr>
          <w:rFonts w:ascii="Palatino Linotype" w:hAnsi="Palatino Linotype" w:cs="Tahoma"/>
          <w:bCs/>
          <w:sz w:val="22"/>
          <w:szCs w:val="22"/>
        </w:rPr>
      </w:pPr>
      <w:bookmarkStart w:id="0" w:name="_Hlk76457302"/>
    </w:p>
    <w:p w14:paraId="49971A5A" w14:textId="4F0C9B3B" w:rsidR="00E35DF9" w:rsidRPr="00FF0CAB" w:rsidRDefault="00E35DF9" w:rsidP="00FF426B">
      <w:pPr>
        <w:spacing w:line="360" w:lineRule="auto"/>
        <w:contextualSpacing/>
        <w:jc w:val="both"/>
        <w:rPr>
          <w:rFonts w:ascii="Palatino Linotype" w:hAnsi="Palatino Linotype" w:cs="Tahoma"/>
          <w:bCs/>
          <w:sz w:val="22"/>
          <w:szCs w:val="22"/>
        </w:rPr>
      </w:pPr>
      <w:r w:rsidRPr="00FF0CAB">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FF0CAB">
        <w:rPr>
          <w:rFonts w:ascii="Palatino Linotype" w:hAnsi="Palatino Linotype" w:cs="Tahoma"/>
          <w:bCs/>
          <w:sz w:val="22"/>
          <w:szCs w:val="22"/>
        </w:rPr>
        <w:t xml:space="preserve"> </w:t>
      </w:r>
      <w:r w:rsidR="00C247E5" w:rsidRPr="00FF0CAB">
        <w:rPr>
          <w:rFonts w:ascii="Palatino Linotype" w:hAnsi="Palatino Linotype" w:cs="Tahoma"/>
          <w:bCs/>
          <w:sz w:val="22"/>
          <w:szCs w:val="22"/>
        </w:rPr>
        <w:t>veinti</w:t>
      </w:r>
      <w:r w:rsidR="00130B87" w:rsidRPr="00FF0CAB">
        <w:rPr>
          <w:rFonts w:ascii="Palatino Linotype" w:hAnsi="Palatino Linotype" w:cs="Tahoma"/>
          <w:bCs/>
          <w:sz w:val="22"/>
          <w:szCs w:val="22"/>
        </w:rPr>
        <w:t>siete</w:t>
      </w:r>
      <w:r w:rsidR="00AA1974" w:rsidRPr="00FF0CAB">
        <w:rPr>
          <w:rFonts w:ascii="Palatino Linotype" w:hAnsi="Palatino Linotype" w:cs="Tahoma"/>
          <w:bCs/>
          <w:sz w:val="22"/>
          <w:szCs w:val="22"/>
        </w:rPr>
        <w:t xml:space="preserve"> de noviembre</w:t>
      </w:r>
      <w:r w:rsidR="00552F49" w:rsidRPr="00FF0CAB">
        <w:rPr>
          <w:rFonts w:ascii="Palatino Linotype" w:hAnsi="Palatino Linotype" w:cs="Tahoma"/>
          <w:bCs/>
          <w:sz w:val="22"/>
          <w:szCs w:val="22"/>
        </w:rPr>
        <w:t xml:space="preserve"> </w:t>
      </w:r>
      <w:r w:rsidR="008453FA" w:rsidRPr="00FF0CAB">
        <w:rPr>
          <w:rFonts w:ascii="Palatino Linotype" w:hAnsi="Palatino Linotype" w:cs="Tahoma"/>
          <w:bCs/>
          <w:sz w:val="22"/>
          <w:szCs w:val="22"/>
        </w:rPr>
        <w:t>de dos mil veinti</w:t>
      </w:r>
      <w:r w:rsidR="00F93A36" w:rsidRPr="00FF0CAB">
        <w:rPr>
          <w:rFonts w:ascii="Palatino Linotype" w:hAnsi="Palatino Linotype" w:cs="Tahoma"/>
          <w:bCs/>
          <w:sz w:val="22"/>
          <w:szCs w:val="22"/>
        </w:rPr>
        <w:t>cuatro</w:t>
      </w:r>
      <w:r w:rsidRPr="00FF0CAB">
        <w:rPr>
          <w:rFonts w:ascii="Palatino Linotype" w:hAnsi="Palatino Linotype" w:cs="Tahoma"/>
          <w:bCs/>
          <w:sz w:val="22"/>
          <w:szCs w:val="22"/>
        </w:rPr>
        <w:t>.</w:t>
      </w:r>
    </w:p>
    <w:p w14:paraId="44DAC4CA" w14:textId="77777777" w:rsidR="00E35DF9" w:rsidRPr="00FF0CAB" w:rsidRDefault="00E35DF9" w:rsidP="00FF426B">
      <w:pPr>
        <w:spacing w:line="360" w:lineRule="auto"/>
        <w:contextualSpacing/>
        <w:jc w:val="both"/>
        <w:rPr>
          <w:rFonts w:ascii="Palatino Linotype" w:hAnsi="Palatino Linotype" w:cs="Tahoma"/>
          <w:bCs/>
          <w:sz w:val="22"/>
          <w:szCs w:val="22"/>
        </w:rPr>
      </w:pPr>
    </w:p>
    <w:p w14:paraId="17BC47E9" w14:textId="547E432E" w:rsidR="00E35DF9" w:rsidRPr="00FF0CAB" w:rsidRDefault="00E35DF9" w:rsidP="00FF426B">
      <w:pPr>
        <w:spacing w:line="360" w:lineRule="auto"/>
        <w:contextualSpacing/>
        <w:jc w:val="both"/>
        <w:rPr>
          <w:rFonts w:ascii="Palatino Linotype" w:hAnsi="Palatino Linotype" w:cs="Tahoma"/>
          <w:bCs/>
          <w:sz w:val="22"/>
          <w:szCs w:val="22"/>
        </w:rPr>
      </w:pPr>
      <w:r w:rsidRPr="00FF0CAB">
        <w:rPr>
          <w:rFonts w:ascii="Palatino Linotype" w:hAnsi="Palatino Linotype" w:cs="Tahoma"/>
          <w:b/>
          <w:bCs/>
          <w:color w:val="0D0D0D" w:themeColor="text1" w:themeTint="F2"/>
          <w:sz w:val="22"/>
          <w:szCs w:val="22"/>
        </w:rPr>
        <w:t xml:space="preserve">VISTO </w:t>
      </w:r>
      <w:r w:rsidR="00D0542E" w:rsidRPr="00FF0CAB">
        <w:rPr>
          <w:rFonts w:ascii="Palatino Linotype" w:hAnsi="Palatino Linotype" w:cs="Tahoma"/>
          <w:bCs/>
          <w:color w:val="0D0D0D" w:themeColor="text1" w:themeTint="F2"/>
          <w:sz w:val="22"/>
          <w:szCs w:val="22"/>
        </w:rPr>
        <w:t>el expediente</w:t>
      </w:r>
      <w:r w:rsidRPr="00FF0CAB">
        <w:rPr>
          <w:rFonts w:ascii="Palatino Linotype" w:hAnsi="Palatino Linotype" w:cs="Tahoma"/>
          <w:bCs/>
          <w:color w:val="0D0D0D" w:themeColor="text1" w:themeTint="F2"/>
          <w:sz w:val="22"/>
          <w:szCs w:val="22"/>
        </w:rPr>
        <w:t xml:space="preserve"> conformado con motivo de</w:t>
      </w:r>
      <w:r w:rsidR="00E30210" w:rsidRPr="00FF0CAB">
        <w:rPr>
          <w:rFonts w:ascii="Palatino Linotype" w:hAnsi="Palatino Linotype" w:cs="Tahoma"/>
          <w:bCs/>
          <w:color w:val="0D0D0D" w:themeColor="text1" w:themeTint="F2"/>
          <w:sz w:val="22"/>
          <w:szCs w:val="22"/>
        </w:rPr>
        <w:t>l</w:t>
      </w:r>
      <w:r w:rsidRPr="00FF0CAB">
        <w:rPr>
          <w:rFonts w:ascii="Palatino Linotype" w:hAnsi="Palatino Linotype" w:cs="Tahoma"/>
          <w:bCs/>
          <w:color w:val="0D0D0D" w:themeColor="text1" w:themeTint="F2"/>
          <w:sz w:val="22"/>
          <w:szCs w:val="22"/>
        </w:rPr>
        <w:t xml:space="preserve"> Recurso de Revisión</w:t>
      </w:r>
      <w:r w:rsidR="0089175F" w:rsidRPr="00FF0CAB">
        <w:rPr>
          <w:rFonts w:ascii="Palatino Linotype" w:hAnsi="Palatino Linotype" w:cs="Tahoma"/>
          <w:bCs/>
          <w:color w:val="0D0D0D" w:themeColor="text1" w:themeTint="F2"/>
          <w:sz w:val="22"/>
          <w:szCs w:val="22"/>
        </w:rPr>
        <w:t xml:space="preserve"> </w:t>
      </w:r>
      <w:r w:rsidR="00C74564" w:rsidRPr="00FF0CAB">
        <w:rPr>
          <w:rFonts w:ascii="Palatino Linotype" w:hAnsi="Palatino Linotype" w:cs="Tahoma"/>
          <w:b/>
          <w:bCs/>
          <w:color w:val="0D0D0D" w:themeColor="text1" w:themeTint="F2"/>
          <w:sz w:val="22"/>
          <w:szCs w:val="22"/>
        </w:rPr>
        <w:t>06841</w:t>
      </w:r>
      <w:r w:rsidR="0089175F" w:rsidRPr="00FF0CAB">
        <w:rPr>
          <w:rFonts w:ascii="Palatino Linotype" w:hAnsi="Palatino Linotype" w:cs="Tahoma"/>
          <w:b/>
          <w:bCs/>
          <w:color w:val="0D0D0D" w:themeColor="text1" w:themeTint="F2"/>
          <w:sz w:val="22"/>
          <w:szCs w:val="22"/>
        </w:rPr>
        <w:t>/INFOEM/IP/RR/202</w:t>
      </w:r>
      <w:r w:rsidR="00F93A36" w:rsidRPr="00FF0CAB">
        <w:rPr>
          <w:rFonts w:ascii="Palatino Linotype" w:hAnsi="Palatino Linotype" w:cs="Tahoma"/>
          <w:b/>
          <w:bCs/>
          <w:color w:val="0D0D0D" w:themeColor="text1" w:themeTint="F2"/>
          <w:sz w:val="22"/>
          <w:szCs w:val="22"/>
        </w:rPr>
        <w:t>4</w:t>
      </w:r>
      <w:r w:rsidR="0089175F" w:rsidRPr="00FF0CAB">
        <w:rPr>
          <w:rFonts w:ascii="Palatino Linotype" w:hAnsi="Palatino Linotype" w:cs="Tahoma"/>
          <w:b/>
          <w:bCs/>
          <w:color w:val="0D0D0D" w:themeColor="text1" w:themeTint="F2"/>
          <w:sz w:val="22"/>
          <w:szCs w:val="22"/>
        </w:rPr>
        <w:t>,</w:t>
      </w:r>
      <w:r w:rsidRPr="00FF0CAB">
        <w:rPr>
          <w:rFonts w:ascii="Palatino Linotype" w:hAnsi="Palatino Linotype" w:cs="Tahoma"/>
          <w:bCs/>
          <w:color w:val="0D0D0D" w:themeColor="text1" w:themeTint="F2"/>
          <w:sz w:val="22"/>
          <w:szCs w:val="22"/>
        </w:rPr>
        <w:t xml:space="preserve"> interpuesto</w:t>
      </w:r>
      <w:r w:rsidR="00C74F5F" w:rsidRPr="00FF0CAB">
        <w:rPr>
          <w:rFonts w:ascii="Palatino Linotype" w:hAnsi="Palatino Linotype" w:cs="Tahoma"/>
          <w:color w:val="0D0D0D" w:themeColor="text1" w:themeTint="F2"/>
          <w:sz w:val="22"/>
          <w:szCs w:val="22"/>
        </w:rPr>
        <w:t xml:space="preserve"> </w:t>
      </w:r>
      <w:r w:rsidR="007E4927" w:rsidRPr="00FF0CAB">
        <w:rPr>
          <w:rFonts w:ascii="Palatino Linotype" w:hAnsi="Palatino Linotype" w:cs="Tahoma"/>
          <w:bCs/>
          <w:color w:val="0D0D0D" w:themeColor="text1" w:themeTint="F2"/>
          <w:sz w:val="22"/>
          <w:szCs w:val="22"/>
        </w:rPr>
        <w:t>por</w:t>
      </w:r>
      <w:r w:rsidR="00383BDB" w:rsidRPr="00FF0CAB">
        <w:rPr>
          <w:rFonts w:ascii="Palatino Linotype" w:hAnsi="Palatino Linotype" w:cs="Tahoma"/>
          <w:bCs/>
          <w:color w:val="0D0D0D" w:themeColor="text1" w:themeTint="F2"/>
          <w:sz w:val="22"/>
          <w:szCs w:val="22"/>
        </w:rPr>
        <w:t xml:space="preserve"> </w:t>
      </w:r>
      <w:r w:rsidR="00A77E94" w:rsidRPr="00FF0CAB">
        <w:rPr>
          <w:rFonts w:ascii="Palatino Linotype" w:hAnsi="Palatino Linotype" w:cs="Tahoma"/>
          <w:color w:val="0D0D0D" w:themeColor="text1" w:themeTint="F2"/>
          <w:sz w:val="22"/>
          <w:szCs w:val="22"/>
        </w:rPr>
        <w:t>un</w:t>
      </w:r>
      <w:r w:rsidR="00212285" w:rsidRPr="00FF0CAB">
        <w:rPr>
          <w:rFonts w:ascii="Palatino Linotype" w:hAnsi="Palatino Linotype" w:cs="Tahoma"/>
          <w:color w:val="0D0D0D" w:themeColor="text1" w:themeTint="F2"/>
          <w:sz w:val="22"/>
          <w:szCs w:val="22"/>
        </w:rPr>
        <w:t xml:space="preserve"> </w:t>
      </w:r>
      <w:r w:rsidRPr="00FF0CAB">
        <w:rPr>
          <w:rFonts w:ascii="Palatino Linotype" w:hAnsi="Palatino Linotype" w:cs="Tahoma"/>
          <w:bCs/>
          <w:color w:val="0D0D0D" w:themeColor="text1" w:themeTint="F2"/>
          <w:sz w:val="22"/>
          <w:szCs w:val="22"/>
        </w:rPr>
        <w:t>Recurrente o Particular, en contra de la respuesta del Sujeto Obligado</w:t>
      </w:r>
      <w:r w:rsidRPr="00FF0CAB">
        <w:rPr>
          <w:rFonts w:ascii="Palatino Linotype" w:hAnsi="Palatino Linotype"/>
          <w:sz w:val="22"/>
          <w:szCs w:val="22"/>
        </w:rPr>
        <w:t xml:space="preserve"> </w:t>
      </w:r>
      <w:r w:rsidR="00C247E5" w:rsidRPr="00FF0CAB">
        <w:rPr>
          <w:rFonts w:ascii="Palatino Linotype" w:eastAsia="Calibri" w:hAnsi="Palatino Linotype" w:cs="Tahoma"/>
          <w:b/>
          <w:bCs/>
          <w:sz w:val="22"/>
          <w:szCs w:val="22"/>
          <w:lang w:eastAsia="en-US"/>
        </w:rPr>
        <w:t>Ayuntamiento de Temamatla</w:t>
      </w:r>
      <w:r w:rsidRPr="00FF0CAB">
        <w:rPr>
          <w:rFonts w:ascii="Palatino Linotype" w:hAnsi="Palatino Linotype" w:cs="Tahoma"/>
          <w:b/>
          <w:color w:val="0D0D0D" w:themeColor="text1" w:themeTint="F2"/>
          <w:sz w:val="22"/>
          <w:szCs w:val="22"/>
        </w:rPr>
        <w:t xml:space="preserve">, </w:t>
      </w:r>
      <w:r w:rsidRPr="00FF0CAB">
        <w:rPr>
          <w:rFonts w:ascii="Palatino Linotype" w:hAnsi="Palatino Linotype" w:cs="Tahoma"/>
          <w:bCs/>
          <w:color w:val="0D0D0D" w:themeColor="text1" w:themeTint="F2"/>
          <w:sz w:val="22"/>
          <w:szCs w:val="22"/>
        </w:rPr>
        <w:t>se emite la presente Resolución, con base en los Antecedentes y C</w:t>
      </w:r>
      <w:r w:rsidRPr="00FF0CAB">
        <w:rPr>
          <w:rFonts w:ascii="Palatino Linotype" w:hAnsi="Palatino Linotype" w:cs="Tahoma"/>
          <w:bCs/>
          <w:sz w:val="22"/>
          <w:szCs w:val="22"/>
        </w:rPr>
        <w:t>onsiderandos que a continuación se exponen:</w:t>
      </w:r>
    </w:p>
    <w:p w14:paraId="2D1F76E9" w14:textId="77777777" w:rsidR="00BB1F81" w:rsidRPr="00FF0CAB" w:rsidRDefault="00BB1F81" w:rsidP="00FF426B">
      <w:pPr>
        <w:spacing w:line="360" w:lineRule="auto"/>
        <w:contextualSpacing/>
        <w:jc w:val="both"/>
        <w:rPr>
          <w:rFonts w:ascii="Palatino Linotype" w:hAnsi="Palatino Linotype" w:cs="Tahoma"/>
          <w:b/>
          <w:color w:val="0D0D0D" w:themeColor="text1" w:themeTint="F2"/>
          <w:sz w:val="18"/>
          <w:szCs w:val="22"/>
        </w:rPr>
      </w:pPr>
    </w:p>
    <w:p w14:paraId="2B218424" w14:textId="77777777" w:rsidR="00C247E5" w:rsidRPr="00FF0CAB" w:rsidRDefault="00C247E5" w:rsidP="00FF426B">
      <w:pPr>
        <w:spacing w:line="360" w:lineRule="auto"/>
        <w:contextualSpacing/>
        <w:jc w:val="both"/>
        <w:rPr>
          <w:rFonts w:ascii="Palatino Linotype" w:hAnsi="Palatino Linotype" w:cs="Tahoma"/>
          <w:b/>
          <w:color w:val="0D0D0D" w:themeColor="text1" w:themeTint="F2"/>
          <w:sz w:val="18"/>
          <w:szCs w:val="22"/>
        </w:rPr>
      </w:pPr>
    </w:p>
    <w:p w14:paraId="3FD71519" w14:textId="77777777" w:rsidR="00E35DF9" w:rsidRPr="00FF0CAB" w:rsidRDefault="00E35DF9" w:rsidP="00C66180">
      <w:pPr>
        <w:tabs>
          <w:tab w:val="center" w:pos="4522"/>
          <w:tab w:val="left" w:pos="7245"/>
        </w:tabs>
        <w:spacing w:line="360" w:lineRule="auto"/>
        <w:contextualSpacing/>
        <w:jc w:val="center"/>
        <w:rPr>
          <w:rFonts w:ascii="Palatino Linotype" w:hAnsi="Palatino Linotype" w:cs="Tahoma"/>
          <w:b/>
          <w:sz w:val="22"/>
          <w:szCs w:val="22"/>
        </w:rPr>
      </w:pPr>
      <w:r w:rsidRPr="00FF0CAB">
        <w:rPr>
          <w:rFonts w:ascii="Palatino Linotype" w:hAnsi="Palatino Linotype" w:cs="Tahoma"/>
          <w:b/>
          <w:sz w:val="22"/>
          <w:szCs w:val="22"/>
        </w:rPr>
        <w:t>A N T E C E D E N T E S</w:t>
      </w:r>
    </w:p>
    <w:p w14:paraId="39512684" w14:textId="77777777" w:rsidR="001E7B8B" w:rsidRPr="00FF0CAB" w:rsidRDefault="001E7B8B" w:rsidP="00FF426B">
      <w:pPr>
        <w:pStyle w:val="Prrafodelista"/>
        <w:tabs>
          <w:tab w:val="left" w:pos="567"/>
        </w:tabs>
        <w:spacing w:line="360" w:lineRule="auto"/>
        <w:ind w:left="0"/>
        <w:jc w:val="both"/>
        <w:rPr>
          <w:rFonts w:ascii="Palatino Linotype" w:hAnsi="Palatino Linotype" w:cs="Tahoma"/>
          <w:b/>
          <w:szCs w:val="22"/>
        </w:rPr>
      </w:pPr>
    </w:p>
    <w:p w14:paraId="793F65E6" w14:textId="77777777" w:rsidR="00E35DF9" w:rsidRPr="00FF0CAB" w:rsidRDefault="00E35DF9" w:rsidP="00FF426B">
      <w:pPr>
        <w:pStyle w:val="Prrafodelista"/>
        <w:tabs>
          <w:tab w:val="left" w:pos="567"/>
        </w:tabs>
        <w:spacing w:line="360" w:lineRule="auto"/>
        <w:ind w:left="0"/>
        <w:jc w:val="both"/>
        <w:rPr>
          <w:rFonts w:ascii="Palatino Linotype" w:hAnsi="Palatino Linotype" w:cs="Tahoma"/>
          <w:b/>
          <w:szCs w:val="22"/>
        </w:rPr>
      </w:pPr>
      <w:r w:rsidRPr="00FF0CAB">
        <w:rPr>
          <w:rFonts w:ascii="Palatino Linotype" w:hAnsi="Palatino Linotype" w:cs="Tahoma"/>
          <w:b/>
          <w:szCs w:val="22"/>
        </w:rPr>
        <w:t>I. Presentación de la solicitud de información</w:t>
      </w:r>
    </w:p>
    <w:p w14:paraId="1035217E" w14:textId="77777777" w:rsidR="00E35DF9" w:rsidRPr="00FF0CAB"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615298D7" w14:textId="5FF33F65" w:rsidR="00E35DF9" w:rsidRPr="00FF0CAB" w:rsidRDefault="00BB1F81" w:rsidP="00FF426B">
      <w:pPr>
        <w:tabs>
          <w:tab w:val="left" w:pos="567"/>
        </w:tabs>
        <w:spacing w:line="360" w:lineRule="auto"/>
        <w:contextualSpacing/>
        <w:jc w:val="both"/>
        <w:rPr>
          <w:rFonts w:ascii="Palatino Linotype" w:hAnsi="Palatino Linotype" w:cs="Tahoma"/>
          <w:sz w:val="22"/>
          <w:szCs w:val="22"/>
        </w:rPr>
      </w:pPr>
      <w:r w:rsidRPr="00FF0CAB">
        <w:rPr>
          <w:rFonts w:ascii="Palatino Linotype" w:hAnsi="Palatino Linotype" w:cs="Tahoma"/>
          <w:sz w:val="22"/>
          <w:szCs w:val="22"/>
        </w:rPr>
        <w:t>El</w:t>
      </w:r>
      <w:r w:rsidR="00E35DF9" w:rsidRPr="00FF0CAB">
        <w:rPr>
          <w:rFonts w:ascii="Palatino Linotype" w:hAnsi="Palatino Linotype" w:cs="Tahoma"/>
          <w:sz w:val="22"/>
          <w:szCs w:val="22"/>
        </w:rPr>
        <w:t xml:space="preserve"> </w:t>
      </w:r>
      <w:r w:rsidR="00EC4590" w:rsidRPr="00FF0CAB">
        <w:rPr>
          <w:rFonts w:ascii="Palatino Linotype" w:hAnsi="Palatino Linotype" w:cs="Tahoma"/>
          <w:sz w:val="22"/>
          <w:szCs w:val="22"/>
        </w:rPr>
        <w:t>ocho</w:t>
      </w:r>
      <w:r w:rsidR="00130B87" w:rsidRPr="00FF0CAB">
        <w:rPr>
          <w:rFonts w:ascii="Palatino Linotype" w:hAnsi="Palatino Linotype" w:cs="Tahoma"/>
          <w:sz w:val="22"/>
          <w:szCs w:val="22"/>
        </w:rPr>
        <w:t xml:space="preserve"> de octubre </w:t>
      </w:r>
      <w:r w:rsidR="008436E1" w:rsidRPr="00FF0CAB">
        <w:rPr>
          <w:rFonts w:ascii="Palatino Linotype" w:hAnsi="Palatino Linotype" w:cs="Tahoma"/>
          <w:sz w:val="22"/>
          <w:szCs w:val="22"/>
        </w:rPr>
        <w:t>de dos mil veinti</w:t>
      </w:r>
      <w:r w:rsidR="00C166FA" w:rsidRPr="00FF0CAB">
        <w:rPr>
          <w:rFonts w:ascii="Palatino Linotype" w:hAnsi="Palatino Linotype" w:cs="Tahoma"/>
          <w:sz w:val="22"/>
          <w:szCs w:val="22"/>
        </w:rPr>
        <w:t>cuatro</w:t>
      </w:r>
      <w:r w:rsidR="00E35DF9" w:rsidRPr="00FF0CAB">
        <w:rPr>
          <w:rFonts w:ascii="Palatino Linotype" w:hAnsi="Palatino Linotype" w:cs="Tahoma"/>
          <w:sz w:val="22"/>
          <w:szCs w:val="22"/>
        </w:rPr>
        <w:t xml:space="preserve">, </w:t>
      </w:r>
      <w:r w:rsidR="00C247E5" w:rsidRPr="00FF0CAB">
        <w:rPr>
          <w:rFonts w:ascii="Palatino Linotype" w:hAnsi="Palatino Linotype" w:cs="Tahoma"/>
          <w:sz w:val="22"/>
          <w:szCs w:val="22"/>
        </w:rPr>
        <w:t>el</w:t>
      </w:r>
      <w:r w:rsidR="00E35DF9" w:rsidRPr="00FF0CAB">
        <w:rPr>
          <w:rFonts w:ascii="Palatino Linotype" w:hAnsi="Palatino Linotype" w:cs="Tahoma"/>
          <w:sz w:val="22"/>
          <w:szCs w:val="22"/>
        </w:rPr>
        <w:t xml:space="preserve"> Particular presentó solicitud de acceso a la i</w:t>
      </w:r>
      <w:r w:rsidR="009D6672" w:rsidRPr="00FF0CAB">
        <w:rPr>
          <w:rFonts w:ascii="Palatino Linotype" w:hAnsi="Palatino Linotype" w:cs="Tahoma"/>
          <w:sz w:val="22"/>
          <w:szCs w:val="22"/>
        </w:rPr>
        <w:t>nformación pública, a través de</w:t>
      </w:r>
      <w:r w:rsidR="00EA2594" w:rsidRPr="00FF0CAB">
        <w:rPr>
          <w:rFonts w:ascii="Palatino Linotype" w:hAnsi="Palatino Linotype" w:cs="Tahoma"/>
          <w:sz w:val="22"/>
          <w:szCs w:val="22"/>
        </w:rPr>
        <w:t xml:space="preserve">l </w:t>
      </w:r>
      <w:r w:rsidR="00062387" w:rsidRPr="00FF0CAB">
        <w:rPr>
          <w:rFonts w:ascii="Palatino Linotype" w:hAnsi="Palatino Linotype" w:cs="Tahoma"/>
          <w:sz w:val="22"/>
          <w:szCs w:val="22"/>
        </w:rPr>
        <w:t>Sistema de Acceso a la</w:t>
      </w:r>
      <w:r w:rsidR="000973B8" w:rsidRPr="00FF0CAB">
        <w:rPr>
          <w:rFonts w:ascii="Palatino Linotype" w:hAnsi="Palatino Linotype" w:cs="Tahoma"/>
          <w:sz w:val="22"/>
          <w:szCs w:val="22"/>
        </w:rPr>
        <w:t xml:space="preserve"> Información Mexiquense</w:t>
      </w:r>
      <w:r w:rsidRPr="00FF0CAB">
        <w:rPr>
          <w:rFonts w:ascii="Palatino Linotype" w:hAnsi="Palatino Linotype" w:cs="Tahoma"/>
          <w:sz w:val="22"/>
          <w:szCs w:val="22"/>
        </w:rPr>
        <w:t>, en lo sucesivo</w:t>
      </w:r>
      <w:r w:rsidR="000973B8" w:rsidRPr="00FF0CAB">
        <w:rPr>
          <w:rFonts w:ascii="Palatino Linotype" w:hAnsi="Palatino Linotype" w:cs="Tahoma"/>
          <w:sz w:val="22"/>
          <w:szCs w:val="22"/>
        </w:rPr>
        <w:t xml:space="preserve"> </w:t>
      </w:r>
      <w:r w:rsidRPr="00FF0CAB">
        <w:rPr>
          <w:rFonts w:ascii="Palatino Linotype" w:hAnsi="Palatino Linotype" w:cs="Tahoma"/>
          <w:sz w:val="22"/>
          <w:szCs w:val="22"/>
        </w:rPr>
        <w:t xml:space="preserve">el </w:t>
      </w:r>
      <w:r w:rsidR="000973B8" w:rsidRPr="00FF0CAB">
        <w:rPr>
          <w:rFonts w:ascii="Palatino Linotype" w:hAnsi="Palatino Linotype" w:cs="Tahoma"/>
          <w:sz w:val="22"/>
          <w:szCs w:val="22"/>
        </w:rPr>
        <w:t>SAIMEX</w:t>
      </w:r>
      <w:r w:rsidR="00E35DF9" w:rsidRPr="00FF0CAB">
        <w:rPr>
          <w:rFonts w:ascii="Palatino Linotype" w:hAnsi="Palatino Linotype" w:cs="Tahoma"/>
          <w:sz w:val="22"/>
          <w:szCs w:val="22"/>
        </w:rPr>
        <w:t xml:space="preserve">, ante </w:t>
      </w:r>
      <w:r w:rsidR="00212285" w:rsidRPr="00FF0CAB">
        <w:rPr>
          <w:rFonts w:ascii="Palatino Linotype" w:hAnsi="Palatino Linotype" w:cs="Tahoma"/>
          <w:sz w:val="22"/>
          <w:szCs w:val="22"/>
        </w:rPr>
        <w:t>el</w:t>
      </w:r>
      <w:r w:rsidR="00E35DF9" w:rsidRPr="00FF0CAB">
        <w:rPr>
          <w:rFonts w:ascii="Palatino Linotype" w:hAnsi="Palatino Linotype" w:cs="Tahoma"/>
          <w:sz w:val="22"/>
          <w:szCs w:val="22"/>
        </w:rPr>
        <w:t xml:space="preserve"> </w:t>
      </w:r>
      <w:r w:rsidR="00C247E5" w:rsidRPr="00FF0CAB">
        <w:rPr>
          <w:rFonts w:ascii="Palatino Linotype" w:hAnsi="Palatino Linotype" w:cs="Tahoma"/>
          <w:b/>
          <w:bCs/>
          <w:sz w:val="22"/>
          <w:szCs w:val="22"/>
        </w:rPr>
        <w:t>Ayuntamiento de Temamatla</w:t>
      </w:r>
      <w:r w:rsidR="00E35DF9" w:rsidRPr="00FF0CAB">
        <w:rPr>
          <w:rFonts w:ascii="Palatino Linotype" w:hAnsi="Palatino Linotype" w:cs="Tahoma"/>
          <w:sz w:val="22"/>
          <w:szCs w:val="22"/>
        </w:rPr>
        <w:t xml:space="preserve">, </w:t>
      </w:r>
      <w:r w:rsidR="003A12F1" w:rsidRPr="00FF0CAB">
        <w:rPr>
          <w:rFonts w:ascii="Palatino Linotype" w:hAnsi="Palatino Linotype" w:cs="Tahoma"/>
          <w:sz w:val="22"/>
          <w:szCs w:val="22"/>
        </w:rPr>
        <w:t xml:space="preserve">misma que fue registrada con el número de folio </w:t>
      </w:r>
      <w:r w:rsidR="00C247E5" w:rsidRPr="00FF0CAB">
        <w:rPr>
          <w:rFonts w:ascii="Palatino Linotype" w:hAnsi="Palatino Linotype" w:cs="Tahoma"/>
          <w:b/>
          <w:bCs/>
          <w:sz w:val="22"/>
          <w:szCs w:val="22"/>
        </w:rPr>
        <w:t>00</w:t>
      </w:r>
      <w:r w:rsidR="00C74564" w:rsidRPr="00FF0CAB">
        <w:rPr>
          <w:rFonts w:ascii="Palatino Linotype" w:hAnsi="Palatino Linotype" w:cs="Tahoma"/>
          <w:b/>
          <w:bCs/>
          <w:sz w:val="22"/>
          <w:szCs w:val="22"/>
        </w:rPr>
        <w:t>709</w:t>
      </w:r>
      <w:r w:rsidR="00C247E5" w:rsidRPr="00FF0CAB">
        <w:rPr>
          <w:rFonts w:ascii="Palatino Linotype" w:hAnsi="Palatino Linotype" w:cs="Tahoma"/>
          <w:b/>
          <w:bCs/>
          <w:sz w:val="22"/>
          <w:szCs w:val="22"/>
        </w:rPr>
        <w:t>/TEMAMATL/IP/2024</w:t>
      </w:r>
      <w:r w:rsidR="003A12F1" w:rsidRPr="00FF0CAB">
        <w:rPr>
          <w:rFonts w:ascii="Palatino Linotype" w:hAnsi="Palatino Linotype" w:cs="Tahoma"/>
          <w:b/>
          <w:bCs/>
          <w:sz w:val="22"/>
          <w:szCs w:val="22"/>
        </w:rPr>
        <w:t xml:space="preserve">, </w:t>
      </w:r>
      <w:r w:rsidR="00E35DF9" w:rsidRPr="00FF0CAB">
        <w:rPr>
          <w:rFonts w:ascii="Palatino Linotype" w:hAnsi="Palatino Linotype" w:cs="Tahoma"/>
          <w:sz w:val="22"/>
          <w:szCs w:val="22"/>
        </w:rPr>
        <w:t xml:space="preserve">mediante </w:t>
      </w:r>
      <w:r w:rsidR="0074594A" w:rsidRPr="00FF0CAB">
        <w:rPr>
          <w:rFonts w:ascii="Palatino Linotype" w:hAnsi="Palatino Linotype" w:cs="Tahoma"/>
          <w:sz w:val="22"/>
          <w:szCs w:val="22"/>
        </w:rPr>
        <w:t>l</w:t>
      </w:r>
      <w:r w:rsidR="00B50512" w:rsidRPr="00FF0CAB">
        <w:rPr>
          <w:rFonts w:ascii="Palatino Linotype" w:hAnsi="Palatino Linotype" w:cs="Tahoma"/>
          <w:sz w:val="22"/>
          <w:szCs w:val="22"/>
        </w:rPr>
        <w:t>a</w:t>
      </w:r>
      <w:r w:rsidR="00E35DF9" w:rsidRPr="00FF0CAB">
        <w:rPr>
          <w:rFonts w:ascii="Palatino Linotype" w:hAnsi="Palatino Linotype" w:cs="Tahoma"/>
          <w:sz w:val="22"/>
          <w:szCs w:val="22"/>
        </w:rPr>
        <w:t xml:space="preserve"> cual requirió lo siguiente: </w:t>
      </w:r>
    </w:p>
    <w:p w14:paraId="38BE678B" w14:textId="77777777" w:rsidR="00D807FB" w:rsidRPr="00FF0CAB" w:rsidRDefault="00D807FB" w:rsidP="00FF426B">
      <w:pPr>
        <w:tabs>
          <w:tab w:val="left" w:pos="567"/>
        </w:tabs>
        <w:spacing w:line="360" w:lineRule="auto"/>
        <w:contextualSpacing/>
        <w:jc w:val="both"/>
        <w:rPr>
          <w:rFonts w:ascii="Palatino Linotype" w:hAnsi="Palatino Linotype" w:cs="Tahoma"/>
          <w:sz w:val="22"/>
        </w:rPr>
      </w:pPr>
    </w:p>
    <w:p w14:paraId="7B970780" w14:textId="77777777" w:rsidR="00D807FB" w:rsidRPr="00FF0CAB"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FF0CAB">
        <w:rPr>
          <w:rFonts w:ascii="Palatino Linotype" w:hAnsi="Palatino Linotype" w:cs="Tahoma"/>
          <w:b/>
          <w:bCs/>
        </w:rPr>
        <w:t>DESCRIPCIÓN CLARA Y PRECISA DE LA INFORMACIÓN SOLICITADA</w:t>
      </w:r>
    </w:p>
    <w:p w14:paraId="6C07A8B1" w14:textId="19784905" w:rsidR="000F2B83" w:rsidRPr="00FF0CAB" w:rsidRDefault="009D6672" w:rsidP="00062387">
      <w:pPr>
        <w:pStyle w:val="Prrafodelista"/>
        <w:tabs>
          <w:tab w:val="left" w:pos="567"/>
        </w:tabs>
        <w:spacing w:line="360" w:lineRule="auto"/>
        <w:ind w:left="567" w:right="539"/>
        <w:jc w:val="both"/>
        <w:rPr>
          <w:rFonts w:ascii="Palatino Linotype" w:hAnsi="Palatino Linotype"/>
          <w:i/>
          <w:iCs/>
          <w:color w:val="000000"/>
          <w:sz w:val="20"/>
          <w:szCs w:val="20"/>
        </w:rPr>
      </w:pPr>
      <w:r w:rsidRPr="00FF0CAB">
        <w:rPr>
          <w:rFonts w:ascii="Palatino Linotype" w:hAnsi="Palatino Linotype"/>
          <w:i/>
          <w:iCs/>
          <w:color w:val="000000"/>
          <w:sz w:val="20"/>
          <w:szCs w:val="20"/>
        </w:rPr>
        <w:t>“</w:t>
      </w:r>
      <w:r w:rsidR="00C74564" w:rsidRPr="00FF0CAB">
        <w:rPr>
          <w:rFonts w:ascii="Palatino Linotype" w:hAnsi="Palatino Linotype"/>
          <w:i/>
          <w:iCs/>
          <w:color w:val="000000"/>
          <w:sz w:val="20"/>
          <w:szCs w:val="20"/>
        </w:rPr>
        <w:t>SOLICITO EL EXPEDIENTE COMPLETO DE LA REMOSION DEL CARGO DE LA DIRECTORA DE DESARROLLO SOCIAL, ERENDIRA CARRILLO PATIÑO, ASI COMO CUANTOS PROCEDIMIENTOS SE ENCUENTRAN INSTAURADOS EN SU CONTRA DEBIDO AL DESVIO DE RECURSOS DE CIUDADANOS POR LA FALTA DE ENTREGA DE LAMINAS Y CALENTADORES SOLARES DURANTE LA ADMINISTRACION 2022-2024</w:t>
      </w:r>
      <w:r w:rsidR="00B50512" w:rsidRPr="00FF0CAB">
        <w:rPr>
          <w:rFonts w:ascii="Palatino Linotype" w:hAnsi="Palatino Linotype"/>
          <w:i/>
          <w:iCs/>
          <w:color w:val="000000"/>
          <w:sz w:val="20"/>
          <w:szCs w:val="20"/>
        </w:rPr>
        <w:t>"</w:t>
      </w:r>
      <w:r w:rsidR="00A650C6" w:rsidRPr="00FF0CAB">
        <w:rPr>
          <w:rFonts w:ascii="Palatino Linotype" w:hAnsi="Palatino Linotype"/>
          <w:i/>
          <w:iCs/>
          <w:color w:val="000000"/>
          <w:sz w:val="20"/>
          <w:szCs w:val="20"/>
        </w:rPr>
        <w:t xml:space="preserve"> </w:t>
      </w:r>
      <w:r w:rsidR="00D74B06" w:rsidRPr="00FF0CAB">
        <w:rPr>
          <w:rFonts w:ascii="Palatino Linotype" w:hAnsi="Palatino Linotype"/>
          <w:i/>
          <w:iCs/>
          <w:color w:val="000000"/>
          <w:sz w:val="20"/>
          <w:szCs w:val="20"/>
        </w:rPr>
        <w:t>(Sic)</w:t>
      </w:r>
      <w:r w:rsidR="007A0F69" w:rsidRPr="00FF0CAB">
        <w:rPr>
          <w:rFonts w:ascii="Palatino Linotype" w:hAnsi="Palatino Linotype"/>
          <w:i/>
          <w:iCs/>
          <w:color w:val="000000"/>
          <w:sz w:val="20"/>
          <w:szCs w:val="20"/>
        </w:rPr>
        <w:t>.</w:t>
      </w:r>
    </w:p>
    <w:p w14:paraId="7CDF7D6B" w14:textId="77777777" w:rsidR="007E4927" w:rsidRPr="00FF0CAB"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0E1C3E09" w14:textId="2B130FBB" w:rsidR="00E35DF9" w:rsidRPr="00FF0CAB"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FF0CAB">
        <w:rPr>
          <w:rFonts w:ascii="Palatino Linotype" w:hAnsi="Palatino Linotype" w:cs="Tahoma"/>
          <w:b/>
          <w:sz w:val="20"/>
          <w:szCs w:val="22"/>
        </w:rPr>
        <w:lastRenderedPageBreak/>
        <w:t>MODALIDAD DE ENTREGA</w:t>
      </w:r>
      <w:r w:rsidR="00BB1F81" w:rsidRPr="00FF0CAB">
        <w:rPr>
          <w:rFonts w:ascii="Palatino Linotype" w:hAnsi="Palatino Linotype" w:cs="Tahoma"/>
          <w:b/>
          <w:sz w:val="20"/>
          <w:szCs w:val="22"/>
        </w:rPr>
        <w:t xml:space="preserve"> </w:t>
      </w:r>
      <w:r w:rsidR="00B86067" w:rsidRPr="00FF0CAB">
        <w:rPr>
          <w:rFonts w:ascii="Palatino Linotype" w:hAnsi="Palatino Linotype" w:cs="Tahoma"/>
          <w:b/>
          <w:sz w:val="20"/>
          <w:szCs w:val="22"/>
        </w:rPr>
        <w:t xml:space="preserve"> </w:t>
      </w:r>
      <w:r w:rsidR="007E4927" w:rsidRPr="00FF0CAB">
        <w:rPr>
          <w:rFonts w:ascii="Palatino Linotype" w:hAnsi="Palatino Linotype" w:cs="Tahoma"/>
          <w:i/>
          <w:sz w:val="20"/>
          <w:szCs w:val="22"/>
        </w:rPr>
        <w:t>“</w:t>
      </w:r>
      <w:r w:rsidR="00062387" w:rsidRPr="00FF0CAB">
        <w:rPr>
          <w:rFonts w:ascii="Palatino Linotype" w:hAnsi="Palatino Linotype" w:cs="Tahoma"/>
          <w:i/>
          <w:sz w:val="20"/>
          <w:szCs w:val="22"/>
        </w:rPr>
        <w:t>A través del SAIMEX</w:t>
      </w:r>
      <w:r w:rsidR="007E4927" w:rsidRPr="00FF0CAB">
        <w:rPr>
          <w:rFonts w:ascii="Palatino Linotype" w:hAnsi="Palatino Linotype" w:cs="Tahoma"/>
          <w:i/>
          <w:sz w:val="20"/>
          <w:szCs w:val="22"/>
        </w:rPr>
        <w:t>”</w:t>
      </w:r>
    </w:p>
    <w:p w14:paraId="1E1E065A" w14:textId="77777777" w:rsidR="00130B87" w:rsidRPr="00FF0CAB" w:rsidRDefault="00130B87" w:rsidP="00EA2594">
      <w:pPr>
        <w:autoSpaceDE w:val="0"/>
        <w:autoSpaceDN w:val="0"/>
        <w:adjustRightInd w:val="0"/>
        <w:spacing w:line="360" w:lineRule="auto"/>
        <w:jc w:val="both"/>
        <w:rPr>
          <w:rFonts w:ascii="Palatino Linotype" w:hAnsi="Palatino Linotype"/>
          <w:b/>
          <w:bCs/>
          <w:color w:val="000000" w:themeColor="text1"/>
          <w:sz w:val="24"/>
          <w:szCs w:val="22"/>
          <w:lang w:eastAsia="en-US"/>
        </w:rPr>
      </w:pPr>
    </w:p>
    <w:p w14:paraId="382076FA" w14:textId="77777777" w:rsidR="00681D84" w:rsidRPr="00FF0CAB" w:rsidRDefault="00996302" w:rsidP="00AA1974">
      <w:pPr>
        <w:pStyle w:val="Prrafodelista"/>
        <w:tabs>
          <w:tab w:val="left" w:pos="567"/>
        </w:tabs>
        <w:spacing w:line="360" w:lineRule="auto"/>
        <w:ind w:left="0"/>
        <w:contextualSpacing w:val="0"/>
        <w:jc w:val="both"/>
        <w:rPr>
          <w:rFonts w:ascii="Palatino Linotype" w:hAnsi="Palatino Linotype" w:cs="Tahoma"/>
          <w:b/>
          <w:szCs w:val="22"/>
        </w:rPr>
      </w:pPr>
      <w:r w:rsidRPr="00FF0CAB">
        <w:rPr>
          <w:rFonts w:ascii="Palatino Linotype" w:hAnsi="Palatino Linotype" w:cs="Tahoma"/>
          <w:b/>
          <w:szCs w:val="20"/>
        </w:rPr>
        <w:t>II</w:t>
      </w:r>
      <w:r w:rsidRPr="00FF0CAB">
        <w:rPr>
          <w:rFonts w:ascii="Palatino Linotype" w:hAnsi="Palatino Linotype" w:cs="Tahoma"/>
          <w:b/>
          <w:szCs w:val="22"/>
        </w:rPr>
        <w:t>.</w:t>
      </w:r>
      <w:r w:rsidRPr="00FF0CAB">
        <w:rPr>
          <w:rFonts w:ascii="Palatino Linotype" w:hAnsi="Palatino Linotype" w:cs="Tahoma"/>
          <w:b/>
        </w:rPr>
        <w:t xml:space="preserve"> </w:t>
      </w:r>
      <w:r w:rsidR="00681D84" w:rsidRPr="00FF0CAB">
        <w:rPr>
          <w:rFonts w:ascii="Palatino Linotype" w:hAnsi="Palatino Linotype" w:cs="Tahoma"/>
          <w:b/>
          <w:szCs w:val="22"/>
        </w:rPr>
        <w:t>Respuesta del Sujeto Obligado</w:t>
      </w:r>
    </w:p>
    <w:p w14:paraId="50812F68" w14:textId="77777777" w:rsidR="00E0128F" w:rsidRPr="00FF0CAB"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070499C7" w14:textId="31431F56" w:rsidR="00C247E5" w:rsidRPr="00FF0CAB" w:rsidRDefault="00BB1F81" w:rsidP="00FF426B">
      <w:pPr>
        <w:autoSpaceDE w:val="0"/>
        <w:autoSpaceDN w:val="0"/>
        <w:adjustRightInd w:val="0"/>
        <w:spacing w:line="360" w:lineRule="auto"/>
        <w:contextualSpacing/>
        <w:jc w:val="both"/>
        <w:rPr>
          <w:rFonts w:ascii="Palatino Linotype" w:hAnsi="Palatino Linotype" w:cs="Tahoma"/>
          <w:sz w:val="22"/>
          <w:szCs w:val="22"/>
        </w:rPr>
      </w:pPr>
      <w:r w:rsidRPr="00FF0CAB">
        <w:rPr>
          <w:rFonts w:ascii="Palatino Linotype" w:hAnsi="Palatino Linotype" w:cs="Tahoma"/>
          <w:sz w:val="22"/>
          <w:szCs w:val="22"/>
        </w:rPr>
        <w:t>El</w:t>
      </w:r>
      <w:r w:rsidR="00681D84" w:rsidRPr="00FF0CAB">
        <w:rPr>
          <w:rFonts w:ascii="Palatino Linotype" w:hAnsi="Palatino Linotype" w:cs="Tahoma"/>
          <w:sz w:val="22"/>
          <w:szCs w:val="22"/>
        </w:rPr>
        <w:t xml:space="preserve"> </w:t>
      </w:r>
      <w:r w:rsidR="00130B87" w:rsidRPr="00FF0CAB">
        <w:rPr>
          <w:rFonts w:ascii="Palatino Linotype" w:hAnsi="Palatino Linotype" w:cs="Tahoma"/>
          <w:sz w:val="22"/>
          <w:szCs w:val="22"/>
        </w:rPr>
        <w:t>veinti</w:t>
      </w:r>
      <w:r w:rsidR="00C74564" w:rsidRPr="00FF0CAB">
        <w:rPr>
          <w:rFonts w:ascii="Palatino Linotype" w:hAnsi="Palatino Linotype" w:cs="Tahoma"/>
          <w:sz w:val="22"/>
          <w:szCs w:val="22"/>
        </w:rPr>
        <w:t xml:space="preserve">cinco </w:t>
      </w:r>
      <w:r w:rsidR="00AA1974" w:rsidRPr="00FF0CAB">
        <w:rPr>
          <w:rFonts w:ascii="Palatino Linotype" w:hAnsi="Palatino Linotype" w:cs="Tahoma"/>
          <w:sz w:val="22"/>
          <w:szCs w:val="22"/>
        </w:rPr>
        <w:t>de octubre</w:t>
      </w:r>
      <w:r w:rsidR="00996302" w:rsidRPr="00FF0CAB">
        <w:rPr>
          <w:rFonts w:ascii="Palatino Linotype" w:hAnsi="Palatino Linotype" w:cs="Tahoma"/>
          <w:sz w:val="22"/>
          <w:szCs w:val="22"/>
        </w:rPr>
        <w:t xml:space="preserve"> </w:t>
      </w:r>
      <w:r w:rsidR="00B71F2C" w:rsidRPr="00FF0CAB">
        <w:rPr>
          <w:rFonts w:ascii="Palatino Linotype" w:hAnsi="Palatino Linotype" w:cs="Tahoma"/>
          <w:sz w:val="22"/>
          <w:szCs w:val="22"/>
        </w:rPr>
        <w:t>de dos mil veinti</w:t>
      </w:r>
      <w:r w:rsidR="00F93A36" w:rsidRPr="00FF0CAB">
        <w:rPr>
          <w:rFonts w:ascii="Palatino Linotype" w:hAnsi="Palatino Linotype" w:cs="Tahoma"/>
          <w:sz w:val="22"/>
          <w:szCs w:val="22"/>
        </w:rPr>
        <w:t>cuatro</w:t>
      </w:r>
      <w:r w:rsidR="00681D84" w:rsidRPr="00FF0CAB">
        <w:rPr>
          <w:rFonts w:ascii="Palatino Linotype" w:hAnsi="Palatino Linotype" w:cs="Tahoma"/>
          <w:sz w:val="22"/>
          <w:szCs w:val="22"/>
        </w:rPr>
        <w:t xml:space="preserve">, </w:t>
      </w:r>
      <w:r w:rsidR="00D74B06" w:rsidRPr="00FF0CAB">
        <w:rPr>
          <w:rFonts w:ascii="Palatino Linotype" w:hAnsi="Palatino Linotype" w:cs="Tahoma"/>
          <w:sz w:val="22"/>
          <w:szCs w:val="22"/>
        </w:rPr>
        <w:t xml:space="preserve">el Sujeto Obligado </w:t>
      </w:r>
      <w:r w:rsidR="008453FA" w:rsidRPr="00FF0CAB">
        <w:rPr>
          <w:rFonts w:ascii="Palatino Linotype" w:hAnsi="Palatino Linotype" w:cs="Tahoma"/>
          <w:sz w:val="22"/>
          <w:szCs w:val="22"/>
        </w:rPr>
        <w:t xml:space="preserve">otorgó respuesta a través del </w:t>
      </w:r>
      <w:r w:rsidRPr="00FF0CAB">
        <w:rPr>
          <w:rFonts w:ascii="Palatino Linotype" w:hAnsi="Palatino Linotype" w:cs="Tahoma"/>
          <w:sz w:val="22"/>
          <w:szCs w:val="22"/>
        </w:rPr>
        <w:t>SAIMEX</w:t>
      </w:r>
      <w:r w:rsidR="008453FA" w:rsidRPr="00FF0CAB">
        <w:rPr>
          <w:rFonts w:ascii="Palatino Linotype" w:hAnsi="Palatino Linotype" w:cs="Tahoma"/>
          <w:sz w:val="22"/>
          <w:szCs w:val="22"/>
        </w:rPr>
        <w:t xml:space="preserve"> en </w:t>
      </w:r>
      <w:r w:rsidR="006E14D7" w:rsidRPr="00FF0CAB">
        <w:rPr>
          <w:rFonts w:ascii="Palatino Linotype" w:hAnsi="Palatino Linotype" w:cs="Tahoma"/>
          <w:sz w:val="22"/>
          <w:szCs w:val="22"/>
        </w:rPr>
        <w:t>la que</w:t>
      </w:r>
      <w:r w:rsidR="00C247E5" w:rsidRPr="00FF0CAB">
        <w:rPr>
          <w:rFonts w:ascii="Palatino Linotype" w:hAnsi="Palatino Linotype" w:cs="Tahoma"/>
          <w:sz w:val="22"/>
          <w:szCs w:val="22"/>
        </w:rPr>
        <w:t xml:space="preserve"> manifestó lo siguiente:</w:t>
      </w:r>
    </w:p>
    <w:p w14:paraId="568C1779" w14:textId="77777777" w:rsidR="0029110A" w:rsidRPr="00FF0CAB" w:rsidRDefault="0029110A" w:rsidP="00552F49">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576D4EED" w14:textId="77777777" w:rsidR="00996302" w:rsidRPr="00FF0CAB"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F0CAB">
        <w:rPr>
          <w:rFonts w:ascii="Palatino Linotype" w:hAnsi="Palatino Linotype" w:cs="Tahoma"/>
          <w:i/>
          <w:szCs w:val="22"/>
        </w:rPr>
        <w:t>“…</w:t>
      </w:r>
      <w:r w:rsidR="00F25E23" w:rsidRPr="00FF0CAB">
        <w:rPr>
          <w:rFonts w:ascii="Palatino Linotype" w:hAnsi="Palatino Linotype" w:cs="Tahoma"/>
          <w:i/>
          <w:szCs w:val="22"/>
        </w:rPr>
        <w:t xml:space="preserve"> </w:t>
      </w:r>
    </w:p>
    <w:p w14:paraId="4074E3B7" w14:textId="77777777" w:rsidR="00C74564" w:rsidRPr="00FF0CAB" w:rsidRDefault="00C74564"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F0CAB">
        <w:rPr>
          <w:rFonts w:ascii="Palatino Linotype" w:hAnsi="Palatino Linotype" w:cs="Tahoma"/>
          <w:i/>
          <w:szCs w:val="22"/>
        </w:rPr>
        <w:t xml:space="preserve">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CABE PUNTUALIZAR QUE ESTE SUJETO OBLIGADO AYUNTAMIENTO DE TEMAMATLA, TIENE COMO PRINCIPAL OBJETIVO GARANTIZAR EL DERECHO DE ACCESO A LA INFORMACIÓN Y DARLE CERTEZA QUE LA RESPUESTA QUE SE ENTREGA ES CUIDANDO EN TODO MOMENTO LOS PRINCIPIOS DEL INFOEM Y LA PROTECCIÓN DE DATOS PERSONALES. ASÍ MISMO EN RELACIÓN AL NUMERAL 12. LTAIPEMYM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SE ENTREGA LA </w:t>
      </w:r>
      <w:r w:rsidRPr="00FF0CAB">
        <w:rPr>
          <w:rFonts w:ascii="Palatino Linotype" w:hAnsi="Palatino Linotype" w:cs="Tahoma"/>
          <w:i/>
          <w:szCs w:val="22"/>
        </w:rPr>
        <w:lastRenderedPageBreak/>
        <w:t>INFORMACIÓN EN EL ESTADO EN QUE SE ENCUENTRA, REFORZANDO LO ANTERIORMENTE EXPRESADO EL NUMERAL 160.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 EN CASO QUE LA INFORMACIÓN SOLICITADA CONSISTA EN BASES DE DATOS SE DEBERÁ PRIVILEGIAR LA ENTREGA DE LA MISMA EN FORMATOS ABIERTOS. POR LO QUE SE DA CERTEZA QUE LA INFORMACION QUE SE ENTREGA, ES LA QUE OBRA EN LOS ARCHIVOS DE ESTE SUJETO OBLIGADO.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p w14:paraId="3714E087" w14:textId="5F50AE8F" w:rsidR="009D4E9E" w:rsidRPr="00FF0CAB" w:rsidRDefault="0029110A"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FF0CAB">
        <w:rPr>
          <w:rFonts w:ascii="Palatino Linotype" w:hAnsi="Palatino Linotype" w:cs="Tahoma"/>
          <w:i/>
          <w:szCs w:val="22"/>
        </w:rPr>
        <w:t>…”</w:t>
      </w:r>
    </w:p>
    <w:p w14:paraId="36F6684B" w14:textId="77777777" w:rsidR="00C247E5" w:rsidRPr="00FF0CAB"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260BE981" w14:textId="77777777" w:rsidR="00C247E5" w:rsidRPr="00FF0CAB"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r w:rsidRPr="00FF0CAB">
        <w:rPr>
          <w:rFonts w:ascii="Palatino Linotype" w:hAnsi="Palatino Linotype" w:cs="Tahoma"/>
          <w:sz w:val="22"/>
          <w:szCs w:val="22"/>
        </w:rPr>
        <w:t>Además adjuntó los siguientes archivos:</w:t>
      </w:r>
    </w:p>
    <w:p w14:paraId="7F017109" w14:textId="77777777" w:rsidR="00130B87" w:rsidRPr="00FF0CAB" w:rsidRDefault="00130B87" w:rsidP="00130B87">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3209AEB0" w14:textId="20B5317D" w:rsidR="00C247E5" w:rsidRPr="00FF0CAB" w:rsidRDefault="00C74564" w:rsidP="00C74564">
      <w:pPr>
        <w:pStyle w:val="Prrafodelista"/>
        <w:numPr>
          <w:ilvl w:val="0"/>
          <w:numId w:val="26"/>
        </w:numPr>
        <w:tabs>
          <w:tab w:val="left" w:pos="2282"/>
        </w:tabs>
        <w:autoSpaceDE w:val="0"/>
        <w:autoSpaceDN w:val="0"/>
        <w:adjustRightInd w:val="0"/>
        <w:spacing w:line="360" w:lineRule="auto"/>
        <w:jc w:val="both"/>
        <w:rPr>
          <w:rFonts w:ascii="Palatino Linotype" w:hAnsi="Palatino Linotype" w:cs="Tahoma"/>
          <w:szCs w:val="22"/>
        </w:rPr>
      </w:pPr>
      <w:r w:rsidRPr="00FF0CAB">
        <w:rPr>
          <w:rFonts w:ascii="Palatino Linotype" w:hAnsi="Palatino Linotype" w:cs="Tahoma"/>
          <w:b/>
          <w:i/>
          <w:szCs w:val="22"/>
        </w:rPr>
        <w:t>709.pdf</w:t>
      </w:r>
      <w:r w:rsidR="00C247E5" w:rsidRPr="00FF0CAB">
        <w:rPr>
          <w:rFonts w:ascii="Palatino Linotype" w:hAnsi="Palatino Linotype" w:cs="Tahoma"/>
          <w:b/>
          <w:i/>
          <w:szCs w:val="22"/>
        </w:rPr>
        <w:t>:</w:t>
      </w:r>
      <w:r w:rsidR="00C247E5" w:rsidRPr="00FF0CAB">
        <w:rPr>
          <w:rFonts w:ascii="Palatino Linotype" w:hAnsi="Palatino Linotype" w:cs="Tahoma"/>
          <w:szCs w:val="22"/>
        </w:rPr>
        <w:t xml:space="preserve"> Oficio suscrito por </w:t>
      </w:r>
      <w:r w:rsidRPr="00FF0CAB">
        <w:rPr>
          <w:rFonts w:ascii="Palatino Linotype" w:hAnsi="Palatino Linotype" w:cs="Tahoma"/>
          <w:szCs w:val="22"/>
        </w:rPr>
        <w:t>e</w:t>
      </w:r>
      <w:r w:rsidR="00C247E5" w:rsidRPr="00FF0CAB">
        <w:rPr>
          <w:rFonts w:ascii="Palatino Linotype" w:hAnsi="Palatino Linotype" w:cs="Tahoma"/>
          <w:szCs w:val="22"/>
        </w:rPr>
        <w:t xml:space="preserve">l </w:t>
      </w:r>
      <w:r w:rsidRPr="00FF0CAB">
        <w:rPr>
          <w:rFonts w:ascii="Palatino Linotype" w:hAnsi="Palatino Linotype" w:cs="Tahoma"/>
          <w:szCs w:val="22"/>
        </w:rPr>
        <w:t xml:space="preserve">Director Jurídico </w:t>
      </w:r>
      <w:r w:rsidR="00C247E5" w:rsidRPr="00FF0CAB">
        <w:rPr>
          <w:rFonts w:ascii="Palatino Linotype" w:hAnsi="Palatino Linotype" w:cs="Tahoma"/>
          <w:szCs w:val="22"/>
        </w:rPr>
        <w:t>en el que manifestó lo siguiente:</w:t>
      </w:r>
    </w:p>
    <w:p w14:paraId="387F71F3" w14:textId="77777777" w:rsidR="00C247E5" w:rsidRPr="00FF0CAB"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0DDC39F4" w14:textId="7572E9E7" w:rsidR="00C247E5" w:rsidRPr="00FF0CAB" w:rsidRDefault="00C247E5" w:rsidP="0079675C">
      <w:pPr>
        <w:tabs>
          <w:tab w:val="left" w:pos="2282"/>
        </w:tabs>
        <w:autoSpaceDE w:val="0"/>
        <w:autoSpaceDN w:val="0"/>
        <w:adjustRightInd w:val="0"/>
        <w:spacing w:line="360" w:lineRule="auto"/>
        <w:ind w:left="567" w:right="539"/>
        <w:contextualSpacing/>
        <w:jc w:val="both"/>
        <w:rPr>
          <w:rFonts w:ascii="Palatino Linotype" w:hAnsi="Palatino Linotype" w:cs="Tahoma"/>
          <w:i/>
          <w:szCs w:val="22"/>
        </w:rPr>
      </w:pPr>
      <w:r w:rsidRPr="00FF0CAB">
        <w:rPr>
          <w:rFonts w:ascii="Palatino Linotype" w:hAnsi="Palatino Linotype" w:cs="Tahoma"/>
          <w:i/>
          <w:szCs w:val="22"/>
        </w:rPr>
        <w:t>“…</w:t>
      </w:r>
      <w:r w:rsidR="00C74564" w:rsidRPr="00FF0CAB">
        <w:rPr>
          <w:rFonts w:ascii="Palatino Linotype" w:hAnsi="Palatino Linotype" w:cs="Tahoma"/>
          <w:i/>
          <w:szCs w:val="22"/>
        </w:rPr>
        <w:t xml:space="preserve"> al efecto me permito informar que esta Dirección Jurídica no realiza remociones de personal, ni cuenta con expedientes de personal de la administración, así como tampoco lleva ningún asunto relacionado por el delito de DESVIO DE RECURSOS CIUADANOS, motivo por el cual, vengo a solicitar se declare la inexistencia de dicha información y la misma sea aprobada por el Comité de Transparencia</w:t>
      </w:r>
      <w:r w:rsidRPr="00FF0CAB">
        <w:rPr>
          <w:rFonts w:ascii="Palatino Linotype" w:hAnsi="Palatino Linotype" w:cs="Tahoma"/>
          <w:i/>
          <w:szCs w:val="22"/>
        </w:rPr>
        <w:t>…</w:t>
      </w:r>
      <w:r w:rsidR="0079675C" w:rsidRPr="00FF0CAB">
        <w:rPr>
          <w:rFonts w:ascii="Palatino Linotype" w:hAnsi="Palatino Linotype" w:cs="Tahoma"/>
          <w:i/>
          <w:szCs w:val="22"/>
        </w:rPr>
        <w:t>”</w:t>
      </w:r>
      <w:r w:rsidRPr="00FF0CAB">
        <w:rPr>
          <w:rFonts w:ascii="Palatino Linotype" w:hAnsi="Palatino Linotype" w:cs="Tahoma"/>
          <w:i/>
          <w:szCs w:val="22"/>
        </w:rPr>
        <w:t xml:space="preserve"> </w:t>
      </w:r>
    </w:p>
    <w:p w14:paraId="54A7F85E" w14:textId="77777777" w:rsidR="00C247E5" w:rsidRPr="00FF0CAB"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bookmarkEnd w:id="0"/>
    <w:p w14:paraId="52D36728" w14:textId="77777777" w:rsidR="001A412B" w:rsidRPr="00FF0CAB" w:rsidRDefault="007812D1" w:rsidP="00FF426B">
      <w:pPr>
        <w:autoSpaceDE w:val="0"/>
        <w:autoSpaceDN w:val="0"/>
        <w:adjustRightInd w:val="0"/>
        <w:spacing w:line="360" w:lineRule="auto"/>
        <w:contextualSpacing/>
        <w:jc w:val="both"/>
        <w:rPr>
          <w:rFonts w:ascii="Palatino Linotype" w:hAnsi="Palatino Linotype" w:cs="Tahoma"/>
          <w:b/>
          <w:sz w:val="22"/>
          <w:szCs w:val="22"/>
        </w:rPr>
      </w:pPr>
      <w:r w:rsidRPr="00FF0CAB">
        <w:rPr>
          <w:rFonts w:ascii="Palatino Linotype" w:hAnsi="Palatino Linotype" w:cs="Tahoma"/>
          <w:b/>
          <w:sz w:val="22"/>
          <w:szCs w:val="22"/>
        </w:rPr>
        <w:t>I</w:t>
      </w:r>
      <w:r w:rsidR="00AA1974" w:rsidRPr="00FF0CAB">
        <w:rPr>
          <w:rFonts w:ascii="Palatino Linotype" w:hAnsi="Palatino Linotype" w:cs="Tahoma"/>
          <w:b/>
          <w:sz w:val="22"/>
          <w:szCs w:val="22"/>
        </w:rPr>
        <w:t>II</w:t>
      </w:r>
      <w:r w:rsidR="009A7587" w:rsidRPr="00FF0CAB">
        <w:rPr>
          <w:rFonts w:ascii="Palatino Linotype" w:hAnsi="Palatino Linotype" w:cs="Tahoma"/>
          <w:b/>
          <w:sz w:val="22"/>
          <w:szCs w:val="22"/>
        </w:rPr>
        <w:t>. Interposición del Recurso de Revisión</w:t>
      </w:r>
    </w:p>
    <w:p w14:paraId="132958A7" w14:textId="77777777" w:rsidR="00F87649" w:rsidRPr="00FF0CAB"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43AC075" w14:textId="697A1C35" w:rsidR="009A7587" w:rsidRPr="00FF0CAB" w:rsidRDefault="009A7587" w:rsidP="00FF426B">
      <w:pPr>
        <w:tabs>
          <w:tab w:val="left" w:pos="3122"/>
        </w:tabs>
        <w:spacing w:line="360" w:lineRule="auto"/>
        <w:contextualSpacing/>
        <w:jc w:val="both"/>
        <w:rPr>
          <w:rFonts w:ascii="Palatino Linotype" w:hAnsi="Palatino Linotype" w:cs="Tahoma"/>
          <w:sz w:val="22"/>
          <w:szCs w:val="22"/>
        </w:rPr>
      </w:pPr>
      <w:r w:rsidRPr="00FF0CAB">
        <w:rPr>
          <w:rFonts w:ascii="Palatino Linotype" w:hAnsi="Palatino Linotype" w:cs="Tahoma"/>
          <w:sz w:val="22"/>
          <w:szCs w:val="22"/>
        </w:rPr>
        <w:t>Con fecha</w:t>
      </w:r>
      <w:r w:rsidR="00E13C8C" w:rsidRPr="00FF0CAB">
        <w:rPr>
          <w:rFonts w:ascii="Palatino Linotype" w:hAnsi="Palatino Linotype" w:cs="Tahoma"/>
          <w:sz w:val="22"/>
          <w:szCs w:val="22"/>
        </w:rPr>
        <w:t xml:space="preserve"> </w:t>
      </w:r>
      <w:r w:rsidR="00C74564" w:rsidRPr="00FF0CAB">
        <w:rPr>
          <w:rFonts w:ascii="Palatino Linotype" w:hAnsi="Palatino Linotype" w:cs="Tahoma"/>
          <w:sz w:val="22"/>
          <w:szCs w:val="22"/>
        </w:rPr>
        <w:t>treinta</w:t>
      </w:r>
      <w:r w:rsidR="00130B87" w:rsidRPr="00FF0CAB">
        <w:rPr>
          <w:rFonts w:ascii="Palatino Linotype" w:hAnsi="Palatino Linotype" w:cs="Tahoma"/>
          <w:sz w:val="22"/>
          <w:szCs w:val="22"/>
        </w:rPr>
        <w:t xml:space="preserve"> </w:t>
      </w:r>
      <w:r w:rsidR="00AA1974" w:rsidRPr="00FF0CAB">
        <w:rPr>
          <w:rFonts w:ascii="Palatino Linotype" w:hAnsi="Palatino Linotype" w:cs="Tahoma"/>
          <w:sz w:val="22"/>
          <w:szCs w:val="22"/>
        </w:rPr>
        <w:t>de octubre</w:t>
      </w:r>
      <w:r w:rsidR="00F93A36" w:rsidRPr="00FF0CAB">
        <w:rPr>
          <w:rFonts w:ascii="Palatino Linotype" w:hAnsi="Palatino Linotype" w:cs="Tahoma"/>
          <w:sz w:val="22"/>
          <w:szCs w:val="22"/>
        </w:rPr>
        <w:t xml:space="preserve"> </w:t>
      </w:r>
      <w:r w:rsidR="00B267E1" w:rsidRPr="00FF0CAB">
        <w:rPr>
          <w:rFonts w:ascii="Palatino Linotype" w:hAnsi="Palatino Linotype" w:cs="Tahoma"/>
          <w:sz w:val="22"/>
          <w:szCs w:val="22"/>
        </w:rPr>
        <w:t>de dos mil veinti</w:t>
      </w:r>
      <w:r w:rsidR="00F93A36" w:rsidRPr="00FF0CAB">
        <w:rPr>
          <w:rFonts w:ascii="Palatino Linotype" w:hAnsi="Palatino Linotype" w:cs="Tahoma"/>
          <w:sz w:val="22"/>
          <w:szCs w:val="22"/>
        </w:rPr>
        <w:t>cuatro</w:t>
      </w:r>
      <w:r w:rsidRPr="00FF0CAB">
        <w:rPr>
          <w:rFonts w:ascii="Palatino Linotype" w:hAnsi="Palatino Linotype" w:cs="Tahoma"/>
          <w:sz w:val="22"/>
          <w:szCs w:val="22"/>
        </w:rPr>
        <w:t xml:space="preserve">, a través del </w:t>
      </w:r>
      <w:r w:rsidR="00BB1F81" w:rsidRPr="00FF0CAB">
        <w:rPr>
          <w:rFonts w:ascii="Palatino Linotype" w:hAnsi="Palatino Linotype" w:cs="Tahoma"/>
          <w:sz w:val="22"/>
          <w:szCs w:val="22"/>
          <w:lang w:val="es-ES"/>
        </w:rPr>
        <w:t>SAIMEX</w:t>
      </w:r>
      <w:r w:rsidR="00A048C7" w:rsidRPr="00FF0CAB">
        <w:rPr>
          <w:rFonts w:ascii="Palatino Linotype" w:hAnsi="Palatino Linotype" w:cs="Tahoma"/>
          <w:sz w:val="22"/>
          <w:szCs w:val="22"/>
        </w:rPr>
        <w:t>, se interpus</w:t>
      </w:r>
      <w:r w:rsidR="003C3E71" w:rsidRPr="00FF0CAB">
        <w:rPr>
          <w:rFonts w:ascii="Palatino Linotype" w:hAnsi="Palatino Linotype" w:cs="Tahoma"/>
          <w:sz w:val="22"/>
          <w:szCs w:val="22"/>
        </w:rPr>
        <w:t>o</w:t>
      </w:r>
      <w:r w:rsidR="00A048C7" w:rsidRPr="00FF0CAB">
        <w:rPr>
          <w:rFonts w:ascii="Palatino Linotype" w:hAnsi="Palatino Linotype" w:cs="Tahoma"/>
          <w:sz w:val="22"/>
          <w:szCs w:val="22"/>
        </w:rPr>
        <w:t xml:space="preserve"> </w:t>
      </w:r>
      <w:r w:rsidR="003C3E71" w:rsidRPr="00FF0CAB">
        <w:rPr>
          <w:rFonts w:ascii="Palatino Linotype" w:hAnsi="Palatino Linotype" w:cs="Tahoma"/>
          <w:sz w:val="22"/>
          <w:szCs w:val="22"/>
        </w:rPr>
        <w:t>el</w:t>
      </w:r>
      <w:r w:rsidRPr="00FF0CAB">
        <w:rPr>
          <w:rFonts w:ascii="Palatino Linotype" w:hAnsi="Palatino Linotype" w:cs="Tahoma"/>
          <w:sz w:val="22"/>
          <w:szCs w:val="22"/>
        </w:rPr>
        <w:t xml:space="preserve"> presente Recurso de Revisión por</w:t>
      </w:r>
      <w:r w:rsidR="008E6658" w:rsidRPr="00FF0CAB">
        <w:rPr>
          <w:rFonts w:ascii="Palatino Linotype" w:hAnsi="Palatino Linotype" w:cs="Tahoma"/>
          <w:sz w:val="22"/>
          <w:szCs w:val="22"/>
        </w:rPr>
        <w:t xml:space="preserve"> </w:t>
      </w:r>
      <w:r w:rsidR="0035716C" w:rsidRPr="00FF0CAB">
        <w:rPr>
          <w:rFonts w:ascii="Palatino Linotype" w:hAnsi="Palatino Linotype" w:cs="Tahoma"/>
          <w:sz w:val="22"/>
          <w:szCs w:val="22"/>
        </w:rPr>
        <w:t xml:space="preserve">el </w:t>
      </w:r>
      <w:r w:rsidRPr="00FF0CAB">
        <w:rPr>
          <w:rFonts w:ascii="Palatino Linotype" w:hAnsi="Palatino Linotype" w:cs="Tahoma"/>
          <w:sz w:val="22"/>
          <w:szCs w:val="22"/>
        </w:rPr>
        <w:t xml:space="preserve">Recurrente, en contra de </w:t>
      </w:r>
      <w:r w:rsidR="00655265" w:rsidRPr="00FF0CAB">
        <w:rPr>
          <w:rFonts w:ascii="Palatino Linotype" w:hAnsi="Palatino Linotype" w:cs="Tahoma"/>
          <w:sz w:val="22"/>
          <w:szCs w:val="22"/>
        </w:rPr>
        <w:t>la respuesta emitida</w:t>
      </w:r>
      <w:r w:rsidRPr="00FF0CAB">
        <w:rPr>
          <w:rFonts w:ascii="Palatino Linotype" w:hAnsi="Palatino Linotype" w:cs="Tahoma"/>
          <w:sz w:val="22"/>
          <w:szCs w:val="22"/>
        </w:rPr>
        <w:t xml:space="preserve"> por el Sujeto Obligado a </w:t>
      </w:r>
      <w:r w:rsidR="00655265" w:rsidRPr="00FF0CAB">
        <w:rPr>
          <w:rFonts w:ascii="Palatino Linotype" w:hAnsi="Palatino Linotype" w:cs="Tahoma"/>
          <w:sz w:val="22"/>
          <w:szCs w:val="22"/>
        </w:rPr>
        <w:t>la solicitud</w:t>
      </w:r>
      <w:r w:rsidRPr="00FF0CAB">
        <w:rPr>
          <w:rFonts w:ascii="Palatino Linotype" w:hAnsi="Palatino Linotype" w:cs="Tahoma"/>
          <w:sz w:val="22"/>
          <w:szCs w:val="22"/>
        </w:rPr>
        <w:t xml:space="preserve"> de información, en los siguientes términos:</w:t>
      </w:r>
    </w:p>
    <w:p w14:paraId="4CF60E69" w14:textId="77777777" w:rsidR="00AB6595" w:rsidRPr="00FF0CAB" w:rsidRDefault="00AB6595" w:rsidP="00FF57AD">
      <w:pPr>
        <w:tabs>
          <w:tab w:val="left" w:pos="4995"/>
        </w:tabs>
        <w:spacing w:line="360" w:lineRule="auto"/>
        <w:contextualSpacing/>
        <w:jc w:val="both"/>
        <w:rPr>
          <w:rFonts w:ascii="Palatino Linotype" w:hAnsi="Palatino Linotype" w:cs="Tahoma"/>
          <w:sz w:val="22"/>
          <w:szCs w:val="22"/>
        </w:rPr>
      </w:pPr>
    </w:p>
    <w:p w14:paraId="1693BE0B" w14:textId="77777777" w:rsidR="00D5699B" w:rsidRPr="00FF0CAB" w:rsidRDefault="00D5699B" w:rsidP="00FF426B">
      <w:pPr>
        <w:spacing w:line="360" w:lineRule="auto"/>
        <w:ind w:left="567" w:right="539"/>
        <w:contextualSpacing/>
        <w:jc w:val="both"/>
        <w:rPr>
          <w:rFonts w:ascii="Palatino Linotype" w:hAnsi="Palatino Linotype" w:cs="Tahoma"/>
          <w:b/>
          <w:bCs/>
          <w:szCs w:val="22"/>
        </w:rPr>
      </w:pPr>
      <w:r w:rsidRPr="00FF0CAB">
        <w:rPr>
          <w:rFonts w:ascii="Palatino Linotype" w:hAnsi="Palatino Linotype" w:cs="Tahoma"/>
          <w:b/>
          <w:bCs/>
          <w:szCs w:val="22"/>
        </w:rPr>
        <w:t>ACTO IMPUGNADO</w:t>
      </w:r>
    </w:p>
    <w:p w14:paraId="3CEE750D" w14:textId="77777777" w:rsidR="003D1770" w:rsidRPr="00FF0CAB" w:rsidRDefault="007E4927" w:rsidP="00FF426B">
      <w:pPr>
        <w:spacing w:line="360" w:lineRule="auto"/>
        <w:ind w:left="567" w:right="539"/>
        <w:contextualSpacing/>
        <w:jc w:val="both"/>
        <w:rPr>
          <w:rFonts w:ascii="Palatino Linotype" w:hAnsi="Palatino Linotype" w:cs="Tahoma"/>
          <w:bCs/>
          <w:i/>
          <w:szCs w:val="22"/>
        </w:rPr>
      </w:pPr>
      <w:r w:rsidRPr="00FF0CAB">
        <w:rPr>
          <w:rFonts w:ascii="Palatino Linotype" w:hAnsi="Palatino Linotype" w:cs="Tahoma"/>
          <w:bCs/>
          <w:i/>
          <w:szCs w:val="22"/>
        </w:rPr>
        <w:t>“</w:t>
      </w:r>
      <w:r w:rsidR="0079675C" w:rsidRPr="00FF0CAB">
        <w:rPr>
          <w:rFonts w:ascii="Palatino Linotype" w:hAnsi="Palatino Linotype" w:cs="Tahoma"/>
          <w:bCs/>
          <w:i/>
          <w:szCs w:val="22"/>
        </w:rPr>
        <w:t>RESPUESTA OTORGADA</w:t>
      </w:r>
      <w:r w:rsidR="00AA1974" w:rsidRPr="00FF0CAB">
        <w:rPr>
          <w:rFonts w:ascii="Palatino Linotype" w:hAnsi="Palatino Linotype" w:cs="Tahoma"/>
          <w:bCs/>
          <w:i/>
          <w:szCs w:val="22"/>
        </w:rPr>
        <w:t xml:space="preserve"> </w:t>
      </w:r>
      <w:r w:rsidR="00E55401" w:rsidRPr="00FF0CAB">
        <w:rPr>
          <w:rFonts w:ascii="Palatino Linotype" w:hAnsi="Palatino Linotype" w:cs="Tahoma"/>
          <w:bCs/>
          <w:i/>
          <w:szCs w:val="22"/>
        </w:rPr>
        <w:t>"</w:t>
      </w:r>
    </w:p>
    <w:p w14:paraId="230D5163" w14:textId="77777777" w:rsidR="00CE2F19" w:rsidRPr="00FF0CAB" w:rsidRDefault="00CE2F19" w:rsidP="00CE2F19">
      <w:pPr>
        <w:spacing w:line="360" w:lineRule="auto"/>
        <w:ind w:left="567" w:right="539"/>
        <w:contextualSpacing/>
        <w:jc w:val="both"/>
        <w:rPr>
          <w:rFonts w:ascii="Palatino Linotype" w:hAnsi="Palatino Linotype" w:cs="Tahoma"/>
          <w:bCs/>
          <w:szCs w:val="22"/>
        </w:rPr>
      </w:pPr>
    </w:p>
    <w:p w14:paraId="50F7F863" w14:textId="77777777" w:rsidR="00CE2F19" w:rsidRPr="00FF0CAB" w:rsidRDefault="00CE2F19" w:rsidP="00CE2F19">
      <w:pPr>
        <w:spacing w:line="360" w:lineRule="auto"/>
        <w:ind w:left="567" w:right="539"/>
        <w:contextualSpacing/>
        <w:jc w:val="both"/>
        <w:rPr>
          <w:rFonts w:ascii="Palatino Linotype" w:hAnsi="Palatino Linotype" w:cs="Tahoma"/>
          <w:b/>
          <w:bCs/>
          <w:szCs w:val="22"/>
        </w:rPr>
      </w:pPr>
      <w:r w:rsidRPr="00FF0CAB">
        <w:rPr>
          <w:rFonts w:ascii="Palatino Linotype" w:hAnsi="Palatino Linotype" w:cs="Tahoma"/>
          <w:b/>
          <w:bCs/>
          <w:szCs w:val="22"/>
        </w:rPr>
        <w:t>RAZONES O MOTIVOS DE LA INCONFORMIDAD</w:t>
      </w:r>
    </w:p>
    <w:p w14:paraId="5400DB5C" w14:textId="7E965BFF" w:rsidR="00CE2F19" w:rsidRPr="00FF0CAB" w:rsidRDefault="00CE2F19" w:rsidP="00CE2F19">
      <w:pPr>
        <w:spacing w:line="360" w:lineRule="auto"/>
        <w:ind w:left="567" w:right="539"/>
        <w:contextualSpacing/>
        <w:jc w:val="both"/>
        <w:rPr>
          <w:rFonts w:ascii="Palatino Linotype" w:hAnsi="Palatino Linotype" w:cs="Tahoma"/>
          <w:bCs/>
          <w:i/>
          <w:szCs w:val="24"/>
        </w:rPr>
      </w:pPr>
      <w:r w:rsidRPr="00FF0CAB">
        <w:rPr>
          <w:rFonts w:ascii="Palatino Linotype" w:hAnsi="Palatino Linotype" w:cs="Tahoma"/>
          <w:bCs/>
          <w:i/>
          <w:szCs w:val="24"/>
        </w:rPr>
        <w:t>“</w:t>
      </w:r>
      <w:bookmarkStart w:id="1" w:name="_Hlk181699048"/>
      <w:r w:rsidR="00C74564" w:rsidRPr="00FF0CAB">
        <w:rPr>
          <w:rFonts w:ascii="Palatino Linotype" w:hAnsi="Palatino Linotype" w:cs="Tahoma"/>
          <w:bCs/>
          <w:i/>
          <w:szCs w:val="24"/>
        </w:rPr>
        <w:t>EL SUJETO OBLIGADO MANIFIESTA EN SU RESPUESTA QUE EL AREA NO CUENTA CON LA INFORMACION SOLICITADA, SIENDO OBLIGACION DEL TITULAR DEL AREA DE TRANSPARENCIA EL TURNO ADECUADO DE LA SOLICITUD AL AREA COMPETENTE PARA SU SOLVENTACION, CONFIRMANDO NUEVAMENTE QUE EL SUJETO OBLIGADO DE MANERA DOLOSA EN TODO MOMENTO Y EN UN TOTAL ACTO DE OPACIDAD, ENTORPESE EL ACCESO A LA INFORMACION SOLICITADA</w:t>
      </w:r>
      <w:r w:rsidRPr="00FF0CAB">
        <w:rPr>
          <w:rFonts w:ascii="Palatino Linotype" w:hAnsi="Palatino Linotype" w:cs="Tahoma"/>
          <w:bCs/>
          <w:i/>
          <w:szCs w:val="24"/>
        </w:rPr>
        <w:t>”</w:t>
      </w:r>
    </w:p>
    <w:bookmarkEnd w:id="1"/>
    <w:p w14:paraId="057A5AF5" w14:textId="77777777" w:rsidR="00130B87" w:rsidRPr="00FF0CAB" w:rsidRDefault="00130B87" w:rsidP="00FF426B">
      <w:pPr>
        <w:spacing w:line="360" w:lineRule="auto"/>
        <w:ind w:left="567" w:right="539"/>
        <w:contextualSpacing/>
        <w:jc w:val="both"/>
        <w:rPr>
          <w:rFonts w:ascii="Palatino Linotype" w:hAnsi="Palatino Linotype" w:cs="Tahoma"/>
          <w:bCs/>
          <w:i/>
          <w:szCs w:val="22"/>
        </w:rPr>
      </w:pPr>
    </w:p>
    <w:p w14:paraId="64707914" w14:textId="77777777" w:rsidR="009A7587" w:rsidRPr="00FF0CAB" w:rsidRDefault="00AA1974" w:rsidP="00FF426B">
      <w:pPr>
        <w:spacing w:line="360" w:lineRule="auto"/>
        <w:contextualSpacing/>
        <w:jc w:val="both"/>
        <w:rPr>
          <w:rFonts w:ascii="Palatino Linotype" w:eastAsia="Batang" w:hAnsi="Palatino Linotype" w:cs="Tahoma"/>
          <w:b/>
          <w:bCs/>
          <w:sz w:val="22"/>
          <w:szCs w:val="22"/>
        </w:rPr>
      </w:pPr>
      <w:r w:rsidRPr="00FF0CAB">
        <w:rPr>
          <w:rFonts w:ascii="Palatino Linotype" w:hAnsi="Palatino Linotype" w:cs="Tahoma"/>
          <w:b/>
          <w:sz w:val="22"/>
          <w:szCs w:val="22"/>
        </w:rPr>
        <w:t>I</w:t>
      </w:r>
      <w:r w:rsidR="00FF1049" w:rsidRPr="00FF0CAB">
        <w:rPr>
          <w:rFonts w:ascii="Palatino Linotype" w:hAnsi="Palatino Linotype" w:cs="Tahoma"/>
          <w:b/>
          <w:sz w:val="22"/>
          <w:szCs w:val="22"/>
        </w:rPr>
        <w:t>V</w:t>
      </w:r>
      <w:r w:rsidR="009A7587" w:rsidRPr="00FF0CAB">
        <w:rPr>
          <w:rFonts w:ascii="Palatino Linotype" w:hAnsi="Palatino Linotype" w:cs="Tahoma"/>
          <w:b/>
          <w:sz w:val="22"/>
          <w:szCs w:val="22"/>
        </w:rPr>
        <w:t xml:space="preserve">. </w:t>
      </w:r>
      <w:r w:rsidR="009A7587" w:rsidRPr="00FF0CAB">
        <w:rPr>
          <w:rFonts w:ascii="Palatino Linotype" w:eastAsia="Batang" w:hAnsi="Palatino Linotype" w:cs="Tahoma"/>
          <w:b/>
          <w:bCs/>
          <w:sz w:val="22"/>
          <w:szCs w:val="22"/>
        </w:rPr>
        <w:t xml:space="preserve">Trámite del </w:t>
      </w:r>
      <w:r w:rsidR="009A7587" w:rsidRPr="00FF0CAB">
        <w:rPr>
          <w:rFonts w:ascii="Palatino Linotype" w:hAnsi="Palatino Linotype" w:cs="Tahoma"/>
          <w:b/>
          <w:sz w:val="22"/>
          <w:szCs w:val="22"/>
        </w:rPr>
        <w:t xml:space="preserve">Recurso de Revisión </w:t>
      </w:r>
      <w:r w:rsidR="009A7587" w:rsidRPr="00FF0CAB">
        <w:rPr>
          <w:rFonts w:ascii="Palatino Linotype" w:eastAsia="Batang" w:hAnsi="Palatino Linotype" w:cs="Tahoma"/>
          <w:b/>
          <w:bCs/>
          <w:sz w:val="22"/>
          <w:szCs w:val="22"/>
        </w:rPr>
        <w:t>ante el Instituto</w:t>
      </w:r>
    </w:p>
    <w:p w14:paraId="49E1D78C" w14:textId="77777777" w:rsidR="007E4927" w:rsidRPr="00FF0CAB" w:rsidRDefault="007E4927" w:rsidP="00FF426B">
      <w:pPr>
        <w:spacing w:line="360" w:lineRule="auto"/>
        <w:contextualSpacing/>
        <w:jc w:val="both"/>
        <w:rPr>
          <w:rFonts w:ascii="Palatino Linotype" w:eastAsia="Batang" w:hAnsi="Palatino Linotype" w:cs="Tahoma"/>
          <w:b/>
          <w:bCs/>
          <w:sz w:val="22"/>
          <w:szCs w:val="22"/>
        </w:rPr>
      </w:pPr>
    </w:p>
    <w:p w14:paraId="7816E32F" w14:textId="30CA4F5E" w:rsidR="00C950E3" w:rsidRPr="00FF0CAB" w:rsidRDefault="009A7587" w:rsidP="00FF426B">
      <w:pPr>
        <w:spacing w:line="360" w:lineRule="auto"/>
        <w:contextualSpacing/>
        <w:jc w:val="both"/>
        <w:rPr>
          <w:rFonts w:ascii="Palatino Linotype" w:eastAsia="Batang" w:hAnsi="Palatino Linotype" w:cs="Tahoma"/>
          <w:bCs/>
          <w:sz w:val="22"/>
          <w:szCs w:val="22"/>
        </w:rPr>
      </w:pPr>
      <w:r w:rsidRPr="00FF0CAB">
        <w:rPr>
          <w:rFonts w:ascii="Palatino Linotype" w:eastAsia="Batang" w:hAnsi="Palatino Linotype" w:cs="Tahoma"/>
          <w:b/>
          <w:bCs/>
          <w:sz w:val="22"/>
          <w:szCs w:val="22"/>
        </w:rPr>
        <w:t xml:space="preserve">a) Turno del </w:t>
      </w:r>
      <w:r w:rsidRPr="00FF0CAB">
        <w:rPr>
          <w:rFonts w:ascii="Palatino Linotype" w:hAnsi="Palatino Linotype" w:cs="Tahoma"/>
          <w:b/>
          <w:sz w:val="22"/>
          <w:szCs w:val="22"/>
        </w:rPr>
        <w:t>Recurso de Revisión</w:t>
      </w:r>
      <w:r w:rsidRPr="00FF0CAB">
        <w:rPr>
          <w:rFonts w:ascii="Palatino Linotype" w:eastAsia="Batang" w:hAnsi="Palatino Linotype" w:cs="Tahoma"/>
          <w:b/>
          <w:bCs/>
          <w:sz w:val="22"/>
          <w:szCs w:val="22"/>
        </w:rPr>
        <w:t xml:space="preserve">. </w:t>
      </w:r>
      <w:r w:rsidR="00A06844" w:rsidRPr="00FF0CAB">
        <w:rPr>
          <w:rFonts w:ascii="Palatino Linotype" w:eastAsia="Batang" w:hAnsi="Palatino Linotype" w:cs="Tahoma"/>
          <w:bCs/>
          <w:sz w:val="22"/>
          <w:szCs w:val="22"/>
        </w:rPr>
        <w:t xml:space="preserve">El </w:t>
      </w:r>
      <w:r w:rsidR="00C74564" w:rsidRPr="00FF0CAB">
        <w:rPr>
          <w:rFonts w:ascii="Palatino Linotype" w:hAnsi="Palatino Linotype" w:cs="Tahoma"/>
          <w:sz w:val="22"/>
          <w:szCs w:val="22"/>
        </w:rPr>
        <w:t>treinta</w:t>
      </w:r>
      <w:r w:rsidR="0079675C" w:rsidRPr="00FF0CAB">
        <w:rPr>
          <w:rFonts w:ascii="Palatino Linotype" w:hAnsi="Palatino Linotype" w:cs="Tahoma"/>
          <w:sz w:val="22"/>
          <w:szCs w:val="22"/>
        </w:rPr>
        <w:t xml:space="preserve"> </w:t>
      </w:r>
      <w:r w:rsidR="00AA1974" w:rsidRPr="00FF0CAB">
        <w:rPr>
          <w:rFonts w:ascii="Palatino Linotype" w:hAnsi="Palatino Linotype" w:cs="Tahoma"/>
          <w:sz w:val="22"/>
          <w:szCs w:val="22"/>
        </w:rPr>
        <w:t>de octubre</w:t>
      </w:r>
      <w:r w:rsidR="00F93A36" w:rsidRPr="00FF0CAB">
        <w:rPr>
          <w:rFonts w:ascii="Palatino Linotype" w:hAnsi="Palatino Linotype" w:cs="Tahoma"/>
          <w:sz w:val="22"/>
          <w:szCs w:val="22"/>
        </w:rPr>
        <w:t xml:space="preserve"> </w:t>
      </w:r>
      <w:r w:rsidR="00B51AEA" w:rsidRPr="00FF0CAB">
        <w:rPr>
          <w:rFonts w:ascii="Palatino Linotype" w:hAnsi="Palatino Linotype" w:cs="Tahoma"/>
          <w:sz w:val="22"/>
          <w:szCs w:val="22"/>
        </w:rPr>
        <w:t>de dos mil veinti</w:t>
      </w:r>
      <w:r w:rsidR="00F93A36" w:rsidRPr="00FF0CAB">
        <w:rPr>
          <w:rFonts w:ascii="Palatino Linotype" w:hAnsi="Palatino Linotype" w:cs="Tahoma"/>
          <w:sz w:val="22"/>
          <w:szCs w:val="22"/>
        </w:rPr>
        <w:t>cuatro</w:t>
      </w:r>
      <w:r w:rsidR="00A06844" w:rsidRPr="00FF0CAB">
        <w:rPr>
          <w:rFonts w:ascii="Palatino Linotype" w:eastAsia="Batang" w:hAnsi="Palatino Linotype" w:cs="Tahoma"/>
          <w:bCs/>
          <w:sz w:val="22"/>
          <w:szCs w:val="22"/>
        </w:rPr>
        <w:t xml:space="preserve">, </w:t>
      </w:r>
      <w:r w:rsidR="00D5699B" w:rsidRPr="00FF0CAB">
        <w:rPr>
          <w:rFonts w:ascii="Palatino Linotype" w:eastAsia="Batang" w:hAnsi="Palatino Linotype" w:cs="Tahoma"/>
          <w:bCs/>
          <w:sz w:val="22"/>
          <w:szCs w:val="22"/>
        </w:rPr>
        <w:t xml:space="preserve">el </w:t>
      </w:r>
      <w:r w:rsidR="00BB1F81" w:rsidRPr="00FF0CAB">
        <w:rPr>
          <w:rFonts w:ascii="Palatino Linotype" w:eastAsia="Batang" w:hAnsi="Palatino Linotype" w:cs="Tahoma"/>
          <w:bCs/>
          <w:sz w:val="22"/>
          <w:szCs w:val="22"/>
        </w:rPr>
        <w:t>SAIMEX</w:t>
      </w:r>
      <w:r w:rsidR="00D5699B" w:rsidRPr="00FF0CAB">
        <w:rPr>
          <w:rFonts w:ascii="Palatino Linotype" w:eastAsia="Batang" w:hAnsi="Palatino Linotype" w:cs="Tahoma"/>
          <w:bCs/>
          <w:sz w:val="22"/>
          <w:szCs w:val="22"/>
        </w:rPr>
        <w:t xml:space="preserve">, asignó el número de expediente </w:t>
      </w:r>
      <w:r w:rsidR="0079675C" w:rsidRPr="00FF0CAB">
        <w:rPr>
          <w:rFonts w:ascii="Palatino Linotype" w:eastAsia="Batang" w:hAnsi="Palatino Linotype" w:cs="Tahoma"/>
          <w:b/>
          <w:bCs/>
          <w:sz w:val="22"/>
          <w:szCs w:val="22"/>
        </w:rPr>
        <w:t>06</w:t>
      </w:r>
      <w:r w:rsidR="00C74564" w:rsidRPr="00FF0CAB">
        <w:rPr>
          <w:rFonts w:ascii="Palatino Linotype" w:eastAsia="Batang" w:hAnsi="Palatino Linotype" w:cs="Tahoma"/>
          <w:b/>
          <w:bCs/>
          <w:sz w:val="22"/>
          <w:szCs w:val="22"/>
        </w:rPr>
        <w:t>841</w:t>
      </w:r>
      <w:r w:rsidR="00D5699B" w:rsidRPr="00FF0CAB">
        <w:rPr>
          <w:rFonts w:ascii="Palatino Linotype" w:eastAsia="Batang" w:hAnsi="Palatino Linotype" w:cs="Tahoma"/>
          <w:b/>
          <w:bCs/>
          <w:sz w:val="22"/>
          <w:szCs w:val="22"/>
        </w:rPr>
        <w:t>/INFOEM/IP/RR/202</w:t>
      </w:r>
      <w:r w:rsidR="00F93A36" w:rsidRPr="00FF0CAB">
        <w:rPr>
          <w:rFonts w:ascii="Palatino Linotype" w:eastAsia="Batang" w:hAnsi="Palatino Linotype" w:cs="Tahoma"/>
          <w:b/>
          <w:bCs/>
          <w:sz w:val="22"/>
          <w:szCs w:val="22"/>
        </w:rPr>
        <w:t>4</w:t>
      </w:r>
      <w:r w:rsidR="00D5699B" w:rsidRPr="00FF0CAB">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FF0CAB">
        <w:rPr>
          <w:rFonts w:ascii="Palatino Linotype" w:eastAsia="Batang" w:hAnsi="Palatino Linotype" w:cs="Tahoma"/>
          <w:b/>
          <w:bCs/>
          <w:sz w:val="22"/>
          <w:szCs w:val="22"/>
        </w:rPr>
        <w:t>Comisionado Ponente Luis Gustavo Parra Noriega</w:t>
      </w:r>
      <w:r w:rsidR="00D5699B" w:rsidRPr="00FF0CAB">
        <w:rPr>
          <w:rFonts w:ascii="Palatino Linotype" w:eastAsia="Batang" w:hAnsi="Palatino Linotype" w:cs="Tahoma"/>
          <w:bCs/>
          <w:sz w:val="22"/>
          <w:szCs w:val="22"/>
        </w:rPr>
        <w:t>, para los efectos del artículo 185, fracción I</w:t>
      </w:r>
      <w:r w:rsidR="00BB1F81" w:rsidRPr="00FF0CAB">
        <w:rPr>
          <w:rFonts w:ascii="Palatino Linotype" w:eastAsia="Batang" w:hAnsi="Palatino Linotype" w:cs="Tahoma"/>
          <w:bCs/>
          <w:sz w:val="22"/>
          <w:szCs w:val="22"/>
        </w:rPr>
        <w:t>,</w:t>
      </w:r>
      <w:r w:rsidR="00D5699B" w:rsidRPr="00FF0CAB">
        <w:rPr>
          <w:rFonts w:ascii="Palatino Linotype" w:eastAsia="Batang" w:hAnsi="Palatino Linotype" w:cs="Tahoma"/>
          <w:bCs/>
          <w:sz w:val="22"/>
          <w:szCs w:val="22"/>
        </w:rPr>
        <w:t xml:space="preserve"> de la Ley de Transparencia y Acceso a la Información Pública del Estado de México y Municipios.</w:t>
      </w:r>
    </w:p>
    <w:p w14:paraId="21166D4C" w14:textId="77777777" w:rsidR="00D5699B" w:rsidRPr="00FF0CAB" w:rsidRDefault="00D5699B" w:rsidP="00FF426B">
      <w:pPr>
        <w:spacing w:line="360" w:lineRule="auto"/>
        <w:contextualSpacing/>
        <w:jc w:val="both"/>
        <w:rPr>
          <w:rFonts w:ascii="Palatino Linotype" w:eastAsia="Batang" w:hAnsi="Palatino Linotype" w:cs="Tahoma"/>
          <w:b/>
          <w:bCs/>
          <w:sz w:val="22"/>
          <w:szCs w:val="22"/>
        </w:rPr>
      </w:pPr>
    </w:p>
    <w:p w14:paraId="746BD3C0" w14:textId="60BD7CC9" w:rsidR="00253937" w:rsidRPr="00FF0CAB" w:rsidRDefault="009A7587" w:rsidP="00FF426B">
      <w:pPr>
        <w:spacing w:line="360" w:lineRule="auto"/>
        <w:contextualSpacing/>
        <w:jc w:val="both"/>
        <w:rPr>
          <w:rFonts w:ascii="Palatino Linotype" w:hAnsi="Palatino Linotype" w:cs="Tahoma"/>
          <w:bCs/>
          <w:sz w:val="22"/>
          <w:szCs w:val="22"/>
          <w:lang w:val="es-ES_tradnl"/>
        </w:rPr>
      </w:pPr>
      <w:r w:rsidRPr="00FF0CAB">
        <w:rPr>
          <w:rFonts w:ascii="Palatino Linotype" w:eastAsia="Batang" w:hAnsi="Palatino Linotype" w:cs="Tahoma"/>
          <w:b/>
          <w:bCs/>
          <w:sz w:val="22"/>
          <w:szCs w:val="22"/>
        </w:rPr>
        <w:lastRenderedPageBreak/>
        <w:t xml:space="preserve">b) Admisión del </w:t>
      </w:r>
      <w:r w:rsidRPr="00FF0CAB">
        <w:rPr>
          <w:rFonts w:ascii="Palatino Linotype" w:hAnsi="Palatino Linotype" w:cs="Tahoma"/>
          <w:b/>
          <w:sz w:val="22"/>
          <w:szCs w:val="22"/>
        </w:rPr>
        <w:t>Recurso de Revisión</w:t>
      </w:r>
      <w:r w:rsidRPr="00FF0CAB">
        <w:rPr>
          <w:rFonts w:ascii="Palatino Linotype" w:eastAsia="Batang" w:hAnsi="Palatino Linotype" w:cs="Tahoma"/>
          <w:b/>
          <w:bCs/>
          <w:sz w:val="22"/>
          <w:szCs w:val="22"/>
          <w:lang w:val="es-ES_tradnl"/>
        </w:rPr>
        <w:t xml:space="preserve">. </w:t>
      </w:r>
      <w:r w:rsidRPr="00FF0CAB">
        <w:rPr>
          <w:rFonts w:ascii="Palatino Linotype" w:hAnsi="Palatino Linotype" w:cs="Tahoma"/>
          <w:bCs/>
          <w:sz w:val="22"/>
          <w:szCs w:val="22"/>
        </w:rPr>
        <w:t>El</w:t>
      </w:r>
      <w:r w:rsidR="00EB3A2C" w:rsidRPr="00FF0CAB">
        <w:rPr>
          <w:rFonts w:ascii="Palatino Linotype" w:hAnsi="Palatino Linotype" w:cs="Tahoma"/>
          <w:bCs/>
          <w:sz w:val="22"/>
          <w:szCs w:val="22"/>
        </w:rPr>
        <w:t xml:space="preserve"> </w:t>
      </w:r>
      <w:r w:rsidR="00C74564" w:rsidRPr="00FF0CAB">
        <w:rPr>
          <w:rFonts w:ascii="Palatino Linotype" w:hAnsi="Palatino Linotype" w:cs="Tahoma"/>
          <w:bCs/>
          <w:sz w:val="22"/>
          <w:szCs w:val="22"/>
        </w:rPr>
        <w:t>cinco</w:t>
      </w:r>
      <w:r w:rsidR="00130B87" w:rsidRPr="00FF0CAB">
        <w:rPr>
          <w:rFonts w:ascii="Palatino Linotype" w:hAnsi="Palatino Linotype" w:cs="Tahoma"/>
          <w:bCs/>
          <w:sz w:val="22"/>
          <w:szCs w:val="22"/>
        </w:rPr>
        <w:t xml:space="preserve"> de noviembre</w:t>
      </w:r>
      <w:r w:rsidR="0029110A" w:rsidRPr="00FF0CAB">
        <w:rPr>
          <w:rFonts w:ascii="Palatino Linotype" w:hAnsi="Palatino Linotype" w:cs="Tahoma"/>
          <w:bCs/>
          <w:sz w:val="22"/>
          <w:szCs w:val="22"/>
        </w:rPr>
        <w:t xml:space="preserve"> </w:t>
      </w:r>
      <w:r w:rsidR="00C01EA2" w:rsidRPr="00FF0CAB">
        <w:rPr>
          <w:rFonts w:ascii="Palatino Linotype" w:hAnsi="Palatino Linotype" w:cs="Tahoma"/>
          <w:bCs/>
          <w:sz w:val="22"/>
          <w:szCs w:val="22"/>
        </w:rPr>
        <w:t>de</w:t>
      </w:r>
      <w:r w:rsidR="00F93A36" w:rsidRPr="00FF0CAB">
        <w:rPr>
          <w:rFonts w:ascii="Palatino Linotype" w:hAnsi="Palatino Linotype" w:cs="Tahoma"/>
          <w:bCs/>
          <w:sz w:val="22"/>
          <w:szCs w:val="22"/>
        </w:rPr>
        <w:t xml:space="preserve"> </w:t>
      </w:r>
      <w:r w:rsidR="00697AD7" w:rsidRPr="00FF0CAB">
        <w:rPr>
          <w:rFonts w:ascii="Palatino Linotype" w:hAnsi="Palatino Linotype" w:cs="Tahoma"/>
          <w:bCs/>
          <w:sz w:val="22"/>
          <w:szCs w:val="22"/>
        </w:rPr>
        <w:t>dos mil veinti</w:t>
      </w:r>
      <w:r w:rsidR="00F93A36" w:rsidRPr="00FF0CAB">
        <w:rPr>
          <w:rFonts w:ascii="Palatino Linotype" w:hAnsi="Palatino Linotype" w:cs="Tahoma"/>
          <w:bCs/>
          <w:sz w:val="22"/>
          <w:szCs w:val="22"/>
        </w:rPr>
        <w:t>cuatro</w:t>
      </w:r>
      <w:r w:rsidRPr="00FF0CAB">
        <w:rPr>
          <w:rFonts w:ascii="Palatino Linotype" w:hAnsi="Palatino Linotype" w:cs="Tahoma"/>
          <w:bCs/>
          <w:sz w:val="22"/>
          <w:szCs w:val="22"/>
        </w:rPr>
        <w:t xml:space="preserve">, </w:t>
      </w:r>
      <w:r w:rsidR="001F787A" w:rsidRPr="00FF0CAB">
        <w:rPr>
          <w:rFonts w:ascii="Palatino Linotype" w:hAnsi="Palatino Linotype" w:cs="Tahoma"/>
          <w:bCs/>
          <w:sz w:val="22"/>
          <w:szCs w:val="22"/>
        </w:rPr>
        <w:t xml:space="preserve">se acordó la admisión del </w:t>
      </w:r>
      <w:r w:rsidR="001F787A" w:rsidRPr="00FF0CAB">
        <w:rPr>
          <w:rFonts w:ascii="Palatino Linotype" w:hAnsi="Palatino Linotype" w:cs="Tahoma"/>
          <w:bCs/>
          <w:sz w:val="22"/>
          <w:szCs w:val="22"/>
          <w:lang w:val="es-ES_tradnl"/>
        </w:rPr>
        <w:t xml:space="preserve">Recurso de Revisión interpuesto por el Recurrente en contra del </w:t>
      </w:r>
      <w:r w:rsidR="001F787A" w:rsidRPr="00FF0CAB">
        <w:rPr>
          <w:rFonts w:ascii="Palatino Linotype" w:hAnsi="Palatino Linotype" w:cs="Tahoma"/>
          <w:b/>
          <w:bCs/>
          <w:sz w:val="22"/>
          <w:szCs w:val="22"/>
          <w:lang w:val="es-ES_tradnl"/>
        </w:rPr>
        <w:t>Sujeto Obligado</w:t>
      </w:r>
      <w:r w:rsidR="001F787A" w:rsidRPr="00FF0CAB">
        <w:rPr>
          <w:rFonts w:ascii="Palatino Linotype" w:hAnsi="Palatino Linotype" w:cs="Tahoma"/>
          <w:bCs/>
          <w:sz w:val="22"/>
          <w:szCs w:val="22"/>
          <w:lang w:val="es-ES_tradnl"/>
        </w:rPr>
        <w:t>, en términos del artículo 185, fracciones I, II y IV</w:t>
      </w:r>
      <w:r w:rsidR="00BB1F81" w:rsidRPr="00FF0CAB">
        <w:rPr>
          <w:rFonts w:ascii="Palatino Linotype" w:hAnsi="Palatino Linotype" w:cs="Tahoma"/>
          <w:bCs/>
          <w:sz w:val="22"/>
          <w:szCs w:val="22"/>
          <w:lang w:val="es-ES_tradnl"/>
        </w:rPr>
        <w:t>,</w:t>
      </w:r>
      <w:r w:rsidR="001F787A" w:rsidRPr="00FF0CAB">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FF0CAB">
        <w:rPr>
          <w:rFonts w:ascii="Palatino Linotype" w:hAnsi="Palatino Linotype" w:cs="Tahoma"/>
          <w:bCs/>
          <w:sz w:val="22"/>
          <w:szCs w:val="22"/>
          <w:lang w:val="es-ES_tradnl"/>
        </w:rPr>
        <w:t>o a las partes el mismo día</w:t>
      </w:r>
      <w:r w:rsidR="001F787A" w:rsidRPr="00FF0CAB">
        <w:rPr>
          <w:rFonts w:ascii="Palatino Linotype" w:hAnsi="Palatino Linotype" w:cs="Tahoma"/>
          <w:bCs/>
          <w:sz w:val="22"/>
          <w:szCs w:val="22"/>
          <w:lang w:val="es-ES_tradnl"/>
        </w:rPr>
        <w:t xml:space="preserve"> a través del </w:t>
      </w:r>
      <w:r w:rsidR="00BB1F81" w:rsidRPr="00FF0CAB">
        <w:rPr>
          <w:rFonts w:ascii="Palatino Linotype" w:hAnsi="Palatino Linotype" w:cs="Tahoma"/>
          <w:bCs/>
          <w:sz w:val="22"/>
          <w:szCs w:val="22"/>
          <w:lang w:val="es-ES_tradnl"/>
        </w:rPr>
        <w:t>SAIMEX</w:t>
      </w:r>
      <w:r w:rsidR="001F787A" w:rsidRPr="00FF0CAB">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67A7501A" w14:textId="77777777" w:rsidR="00253937" w:rsidRPr="00FF0CAB" w:rsidRDefault="00253937" w:rsidP="00FF426B">
      <w:pPr>
        <w:spacing w:line="360" w:lineRule="auto"/>
        <w:contextualSpacing/>
        <w:jc w:val="both"/>
        <w:rPr>
          <w:rFonts w:ascii="Palatino Linotype" w:hAnsi="Palatino Linotype" w:cs="Tahoma"/>
          <w:bCs/>
          <w:sz w:val="22"/>
          <w:szCs w:val="22"/>
          <w:lang w:val="es-ES_tradnl"/>
        </w:rPr>
      </w:pPr>
    </w:p>
    <w:p w14:paraId="18B8F041" w14:textId="77777777" w:rsidR="00EA2594" w:rsidRPr="00FF0CAB" w:rsidRDefault="00EA2594" w:rsidP="00252B67">
      <w:pPr>
        <w:spacing w:line="360" w:lineRule="auto"/>
        <w:jc w:val="both"/>
        <w:rPr>
          <w:rFonts w:ascii="Palatino Linotype" w:hAnsi="Palatino Linotype" w:cs="Tahoma"/>
          <w:sz w:val="22"/>
          <w:szCs w:val="22"/>
        </w:rPr>
      </w:pPr>
      <w:r w:rsidRPr="00FF0CAB">
        <w:rPr>
          <w:rFonts w:ascii="Palatino Linotype" w:eastAsia="Batang" w:hAnsi="Palatino Linotype" w:cs="Tahoma"/>
          <w:b/>
          <w:bCs/>
          <w:sz w:val="22"/>
          <w:szCs w:val="22"/>
          <w:lang w:val="es-ES_tradnl"/>
        </w:rPr>
        <w:t xml:space="preserve">c) Informe Justificado. </w:t>
      </w:r>
      <w:r w:rsidRPr="00FF0CAB">
        <w:rPr>
          <w:rFonts w:ascii="Palatino Linotype" w:eastAsia="Batang" w:hAnsi="Palatino Linotype" w:cs="Tahoma"/>
          <w:bCs/>
          <w:sz w:val="22"/>
          <w:szCs w:val="22"/>
          <w:lang w:val="es-ES_tradnl"/>
        </w:rPr>
        <w:t xml:space="preserve">El </w:t>
      </w:r>
      <w:r w:rsidR="00252B67" w:rsidRPr="00FF0CAB">
        <w:rPr>
          <w:rFonts w:ascii="Palatino Linotype" w:eastAsia="Batang" w:hAnsi="Palatino Linotype" w:cs="Tahoma"/>
          <w:bCs/>
          <w:sz w:val="22"/>
          <w:szCs w:val="22"/>
          <w:lang w:val="es-ES_tradnl"/>
        </w:rPr>
        <w:t xml:space="preserve">Sujeto Obligado fue omiso en realizar manifestación alguna que a su derecho asistiera. </w:t>
      </w:r>
    </w:p>
    <w:p w14:paraId="09E5BC4B" w14:textId="77777777" w:rsidR="00EA2594" w:rsidRPr="00FF0CAB" w:rsidRDefault="00EA2594" w:rsidP="00EA2594">
      <w:pPr>
        <w:spacing w:line="360" w:lineRule="auto"/>
        <w:jc w:val="both"/>
        <w:rPr>
          <w:rFonts w:ascii="Palatino Linotype" w:hAnsi="Palatino Linotype" w:cs="Tahoma"/>
          <w:b/>
          <w:sz w:val="22"/>
          <w:szCs w:val="24"/>
        </w:rPr>
      </w:pPr>
    </w:p>
    <w:p w14:paraId="4D753215" w14:textId="2534A3D5" w:rsidR="00ED5DF5" w:rsidRPr="00FF0CAB" w:rsidRDefault="00252B67" w:rsidP="00FF426B">
      <w:pPr>
        <w:spacing w:line="360" w:lineRule="auto"/>
        <w:jc w:val="both"/>
        <w:rPr>
          <w:rFonts w:ascii="Palatino Linotype" w:hAnsi="Palatino Linotype" w:cs="Tahoma"/>
          <w:sz w:val="22"/>
          <w:szCs w:val="22"/>
        </w:rPr>
      </w:pPr>
      <w:r w:rsidRPr="00FF0CAB">
        <w:rPr>
          <w:rFonts w:ascii="Palatino Linotype" w:hAnsi="Palatino Linotype" w:cs="Tahoma"/>
          <w:b/>
          <w:sz w:val="22"/>
          <w:szCs w:val="22"/>
        </w:rPr>
        <w:t>d</w:t>
      </w:r>
      <w:r w:rsidR="003B0501" w:rsidRPr="00FF0CAB">
        <w:rPr>
          <w:rFonts w:ascii="Palatino Linotype" w:hAnsi="Palatino Linotype" w:cs="Tahoma"/>
          <w:b/>
          <w:sz w:val="22"/>
          <w:szCs w:val="22"/>
        </w:rPr>
        <w:t>).</w:t>
      </w:r>
      <w:r w:rsidR="00C3485C" w:rsidRPr="00FF0CAB">
        <w:rPr>
          <w:rFonts w:ascii="Palatino Linotype" w:eastAsia="Batang" w:hAnsi="Palatino Linotype" w:cs="Tahoma"/>
          <w:b/>
          <w:bCs/>
          <w:sz w:val="22"/>
          <w:szCs w:val="22"/>
          <w:lang w:val="es-ES_tradnl"/>
        </w:rPr>
        <w:t xml:space="preserve"> </w:t>
      </w:r>
      <w:r w:rsidR="00ED5DF5" w:rsidRPr="00FF0CAB">
        <w:rPr>
          <w:rFonts w:ascii="Palatino Linotype" w:hAnsi="Palatino Linotype" w:cs="Tahoma"/>
          <w:b/>
          <w:bCs/>
          <w:sz w:val="22"/>
          <w:szCs w:val="22"/>
        </w:rPr>
        <w:t xml:space="preserve">Cierre de instrucción. </w:t>
      </w:r>
      <w:r w:rsidR="00ED5DF5" w:rsidRPr="00FF0CAB">
        <w:rPr>
          <w:rFonts w:ascii="Palatino Linotype" w:hAnsi="Palatino Linotype" w:cs="Tahoma"/>
          <w:sz w:val="22"/>
          <w:szCs w:val="22"/>
        </w:rPr>
        <w:t>El</w:t>
      </w:r>
      <w:r w:rsidR="000F437A" w:rsidRPr="00FF0CAB">
        <w:rPr>
          <w:rFonts w:ascii="Palatino Linotype" w:hAnsi="Palatino Linotype" w:cs="Tahoma"/>
          <w:sz w:val="22"/>
          <w:szCs w:val="22"/>
        </w:rPr>
        <w:t xml:space="preserve"> </w:t>
      </w:r>
      <w:r w:rsidR="00C74564" w:rsidRPr="00FF0CAB">
        <w:rPr>
          <w:rFonts w:ascii="Palatino Linotype" w:hAnsi="Palatino Linotype" w:cs="Tahoma"/>
          <w:sz w:val="22"/>
          <w:szCs w:val="22"/>
        </w:rPr>
        <w:t>veinti</w:t>
      </w:r>
      <w:r w:rsidR="00F30351" w:rsidRPr="00FF0CAB">
        <w:rPr>
          <w:rFonts w:ascii="Palatino Linotype" w:hAnsi="Palatino Linotype" w:cs="Tahoma"/>
          <w:sz w:val="22"/>
          <w:szCs w:val="22"/>
        </w:rPr>
        <w:t xml:space="preserve">séis </w:t>
      </w:r>
      <w:r w:rsidR="00AA1974" w:rsidRPr="00FF0CAB">
        <w:rPr>
          <w:rFonts w:ascii="Palatino Linotype" w:hAnsi="Palatino Linotype" w:cs="Tahoma"/>
          <w:sz w:val="22"/>
          <w:szCs w:val="22"/>
        </w:rPr>
        <w:t xml:space="preserve">de noviembre </w:t>
      </w:r>
      <w:r w:rsidR="00E95147" w:rsidRPr="00FF0CAB">
        <w:rPr>
          <w:rFonts w:ascii="Palatino Linotype" w:hAnsi="Palatino Linotype" w:cs="Tahoma"/>
          <w:sz w:val="22"/>
          <w:szCs w:val="22"/>
        </w:rPr>
        <w:t>de dos mil veinti</w:t>
      </w:r>
      <w:r w:rsidR="00F93A36" w:rsidRPr="00FF0CAB">
        <w:rPr>
          <w:rFonts w:ascii="Palatino Linotype" w:hAnsi="Palatino Linotype" w:cs="Tahoma"/>
          <w:sz w:val="22"/>
          <w:szCs w:val="22"/>
        </w:rPr>
        <w:t>cuatro</w:t>
      </w:r>
      <w:r w:rsidR="00ED5DF5" w:rsidRPr="00FF0CAB">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FF0CAB">
        <w:rPr>
          <w:rFonts w:ascii="Palatino Linotype" w:hAnsi="Palatino Linotype" w:cs="Tahoma"/>
          <w:sz w:val="22"/>
          <w:szCs w:val="22"/>
        </w:rPr>
        <w:t>el mismo día</w:t>
      </w:r>
      <w:r w:rsidR="00ED5DF5" w:rsidRPr="00FF0CAB">
        <w:rPr>
          <w:rFonts w:ascii="Palatino Linotype" w:hAnsi="Palatino Linotype" w:cs="Tahoma"/>
          <w:sz w:val="22"/>
          <w:szCs w:val="22"/>
        </w:rPr>
        <w:t xml:space="preserve">, a través del </w:t>
      </w:r>
      <w:r w:rsidR="00BB1F81" w:rsidRPr="00FF0CAB">
        <w:rPr>
          <w:rFonts w:ascii="Palatino Linotype" w:hAnsi="Palatino Linotype" w:cs="Tahoma"/>
          <w:sz w:val="22"/>
          <w:szCs w:val="22"/>
          <w:lang w:val="es-ES"/>
        </w:rPr>
        <w:t>SAIMEX</w:t>
      </w:r>
      <w:r w:rsidR="00ED5DF5" w:rsidRPr="00FF0CAB">
        <w:rPr>
          <w:rFonts w:ascii="Palatino Linotype" w:hAnsi="Palatino Linotype" w:cs="Tahoma"/>
          <w:sz w:val="22"/>
          <w:szCs w:val="22"/>
        </w:rPr>
        <w:t>.</w:t>
      </w:r>
    </w:p>
    <w:p w14:paraId="240F293F" w14:textId="77777777" w:rsidR="0079675C" w:rsidRPr="00FF0CAB" w:rsidRDefault="0079675C" w:rsidP="00FF426B">
      <w:pPr>
        <w:spacing w:line="360" w:lineRule="auto"/>
        <w:jc w:val="both"/>
        <w:rPr>
          <w:rFonts w:ascii="Palatino Linotype" w:hAnsi="Palatino Linotype" w:cs="Tahoma"/>
          <w:sz w:val="22"/>
          <w:szCs w:val="22"/>
        </w:rPr>
      </w:pPr>
    </w:p>
    <w:p w14:paraId="74AE12A7" w14:textId="77777777" w:rsidR="004F2D88" w:rsidRPr="00FF0CAB" w:rsidRDefault="004F2D88" w:rsidP="00FF426B">
      <w:pPr>
        <w:spacing w:line="360" w:lineRule="auto"/>
        <w:contextualSpacing/>
        <w:jc w:val="both"/>
        <w:rPr>
          <w:rFonts w:ascii="Palatino Linotype" w:hAnsi="Palatino Linotype" w:cs="Tahoma"/>
          <w:color w:val="000000"/>
          <w:sz w:val="22"/>
          <w:szCs w:val="22"/>
        </w:rPr>
      </w:pPr>
      <w:r w:rsidRPr="00FF0CAB">
        <w:rPr>
          <w:rFonts w:ascii="Palatino Linotype" w:hAnsi="Palatino Linotype" w:cs="Tahoma"/>
          <w:color w:val="000000"/>
          <w:sz w:val="22"/>
          <w:szCs w:val="22"/>
        </w:rPr>
        <w:t xml:space="preserve">En </w:t>
      </w:r>
      <w:r w:rsidR="00367F82" w:rsidRPr="00FF0CAB">
        <w:rPr>
          <w:rFonts w:ascii="Palatino Linotype" w:hAnsi="Palatino Linotype" w:cs="Tahoma"/>
          <w:color w:val="000000"/>
          <w:sz w:val="22"/>
          <w:szCs w:val="22"/>
        </w:rPr>
        <w:t>razón de que fue debidamente su</w:t>
      </w:r>
      <w:r w:rsidRPr="00FF0CAB">
        <w:rPr>
          <w:rFonts w:ascii="Palatino Linotype" w:hAnsi="Palatino Linotype" w:cs="Tahoma"/>
          <w:color w:val="000000"/>
          <w:sz w:val="22"/>
          <w:szCs w:val="22"/>
        </w:rPr>
        <w:t xml:space="preserve">stanciado el expediente </w:t>
      </w:r>
      <w:r w:rsidR="00367F82" w:rsidRPr="00FF0CAB">
        <w:rPr>
          <w:rFonts w:ascii="Palatino Linotype" w:hAnsi="Palatino Linotype" w:cs="Tahoma"/>
          <w:color w:val="000000"/>
          <w:sz w:val="22"/>
          <w:szCs w:val="22"/>
        </w:rPr>
        <w:t xml:space="preserve">electrónico </w:t>
      </w:r>
      <w:r w:rsidRPr="00FF0CAB">
        <w:rPr>
          <w:rFonts w:ascii="Palatino Linotype" w:hAnsi="Palatino Linotype" w:cs="Tahoma"/>
          <w:color w:val="000000"/>
          <w:sz w:val="22"/>
          <w:szCs w:val="22"/>
        </w:rPr>
        <w:t>y no exist</w:t>
      </w:r>
      <w:r w:rsidR="00367F82" w:rsidRPr="00FF0CAB">
        <w:rPr>
          <w:rFonts w:ascii="Palatino Linotype" w:hAnsi="Palatino Linotype" w:cs="Tahoma"/>
          <w:color w:val="000000"/>
          <w:sz w:val="22"/>
          <w:szCs w:val="22"/>
        </w:rPr>
        <w:t>e</w:t>
      </w:r>
      <w:r w:rsidRPr="00FF0CAB">
        <w:rPr>
          <w:rFonts w:ascii="Palatino Linotype" w:hAnsi="Palatino Linotype" w:cs="Tahoma"/>
          <w:color w:val="000000"/>
          <w:sz w:val="22"/>
          <w:szCs w:val="22"/>
        </w:rPr>
        <w:t xml:space="preserve"> dilige</w:t>
      </w:r>
      <w:r w:rsidR="00367F82" w:rsidRPr="00FF0CAB">
        <w:rPr>
          <w:rFonts w:ascii="Palatino Linotype" w:hAnsi="Palatino Linotype" w:cs="Tahoma"/>
          <w:color w:val="000000"/>
          <w:sz w:val="22"/>
          <w:szCs w:val="22"/>
        </w:rPr>
        <w:t xml:space="preserve">ncia pendiente de desahogo, se </w:t>
      </w:r>
      <w:r w:rsidRPr="00FF0CAB">
        <w:rPr>
          <w:rFonts w:ascii="Palatino Linotype" w:hAnsi="Palatino Linotype" w:cs="Tahoma"/>
          <w:color w:val="000000"/>
          <w:sz w:val="22"/>
          <w:szCs w:val="22"/>
        </w:rPr>
        <w:t>emit</w:t>
      </w:r>
      <w:r w:rsidR="00367F82" w:rsidRPr="00FF0CAB">
        <w:rPr>
          <w:rFonts w:ascii="Palatino Linotype" w:hAnsi="Palatino Linotype" w:cs="Tahoma"/>
          <w:color w:val="000000"/>
          <w:sz w:val="22"/>
          <w:szCs w:val="22"/>
        </w:rPr>
        <w:t>e</w:t>
      </w:r>
      <w:r w:rsidRPr="00FF0CAB">
        <w:rPr>
          <w:rFonts w:ascii="Palatino Linotype" w:hAnsi="Palatino Linotype" w:cs="Tahoma"/>
          <w:color w:val="000000"/>
          <w:sz w:val="22"/>
          <w:szCs w:val="22"/>
        </w:rPr>
        <w:t xml:space="preserve"> la resolución que conforme a Derecho proceda, de acuerdo a l</w:t>
      </w:r>
      <w:r w:rsidR="009A620E" w:rsidRPr="00FF0CAB">
        <w:rPr>
          <w:rFonts w:ascii="Palatino Linotype" w:hAnsi="Palatino Linotype" w:cs="Tahoma"/>
          <w:color w:val="000000"/>
          <w:sz w:val="22"/>
          <w:szCs w:val="22"/>
        </w:rPr>
        <w:t>o</w:t>
      </w:r>
      <w:r w:rsidRPr="00FF0CAB">
        <w:rPr>
          <w:rFonts w:ascii="Palatino Linotype" w:hAnsi="Palatino Linotype" w:cs="Tahoma"/>
          <w:color w:val="000000"/>
          <w:sz w:val="22"/>
          <w:szCs w:val="22"/>
        </w:rPr>
        <w:t xml:space="preserve">s siguientes: </w:t>
      </w:r>
    </w:p>
    <w:p w14:paraId="550E766B" w14:textId="77777777" w:rsidR="001C0C73" w:rsidRPr="00FF0CAB" w:rsidRDefault="001C0C73" w:rsidP="00FF426B">
      <w:pPr>
        <w:spacing w:line="360" w:lineRule="auto"/>
        <w:contextualSpacing/>
        <w:jc w:val="both"/>
        <w:rPr>
          <w:rFonts w:ascii="Palatino Linotype" w:hAnsi="Palatino Linotype" w:cs="Tahoma"/>
          <w:color w:val="000000"/>
          <w:sz w:val="22"/>
          <w:szCs w:val="22"/>
        </w:rPr>
      </w:pPr>
    </w:p>
    <w:p w14:paraId="26E1DA7D" w14:textId="77777777" w:rsidR="00EA4E4A" w:rsidRPr="00FF0CAB" w:rsidRDefault="00EA4E4A" w:rsidP="00C66180">
      <w:pPr>
        <w:spacing w:line="360" w:lineRule="auto"/>
        <w:contextualSpacing/>
        <w:jc w:val="center"/>
        <w:rPr>
          <w:rFonts w:ascii="Palatino Linotype" w:hAnsi="Palatino Linotype" w:cs="Tahoma"/>
          <w:b/>
          <w:sz w:val="22"/>
          <w:szCs w:val="22"/>
        </w:rPr>
      </w:pPr>
      <w:r w:rsidRPr="00FF0CAB">
        <w:rPr>
          <w:rFonts w:ascii="Palatino Linotype" w:hAnsi="Palatino Linotype" w:cs="Tahoma"/>
          <w:b/>
          <w:sz w:val="22"/>
          <w:szCs w:val="22"/>
        </w:rPr>
        <w:t>C O N S I D E R A N D O S</w:t>
      </w:r>
    </w:p>
    <w:p w14:paraId="4187AB4D" w14:textId="77777777" w:rsidR="00EA4E4A" w:rsidRPr="00FF0CAB" w:rsidRDefault="00EA4E4A" w:rsidP="00FF426B">
      <w:pPr>
        <w:spacing w:line="360" w:lineRule="auto"/>
        <w:contextualSpacing/>
        <w:jc w:val="both"/>
        <w:rPr>
          <w:rFonts w:ascii="Palatino Linotype" w:hAnsi="Palatino Linotype" w:cs="Tahoma"/>
          <w:b/>
          <w:sz w:val="22"/>
          <w:szCs w:val="22"/>
        </w:rPr>
      </w:pPr>
    </w:p>
    <w:p w14:paraId="0CC3842A" w14:textId="77777777" w:rsidR="00EA4E4A" w:rsidRPr="00FF0CAB" w:rsidRDefault="00EA4E4A" w:rsidP="00FF426B">
      <w:pPr>
        <w:autoSpaceDE w:val="0"/>
        <w:autoSpaceDN w:val="0"/>
        <w:adjustRightInd w:val="0"/>
        <w:spacing w:line="360" w:lineRule="auto"/>
        <w:contextualSpacing/>
        <w:jc w:val="both"/>
        <w:rPr>
          <w:rFonts w:ascii="Palatino Linotype" w:hAnsi="Palatino Linotype" w:cs="Tahoma"/>
          <w:b/>
          <w:sz w:val="22"/>
          <w:szCs w:val="22"/>
        </w:rPr>
      </w:pPr>
      <w:r w:rsidRPr="00FF0CAB">
        <w:rPr>
          <w:rFonts w:ascii="Palatino Linotype" w:eastAsia="Calibri" w:hAnsi="Palatino Linotype" w:cs="Tahoma"/>
          <w:b/>
          <w:color w:val="000000"/>
          <w:sz w:val="22"/>
          <w:szCs w:val="22"/>
          <w:lang w:eastAsia="es-MX"/>
        </w:rPr>
        <w:t>PRIMERO</w:t>
      </w:r>
      <w:r w:rsidRPr="00FF0CAB">
        <w:rPr>
          <w:rFonts w:ascii="Palatino Linotype" w:eastAsia="Calibri" w:hAnsi="Palatino Linotype" w:cs="Tahoma"/>
          <w:color w:val="000000"/>
          <w:sz w:val="22"/>
          <w:szCs w:val="22"/>
          <w:lang w:eastAsia="es-MX"/>
        </w:rPr>
        <w:t xml:space="preserve">. </w:t>
      </w:r>
      <w:r w:rsidRPr="00FF0CAB">
        <w:rPr>
          <w:rFonts w:ascii="Palatino Linotype" w:hAnsi="Palatino Linotype" w:cs="Tahoma"/>
          <w:b/>
          <w:sz w:val="22"/>
          <w:szCs w:val="22"/>
        </w:rPr>
        <w:t>Competencia</w:t>
      </w:r>
    </w:p>
    <w:p w14:paraId="43B1F4E8" w14:textId="77777777" w:rsidR="00EA4E4A" w:rsidRPr="00FF0CAB"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1D0D4439" w14:textId="77777777" w:rsidR="00CE0B4C" w:rsidRPr="00FF0CAB" w:rsidRDefault="00CE0B4C" w:rsidP="00FF426B">
      <w:pPr>
        <w:spacing w:line="360" w:lineRule="auto"/>
        <w:jc w:val="both"/>
        <w:rPr>
          <w:rFonts w:ascii="Palatino Linotype" w:hAnsi="Palatino Linotype" w:cs="Tahoma"/>
          <w:sz w:val="22"/>
          <w:szCs w:val="22"/>
          <w:shd w:val="clear" w:color="auto" w:fill="FFFFFF"/>
        </w:rPr>
      </w:pPr>
      <w:r w:rsidRPr="00FF0CAB">
        <w:rPr>
          <w:rFonts w:ascii="Palatino Linotype" w:eastAsia="Calibri" w:hAnsi="Palatino Linotype" w:cs="Tahoma"/>
          <w:color w:val="000000"/>
          <w:sz w:val="22"/>
          <w:szCs w:val="22"/>
          <w:lang w:eastAsia="es-MX"/>
        </w:rPr>
        <w:lastRenderedPageBreak/>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w:t>
      </w:r>
      <w:r w:rsidR="004228E8" w:rsidRPr="00FF0CAB">
        <w:rPr>
          <w:rFonts w:ascii="Palatino Linotype" w:eastAsia="Calibri" w:hAnsi="Palatino Linotype" w:cs="Tahoma"/>
          <w:color w:val="000000"/>
          <w:sz w:val="22"/>
          <w:szCs w:val="22"/>
          <w:lang w:eastAsia="es-MX"/>
        </w:rPr>
        <w:t xml:space="preserve"> segundo</w:t>
      </w:r>
      <w:r w:rsidRPr="00FF0CAB">
        <w:rPr>
          <w:rFonts w:ascii="Palatino Linotype" w:eastAsia="Calibri" w:hAnsi="Palatino Linotype" w:cs="Tahoma"/>
          <w:color w:val="000000"/>
          <w:sz w:val="22"/>
          <w:szCs w:val="22"/>
          <w:lang w:eastAsia="es-MX"/>
        </w:rPr>
        <w:t xml:space="preserve">, trigésimo </w:t>
      </w:r>
      <w:r w:rsidR="004228E8" w:rsidRPr="00FF0CAB">
        <w:rPr>
          <w:rFonts w:ascii="Palatino Linotype" w:eastAsia="Calibri" w:hAnsi="Palatino Linotype" w:cs="Tahoma"/>
          <w:color w:val="000000"/>
          <w:sz w:val="22"/>
          <w:szCs w:val="22"/>
          <w:lang w:eastAsia="es-MX"/>
        </w:rPr>
        <w:t xml:space="preserve">tercero </w:t>
      </w:r>
      <w:r w:rsidRPr="00FF0CAB">
        <w:rPr>
          <w:rFonts w:ascii="Palatino Linotype" w:eastAsia="Calibri" w:hAnsi="Palatino Linotype" w:cs="Tahoma"/>
          <w:color w:val="000000"/>
          <w:sz w:val="22"/>
          <w:szCs w:val="22"/>
          <w:lang w:eastAsia="es-MX"/>
        </w:rPr>
        <w:t xml:space="preserve">y trigésimo </w:t>
      </w:r>
      <w:r w:rsidR="004228E8" w:rsidRPr="00FF0CAB">
        <w:rPr>
          <w:rFonts w:ascii="Palatino Linotype" w:eastAsia="Calibri" w:hAnsi="Palatino Linotype" w:cs="Tahoma"/>
          <w:color w:val="000000"/>
          <w:sz w:val="22"/>
          <w:szCs w:val="22"/>
          <w:lang w:eastAsia="es-MX"/>
        </w:rPr>
        <w:t>cuarto</w:t>
      </w:r>
      <w:r w:rsidRPr="00FF0CAB">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FF0CAB">
        <w:rPr>
          <w:rFonts w:eastAsia="Calibri"/>
          <w:color w:val="000000"/>
          <w:lang w:eastAsia="es-MX"/>
        </w:rPr>
        <w:t xml:space="preserve"> 7°, </w:t>
      </w:r>
      <w:r w:rsidR="00F66601" w:rsidRPr="00FF0CAB">
        <w:rPr>
          <w:rFonts w:ascii="Palatino Linotype" w:eastAsia="Calibri" w:hAnsi="Palatino Linotype" w:cs="Tahoma"/>
          <w:color w:val="000000"/>
          <w:sz w:val="22"/>
          <w:szCs w:val="22"/>
          <w:lang w:eastAsia="es-MX"/>
        </w:rPr>
        <w:t>9°, fracciones I y XXIII</w:t>
      </w:r>
      <w:r w:rsidRPr="00FF0CAB">
        <w:rPr>
          <w:rFonts w:ascii="Palatino Linotype" w:eastAsia="Calibri" w:hAnsi="Palatino Linotype" w:cs="Tahoma"/>
          <w:color w:val="000000"/>
          <w:sz w:val="22"/>
          <w:szCs w:val="22"/>
          <w:lang w:eastAsia="es-MX"/>
        </w:rPr>
        <w:t xml:space="preserve"> y 11 del Reglamento Interior del Instituto de Transparencia, Acceso a la Información</w:t>
      </w:r>
      <w:r w:rsidRPr="00FF0CAB">
        <w:rPr>
          <w:rFonts w:ascii="Palatino Linotype" w:hAnsi="Palatino Linotype" w:cs="Tahoma"/>
          <w:sz w:val="22"/>
          <w:szCs w:val="22"/>
          <w:shd w:val="clear" w:color="auto" w:fill="FFFFFF"/>
        </w:rPr>
        <w:t xml:space="preserve"> Pública y Protección de Datos Personales del Estado de México y Municipios.</w:t>
      </w:r>
    </w:p>
    <w:p w14:paraId="20FEED51" w14:textId="77777777" w:rsidR="00F66601" w:rsidRPr="00FF0CAB" w:rsidRDefault="00F66601" w:rsidP="00FF426B">
      <w:pPr>
        <w:spacing w:line="360" w:lineRule="auto"/>
        <w:jc w:val="both"/>
        <w:rPr>
          <w:rFonts w:ascii="Palatino Linotype" w:hAnsi="Palatino Linotype" w:cs="Tahoma"/>
          <w:sz w:val="22"/>
          <w:szCs w:val="22"/>
          <w:shd w:val="clear" w:color="auto" w:fill="FFFFFF"/>
        </w:rPr>
      </w:pPr>
    </w:p>
    <w:p w14:paraId="6EE2EF26" w14:textId="77777777" w:rsidR="00CE0B4C" w:rsidRPr="00FF0CA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F0CAB">
        <w:rPr>
          <w:rFonts w:ascii="Palatino Linotype" w:eastAsia="Calibri" w:hAnsi="Palatino Linotype" w:cs="Tahoma"/>
          <w:b/>
          <w:color w:val="000000"/>
          <w:sz w:val="22"/>
          <w:szCs w:val="22"/>
          <w:lang w:eastAsia="es-MX"/>
        </w:rPr>
        <w:t>SEGUNDO</w:t>
      </w:r>
      <w:r w:rsidRPr="00FF0CAB">
        <w:rPr>
          <w:rFonts w:ascii="Palatino Linotype" w:eastAsia="Calibri" w:hAnsi="Palatino Linotype" w:cs="Tahoma"/>
          <w:color w:val="000000"/>
          <w:sz w:val="22"/>
          <w:szCs w:val="22"/>
          <w:lang w:eastAsia="es-MX"/>
        </w:rPr>
        <w:t xml:space="preserve">. </w:t>
      </w:r>
      <w:r w:rsidRPr="00FF0CAB">
        <w:rPr>
          <w:rFonts w:ascii="Palatino Linotype" w:eastAsia="Calibri" w:hAnsi="Palatino Linotype" w:cs="Tahoma"/>
          <w:b/>
          <w:color w:val="000000"/>
          <w:sz w:val="22"/>
          <w:szCs w:val="22"/>
          <w:lang w:eastAsia="es-MX"/>
        </w:rPr>
        <w:t>Causales de improcedencia y sobreseimiento</w:t>
      </w:r>
    </w:p>
    <w:p w14:paraId="12FD83E3" w14:textId="77777777" w:rsidR="00566562" w:rsidRPr="00FF0CAB"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2B95157" w14:textId="77777777" w:rsidR="00CE0B4C" w:rsidRPr="00FF0CA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F0CAB">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A724116" w14:textId="77777777" w:rsidR="00CE0B4C" w:rsidRPr="00FF0CA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C37B199" w14:textId="77777777" w:rsidR="00CE0B4C" w:rsidRPr="00FF0CAB"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FF0CAB">
        <w:rPr>
          <w:rFonts w:ascii="Palatino Linotype" w:eastAsia="Calibri" w:hAnsi="Palatino Linotype" w:cs="Tahoma"/>
          <w:color w:val="000000"/>
          <w:sz w:val="22"/>
          <w:szCs w:val="22"/>
          <w:lang w:eastAsia="es-MX"/>
        </w:rPr>
        <w:t xml:space="preserve">En el presente caso, no se actualiza ninguna de las causales de improcedencia establecidas en el ordenamiento jurídico previamente señalado, toda vez que: el recurso fue presentado dentro del plazo establecido en el artículo 178 de la Ley de Transparencia y Acceso a la </w:t>
      </w:r>
      <w:r w:rsidRPr="00FF0CAB">
        <w:rPr>
          <w:rFonts w:ascii="Palatino Linotype" w:eastAsia="Calibri" w:hAnsi="Palatino Linotype" w:cs="Tahoma"/>
          <w:color w:val="000000"/>
          <w:sz w:val="22"/>
          <w:szCs w:val="22"/>
          <w:lang w:eastAsia="es-MX"/>
        </w:rPr>
        <w:lastRenderedPageBreak/>
        <w:t>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FA514CD" w14:textId="77777777" w:rsidR="00CE0B4C" w:rsidRPr="00FF0CAB" w:rsidRDefault="00CE0B4C" w:rsidP="00FF426B">
      <w:pPr>
        <w:spacing w:line="360" w:lineRule="auto"/>
        <w:jc w:val="both"/>
        <w:rPr>
          <w:rFonts w:ascii="Palatino Linotype" w:eastAsia="Calibri" w:hAnsi="Palatino Linotype" w:cs="Tahoma"/>
          <w:b/>
          <w:sz w:val="22"/>
          <w:szCs w:val="22"/>
          <w:lang w:eastAsia="es-ES_tradnl"/>
        </w:rPr>
      </w:pPr>
    </w:p>
    <w:p w14:paraId="4B1BA442" w14:textId="77777777" w:rsidR="00CE0B4C" w:rsidRPr="00FF0CAB" w:rsidRDefault="00CE0B4C" w:rsidP="00FF426B">
      <w:pPr>
        <w:spacing w:line="360" w:lineRule="auto"/>
        <w:jc w:val="both"/>
        <w:rPr>
          <w:rFonts w:ascii="Palatino Linotype" w:eastAsia="Calibri" w:hAnsi="Palatino Linotype" w:cs="Tahoma"/>
          <w:b/>
          <w:sz w:val="22"/>
          <w:szCs w:val="22"/>
          <w:lang w:eastAsia="es-ES_tradnl"/>
        </w:rPr>
      </w:pPr>
      <w:r w:rsidRPr="00FF0CAB">
        <w:rPr>
          <w:rFonts w:ascii="Palatino Linotype" w:eastAsia="Calibri" w:hAnsi="Palatino Linotype" w:cs="Tahoma"/>
          <w:b/>
          <w:sz w:val="22"/>
          <w:szCs w:val="22"/>
          <w:lang w:eastAsia="es-ES_tradnl"/>
        </w:rPr>
        <w:t>Causales de sobreseimiento</w:t>
      </w:r>
    </w:p>
    <w:p w14:paraId="7E79631F" w14:textId="77777777" w:rsidR="00CE0B4C" w:rsidRPr="00FF0CAB" w:rsidRDefault="00CE0B4C" w:rsidP="00FF426B">
      <w:pPr>
        <w:spacing w:line="360" w:lineRule="auto"/>
        <w:jc w:val="both"/>
        <w:rPr>
          <w:rFonts w:ascii="Palatino Linotype" w:eastAsia="Calibri" w:hAnsi="Palatino Linotype" w:cs="Tahoma"/>
          <w:sz w:val="22"/>
          <w:szCs w:val="22"/>
          <w:lang w:eastAsia="es-ES_tradnl"/>
        </w:rPr>
      </w:pPr>
    </w:p>
    <w:p w14:paraId="11DC92BA" w14:textId="77777777" w:rsidR="00CE0B4C" w:rsidRPr="00FF0CAB" w:rsidRDefault="00CE0B4C" w:rsidP="00FF426B">
      <w:pPr>
        <w:spacing w:line="360" w:lineRule="auto"/>
        <w:jc w:val="both"/>
        <w:rPr>
          <w:rFonts w:ascii="Palatino Linotype" w:eastAsia="Calibri" w:hAnsi="Palatino Linotype" w:cs="Tahoma"/>
          <w:sz w:val="22"/>
          <w:szCs w:val="22"/>
          <w:lang w:eastAsia="es-ES_tradnl"/>
        </w:rPr>
      </w:pPr>
      <w:r w:rsidRPr="00FF0CAB">
        <w:rPr>
          <w:rFonts w:ascii="Palatino Linotype" w:eastAsia="Calibri" w:hAnsi="Palatino Linotype" w:cs="Tahoma"/>
          <w:sz w:val="22"/>
          <w:szCs w:val="22"/>
          <w:lang w:eastAsia="es-ES_tradnl"/>
        </w:rPr>
        <w:t>Por lo que hace a las causales de sobreseimiento, del análisis realizado por este Instituto, se advierte que</w:t>
      </w:r>
      <w:r w:rsidRPr="00FF0CAB">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FF0CAB">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FF0CAB">
        <w:rPr>
          <w:rFonts w:ascii="Palatino Linotype" w:eastAsia="Calibri" w:hAnsi="Palatino Linotype" w:cs="Tahoma"/>
          <w:bCs/>
          <w:sz w:val="22"/>
          <w:szCs w:val="22"/>
          <w:lang w:eastAsia="es-ES_tradnl"/>
        </w:rPr>
        <w:t xml:space="preserve">Por tales motivos, </w:t>
      </w:r>
      <w:r w:rsidRPr="00FF0CAB">
        <w:rPr>
          <w:rFonts w:ascii="Palatino Linotype" w:eastAsia="Calibri" w:hAnsi="Palatino Linotype" w:cs="Tahoma"/>
          <w:sz w:val="22"/>
          <w:szCs w:val="22"/>
          <w:lang w:eastAsia="es-ES_tradnl"/>
        </w:rPr>
        <w:t xml:space="preserve">se considera procedente entrar al fondo del presente asunto. </w:t>
      </w:r>
    </w:p>
    <w:p w14:paraId="55F5A3CA" w14:textId="77777777" w:rsidR="00566562" w:rsidRPr="00FF0CAB" w:rsidRDefault="00566562" w:rsidP="00FF426B">
      <w:pPr>
        <w:spacing w:line="360" w:lineRule="auto"/>
        <w:jc w:val="both"/>
        <w:rPr>
          <w:rFonts w:ascii="Palatino Linotype" w:eastAsia="Calibri" w:hAnsi="Palatino Linotype" w:cs="Tahoma"/>
          <w:sz w:val="22"/>
          <w:szCs w:val="22"/>
          <w:lang w:eastAsia="es-ES_tradnl"/>
        </w:rPr>
      </w:pPr>
    </w:p>
    <w:p w14:paraId="4B995B64" w14:textId="77777777" w:rsidR="00CE0B4C" w:rsidRPr="00FF0CAB"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r w:rsidRPr="00FF0CAB">
        <w:rPr>
          <w:rFonts w:ascii="Palatino Linotype" w:eastAsia="Calibri" w:hAnsi="Palatino Linotype" w:cs="Tahoma"/>
          <w:b/>
          <w:iCs/>
          <w:sz w:val="22"/>
          <w:szCs w:val="22"/>
          <w:lang w:val="es-ES" w:eastAsia="es-ES_tradnl"/>
        </w:rPr>
        <w:t>TERCERO. Determinación de la Controversia</w:t>
      </w:r>
    </w:p>
    <w:p w14:paraId="5553F174" w14:textId="77777777" w:rsidR="00CE0B4C" w:rsidRPr="00FF0CAB"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7EAF7EE" w14:textId="28C66639" w:rsidR="00C74564" w:rsidRPr="00FF0CAB" w:rsidRDefault="00CE0B4C" w:rsidP="008A1F77">
      <w:pPr>
        <w:tabs>
          <w:tab w:val="left" w:pos="4962"/>
        </w:tabs>
        <w:spacing w:line="360" w:lineRule="auto"/>
        <w:jc w:val="both"/>
        <w:rPr>
          <w:rFonts w:ascii="Palatino Linotype" w:eastAsia="Calibri" w:hAnsi="Palatino Linotype" w:cs="Tahoma"/>
          <w:iCs/>
          <w:sz w:val="22"/>
          <w:szCs w:val="22"/>
          <w:lang w:val="es-ES" w:eastAsia="es-ES_tradnl"/>
        </w:rPr>
      </w:pPr>
      <w:r w:rsidRPr="00FF0CAB">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FF0CAB">
        <w:rPr>
          <w:rFonts w:ascii="Palatino Linotype" w:eastAsia="Calibri" w:hAnsi="Palatino Linotype" w:cs="Tahoma"/>
          <w:iCs/>
          <w:sz w:val="22"/>
          <w:szCs w:val="22"/>
          <w:lang w:val="es-ES" w:eastAsia="es-ES_tradnl"/>
        </w:rPr>
        <w:t xml:space="preserve">Particular </w:t>
      </w:r>
      <w:r w:rsidRPr="00FF0CAB">
        <w:rPr>
          <w:rFonts w:ascii="Palatino Linotype" w:eastAsia="Calibri" w:hAnsi="Palatino Linotype" w:cs="Tahoma"/>
          <w:iCs/>
          <w:sz w:val="22"/>
          <w:szCs w:val="22"/>
          <w:lang w:val="es-ES" w:eastAsia="es-ES_tradnl"/>
        </w:rPr>
        <w:t>solicitó a</w:t>
      </w:r>
      <w:r w:rsidR="00212285" w:rsidRPr="00FF0CAB">
        <w:rPr>
          <w:rFonts w:ascii="Palatino Linotype" w:eastAsia="Calibri" w:hAnsi="Palatino Linotype" w:cs="Tahoma"/>
          <w:iCs/>
          <w:sz w:val="22"/>
          <w:szCs w:val="22"/>
          <w:lang w:val="es-ES" w:eastAsia="es-ES_tradnl"/>
        </w:rPr>
        <w:t>l</w:t>
      </w:r>
      <w:r w:rsidR="0003473A" w:rsidRPr="00FF0CAB">
        <w:rPr>
          <w:rFonts w:ascii="Palatino Linotype" w:eastAsia="Calibri" w:hAnsi="Palatino Linotype" w:cs="Tahoma"/>
          <w:iCs/>
          <w:sz w:val="22"/>
          <w:szCs w:val="22"/>
          <w:lang w:val="es-ES" w:eastAsia="es-ES_tradnl"/>
        </w:rPr>
        <w:t xml:space="preserve"> </w:t>
      </w:r>
      <w:r w:rsidR="00C247E5" w:rsidRPr="00FF0CAB">
        <w:rPr>
          <w:rFonts w:ascii="Palatino Linotype" w:eastAsia="Calibri" w:hAnsi="Palatino Linotype" w:cs="Tahoma"/>
          <w:iCs/>
          <w:sz w:val="22"/>
          <w:szCs w:val="22"/>
          <w:lang w:val="es-ES" w:eastAsia="es-ES_tradnl"/>
        </w:rPr>
        <w:t>Ayuntamiento de Temamatla</w:t>
      </w:r>
      <w:r w:rsidRPr="00FF0CAB">
        <w:rPr>
          <w:rFonts w:ascii="Palatino Linotype" w:eastAsia="Calibri" w:hAnsi="Palatino Linotype" w:cs="Tahoma"/>
          <w:iCs/>
          <w:sz w:val="22"/>
          <w:szCs w:val="22"/>
          <w:lang w:val="es-ES" w:eastAsia="es-ES_tradnl"/>
        </w:rPr>
        <w:t>,</w:t>
      </w:r>
      <w:r w:rsidR="0018547D" w:rsidRPr="00FF0CAB">
        <w:rPr>
          <w:rFonts w:ascii="Palatino Linotype" w:eastAsia="Calibri" w:hAnsi="Palatino Linotype" w:cs="Tahoma"/>
          <w:iCs/>
          <w:sz w:val="22"/>
          <w:szCs w:val="22"/>
          <w:lang w:val="es-ES" w:eastAsia="es-ES_tradnl"/>
        </w:rPr>
        <w:t xml:space="preserve"> </w:t>
      </w:r>
      <w:r w:rsidR="00895313" w:rsidRPr="00FF0CAB">
        <w:rPr>
          <w:rFonts w:ascii="Palatino Linotype" w:eastAsia="Calibri" w:hAnsi="Palatino Linotype" w:cs="Tahoma"/>
          <w:iCs/>
          <w:sz w:val="22"/>
          <w:szCs w:val="22"/>
          <w:lang w:val="es-ES" w:eastAsia="es-ES_tradnl"/>
        </w:rPr>
        <w:t xml:space="preserve">el </w:t>
      </w:r>
      <w:r w:rsidR="00C74564" w:rsidRPr="00FF0CAB">
        <w:rPr>
          <w:rFonts w:ascii="Palatino Linotype" w:eastAsia="Calibri" w:hAnsi="Palatino Linotype" w:cs="Tahoma"/>
          <w:iCs/>
          <w:sz w:val="22"/>
          <w:szCs w:val="22"/>
          <w:lang w:val="es-ES" w:eastAsia="es-ES_tradnl"/>
        </w:rPr>
        <w:t xml:space="preserve">expediente de la remoción del cargo de la Directora de Desarrollo Social, </w:t>
      </w:r>
      <w:proofErr w:type="spellStart"/>
      <w:r w:rsidR="00C74564" w:rsidRPr="00FF0CAB">
        <w:rPr>
          <w:rFonts w:ascii="Palatino Linotype" w:eastAsia="Calibri" w:hAnsi="Palatino Linotype" w:cs="Tahoma"/>
          <w:iCs/>
          <w:sz w:val="22"/>
          <w:szCs w:val="22"/>
          <w:lang w:val="es-ES" w:eastAsia="es-ES_tradnl"/>
        </w:rPr>
        <w:t>Erendira</w:t>
      </w:r>
      <w:proofErr w:type="spellEnd"/>
      <w:r w:rsidR="00C74564" w:rsidRPr="00FF0CAB">
        <w:rPr>
          <w:rFonts w:ascii="Palatino Linotype" w:eastAsia="Calibri" w:hAnsi="Palatino Linotype" w:cs="Tahoma"/>
          <w:iCs/>
          <w:sz w:val="22"/>
          <w:szCs w:val="22"/>
          <w:lang w:val="es-ES" w:eastAsia="es-ES_tradnl"/>
        </w:rPr>
        <w:t xml:space="preserve"> Carrillo Patiño, así como cuantos procedimientos se encuentran instaurados en su contra debido al desvió de recursos de ciudadanos por la falta de entrega de láminas y calentadores solares durante la administración 2022-2024.</w:t>
      </w:r>
    </w:p>
    <w:p w14:paraId="7C3637CE" w14:textId="77777777" w:rsidR="00C74564" w:rsidRPr="00FF0CAB" w:rsidRDefault="00C74564" w:rsidP="008A1F77">
      <w:pPr>
        <w:tabs>
          <w:tab w:val="left" w:pos="4962"/>
        </w:tabs>
        <w:spacing w:line="360" w:lineRule="auto"/>
        <w:jc w:val="both"/>
        <w:rPr>
          <w:rFonts w:ascii="Palatino Linotype" w:eastAsia="Calibri" w:hAnsi="Palatino Linotype" w:cs="Tahoma"/>
          <w:iCs/>
          <w:sz w:val="22"/>
          <w:szCs w:val="22"/>
          <w:lang w:val="es-ES" w:eastAsia="es-ES_tradnl"/>
        </w:rPr>
      </w:pPr>
    </w:p>
    <w:p w14:paraId="0F2EAEB2" w14:textId="0881327D" w:rsidR="00A511BB" w:rsidRPr="00FF0CAB"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FF0CAB">
        <w:rPr>
          <w:rFonts w:ascii="Palatino Linotype" w:eastAsia="Calibri" w:hAnsi="Palatino Linotype" w:cs="Tahoma"/>
          <w:iCs/>
          <w:sz w:val="22"/>
          <w:szCs w:val="22"/>
          <w:lang w:val="es-ES" w:eastAsia="es-ES_tradnl"/>
        </w:rPr>
        <w:t>E</w:t>
      </w:r>
      <w:r w:rsidR="0044640B" w:rsidRPr="00FF0CAB">
        <w:rPr>
          <w:rFonts w:ascii="Palatino Linotype" w:eastAsia="Calibri" w:hAnsi="Palatino Linotype" w:cs="Tahoma"/>
          <w:iCs/>
          <w:sz w:val="22"/>
          <w:szCs w:val="22"/>
          <w:lang w:val="es-ES" w:eastAsia="es-ES_tradnl"/>
        </w:rPr>
        <w:t>n respuesta</w:t>
      </w:r>
      <w:r w:rsidR="007F34CB" w:rsidRPr="00FF0CAB">
        <w:rPr>
          <w:rFonts w:ascii="Palatino Linotype" w:eastAsia="Calibri" w:hAnsi="Palatino Linotype" w:cs="Tahoma"/>
          <w:iCs/>
          <w:sz w:val="22"/>
          <w:szCs w:val="22"/>
          <w:lang w:val="es-ES" w:eastAsia="es-ES_tradnl"/>
        </w:rPr>
        <w:t>,</w:t>
      </w:r>
      <w:r w:rsidR="0044640B" w:rsidRPr="00FF0CAB">
        <w:rPr>
          <w:rFonts w:ascii="Palatino Linotype" w:eastAsia="Calibri" w:hAnsi="Palatino Linotype" w:cs="Tahoma"/>
          <w:iCs/>
          <w:sz w:val="22"/>
          <w:szCs w:val="22"/>
          <w:lang w:val="es-ES" w:eastAsia="es-ES_tradnl"/>
        </w:rPr>
        <w:t xml:space="preserve"> el Sujeto Obligado</w:t>
      </w:r>
      <w:r w:rsidR="0018547D" w:rsidRPr="00FF0CAB">
        <w:rPr>
          <w:rFonts w:ascii="Palatino Linotype" w:eastAsia="Calibri" w:hAnsi="Palatino Linotype" w:cs="Tahoma"/>
          <w:iCs/>
          <w:sz w:val="22"/>
          <w:szCs w:val="22"/>
          <w:lang w:val="es-ES" w:eastAsia="es-ES_tradnl"/>
        </w:rPr>
        <w:t xml:space="preserve"> </w:t>
      </w:r>
      <w:r w:rsidR="00C74564" w:rsidRPr="00FF0CAB">
        <w:rPr>
          <w:rFonts w:ascii="Palatino Linotype" w:eastAsia="Calibri" w:hAnsi="Palatino Linotype" w:cs="Tahoma"/>
          <w:iCs/>
          <w:sz w:val="22"/>
          <w:szCs w:val="22"/>
          <w:lang w:val="es-ES" w:eastAsia="es-ES_tradnl"/>
        </w:rPr>
        <w:t>a través del Director Jurídico manifestó no tener la información solicitada</w:t>
      </w:r>
      <w:r w:rsidR="0018547D" w:rsidRPr="00FF0CAB">
        <w:rPr>
          <w:rFonts w:ascii="Palatino Linotype" w:eastAsia="Calibri" w:hAnsi="Palatino Linotype" w:cs="Tahoma"/>
          <w:iCs/>
          <w:sz w:val="22"/>
          <w:szCs w:val="22"/>
          <w:lang w:val="es-ES" w:eastAsia="es-ES_tradnl"/>
        </w:rPr>
        <w:t xml:space="preserve">, </w:t>
      </w:r>
      <w:r w:rsidR="0004574F" w:rsidRPr="00FF0CAB">
        <w:rPr>
          <w:rFonts w:ascii="Palatino Linotype" w:eastAsia="Calibri" w:hAnsi="Palatino Linotype" w:cs="Tahoma"/>
          <w:iCs/>
          <w:sz w:val="22"/>
          <w:szCs w:val="22"/>
          <w:lang w:val="es-ES" w:eastAsia="es-ES_tradnl"/>
        </w:rPr>
        <w:t xml:space="preserve">derivado de ello </w:t>
      </w:r>
      <w:r w:rsidR="006B0B50" w:rsidRPr="00FF0CAB">
        <w:rPr>
          <w:rFonts w:ascii="Palatino Linotype" w:eastAsia="Calibri" w:hAnsi="Palatino Linotype" w:cs="Tahoma"/>
          <w:iCs/>
          <w:sz w:val="22"/>
          <w:szCs w:val="22"/>
          <w:lang w:val="es-ES" w:eastAsia="es-ES_tradnl"/>
        </w:rPr>
        <w:t xml:space="preserve">el Particular </w:t>
      </w:r>
      <w:r w:rsidR="00002CF8" w:rsidRPr="00FF0CAB">
        <w:rPr>
          <w:rFonts w:ascii="Palatino Linotype" w:eastAsia="Calibri" w:hAnsi="Palatino Linotype" w:cs="Tahoma"/>
          <w:iCs/>
          <w:sz w:val="22"/>
          <w:szCs w:val="22"/>
          <w:lang w:val="es-ES" w:eastAsia="es-ES_tradnl"/>
        </w:rPr>
        <w:t>se inconformó</w:t>
      </w:r>
      <w:r w:rsidR="00AB2EDE" w:rsidRPr="00FF0CAB">
        <w:rPr>
          <w:rFonts w:ascii="Palatino Linotype" w:eastAsia="Calibri" w:hAnsi="Palatino Linotype" w:cs="Tahoma"/>
          <w:iCs/>
          <w:sz w:val="22"/>
          <w:szCs w:val="22"/>
          <w:lang w:val="es-ES" w:eastAsia="es-ES_tradnl"/>
        </w:rPr>
        <w:t xml:space="preserve"> </w:t>
      </w:r>
      <w:r w:rsidR="004E5D3C" w:rsidRPr="00FF0CAB">
        <w:rPr>
          <w:rFonts w:ascii="Palatino Linotype" w:eastAsia="Calibri" w:hAnsi="Palatino Linotype" w:cs="Tahoma"/>
          <w:iCs/>
          <w:sz w:val="22"/>
          <w:szCs w:val="22"/>
          <w:lang w:val="es-ES" w:eastAsia="es-ES_tradnl"/>
        </w:rPr>
        <w:t xml:space="preserve">por </w:t>
      </w:r>
      <w:r w:rsidR="00C74564" w:rsidRPr="00FF0CAB">
        <w:rPr>
          <w:rFonts w:ascii="Palatino Linotype" w:eastAsia="Calibri" w:hAnsi="Palatino Linotype" w:cs="Tahoma"/>
          <w:iCs/>
          <w:sz w:val="22"/>
          <w:szCs w:val="22"/>
          <w:lang w:val="es-ES" w:eastAsia="es-ES_tradnl"/>
        </w:rPr>
        <w:t xml:space="preserve">la negativa de la </w:t>
      </w:r>
      <w:r w:rsidR="00C74564" w:rsidRPr="00FF0CAB">
        <w:rPr>
          <w:rFonts w:ascii="Palatino Linotype" w:eastAsia="Calibri" w:hAnsi="Palatino Linotype" w:cs="Tahoma"/>
          <w:iCs/>
          <w:sz w:val="22"/>
          <w:szCs w:val="22"/>
          <w:lang w:val="es-ES" w:eastAsia="es-ES_tradnl"/>
        </w:rPr>
        <w:lastRenderedPageBreak/>
        <w:t>información</w:t>
      </w:r>
      <w:r w:rsidR="00E63111" w:rsidRPr="00FF0CAB">
        <w:rPr>
          <w:rFonts w:ascii="Palatino Linotype" w:eastAsia="Calibri" w:hAnsi="Palatino Linotype" w:cs="Tahoma"/>
          <w:iCs/>
          <w:sz w:val="22"/>
          <w:szCs w:val="22"/>
          <w:lang w:val="es-ES" w:eastAsia="es-ES_tradnl"/>
        </w:rPr>
        <w:t xml:space="preserve">, </w:t>
      </w:r>
      <w:r w:rsidR="00120425" w:rsidRPr="00FF0CAB">
        <w:rPr>
          <w:rFonts w:ascii="Palatino Linotype" w:eastAsia="Calibri" w:hAnsi="Palatino Linotype" w:cs="Tahoma"/>
          <w:bCs/>
          <w:sz w:val="22"/>
          <w:szCs w:val="22"/>
          <w:lang w:val="es-ES_tradnl" w:eastAsia="en-US"/>
        </w:rPr>
        <w:t xml:space="preserve">así </w:t>
      </w:r>
      <w:r w:rsidR="00A511BB" w:rsidRPr="00FF0CAB">
        <w:rPr>
          <w:rFonts w:ascii="Palatino Linotype" w:eastAsia="Calibri" w:hAnsi="Palatino Linotype" w:cs="Tahoma"/>
          <w:color w:val="000000"/>
          <w:sz w:val="22"/>
          <w:szCs w:val="22"/>
        </w:rPr>
        <w:t xml:space="preserve">en el asunto que nos ocupa se actualiza la causal de procedencia señalada en el </w:t>
      </w:r>
      <w:r w:rsidR="00A511BB" w:rsidRPr="00FF0CAB">
        <w:rPr>
          <w:rFonts w:ascii="Palatino Linotype" w:eastAsia="Calibri" w:hAnsi="Palatino Linotype" w:cs="Tahoma"/>
          <w:sz w:val="22"/>
          <w:szCs w:val="22"/>
        </w:rPr>
        <w:t xml:space="preserve">artículo 179, </w:t>
      </w:r>
      <w:r w:rsidR="005638D9" w:rsidRPr="00FF0CAB">
        <w:rPr>
          <w:rFonts w:ascii="Palatino Linotype" w:eastAsia="Calibri" w:hAnsi="Palatino Linotype" w:cs="Tahoma"/>
          <w:sz w:val="22"/>
          <w:szCs w:val="22"/>
        </w:rPr>
        <w:t xml:space="preserve">fracción </w:t>
      </w:r>
      <w:r w:rsidR="008A1F77" w:rsidRPr="00FF0CAB">
        <w:rPr>
          <w:rFonts w:ascii="Palatino Linotype" w:eastAsia="Calibri" w:hAnsi="Palatino Linotype" w:cs="Tahoma"/>
          <w:sz w:val="22"/>
          <w:szCs w:val="22"/>
        </w:rPr>
        <w:t>I</w:t>
      </w:r>
      <w:r w:rsidR="00E52703" w:rsidRPr="00FF0CAB">
        <w:rPr>
          <w:rFonts w:ascii="Palatino Linotype" w:eastAsia="Calibri" w:hAnsi="Palatino Linotype" w:cs="Tahoma"/>
          <w:sz w:val="22"/>
          <w:szCs w:val="22"/>
        </w:rPr>
        <w:t>,</w:t>
      </w:r>
      <w:r w:rsidR="00A511BB" w:rsidRPr="00FF0CAB">
        <w:rPr>
          <w:rFonts w:ascii="Palatino Linotype" w:eastAsia="Calibri" w:hAnsi="Palatino Linotype" w:cs="Tahoma"/>
          <w:sz w:val="22"/>
          <w:szCs w:val="22"/>
        </w:rPr>
        <w:t xml:space="preserve"> de la Ley de la materia</w:t>
      </w:r>
      <w:r w:rsidR="00A511BB" w:rsidRPr="00FF0CAB">
        <w:rPr>
          <w:rFonts w:ascii="Palatino Linotype" w:eastAsia="Calibri" w:hAnsi="Palatino Linotype" w:cs="Tahoma"/>
          <w:bCs/>
          <w:sz w:val="22"/>
          <w:szCs w:val="22"/>
        </w:rPr>
        <w:t>.</w:t>
      </w:r>
    </w:p>
    <w:p w14:paraId="0CF0AC52" w14:textId="77777777" w:rsidR="00CE0B4C" w:rsidRPr="00FF0CAB"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080F8E79" w14:textId="77777777" w:rsidR="00CE0B4C" w:rsidRPr="00FF0CAB" w:rsidRDefault="00CE0B4C" w:rsidP="00FF426B">
      <w:pPr>
        <w:tabs>
          <w:tab w:val="left" w:pos="4962"/>
        </w:tabs>
        <w:spacing w:line="360" w:lineRule="auto"/>
        <w:jc w:val="both"/>
        <w:rPr>
          <w:rFonts w:ascii="Palatino Linotype" w:eastAsia="Calibri" w:hAnsi="Palatino Linotype" w:cs="Tahoma"/>
          <w:iCs/>
          <w:sz w:val="22"/>
          <w:szCs w:val="22"/>
          <w:lang w:eastAsia="es-ES_tradnl"/>
        </w:rPr>
      </w:pPr>
      <w:r w:rsidRPr="00FF0CAB">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7D972C6" w14:textId="77777777" w:rsidR="00CE0B4C" w:rsidRPr="00FF0CAB" w:rsidRDefault="00CE0B4C" w:rsidP="00FF426B">
      <w:pPr>
        <w:tabs>
          <w:tab w:val="left" w:pos="4962"/>
        </w:tabs>
        <w:spacing w:line="360" w:lineRule="auto"/>
        <w:jc w:val="both"/>
        <w:rPr>
          <w:rFonts w:ascii="Palatino Linotype" w:eastAsia="Calibri" w:hAnsi="Palatino Linotype" w:cs="Tahoma"/>
          <w:iCs/>
          <w:sz w:val="22"/>
          <w:szCs w:val="22"/>
          <w:lang w:eastAsia="es-ES_tradnl"/>
        </w:rPr>
      </w:pPr>
    </w:p>
    <w:p w14:paraId="4C150652" w14:textId="77777777" w:rsidR="00CE0B4C" w:rsidRPr="00FF0CAB" w:rsidRDefault="00CE0B4C" w:rsidP="00FF426B">
      <w:pPr>
        <w:spacing w:line="360" w:lineRule="auto"/>
        <w:ind w:right="-93"/>
        <w:jc w:val="both"/>
        <w:rPr>
          <w:rFonts w:ascii="Palatino Linotype" w:hAnsi="Palatino Linotype" w:cs="Tahoma"/>
          <w:b/>
          <w:sz w:val="22"/>
          <w:szCs w:val="22"/>
        </w:rPr>
      </w:pPr>
      <w:r w:rsidRPr="00FF0CAB">
        <w:rPr>
          <w:rFonts w:ascii="Palatino Linotype" w:hAnsi="Palatino Linotype" w:cs="Tahoma"/>
          <w:b/>
          <w:sz w:val="22"/>
          <w:szCs w:val="22"/>
          <w:lang w:val="es-ES"/>
        </w:rPr>
        <w:t xml:space="preserve">CUARTO. </w:t>
      </w:r>
      <w:r w:rsidRPr="00FF0CAB">
        <w:rPr>
          <w:rFonts w:ascii="Palatino Linotype" w:hAnsi="Palatino Linotype" w:cs="Tahoma"/>
          <w:b/>
          <w:sz w:val="22"/>
          <w:szCs w:val="22"/>
        </w:rPr>
        <w:t>Marco normativo aplicable en materia de transparencia y acceso a la información pública</w:t>
      </w:r>
    </w:p>
    <w:p w14:paraId="5DA0634F" w14:textId="77777777" w:rsidR="00CE0B4C" w:rsidRPr="00FF0CAB" w:rsidRDefault="00CE0B4C" w:rsidP="00FF426B">
      <w:pPr>
        <w:spacing w:line="360" w:lineRule="auto"/>
        <w:contextualSpacing/>
        <w:jc w:val="both"/>
        <w:rPr>
          <w:rFonts w:ascii="Palatino Linotype" w:hAnsi="Palatino Linotype" w:cs="Tahoma"/>
          <w:sz w:val="22"/>
          <w:szCs w:val="22"/>
        </w:rPr>
      </w:pPr>
    </w:p>
    <w:p w14:paraId="6D0EC0A3" w14:textId="77777777" w:rsidR="00CE0B4C" w:rsidRPr="00FF0CAB" w:rsidRDefault="00CE0B4C" w:rsidP="00FF426B">
      <w:pPr>
        <w:widowControl w:val="0"/>
        <w:spacing w:line="360" w:lineRule="auto"/>
        <w:contextualSpacing/>
        <w:jc w:val="both"/>
        <w:rPr>
          <w:rFonts w:ascii="Palatino Linotype" w:hAnsi="Palatino Linotype" w:cs="Tahoma"/>
          <w:sz w:val="22"/>
          <w:szCs w:val="22"/>
        </w:rPr>
      </w:pPr>
      <w:r w:rsidRPr="00FF0CAB">
        <w:rPr>
          <w:rFonts w:ascii="Palatino Linotype" w:hAnsi="Palatino Linotype" w:cs="Tahoma"/>
          <w:sz w:val="22"/>
          <w:szCs w:val="22"/>
        </w:rPr>
        <w:t xml:space="preserve">El artículo 6°, Apartado A), fracción I de la Constitución Política de los Estados Unidos Mexicanos, establece que toda la información en posesión de cualquier </w:t>
      </w:r>
      <w:r w:rsidR="005A1884" w:rsidRPr="00FF0CAB">
        <w:rPr>
          <w:rFonts w:ascii="Palatino Linotype" w:hAnsi="Palatino Linotype" w:cs="Tahoma"/>
          <w:sz w:val="22"/>
          <w:szCs w:val="22"/>
        </w:rPr>
        <w:t>autoridad</w:t>
      </w:r>
      <w:r w:rsidRPr="00FF0CAB">
        <w:rPr>
          <w:rFonts w:ascii="Palatino Linotype" w:hAnsi="Palatino Linotype" w:cs="Tahoma"/>
          <w:sz w:val="22"/>
          <w:szCs w:val="22"/>
        </w:rPr>
        <w:t xml:space="preserve"> es pública y sólo podrá ser reservada temporalmente por razones de interés público.</w:t>
      </w:r>
    </w:p>
    <w:p w14:paraId="6A011F7A" w14:textId="77777777" w:rsidR="00CE0B4C" w:rsidRPr="00FF0CAB" w:rsidRDefault="00CE0B4C" w:rsidP="00FF426B">
      <w:pPr>
        <w:spacing w:line="360" w:lineRule="auto"/>
        <w:contextualSpacing/>
        <w:jc w:val="both"/>
        <w:rPr>
          <w:rFonts w:ascii="Palatino Linotype" w:hAnsi="Palatino Linotype" w:cs="Tahoma"/>
          <w:sz w:val="22"/>
          <w:szCs w:val="22"/>
        </w:rPr>
      </w:pPr>
    </w:p>
    <w:p w14:paraId="48218BAC"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49F82518" w14:textId="77777777" w:rsidR="00CE0B4C" w:rsidRPr="00FF0CAB" w:rsidRDefault="00CE0B4C" w:rsidP="00FF426B">
      <w:pPr>
        <w:spacing w:line="360" w:lineRule="auto"/>
        <w:jc w:val="both"/>
        <w:rPr>
          <w:rFonts w:ascii="Palatino Linotype" w:hAnsi="Palatino Linotype" w:cs="Tahoma"/>
          <w:sz w:val="22"/>
          <w:szCs w:val="22"/>
        </w:rPr>
      </w:pPr>
    </w:p>
    <w:p w14:paraId="4FB3DADE"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41E045A0" w14:textId="77777777" w:rsidR="00CE0B4C" w:rsidRPr="00FF0CAB" w:rsidRDefault="00CE0B4C" w:rsidP="00FF426B">
      <w:pPr>
        <w:spacing w:line="360" w:lineRule="auto"/>
        <w:jc w:val="both"/>
        <w:rPr>
          <w:rFonts w:ascii="Palatino Linotype" w:hAnsi="Palatino Linotype" w:cs="Tahoma"/>
          <w:sz w:val="22"/>
          <w:szCs w:val="22"/>
        </w:rPr>
      </w:pPr>
    </w:p>
    <w:p w14:paraId="53DBCFD5"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lastRenderedPageBreak/>
        <w:t>En materia local, el artículo 5°, fracción I</w:t>
      </w:r>
      <w:r w:rsidR="00002CF8" w:rsidRPr="00FF0CAB">
        <w:rPr>
          <w:rFonts w:ascii="Palatino Linotype" w:hAnsi="Palatino Linotype" w:cs="Tahoma"/>
          <w:sz w:val="22"/>
          <w:szCs w:val="22"/>
        </w:rPr>
        <w:t>,</w:t>
      </w:r>
      <w:r w:rsidRPr="00FF0CAB">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32C10DE0" w14:textId="77777777" w:rsidR="00CE0B4C" w:rsidRPr="00FF0CAB" w:rsidRDefault="00CE0B4C" w:rsidP="00FF426B">
      <w:pPr>
        <w:spacing w:line="360" w:lineRule="auto"/>
        <w:jc w:val="both"/>
        <w:rPr>
          <w:rFonts w:ascii="Palatino Linotype" w:hAnsi="Palatino Linotype" w:cs="Tahoma"/>
          <w:sz w:val="22"/>
          <w:szCs w:val="22"/>
        </w:rPr>
      </w:pPr>
    </w:p>
    <w:p w14:paraId="333E08A4"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6DDE533E" w14:textId="77777777" w:rsidR="00CE0B4C" w:rsidRPr="00FF0CAB" w:rsidRDefault="00CE0B4C" w:rsidP="00FF426B">
      <w:pPr>
        <w:spacing w:line="360" w:lineRule="auto"/>
        <w:jc w:val="both"/>
        <w:rPr>
          <w:rFonts w:ascii="Palatino Linotype" w:hAnsi="Palatino Linotype" w:cs="Tahoma"/>
          <w:sz w:val="22"/>
          <w:szCs w:val="22"/>
        </w:rPr>
      </w:pPr>
    </w:p>
    <w:p w14:paraId="052C5F4C"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t>El artículo 12, que, quienes generen, recopilen, administren, manejen, procesen, archiven o conserven información pública serán responsables de la misma.</w:t>
      </w:r>
    </w:p>
    <w:p w14:paraId="12509E22" w14:textId="77777777" w:rsidR="00EF5683" w:rsidRPr="00FF0CAB" w:rsidRDefault="00EF5683" w:rsidP="00FF426B">
      <w:pPr>
        <w:spacing w:line="360" w:lineRule="auto"/>
        <w:jc w:val="both"/>
        <w:rPr>
          <w:rFonts w:ascii="Palatino Linotype" w:hAnsi="Palatino Linotype" w:cs="Tahoma"/>
          <w:sz w:val="22"/>
          <w:szCs w:val="22"/>
        </w:rPr>
      </w:pPr>
    </w:p>
    <w:p w14:paraId="39CF48AE"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0241C3E" w14:textId="77777777" w:rsidR="00F66601" w:rsidRPr="00FF0CAB" w:rsidRDefault="00F66601" w:rsidP="00FF426B">
      <w:pPr>
        <w:spacing w:line="360" w:lineRule="auto"/>
        <w:jc w:val="both"/>
        <w:rPr>
          <w:rFonts w:ascii="Palatino Linotype" w:hAnsi="Palatino Linotype" w:cs="Tahoma"/>
          <w:sz w:val="22"/>
          <w:szCs w:val="22"/>
        </w:rPr>
      </w:pPr>
    </w:p>
    <w:p w14:paraId="645C58FA" w14:textId="77777777" w:rsidR="00CE0B4C" w:rsidRPr="00FF0CAB" w:rsidRDefault="00CE0B4C" w:rsidP="00FF426B">
      <w:pPr>
        <w:spacing w:line="360" w:lineRule="auto"/>
        <w:jc w:val="both"/>
        <w:rPr>
          <w:rFonts w:ascii="Palatino Linotype" w:hAnsi="Palatino Linotype" w:cs="Tahoma"/>
          <w:sz w:val="22"/>
          <w:szCs w:val="22"/>
        </w:rPr>
      </w:pPr>
      <w:r w:rsidRPr="00FF0CAB">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BAC0883" w14:textId="77777777" w:rsidR="00895313" w:rsidRPr="00FF0CAB" w:rsidRDefault="00895313" w:rsidP="00FF426B">
      <w:pPr>
        <w:spacing w:line="360" w:lineRule="auto"/>
        <w:ind w:right="-93"/>
        <w:jc w:val="both"/>
        <w:rPr>
          <w:rFonts w:ascii="Palatino Linotype" w:hAnsi="Palatino Linotype" w:cs="Tahoma"/>
          <w:b/>
          <w:sz w:val="22"/>
          <w:szCs w:val="22"/>
          <w:lang w:val="es-ES"/>
        </w:rPr>
      </w:pPr>
    </w:p>
    <w:p w14:paraId="45CE6296" w14:textId="62DC6217" w:rsidR="00CE0B4C" w:rsidRPr="00FF0CAB" w:rsidRDefault="00CE0B4C" w:rsidP="00FF426B">
      <w:pPr>
        <w:spacing w:line="360" w:lineRule="auto"/>
        <w:ind w:right="-93"/>
        <w:jc w:val="both"/>
        <w:rPr>
          <w:rFonts w:ascii="Palatino Linotype" w:hAnsi="Palatino Linotype" w:cs="Tahoma"/>
          <w:b/>
          <w:sz w:val="22"/>
          <w:szCs w:val="22"/>
          <w:lang w:val="es-ES"/>
        </w:rPr>
      </w:pPr>
      <w:r w:rsidRPr="00FF0CAB">
        <w:rPr>
          <w:rFonts w:ascii="Palatino Linotype" w:hAnsi="Palatino Linotype" w:cs="Tahoma"/>
          <w:b/>
          <w:sz w:val="22"/>
          <w:szCs w:val="22"/>
          <w:lang w:val="es-ES"/>
        </w:rPr>
        <w:t>QUINTO. Estudio de Fondo</w:t>
      </w:r>
    </w:p>
    <w:p w14:paraId="19A8E053" w14:textId="77777777" w:rsidR="00040101" w:rsidRPr="00FF0CAB" w:rsidRDefault="00040101" w:rsidP="00FF426B">
      <w:pPr>
        <w:spacing w:line="360" w:lineRule="auto"/>
        <w:ind w:right="-93"/>
        <w:jc w:val="both"/>
        <w:rPr>
          <w:rFonts w:ascii="Palatino Linotype" w:hAnsi="Palatino Linotype" w:cs="Tahoma"/>
          <w:b/>
          <w:sz w:val="22"/>
          <w:szCs w:val="22"/>
          <w:lang w:val="es-ES"/>
        </w:rPr>
      </w:pPr>
    </w:p>
    <w:p w14:paraId="7EB27CBB" w14:textId="77777777" w:rsidR="007F486F" w:rsidRPr="00FF0CAB" w:rsidRDefault="007F486F" w:rsidP="007F486F">
      <w:pPr>
        <w:spacing w:line="360" w:lineRule="auto"/>
        <w:jc w:val="both"/>
        <w:rPr>
          <w:rFonts w:ascii="Palatino Linotype" w:hAnsi="Palatino Linotype" w:cs="Tahoma"/>
          <w:sz w:val="22"/>
          <w:szCs w:val="22"/>
        </w:rPr>
      </w:pPr>
      <w:r w:rsidRPr="00FF0CAB">
        <w:rPr>
          <w:rFonts w:ascii="Palatino Linotype" w:hAnsi="Palatino Linotype" w:cs="Tahoma"/>
          <w:sz w:val="22"/>
          <w:szCs w:val="22"/>
        </w:rPr>
        <w:t xml:space="preserve">Una vez determinada la vía sobre la que versará el presente Recurso y previa revisión del expediente electrónico formado en el Sistema de Acceso a la Información Mexiquense (SAIMEX), con motivo de la solicitud de información y del Recurso a que da origen, es </w:t>
      </w:r>
      <w:r w:rsidRPr="00FF0CAB">
        <w:rPr>
          <w:rFonts w:ascii="Palatino Linotype" w:hAnsi="Palatino Linotype" w:cs="Tahoma"/>
          <w:sz w:val="22"/>
          <w:szCs w:val="22"/>
        </w:rPr>
        <w:lastRenderedPageBreak/>
        <w:t>conveniente analizar si la respuesta del Sujeto Obligado cumple con los requisitos y procedimientos del derecho de acceso a la información pública.</w:t>
      </w:r>
    </w:p>
    <w:p w14:paraId="2068150F" w14:textId="77777777" w:rsidR="007F486F" w:rsidRPr="00FF0CAB" w:rsidRDefault="007F486F" w:rsidP="007F486F">
      <w:pPr>
        <w:spacing w:line="360" w:lineRule="auto"/>
        <w:jc w:val="both"/>
        <w:rPr>
          <w:rFonts w:ascii="Palatino Linotype" w:hAnsi="Palatino Linotype" w:cs="Tahoma"/>
          <w:sz w:val="22"/>
          <w:szCs w:val="22"/>
        </w:rPr>
      </w:pPr>
    </w:p>
    <w:p w14:paraId="4A23A70F" w14:textId="49FDB8EE" w:rsidR="00F64604" w:rsidRPr="00FF0CAB" w:rsidRDefault="00F64604" w:rsidP="00CA067D">
      <w:pPr>
        <w:tabs>
          <w:tab w:val="left" w:pos="4962"/>
        </w:tabs>
        <w:spacing w:line="360" w:lineRule="auto"/>
        <w:jc w:val="both"/>
        <w:rPr>
          <w:rFonts w:ascii="Palatino Linotype" w:eastAsia="Calibri" w:hAnsi="Palatino Linotype" w:cs="Arial"/>
          <w:bCs/>
          <w:iCs/>
          <w:sz w:val="22"/>
          <w:szCs w:val="22"/>
          <w:lang w:val="es-ES" w:eastAsia="es-ES_tradnl"/>
        </w:rPr>
      </w:pPr>
      <w:r w:rsidRPr="00FF0CAB">
        <w:rPr>
          <w:rFonts w:ascii="Palatino Linotype" w:eastAsia="Calibri" w:hAnsi="Palatino Linotype" w:cs="Arial"/>
          <w:bCs/>
          <w:iCs/>
          <w:sz w:val="22"/>
          <w:szCs w:val="22"/>
          <w:lang w:val="es-ES" w:eastAsia="es-ES_tradnl"/>
        </w:rPr>
        <w:t>En un principio, es de señalar que respecto de la servidora pública mencionada por el Particular se localizó el Plan de Desarrollo Municipal 2022-2024 de Temamatla en el que se observa si funge como Directora como se muestra con la siguiente imagen:</w:t>
      </w:r>
    </w:p>
    <w:p w14:paraId="7E57C2CD" w14:textId="77777777" w:rsidR="00F64604" w:rsidRPr="00FF0CAB" w:rsidRDefault="00F64604" w:rsidP="00CA067D">
      <w:pPr>
        <w:tabs>
          <w:tab w:val="left" w:pos="4962"/>
        </w:tabs>
        <w:spacing w:line="360" w:lineRule="auto"/>
        <w:jc w:val="both"/>
        <w:rPr>
          <w:rFonts w:ascii="Palatino Linotype" w:eastAsia="Calibri" w:hAnsi="Palatino Linotype" w:cs="Arial"/>
          <w:bCs/>
          <w:iCs/>
          <w:sz w:val="22"/>
          <w:szCs w:val="22"/>
          <w:lang w:val="es-ES" w:eastAsia="es-ES_tradnl"/>
        </w:rPr>
      </w:pPr>
    </w:p>
    <w:p w14:paraId="25AC4F6A" w14:textId="0F05A472" w:rsidR="00F64604" w:rsidRPr="00FF0CAB" w:rsidRDefault="00F64604" w:rsidP="00F64604">
      <w:pPr>
        <w:tabs>
          <w:tab w:val="left" w:pos="4962"/>
        </w:tabs>
        <w:spacing w:line="360" w:lineRule="auto"/>
        <w:jc w:val="center"/>
        <w:rPr>
          <w:rFonts w:ascii="Palatino Linotype" w:eastAsia="Calibri" w:hAnsi="Palatino Linotype" w:cs="Arial"/>
          <w:bCs/>
          <w:iCs/>
          <w:sz w:val="22"/>
          <w:szCs w:val="22"/>
          <w:lang w:val="es-ES" w:eastAsia="es-ES_tradnl"/>
        </w:rPr>
      </w:pPr>
      <w:r w:rsidRPr="00FF0CAB">
        <w:rPr>
          <w:rFonts w:ascii="Palatino Linotype" w:eastAsia="Calibri" w:hAnsi="Palatino Linotype" w:cs="Arial"/>
          <w:bCs/>
          <w:iCs/>
          <w:noProof/>
          <w:sz w:val="22"/>
          <w:szCs w:val="22"/>
          <w:lang w:eastAsia="es-MX"/>
        </w:rPr>
        <mc:AlternateContent>
          <mc:Choice Requires="wps">
            <w:drawing>
              <wp:anchor distT="0" distB="0" distL="114300" distR="114300" simplePos="0" relativeHeight="251659264" behindDoc="0" locked="0" layoutInCell="1" allowOverlap="1" wp14:anchorId="66824F7A" wp14:editId="4600BD95">
                <wp:simplePos x="0" y="0"/>
                <wp:positionH relativeFrom="column">
                  <wp:posOffset>325120</wp:posOffset>
                </wp:positionH>
                <wp:positionV relativeFrom="paragraph">
                  <wp:posOffset>1166495</wp:posOffset>
                </wp:positionV>
                <wp:extent cx="5229225" cy="247650"/>
                <wp:effectExtent l="19050" t="19050" r="28575" b="19050"/>
                <wp:wrapNone/>
                <wp:docPr id="2" name="Rectángulo 2"/>
                <wp:cNvGraphicFramePr/>
                <a:graphic xmlns:a="http://schemas.openxmlformats.org/drawingml/2006/main">
                  <a:graphicData uri="http://schemas.microsoft.com/office/word/2010/wordprocessingShape">
                    <wps:wsp>
                      <wps:cNvSpPr/>
                      <wps:spPr>
                        <a:xfrm>
                          <a:off x="0" y="0"/>
                          <a:ext cx="5229225"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AD410F" id="Rectángulo 2" o:spid="_x0000_s1026" style="position:absolute;margin-left:25.6pt;margin-top:91.85pt;width:411.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S8ogIAAJEFAAAOAAAAZHJzL2Uyb0RvYy54bWysVM1u2zAMvg/YOwi6r06MuD9BnSJokWFA&#10;0Rb9Qc+KLMUGZFGTlDjZ2+xZ9mKjJNsNumKHYT7Iokh+FD+RvLzat4rshHUN6JJOTyaUCM2havSm&#10;pC/Pqy/nlDjPdMUUaFHSg3D0avH502Vn5iKHGlQlLEEQ7eadKWntvZlnmeO1aJk7ASM0KiXYlnkU&#10;7SarLOsQvVVZPpmcZh3Yyljgwjk8vUlKuoj4Ugru76V0whNVUrybj6uN6zqs2eKSzTeWmbrh/TXY&#10;P9yiZY3GoCPUDfOMbG3zB1TbcAsOpD/h0GYgZcNFzAGzmU7eZfNUMyNiLkiOMyNN7v/B8rvdgyVN&#10;VdKcEs1afKJHJO3XT73ZKiB5IKgzbo52T+bB9pLDbch2L20b/pgH2UdSDyOpYu8Jx8Mizy/yvKCE&#10;oy6fnZ0WkfXszdtY578KaEnYlNRi/Mgl2906jxHRdDAJwTSsGqXiwylNOgQ9L86K6OFANVXQBjtn&#10;N+trZcmO4duvVhP8QjaIdmSGktJ4GHJMWcWdPygRMJR+FBLpwTzyFCEUphhhGedC+2lS1awSKVpx&#10;HGzwiKEjYECWeMsRuwcYLBPIgJ3u3NsHVxHrenSe/O1iyXn0iJFB+9G5bTTYjwAUZtVHTvYDSYma&#10;wNIaqgMWj4XUVc7wVYMveMucf2AW2wgbDkeDv8dFKsCXgn5HSQ32x0fnwR6rG7WUdNiWJXXft8wK&#10;StQ3jXV/MZ3NQh9HYVac5SjYY836WKO37TXg609xCBket8Heq2ErLbSvOEGWISqqmOYYu6Tc20G4&#10;9mlc4AziYrmMZti7hvlb/WR4AA+shgp93r8ya/oy9tgAdzC0MJu/q+ZkGzw1LLceZBNL/Y3Xnm/s&#10;+1g4/YwKg+VYjlZvk3TxGwAA//8DAFBLAwQUAAYACAAAACEAeNHfbd8AAAAKAQAADwAAAGRycy9k&#10;b3ducmV2LnhtbEyPTU/DMAyG70j8h8hIXBBLF2CtStMJMSFuk1bQuLpN1lY0TtVkW+HXY05w88ej&#10;14+L9ewGcbJT6D1pWC4SEJYab3pqNby/vdxmIEJEMjh4shq+bIB1eXlRYG78mXb2VMVWcAiFHDV0&#10;MY65lKHprMOw8KMl3h385DByO7XSTHjmcDdIlSQr6bAnvtDhaJ8723xWR6eh3o/D92HjPuZ9tSLc&#10;vm6RNjdaX1/NT48gop3jHwy/+qwOJTvV/kgmiEHDw1IxyfPsLgXBQJbec1FrUEqlIMtC/n+h/AEA&#10;AP//AwBQSwECLQAUAAYACAAAACEAtoM4kv4AAADhAQAAEwAAAAAAAAAAAAAAAAAAAAAAW0NvbnRl&#10;bnRfVHlwZXNdLnhtbFBLAQItABQABgAIAAAAIQA4/SH/1gAAAJQBAAALAAAAAAAAAAAAAAAAAC8B&#10;AABfcmVscy8ucmVsc1BLAQItABQABgAIAAAAIQATJ8S8ogIAAJEFAAAOAAAAAAAAAAAAAAAAAC4C&#10;AABkcnMvZTJvRG9jLnhtbFBLAQItABQABgAIAAAAIQB40d9t3wAAAAoBAAAPAAAAAAAAAAAAAAAA&#10;APwEAABkcnMvZG93bnJldi54bWxQSwUGAAAAAAQABADzAAAACAYAAAAA&#10;" filled="f" strokecolor="red" strokeweight="2.25pt"/>
            </w:pict>
          </mc:Fallback>
        </mc:AlternateContent>
      </w:r>
      <w:r w:rsidRPr="00FF0CAB">
        <w:rPr>
          <w:rFonts w:ascii="Palatino Linotype" w:eastAsia="Calibri" w:hAnsi="Palatino Linotype" w:cs="Arial"/>
          <w:bCs/>
          <w:iCs/>
          <w:noProof/>
          <w:sz w:val="22"/>
          <w:szCs w:val="22"/>
          <w:lang w:eastAsia="es-MX"/>
        </w:rPr>
        <w:drawing>
          <wp:inline distT="0" distB="0" distL="0" distR="0" wp14:anchorId="16BD3D66" wp14:editId="1C528C74">
            <wp:extent cx="5308600" cy="1990725"/>
            <wp:effectExtent l="0" t="0" r="635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09614" cy="1991105"/>
                    </a:xfrm>
                    <a:prstGeom prst="rect">
                      <a:avLst/>
                    </a:prstGeom>
                  </pic:spPr>
                </pic:pic>
              </a:graphicData>
            </a:graphic>
          </wp:inline>
        </w:drawing>
      </w:r>
    </w:p>
    <w:p w14:paraId="2575C73C" w14:textId="77777777" w:rsidR="00F64604" w:rsidRPr="00FF0CAB" w:rsidRDefault="00F64604" w:rsidP="00CA067D">
      <w:pPr>
        <w:tabs>
          <w:tab w:val="left" w:pos="4962"/>
        </w:tabs>
        <w:spacing w:line="360" w:lineRule="auto"/>
        <w:jc w:val="both"/>
        <w:rPr>
          <w:rFonts w:ascii="Palatino Linotype" w:eastAsia="Calibri" w:hAnsi="Palatino Linotype" w:cs="Arial"/>
          <w:bCs/>
          <w:iCs/>
          <w:sz w:val="22"/>
          <w:szCs w:val="22"/>
          <w:lang w:val="es-ES" w:eastAsia="es-ES_tradnl"/>
        </w:rPr>
      </w:pPr>
    </w:p>
    <w:p w14:paraId="04E754A4" w14:textId="71C5F5A4" w:rsidR="00A56DBD" w:rsidRPr="00FF0CAB" w:rsidRDefault="00F64604" w:rsidP="00CA067D">
      <w:pPr>
        <w:tabs>
          <w:tab w:val="left" w:pos="4962"/>
        </w:tabs>
        <w:spacing w:line="360" w:lineRule="auto"/>
        <w:jc w:val="both"/>
        <w:rPr>
          <w:rFonts w:ascii="Palatino Linotype" w:eastAsia="Calibri" w:hAnsi="Palatino Linotype" w:cs="Arial"/>
          <w:bCs/>
          <w:iCs/>
          <w:sz w:val="22"/>
          <w:szCs w:val="22"/>
          <w:lang w:val="es-ES" w:eastAsia="es-ES_tradnl"/>
        </w:rPr>
      </w:pPr>
      <w:r w:rsidRPr="00FF0CAB">
        <w:rPr>
          <w:rFonts w:ascii="Palatino Linotype" w:eastAsia="Calibri" w:hAnsi="Palatino Linotype" w:cs="Arial"/>
          <w:bCs/>
          <w:iCs/>
          <w:sz w:val="22"/>
          <w:szCs w:val="22"/>
          <w:lang w:val="es-ES" w:eastAsia="es-ES_tradnl"/>
        </w:rPr>
        <w:t>Derivado de lo anterior, e</w:t>
      </w:r>
      <w:r w:rsidR="00CA067D" w:rsidRPr="00FF0CAB">
        <w:rPr>
          <w:rFonts w:ascii="Palatino Linotype" w:eastAsia="Calibri" w:hAnsi="Palatino Linotype" w:cs="Arial"/>
          <w:bCs/>
          <w:iCs/>
          <w:sz w:val="22"/>
          <w:szCs w:val="22"/>
          <w:lang w:val="es-ES" w:eastAsia="es-ES_tradnl"/>
        </w:rPr>
        <w:t xml:space="preserve">s de recordar que el Sujeto Obligado </w:t>
      </w:r>
      <w:r w:rsidR="00A56DBD" w:rsidRPr="00FF0CAB">
        <w:rPr>
          <w:rFonts w:ascii="Palatino Linotype" w:eastAsia="Calibri" w:hAnsi="Palatino Linotype" w:cs="Arial"/>
          <w:bCs/>
          <w:iCs/>
          <w:sz w:val="22"/>
          <w:szCs w:val="22"/>
          <w:lang w:val="es-ES" w:eastAsia="es-ES_tradnl"/>
        </w:rPr>
        <w:t xml:space="preserve">a través del Director Jurídico señaló no contar con la información solicitada por no realizar remociones de personal, por lo que resulta conveniente analizar los requerimientos del Particular; así como primer </w:t>
      </w:r>
      <w:r w:rsidRPr="00FF0CAB">
        <w:rPr>
          <w:rFonts w:ascii="Palatino Linotype" w:eastAsia="Calibri" w:hAnsi="Palatino Linotype" w:cs="Arial"/>
          <w:bCs/>
          <w:iCs/>
          <w:sz w:val="22"/>
          <w:szCs w:val="22"/>
          <w:lang w:val="es-ES" w:eastAsia="es-ES_tradnl"/>
        </w:rPr>
        <w:t>punto</w:t>
      </w:r>
      <w:r w:rsidR="00A56DBD" w:rsidRPr="00FF0CAB">
        <w:rPr>
          <w:rFonts w:ascii="Palatino Linotype" w:eastAsia="Calibri" w:hAnsi="Palatino Linotype" w:cs="Arial"/>
          <w:bCs/>
          <w:iCs/>
          <w:sz w:val="22"/>
          <w:szCs w:val="22"/>
          <w:lang w:val="es-ES" w:eastAsia="es-ES_tradnl"/>
        </w:rPr>
        <w:t xml:space="preserve"> solicitó el expediente completo de remoción del cargo de la Directora de Desarrollo Social, al respecto sobre la terminación y suspensión de la relación laboral la Ley del Trabajo de los Servidores Públicos del Estado y Municipios establece lo siguiente:</w:t>
      </w:r>
    </w:p>
    <w:p w14:paraId="14A3AF14" w14:textId="77777777" w:rsidR="00A56DBD" w:rsidRPr="00FF0CAB" w:rsidRDefault="00A56DBD" w:rsidP="00CA067D">
      <w:pPr>
        <w:tabs>
          <w:tab w:val="left" w:pos="4962"/>
        </w:tabs>
        <w:spacing w:line="360" w:lineRule="auto"/>
        <w:jc w:val="both"/>
        <w:rPr>
          <w:rFonts w:ascii="Palatino Linotype" w:eastAsia="Calibri" w:hAnsi="Palatino Linotype" w:cs="Arial"/>
          <w:bCs/>
          <w:iCs/>
          <w:sz w:val="22"/>
          <w:szCs w:val="22"/>
          <w:lang w:val="es-ES" w:eastAsia="es-ES_tradnl"/>
        </w:rPr>
      </w:pPr>
    </w:p>
    <w:p w14:paraId="281C4866" w14:textId="6F50B05C" w:rsidR="00A56DBD" w:rsidRPr="00FF0CAB" w:rsidRDefault="00A56DBD" w:rsidP="00A56DBD">
      <w:pPr>
        <w:tabs>
          <w:tab w:val="left" w:pos="4962"/>
        </w:tabs>
        <w:spacing w:line="360" w:lineRule="auto"/>
        <w:ind w:left="567" w:right="539"/>
        <w:jc w:val="center"/>
        <w:rPr>
          <w:rFonts w:ascii="Palatino Linotype" w:eastAsia="Calibri" w:hAnsi="Palatino Linotype" w:cs="Arial"/>
          <w:b/>
          <w:bCs/>
          <w:i/>
          <w:iCs/>
          <w:szCs w:val="22"/>
          <w:lang w:val="es-ES" w:eastAsia="es-ES_tradnl"/>
        </w:rPr>
      </w:pPr>
      <w:r w:rsidRPr="00FF0CAB">
        <w:rPr>
          <w:rFonts w:ascii="Palatino Linotype" w:eastAsia="Calibri" w:hAnsi="Palatino Linotype" w:cs="Arial"/>
          <w:b/>
          <w:bCs/>
          <w:i/>
          <w:iCs/>
          <w:szCs w:val="22"/>
          <w:lang w:val="es-ES" w:eastAsia="es-ES_tradnl"/>
        </w:rPr>
        <w:t>De la Terminación de la Relación Laboral</w:t>
      </w:r>
    </w:p>
    <w:p w14:paraId="36E19B1C"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
          <w:bCs/>
          <w:i/>
          <w:iCs/>
          <w:szCs w:val="22"/>
          <w:lang w:val="es-ES" w:eastAsia="es-ES_tradnl"/>
        </w:rPr>
        <w:t>ARTÍCULO 89</w:t>
      </w:r>
      <w:r w:rsidRPr="00FF0CAB">
        <w:rPr>
          <w:rFonts w:ascii="Palatino Linotype" w:eastAsia="Calibri" w:hAnsi="Palatino Linotype" w:cs="Arial"/>
          <w:bCs/>
          <w:i/>
          <w:iCs/>
          <w:szCs w:val="22"/>
          <w:lang w:val="es-ES" w:eastAsia="es-ES_tradnl"/>
        </w:rPr>
        <w:t xml:space="preserve">. Son causas de terminación de la relación laboral sin responsabilidad para las instituciones públicas: </w:t>
      </w:r>
    </w:p>
    <w:p w14:paraId="66805194" w14:textId="0808467C"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I. La renuncia del servidor público;</w:t>
      </w:r>
    </w:p>
    <w:p w14:paraId="43027F10"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II. El mutuo consentimiento de las partes; </w:t>
      </w:r>
    </w:p>
    <w:p w14:paraId="693E0CC7"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lastRenderedPageBreak/>
        <w:t xml:space="preserve">III. El vencimiento del término o conclusión de la obra determinantes de la contratación; </w:t>
      </w:r>
    </w:p>
    <w:p w14:paraId="35CD1995"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IV. El término o conclusión de la administración en la cual fue contratado el servidor público a que se refiere el artículo 8 de ésta Ley; V. La muerte del servidor público; y  </w:t>
      </w:r>
    </w:p>
    <w:p w14:paraId="7E562A95"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VI. La incapacidad permanente del servidor público que le impida el desempeño de sus labores. </w:t>
      </w:r>
    </w:p>
    <w:p w14:paraId="5BB0D9CC"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p>
    <w:p w14:paraId="2AA050C3" w14:textId="3DBC9CF1" w:rsidR="00A56DBD" w:rsidRPr="00FF0CAB" w:rsidRDefault="00A56DBD" w:rsidP="00A56DBD">
      <w:pPr>
        <w:tabs>
          <w:tab w:val="left" w:pos="4962"/>
        </w:tabs>
        <w:spacing w:line="360" w:lineRule="auto"/>
        <w:ind w:left="567" w:right="539"/>
        <w:jc w:val="center"/>
        <w:rPr>
          <w:rFonts w:ascii="Palatino Linotype" w:eastAsia="Calibri" w:hAnsi="Palatino Linotype" w:cs="Arial"/>
          <w:b/>
          <w:bCs/>
          <w:i/>
          <w:iCs/>
          <w:szCs w:val="22"/>
          <w:lang w:val="es-ES" w:eastAsia="es-ES_tradnl"/>
        </w:rPr>
      </w:pPr>
      <w:r w:rsidRPr="00FF0CAB">
        <w:rPr>
          <w:rFonts w:ascii="Palatino Linotype" w:eastAsia="Calibri" w:hAnsi="Palatino Linotype" w:cs="Arial"/>
          <w:b/>
          <w:bCs/>
          <w:i/>
          <w:iCs/>
          <w:szCs w:val="22"/>
          <w:lang w:val="es-ES" w:eastAsia="es-ES_tradnl"/>
        </w:rPr>
        <w:t>CAPITULO VIII</w:t>
      </w:r>
    </w:p>
    <w:p w14:paraId="058AAC71" w14:textId="634700A9" w:rsidR="00A56DBD" w:rsidRPr="00FF0CAB" w:rsidRDefault="00A56DBD" w:rsidP="00A56DBD">
      <w:pPr>
        <w:tabs>
          <w:tab w:val="left" w:pos="4962"/>
        </w:tabs>
        <w:spacing w:line="360" w:lineRule="auto"/>
        <w:ind w:left="567" w:right="539"/>
        <w:jc w:val="center"/>
        <w:rPr>
          <w:rFonts w:ascii="Palatino Linotype" w:eastAsia="Calibri" w:hAnsi="Palatino Linotype" w:cs="Arial"/>
          <w:b/>
          <w:bCs/>
          <w:i/>
          <w:iCs/>
          <w:szCs w:val="22"/>
          <w:lang w:val="es-ES" w:eastAsia="es-ES_tradnl"/>
        </w:rPr>
      </w:pPr>
      <w:r w:rsidRPr="00FF0CAB">
        <w:rPr>
          <w:rFonts w:ascii="Palatino Linotype" w:eastAsia="Calibri" w:hAnsi="Palatino Linotype" w:cs="Arial"/>
          <w:b/>
          <w:bCs/>
          <w:i/>
          <w:iCs/>
          <w:szCs w:val="22"/>
          <w:lang w:val="es-ES" w:eastAsia="es-ES_tradnl"/>
        </w:rPr>
        <w:t>De la Suspensión de la Relación Laboral</w:t>
      </w:r>
    </w:p>
    <w:p w14:paraId="35F13999"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p>
    <w:p w14:paraId="6EA42B53"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
          <w:bCs/>
          <w:i/>
          <w:iCs/>
          <w:szCs w:val="22"/>
          <w:lang w:val="es-ES" w:eastAsia="es-ES_tradnl"/>
        </w:rPr>
        <w:t>ARTÍCULO 90.</w:t>
      </w:r>
      <w:r w:rsidRPr="00FF0CAB">
        <w:rPr>
          <w:rFonts w:ascii="Palatino Linotype" w:eastAsia="Calibri" w:hAnsi="Palatino Linotype" w:cs="Arial"/>
          <w:bCs/>
          <w:i/>
          <w:iCs/>
          <w:szCs w:val="22"/>
          <w:lang w:val="es-ES" w:eastAsia="es-ES_tradnl"/>
        </w:rPr>
        <w:t xml:space="preserve"> Son causas de suspensión de la relación laboral: </w:t>
      </w:r>
    </w:p>
    <w:p w14:paraId="61214D4A"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I. Padecer el servidor público alguna enfermedad contagiosa, que implique un peligro para las personas que laboran con él; </w:t>
      </w:r>
    </w:p>
    <w:p w14:paraId="4E6919E2"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II. Tener licencia sin goce de sueldo por incapacidad temporal ocasionada por un accidente o enfermedad que no constituya un riesgo de trabajo; </w:t>
      </w:r>
    </w:p>
    <w:p w14:paraId="386155D4"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III. El arresto del servidor público; </w:t>
      </w:r>
    </w:p>
    <w:p w14:paraId="66513DCA" w14:textId="77777777"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 xml:space="preserve">IV. La prisión preventiva del servidor público, seguida de sentencia absolutoria; </w:t>
      </w:r>
    </w:p>
    <w:p w14:paraId="23D8D3AF" w14:textId="55BC4F1D" w:rsidR="00A56DBD" w:rsidRPr="00FF0CAB" w:rsidRDefault="00A56DBD" w:rsidP="00A56DBD">
      <w:pPr>
        <w:tabs>
          <w:tab w:val="left" w:pos="4962"/>
        </w:tabs>
        <w:spacing w:line="360" w:lineRule="auto"/>
        <w:ind w:left="567" w:right="539"/>
        <w:jc w:val="both"/>
        <w:rPr>
          <w:rFonts w:ascii="Palatino Linotype" w:eastAsia="Calibri" w:hAnsi="Palatino Linotype" w:cs="Arial"/>
          <w:b/>
          <w:bCs/>
          <w:i/>
          <w:iCs/>
          <w:szCs w:val="22"/>
          <w:lang w:val="es-ES" w:eastAsia="es-ES_tradnl"/>
        </w:rPr>
      </w:pPr>
      <w:r w:rsidRPr="00FF0CAB">
        <w:rPr>
          <w:rFonts w:ascii="Palatino Linotype" w:eastAsia="Calibri" w:hAnsi="Palatino Linotype" w:cs="Arial"/>
          <w:b/>
          <w:bCs/>
          <w:i/>
          <w:iCs/>
          <w:szCs w:val="22"/>
          <w:lang w:val="es-ES" w:eastAsia="es-ES_tradnl"/>
        </w:rPr>
        <w:t xml:space="preserve">V. Las previstas por otros ordenamientos aplicables e impuestas por la autoridad competente; o </w:t>
      </w:r>
    </w:p>
    <w:p w14:paraId="023B7322" w14:textId="4C6497B0" w:rsidR="00A56DBD" w:rsidRPr="00FF0CAB" w:rsidRDefault="00A56DBD" w:rsidP="00A56DBD">
      <w:pPr>
        <w:tabs>
          <w:tab w:val="left" w:pos="4962"/>
        </w:tabs>
        <w:spacing w:line="360" w:lineRule="auto"/>
        <w:ind w:left="567" w:right="539"/>
        <w:jc w:val="both"/>
        <w:rPr>
          <w:rFonts w:ascii="Palatino Linotype" w:eastAsia="Calibri" w:hAnsi="Palatino Linotype" w:cs="Arial"/>
          <w:bCs/>
          <w:i/>
          <w:iCs/>
          <w:szCs w:val="22"/>
          <w:lang w:val="es-ES" w:eastAsia="es-ES_tradnl"/>
        </w:rPr>
      </w:pPr>
      <w:r w:rsidRPr="00FF0CAB">
        <w:rPr>
          <w:rFonts w:ascii="Palatino Linotype" w:eastAsia="Calibri" w:hAnsi="Palatino Linotype" w:cs="Arial"/>
          <w:bCs/>
          <w:i/>
          <w:iCs/>
          <w:szCs w:val="22"/>
          <w:lang w:val="es-ES" w:eastAsia="es-ES_tradnl"/>
        </w:rPr>
        <w:t>VI. a VIII…</w:t>
      </w:r>
    </w:p>
    <w:p w14:paraId="3D1A08CA" w14:textId="22143FE6" w:rsidR="00A56DBD" w:rsidRPr="00FF0CAB" w:rsidRDefault="00A56DBD" w:rsidP="00CA067D">
      <w:pPr>
        <w:tabs>
          <w:tab w:val="left" w:pos="4962"/>
        </w:tabs>
        <w:spacing w:line="360" w:lineRule="auto"/>
        <w:jc w:val="both"/>
        <w:rPr>
          <w:rFonts w:ascii="Palatino Linotype" w:eastAsia="Calibri" w:hAnsi="Palatino Linotype" w:cs="Arial"/>
          <w:bCs/>
          <w:iCs/>
          <w:sz w:val="22"/>
          <w:szCs w:val="22"/>
          <w:lang w:val="es-ES" w:eastAsia="es-ES_tradnl"/>
        </w:rPr>
      </w:pPr>
    </w:p>
    <w:p w14:paraId="7D4628FC" w14:textId="77777777" w:rsidR="00A56DBD" w:rsidRPr="00FF0CAB" w:rsidRDefault="00A56DBD" w:rsidP="00A56DBD">
      <w:pPr>
        <w:spacing w:line="360" w:lineRule="auto"/>
        <w:contextualSpacing/>
        <w:jc w:val="both"/>
        <w:rPr>
          <w:rFonts w:ascii="Palatino Linotype" w:hAnsi="Palatino Linotype" w:cs="Tahoma"/>
          <w:sz w:val="22"/>
          <w:szCs w:val="22"/>
        </w:rPr>
      </w:pPr>
      <w:r w:rsidRPr="00FF0CAB">
        <w:rPr>
          <w:rFonts w:ascii="Palatino Linotype" w:eastAsia="Calibri" w:hAnsi="Palatino Linotype" w:cs="Arial"/>
          <w:bCs/>
          <w:iCs/>
          <w:sz w:val="22"/>
          <w:szCs w:val="22"/>
          <w:lang w:val="es-ES" w:eastAsia="es-ES_tradnl"/>
        </w:rPr>
        <w:t xml:space="preserve">Derivado de lo anterior, se puede entender que la intención del Particular es obtener los documentos que dieron por terminada y/o suspendida la relación laboral de la servidora pública que menciono en su solicitud, </w:t>
      </w:r>
      <w:r w:rsidRPr="00FF0CAB">
        <w:rPr>
          <w:rFonts w:ascii="Palatino Linotype" w:hAnsi="Palatino Linotype"/>
          <w:sz w:val="22"/>
          <w:szCs w:val="22"/>
        </w:rPr>
        <w:t xml:space="preserve">ello </w:t>
      </w:r>
      <w:r w:rsidRPr="00FF0CAB">
        <w:rPr>
          <w:rFonts w:ascii="Palatino Linotype" w:eastAsia="Calibri" w:hAnsi="Palatino Linotype" w:cs="Tahoma"/>
          <w:bCs/>
          <w:sz w:val="22"/>
          <w:szCs w:val="22"/>
          <w:lang w:val="es-ES" w:eastAsia="en-US"/>
        </w:rPr>
        <w:t xml:space="preserve">como consecuencia de que este Organismo Garante no debe suponer bajo ninguna circunstancia que el Recurrente sea un experto en Derecho, mucho menos en la materia del Derecho de Acceso a la Información Pública, atento al contenido de los numerales 13 y 181 de la Ley de la Materia. </w:t>
      </w:r>
      <w:r w:rsidRPr="00FF0CAB">
        <w:rPr>
          <w:rFonts w:ascii="Palatino Linotype" w:hAnsi="Palatino Linotype" w:cs="Tahoma"/>
          <w:sz w:val="22"/>
          <w:szCs w:val="22"/>
        </w:rPr>
        <w:t>En tal sentido, lo conveniente es ordenar los Visores solicitados de dichos Organismos.</w:t>
      </w:r>
    </w:p>
    <w:p w14:paraId="4A1C118E" w14:textId="67C7F671" w:rsidR="00A56DBD" w:rsidRPr="00FF0CAB" w:rsidRDefault="00A56DBD" w:rsidP="00CA067D">
      <w:pPr>
        <w:tabs>
          <w:tab w:val="left" w:pos="4962"/>
        </w:tabs>
        <w:spacing w:line="360" w:lineRule="auto"/>
        <w:jc w:val="both"/>
        <w:rPr>
          <w:rFonts w:ascii="Palatino Linotype" w:eastAsia="Calibri" w:hAnsi="Palatino Linotype" w:cs="Arial"/>
          <w:bCs/>
          <w:iCs/>
          <w:sz w:val="22"/>
          <w:szCs w:val="22"/>
          <w:lang w:val="es-ES" w:eastAsia="es-ES_tradnl"/>
        </w:rPr>
      </w:pPr>
    </w:p>
    <w:p w14:paraId="07057E01" w14:textId="527A90B8" w:rsidR="00E3209D" w:rsidRPr="00FF0CAB" w:rsidRDefault="00E3209D" w:rsidP="00E3209D">
      <w:pPr>
        <w:spacing w:line="360" w:lineRule="auto"/>
        <w:jc w:val="both"/>
        <w:rPr>
          <w:rFonts w:ascii="Palatino Linotype" w:hAnsi="Palatino Linotype" w:cs="Tahoma"/>
          <w:bCs/>
          <w:sz w:val="22"/>
          <w:szCs w:val="22"/>
        </w:rPr>
      </w:pPr>
      <w:r w:rsidRPr="00FF0CAB">
        <w:rPr>
          <w:rFonts w:ascii="Palatino Linotype" w:eastAsia="Calibri" w:hAnsi="Palatino Linotype" w:cs="Arial"/>
          <w:bCs/>
          <w:iCs/>
          <w:sz w:val="22"/>
          <w:szCs w:val="22"/>
          <w:lang w:val="es-ES" w:eastAsia="es-ES_tradnl"/>
        </w:rPr>
        <w:lastRenderedPageBreak/>
        <w:t>Ahora, se observa que la solicitud de información únicamente fue turnada a la Dirección Jurídica, sin embargo, los Bandos municipales de Temamatla dos mil veintidós, dos mil veintitrés y dos mil veinticuatro, contemplan las dependencias administrativas con las que contará la Administración pública Municipal dentro de  las que se encuentra la Dirección de Administración y en el Bando del año dos mil veintidós, en su artículo 192 establece que</w:t>
      </w:r>
      <w:r w:rsidR="00F64604" w:rsidRPr="00FF0CAB">
        <w:rPr>
          <w:rFonts w:ascii="Palatino Linotype" w:eastAsia="Calibri" w:hAnsi="Palatino Linotype" w:cs="Arial"/>
          <w:bCs/>
          <w:iCs/>
          <w:sz w:val="22"/>
          <w:szCs w:val="22"/>
          <w:lang w:val="es-ES" w:eastAsia="es-ES_tradnl"/>
        </w:rPr>
        <w:t xml:space="preserve"> esta Dirección</w:t>
      </w:r>
      <w:r w:rsidRPr="00FF0CAB">
        <w:t xml:space="preserve"> </w:t>
      </w:r>
      <w:r w:rsidR="00F64604" w:rsidRPr="00FF0CAB">
        <w:t xml:space="preserve"> </w:t>
      </w:r>
      <w:r w:rsidR="00F64604" w:rsidRPr="00FF0CAB">
        <w:rPr>
          <w:rFonts w:ascii="Palatino Linotype" w:eastAsia="Calibri" w:hAnsi="Palatino Linotype" w:cs="Arial"/>
          <w:bCs/>
          <w:iCs/>
          <w:sz w:val="22"/>
          <w:szCs w:val="22"/>
          <w:lang w:val="es-ES" w:eastAsia="es-ES_tradnl"/>
        </w:rPr>
        <w:t>at</w:t>
      </w:r>
      <w:r w:rsidRPr="00FF0CAB">
        <w:rPr>
          <w:rFonts w:ascii="Palatino Linotype" w:eastAsia="Calibri" w:hAnsi="Palatino Linotype" w:cs="Arial"/>
          <w:bCs/>
          <w:iCs/>
          <w:sz w:val="22"/>
          <w:szCs w:val="22"/>
          <w:lang w:val="es-ES" w:eastAsia="es-ES_tradnl"/>
        </w:rPr>
        <w:t xml:space="preserve">enderá y proporcionará a las unidades administrativas del gobierno municipal, los recursos humanos y material suficiente para su buen desarrollo además de sus atribuciones especificas dentro de las que se encuentra la fracción III tramitará los nombramientos, </w:t>
      </w:r>
      <w:r w:rsidRPr="00FF0CAB">
        <w:rPr>
          <w:rFonts w:ascii="Palatino Linotype" w:eastAsia="Calibri" w:hAnsi="Palatino Linotype" w:cs="Arial"/>
          <w:b/>
          <w:bCs/>
          <w:iCs/>
          <w:sz w:val="22"/>
          <w:szCs w:val="22"/>
          <w:u w:val="single"/>
          <w:lang w:val="es-ES" w:eastAsia="es-ES_tradnl"/>
        </w:rPr>
        <w:t>remociones, renuncias,</w:t>
      </w:r>
      <w:r w:rsidRPr="00FF0CAB">
        <w:rPr>
          <w:rFonts w:ascii="Palatino Linotype" w:eastAsia="Calibri" w:hAnsi="Palatino Linotype" w:cs="Arial"/>
          <w:bCs/>
          <w:iCs/>
          <w:sz w:val="22"/>
          <w:szCs w:val="22"/>
          <w:lang w:val="es-ES" w:eastAsia="es-ES_tradnl"/>
        </w:rPr>
        <w:t xml:space="preserve"> licencias y jubilaciones de los funcionarios y trabajadores de la administración pública, </w:t>
      </w:r>
      <w:r w:rsidR="00F64604" w:rsidRPr="00FF0CAB">
        <w:rPr>
          <w:rFonts w:ascii="Palatino Linotype" w:eastAsia="Calibri" w:hAnsi="Palatino Linotype" w:cs="Arial"/>
          <w:bCs/>
          <w:iCs/>
          <w:sz w:val="22"/>
          <w:szCs w:val="22"/>
          <w:lang w:val="es-ES" w:eastAsia="es-ES_tradnl"/>
        </w:rPr>
        <w:t xml:space="preserve">por lo que dicha unidad administrativa pudiera contar con el expediente solicitado, por lo que lo procedente es ordenar que se realice una correcta búsqueda de la información y en su caso proporcionarlo en versión pública, </w:t>
      </w:r>
      <w:r w:rsidRPr="00FF0CAB">
        <w:rPr>
          <w:rFonts w:ascii="Palatino Linotype" w:hAnsi="Palatino Linotype" w:cs="Tahoma"/>
          <w:sz w:val="22"/>
          <w:szCs w:val="22"/>
          <w:lang w:val="es-ES"/>
        </w:rPr>
        <w:t>así</w:t>
      </w:r>
      <w:r w:rsidRPr="00FF0CAB">
        <w:rPr>
          <w:rFonts w:ascii="Palatino Linotype" w:hAnsi="Palatino Linotype" w:cs="Tahoma"/>
          <w:bCs/>
          <w:sz w:val="22"/>
          <w:szCs w:val="22"/>
        </w:rPr>
        <w:t xml:space="preserve">, es necesario hacer referencia el </w:t>
      </w:r>
      <w:r w:rsidRPr="00FF0CAB">
        <w:rPr>
          <w:rFonts w:ascii="Palatino Linotype" w:hAnsi="Palatino Linotype" w:cs="Tahoma"/>
          <w:b/>
          <w:sz w:val="22"/>
          <w:szCs w:val="22"/>
        </w:rPr>
        <w:t>procedimiento de búsqueda que deben de seguir los Sujetos Obligados para localizar la información</w:t>
      </w:r>
      <w:r w:rsidRPr="00FF0CAB">
        <w:rPr>
          <w:rFonts w:ascii="Palatino Linotype" w:hAnsi="Palatino Linotype" w:cs="Tahoma"/>
          <w:sz w:val="22"/>
          <w:szCs w:val="22"/>
        </w:rPr>
        <w:t>, el cual se encuentra previsto en los artículos</w:t>
      </w:r>
      <w:r w:rsidRPr="00FF0CAB">
        <w:rPr>
          <w:rFonts w:ascii="Palatino Linotype" w:hAnsi="Palatino Linotype" w:cs="Tahoma"/>
          <w:bCs/>
          <w:sz w:val="22"/>
          <w:szCs w:val="22"/>
        </w:rPr>
        <w:t xml:space="preserve"> 160 y 162 de la Ley de Transparencia y Acceso a la Información Pública del Estado de México y Municipios, mismo que es el siguiente:</w:t>
      </w:r>
    </w:p>
    <w:p w14:paraId="78BFA47B" w14:textId="77777777" w:rsidR="00E3209D" w:rsidRPr="00FF0CAB" w:rsidRDefault="00E3209D" w:rsidP="00E3209D">
      <w:pPr>
        <w:spacing w:line="360" w:lineRule="auto"/>
        <w:jc w:val="both"/>
        <w:rPr>
          <w:rFonts w:ascii="Palatino Linotype" w:hAnsi="Palatino Linotype" w:cs="Tahoma"/>
          <w:bCs/>
          <w:iCs/>
          <w:sz w:val="22"/>
          <w:szCs w:val="22"/>
        </w:rPr>
      </w:pPr>
    </w:p>
    <w:p w14:paraId="6B1604C2" w14:textId="77777777" w:rsidR="00E3209D" w:rsidRPr="00FF0CAB" w:rsidRDefault="00E3209D" w:rsidP="00E3209D">
      <w:pPr>
        <w:numPr>
          <w:ilvl w:val="0"/>
          <w:numId w:val="14"/>
        </w:numPr>
        <w:spacing w:line="360" w:lineRule="auto"/>
        <w:jc w:val="both"/>
        <w:rPr>
          <w:rFonts w:ascii="Palatino Linotype" w:hAnsi="Palatino Linotype" w:cs="Tahoma"/>
          <w:bCs/>
          <w:iCs/>
          <w:sz w:val="22"/>
          <w:szCs w:val="22"/>
          <w:lang w:val="es-ES"/>
        </w:rPr>
      </w:pPr>
      <w:r w:rsidRPr="00FF0CAB">
        <w:rPr>
          <w:rFonts w:ascii="Palatino Linotype" w:hAnsi="Palatino Linotype" w:cs="Tahoma"/>
          <w:bCs/>
          <w:iCs/>
          <w:sz w:val="22"/>
          <w:szCs w:val="22"/>
          <w:lang w:val="es-E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C16CE7" w14:textId="77777777" w:rsidR="00E3209D" w:rsidRPr="00FF0CAB" w:rsidRDefault="00E3209D" w:rsidP="00E3209D">
      <w:pPr>
        <w:spacing w:line="360" w:lineRule="auto"/>
        <w:jc w:val="both"/>
        <w:rPr>
          <w:rFonts w:ascii="Palatino Linotype" w:hAnsi="Palatino Linotype" w:cs="Tahoma"/>
          <w:bCs/>
          <w:iCs/>
          <w:sz w:val="22"/>
          <w:szCs w:val="22"/>
          <w:lang w:val="es-ES"/>
        </w:rPr>
      </w:pPr>
    </w:p>
    <w:p w14:paraId="057BBF73" w14:textId="77777777" w:rsidR="00E3209D" w:rsidRPr="00FF0CAB" w:rsidRDefault="00E3209D" w:rsidP="00E3209D">
      <w:pPr>
        <w:numPr>
          <w:ilvl w:val="0"/>
          <w:numId w:val="14"/>
        </w:numPr>
        <w:spacing w:line="360" w:lineRule="auto"/>
        <w:jc w:val="both"/>
        <w:rPr>
          <w:rFonts w:ascii="Palatino Linotype" w:hAnsi="Palatino Linotype" w:cs="Tahoma"/>
          <w:bCs/>
          <w:iCs/>
          <w:sz w:val="22"/>
          <w:szCs w:val="22"/>
          <w:lang w:val="es-ES"/>
        </w:rPr>
      </w:pPr>
      <w:r w:rsidRPr="00FF0CAB">
        <w:rPr>
          <w:rFonts w:ascii="Palatino Linotype" w:hAnsi="Palatino Linotype" w:cs="Tahoma"/>
          <w:bCs/>
          <w:iCs/>
          <w:sz w:val="22"/>
          <w:szCs w:val="22"/>
          <w:lang w:val="es-E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01284CF" w14:textId="2B19F13B" w:rsidR="00E3209D" w:rsidRPr="00FF0CAB" w:rsidRDefault="00E3209D" w:rsidP="00CA067D">
      <w:pPr>
        <w:tabs>
          <w:tab w:val="left" w:pos="4962"/>
        </w:tabs>
        <w:spacing w:line="360" w:lineRule="auto"/>
        <w:jc w:val="both"/>
        <w:rPr>
          <w:rFonts w:ascii="Palatino Linotype" w:eastAsia="Calibri" w:hAnsi="Palatino Linotype" w:cs="Arial"/>
          <w:bCs/>
          <w:iCs/>
          <w:sz w:val="22"/>
          <w:szCs w:val="22"/>
          <w:lang w:val="es-ES" w:eastAsia="es-ES_tradnl"/>
        </w:rPr>
      </w:pPr>
    </w:p>
    <w:p w14:paraId="1EDE875B" w14:textId="13E9C567" w:rsidR="00F5045E" w:rsidRPr="00FF0CAB" w:rsidRDefault="00E3209D" w:rsidP="00CA067D">
      <w:pPr>
        <w:tabs>
          <w:tab w:val="left" w:pos="4962"/>
        </w:tabs>
        <w:spacing w:line="360" w:lineRule="auto"/>
        <w:jc w:val="both"/>
        <w:rPr>
          <w:rFonts w:ascii="Palatino Linotype" w:eastAsia="Calibri" w:hAnsi="Palatino Linotype" w:cs="Arial"/>
          <w:bCs/>
          <w:iCs/>
          <w:sz w:val="22"/>
          <w:szCs w:val="22"/>
          <w:lang w:val="es-ES" w:eastAsia="es-ES_tradnl"/>
        </w:rPr>
      </w:pPr>
      <w:r w:rsidRPr="00FF0CAB">
        <w:rPr>
          <w:rFonts w:ascii="Palatino Linotype" w:eastAsia="Calibri" w:hAnsi="Palatino Linotype" w:cs="Arial"/>
          <w:bCs/>
          <w:iCs/>
          <w:sz w:val="22"/>
          <w:szCs w:val="22"/>
          <w:lang w:val="es-ES" w:eastAsia="es-ES_tradnl"/>
        </w:rPr>
        <w:t xml:space="preserve">Ahora, por lo que hace a </w:t>
      </w:r>
      <w:r w:rsidR="00F64604" w:rsidRPr="00FF0CAB">
        <w:rPr>
          <w:rFonts w:ascii="Palatino Linotype" w:eastAsia="Calibri" w:hAnsi="Palatino Linotype" w:cs="Arial"/>
          <w:bCs/>
          <w:iCs/>
          <w:sz w:val="22"/>
          <w:szCs w:val="22"/>
          <w:lang w:val="es-ES" w:eastAsia="es-ES_tradnl"/>
        </w:rPr>
        <w:t xml:space="preserve">cuantos procedimientos se encuentran instaurados en su contra debido al </w:t>
      </w:r>
      <w:r w:rsidR="00F64604" w:rsidRPr="00FF0CAB">
        <w:rPr>
          <w:rFonts w:ascii="Palatino Linotype" w:eastAsia="Calibri" w:hAnsi="Palatino Linotype" w:cs="Arial"/>
          <w:b/>
          <w:bCs/>
          <w:iCs/>
          <w:sz w:val="22"/>
          <w:szCs w:val="22"/>
          <w:u w:val="single"/>
          <w:lang w:val="es-ES" w:eastAsia="es-ES_tradnl"/>
        </w:rPr>
        <w:t>desvió de recursos</w:t>
      </w:r>
      <w:r w:rsidR="00F64604" w:rsidRPr="00FF0CAB">
        <w:rPr>
          <w:rFonts w:ascii="Palatino Linotype" w:eastAsia="Calibri" w:hAnsi="Palatino Linotype" w:cs="Arial"/>
          <w:bCs/>
          <w:iCs/>
          <w:sz w:val="22"/>
          <w:szCs w:val="22"/>
          <w:lang w:val="es-ES" w:eastAsia="es-ES_tradnl"/>
        </w:rPr>
        <w:t xml:space="preserve"> de ciudadanos por la falta de entrega de láminas y calentadores solares durante la administración 2022-2024, igual que en el punto anterior, no se realizó una correcta búsqueda de la información solicitada, </w:t>
      </w:r>
      <w:r w:rsidR="00081B16" w:rsidRPr="00FF0CAB">
        <w:rPr>
          <w:rFonts w:ascii="Palatino Linotype" w:eastAsia="Calibri" w:hAnsi="Palatino Linotype" w:cs="Arial"/>
          <w:bCs/>
          <w:iCs/>
          <w:sz w:val="22"/>
          <w:szCs w:val="22"/>
          <w:lang w:val="es-ES" w:eastAsia="es-ES_tradnl"/>
        </w:rPr>
        <w:t>por lo que es necesario realizar las siguientes consideraciones</w:t>
      </w:r>
      <w:r w:rsidR="005B4380" w:rsidRPr="00FF0CAB">
        <w:rPr>
          <w:rFonts w:ascii="Palatino Linotype" w:eastAsia="Calibri" w:hAnsi="Palatino Linotype" w:cs="Arial"/>
          <w:bCs/>
          <w:iCs/>
          <w:sz w:val="22"/>
          <w:szCs w:val="22"/>
          <w:lang w:val="es-ES" w:eastAsia="es-ES_tradnl"/>
        </w:rPr>
        <w:t>; al respecto la Ley</w:t>
      </w:r>
      <w:r w:rsidR="00F5045E" w:rsidRPr="00FF0CAB">
        <w:rPr>
          <w:rFonts w:ascii="Palatino Linotype" w:eastAsia="Calibri" w:hAnsi="Palatino Linotype" w:cs="Arial"/>
          <w:bCs/>
          <w:iCs/>
          <w:sz w:val="22"/>
          <w:szCs w:val="22"/>
          <w:lang w:val="es-ES" w:eastAsia="es-ES_tradnl"/>
        </w:rPr>
        <w:t xml:space="preserve"> de Responsabilidades Administrativas del Estado de México </w:t>
      </w:r>
      <w:r w:rsidR="005B4380" w:rsidRPr="00FF0CAB">
        <w:rPr>
          <w:rFonts w:ascii="Palatino Linotype" w:eastAsia="Calibri" w:hAnsi="Palatino Linotype" w:cs="Arial"/>
          <w:bCs/>
          <w:iCs/>
          <w:sz w:val="22"/>
          <w:szCs w:val="22"/>
          <w:lang w:val="es-ES" w:eastAsia="es-ES_tradnl"/>
        </w:rPr>
        <w:t xml:space="preserve">en su </w:t>
      </w:r>
      <w:r w:rsidR="00F5045E" w:rsidRPr="00FF0CAB">
        <w:rPr>
          <w:rFonts w:ascii="Palatino Linotype" w:eastAsia="Calibri" w:hAnsi="Palatino Linotype" w:cs="Arial"/>
          <w:bCs/>
          <w:iCs/>
          <w:sz w:val="22"/>
          <w:szCs w:val="22"/>
          <w:lang w:val="es-ES" w:eastAsia="es-ES_tradnl"/>
        </w:rPr>
        <w:t xml:space="preserve">Título Tercero de las faltas administrativas de los servidores públicos y actos de particulares vinculados con faltas administrativas graves, </w:t>
      </w:r>
      <w:r w:rsidR="005B4380" w:rsidRPr="00FF0CAB">
        <w:rPr>
          <w:rFonts w:ascii="Palatino Linotype" w:eastAsia="Calibri" w:hAnsi="Palatino Linotype" w:cs="Arial"/>
          <w:bCs/>
          <w:iCs/>
          <w:sz w:val="22"/>
          <w:szCs w:val="22"/>
          <w:lang w:val="es-ES" w:eastAsia="es-ES_tradnl"/>
        </w:rPr>
        <w:t xml:space="preserve">Capítulo </w:t>
      </w:r>
      <w:r w:rsidR="00F5045E" w:rsidRPr="00FF0CAB">
        <w:rPr>
          <w:rFonts w:ascii="Palatino Linotype" w:eastAsia="Calibri" w:hAnsi="Palatino Linotype" w:cs="Arial"/>
          <w:bCs/>
          <w:iCs/>
          <w:sz w:val="22"/>
          <w:szCs w:val="22"/>
          <w:lang w:val="es-ES" w:eastAsia="es-ES_tradnl"/>
        </w:rPr>
        <w:t>Segundo</w:t>
      </w:r>
      <w:r w:rsidR="005B4380" w:rsidRPr="00FF0CAB">
        <w:t xml:space="preserve"> </w:t>
      </w:r>
      <w:r w:rsidR="005B4380" w:rsidRPr="00FF0CAB">
        <w:rPr>
          <w:rFonts w:ascii="Palatino Linotype" w:eastAsia="Calibri" w:hAnsi="Palatino Linotype" w:cs="Arial"/>
          <w:bCs/>
          <w:iCs/>
          <w:sz w:val="22"/>
          <w:szCs w:val="22"/>
          <w:lang w:val="es-ES" w:eastAsia="es-ES_tradnl"/>
        </w:rPr>
        <w:t>de las faltas administrativas graves de los Servidores Públicos artículo 5</w:t>
      </w:r>
      <w:r w:rsidR="00F5045E" w:rsidRPr="00FF0CAB">
        <w:rPr>
          <w:rFonts w:ascii="Palatino Linotype" w:eastAsia="Calibri" w:hAnsi="Palatino Linotype" w:cs="Arial"/>
          <w:bCs/>
          <w:iCs/>
          <w:sz w:val="22"/>
          <w:szCs w:val="22"/>
          <w:lang w:val="es-ES" w:eastAsia="es-ES_tradnl"/>
        </w:rPr>
        <w:t>2</w:t>
      </w:r>
      <w:r w:rsidR="005B4380" w:rsidRPr="00FF0CAB">
        <w:rPr>
          <w:rFonts w:ascii="Palatino Linotype" w:eastAsia="Calibri" w:hAnsi="Palatino Linotype" w:cs="Arial"/>
          <w:bCs/>
          <w:iCs/>
          <w:sz w:val="22"/>
          <w:szCs w:val="22"/>
          <w:lang w:val="es-ES" w:eastAsia="es-ES_tradnl"/>
        </w:rPr>
        <w:t xml:space="preserve"> establece </w:t>
      </w:r>
      <w:r w:rsidR="00F5045E" w:rsidRPr="00FF0CAB">
        <w:rPr>
          <w:rFonts w:ascii="Palatino Linotype" w:eastAsia="Calibri" w:hAnsi="Palatino Linotype" w:cs="Arial"/>
          <w:bCs/>
          <w:iCs/>
          <w:sz w:val="22"/>
          <w:szCs w:val="22"/>
          <w:lang w:val="es-ES" w:eastAsia="es-ES_tradnl"/>
        </w:rPr>
        <w:t>las faltas administrativas que se consideran graves dentro de las que se encuentra en el a fracción III el desvío de recursos públicos</w:t>
      </w:r>
      <w:r w:rsidR="005B4380" w:rsidRPr="00FF0CAB">
        <w:rPr>
          <w:rFonts w:ascii="Palatino Linotype" w:eastAsia="Calibri" w:hAnsi="Palatino Linotype" w:cs="Arial"/>
          <w:bCs/>
          <w:iCs/>
          <w:sz w:val="22"/>
          <w:szCs w:val="22"/>
          <w:lang w:val="es-ES" w:eastAsia="es-ES_tradnl"/>
        </w:rPr>
        <w:t xml:space="preserve">, por ello se observa que la falta señalada por el </w:t>
      </w:r>
      <w:r w:rsidR="00F5045E" w:rsidRPr="00FF0CAB">
        <w:rPr>
          <w:rFonts w:ascii="Palatino Linotype" w:eastAsia="Calibri" w:hAnsi="Palatino Linotype" w:cs="Arial"/>
          <w:bCs/>
          <w:iCs/>
          <w:sz w:val="22"/>
          <w:szCs w:val="22"/>
          <w:lang w:val="es-ES" w:eastAsia="es-ES_tradnl"/>
        </w:rPr>
        <w:t>Particular es considerada grave, además dicha Ley establece lo siguiente:</w:t>
      </w:r>
    </w:p>
    <w:p w14:paraId="4B81DB72" w14:textId="77777777" w:rsidR="00FC4B6C" w:rsidRPr="00FF0CAB" w:rsidRDefault="00FC4B6C" w:rsidP="00FC4B6C">
      <w:pPr>
        <w:spacing w:line="360" w:lineRule="auto"/>
        <w:jc w:val="both"/>
        <w:rPr>
          <w:rFonts w:ascii="Palatino Linotype" w:eastAsia="Calibri" w:hAnsi="Palatino Linotype" w:cs="Tahoma"/>
          <w:iCs/>
          <w:sz w:val="22"/>
          <w:szCs w:val="22"/>
          <w:lang w:val="es-ES" w:eastAsia="es-ES_tradnl"/>
        </w:rPr>
      </w:pPr>
    </w:p>
    <w:p w14:paraId="4FCC800D"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95</w:t>
      </w:r>
      <w:r w:rsidRPr="00FF0CAB">
        <w:rPr>
          <w:rFonts w:ascii="Palatino Linotype" w:hAnsi="Palatino Linotype" w:cs="Tahoma"/>
          <w:bCs/>
          <w:i/>
        </w:rPr>
        <w:t>. La investigación por la presunta responsabilidad de faltas administrativas podrá iniciar:</w:t>
      </w:r>
    </w:p>
    <w:p w14:paraId="7359522E" w14:textId="77777777" w:rsidR="00FC4B6C" w:rsidRPr="00FF0CAB" w:rsidRDefault="00FC4B6C" w:rsidP="00FC4B6C">
      <w:pPr>
        <w:tabs>
          <w:tab w:val="left" w:pos="8222"/>
        </w:tabs>
        <w:spacing w:line="360" w:lineRule="auto"/>
        <w:ind w:left="567" w:right="539"/>
        <w:jc w:val="both"/>
        <w:rPr>
          <w:rFonts w:ascii="Palatino Linotype" w:hAnsi="Palatino Linotype" w:cs="Tahoma"/>
          <w:i/>
        </w:rPr>
      </w:pPr>
      <w:r w:rsidRPr="00FF0CAB">
        <w:rPr>
          <w:rFonts w:ascii="Palatino Linotype" w:hAnsi="Palatino Linotype" w:cs="Tahoma"/>
          <w:i/>
        </w:rPr>
        <w:t>I. De oficio.</w:t>
      </w:r>
    </w:p>
    <w:p w14:paraId="44B29849"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II. Por denuncia.</w:t>
      </w:r>
    </w:p>
    <w:p w14:paraId="1288FFD0" w14:textId="77777777" w:rsidR="00FC4B6C" w:rsidRPr="00FF0CAB" w:rsidRDefault="00FC4B6C" w:rsidP="00FC4B6C">
      <w:pPr>
        <w:tabs>
          <w:tab w:val="left" w:pos="8222"/>
        </w:tabs>
        <w:spacing w:line="360" w:lineRule="auto"/>
        <w:ind w:left="567" w:right="539"/>
        <w:jc w:val="both"/>
        <w:rPr>
          <w:rFonts w:ascii="Palatino Linotype" w:hAnsi="Palatino Linotype" w:cs="Tahoma"/>
          <w:i/>
        </w:rPr>
      </w:pPr>
      <w:r w:rsidRPr="00FF0CAB">
        <w:rPr>
          <w:rFonts w:ascii="Palatino Linotype" w:hAnsi="Palatino Linotype" w:cs="Tahoma"/>
          <w:i/>
        </w:rPr>
        <w:t>III. Derivado de las auditorías practicadas por parte de las autoridades competentes o en su caso, de auditores externos.</w:t>
      </w:r>
    </w:p>
    <w:p w14:paraId="2CCA997E"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Las denuncias podrán ser anónimas. En su caso, las autoridades investigadoras deberán garantizar, proteger y mantener el carácter de confidencial la identidad de las personas que denuncien las presuntas infracciones.</w:t>
      </w:r>
    </w:p>
    <w:p w14:paraId="736F42D3"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0E638082"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99.</w:t>
      </w:r>
      <w:r w:rsidRPr="00FF0CAB">
        <w:rPr>
          <w:rFonts w:ascii="Palatino Linotype" w:hAnsi="Palatino Linotype" w:cs="Tahoma"/>
          <w:bCs/>
          <w:i/>
        </w:rPr>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reserva o secrecía, conforme a lo que determinen las leyes.</w:t>
      </w:r>
    </w:p>
    <w:p w14:paraId="1A45A56A"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7CE79118"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deberán celebrar convenios de colaboración con las autoridades correspondientes.</w:t>
      </w:r>
    </w:p>
    <w:p w14:paraId="5AB651C2"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1F6B6C0D"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Para efectos de lo previsto en el párrafo anterior, se observará lo dispuesto en el artículo 39 de la presente Ley.</w:t>
      </w:r>
    </w:p>
    <w:p w14:paraId="771CE9C3"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2B40E324"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normatividad que para este fin sea expedida por los titulares de los entes públicos responsables.</w:t>
      </w:r>
    </w:p>
    <w:p w14:paraId="735694F2"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5B9D02F2"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105.</w:t>
      </w:r>
      <w:r w:rsidRPr="00FF0CAB">
        <w:rPr>
          <w:rFonts w:ascii="Palatino Linotype" w:hAnsi="Palatino Linotype" w:cs="Tahoma"/>
          <w:bCs/>
          <w:i/>
        </w:rPr>
        <w:t xml:space="preserve"> Las autoridades substanciadoras, o en su caso, las resolutoras podrán abstenerse de iniciar el procedimiento de responsabilidad administrativa previsto 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3186E1A5"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w:t>
      </w:r>
    </w:p>
    <w:p w14:paraId="1E8B47B7" w14:textId="77777777" w:rsidR="00FC4B6C" w:rsidRPr="00FF0CAB" w:rsidRDefault="00FC4B6C" w:rsidP="00FC4B6C">
      <w:pPr>
        <w:tabs>
          <w:tab w:val="left" w:pos="8222"/>
        </w:tabs>
        <w:spacing w:line="360" w:lineRule="auto"/>
        <w:ind w:left="567" w:right="539"/>
        <w:jc w:val="both"/>
        <w:rPr>
          <w:rFonts w:ascii="Palatino Linotype" w:hAnsi="Palatino Linotype" w:cs="Tahoma"/>
          <w:b/>
          <w:bCs/>
          <w:i/>
        </w:rPr>
      </w:pPr>
    </w:p>
    <w:p w14:paraId="604B09FA"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106</w:t>
      </w:r>
      <w:r w:rsidRPr="00FF0CAB">
        <w:rPr>
          <w:rFonts w:ascii="Palatino Linotype" w:hAnsi="Palatino Linotype" w:cs="Tahoma"/>
          <w:bCs/>
          <w:i/>
        </w:rPr>
        <w:t>. La calificación de los hechos como faltas administrativas no graves que realicen las autoridades investigadoras, será notificada al denunciante, cuando éste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39CA9523"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2BC826F9"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388BEE55"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6B42FE7B"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116.</w:t>
      </w:r>
      <w:r w:rsidRPr="00FF0CAB">
        <w:rPr>
          <w:rFonts w:ascii="Palatino Linotype" w:hAnsi="Palatino Linotype" w:cs="Tahoma"/>
          <w:bCs/>
          <w:i/>
        </w:rPr>
        <w:t xml:space="preserve"> El procedimiento de responsabilidad administrativa dará inicio cuando las autoridades substanciadoras, en el ámbito de su competencia, admitan el informe de presunta responsabilidad administrativa.</w:t>
      </w:r>
    </w:p>
    <w:p w14:paraId="04299917"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p>
    <w:p w14:paraId="4AE2CA1E"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
          <w:bCs/>
          <w:i/>
        </w:rPr>
        <w:t>Artículo 188.</w:t>
      </w:r>
      <w:r w:rsidRPr="00FF0CAB">
        <w:rPr>
          <w:rFonts w:ascii="Palatino Linotype" w:hAnsi="Palatino Linotype" w:cs="Tahoma"/>
          <w:bCs/>
          <w:i/>
        </w:rPr>
        <w:t xml:space="preserve"> Las resoluciones serán:</w:t>
      </w:r>
    </w:p>
    <w:p w14:paraId="7970B4AA"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 Acuerdos, cuando se trate de resoluciones de trámite.</w:t>
      </w:r>
    </w:p>
    <w:p w14:paraId="73CFE0CE"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II. Autos provisionales, los que se refieren a determinaciones que se ejecuten provisionalmente.</w:t>
      </w:r>
    </w:p>
    <w:p w14:paraId="08F03334"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III. Autos preparatorios, a las resoluciones por las que se prepara el conocimiento y decisión de un asunto, se ordena la admisión, la preparación y desahogo de pruebas.</w:t>
      </w:r>
    </w:p>
    <w:p w14:paraId="01E908D1" w14:textId="77777777" w:rsidR="00FC4B6C" w:rsidRPr="00FF0CAB" w:rsidRDefault="00FC4B6C" w:rsidP="00FC4B6C">
      <w:pPr>
        <w:tabs>
          <w:tab w:val="left" w:pos="8222"/>
        </w:tabs>
        <w:spacing w:line="360" w:lineRule="auto"/>
        <w:ind w:left="567" w:right="539"/>
        <w:jc w:val="both"/>
        <w:rPr>
          <w:rFonts w:ascii="Palatino Linotype" w:hAnsi="Palatino Linotype" w:cs="Tahoma"/>
          <w:bCs/>
          <w:i/>
        </w:rPr>
      </w:pPr>
      <w:r w:rsidRPr="00FF0CAB">
        <w:rPr>
          <w:rFonts w:ascii="Palatino Linotype" w:hAnsi="Palatino Linotype" w:cs="Tahoma"/>
          <w:bCs/>
          <w:i/>
        </w:rPr>
        <w:t>IV. Sentencias interlocutorias, aquellas que resuelven sobre un incidente o una cuestión intraprocesal o accesoria al procedimiento.</w:t>
      </w:r>
    </w:p>
    <w:p w14:paraId="6403F2DF" w14:textId="77777777" w:rsidR="00FC4B6C" w:rsidRPr="00FF0CAB" w:rsidRDefault="00FC4B6C" w:rsidP="00FC4B6C">
      <w:pPr>
        <w:tabs>
          <w:tab w:val="left" w:pos="8222"/>
        </w:tabs>
        <w:spacing w:line="360" w:lineRule="auto"/>
        <w:ind w:left="567" w:right="539"/>
        <w:jc w:val="both"/>
        <w:rPr>
          <w:rFonts w:ascii="Palatino Linotype" w:hAnsi="Palatino Linotype" w:cs="Tahoma"/>
          <w:bCs/>
          <w:sz w:val="22"/>
          <w:szCs w:val="22"/>
        </w:rPr>
      </w:pPr>
      <w:r w:rsidRPr="00FF0CAB">
        <w:rPr>
          <w:rFonts w:ascii="Palatino Linotype" w:hAnsi="Palatino Linotype" w:cs="Tahoma"/>
          <w:bCs/>
          <w:i/>
        </w:rPr>
        <w:t>V. Sentencias definitivas, las que resuelven el fondo del procedimiento de responsabilidad administrativa.</w:t>
      </w:r>
      <w:r w:rsidRPr="00FF0CAB">
        <w:rPr>
          <w:rFonts w:ascii="Palatino Linotype" w:hAnsi="Palatino Linotype" w:cs="Tahoma"/>
          <w:bCs/>
          <w:i/>
        </w:rPr>
        <w:cr/>
      </w:r>
    </w:p>
    <w:p w14:paraId="068930A8" w14:textId="77777777" w:rsidR="00FC4B6C" w:rsidRPr="00FF0CAB" w:rsidRDefault="00FC4B6C" w:rsidP="00FC4B6C">
      <w:pPr>
        <w:spacing w:line="360" w:lineRule="auto"/>
        <w:jc w:val="both"/>
        <w:rPr>
          <w:rFonts w:ascii="Palatino Linotype" w:hAnsi="Palatino Linotype" w:cs="Tahoma"/>
          <w:bCs/>
          <w:sz w:val="22"/>
          <w:szCs w:val="22"/>
        </w:rPr>
      </w:pPr>
      <w:r w:rsidRPr="00FF0CAB">
        <w:rPr>
          <w:rFonts w:ascii="Palatino Linotype" w:hAnsi="Palatino Linotype" w:cs="Tahoma"/>
          <w:bCs/>
          <w:sz w:val="22"/>
          <w:szCs w:val="22"/>
        </w:rPr>
        <w:t xml:space="preserve">Conforme a lo anterior, se considera que existen tres etapas en el Procedimiento de Responsabilidad </w:t>
      </w:r>
      <w:r w:rsidRPr="00FF0CAB">
        <w:rPr>
          <w:rFonts w:ascii="Palatino Linotype" w:hAnsi="Palatino Linotype" w:cs="Tahoma"/>
          <w:b/>
          <w:bCs/>
          <w:sz w:val="22"/>
          <w:szCs w:val="22"/>
        </w:rPr>
        <w:t>A</w:t>
      </w:r>
      <w:r w:rsidRPr="00FF0CAB">
        <w:rPr>
          <w:rFonts w:ascii="Palatino Linotype" w:hAnsi="Palatino Linotype" w:cs="Tahoma"/>
          <w:bCs/>
          <w:sz w:val="22"/>
          <w:szCs w:val="22"/>
        </w:rPr>
        <w:t>dministrativa para determinar la falta en la que haya incurrido algún servidor público, a saber, las siguientes:</w:t>
      </w:r>
    </w:p>
    <w:p w14:paraId="581C46C4" w14:textId="77777777" w:rsidR="00FC4B6C" w:rsidRPr="00FF0CAB" w:rsidRDefault="00FC4B6C" w:rsidP="00FC4B6C">
      <w:pPr>
        <w:spacing w:line="360" w:lineRule="auto"/>
        <w:jc w:val="both"/>
        <w:rPr>
          <w:rFonts w:ascii="Palatino Linotype" w:hAnsi="Palatino Linotype" w:cs="Tahoma"/>
          <w:bCs/>
        </w:rPr>
      </w:pPr>
    </w:p>
    <w:p w14:paraId="4FD3ADB6" w14:textId="77777777" w:rsidR="00FC4B6C" w:rsidRPr="00FF0CAB" w:rsidRDefault="00FC4B6C" w:rsidP="00FC4B6C">
      <w:pPr>
        <w:pStyle w:val="Prrafodelista"/>
        <w:numPr>
          <w:ilvl w:val="0"/>
          <w:numId w:val="29"/>
        </w:numPr>
        <w:spacing w:line="360" w:lineRule="auto"/>
        <w:jc w:val="both"/>
        <w:rPr>
          <w:rFonts w:ascii="Palatino Linotype" w:hAnsi="Palatino Linotype" w:cs="Tahoma"/>
          <w:bCs/>
        </w:rPr>
      </w:pPr>
      <w:r w:rsidRPr="00FF0CAB">
        <w:rPr>
          <w:rFonts w:ascii="Palatino Linotype" w:hAnsi="Palatino Linotype" w:cs="Tahoma"/>
          <w:b/>
          <w:bCs/>
        </w:rPr>
        <w:t xml:space="preserve">Investigación: </w:t>
      </w:r>
      <w:r w:rsidRPr="00FF0CAB">
        <w:rPr>
          <w:rFonts w:ascii="Palatino Linotype" w:hAnsi="Palatino Linotype" w:cs="Tahoma"/>
          <w:bCs/>
        </w:rPr>
        <w:t>la cual consiste en lo siguiente:</w:t>
      </w:r>
    </w:p>
    <w:p w14:paraId="06BBF729" w14:textId="77777777" w:rsidR="00FC4B6C" w:rsidRPr="00FF0CAB" w:rsidRDefault="00FC4B6C" w:rsidP="00FC4B6C">
      <w:pPr>
        <w:pStyle w:val="Prrafodelista"/>
        <w:numPr>
          <w:ilvl w:val="0"/>
          <w:numId w:val="31"/>
        </w:numPr>
        <w:spacing w:line="360" w:lineRule="auto"/>
        <w:ind w:left="709"/>
        <w:jc w:val="both"/>
        <w:rPr>
          <w:rFonts w:ascii="Palatino Linotype" w:hAnsi="Palatino Linotype" w:cs="Tahoma"/>
          <w:bCs/>
        </w:rPr>
      </w:pPr>
      <w:r w:rsidRPr="00FF0CAB">
        <w:rPr>
          <w:rFonts w:ascii="Palatino Linotype" w:hAnsi="Palatino Linotype" w:cs="Tahoma"/>
          <w:bCs/>
        </w:rPr>
        <w:t xml:space="preserve">Inicia: </w:t>
      </w:r>
    </w:p>
    <w:p w14:paraId="7405A3C7" w14:textId="77777777" w:rsidR="00FC4B6C" w:rsidRPr="00FF0CAB" w:rsidRDefault="00FC4B6C" w:rsidP="00FC4B6C">
      <w:pPr>
        <w:pStyle w:val="Prrafodelista"/>
        <w:spacing w:line="360" w:lineRule="auto"/>
        <w:jc w:val="both"/>
        <w:rPr>
          <w:rFonts w:ascii="Palatino Linotype" w:hAnsi="Palatino Linotype" w:cs="Tahoma"/>
          <w:bCs/>
        </w:rPr>
      </w:pPr>
      <w:r w:rsidRPr="00FF0CAB">
        <w:rPr>
          <w:rFonts w:ascii="Palatino Linotype" w:hAnsi="Palatino Linotype" w:cs="Tahoma"/>
          <w:bCs/>
        </w:rPr>
        <w:t xml:space="preserve">De oficio </w:t>
      </w:r>
    </w:p>
    <w:p w14:paraId="1768F8DD" w14:textId="77777777" w:rsidR="00FC4B6C" w:rsidRPr="00FF0CAB" w:rsidRDefault="00FC4B6C" w:rsidP="00FC4B6C">
      <w:pPr>
        <w:pStyle w:val="Prrafodelista"/>
        <w:spacing w:line="360" w:lineRule="auto"/>
        <w:jc w:val="both"/>
        <w:rPr>
          <w:rFonts w:ascii="Palatino Linotype" w:hAnsi="Palatino Linotype" w:cs="Tahoma"/>
          <w:bCs/>
        </w:rPr>
      </w:pPr>
      <w:r w:rsidRPr="00FF0CAB">
        <w:rPr>
          <w:rFonts w:ascii="Palatino Linotype" w:hAnsi="Palatino Linotype" w:cs="Tahoma"/>
          <w:bCs/>
        </w:rPr>
        <w:t xml:space="preserve">Por denuncia </w:t>
      </w:r>
    </w:p>
    <w:p w14:paraId="311FFB98" w14:textId="77777777" w:rsidR="00FC4B6C" w:rsidRPr="00FF0CAB" w:rsidRDefault="00FC4B6C" w:rsidP="00FC4B6C">
      <w:pPr>
        <w:pStyle w:val="Prrafodelista"/>
        <w:spacing w:line="360" w:lineRule="auto"/>
        <w:jc w:val="both"/>
        <w:rPr>
          <w:rFonts w:ascii="Palatino Linotype" w:hAnsi="Palatino Linotype" w:cs="Tahoma"/>
          <w:bCs/>
        </w:rPr>
      </w:pPr>
      <w:r w:rsidRPr="00FF0CAB">
        <w:rPr>
          <w:rFonts w:ascii="Palatino Linotype" w:hAnsi="Palatino Linotype" w:cs="Tahoma"/>
          <w:bCs/>
        </w:rPr>
        <w:lastRenderedPageBreak/>
        <w:t xml:space="preserve">Derivado de auditorías </w:t>
      </w:r>
    </w:p>
    <w:p w14:paraId="3303D0BC" w14:textId="77777777" w:rsidR="00FC4B6C" w:rsidRPr="00FF0CAB" w:rsidRDefault="00FC4B6C" w:rsidP="00FC4B6C">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Una vez determinada la calificación de la conducta, se incluirá la misma en el Informe de Presunta Responsabilidad Administrativa y éste se presentará ante la autoridad substanciadora a efecto de iniciar el procedimiento de responsabilidad administrativa correspondiente.</w:t>
      </w:r>
    </w:p>
    <w:p w14:paraId="346B7FF5" w14:textId="77777777" w:rsidR="00FC4B6C" w:rsidRPr="00FF0CAB" w:rsidRDefault="00FC4B6C" w:rsidP="00FC4B6C">
      <w:pPr>
        <w:pStyle w:val="Prrafodelista"/>
        <w:numPr>
          <w:ilvl w:val="0"/>
          <w:numId w:val="29"/>
        </w:numPr>
        <w:spacing w:line="360" w:lineRule="auto"/>
        <w:jc w:val="both"/>
        <w:rPr>
          <w:rFonts w:ascii="Palatino Linotype" w:hAnsi="Palatino Linotype" w:cs="Tahoma"/>
          <w:b/>
          <w:bCs/>
        </w:rPr>
      </w:pPr>
      <w:r w:rsidRPr="00FF0CAB">
        <w:rPr>
          <w:rFonts w:ascii="Palatino Linotype" w:hAnsi="Palatino Linotype" w:cs="Tahoma"/>
          <w:b/>
          <w:bCs/>
        </w:rPr>
        <w:t xml:space="preserve">Sustanciación: </w:t>
      </w:r>
      <w:r w:rsidRPr="00FF0CAB">
        <w:rPr>
          <w:rFonts w:ascii="Palatino Linotype" w:hAnsi="Palatino Linotype" w:cs="Tahoma"/>
          <w:bCs/>
        </w:rPr>
        <w:t>En este periodo se puede realizar lo siguiente:</w:t>
      </w:r>
    </w:p>
    <w:p w14:paraId="1B18B4AB" w14:textId="77777777" w:rsidR="00FC4B6C" w:rsidRPr="00FF0CAB" w:rsidRDefault="00FC4B6C" w:rsidP="00FC4B6C">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Se califican los hechos como faltas administrativas graves o no graves</w:t>
      </w:r>
    </w:p>
    <w:p w14:paraId="1DD7D5B8" w14:textId="77777777" w:rsidR="00FC4B6C" w:rsidRPr="00FF0CAB" w:rsidRDefault="00FC4B6C" w:rsidP="00FC4B6C">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La autoridad substanciadora podrá admitir el informe de presunta responsabilidad administrativa.</w:t>
      </w:r>
    </w:p>
    <w:p w14:paraId="7C2EC643" w14:textId="77777777" w:rsidR="00FC4B6C" w:rsidRPr="00FF0CAB" w:rsidRDefault="00FC4B6C" w:rsidP="00FC4B6C">
      <w:pPr>
        <w:pStyle w:val="Prrafodelista"/>
        <w:numPr>
          <w:ilvl w:val="0"/>
          <w:numId w:val="31"/>
        </w:numPr>
        <w:spacing w:line="360" w:lineRule="auto"/>
        <w:ind w:left="709"/>
        <w:jc w:val="both"/>
        <w:rPr>
          <w:rFonts w:ascii="Palatino Linotype" w:hAnsi="Palatino Linotype" w:cs="Tahoma"/>
          <w:b/>
          <w:bCs/>
        </w:rPr>
      </w:pPr>
      <w:r w:rsidRPr="00FF0CAB">
        <w:rPr>
          <w:rFonts w:ascii="Palatino Linotype" w:hAnsi="Palatino Linotype" w:cs="Tahoma"/>
          <w:bCs/>
        </w:rPr>
        <w:t>Las partes, pueden presentar las pruebas o alegatos que consideren pertinentes,</w:t>
      </w:r>
    </w:p>
    <w:p w14:paraId="2978F10D" w14:textId="77777777" w:rsidR="00FC4B6C" w:rsidRPr="00FF0CAB" w:rsidRDefault="00FC4B6C" w:rsidP="00FC4B6C">
      <w:pPr>
        <w:pStyle w:val="Prrafodelista"/>
        <w:numPr>
          <w:ilvl w:val="0"/>
          <w:numId w:val="29"/>
        </w:numPr>
        <w:spacing w:line="360" w:lineRule="auto"/>
        <w:jc w:val="both"/>
        <w:rPr>
          <w:rFonts w:ascii="Palatino Linotype" w:hAnsi="Palatino Linotype" w:cs="Tahoma"/>
          <w:b/>
          <w:bCs/>
        </w:rPr>
      </w:pPr>
      <w:r w:rsidRPr="00FF0CAB">
        <w:rPr>
          <w:rFonts w:ascii="Palatino Linotype" w:hAnsi="Palatino Linotype" w:cs="Tahoma"/>
          <w:b/>
          <w:bCs/>
        </w:rPr>
        <w:t>Resolución:</w:t>
      </w:r>
    </w:p>
    <w:p w14:paraId="1FC44B2E" w14:textId="77777777" w:rsidR="00FC4B6C" w:rsidRPr="00FF0CAB" w:rsidRDefault="00FC4B6C" w:rsidP="00FC4B6C">
      <w:pPr>
        <w:pStyle w:val="Prrafodelista"/>
        <w:numPr>
          <w:ilvl w:val="0"/>
          <w:numId w:val="30"/>
        </w:numPr>
        <w:spacing w:line="360" w:lineRule="auto"/>
        <w:ind w:left="993"/>
        <w:jc w:val="both"/>
        <w:rPr>
          <w:rFonts w:ascii="Palatino Linotype" w:hAnsi="Palatino Linotype" w:cs="Tahoma"/>
          <w:b/>
          <w:bCs/>
        </w:rPr>
      </w:pPr>
      <w:r w:rsidRPr="00FF0CAB">
        <w:rPr>
          <w:rFonts w:ascii="Palatino Linotype" w:hAnsi="Palatino Linotype" w:cs="Tahoma"/>
          <w:bCs/>
        </w:rPr>
        <w:t>Se emite resolución y se notifica a las partes.</w:t>
      </w:r>
    </w:p>
    <w:p w14:paraId="4884D3D1" w14:textId="77777777" w:rsidR="00FC4B6C" w:rsidRPr="00FF0CAB" w:rsidRDefault="00FC4B6C" w:rsidP="00FC4B6C">
      <w:pPr>
        <w:spacing w:line="360" w:lineRule="auto"/>
        <w:jc w:val="both"/>
        <w:rPr>
          <w:rFonts w:ascii="Palatino Linotype" w:eastAsia="Calibri" w:hAnsi="Palatino Linotype" w:cs="Tahoma"/>
          <w:iCs/>
          <w:sz w:val="22"/>
          <w:szCs w:val="22"/>
          <w:lang w:val="es-ES" w:eastAsia="es-ES_tradnl"/>
        </w:rPr>
      </w:pPr>
    </w:p>
    <w:p w14:paraId="12F4D681" w14:textId="32C9F38D" w:rsidR="00F72652" w:rsidRPr="00FF0CAB" w:rsidRDefault="00FC4B6C" w:rsidP="00F72652">
      <w:pPr>
        <w:spacing w:line="360" w:lineRule="auto"/>
        <w:ind w:right="-91"/>
        <w:jc w:val="both"/>
        <w:rPr>
          <w:rFonts w:ascii="Palatino Linotype" w:hAnsi="Palatino Linotype" w:cs="Tahoma"/>
          <w:bCs/>
          <w:iCs/>
          <w:sz w:val="22"/>
          <w:szCs w:val="22"/>
        </w:rPr>
      </w:pPr>
      <w:r w:rsidRPr="00FF0CAB">
        <w:rPr>
          <w:rFonts w:ascii="Palatino Linotype" w:eastAsia="Calibri" w:hAnsi="Palatino Linotype" w:cs="Tahoma"/>
          <w:iCs/>
          <w:sz w:val="22"/>
          <w:szCs w:val="22"/>
          <w:lang w:val="es-ES" w:eastAsia="es-ES_tradnl"/>
        </w:rPr>
        <w:t>De lo anterior, se advierte que de la Contraloría Municipal recibe para iniciar la investigación por alguna presunta responsabilidad de falta administrativa quejas o denuncias de las cuales realiza su investigación correspondiente a efecto de determinar si son faltas graves o no graves, así como si procede sancionar al servidor público o bien decreta que no existieron elementos suficientes para contin</w:t>
      </w:r>
      <w:r w:rsidR="0067085B" w:rsidRPr="00FF0CAB">
        <w:rPr>
          <w:rFonts w:ascii="Palatino Linotype" w:eastAsia="Calibri" w:hAnsi="Palatino Linotype" w:cs="Tahoma"/>
          <w:iCs/>
          <w:sz w:val="22"/>
          <w:szCs w:val="22"/>
          <w:lang w:val="es-ES" w:eastAsia="es-ES_tradnl"/>
        </w:rPr>
        <w:t xml:space="preserve">uar a la etapa de sustanciación, por lo que al no tener certeza de que la servidora pública cuente o no con </w:t>
      </w:r>
      <w:r w:rsidR="00373EFB" w:rsidRPr="00FF0CAB">
        <w:rPr>
          <w:rFonts w:ascii="Palatino Linotype" w:eastAsia="Calibri" w:hAnsi="Palatino Linotype" w:cs="Tahoma"/>
          <w:iCs/>
          <w:sz w:val="22"/>
          <w:szCs w:val="22"/>
          <w:lang w:val="es-ES" w:eastAsia="es-ES_tradnl"/>
        </w:rPr>
        <w:t xml:space="preserve">procedimientos instaurados en su contra o bien en </w:t>
      </w:r>
      <w:r w:rsidR="002A5E67" w:rsidRPr="00FF0CAB">
        <w:rPr>
          <w:rFonts w:ascii="Palatino Linotype" w:eastAsia="Calibri" w:hAnsi="Palatino Linotype" w:cs="Tahoma"/>
          <w:iCs/>
          <w:sz w:val="22"/>
          <w:szCs w:val="22"/>
          <w:lang w:val="es-ES" w:eastAsia="es-ES_tradnl"/>
        </w:rPr>
        <w:t>qué</w:t>
      </w:r>
      <w:r w:rsidR="00F72652" w:rsidRPr="00FF0CAB">
        <w:rPr>
          <w:rFonts w:ascii="Palatino Linotype" w:eastAsia="Calibri" w:hAnsi="Palatino Linotype" w:cs="Tahoma"/>
          <w:iCs/>
          <w:sz w:val="22"/>
          <w:szCs w:val="22"/>
          <w:lang w:val="es-ES" w:eastAsia="es-ES_tradnl"/>
        </w:rPr>
        <w:t xml:space="preserve"> etapa procesal se encuentren, por ello </w:t>
      </w:r>
      <w:r w:rsidR="00F72652" w:rsidRPr="00FF0CAB">
        <w:rPr>
          <w:rFonts w:ascii="Palatino Linotype" w:hAnsi="Palatino Linotype" w:cs="Tahoma"/>
          <w:bCs/>
          <w:iCs/>
          <w:sz w:val="22"/>
          <w:szCs w:val="22"/>
        </w:rPr>
        <w:t>este Instituto considera que revelar dicha información podría generar una afectación al honor y buen nombre de dicha persona, por lo que, resulta necesario analizar si es clasificado el pronunciamiento sobre la existencia de un procedimiento de responsabilidad administrativa.</w:t>
      </w:r>
    </w:p>
    <w:p w14:paraId="55D5D1CD" w14:textId="77777777" w:rsidR="00F72652" w:rsidRPr="00FF0CAB" w:rsidRDefault="00F72652" w:rsidP="00F72652">
      <w:pPr>
        <w:spacing w:line="360" w:lineRule="auto"/>
        <w:jc w:val="both"/>
        <w:rPr>
          <w:rFonts w:ascii="Palatino Linotype" w:hAnsi="Palatino Linotype" w:cs="Tahoma"/>
          <w:bCs/>
          <w:iCs/>
          <w:sz w:val="22"/>
          <w:szCs w:val="22"/>
        </w:rPr>
      </w:pPr>
    </w:p>
    <w:p w14:paraId="06DE957F" w14:textId="77777777" w:rsidR="00F72652" w:rsidRPr="00FF0CAB" w:rsidRDefault="00F72652" w:rsidP="00F72652">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En principio, es relevante señalar que la protección de los datos personales se encuentra prevista desde la Constitución Política de los Estados Unidos Mexicanos, que establece lo siguiente:</w:t>
      </w:r>
    </w:p>
    <w:p w14:paraId="2419CB75" w14:textId="77777777" w:rsidR="00F72652" w:rsidRPr="00FF0CAB" w:rsidRDefault="00F72652" w:rsidP="00F72652">
      <w:pPr>
        <w:spacing w:line="360" w:lineRule="auto"/>
        <w:ind w:right="-93"/>
        <w:jc w:val="both"/>
        <w:rPr>
          <w:rFonts w:ascii="Palatino Linotype" w:hAnsi="Palatino Linotype" w:cs="Tahoma"/>
          <w:bCs/>
          <w:sz w:val="22"/>
          <w:szCs w:val="22"/>
        </w:rPr>
      </w:pPr>
    </w:p>
    <w:p w14:paraId="0C9F0253" w14:textId="77777777" w:rsidR="00F72652" w:rsidRPr="00FF0CAB" w:rsidRDefault="00F72652" w:rsidP="00F72652">
      <w:pPr>
        <w:tabs>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r w:rsidRPr="00FF0CAB">
        <w:rPr>
          <w:rFonts w:ascii="Palatino Linotype" w:hAnsi="Palatino Linotype" w:cs="Arial"/>
          <w:b/>
          <w:i/>
          <w:iCs/>
        </w:rPr>
        <w:t>Artículo 6.</w:t>
      </w:r>
      <w:r w:rsidRPr="00FF0CAB">
        <w:rPr>
          <w:rFonts w:ascii="Palatino Linotype" w:hAnsi="Palatino Linotype" w:cs="Arial"/>
          <w:i/>
          <w:iCs/>
        </w:rPr>
        <w:t xml:space="preserve">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w:t>
      </w:r>
    </w:p>
    <w:p w14:paraId="4B28F42E" w14:textId="77777777" w:rsidR="00F72652" w:rsidRPr="00FF0CAB" w:rsidRDefault="00F72652" w:rsidP="00F72652">
      <w:pPr>
        <w:tabs>
          <w:tab w:val="left" w:pos="8364"/>
        </w:tabs>
        <w:spacing w:line="360" w:lineRule="auto"/>
        <w:ind w:left="567" w:right="758"/>
        <w:jc w:val="both"/>
        <w:rPr>
          <w:rFonts w:ascii="Palatino Linotype" w:hAnsi="Palatino Linotype" w:cs="Arial"/>
          <w:i/>
          <w:iCs/>
        </w:rPr>
      </w:pPr>
    </w:p>
    <w:p w14:paraId="7D2C743B" w14:textId="77777777" w:rsidR="00F72652" w:rsidRPr="00FF0CAB" w:rsidRDefault="00F72652" w:rsidP="00F72652">
      <w:pPr>
        <w:tabs>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i/>
          <w:iCs/>
        </w:rPr>
        <w:t>A.</w:t>
      </w:r>
      <w:r w:rsidRPr="00FF0CAB">
        <w:rPr>
          <w:rFonts w:ascii="Palatino Linotype" w:hAnsi="Palatino Linotype" w:cs="Arial"/>
          <w:i/>
          <w:iCs/>
        </w:rPr>
        <w:t xml:space="preserve"> Para el ejercicio del derecho de acceso a la información, la Federación, los Estados y el Distrito Federal, en el ámbito de sus respectivas competencias, se regirán por los siguientes principios y bases:</w:t>
      </w:r>
    </w:p>
    <w:p w14:paraId="2D73EE60" w14:textId="77777777" w:rsidR="00F72652" w:rsidRPr="00FF0CAB" w:rsidRDefault="00F72652" w:rsidP="00F72652">
      <w:pPr>
        <w:tabs>
          <w:tab w:val="center" w:pos="432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538CA4ED" w14:textId="77777777" w:rsidR="00F72652" w:rsidRPr="00FF0CAB" w:rsidRDefault="00F72652" w:rsidP="00F72652">
      <w:pPr>
        <w:tabs>
          <w:tab w:val="center" w:pos="4324"/>
        </w:tabs>
        <w:spacing w:line="360" w:lineRule="auto"/>
        <w:ind w:left="567" w:right="758"/>
        <w:jc w:val="both"/>
        <w:rPr>
          <w:rFonts w:ascii="Palatino Linotype" w:hAnsi="Palatino Linotype" w:cs="Arial"/>
          <w:i/>
          <w:iCs/>
        </w:rPr>
      </w:pPr>
    </w:p>
    <w:p w14:paraId="559FFFF3"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bCs/>
          <w:i/>
          <w:iCs/>
        </w:rPr>
        <w:t xml:space="preserve">II. </w:t>
      </w:r>
      <w:r w:rsidRPr="00FF0CAB">
        <w:rPr>
          <w:rFonts w:ascii="Palatino Linotype" w:hAnsi="Palatino Linotype" w:cs="Arial"/>
          <w:b/>
          <w:i/>
          <w:iCs/>
        </w:rPr>
        <w:t>La información que se refiere a la vida privada y los datos personales será protegida en los términos y con las excepciones que fijen las leyes.</w:t>
      </w:r>
    </w:p>
    <w:p w14:paraId="762ADDAC"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bCs/>
          <w:i/>
          <w:iCs/>
        </w:rPr>
      </w:pPr>
      <w:r w:rsidRPr="00FF0CAB">
        <w:rPr>
          <w:rFonts w:ascii="Palatino Linotype" w:hAnsi="Palatino Linotype" w:cs="Arial"/>
          <w:bCs/>
          <w:i/>
          <w:iCs/>
        </w:rPr>
        <w:t>…</w:t>
      </w:r>
    </w:p>
    <w:p w14:paraId="65870BDD"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i/>
          <w:iCs/>
        </w:rPr>
        <w:t>Artículo 16.</w:t>
      </w:r>
      <w:r w:rsidRPr="00FF0CAB">
        <w:rPr>
          <w:rFonts w:ascii="Palatino Linotype" w:hAnsi="Palatino Linotype" w:cs="Arial"/>
          <w:i/>
          <w:iCs/>
        </w:rPr>
        <w:t xml:space="preserve"> …</w:t>
      </w:r>
    </w:p>
    <w:p w14:paraId="08DF0B35"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p>
    <w:p w14:paraId="6FBDB5A3"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i/>
          <w:iCs/>
        </w:rPr>
        <w:t>Toda persona tiene derecho a la protección de sus datos personales</w:t>
      </w:r>
      <w:r w:rsidRPr="00FF0CAB">
        <w:rPr>
          <w:rFonts w:ascii="Palatino Linotype" w:hAnsi="Palatino Linotype" w:cs="Arial"/>
          <w:i/>
          <w:iCs/>
        </w:rPr>
        <w:t>,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BEE0FB2"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56DD05A4" w14:textId="77777777" w:rsidR="00F72652" w:rsidRPr="00FF0CAB" w:rsidRDefault="00F72652" w:rsidP="00F72652">
      <w:pPr>
        <w:spacing w:line="360" w:lineRule="auto"/>
        <w:ind w:right="-93"/>
        <w:jc w:val="both"/>
        <w:rPr>
          <w:rFonts w:ascii="Palatino Linotype" w:hAnsi="Palatino Linotype" w:cs="Tahoma"/>
          <w:bCs/>
          <w:sz w:val="22"/>
          <w:szCs w:val="22"/>
        </w:rPr>
      </w:pPr>
    </w:p>
    <w:p w14:paraId="782E4695" w14:textId="77777777" w:rsidR="00F72652" w:rsidRPr="00FF0CAB" w:rsidRDefault="00F72652" w:rsidP="00F72652">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De la misma manera, el artículo 5° párrafo primero, vigésimo tercero, vigésimo noveno y trigésimo, de la Constitución Política del Estado Libre y Soberano de México, precisa lo siguiente:</w:t>
      </w:r>
    </w:p>
    <w:p w14:paraId="2256B273" w14:textId="77777777" w:rsidR="00F72652" w:rsidRPr="00FF0CAB" w:rsidRDefault="00F72652" w:rsidP="00F72652">
      <w:pPr>
        <w:spacing w:line="360" w:lineRule="auto"/>
        <w:ind w:right="-93"/>
        <w:jc w:val="both"/>
        <w:rPr>
          <w:rFonts w:ascii="Palatino Linotype" w:hAnsi="Palatino Linotype" w:cs="Tahoma"/>
          <w:bCs/>
          <w:sz w:val="22"/>
          <w:szCs w:val="22"/>
        </w:rPr>
      </w:pPr>
    </w:p>
    <w:p w14:paraId="7308A40A"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b/>
          <w:bCs/>
          <w:i/>
          <w:iCs/>
        </w:rPr>
        <w:t>“Artículo 5.-</w:t>
      </w:r>
      <w:r w:rsidRPr="00FF0CAB">
        <w:t xml:space="preserve"> </w:t>
      </w:r>
      <w:r w:rsidRPr="00FF0CAB">
        <w:rPr>
          <w:rFonts w:ascii="Palatino Linotype" w:hAnsi="Palatino Linotype" w:cs="Arial"/>
          <w:i/>
          <w:iCs/>
        </w:rPr>
        <w:t xml:space="preserve">En el Estado de México todas las personas gozarán de los derechos humanos reconocidos en la Constitución Política de los Estados Unidos Mexicanos, en los tratados </w:t>
      </w:r>
      <w:r w:rsidRPr="00FF0CAB">
        <w:rPr>
          <w:rFonts w:ascii="Palatino Linotype" w:hAnsi="Palatino Linotype" w:cs="Arial"/>
          <w:i/>
          <w:iCs/>
        </w:rPr>
        <w:lastRenderedPageBreak/>
        <w:t>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D8A11AA"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24D46E51"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La manifestación de las ideas no será objeto de ninguna inquisición judicial o administrativa, sino en el caso de que ataque a la moral, la vida privada o los derechos de tercero, provoque algún delito, o perturbe el orden público; el derecho de réplica será ejercido en los términos dispuestos por la ley.</w:t>
      </w:r>
    </w:p>
    <w:p w14:paraId="0498DED0"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77A88CAE"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1829D51E"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p>
    <w:p w14:paraId="17E19493"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Este derecho se regirá por los principios y bases siguientes:</w:t>
      </w:r>
    </w:p>
    <w:p w14:paraId="440D997A"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58C5C180"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359D1FB8" w14:textId="77777777" w:rsidR="00F72652" w:rsidRPr="00FF0CAB" w:rsidRDefault="00F72652" w:rsidP="00F72652">
      <w:pPr>
        <w:tabs>
          <w:tab w:val="left" w:pos="993"/>
          <w:tab w:val="left" w:pos="8364"/>
        </w:tabs>
        <w:spacing w:line="360" w:lineRule="auto"/>
        <w:ind w:left="567" w:right="758"/>
        <w:jc w:val="both"/>
        <w:rPr>
          <w:rFonts w:ascii="Palatino Linotype" w:hAnsi="Palatino Linotype" w:cs="Arial"/>
          <w:i/>
          <w:iCs/>
        </w:rPr>
      </w:pPr>
      <w:r w:rsidRPr="00FF0CAB">
        <w:rPr>
          <w:rFonts w:ascii="Palatino Linotype" w:hAnsi="Palatino Linotype" w:cs="Arial"/>
          <w:i/>
          <w:iCs/>
        </w:rPr>
        <w:t>…”</w:t>
      </w:r>
    </w:p>
    <w:p w14:paraId="67D6B5FA" w14:textId="77777777" w:rsidR="00F72652" w:rsidRPr="00FF0CAB" w:rsidRDefault="00F72652" w:rsidP="00F72652">
      <w:pPr>
        <w:spacing w:line="360" w:lineRule="auto"/>
        <w:ind w:right="-93"/>
        <w:jc w:val="both"/>
        <w:rPr>
          <w:rFonts w:ascii="Palatino Linotype" w:hAnsi="Palatino Linotype" w:cs="Tahoma"/>
          <w:bCs/>
          <w:sz w:val="22"/>
          <w:szCs w:val="22"/>
        </w:rPr>
      </w:pPr>
    </w:p>
    <w:p w14:paraId="33101362" w14:textId="77777777" w:rsidR="00F72652" w:rsidRPr="00FF0CAB" w:rsidRDefault="00F72652" w:rsidP="00F72652">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De las normas transcritas,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0AC46F18" w14:textId="77777777" w:rsidR="00F72652" w:rsidRPr="00FF0CAB" w:rsidRDefault="00F72652" w:rsidP="00F72652">
      <w:pPr>
        <w:spacing w:line="360" w:lineRule="auto"/>
        <w:ind w:right="-93"/>
        <w:jc w:val="both"/>
        <w:rPr>
          <w:rFonts w:ascii="Palatino Linotype" w:hAnsi="Palatino Linotype" w:cs="Tahoma"/>
          <w:bCs/>
          <w:sz w:val="22"/>
          <w:szCs w:val="22"/>
        </w:rPr>
      </w:pPr>
    </w:p>
    <w:p w14:paraId="2CE6B30D" w14:textId="77777777" w:rsidR="00F72652" w:rsidRPr="00FF0CAB" w:rsidRDefault="00F72652" w:rsidP="00F72652">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lastRenderedPageBreak/>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296FD091" w14:textId="77777777" w:rsidR="00F72652" w:rsidRPr="00FF0CAB" w:rsidRDefault="00F72652" w:rsidP="00F72652">
      <w:pPr>
        <w:spacing w:line="360" w:lineRule="auto"/>
        <w:ind w:right="-93"/>
        <w:jc w:val="both"/>
        <w:rPr>
          <w:rFonts w:ascii="Palatino Linotype" w:hAnsi="Palatino Linotype" w:cs="Tahoma"/>
          <w:bCs/>
          <w:sz w:val="22"/>
          <w:szCs w:val="22"/>
        </w:rPr>
      </w:pPr>
    </w:p>
    <w:p w14:paraId="41A11228" w14:textId="77777777" w:rsidR="00F72652" w:rsidRPr="00FF0CAB" w:rsidRDefault="00F72652" w:rsidP="00F72652">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En concordancia de lo anterior, en el artículo 116 y 12 de la Ley General de Transparencia, se prevé:</w:t>
      </w:r>
    </w:p>
    <w:p w14:paraId="5B426D4F" w14:textId="77777777" w:rsidR="00F72652" w:rsidRPr="00FF0CAB" w:rsidRDefault="00F72652" w:rsidP="00F72652">
      <w:pPr>
        <w:spacing w:line="360" w:lineRule="auto"/>
        <w:ind w:right="-93"/>
        <w:jc w:val="both"/>
        <w:rPr>
          <w:rFonts w:ascii="Palatino Linotype" w:hAnsi="Palatino Linotype" w:cs="Tahoma"/>
          <w:bCs/>
          <w:sz w:val="22"/>
          <w:szCs w:val="22"/>
        </w:rPr>
      </w:pPr>
    </w:p>
    <w:p w14:paraId="1E68554E"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b/>
          <w:bCs/>
          <w:i/>
          <w:iCs/>
        </w:rPr>
        <w:t>“Artículo 116.</w:t>
      </w:r>
      <w:r w:rsidRPr="00FF0CAB">
        <w:rPr>
          <w:rFonts w:ascii="Palatino Linotype" w:hAnsi="Palatino Linotype" w:cs="Arial"/>
          <w:i/>
          <w:iCs/>
        </w:rPr>
        <w:t xml:space="preserve"> Se considera información confidencial la que contiene datos personales concernientes a una persona identificada o identificable.</w:t>
      </w:r>
    </w:p>
    <w:p w14:paraId="239D5081"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65261D0F"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b/>
          <w:bCs/>
          <w:i/>
          <w:iCs/>
        </w:rPr>
        <w:t>Artículo 120.</w:t>
      </w:r>
      <w:r w:rsidRPr="00FF0CAB">
        <w:rPr>
          <w:rFonts w:ascii="Palatino Linotype" w:hAnsi="Palatino Linotype" w:cs="Arial"/>
          <w:i/>
          <w:iCs/>
        </w:rPr>
        <w:t xml:space="preserve"> Para que los sujetos obligados puedan permitir el acceso a información confidencial requieren obtener el consentimiento de los particulares titulares de la información. </w:t>
      </w:r>
    </w:p>
    <w:p w14:paraId="0235AB22" w14:textId="77777777" w:rsidR="00F72652" w:rsidRPr="00FF0CAB" w:rsidRDefault="00F72652" w:rsidP="00F72652">
      <w:pPr>
        <w:spacing w:line="360" w:lineRule="auto"/>
        <w:ind w:left="567" w:right="567"/>
        <w:jc w:val="both"/>
        <w:rPr>
          <w:rFonts w:ascii="Palatino Linotype" w:hAnsi="Palatino Linotype" w:cs="Arial"/>
          <w:i/>
          <w:iCs/>
        </w:rPr>
      </w:pPr>
    </w:p>
    <w:p w14:paraId="5FF2F34B"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No se requerirá el consentimiento del titular de la información confidencial cuando: </w:t>
      </w:r>
    </w:p>
    <w:p w14:paraId="066C6A14" w14:textId="77777777" w:rsidR="00F72652" w:rsidRPr="00FF0CAB" w:rsidRDefault="00F72652" w:rsidP="00F72652">
      <w:pPr>
        <w:spacing w:line="360" w:lineRule="auto"/>
        <w:ind w:left="567" w:right="567"/>
        <w:jc w:val="both"/>
        <w:rPr>
          <w:rFonts w:ascii="Palatino Linotype" w:hAnsi="Palatino Linotype" w:cs="Arial"/>
          <w:i/>
          <w:iCs/>
        </w:rPr>
      </w:pPr>
    </w:p>
    <w:p w14:paraId="082E45FB"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 La información se encuentre en registros públicos o fuentes de acceso público; </w:t>
      </w:r>
    </w:p>
    <w:p w14:paraId="723F50F3"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 Por ley tenga el carácter de pública; </w:t>
      </w:r>
    </w:p>
    <w:p w14:paraId="02115EE9"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III. Exista una orden judicial; </w:t>
      </w:r>
    </w:p>
    <w:p w14:paraId="6F72C205"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IV. Por razones de seguridad nacional y salubridad general, o para proteger los derechos de terceros, se requiera su publicación, o </w:t>
      </w:r>
    </w:p>
    <w:p w14:paraId="208A2E8F"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7028EE5A"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6D4CDAB1" w14:textId="77777777" w:rsidR="00F72652" w:rsidRPr="00FF0CAB" w:rsidRDefault="00F72652" w:rsidP="00F72652">
      <w:pPr>
        <w:spacing w:line="360" w:lineRule="auto"/>
        <w:ind w:right="-93"/>
        <w:jc w:val="both"/>
        <w:rPr>
          <w:rFonts w:ascii="Palatino Linotype" w:hAnsi="Palatino Linotype" w:cs="Tahoma"/>
          <w:bCs/>
          <w:sz w:val="22"/>
          <w:szCs w:val="22"/>
        </w:rPr>
      </w:pPr>
    </w:p>
    <w:p w14:paraId="386EBD00" w14:textId="77777777" w:rsidR="00F72652" w:rsidRPr="00FF0CAB" w:rsidRDefault="00F72652" w:rsidP="00F72652">
      <w:pPr>
        <w:spacing w:line="360" w:lineRule="auto"/>
        <w:ind w:right="-93"/>
        <w:jc w:val="both"/>
        <w:rPr>
          <w:rFonts w:ascii="Palatino Linotype" w:hAnsi="Palatino Linotype" w:cs="Tahoma"/>
          <w:bCs/>
          <w:sz w:val="22"/>
          <w:szCs w:val="22"/>
        </w:rPr>
      </w:pPr>
      <w:r w:rsidRPr="00FF0CAB">
        <w:rPr>
          <w:rFonts w:ascii="Palatino Linotype" w:hAnsi="Palatino Linotype" w:cs="Tahoma"/>
          <w:bCs/>
          <w:sz w:val="22"/>
          <w:szCs w:val="22"/>
        </w:rPr>
        <w:t>Situación que retoma de manera similar la Ley Estatal de Transparencia, en los artículos 143, fracción I, 147 y 148, que señalan:</w:t>
      </w:r>
    </w:p>
    <w:p w14:paraId="0B5576DB" w14:textId="77777777" w:rsidR="00F72652" w:rsidRPr="00FF0CAB" w:rsidRDefault="00F72652" w:rsidP="00F72652">
      <w:pPr>
        <w:spacing w:line="360" w:lineRule="auto"/>
        <w:ind w:right="-93"/>
        <w:jc w:val="both"/>
        <w:rPr>
          <w:rFonts w:ascii="Palatino Linotype" w:hAnsi="Palatino Linotype" w:cs="Tahoma"/>
          <w:bCs/>
          <w:sz w:val="22"/>
          <w:szCs w:val="22"/>
        </w:rPr>
      </w:pPr>
    </w:p>
    <w:p w14:paraId="68BD5878" w14:textId="77777777" w:rsidR="00F72652" w:rsidRPr="00FF0CAB" w:rsidRDefault="00F72652" w:rsidP="00F72652">
      <w:pPr>
        <w:spacing w:line="360" w:lineRule="auto"/>
        <w:ind w:left="567" w:right="567"/>
        <w:jc w:val="both"/>
        <w:rPr>
          <w:rFonts w:ascii="Palatino Linotype" w:hAnsi="Palatino Linotype" w:cs="Arial"/>
          <w:b/>
          <w:bCs/>
          <w:i/>
          <w:iCs/>
        </w:rPr>
      </w:pPr>
      <w:r w:rsidRPr="00FF0CAB">
        <w:rPr>
          <w:rFonts w:ascii="Palatino Linotype" w:hAnsi="Palatino Linotype" w:cs="Arial"/>
          <w:b/>
          <w:bCs/>
          <w:i/>
          <w:iCs/>
        </w:rPr>
        <w:t xml:space="preserve">“Artículo 143. </w:t>
      </w:r>
      <w:r w:rsidRPr="00FF0CAB">
        <w:rPr>
          <w:rFonts w:ascii="Palatino Linotype" w:hAnsi="Palatino Linotype" w:cs="Arial"/>
          <w:i/>
          <w:iCs/>
        </w:rPr>
        <w:t>Para los efectos de esta Ley se considera información confidencial, la clasificada como tal, de manera permanente, por su naturaleza, cuando:</w:t>
      </w:r>
      <w:r w:rsidRPr="00FF0CAB">
        <w:rPr>
          <w:rFonts w:ascii="Palatino Linotype" w:hAnsi="Palatino Linotype" w:cs="Arial"/>
          <w:b/>
          <w:bCs/>
          <w:i/>
          <w:iCs/>
        </w:rPr>
        <w:t xml:space="preserve"> </w:t>
      </w:r>
    </w:p>
    <w:p w14:paraId="42F7D42D" w14:textId="77777777" w:rsidR="00F72652" w:rsidRPr="00FF0CAB" w:rsidRDefault="00F72652" w:rsidP="00F72652">
      <w:pPr>
        <w:spacing w:line="360" w:lineRule="auto"/>
        <w:ind w:left="567" w:right="567"/>
        <w:jc w:val="both"/>
        <w:rPr>
          <w:rFonts w:ascii="Palatino Linotype" w:hAnsi="Palatino Linotype" w:cs="Arial"/>
          <w:b/>
          <w:bCs/>
          <w:i/>
          <w:iCs/>
        </w:rPr>
      </w:pPr>
    </w:p>
    <w:p w14:paraId="3893A15C"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I. Se refiera a la información privada y los datos personales concernientes a una persona física o jurídica colectiva identificada o identificable;</w:t>
      </w:r>
    </w:p>
    <w:p w14:paraId="12A20630"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6CD42904"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b/>
          <w:bCs/>
          <w:i/>
          <w:iCs/>
        </w:rPr>
        <w:t>Artículo 147.</w:t>
      </w:r>
      <w:r w:rsidRPr="00FF0CAB">
        <w:rPr>
          <w:rFonts w:ascii="Palatino Linotype" w:hAnsi="Palatino Linotype" w:cs="Arial"/>
          <w:i/>
          <w:iCs/>
        </w:rPr>
        <w:t xml:space="preserve"> Para que los sujetos obligados puedan permitir el acceso a información confidencial requieren obtener el consentimiento de los particulares titulares de la información. </w:t>
      </w:r>
    </w:p>
    <w:p w14:paraId="22366688" w14:textId="77777777" w:rsidR="00F72652" w:rsidRPr="00FF0CAB" w:rsidRDefault="00F72652" w:rsidP="00F72652">
      <w:pPr>
        <w:spacing w:line="360" w:lineRule="auto"/>
        <w:ind w:left="567" w:right="567"/>
        <w:jc w:val="both"/>
        <w:rPr>
          <w:rFonts w:ascii="Palatino Linotype" w:hAnsi="Palatino Linotype" w:cs="Arial"/>
          <w:i/>
          <w:iCs/>
        </w:rPr>
      </w:pPr>
    </w:p>
    <w:p w14:paraId="1C082E6C"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b/>
          <w:bCs/>
          <w:i/>
          <w:iCs/>
        </w:rPr>
        <w:t xml:space="preserve">Artículo 148. </w:t>
      </w:r>
      <w:r w:rsidRPr="00FF0CAB">
        <w:rPr>
          <w:rFonts w:ascii="Palatino Linotype" w:hAnsi="Palatino Linotype" w:cs="Arial"/>
          <w:i/>
          <w:iCs/>
        </w:rPr>
        <w:t xml:space="preserve">No se requerirá el consentimiento del titular de la información confidencial cuando: </w:t>
      </w:r>
    </w:p>
    <w:p w14:paraId="00E9B5DD" w14:textId="77777777" w:rsidR="00F72652" w:rsidRPr="00FF0CAB" w:rsidRDefault="00F72652" w:rsidP="00F72652">
      <w:pPr>
        <w:spacing w:line="360" w:lineRule="auto"/>
        <w:ind w:left="567" w:right="567"/>
        <w:jc w:val="both"/>
        <w:rPr>
          <w:rFonts w:ascii="Palatino Linotype" w:hAnsi="Palatino Linotype" w:cs="Arial"/>
          <w:i/>
          <w:iCs/>
        </w:rPr>
      </w:pPr>
    </w:p>
    <w:p w14:paraId="20F27D7C"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 La información se encuentre en registros públicos o fuentes de acceso público; </w:t>
      </w:r>
    </w:p>
    <w:p w14:paraId="11C4B93F"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 Por Ley tenga el carácter de pública; </w:t>
      </w:r>
    </w:p>
    <w:p w14:paraId="43035188"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III. Exista una orden judicial; </w:t>
      </w:r>
    </w:p>
    <w:p w14:paraId="715BB3F8"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 xml:space="preserve">IV. Por razones de seguridad pública, o para proteger los derechos de terceros, se requiera su publicación; o </w:t>
      </w:r>
    </w:p>
    <w:p w14:paraId="66142648"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2E0D754B" w14:textId="77777777" w:rsidR="00F72652" w:rsidRPr="00FF0CAB" w:rsidRDefault="00F72652" w:rsidP="00F72652">
      <w:pPr>
        <w:spacing w:line="360" w:lineRule="auto"/>
        <w:ind w:left="567" w:right="567"/>
        <w:jc w:val="both"/>
        <w:rPr>
          <w:rFonts w:ascii="Palatino Linotype" w:hAnsi="Palatino Linotype" w:cs="Arial"/>
          <w:i/>
          <w:iCs/>
        </w:rPr>
      </w:pPr>
      <w:r w:rsidRPr="00FF0CAB">
        <w:rPr>
          <w:rFonts w:ascii="Palatino Linotype" w:hAnsi="Palatino Linotype" w:cs="Arial"/>
          <w:i/>
          <w:iCs/>
        </w:rPr>
        <w:t>…”</w:t>
      </w:r>
    </w:p>
    <w:p w14:paraId="55598F9E" w14:textId="77777777" w:rsidR="00F72652" w:rsidRPr="00FF0CAB" w:rsidRDefault="00F72652" w:rsidP="00F72652">
      <w:pPr>
        <w:spacing w:line="360" w:lineRule="auto"/>
        <w:ind w:right="-93"/>
        <w:jc w:val="both"/>
        <w:rPr>
          <w:rFonts w:ascii="Palatino Linotype" w:hAnsi="Palatino Linotype" w:cs="Tahoma"/>
          <w:bCs/>
          <w:sz w:val="22"/>
          <w:szCs w:val="22"/>
        </w:rPr>
      </w:pPr>
    </w:p>
    <w:p w14:paraId="67E78447" w14:textId="77777777" w:rsidR="00F72652" w:rsidRPr="00FF0CAB" w:rsidRDefault="00F72652" w:rsidP="00F72652">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Conforme a lo anterior, considero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37CA7681" w14:textId="77777777" w:rsidR="00F72652" w:rsidRPr="00FF0CAB" w:rsidRDefault="00F72652" w:rsidP="00F72652">
      <w:pPr>
        <w:spacing w:line="360" w:lineRule="auto"/>
        <w:ind w:right="-93"/>
        <w:jc w:val="both"/>
        <w:rPr>
          <w:rFonts w:ascii="Palatino Linotype" w:hAnsi="Palatino Linotype" w:cs="Tahoma"/>
          <w:bCs/>
          <w:sz w:val="22"/>
          <w:szCs w:val="22"/>
          <w:lang w:val="es-ES"/>
        </w:rPr>
      </w:pPr>
    </w:p>
    <w:p w14:paraId="6D30FD1D" w14:textId="77777777" w:rsidR="00F72652" w:rsidRPr="00FF0CAB" w:rsidRDefault="00F72652" w:rsidP="00F72652">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lastRenderedPageBreak/>
        <w:t>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0B6B41F7" w14:textId="77777777" w:rsidR="00F72652" w:rsidRPr="00FF0CAB" w:rsidRDefault="00F72652" w:rsidP="00F72652">
      <w:pPr>
        <w:spacing w:line="360" w:lineRule="auto"/>
        <w:ind w:right="-93"/>
        <w:jc w:val="both"/>
        <w:rPr>
          <w:rFonts w:ascii="Palatino Linotype" w:hAnsi="Palatino Linotype" w:cs="Tahoma"/>
          <w:bCs/>
          <w:sz w:val="22"/>
          <w:szCs w:val="22"/>
          <w:lang w:val="es-ES"/>
        </w:rPr>
      </w:pPr>
    </w:p>
    <w:p w14:paraId="2CCE6118" w14:textId="77777777" w:rsidR="00F72652" w:rsidRPr="00FF0CAB" w:rsidRDefault="00F72652" w:rsidP="00F72652">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 xml:space="preserve">Asimismo, los sujetos obligados serán responsables de los datos personales y, en relación con éstos, deberán cumplir, con las obligaciones establecidas en las leyes de la materia y en la </w:t>
      </w:r>
      <w:r w:rsidRPr="00FF0CAB">
        <w:rPr>
          <w:rFonts w:ascii="Palatino Linotype" w:hAnsi="Palatino Linotype" w:cs="Tahoma"/>
          <w:bCs/>
          <w:iCs/>
          <w:sz w:val="22"/>
          <w:szCs w:val="22"/>
          <w:lang w:val="es-ES"/>
        </w:rPr>
        <w:t>Ley General de Transparencia y Acceso a la Información Pública</w:t>
      </w:r>
      <w:r w:rsidRPr="00FF0CAB">
        <w:rPr>
          <w:rFonts w:ascii="Palatino Linotype" w:hAnsi="Palatino Linotype" w:cs="Tahoma"/>
          <w:bCs/>
          <w:sz w:val="22"/>
          <w:szCs w:val="22"/>
          <w:lang w:val="es-ES"/>
        </w:rPr>
        <w:t>.</w:t>
      </w:r>
    </w:p>
    <w:p w14:paraId="046FB0B0" w14:textId="77777777" w:rsidR="00F72652" w:rsidRPr="00FF0CAB" w:rsidRDefault="00F72652" w:rsidP="00F72652">
      <w:pPr>
        <w:spacing w:line="360" w:lineRule="auto"/>
        <w:ind w:right="-93"/>
        <w:jc w:val="both"/>
        <w:rPr>
          <w:rFonts w:ascii="Palatino Linotype" w:hAnsi="Palatino Linotype" w:cs="Tahoma"/>
          <w:b/>
          <w:sz w:val="22"/>
          <w:szCs w:val="22"/>
        </w:rPr>
      </w:pPr>
    </w:p>
    <w:p w14:paraId="4BD9F0AE" w14:textId="77777777" w:rsidR="00F72652" w:rsidRPr="00FF0CAB" w:rsidRDefault="00F72652" w:rsidP="00F72652">
      <w:pPr>
        <w:spacing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02F32B84" w14:textId="77777777" w:rsidR="00F72652" w:rsidRPr="00FF0CAB" w:rsidRDefault="00F72652" w:rsidP="00F72652">
      <w:pPr>
        <w:spacing w:line="360" w:lineRule="auto"/>
        <w:ind w:right="-93"/>
        <w:jc w:val="both"/>
        <w:rPr>
          <w:rFonts w:ascii="Palatino Linotype" w:hAnsi="Palatino Linotype" w:cs="Tahoma"/>
          <w:bCs/>
          <w:sz w:val="22"/>
          <w:szCs w:val="22"/>
          <w:lang w:val="es-ES"/>
        </w:rPr>
      </w:pPr>
    </w:p>
    <w:p w14:paraId="45D9146F" w14:textId="77777777" w:rsidR="00F72652" w:rsidRPr="00FF0CAB" w:rsidRDefault="00F72652" w:rsidP="00F72652">
      <w:pPr>
        <w:numPr>
          <w:ilvl w:val="0"/>
          <w:numId w:val="32"/>
        </w:numPr>
        <w:spacing w:after="160"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 xml:space="preserve">Se trate de datos personales, esto es, información concerniente a una persona física y que ésta sea identificada o identificable o bien, sea aquella que refiera aspectos de la vida privada o íntima de las personas. </w:t>
      </w:r>
    </w:p>
    <w:p w14:paraId="33F1C9FB" w14:textId="77777777" w:rsidR="00F72652" w:rsidRPr="00FF0CAB" w:rsidRDefault="00F72652" w:rsidP="00F72652">
      <w:pPr>
        <w:spacing w:line="360" w:lineRule="auto"/>
        <w:ind w:right="-93"/>
        <w:jc w:val="both"/>
        <w:rPr>
          <w:rFonts w:ascii="Palatino Linotype" w:hAnsi="Palatino Linotype" w:cs="Tahoma"/>
          <w:bCs/>
          <w:sz w:val="22"/>
          <w:szCs w:val="22"/>
          <w:lang w:val="es-ES"/>
        </w:rPr>
      </w:pPr>
    </w:p>
    <w:p w14:paraId="5DDE82FD" w14:textId="77777777" w:rsidR="00F72652" w:rsidRPr="00FF0CAB" w:rsidRDefault="00F72652" w:rsidP="00F72652">
      <w:pPr>
        <w:numPr>
          <w:ilvl w:val="0"/>
          <w:numId w:val="32"/>
        </w:numPr>
        <w:spacing w:after="160" w:line="360" w:lineRule="auto"/>
        <w:ind w:right="-93"/>
        <w:jc w:val="both"/>
        <w:rPr>
          <w:rFonts w:ascii="Palatino Linotype" w:hAnsi="Palatino Linotype" w:cs="Tahoma"/>
          <w:bCs/>
          <w:sz w:val="22"/>
          <w:szCs w:val="22"/>
          <w:lang w:val="es-ES"/>
        </w:rPr>
      </w:pPr>
      <w:r w:rsidRPr="00FF0CAB">
        <w:rPr>
          <w:rFonts w:ascii="Palatino Linotype" w:hAnsi="Palatino Linotype" w:cs="Tahoma"/>
          <w:bCs/>
          <w:sz w:val="22"/>
          <w:szCs w:val="22"/>
          <w:lang w:val="es-ES"/>
        </w:rPr>
        <w:t xml:space="preserve">Para la difusión de los datos, se requiera el consentimiento del titular. </w:t>
      </w:r>
    </w:p>
    <w:p w14:paraId="3C5417D3" w14:textId="77777777" w:rsidR="00F72652" w:rsidRPr="00FF0CAB" w:rsidRDefault="00F72652" w:rsidP="00F72652">
      <w:pPr>
        <w:spacing w:line="360" w:lineRule="auto"/>
        <w:jc w:val="both"/>
        <w:rPr>
          <w:rFonts w:ascii="Palatino Linotype" w:hAnsi="Palatino Linotype" w:cs="Tahoma"/>
          <w:bCs/>
          <w:sz w:val="22"/>
          <w:szCs w:val="22"/>
        </w:rPr>
      </w:pPr>
    </w:p>
    <w:p w14:paraId="0122D36C" w14:textId="77777777" w:rsidR="00F72652" w:rsidRPr="00FF0CAB" w:rsidRDefault="00F72652" w:rsidP="00F72652">
      <w:pPr>
        <w:spacing w:line="360" w:lineRule="auto"/>
        <w:jc w:val="both"/>
        <w:rPr>
          <w:rFonts w:ascii="Palatino Linotype" w:hAnsi="Palatino Linotype" w:cs="Tahoma"/>
          <w:iCs/>
          <w:sz w:val="22"/>
          <w:szCs w:val="22"/>
          <w:lang w:val="es-ES"/>
        </w:rPr>
      </w:pPr>
      <w:r w:rsidRPr="00FF0CAB">
        <w:rPr>
          <w:rFonts w:ascii="Palatino Linotype" w:hAnsi="Palatino Linotype" w:cs="Tahoma"/>
          <w:iCs/>
          <w:sz w:val="22"/>
          <w:szCs w:val="22"/>
          <w:lang w:val="es-ES"/>
        </w:rPr>
        <w:t xml:space="preserve">En ese orden de ideas, el artículo 2°, fracción IX, de la Ley General de Protección de Datos Personales en Posesión de Sujetos Obligados y 2°, fracción XI, de la Ley de Protección de Datos Personales en Posesión de Sujetos Obligados del Estado de México y Municipios, establecen </w:t>
      </w:r>
      <w:r w:rsidRPr="00FF0CAB">
        <w:rPr>
          <w:rFonts w:ascii="Palatino Linotype" w:hAnsi="Palatino Linotype" w:cs="Tahoma"/>
          <w:iCs/>
          <w:sz w:val="22"/>
          <w:szCs w:val="22"/>
          <w:lang w:val="es-ES"/>
        </w:rPr>
        <w:lastRenderedPageBreak/>
        <w:t>que los datos personales es cualquier información concerniente a una persona física identificada o identificable; mientras que los sensibles, son aquellos que refieran a la esfera más íntima de su titular.</w:t>
      </w:r>
    </w:p>
    <w:p w14:paraId="30157A93" w14:textId="77777777" w:rsidR="00F72652" w:rsidRPr="00FF0CAB" w:rsidRDefault="00F72652" w:rsidP="00F72652">
      <w:pPr>
        <w:spacing w:line="360" w:lineRule="auto"/>
        <w:jc w:val="both"/>
        <w:rPr>
          <w:rFonts w:ascii="Palatino Linotype" w:hAnsi="Palatino Linotype" w:cs="Tahoma"/>
          <w:iCs/>
          <w:sz w:val="22"/>
          <w:szCs w:val="22"/>
          <w:lang w:val="es-ES"/>
        </w:rPr>
      </w:pPr>
    </w:p>
    <w:p w14:paraId="430C36EA" w14:textId="444A77E5" w:rsidR="00F72652" w:rsidRPr="00FF0CAB" w:rsidRDefault="00F72652" w:rsidP="00F72652">
      <w:pPr>
        <w:spacing w:line="360" w:lineRule="auto"/>
        <w:jc w:val="both"/>
        <w:rPr>
          <w:rFonts w:ascii="Palatino Linotype" w:hAnsi="Palatino Linotype" w:cs="Tahoma"/>
          <w:bCs/>
          <w:iCs/>
          <w:sz w:val="22"/>
          <w:szCs w:val="22"/>
          <w:lang w:val="es-ES"/>
        </w:rPr>
      </w:pPr>
      <w:r w:rsidRPr="00FF0CAB">
        <w:rPr>
          <w:rFonts w:ascii="Palatino Linotype" w:hAnsi="Palatino Linotype" w:cs="Tahoma"/>
          <w:bCs/>
          <w:iCs/>
          <w:sz w:val="22"/>
          <w:szCs w:val="22"/>
          <w:lang w:val="es-ES"/>
        </w:rPr>
        <w:t xml:space="preserve">En ese contexto, el apartado ¿Qué son los datos personales?, de la página oficial de este Instituto (consultada en la liga </w:t>
      </w:r>
      <w:hyperlink r:id="rId9" w:history="1">
        <w:r w:rsidRPr="00FF0CAB">
          <w:rPr>
            <w:rFonts w:ascii="Palatino Linotype" w:hAnsi="Palatino Linotype" w:cs="Tahoma"/>
            <w:bCs/>
            <w:iCs/>
            <w:color w:val="0563C1" w:themeColor="hyperlink"/>
            <w:sz w:val="22"/>
            <w:szCs w:val="22"/>
            <w:u w:val="single"/>
            <w:lang w:val="es-ES"/>
          </w:rPr>
          <w:t>https://www.infoem.org.mx/es/contenido/datos-personales</w:t>
        </w:r>
      </w:hyperlink>
      <w:r w:rsidRPr="00FF0CAB">
        <w:rPr>
          <w:rFonts w:ascii="Palatino Linotype" w:hAnsi="Palatino Linotype" w:cs="Tahoma"/>
          <w:bCs/>
          <w:iCs/>
          <w:sz w:val="22"/>
          <w:szCs w:val="22"/>
          <w:lang w:val="es-ES"/>
        </w:rPr>
        <w:t>), establece como una categoría de datos personales, los datos sobre procedimientos administrativos y jurisdiccionales, los cuales se conforman de toda aquella información relacionada íntimamente a una persona identificada localizable en procedimientos administrativos o juicios de cualquier materia.</w:t>
      </w:r>
    </w:p>
    <w:p w14:paraId="46A3885C" w14:textId="77777777" w:rsidR="00F72652" w:rsidRPr="00FF0CAB" w:rsidRDefault="00F72652" w:rsidP="00F72652">
      <w:pPr>
        <w:spacing w:line="360" w:lineRule="auto"/>
        <w:jc w:val="both"/>
        <w:rPr>
          <w:rFonts w:ascii="Palatino Linotype" w:hAnsi="Palatino Linotype" w:cs="Tahoma"/>
          <w:b/>
          <w:bCs/>
          <w:iCs/>
          <w:sz w:val="22"/>
          <w:szCs w:val="22"/>
          <w:lang w:val="es-ES"/>
        </w:rPr>
      </w:pPr>
    </w:p>
    <w:p w14:paraId="0AB30F63" w14:textId="77777777" w:rsidR="00F72652" w:rsidRPr="00FF0CAB" w:rsidRDefault="00F72652" w:rsidP="00F72652">
      <w:pPr>
        <w:spacing w:line="360" w:lineRule="auto"/>
        <w:jc w:val="both"/>
        <w:rPr>
          <w:rFonts w:ascii="Palatino Linotype" w:hAnsi="Palatino Linotype" w:cs="Tahoma"/>
          <w:bCs/>
          <w:iCs/>
          <w:sz w:val="22"/>
          <w:szCs w:val="22"/>
          <w:lang w:val="es-ES"/>
        </w:rPr>
      </w:pPr>
      <w:r w:rsidRPr="00FF0CAB">
        <w:rPr>
          <w:rFonts w:ascii="Palatino Linotype" w:hAnsi="Palatino Linotype" w:cs="Tahoma"/>
          <w:bCs/>
          <w:iCs/>
          <w:sz w:val="22"/>
          <w:szCs w:val="22"/>
          <w:lang w:val="es-ES"/>
        </w:rPr>
        <w:t xml:space="preserve">A su vez, en el Cuadragésimo octavo de los Lineamientos Generales, se señala que los documentos y expedientes clasificados como confidenciales sólo podrán ser comunicados a terceros siempre y cuando exista disposición legal expresa que lo justifique o cuando se cuente con el consentimiento del titular. </w:t>
      </w:r>
    </w:p>
    <w:p w14:paraId="1261F3E7" w14:textId="77777777" w:rsidR="00F72652" w:rsidRPr="00FF0CAB" w:rsidRDefault="00F72652" w:rsidP="00F72652">
      <w:pPr>
        <w:spacing w:line="360" w:lineRule="auto"/>
        <w:jc w:val="both"/>
        <w:rPr>
          <w:rFonts w:ascii="Palatino Linotype" w:hAnsi="Palatino Linotype" w:cs="Tahoma"/>
          <w:bCs/>
          <w:iCs/>
          <w:sz w:val="22"/>
          <w:szCs w:val="22"/>
        </w:rPr>
      </w:pPr>
    </w:p>
    <w:p w14:paraId="52D69B77"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Por lo que, en el presente caso, toda vez que la información está relacionada a una persona determinada, resulta necesario analizar si procede entregar el pronunciamiento respecto a la existencia o no de un procedimiento de responsabilidad, conforme a lo siguiente:</w:t>
      </w:r>
    </w:p>
    <w:p w14:paraId="0E170710"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69837D65" w14:textId="77777777" w:rsidR="00EC4590" w:rsidRPr="00FF0CAB" w:rsidRDefault="00F72652" w:rsidP="00EC4590">
      <w:pPr>
        <w:pStyle w:val="Prrafodelista"/>
        <w:numPr>
          <w:ilvl w:val="0"/>
          <w:numId w:val="35"/>
        </w:numPr>
        <w:tabs>
          <w:tab w:val="left" w:pos="3962"/>
        </w:tabs>
        <w:spacing w:line="360" w:lineRule="auto"/>
        <w:jc w:val="both"/>
        <w:rPr>
          <w:rFonts w:ascii="Palatino Linotype" w:eastAsia="Calibri" w:hAnsi="Palatino Linotype" w:cs="Tahoma"/>
          <w:bCs/>
          <w:szCs w:val="22"/>
          <w:lang w:eastAsia="en-US"/>
        </w:rPr>
      </w:pPr>
      <w:r w:rsidRPr="00FF0CAB">
        <w:rPr>
          <w:rFonts w:ascii="Palatino Linotype" w:eastAsia="Calibri" w:hAnsi="Palatino Linotype" w:cs="Tahoma"/>
          <w:bCs/>
          <w:szCs w:val="22"/>
          <w:lang w:eastAsia="en-US"/>
        </w:rPr>
        <w:t>Procedimiento en trámite, y</w:t>
      </w:r>
    </w:p>
    <w:p w14:paraId="34996179" w14:textId="746E6946" w:rsidR="00F72652" w:rsidRPr="00FF0CAB" w:rsidRDefault="00EC4590" w:rsidP="00EC4590">
      <w:pPr>
        <w:pStyle w:val="Prrafodelista"/>
        <w:numPr>
          <w:ilvl w:val="0"/>
          <w:numId w:val="35"/>
        </w:numPr>
        <w:tabs>
          <w:tab w:val="left" w:pos="3962"/>
        </w:tabs>
        <w:spacing w:line="360" w:lineRule="auto"/>
        <w:jc w:val="both"/>
        <w:rPr>
          <w:rFonts w:ascii="Palatino Linotype" w:eastAsia="Calibri" w:hAnsi="Palatino Linotype" w:cs="Tahoma"/>
          <w:bCs/>
          <w:szCs w:val="22"/>
          <w:lang w:eastAsia="en-US"/>
        </w:rPr>
      </w:pPr>
      <w:r w:rsidRPr="00FF0CAB">
        <w:rPr>
          <w:rFonts w:ascii="Palatino Linotype" w:eastAsia="Calibri" w:hAnsi="Palatino Linotype" w:cs="Tahoma"/>
          <w:bCs/>
          <w:szCs w:val="22"/>
          <w:lang w:eastAsia="en-US"/>
        </w:rPr>
        <w:t xml:space="preserve">Procedimiento concluido de </w:t>
      </w:r>
      <w:r w:rsidR="00F72652" w:rsidRPr="00FF0CAB">
        <w:rPr>
          <w:rFonts w:ascii="Palatino Linotype" w:eastAsia="Calibri" w:hAnsi="Palatino Linotype" w:cs="Tahoma"/>
          <w:bCs/>
          <w:szCs w:val="22"/>
          <w:lang w:eastAsia="en-US"/>
        </w:rPr>
        <w:t xml:space="preserve">Responsabilidad grave. </w:t>
      </w:r>
    </w:p>
    <w:p w14:paraId="7B3D2922" w14:textId="77777777" w:rsidR="00F72652" w:rsidRPr="00FF0CAB" w:rsidRDefault="00F72652" w:rsidP="00F72652">
      <w:pPr>
        <w:tabs>
          <w:tab w:val="left" w:pos="3962"/>
        </w:tabs>
        <w:spacing w:line="360" w:lineRule="auto"/>
        <w:jc w:val="both"/>
        <w:rPr>
          <w:rFonts w:ascii="Palatino Linotype" w:eastAsia="Calibri" w:hAnsi="Palatino Linotype" w:cs="Tahoma"/>
          <w:b/>
          <w:bCs/>
          <w:sz w:val="22"/>
          <w:szCs w:val="22"/>
          <w:lang w:eastAsia="en-US"/>
        </w:rPr>
      </w:pPr>
    </w:p>
    <w:p w14:paraId="745FF6CF" w14:textId="77777777" w:rsidR="00F72652" w:rsidRPr="00FF0CAB" w:rsidRDefault="00F72652" w:rsidP="00F72652">
      <w:pPr>
        <w:tabs>
          <w:tab w:val="left" w:pos="3962"/>
        </w:tabs>
        <w:spacing w:line="360" w:lineRule="auto"/>
        <w:jc w:val="both"/>
        <w:rPr>
          <w:rFonts w:ascii="Palatino Linotype" w:eastAsia="Calibri" w:hAnsi="Palatino Linotype" w:cs="Tahoma"/>
          <w:b/>
          <w:bCs/>
          <w:sz w:val="22"/>
          <w:szCs w:val="22"/>
          <w:lang w:eastAsia="en-US"/>
        </w:rPr>
      </w:pPr>
      <w:r w:rsidRPr="00FF0CAB">
        <w:rPr>
          <w:rFonts w:ascii="Palatino Linotype" w:eastAsia="Calibri" w:hAnsi="Palatino Linotype" w:cs="Tahoma"/>
          <w:b/>
          <w:bCs/>
          <w:sz w:val="22"/>
          <w:szCs w:val="22"/>
          <w:lang w:eastAsia="en-US"/>
        </w:rPr>
        <w:t>Procedimiento de responsabilidad en trámite.</w:t>
      </w:r>
    </w:p>
    <w:p w14:paraId="208C4DF9"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41981D27"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Al respecto, es necesario señalar que pronunciarse sobre la existencia de un procedimiento de posibles responsabilidades en trámite, podría afectar al posible responsable identificado, en el </w:t>
      </w:r>
      <w:r w:rsidRPr="00FF0CAB">
        <w:rPr>
          <w:rFonts w:ascii="Palatino Linotype" w:eastAsia="Calibri" w:hAnsi="Palatino Linotype" w:cs="Tahoma"/>
          <w:bCs/>
          <w:sz w:val="22"/>
          <w:szCs w:val="22"/>
          <w:lang w:eastAsia="en-US"/>
        </w:rPr>
        <w:lastRenderedPageBreak/>
        <w:t>presente caso, ya que se daría a conocer la existencia de una investigación en contra, lo cual, generaría una percepción negativa de este, sin que se hubiere probado su responsabilidad o culpabilidad, lo cual dañaría, su honor y su derecho a la presunción inocencia e inclusive su actividad profesional, pues aún no se juntan los elementos necesarios para iniciar la segunda etapa del procedimiento.</w:t>
      </w:r>
    </w:p>
    <w:p w14:paraId="77E661E8"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03A336E4"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Al respecto, por lo que hace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277D7483"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12EB9B76" w14:textId="77777777" w:rsidR="00F72652" w:rsidRPr="00FF0CAB" w:rsidRDefault="00F72652" w:rsidP="00F72652">
      <w:pPr>
        <w:spacing w:line="360" w:lineRule="auto"/>
        <w:ind w:left="567" w:right="567"/>
        <w:contextualSpacing/>
        <w:jc w:val="both"/>
        <w:rPr>
          <w:rFonts w:ascii="Palatino Linotype" w:eastAsia="Calibri" w:hAnsi="Palatino Linotype" w:cs="Tahoma"/>
          <w:bCs/>
          <w:i/>
          <w:iCs/>
          <w:lang w:val="es-ES" w:eastAsia="en-US"/>
        </w:rPr>
      </w:pPr>
      <w:r w:rsidRPr="00FF0CAB">
        <w:rPr>
          <w:rFonts w:ascii="Palatino Linotype" w:eastAsia="Calibri" w:hAnsi="Palatino Linotype" w:cs="Tahoma"/>
          <w:b/>
          <w:bCs/>
          <w:i/>
          <w:iCs/>
          <w:lang w:val="es-ES" w:eastAsia="en-US"/>
        </w:rPr>
        <w:t xml:space="preserve">“DERECHO FUNDAMENTAL AL HONOR. SU DIMENSIÓN SUBJETIVA Y OBJETIVA. </w:t>
      </w:r>
      <w:r w:rsidRPr="00FF0CAB">
        <w:rPr>
          <w:rFonts w:ascii="Palatino Linotype" w:eastAsia="Calibri" w:hAnsi="Palatino Linotype" w:cs="Tahoma"/>
          <w:bCs/>
          <w:i/>
          <w:iCs/>
          <w:lang w:val="es-ES" w:eastAsia="en-US"/>
        </w:rPr>
        <w:t>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73B7B77C"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6A070409"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lastRenderedPageBreak/>
        <w:t xml:space="preserve">De la tesis transcrita se desprende que el honor es el concepto que la persona tiene de sí misma o que los demás se han formado de ella, en virtud de su proceder o de la expresión de su calidad ética y social. </w:t>
      </w:r>
    </w:p>
    <w:p w14:paraId="2A32AE01"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754A22F1"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Por lo que, 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382B7BCD"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773931E0"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Por otra parte, debe señalarse que conforme al artículo 20, inciso B, numeral I, de la Constitución Política del os Estados Unidos Mexicanos, un derecho que tiene toda persona imputada, es a que se presuma su inocencia mientras no se declare su responsabilidad mediante una resolución, donde compruebe su culpabilidad. Dicha situación, se encuentra regulada, de la misma manera, en Declaración Universal de los Derechos Humanos, así como, el Pacto Internacional de Derechos Civiles y Políticos y la Convención Americana sobre Derechos Humanos.</w:t>
      </w:r>
    </w:p>
    <w:p w14:paraId="683B4660"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4507AF36"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En ese contexto, la tesis aislada número 2a. XXXV/2007, emitida por la Segunda Sala de la Suprema Corte de Justicia de la Nación, publicada en la Gaceta del Semanario Judicial de la Federación, Tomo XXV, de mayo de dos mil siete, página 1186, de la Novena Época, materia constitucional y penal, establece:</w:t>
      </w:r>
    </w:p>
    <w:p w14:paraId="52D97864"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7BEC82FE" w14:textId="77777777" w:rsidR="00F72652" w:rsidRPr="00FF0CAB" w:rsidRDefault="00F72652" w:rsidP="00F72652">
      <w:pPr>
        <w:spacing w:line="360" w:lineRule="auto"/>
        <w:ind w:left="567" w:right="567"/>
        <w:contextualSpacing/>
        <w:jc w:val="both"/>
        <w:rPr>
          <w:rFonts w:ascii="Palatino Linotype" w:eastAsia="Calibri" w:hAnsi="Palatino Linotype" w:cs="Tahoma"/>
          <w:bCs/>
          <w:i/>
          <w:iCs/>
          <w:lang w:val="es-ES" w:eastAsia="en-US"/>
        </w:rPr>
      </w:pPr>
      <w:r w:rsidRPr="00FF0CAB">
        <w:rPr>
          <w:rFonts w:ascii="Palatino Linotype" w:eastAsia="Calibri" w:hAnsi="Palatino Linotype" w:cs="Tahoma"/>
          <w:b/>
          <w:bCs/>
          <w:i/>
          <w:iCs/>
          <w:lang w:val="es-ES" w:eastAsia="en-US"/>
        </w:rPr>
        <w:lastRenderedPageBreak/>
        <w:t xml:space="preserve">“PRESUNCIÓN DE INOCENCIA. ALCANCES DE ESE PRINCIPIO CONSTITUCIONAL. </w:t>
      </w:r>
      <w:r w:rsidRPr="00FF0CAB">
        <w:rPr>
          <w:rFonts w:ascii="Palatino Linotype" w:eastAsia="Calibri" w:hAnsi="Palatino Linotype" w:cs="Tahoma"/>
          <w:bCs/>
          <w:i/>
          <w:iCs/>
          <w:lang w:val="es-ES" w:eastAsia="en-US"/>
        </w:rPr>
        <w:t>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14:paraId="3B6A5557"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7958C93D"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Como se observa, el Alto Tribunal sostiene que el principio de presunción de inocencia va más allá del ámbito estrictamente procesal, en aras de proteger la esfera jurídica de las personas que se ve en peligro ante actuaciones arbitrarias por parte del poder público. Así, dicho principio guarda también una faceta “extraprocesal” que se materializa a través de un trato de inocente para el inculpado mientras no se demuestre su culpabilidad.</w:t>
      </w:r>
    </w:p>
    <w:p w14:paraId="5E2D12CF"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02376D8A"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Conforme a lo anterior, pronunciarse sobre la existencia de un procedimiento en trámite, se daría a conocer que la existencia de un procedimiento de probable responsabilidad, y la ciudadanía podría generar un juicio negativo, en contra de la servidora pública involucrada, sin que se hayan reunido los elementos para establecer que si son probables responsables, con lo cual, se vería afectado de manera directa, su honor y derecho a la presunción de inocencia.</w:t>
      </w:r>
    </w:p>
    <w:p w14:paraId="2371EE8C"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64D9392A"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Así, toda vez que realizar el pronunciamiento afectaría el derecho al honor, buena imagen y presunción de inocencia de la servidora pública, se considera que deberá clasificarlo en </w:t>
      </w:r>
      <w:r w:rsidRPr="00FF0CAB">
        <w:rPr>
          <w:rFonts w:ascii="Palatino Linotype" w:eastAsia="Calibri" w:hAnsi="Palatino Linotype" w:cs="Tahoma"/>
          <w:bCs/>
          <w:sz w:val="22"/>
          <w:szCs w:val="22"/>
          <w:lang w:eastAsia="en-US"/>
        </w:rPr>
        <w:lastRenderedPageBreak/>
        <w:t>términos del artículo 143, fracción I, de la Ley de Transparencia y Acceso a la Información Pública del Estado de México y Municipios.</w:t>
      </w:r>
    </w:p>
    <w:p w14:paraId="7C72FBF6"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6239084C" w14:textId="77777777" w:rsidR="00F72652" w:rsidRPr="00FF0CAB" w:rsidRDefault="00F72652" w:rsidP="00F72652">
      <w:pPr>
        <w:autoSpaceDE w:val="0"/>
        <w:autoSpaceDN w:val="0"/>
        <w:spacing w:line="360" w:lineRule="auto"/>
        <w:jc w:val="both"/>
        <w:rPr>
          <w:rFonts w:ascii="Palatino Linotype" w:hAnsi="Palatino Linotype" w:cs="Tahoma"/>
          <w:b/>
          <w:sz w:val="22"/>
          <w:szCs w:val="22"/>
          <w:u w:val="single"/>
        </w:rPr>
      </w:pPr>
      <w:r w:rsidRPr="00FF0CAB">
        <w:rPr>
          <w:rFonts w:ascii="Palatino Linotype" w:hAnsi="Palatino Linotype" w:cs="Tahoma"/>
          <w:bCs/>
          <w:sz w:val="22"/>
          <w:szCs w:val="22"/>
        </w:rPr>
        <w:t xml:space="preserve">Ahora bien, es necesario señalar que conforme a al artículo 115 de la Ley General de Transparencia y Acceso a la Información Pública, relacionado con el 142 de la Ley de Transparencia y Acceso a la Información Pública del Estado de México y Municipios y el Trigésimo Séptimo de los Lineamientos Generales, </w:t>
      </w:r>
      <w:r w:rsidRPr="00FF0CAB">
        <w:rPr>
          <w:rFonts w:ascii="Palatino Linotype" w:hAnsi="Palatino Linotype" w:cs="Tahoma"/>
          <w:sz w:val="22"/>
          <w:szCs w:val="22"/>
        </w:rPr>
        <w:t>no podrá invocarse la clasificación de aquella información que se encuentre relacionada con posibles violaciones a derechos humanos o actos de corrupción.</w:t>
      </w:r>
    </w:p>
    <w:p w14:paraId="4100363C" w14:textId="77777777" w:rsidR="00F72652" w:rsidRPr="00FF0CAB" w:rsidRDefault="00F72652" w:rsidP="00F72652">
      <w:pPr>
        <w:autoSpaceDE w:val="0"/>
        <w:autoSpaceDN w:val="0"/>
        <w:spacing w:line="360" w:lineRule="auto"/>
        <w:jc w:val="both"/>
        <w:rPr>
          <w:rFonts w:ascii="Palatino Linotype" w:hAnsi="Palatino Linotype" w:cs="Tahoma"/>
          <w:bCs/>
          <w:sz w:val="22"/>
          <w:szCs w:val="22"/>
        </w:rPr>
      </w:pPr>
    </w:p>
    <w:p w14:paraId="402D617B" w14:textId="77777777" w:rsidR="00F72652" w:rsidRPr="00FF0CAB" w:rsidRDefault="00F72652" w:rsidP="00F72652">
      <w:pPr>
        <w:spacing w:line="360" w:lineRule="auto"/>
        <w:jc w:val="both"/>
        <w:rPr>
          <w:rFonts w:ascii="Palatino Linotype" w:hAnsi="Palatino Linotype" w:cs="Tahoma"/>
          <w:sz w:val="22"/>
          <w:szCs w:val="22"/>
          <w:lang w:val="es-ES"/>
        </w:rPr>
      </w:pPr>
      <w:r w:rsidRPr="00FF0CAB">
        <w:rPr>
          <w:rFonts w:ascii="Palatino Linotype" w:hAnsi="Palatino Linotype" w:cs="Tahoma"/>
          <w:sz w:val="22"/>
          <w:szCs w:val="22"/>
          <w:lang w:val="es-ES"/>
        </w:rPr>
        <w:t>En ese contexto, resulta necesario, los artículos 3°, fracción XII y 8°, fracción VI, de la Ley General de Transparencia y Acceso a la Información Pública, relacionados con los diversos 3°, fracción XXII y 9°, fracción VII, de la Ley de Transparencia y Acceso a la Información Pública del Estado de México, establecen lo siguiente:</w:t>
      </w:r>
    </w:p>
    <w:p w14:paraId="280182AD" w14:textId="77777777" w:rsidR="00F72652" w:rsidRPr="00FF0CAB" w:rsidRDefault="00F72652" w:rsidP="00F72652">
      <w:pPr>
        <w:spacing w:line="360" w:lineRule="auto"/>
        <w:jc w:val="both"/>
        <w:rPr>
          <w:rFonts w:ascii="Palatino Linotype" w:hAnsi="Palatino Linotype" w:cs="Tahoma"/>
          <w:sz w:val="22"/>
          <w:szCs w:val="22"/>
          <w:lang w:val="es-ES"/>
        </w:rPr>
      </w:pPr>
    </w:p>
    <w:p w14:paraId="5CFEFC44" w14:textId="77777777" w:rsidR="00F72652" w:rsidRPr="00FF0CAB" w:rsidRDefault="00F72652" w:rsidP="00F72652">
      <w:pPr>
        <w:pStyle w:val="Prrafodelista"/>
        <w:numPr>
          <w:ilvl w:val="0"/>
          <w:numId w:val="34"/>
        </w:numPr>
        <w:spacing w:line="360" w:lineRule="auto"/>
        <w:jc w:val="both"/>
        <w:rPr>
          <w:rFonts w:ascii="Palatino Linotype" w:hAnsi="Palatino Linotype" w:cs="Tahoma"/>
          <w:b/>
          <w:szCs w:val="22"/>
          <w:lang w:val="es-ES"/>
        </w:rPr>
      </w:pPr>
      <w:r w:rsidRPr="00FF0CAB">
        <w:rPr>
          <w:rFonts w:ascii="Palatino Linotype" w:hAnsi="Palatino Linotype" w:cs="Tahoma"/>
          <w:b/>
          <w:szCs w:val="22"/>
          <w:lang w:val="es-ES"/>
        </w:rPr>
        <w:t xml:space="preserve">Principio de Máxima Publicidad: </w:t>
      </w:r>
      <w:r w:rsidRPr="00FF0CAB">
        <w:rPr>
          <w:rFonts w:ascii="Palatino Linotype" w:hAnsi="Palatino Linotype" w:cs="Tahoma"/>
          <w:szCs w:val="22"/>
          <w:lang w:val="es-ES"/>
        </w:rPr>
        <w:t>Precisa que toda la información en posesión de los entes sujetos a las Leyes de Transparencia, es pública, completa, oportuna y accesible, sujeta a un claro régimen de excepciones.</w:t>
      </w:r>
    </w:p>
    <w:p w14:paraId="3D20993D" w14:textId="77777777" w:rsidR="00F72652" w:rsidRPr="00FF0CAB" w:rsidRDefault="00F72652" w:rsidP="00F72652">
      <w:pPr>
        <w:pStyle w:val="Prrafodelista"/>
        <w:spacing w:line="360" w:lineRule="auto"/>
        <w:jc w:val="both"/>
        <w:rPr>
          <w:rFonts w:ascii="Palatino Linotype" w:hAnsi="Palatino Linotype" w:cs="Tahoma"/>
          <w:b/>
          <w:szCs w:val="22"/>
          <w:lang w:val="es-ES"/>
        </w:rPr>
      </w:pPr>
    </w:p>
    <w:p w14:paraId="26A39F84" w14:textId="77777777" w:rsidR="00F72652" w:rsidRPr="00FF0CAB" w:rsidRDefault="00F72652" w:rsidP="00F72652">
      <w:pPr>
        <w:pStyle w:val="Prrafodelista"/>
        <w:numPr>
          <w:ilvl w:val="0"/>
          <w:numId w:val="34"/>
        </w:numPr>
        <w:spacing w:line="360" w:lineRule="auto"/>
        <w:jc w:val="both"/>
        <w:rPr>
          <w:rFonts w:ascii="Palatino Linotype" w:hAnsi="Palatino Linotype" w:cs="Tahoma"/>
          <w:b/>
          <w:szCs w:val="22"/>
          <w:lang w:val="es-ES"/>
        </w:rPr>
      </w:pPr>
      <w:r w:rsidRPr="00FF0CAB">
        <w:rPr>
          <w:rFonts w:ascii="Palatino Linotype" w:hAnsi="Palatino Linotype" w:cs="Tahoma"/>
          <w:b/>
          <w:szCs w:val="22"/>
          <w:lang w:val="es-ES"/>
        </w:rPr>
        <w:t xml:space="preserve">Información de Interés Público: </w:t>
      </w:r>
      <w:r w:rsidRPr="00FF0CAB">
        <w:rPr>
          <w:rFonts w:ascii="Palatino Linotype" w:hAnsi="Palatino Linotype" w:cs="Tahoma"/>
          <w:szCs w:val="22"/>
          <w:lang w:val="es-ES"/>
        </w:rPr>
        <w:t>Es aquella que resulta relevante o beneficiosa para la sociedad y no simplemente de interés individual, cuya divulgación resulta útil para que el público comprenda las actividades que llevan a cabo los sujetos obligados.</w:t>
      </w:r>
    </w:p>
    <w:p w14:paraId="6E2B4312" w14:textId="77777777" w:rsidR="00F72652" w:rsidRPr="00FF0CAB" w:rsidRDefault="00F72652" w:rsidP="00F72652">
      <w:pPr>
        <w:autoSpaceDE w:val="0"/>
        <w:autoSpaceDN w:val="0"/>
        <w:spacing w:line="360" w:lineRule="auto"/>
        <w:jc w:val="both"/>
        <w:rPr>
          <w:rFonts w:ascii="Palatino Linotype" w:hAnsi="Palatino Linotype" w:cs="Tahoma"/>
          <w:bCs/>
          <w:sz w:val="22"/>
          <w:szCs w:val="22"/>
        </w:rPr>
      </w:pPr>
    </w:p>
    <w:p w14:paraId="0CB90B9E" w14:textId="77777777" w:rsidR="00F72652" w:rsidRPr="00FF0CAB" w:rsidRDefault="00F72652" w:rsidP="00F72652">
      <w:pPr>
        <w:spacing w:line="360" w:lineRule="auto"/>
        <w:jc w:val="both"/>
        <w:rPr>
          <w:rFonts w:ascii="Palatino Linotype" w:hAnsi="Palatino Linotype" w:cs="Tahoma"/>
          <w:sz w:val="22"/>
          <w:szCs w:val="22"/>
          <w:lang w:val="es-ES"/>
        </w:rPr>
      </w:pPr>
      <w:r w:rsidRPr="00FF0CAB">
        <w:rPr>
          <w:rFonts w:ascii="Palatino Linotype" w:hAnsi="Palatino Linotype" w:cs="Tahoma"/>
          <w:sz w:val="22"/>
          <w:szCs w:val="22"/>
          <w:lang w:val="es-ES"/>
        </w:rPr>
        <w:t xml:space="preserve">Como se logra observar, el interés público está íntimamente relacionado, con el principio de máxima publicidad y las excepciones a la clasificación de la información; lo anterior, pues existe un interés general de la sociedad de conocer sobre los actos de corrupción y las posibles </w:t>
      </w:r>
      <w:r w:rsidRPr="00FF0CAB">
        <w:rPr>
          <w:rFonts w:ascii="Palatino Linotype" w:hAnsi="Palatino Linotype" w:cs="Tahoma"/>
          <w:sz w:val="22"/>
          <w:szCs w:val="22"/>
          <w:lang w:val="es-ES"/>
        </w:rPr>
        <w:lastRenderedPageBreak/>
        <w:t>violaciones a derechos humanos, pues no son afectaciones que se dan en lo individual, sino que existe un detrimento en un grupo o en la población en general.</w:t>
      </w:r>
    </w:p>
    <w:p w14:paraId="31FF6C77" w14:textId="77777777" w:rsidR="00F72652" w:rsidRPr="00FF0CAB" w:rsidRDefault="00F72652" w:rsidP="00F72652">
      <w:pPr>
        <w:spacing w:line="360" w:lineRule="auto"/>
        <w:jc w:val="both"/>
        <w:rPr>
          <w:rFonts w:ascii="Palatino Linotype" w:hAnsi="Palatino Linotype" w:cs="Tahoma"/>
          <w:sz w:val="22"/>
          <w:szCs w:val="22"/>
          <w:lang w:val="es-ES"/>
        </w:rPr>
      </w:pPr>
    </w:p>
    <w:p w14:paraId="2EF0D052" w14:textId="0911126C" w:rsidR="00F72652" w:rsidRPr="00FF0CAB" w:rsidRDefault="00F72652" w:rsidP="00F72652">
      <w:pPr>
        <w:spacing w:line="360" w:lineRule="auto"/>
        <w:jc w:val="both"/>
        <w:rPr>
          <w:rFonts w:ascii="Palatino Linotype" w:hAnsi="Palatino Linotype" w:cs="Tahoma"/>
          <w:bCs/>
          <w:sz w:val="22"/>
          <w:szCs w:val="22"/>
        </w:rPr>
      </w:pPr>
      <w:r w:rsidRPr="00FF0CAB">
        <w:rPr>
          <w:rFonts w:ascii="Palatino Linotype" w:hAnsi="Palatino Linotype" w:cs="Tahoma"/>
          <w:sz w:val="22"/>
          <w:szCs w:val="22"/>
          <w:lang w:val="es-ES"/>
        </w:rPr>
        <w:t xml:space="preserve">Por tal motivo, se considera que en el presente caso, como ya se analizó el desvió de recursos </w:t>
      </w:r>
      <w:r w:rsidR="00F5045E" w:rsidRPr="00FF0CAB">
        <w:rPr>
          <w:rFonts w:ascii="Palatino Linotype" w:hAnsi="Palatino Linotype" w:cs="Tahoma"/>
          <w:sz w:val="22"/>
          <w:szCs w:val="22"/>
          <w:lang w:val="es-ES"/>
        </w:rPr>
        <w:t>está</w:t>
      </w:r>
      <w:r w:rsidRPr="00FF0CAB">
        <w:rPr>
          <w:rFonts w:ascii="Palatino Linotype" w:hAnsi="Palatino Linotype" w:cs="Tahoma"/>
          <w:sz w:val="22"/>
          <w:szCs w:val="22"/>
          <w:lang w:val="es-ES"/>
        </w:rPr>
        <w:t xml:space="preserve"> considerado como falta grave por lo que está relacionado con la excepción </w:t>
      </w:r>
      <w:r w:rsidR="00F5045E" w:rsidRPr="00FF0CAB">
        <w:rPr>
          <w:rFonts w:ascii="Palatino Linotype" w:hAnsi="Palatino Linotype" w:cs="Tahoma"/>
          <w:sz w:val="22"/>
          <w:szCs w:val="22"/>
          <w:lang w:val="es-ES"/>
        </w:rPr>
        <w:t>establecida</w:t>
      </w:r>
      <w:r w:rsidRPr="00FF0CAB">
        <w:rPr>
          <w:rFonts w:ascii="Palatino Linotype" w:hAnsi="Palatino Linotype" w:cs="Tahoma"/>
          <w:sz w:val="22"/>
          <w:szCs w:val="22"/>
          <w:lang w:val="es-ES"/>
        </w:rPr>
        <w:t xml:space="preserve"> en</w:t>
      </w:r>
      <w:r w:rsidR="00F5045E" w:rsidRPr="00FF0CAB">
        <w:rPr>
          <w:rFonts w:ascii="Palatino Linotype" w:hAnsi="Palatino Linotype" w:cs="Tahoma"/>
          <w:sz w:val="22"/>
          <w:szCs w:val="22"/>
          <w:lang w:val="es-ES"/>
        </w:rPr>
        <w:t xml:space="preserve"> la fracción IV d</w:t>
      </w:r>
      <w:r w:rsidRPr="00FF0CAB">
        <w:rPr>
          <w:rFonts w:ascii="Palatino Linotype" w:hAnsi="Palatino Linotype" w:cs="Tahoma"/>
          <w:sz w:val="22"/>
          <w:szCs w:val="22"/>
          <w:lang w:val="es-ES"/>
        </w:rPr>
        <w:t xml:space="preserve">el artículo </w:t>
      </w:r>
      <w:r w:rsidRPr="00FF0CAB">
        <w:rPr>
          <w:rFonts w:ascii="Palatino Linotype" w:hAnsi="Palatino Linotype" w:cs="Tahoma"/>
          <w:bCs/>
          <w:sz w:val="22"/>
          <w:szCs w:val="22"/>
        </w:rPr>
        <w:t>142 de la Ley de Transparencia y Acceso a la Información Pública del Estado de México y Municipios</w:t>
      </w:r>
      <w:r w:rsidR="00F5045E" w:rsidRPr="00FF0CAB">
        <w:rPr>
          <w:rFonts w:ascii="Palatino Linotype" w:hAnsi="Palatino Linotype" w:cs="Tahoma"/>
          <w:bCs/>
          <w:sz w:val="22"/>
          <w:szCs w:val="22"/>
        </w:rPr>
        <w:t xml:space="preserve"> por tratarse de información relacionada con actos de corrupción, por lo que en todo caso deberá entregar</w:t>
      </w:r>
      <w:r w:rsidRPr="00FF0CAB">
        <w:rPr>
          <w:rFonts w:ascii="Palatino Linotype" w:hAnsi="Palatino Linotype" w:cs="Tahoma"/>
          <w:bCs/>
          <w:sz w:val="22"/>
          <w:szCs w:val="22"/>
        </w:rPr>
        <w:t xml:space="preserve">, los documentos </w:t>
      </w:r>
      <w:r w:rsidR="00F5045E" w:rsidRPr="00FF0CAB">
        <w:rPr>
          <w:rFonts w:ascii="Palatino Linotype" w:hAnsi="Palatino Linotype" w:cs="Tahoma"/>
          <w:bCs/>
          <w:sz w:val="22"/>
          <w:szCs w:val="22"/>
        </w:rPr>
        <w:t>en donde conste el total de procedimientos instaurados en su contra</w:t>
      </w:r>
      <w:r w:rsidRPr="00FF0CAB">
        <w:rPr>
          <w:rFonts w:ascii="Palatino Linotype" w:hAnsi="Palatino Linotype" w:cs="Tahoma"/>
          <w:bCs/>
          <w:sz w:val="22"/>
          <w:szCs w:val="22"/>
        </w:rPr>
        <w:t>.</w:t>
      </w:r>
    </w:p>
    <w:p w14:paraId="6774B161"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17371F29" w14:textId="77777777" w:rsidR="00F72652" w:rsidRPr="00FF0CAB" w:rsidRDefault="00F72652" w:rsidP="00F72652">
      <w:pPr>
        <w:tabs>
          <w:tab w:val="left" w:pos="3962"/>
        </w:tabs>
        <w:spacing w:line="360" w:lineRule="auto"/>
        <w:jc w:val="both"/>
        <w:rPr>
          <w:rFonts w:ascii="Palatino Linotype" w:eastAsia="Calibri" w:hAnsi="Palatino Linotype" w:cs="Tahoma"/>
          <w:b/>
          <w:bCs/>
          <w:sz w:val="22"/>
          <w:szCs w:val="22"/>
          <w:lang w:eastAsia="en-US"/>
        </w:rPr>
      </w:pPr>
      <w:r w:rsidRPr="00FF0CAB">
        <w:rPr>
          <w:rFonts w:ascii="Palatino Linotype" w:eastAsia="Calibri" w:hAnsi="Palatino Linotype" w:cs="Tahoma"/>
          <w:b/>
          <w:bCs/>
          <w:sz w:val="22"/>
          <w:szCs w:val="22"/>
          <w:lang w:eastAsia="en-US"/>
        </w:rPr>
        <w:t>Procedimiento concluido por faltas administrativas graves.</w:t>
      </w:r>
    </w:p>
    <w:p w14:paraId="38B31ED1"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4AB2173C"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eastAsia="en-US"/>
        </w:rPr>
      </w:pPr>
      <w:r w:rsidRPr="00FF0CAB">
        <w:rPr>
          <w:rFonts w:ascii="Palatino Linotype" w:eastAsia="Calibri" w:hAnsi="Palatino Linotype" w:cs="Tahoma"/>
          <w:bCs/>
          <w:iCs/>
          <w:sz w:val="22"/>
          <w:szCs w:val="22"/>
          <w:lang w:val="es-ES" w:eastAsia="en-US"/>
        </w:rPr>
        <w:t xml:space="preserve">Al respecto, cabe señalar que, si bien entregar el pronunciamiento respecto a la existencia de un procedimiento de sanción administrativa, podría generar </w:t>
      </w:r>
      <w:r w:rsidRPr="00FF0CAB">
        <w:rPr>
          <w:rFonts w:ascii="Palatino Linotype" w:eastAsia="Calibri" w:hAnsi="Palatino Linotype" w:cs="Tahoma"/>
          <w:bCs/>
          <w:iCs/>
          <w:sz w:val="22"/>
          <w:szCs w:val="22"/>
          <w:lang w:eastAsia="en-US"/>
        </w:rPr>
        <w:t xml:space="preserve">una percepción negativa de éste, ocasionando un perjuicio en su </w:t>
      </w:r>
      <w:r w:rsidRPr="00FF0CAB">
        <w:rPr>
          <w:rFonts w:ascii="Palatino Linotype" w:eastAsia="Calibri" w:hAnsi="Palatino Linotype" w:cs="Tahoma"/>
          <w:b/>
          <w:bCs/>
          <w:iCs/>
          <w:sz w:val="22"/>
          <w:szCs w:val="22"/>
          <w:lang w:eastAsia="en-US"/>
        </w:rPr>
        <w:t xml:space="preserve">honor, intimidad, buena imagen y nombre, así como a su vida privada, </w:t>
      </w:r>
      <w:r w:rsidRPr="00FF0CAB">
        <w:rPr>
          <w:rFonts w:ascii="Palatino Linotype" w:eastAsia="Calibri" w:hAnsi="Palatino Linotype" w:cs="Tahoma"/>
          <w:bCs/>
          <w:iCs/>
          <w:sz w:val="22"/>
          <w:szCs w:val="22"/>
          <w:lang w:eastAsia="en-US"/>
        </w:rPr>
        <w:t xml:space="preserve">también lo es, que en el presente caso se trataría de </w:t>
      </w:r>
      <w:r w:rsidRPr="00FF0CAB">
        <w:rPr>
          <w:rFonts w:ascii="Palatino Linotype" w:eastAsia="Calibri" w:hAnsi="Palatino Linotype" w:cs="Tahoma"/>
          <w:b/>
          <w:bCs/>
          <w:iCs/>
          <w:sz w:val="22"/>
          <w:szCs w:val="22"/>
          <w:lang w:eastAsia="en-US"/>
        </w:rPr>
        <w:t>faltas graves.</w:t>
      </w:r>
    </w:p>
    <w:p w14:paraId="6EFC7600" w14:textId="77777777" w:rsidR="00F5045E" w:rsidRPr="00FF0CAB" w:rsidRDefault="00F5045E" w:rsidP="00F72652">
      <w:pPr>
        <w:tabs>
          <w:tab w:val="left" w:pos="3962"/>
        </w:tabs>
        <w:spacing w:line="360" w:lineRule="auto"/>
        <w:jc w:val="both"/>
        <w:rPr>
          <w:rFonts w:ascii="Palatino Linotype" w:eastAsia="Calibri" w:hAnsi="Palatino Linotype" w:cs="Tahoma"/>
          <w:b/>
          <w:bCs/>
          <w:iCs/>
          <w:sz w:val="22"/>
          <w:szCs w:val="22"/>
          <w:lang w:eastAsia="en-US"/>
        </w:rPr>
      </w:pPr>
    </w:p>
    <w:p w14:paraId="2D323470"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eastAsia="en-US"/>
        </w:rPr>
      </w:pPr>
      <w:r w:rsidRPr="00FF0CAB">
        <w:rPr>
          <w:rFonts w:ascii="Palatino Linotype" w:eastAsia="Calibri" w:hAnsi="Palatino Linotype" w:cs="Tahoma"/>
          <w:bCs/>
          <w:iCs/>
          <w:sz w:val="22"/>
          <w:szCs w:val="22"/>
          <w:lang w:eastAsia="en-US"/>
        </w:rPr>
        <w:t>Al respecto, en términos del artículo 52 y 82 de la Ley de Responsabilidades Administrativas del Estado de México y Municipios, establece que son faltas administrativas graves, cuando un servidor público cometa cohecho, peculado, desvío de recursos públicos, abuso de funciones, realizar hostigamiento y acoso sexual, enriquecimiento oculto, tráfico de influencias, entre otros, los cuales recaer en diversas sanciones, entre las que se encuentran la destitución o en su caso, la sanción económica.</w:t>
      </w:r>
    </w:p>
    <w:p w14:paraId="7A1265C8"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2ED7933B"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Además, cabe señalar que la mayoría de dichas conductas, se encuentran reguladas en el Título Sexto Delitos por Hechos de Corrupción, del Código Penal del Estado de México, en </w:t>
      </w:r>
      <w:r w:rsidRPr="00FF0CAB">
        <w:rPr>
          <w:rFonts w:ascii="Palatino Linotype" w:eastAsia="Calibri" w:hAnsi="Palatino Linotype" w:cs="Tahoma"/>
          <w:bCs/>
          <w:iCs/>
          <w:sz w:val="22"/>
          <w:szCs w:val="22"/>
          <w:lang w:val="es-ES" w:eastAsia="en-US"/>
        </w:rPr>
        <w:lastRenderedPageBreak/>
        <w:t>donde se prevé como delitos el abuso de autoridad, uso ilícito de atribuciones, ejercicio abusivo de funciones, cohecho, peculado y enriquecimiento ilícito.</w:t>
      </w:r>
    </w:p>
    <w:p w14:paraId="1F3815BA"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45A64B80"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Conforme a lo anterior, se logra vislumbrar que las faltas administrativas graves, causan un perjuicio de manera externa, esto es, a terceras personas o bien, a la hacienda o erario público; por lo que, se podría considerar que existe una trascendencia social, para dar a conocer dicha información, además que se relacionan dichas conductas con actos de corrupción, conforme a la normatividad citada en el párrafo previo.</w:t>
      </w:r>
    </w:p>
    <w:p w14:paraId="17AB398E"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1ECBBE13"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eastAsia="en-US"/>
        </w:rPr>
      </w:pPr>
      <w:r w:rsidRPr="00FF0CAB">
        <w:rPr>
          <w:rFonts w:ascii="Palatino Linotype" w:eastAsia="Calibri" w:hAnsi="Palatino Linotype" w:cs="Tahoma"/>
          <w:bCs/>
          <w:iCs/>
          <w:sz w:val="22"/>
          <w:szCs w:val="22"/>
          <w:lang w:val="es-ES" w:eastAsia="en-US"/>
        </w:rPr>
        <w:t xml:space="preserve">En ese orden de ideas, si bien el nombre de los servidores públicos sancionados por un procedimientos de responsabilidades administrativas por faltas graves, en caso de existir, podrían generar </w:t>
      </w:r>
      <w:r w:rsidRPr="00FF0CAB">
        <w:rPr>
          <w:rFonts w:ascii="Palatino Linotype" w:eastAsia="Calibri" w:hAnsi="Palatino Linotype" w:cs="Tahoma"/>
          <w:bCs/>
          <w:iCs/>
          <w:sz w:val="22"/>
          <w:szCs w:val="22"/>
          <w:lang w:eastAsia="en-US"/>
        </w:rPr>
        <w:t>una percepción negativa de éste, ocasionando un perjuicio en su honor, intimidad y buena imagen de un trabajador gubernamental, también lo es que existe un interés público en darlas a conocer, pues establecen que el actuar de un servidor público, en ejercicio de sus atribuciones, fue en contra de las disposiciones normativas aplicables y que causaron un perjuicio a otras personas o al erario público.</w:t>
      </w:r>
    </w:p>
    <w:p w14:paraId="0947AF4E"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1E1CF2FE"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Ante tales circunstancias, se desprende que, en el caso concreto, sobreviene una </w:t>
      </w:r>
      <w:r w:rsidRPr="00FF0CAB">
        <w:rPr>
          <w:rFonts w:ascii="Palatino Linotype" w:eastAsia="Calibri" w:hAnsi="Palatino Linotype" w:cs="Tahoma"/>
          <w:b/>
          <w:bCs/>
          <w:sz w:val="22"/>
          <w:szCs w:val="22"/>
          <w:lang w:eastAsia="en-US"/>
        </w:rPr>
        <w:t>colisión de derechos fundamentales,</w:t>
      </w:r>
      <w:r w:rsidRPr="00FF0CAB">
        <w:rPr>
          <w:rFonts w:ascii="Palatino Linotype" w:eastAsia="Calibri" w:hAnsi="Palatino Linotype" w:cs="Tahoma"/>
          <w:bCs/>
          <w:sz w:val="22"/>
          <w:szCs w:val="22"/>
          <w:lang w:eastAsia="en-US"/>
        </w:rPr>
        <w:t xml:space="preserve"> esto es, por una parte, se tiene el derecho de acceso a la información del Particular para conocer la información en análisis, y por la otra, el derecho a la protección de la vida privada de un servidor público, lo cual implica dar a conocer información confidencial consistente en dar a conocer que estuvo inmerso en un procedimiento de responsabilidad administrativa de falta grave.</w:t>
      </w:r>
    </w:p>
    <w:p w14:paraId="57A2C1D4"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19F2CDC4"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Sobre el particular, debe señalarse que, en un sistema jurídico racional, el contenido de ciertos derechos fundamentales no es absoluto y la colisión entre derechos fundamentales debe </w:t>
      </w:r>
      <w:r w:rsidRPr="00FF0CAB">
        <w:rPr>
          <w:rFonts w:ascii="Palatino Linotype" w:eastAsia="Calibri" w:hAnsi="Palatino Linotype" w:cs="Tahoma"/>
          <w:bCs/>
          <w:sz w:val="22"/>
          <w:szCs w:val="22"/>
          <w:lang w:eastAsia="en-US"/>
        </w:rPr>
        <w:lastRenderedPageBreak/>
        <w:t>resolverse mediante una ponderación que determine el derecho que ha de prevalecer en el caso concretó, y no apelando a reglas de prioridad entre normas.</w:t>
      </w:r>
    </w:p>
    <w:p w14:paraId="12CC9353"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4D3C96B1"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 xml:space="preserve">Por cuanto hace a la colisión entre el derecho a la información y el derecho a la intimidad o a la vida privada, el Poder Judicial de la Federación ha sostenido la </w:t>
      </w:r>
      <w:r w:rsidRPr="00FF0CAB">
        <w:rPr>
          <w:rFonts w:ascii="Palatino Linotype" w:eastAsia="Calibri" w:hAnsi="Palatino Linotype" w:cs="Tahoma"/>
          <w:b/>
          <w:bCs/>
          <w:sz w:val="22"/>
          <w:szCs w:val="22"/>
          <w:lang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FF0CAB">
        <w:rPr>
          <w:rFonts w:ascii="Palatino Linotype" w:eastAsia="Calibri" w:hAnsi="Palatino Linotype" w:cs="Tahoma"/>
          <w:bCs/>
          <w:sz w:val="22"/>
          <w:szCs w:val="22"/>
          <w:lang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286DDF57"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1A1DDAAF"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eastAsia="en-US"/>
        </w:rPr>
      </w:pPr>
      <w:r w:rsidRPr="00FF0CAB">
        <w:rPr>
          <w:rFonts w:ascii="Palatino Linotype" w:eastAsia="Calibri" w:hAnsi="Palatino Linotype" w:cs="Tahoma"/>
          <w:bCs/>
          <w:sz w:val="22"/>
          <w:szCs w:val="22"/>
          <w:lang w:eastAsia="en-US"/>
        </w:rPr>
        <w:t>En ese mismo sentido y atendiendo a la naturaleza del derecho a la protección de datos personales, por analogía, este debe ceder cuando exista un interés público mayor de acuerdo a las circunstancias del caso.</w:t>
      </w:r>
      <w:r w:rsidRPr="00FF0CAB">
        <w:rPr>
          <w:rFonts w:ascii="Palatino Linotype" w:eastAsia="Calibri" w:hAnsi="Palatino Linotype" w:cs="Tahoma"/>
          <w:bCs/>
          <w:iCs/>
          <w:sz w:val="22"/>
          <w:szCs w:val="22"/>
          <w:lang w:eastAsia="en-US"/>
        </w:rPr>
        <w:t xml:space="preserve"> Señalado lo anterior, resulta necesario realizar una ponderación de los dos intereses jurídicos tutelados que convergen en la controversia que se dirime; para lo cual, el artículo </w:t>
      </w:r>
      <w:r w:rsidRPr="00FF0CAB">
        <w:rPr>
          <w:rFonts w:ascii="Palatino Linotype" w:eastAsia="Calibri" w:hAnsi="Palatino Linotype" w:cs="Tahoma"/>
          <w:bCs/>
          <w:sz w:val="22"/>
          <w:szCs w:val="22"/>
          <w:lang w:eastAsia="en-US"/>
        </w:rPr>
        <w:t>184 de la Ley de Transparencia y Acceso a la Información Pública del Estado de México y Municipios</w:t>
      </w:r>
      <w:r w:rsidRPr="00FF0CAB">
        <w:rPr>
          <w:rFonts w:ascii="Palatino Linotype" w:eastAsia="Calibri" w:hAnsi="Palatino Linotype" w:cs="Tahoma"/>
          <w:bCs/>
          <w:iCs/>
          <w:sz w:val="22"/>
          <w:szCs w:val="22"/>
          <w:lang w:eastAsia="en-US"/>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065B2965"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eastAsia="en-US"/>
        </w:rPr>
      </w:pPr>
    </w:p>
    <w:p w14:paraId="724FB58B" w14:textId="77777777" w:rsidR="00F72652" w:rsidRPr="00FF0CAB" w:rsidRDefault="00F72652" w:rsidP="00F72652">
      <w:pPr>
        <w:numPr>
          <w:ilvl w:val="0"/>
          <w:numId w:val="37"/>
        </w:numPr>
        <w:tabs>
          <w:tab w:val="left" w:pos="3962"/>
        </w:tabs>
        <w:spacing w:line="360" w:lineRule="auto"/>
        <w:jc w:val="both"/>
        <w:rPr>
          <w:rFonts w:ascii="Palatino Linotype" w:eastAsia="Calibri" w:hAnsi="Palatino Linotype" w:cs="Tahoma"/>
          <w:bCs/>
          <w:iCs/>
          <w:sz w:val="22"/>
          <w:szCs w:val="22"/>
          <w:lang w:eastAsia="en-US"/>
        </w:rPr>
      </w:pPr>
      <w:r w:rsidRPr="00FF0CAB">
        <w:rPr>
          <w:rFonts w:ascii="Palatino Linotype" w:eastAsia="Calibri" w:hAnsi="Palatino Linotype" w:cs="Tahoma"/>
          <w:b/>
          <w:bCs/>
          <w:iCs/>
          <w:sz w:val="22"/>
          <w:szCs w:val="22"/>
          <w:lang w:eastAsia="en-US"/>
        </w:rPr>
        <w:t>Idoneidad:</w:t>
      </w:r>
      <w:r w:rsidRPr="00FF0CAB">
        <w:rPr>
          <w:rFonts w:ascii="Palatino Linotype" w:eastAsia="Calibri" w:hAnsi="Palatino Linotype" w:cs="Tahoma"/>
          <w:bCs/>
          <w:iCs/>
          <w:sz w:val="22"/>
          <w:szCs w:val="22"/>
          <w:lang w:eastAsia="en-US"/>
        </w:rPr>
        <w:t xml:space="preserve"> La legitimidad del derecho adoptado como preferente, que sea el adecuado para el logro de un fin constitucionalmente válido o apto para conseguir el fin pretendido;</w:t>
      </w:r>
    </w:p>
    <w:p w14:paraId="76F49BFD"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eastAsia="en-US"/>
        </w:rPr>
      </w:pPr>
    </w:p>
    <w:p w14:paraId="21113AEA" w14:textId="77777777" w:rsidR="00F72652" w:rsidRPr="00FF0CAB" w:rsidRDefault="00F72652" w:rsidP="00F72652">
      <w:pPr>
        <w:numPr>
          <w:ilvl w:val="0"/>
          <w:numId w:val="37"/>
        </w:numPr>
        <w:tabs>
          <w:tab w:val="left" w:pos="3962"/>
        </w:tabs>
        <w:spacing w:line="360" w:lineRule="auto"/>
        <w:jc w:val="both"/>
        <w:rPr>
          <w:rFonts w:ascii="Palatino Linotype" w:eastAsia="Calibri" w:hAnsi="Palatino Linotype" w:cs="Tahoma"/>
          <w:bCs/>
          <w:iCs/>
          <w:sz w:val="22"/>
          <w:szCs w:val="22"/>
          <w:lang w:eastAsia="en-US"/>
        </w:rPr>
      </w:pPr>
      <w:r w:rsidRPr="00FF0CAB">
        <w:rPr>
          <w:rFonts w:ascii="Palatino Linotype" w:eastAsia="Calibri" w:hAnsi="Palatino Linotype" w:cs="Tahoma"/>
          <w:b/>
          <w:bCs/>
          <w:iCs/>
          <w:sz w:val="22"/>
          <w:szCs w:val="22"/>
          <w:lang w:eastAsia="en-US"/>
        </w:rPr>
        <w:lastRenderedPageBreak/>
        <w:t>Necesidad:</w:t>
      </w:r>
      <w:r w:rsidRPr="00FF0CAB">
        <w:rPr>
          <w:rFonts w:ascii="Palatino Linotype" w:eastAsia="Calibri" w:hAnsi="Palatino Linotype" w:cs="Tahoma"/>
          <w:bCs/>
          <w:iCs/>
          <w:sz w:val="22"/>
          <w:szCs w:val="22"/>
          <w:lang w:eastAsia="en-US"/>
        </w:rPr>
        <w:t xml:space="preserve"> La falta de un medio alternativo menos lesivo a la apertura de la información, para satisfacer el interés público, y</w:t>
      </w:r>
    </w:p>
    <w:p w14:paraId="2D0DDC2E"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eastAsia="en-US"/>
        </w:rPr>
      </w:pPr>
    </w:p>
    <w:p w14:paraId="07C49AE5" w14:textId="77777777" w:rsidR="00F72652" w:rsidRPr="00FF0CAB" w:rsidRDefault="00F72652" w:rsidP="00F72652">
      <w:pPr>
        <w:numPr>
          <w:ilvl w:val="0"/>
          <w:numId w:val="37"/>
        </w:numPr>
        <w:tabs>
          <w:tab w:val="left" w:pos="3962"/>
        </w:tabs>
        <w:spacing w:line="360" w:lineRule="auto"/>
        <w:jc w:val="both"/>
        <w:rPr>
          <w:rFonts w:ascii="Palatino Linotype" w:eastAsia="Calibri" w:hAnsi="Palatino Linotype" w:cs="Tahoma"/>
          <w:bCs/>
          <w:iCs/>
          <w:sz w:val="22"/>
          <w:szCs w:val="22"/>
          <w:lang w:eastAsia="en-US"/>
        </w:rPr>
      </w:pPr>
      <w:r w:rsidRPr="00FF0CAB">
        <w:rPr>
          <w:rFonts w:ascii="Palatino Linotype" w:eastAsia="Calibri" w:hAnsi="Palatino Linotype" w:cs="Tahoma"/>
          <w:b/>
          <w:bCs/>
          <w:iCs/>
          <w:sz w:val="22"/>
          <w:szCs w:val="22"/>
          <w:lang w:eastAsia="en-US"/>
        </w:rPr>
        <w:t>Proporcionalidad:</w:t>
      </w:r>
      <w:r w:rsidRPr="00FF0CAB">
        <w:rPr>
          <w:rFonts w:ascii="Palatino Linotype" w:eastAsia="Calibri" w:hAnsi="Palatino Linotype" w:cs="Tahoma"/>
          <w:bCs/>
          <w:iCs/>
          <w:sz w:val="22"/>
          <w:szCs w:val="22"/>
          <w:lang w:eastAsia="en-US"/>
        </w:rPr>
        <w:t xml:space="preserve"> El equilibrio entre perjuicio y beneficio a favor del interés público, a fin de que la decisión tomada represente un beneficio mayor al perjuicio que podría causar a la población.</w:t>
      </w:r>
    </w:p>
    <w:p w14:paraId="1C76EFED"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19DF1B6F"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En ese orden de ideas, resulta procedente analizar cada uno de los elementos referidos, partiendo de que, en el caso concreto, se estima como preferente el derecho de acceso a la información, bajo las consideraciones que se verterán a continuación.</w:t>
      </w:r>
    </w:p>
    <w:p w14:paraId="1F2C3DFA"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7F5272B0"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r w:rsidRPr="00FF0CAB">
        <w:rPr>
          <w:rFonts w:ascii="Palatino Linotype" w:eastAsia="Calibri" w:hAnsi="Palatino Linotype" w:cs="Tahoma"/>
          <w:b/>
          <w:bCs/>
          <w:iCs/>
          <w:sz w:val="22"/>
          <w:szCs w:val="22"/>
          <w:lang w:eastAsia="en-US"/>
        </w:rPr>
        <w:t>a) Idoneidad</w:t>
      </w:r>
      <w:r w:rsidRPr="00FF0CAB">
        <w:rPr>
          <w:rFonts w:ascii="Palatino Linotype" w:eastAsia="Calibri" w:hAnsi="Palatino Linotype" w:cs="Tahoma"/>
          <w:bCs/>
          <w:sz w:val="22"/>
          <w:szCs w:val="22"/>
          <w:lang w:eastAsia="en-US"/>
        </w:rPr>
        <w:t>. El presente asunto representa un caso en el que el ejercicio del derecho de acceso a la información se contrapone al derecho a la vida privada; los cuales se encuentran reconocidos en el plano constitucional, en igualdad de características para los gobernados.</w:t>
      </w:r>
    </w:p>
    <w:p w14:paraId="1906C619"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p>
    <w:p w14:paraId="33EA5FCF"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Sin embargo, en el presente caso, existen dos fines válidos para otorgar los expedientes de procedimientos de responsabilidades administrativas graves, en caso de existir; los cuales, consisten en transparentar, por un lado, el desempeño de la extrabajadora en cuestión en el ejercicio de sus funciones, con la finalidad de calificar su actuar, ello con independencia de que tal funcionario también revista el carácter de persona física identificada e identificable, y por otro lado, la actividad desplegada por el </w:t>
      </w:r>
      <w:r w:rsidRPr="00FF0CAB">
        <w:rPr>
          <w:rFonts w:ascii="Palatino Linotype" w:eastAsia="Calibri" w:hAnsi="Palatino Linotype" w:cs="Tahoma"/>
          <w:bCs/>
          <w:iCs/>
          <w:sz w:val="22"/>
          <w:szCs w:val="22"/>
          <w:lang w:val="es-ES_tradnl" w:eastAsia="en-US"/>
        </w:rPr>
        <w:t>Órgano Interno de Control</w:t>
      </w:r>
      <w:r w:rsidRPr="00FF0CAB">
        <w:rPr>
          <w:rFonts w:ascii="Palatino Linotype" w:eastAsia="Calibri" w:hAnsi="Palatino Linotype" w:cs="Tahoma"/>
          <w:bCs/>
          <w:iCs/>
          <w:sz w:val="22"/>
          <w:szCs w:val="22"/>
          <w:lang w:val="es-ES" w:eastAsia="en-US"/>
        </w:rPr>
        <w:t xml:space="preserve"> de dicho ente y del Tribunal de Justicia Administrativa del Estado de México, en la investigación y determinación de los asuntos. Aunado, a que se relacionan dichas faltas, con actos de corrupción.</w:t>
      </w:r>
    </w:p>
    <w:p w14:paraId="416A60EA"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p>
    <w:p w14:paraId="2914CD3F"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Ahora bien, respecto al derecho al honor y a la privacidad, es establecido que cuando se hace referencia a servidores públicos, el umbral de protección del derecho a su honor debe permitir el más amplio control ciudadano sobre el ejercicio de sus funciones, porque el funcionario </w:t>
      </w:r>
      <w:r w:rsidRPr="00FF0CAB">
        <w:rPr>
          <w:rFonts w:ascii="Palatino Linotype" w:eastAsia="Calibri" w:hAnsi="Palatino Linotype" w:cs="Tahoma"/>
          <w:bCs/>
          <w:iCs/>
          <w:sz w:val="22"/>
          <w:szCs w:val="22"/>
          <w:lang w:val="es-ES" w:eastAsia="en-US"/>
        </w:rPr>
        <w:lastRenderedPageBreak/>
        <w:t>público se expone voluntariamente al escrutinio de la sociedad al asumir ciertas responsabilidades profesionales -lo que conlleva naturalmente mayores riesgos de sufrir afectaciones en su honor- y porque su condición le permite tener mayor influencia social y acceder con facilidad a los medios de comunicación para dar explicaciones o reaccionar ante hechos que lo involucren.</w:t>
      </w:r>
    </w:p>
    <w:p w14:paraId="1E12B45E"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p>
    <w:p w14:paraId="4E9E42C1"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Así, se advierte que aquellas personas con responsabilidades públicas mantienen la protección derivada del derecho al honor incluso cuando no estén actuando en carácter de particulares, pero las implicaciones de esta protección deben ser ponderadas con las que derivan del interés en un debate abierto sobre los asuntos públicos.</w:t>
      </w:r>
    </w:p>
    <w:p w14:paraId="2873C054"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7BA624AA"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En ese sentido, el hecho de que los servidores públicos concluyan sus funciones, no implica que termine el mayor nivel de tolerancia frente a la crítica de su desempeño, es decir, no significa que una vez que el servidor público termine su encargo, debe estar vedado publicar información </w:t>
      </w:r>
      <w:r w:rsidRPr="00FF0CAB">
        <w:rPr>
          <w:rFonts w:ascii="Palatino Linotype" w:eastAsia="Calibri" w:hAnsi="Palatino Linotype" w:cs="Tahoma"/>
          <w:b/>
          <w:bCs/>
          <w:iCs/>
          <w:sz w:val="22"/>
          <w:szCs w:val="22"/>
          <w:lang w:val="es-ES" w:eastAsia="en-US"/>
        </w:rPr>
        <w:t>respecto de su desempeño</w:t>
      </w:r>
      <w:r w:rsidRPr="00FF0CAB">
        <w:rPr>
          <w:rFonts w:ascii="Palatino Linotype" w:eastAsia="Calibri" w:hAnsi="Palatino Linotype" w:cs="Tahoma"/>
          <w:bCs/>
          <w:iCs/>
          <w:sz w:val="22"/>
          <w:szCs w:val="22"/>
          <w:lang w:val="es-ES" w:eastAsia="en-US"/>
        </w:rPr>
        <w:t xml:space="preserve"> o que se termine el mayor nivel de tolerancia que debe tener frente a la crítica, sino que ese mayor nivel de tolerancia, sólo se tiene frente a la información de interés público.</w:t>
      </w:r>
    </w:p>
    <w:p w14:paraId="2FD978E8"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45002C88"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En ese contexto, dado que la información se relaciona con el actuar de los servidores públicos adscritos a la Contraloría Municipal, </w:t>
      </w:r>
      <w:r w:rsidRPr="00FF0CAB">
        <w:rPr>
          <w:rFonts w:ascii="Palatino Linotype" w:eastAsia="Calibri" w:hAnsi="Palatino Linotype" w:cs="Tahoma"/>
          <w:b/>
          <w:bCs/>
          <w:iCs/>
          <w:sz w:val="22"/>
          <w:szCs w:val="22"/>
          <w:lang w:val="es-ES" w:eastAsia="en-US"/>
        </w:rPr>
        <w:t xml:space="preserve">existe un interés público por conocer </w:t>
      </w:r>
      <w:r w:rsidRPr="00FF0CAB">
        <w:rPr>
          <w:rFonts w:ascii="Palatino Linotype" w:eastAsia="Calibri" w:hAnsi="Palatino Linotype" w:cs="Tahoma"/>
          <w:bCs/>
          <w:iCs/>
          <w:sz w:val="22"/>
          <w:szCs w:val="22"/>
          <w:lang w:val="es-ES" w:eastAsia="en-US"/>
        </w:rPr>
        <w:t xml:space="preserve">si la ex servidora pública fue sancionada, y, por lo tanto, la información del interés del Particular no es susceptible de protección en tanto que su vinculación con una persona determinada reviste un interés público mayor de ser dado a conocer. </w:t>
      </w:r>
    </w:p>
    <w:p w14:paraId="32B9257D"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03DFFC36"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Lo anterior, ya que como se precisó en párrafos anteriores, proporcionar la información de referencia, garantizaría la rendición de cuentas por parte del </w:t>
      </w:r>
      <w:r w:rsidRPr="00FF0CAB">
        <w:rPr>
          <w:rFonts w:ascii="Palatino Linotype" w:eastAsia="Calibri" w:hAnsi="Palatino Linotype" w:cs="Tahoma"/>
          <w:bCs/>
          <w:iCs/>
          <w:sz w:val="22"/>
          <w:szCs w:val="22"/>
          <w:lang w:val="es-ES_tradnl" w:eastAsia="en-US"/>
        </w:rPr>
        <w:t>Órgano Interno de Control</w:t>
      </w:r>
      <w:r w:rsidRPr="00FF0CAB">
        <w:rPr>
          <w:rFonts w:ascii="Palatino Linotype" w:eastAsia="Calibri" w:hAnsi="Palatino Linotype" w:cs="Tahoma"/>
          <w:bCs/>
          <w:iCs/>
          <w:sz w:val="22"/>
          <w:szCs w:val="22"/>
          <w:lang w:val="es-ES" w:eastAsia="en-US"/>
        </w:rPr>
        <w:t xml:space="preserve"> y del Tribunal de Justicia Administrativa del Estado de México, relativo a su actuación, teniendo </w:t>
      </w:r>
      <w:r w:rsidRPr="00FF0CAB">
        <w:rPr>
          <w:rFonts w:ascii="Palatino Linotype" w:eastAsia="Calibri" w:hAnsi="Palatino Linotype" w:cs="Tahoma"/>
          <w:bCs/>
          <w:iCs/>
          <w:sz w:val="22"/>
          <w:szCs w:val="22"/>
          <w:lang w:val="es-ES" w:eastAsia="en-US"/>
        </w:rPr>
        <w:lastRenderedPageBreak/>
        <w:t>como consecuencia que los ciudadanos tengan confianza en sus autoridades, al poder conocer el nombre de los servidores públicos que fueron sancionados por una falta grave.</w:t>
      </w:r>
    </w:p>
    <w:p w14:paraId="42DB6840"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763B47C6"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Además, que, con dicha información, se estaría revelando que el desempeño de estos, no fue conforme a derecho, asimismo, de dar a conocer que los referidos acreditaron que había cometido faltas graves e inclusive actos de corrupción.</w:t>
      </w:r>
    </w:p>
    <w:p w14:paraId="5B3D5FAE"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5C8C6DA7"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Con base en lo anterior, se considera que el principio que se debe adoptar en el presente asunto es el que subyace en el derecho fundamental de acceso a la información, puesto que a través de éste se busca no sólo satisfacer un interés individual, sino la necesidad de la colectividad de estar en posibilidad de evaluar el desempeño de los servidores públicos y autoridades.</w:t>
      </w:r>
    </w:p>
    <w:p w14:paraId="12577889"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40B7E394"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
          <w:bCs/>
          <w:iCs/>
          <w:sz w:val="22"/>
          <w:szCs w:val="22"/>
          <w:lang w:val="es-ES" w:eastAsia="en-US"/>
        </w:rPr>
        <w:t xml:space="preserve">b) Necesidad: </w:t>
      </w:r>
      <w:r w:rsidRPr="00FF0CAB">
        <w:rPr>
          <w:rFonts w:ascii="Palatino Linotype" w:eastAsia="Calibri" w:hAnsi="Palatino Linotype" w:cs="Tahoma"/>
          <w:bCs/>
          <w:iCs/>
          <w:sz w:val="22"/>
          <w:szCs w:val="22"/>
          <w:lang w:val="es-ES" w:eastAsia="en-US"/>
        </w:rPr>
        <w:t>Por otra parte, este Instituto observa que también se actualiza el principio de necesidad, ya que no existe un medio menos oneroso para lograr el fin válido, pues se estima necesaria la difusión, en caso de existir, de la información requerida, es decir, del nombre de los servidores públicos sancionados, pues se relacionan con el ejercicio de sus funciones de los cargos ocupados, a fin de que los ciudadanos identifiquen el tipo de desempeño efectuado por el trabajador, en el ejercicio de sus atribuciones, con la finalidad de calificar su actuar, ello con independencia de que el funcionario también revista el carácter de persona física identificada e identificable, pues, tal como se hizo alusión en el análisis que precede, la protección de sus datos personales queda supeditada al interés mayor de conocer los motivos y circunstancias que dieron origen a las posibles responsabilidades administrativas instauradas en su contra, que en su caso obren en los archivos.</w:t>
      </w:r>
    </w:p>
    <w:p w14:paraId="69A28D5D"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1C161881"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 xml:space="preserve">Además, ello permite evaluar la actuación tanto del Tribunal de Justicia Administrativa del Estado de México, como del </w:t>
      </w:r>
      <w:r w:rsidRPr="00FF0CAB">
        <w:rPr>
          <w:rFonts w:ascii="Palatino Linotype" w:eastAsia="Calibri" w:hAnsi="Palatino Linotype" w:cs="Tahoma"/>
          <w:bCs/>
          <w:iCs/>
          <w:sz w:val="22"/>
          <w:szCs w:val="22"/>
          <w:lang w:val="es-ES_tradnl" w:eastAsia="en-US"/>
        </w:rPr>
        <w:t>Órgano Interno de Control</w:t>
      </w:r>
      <w:r w:rsidRPr="00FF0CAB">
        <w:rPr>
          <w:rFonts w:ascii="Palatino Linotype" w:eastAsia="Calibri" w:hAnsi="Palatino Linotype" w:cs="Tahoma"/>
          <w:bCs/>
          <w:iCs/>
          <w:sz w:val="22"/>
          <w:szCs w:val="22"/>
          <w:lang w:val="es-ES" w:eastAsia="en-US"/>
        </w:rPr>
        <w:t>, pues se podrá advertir la forma en la que ejercieron las funciones que legalmente tienen conferidas.</w:t>
      </w:r>
    </w:p>
    <w:p w14:paraId="16B6E009"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00BD8494"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Lo anterior, considerando que sólo por esta vía se podría lograr el acceso a la información correspondiente a los documentos del interés del Particular, para garantizar la rendición de cuentas sobre su actuación, así como, la de los servidores públicos sancionados.</w:t>
      </w:r>
    </w:p>
    <w:p w14:paraId="0193C3F0"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1CD07B13"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Situación que se robustece, con el hecho de que el artículo 27 de la Ley General de Responsabilidades Administrativas, cuarto párrafo, específica que se hará público, las constancias de sanciones o de inhabilitación que se encuentren firmes, en contra de los servidores públicos que hayan sido sancionados por actos vinculados con faltas administrativas graves; de la misma manera, lo prevé el artículo 28, de la Ley de Responsabilidades Administrativas del Estado de México.</w:t>
      </w:r>
    </w:p>
    <w:p w14:paraId="050E3F50"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0E9F9C1F"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En tal virtud, por la trascendencia social de la materia del requerimiento, el derecho de acceso a la información deberá prevalecer sobre el derecho a la privacidad; aunado, a que, por disposición legal, la información relacionada con faltas graves de servidores públicos, guardan el carácter de público.</w:t>
      </w:r>
    </w:p>
    <w:p w14:paraId="1C350800"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p>
    <w:p w14:paraId="3980A2B5"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
          <w:bCs/>
          <w:iCs/>
          <w:sz w:val="22"/>
          <w:szCs w:val="22"/>
          <w:lang w:val="es-ES" w:eastAsia="en-US"/>
        </w:rPr>
        <w:t>c) Proporcionalidad en sentido estricto:</w:t>
      </w:r>
      <w:r w:rsidRPr="00FF0CAB">
        <w:rPr>
          <w:rFonts w:ascii="Palatino Linotype" w:eastAsia="Calibri" w:hAnsi="Palatino Linotype" w:cs="Tahoma"/>
          <w:bCs/>
          <w:iCs/>
          <w:sz w:val="22"/>
          <w:szCs w:val="22"/>
          <w:lang w:val="es-ES" w:eastAsia="en-US"/>
        </w:rPr>
        <w:t xml:space="preserve"> El sacrificio de la protección del nombre de los servidores públicos, en caso de que haya sido sujeto a proceso y cuente con una resolución condenatoria por haber cometido faltas administrativas graves, relacionadas con el desempeño de sus funciones, como medio para lograr el fin válido señalado, se justifica en razón de que se satisface el interés público en conocer el desempeño de sus funciones como trabajador gubernamental, esto es, que no actuó conforme a derecho, así como, la actividad desplegada por las autoridades correspondientes, en el trámite de dichos asuntos. Además, que como se precisó en párrafos previos, dichas faltas recaen en una afectación, para terceras personas, o bien, al erario público.</w:t>
      </w:r>
    </w:p>
    <w:p w14:paraId="16EECC84"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62289C26"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lastRenderedPageBreak/>
        <w:t>De esta manera, se logra un mayor beneficio en proporción del otro derecho que se verá restringido, logrando publicitar información que es de interés público, por lo que, se advierte que el daño que se causaría con su difusión es menor a aquél que se causaría con su resguardo.</w:t>
      </w:r>
    </w:p>
    <w:p w14:paraId="4AFB407C"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23E5B75B"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En ese orden de ideas, es posible advertir un margen de beneficio mayor al favorecer el derecho de acceso a la información, respecto del derecho a la vida privada; por lo que, la intervención que subsume este ejercicio de ponderación apunta a la obtención de mayores efectos positivos y una afectación menor en la esfera de privacidad de los servidores públicos.</w:t>
      </w:r>
    </w:p>
    <w:p w14:paraId="3EB7DD86"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2EBA31C0"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r w:rsidRPr="00FF0CAB">
        <w:rPr>
          <w:rFonts w:ascii="Palatino Linotype" w:eastAsia="Calibri" w:hAnsi="Palatino Linotype" w:cs="Tahoma"/>
          <w:bCs/>
          <w:iCs/>
          <w:sz w:val="22"/>
          <w:szCs w:val="22"/>
          <w:lang w:val="es-ES" w:eastAsia="en-US"/>
        </w:rPr>
        <w:t>Asimismo se robustece con el hecho de que la difusión de la información solicitada contribuiría a garantizar el ejercicio de acceso a la información, a favorecer la rendición de cuentas a los ciudadanos, de manera que puedan valorar el desempeño de los sujetos obligados y servidores públicos, además de fortalecer el escrutinio ciudadano sobre las actividades sustantivas de los sujetos obligados, en cumplimiento a los objetivos previstos en el artículo 2 de la Ley Federal de Transparencia y Acceso a la Información Pública.</w:t>
      </w:r>
    </w:p>
    <w:p w14:paraId="381364F2" w14:textId="77777777"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 w:eastAsia="en-US"/>
        </w:rPr>
      </w:pPr>
    </w:p>
    <w:p w14:paraId="5B147BB8"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r w:rsidRPr="00FF0CAB">
        <w:rPr>
          <w:rFonts w:ascii="Palatino Linotype" w:eastAsia="Calibri" w:hAnsi="Palatino Linotype" w:cs="Tahoma"/>
          <w:bCs/>
          <w:iCs/>
          <w:sz w:val="22"/>
          <w:szCs w:val="22"/>
          <w:lang w:val="es-ES" w:eastAsia="en-US"/>
        </w:rPr>
        <w:t xml:space="preserve">Por tanto, se concluye que, al tenor de la ponderación realizada, se cumple con los tres elementos para darle preminencia, en el caso concreto, </w:t>
      </w:r>
      <w:r w:rsidRPr="00FF0CAB">
        <w:rPr>
          <w:rFonts w:ascii="Palatino Linotype" w:eastAsia="Calibri" w:hAnsi="Palatino Linotype" w:cs="Tahoma"/>
          <w:b/>
          <w:bCs/>
          <w:iCs/>
          <w:sz w:val="22"/>
          <w:szCs w:val="22"/>
          <w:lang w:val="es-ES" w:eastAsia="en-US"/>
        </w:rPr>
        <w:t>al derecho de acceso a la información.</w:t>
      </w:r>
    </w:p>
    <w:p w14:paraId="3BDB1996" w14:textId="77777777" w:rsidR="00F72652" w:rsidRPr="00FF0CAB" w:rsidRDefault="00F72652" w:rsidP="00F72652">
      <w:pPr>
        <w:tabs>
          <w:tab w:val="left" w:pos="3962"/>
        </w:tabs>
        <w:spacing w:line="360" w:lineRule="auto"/>
        <w:jc w:val="both"/>
        <w:rPr>
          <w:rFonts w:ascii="Palatino Linotype" w:eastAsia="Calibri" w:hAnsi="Palatino Linotype" w:cs="Tahoma"/>
          <w:b/>
          <w:bCs/>
          <w:iCs/>
          <w:sz w:val="22"/>
          <w:szCs w:val="22"/>
          <w:lang w:val="es-ES" w:eastAsia="en-US"/>
        </w:rPr>
      </w:pPr>
    </w:p>
    <w:p w14:paraId="5F715DDE" w14:textId="561F81F9" w:rsidR="00F72652" w:rsidRPr="00FF0CAB" w:rsidRDefault="00F72652" w:rsidP="00F72652">
      <w:pPr>
        <w:tabs>
          <w:tab w:val="left" w:pos="3962"/>
        </w:tabs>
        <w:spacing w:line="360" w:lineRule="auto"/>
        <w:jc w:val="both"/>
        <w:rPr>
          <w:rFonts w:ascii="Palatino Linotype" w:eastAsia="Calibri" w:hAnsi="Palatino Linotype" w:cs="Tahoma"/>
          <w:bCs/>
          <w:iCs/>
          <w:sz w:val="22"/>
          <w:szCs w:val="22"/>
          <w:lang w:val="es-ES_tradnl" w:eastAsia="en-US"/>
        </w:rPr>
      </w:pPr>
      <w:r w:rsidRPr="00FF0CAB">
        <w:rPr>
          <w:rFonts w:ascii="Palatino Linotype" w:eastAsia="Calibri" w:hAnsi="Palatino Linotype" w:cs="Tahoma"/>
          <w:bCs/>
          <w:iCs/>
          <w:sz w:val="22"/>
          <w:szCs w:val="22"/>
          <w:lang w:val="es-ES" w:eastAsia="en-US"/>
        </w:rPr>
        <w:t xml:space="preserve">Por lo expuesto, se determina que, en caso de existir procedimientos de responsabilidades administrativas por faltas graves concluidos, que se encuentren relacionados con el desempeño de las funciones de la servidora pública, si bien </w:t>
      </w:r>
      <w:r w:rsidRPr="00FF0CAB">
        <w:rPr>
          <w:rFonts w:ascii="Palatino Linotype" w:eastAsia="Calibri" w:hAnsi="Palatino Linotype" w:cs="Tahoma"/>
          <w:bCs/>
          <w:iCs/>
          <w:sz w:val="22"/>
          <w:szCs w:val="22"/>
          <w:lang w:val="es-ES_tradnl" w:eastAsia="en-US"/>
        </w:rPr>
        <w:t xml:space="preserve">la difusión de la documentación afectaría los derechos a la confidencialidad, a la privacidad, al honor y a la propia imagen, también lo es que </w:t>
      </w:r>
      <w:r w:rsidRPr="00FF0CAB">
        <w:rPr>
          <w:rFonts w:ascii="Palatino Linotype" w:eastAsia="Calibri" w:hAnsi="Palatino Linotype" w:cs="Tahoma"/>
          <w:b/>
          <w:bCs/>
          <w:iCs/>
          <w:sz w:val="22"/>
          <w:szCs w:val="22"/>
          <w:lang w:val="es-ES_tradnl" w:eastAsia="en-US"/>
        </w:rPr>
        <w:t>tratándose de asuntos relacionados con actos de corrupción, al ser faltas graves, tales prerrogativas quedan supeditadas al interés mayor de conocer tales eventualidades</w:t>
      </w:r>
      <w:r w:rsidRPr="00FF0CAB">
        <w:rPr>
          <w:rFonts w:ascii="Palatino Linotype" w:eastAsia="Calibri" w:hAnsi="Palatino Linotype" w:cs="Tahoma"/>
          <w:bCs/>
          <w:iCs/>
          <w:sz w:val="22"/>
          <w:szCs w:val="22"/>
          <w:lang w:val="es-ES_tradnl" w:eastAsia="en-US"/>
        </w:rPr>
        <w:t xml:space="preserve"> y por lo tanto no precede su clasificación en términos del artículo 143, fracción I de la Ley de la materia.</w:t>
      </w:r>
    </w:p>
    <w:p w14:paraId="1B2AE757" w14:textId="77777777" w:rsidR="00F72652" w:rsidRPr="00FF0CAB" w:rsidRDefault="00F72652" w:rsidP="00F72652">
      <w:pPr>
        <w:tabs>
          <w:tab w:val="left" w:pos="3962"/>
        </w:tabs>
        <w:spacing w:line="360" w:lineRule="auto"/>
        <w:jc w:val="both"/>
        <w:rPr>
          <w:rFonts w:ascii="Palatino Linotype" w:eastAsia="Calibri" w:hAnsi="Palatino Linotype" w:cs="Tahoma"/>
          <w:bCs/>
          <w:sz w:val="22"/>
          <w:szCs w:val="22"/>
          <w:lang w:eastAsia="en-US"/>
        </w:rPr>
      </w:pPr>
    </w:p>
    <w:p w14:paraId="3AE19D1D" w14:textId="57CA1AD3" w:rsidR="00FE663A" w:rsidRPr="00FF0CAB" w:rsidRDefault="00FE663A" w:rsidP="00FE663A">
      <w:pPr>
        <w:spacing w:line="360" w:lineRule="auto"/>
        <w:contextualSpacing/>
        <w:jc w:val="both"/>
        <w:rPr>
          <w:rFonts w:ascii="Palatino Linotype" w:hAnsi="Palatino Linotype" w:cs="Tahoma"/>
          <w:b/>
          <w:sz w:val="22"/>
          <w:szCs w:val="22"/>
        </w:rPr>
      </w:pPr>
      <w:bookmarkStart w:id="2" w:name="_Hlk182327869"/>
      <w:r w:rsidRPr="00FF0CAB">
        <w:rPr>
          <w:rFonts w:ascii="Palatino Linotype" w:hAnsi="Palatino Linotype" w:cs="Tahoma"/>
          <w:b/>
          <w:sz w:val="22"/>
          <w:szCs w:val="22"/>
        </w:rPr>
        <w:t>Versión pública</w:t>
      </w:r>
    </w:p>
    <w:p w14:paraId="7C5522A5" w14:textId="77777777" w:rsidR="00FE663A" w:rsidRPr="00FF0CAB" w:rsidRDefault="00FE663A" w:rsidP="00FE663A">
      <w:pPr>
        <w:spacing w:line="360" w:lineRule="auto"/>
        <w:contextualSpacing/>
        <w:jc w:val="both"/>
        <w:rPr>
          <w:rFonts w:ascii="Palatino Linotype" w:hAnsi="Palatino Linotype" w:cs="Tahoma"/>
          <w:bCs/>
          <w:sz w:val="22"/>
          <w:szCs w:val="22"/>
        </w:rPr>
      </w:pPr>
    </w:p>
    <w:p w14:paraId="691F0E39" w14:textId="77777777" w:rsidR="00FE663A" w:rsidRPr="00FF0CAB" w:rsidRDefault="00FE663A" w:rsidP="00FE663A">
      <w:pPr>
        <w:spacing w:line="360" w:lineRule="auto"/>
        <w:contextualSpacing/>
        <w:jc w:val="both"/>
        <w:rPr>
          <w:rFonts w:ascii="Palatino Linotype" w:hAnsi="Palatino Linotype" w:cs="Tahoma"/>
          <w:bCs/>
          <w:sz w:val="22"/>
          <w:szCs w:val="22"/>
        </w:rPr>
      </w:pPr>
      <w:r w:rsidRPr="00FF0CAB">
        <w:rPr>
          <w:rFonts w:ascii="Palatino Linotype" w:hAnsi="Palatino Linotype" w:cs="Tahoma"/>
          <w:bCs/>
          <w:sz w:val="22"/>
          <w:szCs w:val="22"/>
        </w:rPr>
        <w:t xml:space="preserve">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w:t>
      </w:r>
      <w:r w:rsidRPr="00FF0CAB">
        <w:rPr>
          <w:rFonts w:ascii="Palatino Linotype" w:hAnsi="Palatino Linotype" w:cs="Tahoma"/>
          <w:bCs/>
          <w:iCs/>
          <w:sz w:val="22"/>
          <w:szCs w:val="22"/>
        </w:rPr>
        <w:t>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67718B54"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09FB0191"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D77C84D"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774C2DC0"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408421A6"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280BC3BC"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w:t>
      </w:r>
      <w:r w:rsidRPr="00FF0CAB">
        <w:rPr>
          <w:rFonts w:ascii="Palatino Linotype" w:hAnsi="Palatino Linotype" w:cs="Tahoma"/>
          <w:bCs/>
          <w:iCs/>
          <w:sz w:val="22"/>
          <w:szCs w:val="22"/>
        </w:rPr>
        <w:lastRenderedPageBreak/>
        <w:t>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660C262"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290E278F"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1F105964"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51420CE5" w14:textId="77777777" w:rsidR="00FE663A" w:rsidRPr="00FF0CAB" w:rsidRDefault="00FE663A" w:rsidP="00FE663A">
      <w:pPr>
        <w:numPr>
          <w:ilvl w:val="0"/>
          <w:numId w:val="8"/>
        </w:num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6DF5968A" w14:textId="77777777" w:rsidR="00FE663A" w:rsidRPr="00FF0CAB" w:rsidRDefault="00FE663A" w:rsidP="00FE663A">
      <w:pPr>
        <w:numPr>
          <w:ilvl w:val="0"/>
          <w:numId w:val="8"/>
        </w:num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 xml:space="preserve">Para la difusión de los datos, se requiera el consentimiento del titular. </w:t>
      </w:r>
    </w:p>
    <w:p w14:paraId="019D14D0"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0234199A"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23C6D89A"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1E705F01"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Además, en el artículo 5° de dicho ordenamiento jurídico, establece que es la Ley aplicable para todo tratamiento de datos personales.</w:t>
      </w:r>
    </w:p>
    <w:p w14:paraId="57F96664"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15D9F54B"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 xml:space="preserve">Por su parte, los artículos 6°, 7°, 8° y 14 de la Ley de Protección de Datos Personales en Posesión de Sujetos Obligados del Estado de México y Municipios, disponen que los </w:t>
      </w:r>
      <w:r w:rsidRPr="00FF0CAB">
        <w:rPr>
          <w:rFonts w:ascii="Palatino Linotype" w:hAnsi="Palatino Linotype" w:cs="Tahoma"/>
          <w:bCs/>
          <w:iCs/>
          <w:sz w:val="22"/>
          <w:szCs w:val="22"/>
        </w:rPr>
        <w:lastRenderedPageBreak/>
        <w:t>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65A3E9B4"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5C4985B7"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B9BA9D5"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6DCEF684"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37D41140"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5DA6A249"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5CACA2C9"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65EDD1CF"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 xml:space="preserve">En este orden de ideas, toda la información que transparente la gestión pública, favorezca la rendición de cuentas y contribuya a la democratización del Estado Mexicano es, sin excepción, </w:t>
      </w:r>
      <w:r w:rsidRPr="00FF0CAB">
        <w:rPr>
          <w:rFonts w:ascii="Palatino Linotype" w:hAnsi="Palatino Linotype" w:cs="Tahoma"/>
          <w:bCs/>
          <w:iCs/>
          <w:sz w:val="22"/>
          <w:szCs w:val="22"/>
        </w:rPr>
        <w:lastRenderedPageBreak/>
        <w:t>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F96D567"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0885BD25" w14:textId="77777777" w:rsidR="00FE663A" w:rsidRPr="00FF0CAB" w:rsidRDefault="00FE663A" w:rsidP="00FE663A">
      <w:pPr>
        <w:spacing w:line="360" w:lineRule="auto"/>
        <w:contextualSpacing/>
        <w:jc w:val="both"/>
        <w:rPr>
          <w:rFonts w:ascii="Palatino Linotype" w:hAnsi="Palatino Linotype" w:cs="Tahoma"/>
          <w:bCs/>
          <w:iCs/>
          <w:sz w:val="22"/>
          <w:szCs w:val="22"/>
        </w:rPr>
      </w:pPr>
      <w:r w:rsidRPr="00FF0CAB">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0DB5D723" w14:textId="77777777" w:rsidR="00FE663A" w:rsidRPr="00FF0CAB" w:rsidRDefault="00FE663A" w:rsidP="00FE663A">
      <w:pPr>
        <w:spacing w:line="360" w:lineRule="auto"/>
        <w:contextualSpacing/>
        <w:jc w:val="both"/>
        <w:rPr>
          <w:rFonts w:ascii="Palatino Linotype" w:hAnsi="Palatino Linotype" w:cs="Tahoma"/>
          <w:bCs/>
          <w:iCs/>
          <w:sz w:val="22"/>
          <w:szCs w:val="22"/>
        </w:rPr>
      </w:pPr>
    </w:p>
    <w:p w14:paraId="140B1104" w14:textId="77777777" w:rsidR="00FE663A" w:rsidRPr="00FF0CAB" w:rsidRDefault="00FE663A" w:rsidP="00FE663A">
      <w:pPr>
        <w:spacing w:line="360" w:lineRule="auto"/>
        <w:contextualSpacing/>
        <w:jc w:val="both"/>
        <w:rPr>
          <w:rFonts w:ascii="Palatino Linotype" w:hAnsi="Palatino Linotype" w:cs="Tahoma"/>
          <w:bCs/>
          <w:sz w:val="22"/>
          <w:szCs w:val="22"/>
        </w:rPr>
      </w:pPr>
      <w:r w:rsidRPr="00FF0CAB">
        <w:rPr>
          <w:rFonts w:ascii="Palatino Linotype" w:hAnsi="Palatino Linotype" w:cs="Tahoma"/>
          <w:bCs/>
          <w:sz w:val="22"/>
          <w:szCs w:val="22"/>
        </w:rPr>
        <w:t>En consecuencia, aquellos datos que únicamente versan sobre la vida privada de las personas deberán ser eliminadas de las versiones pública, previa aprobación del Comité de Transparencia.</w:t>
      </w:r>
    </w:p>
    <w:bookmarkEnd w:id="2"/>
    <w:p w14:paraId="07987BE1" w14:textId="77777777" w:rsidR="00FE663A" w:rsidRPr="00FF0CAB" w:rsidRDefault="00FE663A" w:rsidP="007F486F">
      <w:pPr>
        <w:spacing w:line="360" w:lineRule="auto"/>
        <w:jc w:val="both"/>
        <w:rPr>
          <w:rFonts w:ascii="Palatino Linotype" w:eastAsia="Calibri" w:hAnsi="Palatino Linotype" w:cs="Tahoma"/>
          <w:bCs/>
          <w:iCs/>
          <w:sz w:val="22"/>
          <w:szCs w:val="22"/>
          <w:lang w:eastAsia="en-US"/>
        </w:rPr>
      </w:pPr>
    </w:p>
    <w:p w14:paraId="7FD52DC4" w14:textId="77777777" w:rsidR="00803E3D" w:rsidRPr="00FF0CAB" w:rsidRDefault="00803E3D" w:rsidP="00FF426B">
      <w:pPr>
        <w:spacing w:line="360" w:lineRule="auto"/>
        <w:ind w:right="-93"/>
        <w:jc w:val="both"/>
        <w:rPr>
          <w:rFonts w:ascii="Palatino Linotype" w:hAnsi="Palatino Linotype" w:cs="Tahoma"/>
          <w:b/>
          <w:sz w:val="22"/>
          <w:szCs w:val="22"/>
        </w:rPr>
      </w:pPr>
      <w:r w:rsidRPr="00FF0CAB">
        <w:rPr>
          <w:rFonts w:ascii="Palatino Linotype" w:hAnsi="Palatino Linotype" w:cs="Tahoma"/>
          <w:b/>
          <w:sz w:val="22"/>
          <w:szCs w:val="22"/>
        </w:rPr>
        <w:t>SEXTO. Decisión</w:t>
      </w:r>
    </w:p>
    <w:p w14:paraId="3049BFE6" w14:textId="77777777" w:rsidR="00803E3D" w:rsidRPr="00FF0CAB" w:rsidRDefault="00803E3D" w:rsidP="00FF426B">
      <w:pPr>
        <w:spacing w:line="360" w:lineRule="auto"/>
        <w:ind w:right="-93"/>
        <w:jc w:val="both"/>
        <w:rPr>
          <w:rFonts w:ascii="Palatino Linotype" w:hAnsi="Palatino Linotype" w:cs="Tahoma"/>
          <w:b/>
          <w:sz w:val="22"/>
          <w:szCs w:val="22"/>
        </w:rPr>
      </w:pPr>
    </w:p>
    <w:p w14:paraId="1853B299" w14:textId="7979A7DC" w:rsidR="00803E3D" w:rsidRPr="00FF0CAB" w:rsidRDefault="00803E3D" w:rsidP="00FF426B">
      <w:pPr>
        <w:spacing w:line="360" w:lineRule="auto"/>
        <w:ind w:right="-93"/>
        <w:jc w:val="both"/>
        <w:rPr>
          <w:rFonts w:ascii="Palatino Linotype" w:hAnsi="Palatino Linotype" w:cs="Tahoma"/>
          <w:sz w:val="22"/>
          <w:szCs w:val="22"/>
        </w:rPr>
      </w:pPr>
      <w:r w:rsidRPr="00FF0CAB">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5045E" w:rsidRPr="00FF0CAB">
        <w:rPr>
          <w:rFonts w:ascii="Palatino Linotype" w:hAnsi="Palatino Linotype" w:cs="Tahoma"/>
          <w:b/>
          <w:sz w:val="22"/>
          <w:szCs w:val="22"/>
        </w:rPr>
        <w:t xml:space="preserve">MODIFICAR </w:t>
      </w:r>
      <w:r w:rsidRPr="00FF0CAB">
        <w:rPr>
          <w:rFonts w:ascii="Palatino Linotype" w:hAnsi="Palatino Linotype" w:cs="Tahoma"/>
          <w:sz w:val="22"/>
          <w:szCs w:val="22"/>
        </w:rPr>
        <w:t xml:space="preserve">la respuesta otorgada por el Sujeto Obligado a la solicitud de información </w:t>
      </w:r>
      <w:r w:rsidR="00F5045E" w:rsidRPr="00FF0CAB">
        <w:rPr>
          <w:rFonts w:ascii="Palatino Linotype" w:hAnsi="Palatino Linotype" w:cs="Tahoma"/>
          <w:b/>
          <w:bCs/>
          <w:sz w:val="22"/>
          <w:szCs w:val="22"/>
        </w:rPr>
        <w:t>00709/TEMAMATL/IP/2024</w:t>
      </w:r>
      <w:r w:rsidRPr="00FF0CAB">
        <w:rPr>
          <w:rFonts w:ascii="Palatino Linotype" w:hAnsi="Palatino Linotype" w:cs="Tahoma"/>
          <w:sz w:val="22"/>
          <w:szCs w:val="22"/>
        </w:rPr>
        <w:t xml:space="preserve">, por resultar fundadas las razones o motivos de inconformidad </w:t>
      </w:r>
      <w:r w:rsidRPr="00FF0CAB">
        <w:rPr>
          <w:rFonts w:ascii="Palatino Linotype" w:hAnsi="Palatino Linotype" w:cs="Tahoma"/>
          <w:sz w:val="22"/>
          <w:szCs w:val="22"/>
        </w:rPr>
        <w:lastRenderedPageBreak/>
        <w:t xml:space="preserve">hechos valer por el Recurrente, en el Recurso de Revisión </w:t>
      </w:r>
      <w:r w:rsidR="00F5045E" w:rsidRPr="00FF0CAB">
        <w:rPr>
          <w:rFonts w:ascii="Palatino Linotype" w:hAnsi="Palatino Linotype" w:cs="Tahoma"/>
          <w:b/>
          <w:sz w:val="22"/>
          <w:szCs w:val="22"/>
        </w:rPr>
        <w:t>06841</w:t>
      </w:r>
      <w:r w:rsidRPr="00FF0CAB">
        <w:rPr>
          <w:rFonts w:ascii="Palatino Linotype" w:hAnsi="Palatino Linotype" w:cs="Tahoma"/>
          <w:b/>
          <w:sz w:val="22"/>
          <w:szCs w:val="22"/>
        </w:rPr>
        <w:t>/INFOEM/IP/RR/202</w:t>
      </w:r>
      <w:r w:rsidR="00754039" w:rsidRPr="00FF0CAB">
        <w:rPr>
          <w:rFonts w:ascii="Palatino Linotype" w:hAnsi="Palatino Linotype" w:cs="Tahoma"/>
          <w:b/>
          <w:sz w:val="22"/>
          <w:szCs w:val="22"/>
        </w:rPr>
        <w:t>4</w:t>
      </w:r>
      <w:r w:rsidRPr="00FF0CAB">
        <w:rPr>
          <w:rFonts w:ascii="Palatino Linotype" w:hAnsi="Palatino Linotype" w:cs="Tahoma"/>
          <w:sz w:val="22"/>
          <w:szCs w:val="22"/>
        </w:rPr>
        <w:t xml:space="preserve">, en consecuencia procede </w:t>
      </w:r>
      <w:r w:rsidRPr="00FF0CAB">
        <w:rPr>
          <w:rFonts w:ascii="Palatino Linotype" w:hAnsi="Palatino Linotype" w:cs="Tahoma"/>
          <w:b/>
          <w:sz w:val="22"/>
          <w:szCs w:val="22"/>
        </w:rPr>
        <w:t>ORDENAR</w:t>
      </w:r>
      <w:r w:rsidRPr="00FF0CAB">
        <w:rPr>
          <w:rFonts w:ascii="Palatino Linotype" w:hAnsi="Palatino Linotype" w:cs="Tahoma"/>
          <w:sz w:val="22"/>
          <w:szCs w:val="22"/>
        </w:rPr>
        <w:t xml:space="preserve">, </w:t>
      </w:r>
      <w:r w:rsidR="00876309" w:rsidRPr="00FF0CAB">
        <w:rPr>
          <w:rFonts w:ascii="Palatino Linotype" w:hAnsi="Palatino Linotype" w:cs="Tahoma"/>
          <w:sz w:val="22"/>
          <w:szCs w:val="22"/>
        </w:rPr>
        <w:t>haga entrega de la información solicitada.</w:t>
      </w:r>
    </w:p>
    <w:p w14:paraId="5DF75B77" w14:textId="77777777" w:rsidR="00803E3D" w:rsidRPr="00FF0CAB" w:rsidRDefault="00803E3D" w:rsidP="00FF426B">
      <w:pPr>
        <w:spacing w:line="360" w:lineRule="auto"/>
        <w:ind w:right="-93"/>
        <w:jc w:val="both"/>
        <w:rPr>
          <w:rFonts w:ascii="Palatino Linotype" w:eastAsia="Palatino Linotype" w:hAnsi="Palatino Linotype" w:cs="Palatino Linotype"/>
          <w:sz w:val="22"/>
          <w:szCs w:val="22"/>
        </w:rPr>
      </w:pPr>
    </w:p>
    <w:p w14:paraId="757CD3CC" w14:textId="77777777" w:rsidR="00803E3D" w:rsidRPr="00FF0CAB"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FF0CAB">
        <w:rPr>
          <w:rFonts w:ascii="Palatino Linotype" w:eastAsia="Calibri" w:hAnsi="Palatino Linotype" w:cs="Tahoma"/>
          <w:b/>
          <w:bCs/>
          <w:iCs/>
          <w:sz w:val="22"/>
          <w:szCs w:val="22"/>
          <w:lang w:val="es-ES" w:eastAsia="es-ES_tradnl"/>
        </w:rPr>
        <w:t>Términos de la Resolución para el Recurrente</w:t>
      </w:r>
    </w:p>
    <w:p w14:paraId="50D624B5" w14:textId="77777777" w:rsidR="00803E3D" w:rsidRPr="00FF0CAB" w:rsidRDefault="00803E3D" w:rsidP="00FF426B">
      <w:pPr>
        <w:spacing w:line="360" w:lineRule="auto"/>
        <w:jc w:val="both"/>
        <w:rPr>
          <w:rFonts w:ascii="Palatino Linotype" w:eastAsia="Calibri" w:hAnsi="Palatino Linotype" w:cs="Tahoma"/>
          <w:iCs/>
          <w:sz w:val="22"/>
          <w:szCs w:val="22"/>
          <w:lang w:eastAsia="es-ES_tradnl"/>
        </w:rPr>
      </w:pPr>
    </w:p>
    <w:p w14:paraId="424B074D" w14:textId="3BB36A2C" w:rsidR="00077700" w:rsidRPr="00FF0CAB" w:rsidRDefault="00803E3D" w:rsidP="00FF426B">
      <w:pPr>
        <w:spacing w:line="360" w:lineRule="auto"/>
        <w:jc w:val="both"/>
        <w:rPr>
          <w:rFonts w:ascii="Palatino Linotype" w:hAnsi="Palatino Linotype" w:cs="Tahoma"/>
          <w:bCs/>
          <w:sz w:val="22"/>
          <w:szCs w:val="22"/>
          <w:u w:val="single"/>
        </w:rPr>
      </w:pPr>
      <w:r w:rsidRPr="00FF0CAB">
        <w:rPr>
          <w:rFonts w:ascii="Palatino Linotype" w:hAnsi="Palatino Linotype" w:cs="Tahoma"/>
          <w:bCs/>
          <w:sz w:val="22"/>
          <w:szCs w:val="22"/>
          <w:u w:val="single"/>
        </w:rPr>
        <w:t xml:space="preserve">Este Instituto, determinó </w:t>
      </w:r>
      <w:r w:rsidR="00F5045E" w:rsidRPr="00FF0CAB">
        <w:rPr>
          <w:rFonts w:ascii="Palatino Linotype" w:hAnsi="Palatino Linotype" w:cs="Tahoma"/>
          <w:bCs/>
          <w:sz w:val="22"/>
          <w:szCs w:val="22"/>
          <w:u w:val="single"/>
        </w:rPr>
        <w:t>modificar</w:t>
      </w:r>
      <w:r w:rsidR="009B6316" w:rsidRPr="00FF0CAB">
        <w:rPr>
          <w:rFonts w:ascii="Palatino Linotype" w:hAnsi="Palatino Linotype" w:cs="Tahoma"/>
          <w:bCs/>
          <w:sz w:val="22"/>
          <w:szCs w:val="22"/>
          <w:u w:val="single"/>
        </w:rPr>
        <w:t xml:space="preserve"> </w:t>
      </w:r>
      <w:r w:rsidRPr="00FF0CAB">
        <w:rPr>
          <w:rFonts w:ascii="Palatino Linotype" w:hAnsi="Palatino Linotype" w:cs="Tahoma"/>
          <w:bCs/>
          <w:sz w:val="22"/>
          <w:szCs w:val="22"/>
          <w:u w:val="single"/>
        </w:rPr>
        <w:t>la respuesta que le entregó el Sujeto Obligado a su solicitud de acceso, toda vez que</w:t>
      </w:r>
      <w:r w:rsidR="00837A48" w:rsidRPr="00FF0CAB">
        <w:rPr>
          <w:rFonts w:ascii="Palatino Linotype" w:hAnsi="Palatino Linotype" w:cs="Tahoma"/>
          <w:bCs/>
          <w:sz w:val="22"/>
          <w:szCs w:val="22"/>
          <w:u w:val="single"/>
        </w:rPr>
        <w:t xml:space="preserve"> </w:t>
      </w:r>
      <w:r w:rsidR="00593980" w:rsidRPr="00FF0CAB">
        <w:rPr>
          <w:rFonts w:ascii="Palatino Linotype" w:hAnsi="Palatino Linotype" w:cs="Tahoma"/>
          <w:bCs/>
          <w:sz w:val="22"/>
          <w:szCs w:val="22"/>
          <w:u w:val="single"/>
        </w:rPr>
        <w:t>debe</w:t>
      </w:r>
      <w:r w:rsidR="00FE663A" w:rsidRPr="00FF0CAB">
        <w:rPr>
          <w:rFonts w:ascii="Palatino Linotype" w:hAnsi="Palatino Linotype" w:cs="Tahoma"/>
          <w:bCs/>
          <w:sz w:val="22"/>
          <w:szCs w:val="22"/>
          <w:u w:val="single"/>
        </w:rPr>
        <w:t xml:space="preserve"> privilegiar el principio de máxima publicidad y </w:t>
      </w:r>
      <w:r w:rsidR="00F5045E" w:rsidRPr="00FF0CAB">
        <w:rPr>
          <w:rFonts w:ascii="Palatino Linotype" w:hAnsi="Palatino Linotype" w:cs="Tahoma"/>
          <w:bCs/>
          <w:sz w:val="22"/>
          <w:szCs w:val="22"/>
          <w:u w:val="single"/>
        </w:rPr>
        <w:t xml:space="preserve">turnar la solicitud a todas las unidades administrativas que pudieran contar con lo solicitado. </w:t>
      </w:r>
    </w:p>
    <w:p w14:paraId="5363DCC1" w14:textId="77777777" w:rsidR="00876309" w:rsidRPr="00FF0CAB" w:rsidRDefault="00876309" w:rsidP="00FF426B">
      <w:pPr>
        <w:spacing w:line="360" w:lineRule="auto"/>
        <w:jc w:val="both"/>
        <w:rPr>
          <w:rFonts w:ascii="Palatino Linotype" w:hAnsi="Palatino Linotype" w:cs="Tahoma"/>
          <w:bCs/>
          <w:sz w:val="22"/>
          <w:szCs w:val="22"/>
          <w:u w:val="single"/>
        </w:rPr>
      </w:pPr>
    </w:p>
    <w:p w14:paraId="3918B267" w14:textId="77777777" w:rsidR="00803E3D" w:rsidRPr="00FF0CAB" w:rsidRDefault="00803E3D" w:rsidP="00FF426B">
      <w:pPr>
        <w:spacing w:line="360" w:lineRule="auto"/>
        <w:ind w:right="-93"/>
        <w:jc w:val="both"/>
        <w:rPr>
          <w:rFonts w:ascii="Palatino Linotype" w:hAnsi="Palatino Linotype" w:cs="Tahoma"/>
          <w:bCs/>
          <w:sz w:val="22"/>
          <w:szCs w:val="22"/>
          <w:u w:val="single"/>
        </w:rPr>
      </w:pPr>
      <w:r w:rsidRPr="00FF0CAB">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3BC5F7F" w14:textId="77777777" w:rsidR="00E03E54" w:rsidRPr="00FF0CAB" w:rsidRDefault="00E03E54" w:rsidP="00916270">
      <w:pPr>
        <w:spacing w:line="360" w:lineRule="auto"/>
        <w:ind w:right="-91"/>
        <w:jc w:val="center"/>
        <w:rPr>
          <w:rFonts w:ascii="Palatino Linotype" w:eastAsia="Calibri" w:hAnsi="Palatino Linotype" w:cs="Tahoma"/>
          <w:b/>
          <w:bCs/>
          <w:sz w:val="22"/>
          <w:szCs w:val="22"/>
          <w:lang w:eastAsia="en-US"/>
        </w:rPr>
      </w:pPr>
    </w:p>
    <w:p w14:paraId="044BE4CD" w14:textId="77777777" w:rsidR="00803E3D" w:rsidRPr="00FF0CAB" w:rsidRDefault="00803E3D" w:rsidP="00916270">
      <w:pPr>
        <w:spacing w:line="360" w:lineRule="auto"/>
        <w:ind w:right="-91"/>
        <w:jc w:val="center"/>
        <w:rPr>
          <w:rFonts w:ascii="Palatino Linotype" w:eastAsia="Calibri" w:hAnsi="Palatino Linotype" w:cs="Tahoma"/>
          <w:b/>
          <w:bCs/>
          <w:sz w:val="22"/>
          <w:szCs w:val="22"/>
          <w:lang w:eastAsia="en-US"/>
        </w:rPr>
      </w:pPr>
      <w:r w:rsidRPr="00FF0CAB">
        <w:rPr>
          <w:rFonts w:ascii="Palatino Linotype" w:eastAsia="Calibri" w:hAnsi="Palatino Linotype" w:cs="Tahoma"/>
          <w:b/>
          <w:bCs/>
          <w:sz w:val="22"/>
          <w:szCs w:val="22"/>
          <w:lang w:eastAsia="en-US"/>
        </w:rPr>
        <w:t>R E S U E L V E</w:t>
      </w:r>
    </w:p>
    <w:p w14:paraId="6E953694" w14:textId="77777777" w:rsidR="00803E3D" w:rsidRPr="00FF0CAB" w:rsidRDefault="00803E3D" w:rsidP="00FF426B">
      <w:pPr>
        <w:spacing w:line="360" w:lineRule="auto"/>
        <w:jc w:val="both"/>
        <w:rPr>
          <w:rFonts w:ascii="Palatino Linotype" w:hAnsi="Palatino Linotype" w:cs="Tahoma"/>
          <w:b/>
          <w:bCs/>
          <w:sz w:val="22"/>
          <w:szCs w:val="22"/>
        </w:rPr>
      </w:pPr>
    </w:p>
    <w:p w14:paraId="6D5BCF1D" w14:textId="26887ABD" w:rsidR="00803E3D" w:rsidRPr="00FF0CAB" w:rsidRDefault="00803E3D" w:rsidP="00FF426B">
      <w:pPr>
        <w:spacing w:line="360" w:lineRule="auto"/>
        <w:contextualSpacing/>
        <w:jc w:val="both"/>
        <w:rPr>
          <w:rFonts w:ascii="Palatino Linotype" w:eastAsia="Calibri" w:hAnsi="Palatino Linotype" w:cs="Tahoma"/>
          <w:bCs/>
          <w:sz w:val="22"/>
          <w:szCs w:val="22"/>
          <w:lang w:eastAsia="en-US"/>
        </w:rPr>
      </w:pPr>
      <w:r w:rsidRPr="00FF0CAB">
        <w:rPr>
          <w:rFonts w:ascii="Palatino Linotype" w:hAnsi="Palatino Linotype" w:cs="Tahoma"/>
          <w:b/>
          <w:bCs/>
          <w:sz w:val="22"/>
          <w:szCs w:val="22"/>
        </w:rPr>
        <w:t xml:space="preserve">PRIMERO. </w:t>
      </w:r>
      <w:r w:rsidRPr="00FF0CAB">
        <w:rPr>
          <w:rFonts w:ascii="Palatino Linotype" w:hAnsi="Palatino Linotype" w:cs="Tahoma"/>
          <w:bCs/>
          <w:sz w:val="22"/>
          <w:szCs w:val="22"/>
        </w:rPr>
        <w:t xml:space="preserve">Se </w:t>
      </w:r>
      <w:r w:rsidR="00F5045E" w:rsidRPr="00FF0CAB">
        <w:rPr>
          <w:rFonts w:ascii="Palatino Linotype" w:hAnsi="Palatino Linotype" w:cs="Tahoma"/>
          <w:b/>
          <w:bCs/>
          <w:sz w:val="22"/>
          <w:szCs w:val="22"/>
        </w:rPr>
        <w:t>MODIFICA</w:t>
      </w:r>
      <w:r w:rsidRPr="00FF0CAB">
        <w:rPr>
          <w:rFonts w:ascii="Palatino Linotype" w:hAnsi="Palatino Linotype" w:cs="Tahoma"/>
          <w:bCs/>
          <w:sz w:val="22"/>
          <w:szCs w:val="22"/>
        </w:rPr>
        <w:t xml:space="preserve"> la respuesta entregada por </w:t>
      </w:r>
      <w:r w:rsidR="00350672" w:rsidRPr="00FF0CAB">
        <w:rPr>
          <w:rFonts w:ascii="Palatino Linotype" w:hAnsi="Palatino Linotype" w:cs="Tahoma"/>
          <w:bCs/>
          <w:sz w:val="22"/>
          <w:szCs w:val="22"/>
        </w:rPr>
        <w:t>e</w:t>
      </w:r>
      <w:r w:rsidRPr="00FF0CAB">
        <w:rPr>
          <w:rFonts w:ascii="Palatino Linotype" w:hAnsi="Palatino Linotype" w:cs="Tahoma"/>
          <w:bCs/>
          <w:sz w:val="22"/>
          <w:szCs w:val="22"/>
        </w:rPr>
        <w:t xml:space="preserve">l </w:t>
      </w:r>
      <w:r w:rsidR="00C247E5" w:rsidRPr="00FF0CAB">
        <w:rPr>
          <w:rFonts w:ascii="Palatino Linotype" w:hAnsi="Palatino Linotype" w:cs="Tahoma"/>
          <w:b/>
          <w:bCs/>
          <w:sz w:val="22"/>
          <w:szCs w:val="22"/>
        </w:rPr>
        <w:t>Ayuntamiento de Temamatla</w:t>
      </w:r>
      <w:r w:rsidR="00716C32" w:rsidRPr="00FF0CAB">
        <w:rPr>
          <w:rFonts w:ascii="Palatino Linotype" w:hAnsi="Palatino Linotype" w:cs="Tahoma"/>
          <w:b/>
          <w:bCs/>
          <w:sz w:val="22"/>
          <w:szCs w:val="22"/>
        </w:rPr>
        <w:t xml:space="preserve"> </w:t>
      </w:r>
      <w:r w:rsidRPr="00FF0CAB">
        <w:rPr>
          <w:rFonts w:ascii="Palatino Linotype" w:eastAsia="Calibri" w:hAnsi="Palatino Linotype" w:cs="Tahoma"/>
          <w:bCs/>
          <w:sz w:val="22"/>
          <w:szCs w:val="22"/>
          <w:lang w:eastAsia="en-US"/>
        </w:rPr>
        <w:t>a</w:t>
      </w:r>
      <w:r w:rsidRPr="00FF0CAB">
        <w:rPr>
          <w:rFonts w:ascii="Palatino Linotype" w:hAnsi="Palatino Linotype" w:cs="Tahoma"/>
          <w:bCs/>
          <w:sz w:val="22"/>
          <w:szCs w:val="22"/>
        </w:rPr>
        <w:t xml:space="preserve"> la solicitud de información </w:t>
      </w:r>
      <w:r w:rsidR="00E03E54" w:rsidRPr="00FF0CAB">
        <w:rPr>
          <w:rFonts w:ascii="Palatino Linotype" w:hAnsi="Palatino Linotype"/>
          <w:b/>
          <w:bCs/>
          <w:sz w:val="22"/>
          <w:szCs w:val="22"/>
        </w:rPr>
        <w:t>00</w:t>
      </w:r>
      <w:r w:rsidR="00F5045E" w:rsidRPr="00FF0CAB">
        <w:rPr>
          <w:rFonts w:ascii="Palatino Linotype" w:hAnsi="Palatino Linotype"/>
          <w:b/>
          <w:bCs/>
          <w:sz w:val="22"/>
          <w:szCs w:val="22"/>
        </w:rPr>
        <w:t>709</w:t>
      </w:r>
      <w:r w:rsidR="00E03E54" w:rsidRPr="00FF0CAB">
        <w:rPr>
          <w:rFonts w:ascii="Palatino Linotype" w:hAnsi="Palatino Linotype"/>
          <w:b/>
          <w:bCs/>
          <w:sz w:val="22"/>
          <w:szCs w:val="22"/>
        </w:rPr>
        <w:t>/TEMAMATL/IP/2024</w:t>
      </w:r>
      <w:r w:rsidR="00593980" w:rsidRPr="00FF0CAB">
        <w:rPr>
          <w:rFonts w:ascii="Palatino Linotype" w:hAnsi="Palatino Linotype"/>
          <w:b/>
          <w:bCs/>
          <w:sz w:val="22"/>
          <w:szCs w:val="22"/>
        </w:rPr>
        <w:t xml:space="preserve"> </w:t>
      </w:r>
      <w:r w:rsidRPr="00FF0CAB">
        <w:rPr>
          <w:rFonts w:ascii="Palatino Linotype" w:hAnsi="Palatino Linotype"/>
          <w:bCs/>
          <w:sz w:val="22"/>
          <w:szCs w:val="22"/>
        </w:rPr>
        <w:t>por resultar</w:t>
      </w:r>
      <w:r w:rsidR="004E622C" w:rsidRPr="00FF0CAB">
        <w:rPr>
          <w:rFonts w:ascii="Palatino Linotype" w:hAnsi="Palatino Linotype"/>
          <w:bCs/>
          <w:sz w:val="22"/>
          <w:szCs w:val="22"/>
        </w:rPr>
        <w:t xml:space="preserve"> </w:t>
      </w:r>
      <w:r w:rsidRPr="00FF0CAB">
        <w:rPr>
          <w:rFonts w:ascii="Palatino Linotype" w:hAnsi="Palatino Linotype"/>
          <w:sz w:val="22"/>
          <w:szCs w:val="22"/>
        </w:rPr>
        <w:t>fundadas</w:t>
      </w:r>
      <w:r w:rsidRPr="00FF0CAB">
        <w:rPr>
          <w:rFonts w:ascii="Palatino Linotype" w:hAnsi="Palatino Linotype" w:cs="Tahoma"/>
          <w:bCs/>
          <w:sz w:val="22"/>
          <w:szCs w:val="22"/>
        </w:rPr>
        <w:t xml:space="preserve"> </w:t>
      </w:r>
      <w:r w:rsidRPr="00FF0CAB">
        <w:rPr>
          <w:rFonts w:ascii="Palatino Linotype" w:eastAsia="Calibri" w:hAnsi="Palatino Linotype" w:cs="Tahoma"/>
          <w:bCs/>
          <w:sz w:val="22"/>
          <w:szCs w:val="22"/>
          <w:lang w:eastAsia="en-US"/>
        </w:rPr>
        <w:t xml:space="preserve">las razones o motivos de inconformidad hechos valer por el Recurrente en el Recurso de Revisión </w:t>
      </w:r>
      <w:r w:rsidR="00F5045E" w:rsidRPr="00FF0CAB">
        <w:rPr>
          <w:rFonts w:ascii="Palatino Linotype" w:hAnsi="Palatino Linotype" w:cs="Tahoma"/>
          <w:b/>
          <w:bCs/>
          <w:color w:val="0D0D0D" w:themeColor="text1" w:themeTint="F2"/>
          <w:sz w:val="22"/>
          <w:szCs w:val="22"/>
        </w:rPr>
        <w:t>06841</w:t>
      </w:r>
      <w:r w:rsidRPr="00FF0CAB">
        <w:rPr>
          <w:rFonts w:ascii="Palatino Linotype" w:hAnsi="Palatino Linotype" w:cs="Tahoma"/>
          <w:b/>
          <w:bCs/>
          <w:color w:val="0D0D0D" w:themeColor="text1" w:themeTint="F2"/>
          <w:sz w:val="22"/>
          <w:szCs w:val="22"/>
        </w:rPr>
        <w:t>/INFOEM/IP/RR/202</w:t>
      </w:r>
      <w:r w:rsidR="004E622C" w:rsidRPr="00FF0CAB">
        <w:rPr>
          <w:rFonts w:ascii="Palatino Linotype" w:hAnsi="Palatino Linotype" w:cs="Tahoma"/>
          <w:b/>
          <w:bCs/>
          <w:color w:val="0D0D0D" w:themeColor="text1" w:themeTint="F2"/>
          <w:sz w:val="22"/>
          <w:szCs w:val="22"/>
        </w:rPr>
        <w:t>4</w:t>
      </w:r>
      <w:r w:rsidRPr="00FF0CAB">
        <w:rPr>
          <w:rFonts w:ascii="Palatino Linotype" w:eastAsia="Calibri" w:hAnsi="Palatino Linotype" w:cs="Tahoma"/>
          <w:bCs/>
          <w:sz w:val="22"/>
          <w:szCs w:val="22"/>
          <w:lang w:eastAsia="en-US"/>
        </w:rPr>
        <w:t>, en términos de los considerandos QUINTO y SEXTO de la presente Resolución.</w:t>
      </w:r>
    </w:p>
    <w:p w14:paraId="76257568" w14:textId="77777777" w:rsidR="00803E3D" w:rsidRPr="00FF0CAB" w:rsidRDefault="00803E3D" w:rsidP="00FF426B">
      <w:pPr>
        <w:spacing w:line="360" w:lineRule="auto"/>
        <w:contextualSpacing/>
        <w:jc w:val="both"/>
        <w:rPr>
          <w:rFonts w:ascii="Palatino Linotype" w:hAnsi="Palatino Linotype" w:cs="Tahoma"/>
          <w:bCs/>
          <w:sz w:val="22"/>
          <w:szCs w:val="22"/>
        </w:rPr>
      </w:pPr>
    </w:p>
    <w:p w14:paraId="57E80321" w14:textId="77777777" w:rsidR="00F5045E" w:rsidRPr="00FF0CAB" w:rsidRDefault="00876309" w:rsidP="006867F5">
      <w:pPr>
        <w:spacing w:line="360" w:lineRule="auto"/>
        <w:ind w:right="-93"/>
        <w:jc w:val="both"/>
        <w:rPr>
          <w:rFonts w:ascii="Palatino Linotype" w:hAnsi="Palatino Linotype" w:cs="Arial"/>
          <w:sz w:val="22"/>
          <w:szCs w:val="22"/>
          <w:lang w:val="es-ES"/>
        </w:rPr>
      </w:pPr>
      <w:r w:rsidRPr="00FF0CAB">
        <w:rPr>
          <w:rFonts w:ascii="Palatino Linotype" w:hAnsi="Palatino Linotype" w:cs="Tahoma"/>
          <w:b/>
          <w:bCs/>
          <w:sz w:val="22"/>
          <w:szCs w:val="22"/>
        </w:rPr>
        <w:t xml:space="preserve">SEGUNDO. </w:t>
      </w:r>
      <w:r w:rsidRPr="00FF0CAB">
        <w:rPr>
          <w:rFonts w:ascii="Palatino Linotype" w:hAnsi="Palatino Linotype" w:cs="Tahoma"/>
          <w:sz w:val="22"/>
          <w:szCs w:val="22"/>
        </w:rPr>
        <w:t xml:space="preserve">Se </w:t>
      </w:r>
      <w:r w:rsidRPr="00FF0CAB">
        <w:rPr>
          <w:rFonts w:ascii="Palatino Linotype" w:hAnsi="Palatino Linotype" w:cs="Tahoma"/>
          <w:b/>
          <w:sz w:val="22"/>
          <w:szCs w:val="22"/>
        </w:rPr>
        <w:t xml:space="preserve">ORDENA </w:t>
      </w:r>
      <w:r w:rsidRPr="00FF0CAB">
        <w:rPr>
          <w:rFonts w:ascii="Palatino Linotype" w:hAnsi="Palatino Linotype" w:cs="Tahoma"/>
          <w:sz w:val="22"/>
          <w:szCs w:val="22"/>
        </w:rPr>
        <w:t xml:space="preserve">al </w:t>
      </w:r>
      <w:r w:rsidR="00C247E5" w:rsidRPr="00FF0CAB">
        <w:rPr>
          <w:rFonts w:ascii="Palatino Linotype" w:eastAsia="Calibri" w:hAnsi="Palatino Linotype" w:cs="Tahoma"/>
          <w:b/>
          <w:bCs/>
          <w:sz w:val="22"/>
          <w:szCs w:val="22"/>
          <w:lang w:eastAsia="en-US"/>
        </w:rPr>
        <w:t>Ayuntamiento de Temamatla</w:t>
      </w:r>
      <w:r w:rsidRPr="00FF0CAB">
        <w:rPr>
          <w:rFonts w:ascii="Palatino Linotype" w:hAnsi="Palatino Linotype" w:cs="Tahoma"/>
          <w:sz w:val="22"/>
          <w:szCs w:val="22"/>
        </w:rPr>
        <w:t>, a efecto de que, previa búsqueda exhaustiva y razonable remita</w:t>
      </w:r>
      <w:r w:rsidRPr="00FF0CAB">
        <w:rPr>
          <w:rFonts w:ascii="Palatino Linotype" w:hAnsi="Palatino Linotype" w:cs="Tahoma"/>
          <w:bCs/>
          <w:iCs/>
          <w:sz w:val="22"/>
          <w:szCs w:val="22"/>
          <w:lang w:val="es-ES_tradnl"/>
        </w:rPr>
        <w:t xml:space="preserve">, </w:t>
      </w:r>
      <w:r w:rsidRPr="00FF0CAB">
        <w:rPr>
          <w:rFonts w:ascii="Palatino Linotype" w:hAnsi="Palatino Linotype" w:cs="Tahoma"/>
          <w:bCs/>
          <w:iCs/>
          <w:sz w:val="22"/>
          <w:szCs w:val="22"/>
        </w:rPr>
        <w:t xml:space="preserve">a través </w:t>
      </w:r>
      <w:r w:rsidRPr="00FF0CAB">
        <w:rPr>
          <w:rFonts w:ascii="Palatino Linotype" w:hAnsi="Palatino Linotype" w:cs="Tahoma"/>
          <w:bCs/>
          <w:iCs/>
          <w:sz w:val="22"/>
          <w:szCs w:val="22"/>
          <w:lang w:val="es-ES_tradnl"/>
        </w:rPr>
        <w:t>del SAIMEX</w:t>
      </w:r>
      <w:r w:rsidRPr="00FF0CAB">
        <w:rPr>
          <w:rFonts w:ascii="Palatino Linotype" w:hAnsi="Palatino Linotype" w:cs="Arial"/>
          <w:sz w:val="22"/>
          <w:szCs w:val="22"/>
          <w:lang w:val="es-ES"/>
        </w:rPr>
        <w:t>,</w:t>
      </w:r>
      <w:r w:rsidR="00FE663A" w:rsidRPr="00FF0CAB">
        <w:rPr>
          <w:rFonts w:ascii="Palatino Linotype" w:hAnsi="Palatino Linotype" w:cs="Arial"/>
          <w:sz w:val="22"/>
          <w:szCs w:val="22"/>
          <w:lang w:val="es-ES"/>
        </w:rPr>
        <w:t xml:space="preserve"> de ser procedente en versión pública</w:t>
      </w:r>
      <w:r w:rsidR="006867F5" w:rsidRPr="00FF0CAB">
        <w:rPr>
          <w:rFonts w:ascii="Palatino Linotype" w:hAnsi="Palatino Linotype" w:cs="Arial"/>
          <w:sz w:val="22"/>
          <w:szCs w:val="22"/>
          <w:lang w:val="es-ES"/>
        </w:rPr>
        <w:t xml:space="preserve"> los documentos en donde conste </w:t>
      </w:r>
      <w:r w:rsidR="00F5045E" w:rsidRPr="00FF0CAB">
        <w:rPr>
          <w:rFonts w:ascii="Palatino Linotype" w:hAnsi="Palatino Linotype" w:cs="Arial"/>
          <w:sz w:val="22"/>
          <w:szCs w:val="22"/>
          <w:lang w:val="es-ES"/>
        </w:rPr>
        <w:t>lo siguiente:</w:t>
      </w:r>
    </w:p>
    <w:p w14:paraId="228E0086" w14:textId="77777777" w:rsidR="00F5045E" w:rsidRPr="00FF0CAB" w:rsidRDefault="00F5045E" w:rsidP="006867F5">
      <w:pPr>
        <w:spacing w:line="360" w:lineRule="auto"/>
        <w:ind w:right="-93"/>
        <w:jc w:val="both"/>
        <w:rPr>
          <w:rFonts w:ascii="Palatino Linotype" w:hAnsi="Palatino Linotype" w:cs="Arial"/>
          <w:sz w:val="22"/>
          <w:szCs w:val="22"/>
          <w:lang w:val="es-ES"/>
        </w:rPr>
      </w:pPr>
    </w:p>
    <w:p w14:paraId="70697770" w14:textId="01585351" w:rsidR="008D78F2" w:rsidRPr="00FF0CAB" w:rsidRDefault="00315F1B" w:rsidP="00315F1B">
      <w:pPr>
        <w:pStyle w:val="Prrafodelista"/>
        <w:numPr>
          <w:ilvl w:val="0"/>
          <w:numId w:val="39"/>
        </w:numPr>
        <w:spacing w:line="360" w:lineRule="auto"/>
        <w:ind w:right="-93"/>
        <w:jc w:val="both"/>
        <w:rPr>
          <w:rFonts w:ascii="Palatino Linotype" w:hAnsi="Palatino Linotype" w:cs="Arial"/>
          <w:szCs w:val="22"/>
          <w:lang w:val="es-ES"/>
        </w:rPr>
      </w:pPr>
      <w:r w:rsidRPr="00FF0CAB">
        <w:rPr>
          <w:rFonts w:ascii="Palatino Linotype" w:hAnsi="Palatino Linotype" w:cs="Arial"/>
          <w:szCs w:val="22"/>
          <w:lang w:val="es-ES"/>
        </w:rPr>
        <w:t>Expediente de</w:t>
      </w:r>
      <w:r w:rsidR="00F5045E" w:rsidRPr="00FF0CAB">
        <w:rPr>
          <w:rFonts w:ascii="Palatino Linotype" w:hAnsi="Palatino Linotype" w:cs="Arial"/>
          <w:szCs w:val="22"/>
          <w:lang w:val="es-ES"/>
        </w:rPr>
        <w:t xml:space="preserve"> remoción de la Directora de Desarrollo Social mencionada en la solicitud al </w:t>
      </w:r>
      <w:r w:rsidR="005727DC" w:rsidRPr="00FF0CAB">
        <w:rPr>
          <w:rFonts w:ascii="Palatino Linotype" w:hAnsi="Palatino Linotype" w:cs="Arial"/>
          <w:szCs w:val="22"/>
          <w:lang w:val="es-ES"/>
        </w:rPr>
        <w:t>ocho</w:t>
      </w:r>
      <w:r w:rsidR="00F5045E" w:rsidRPr="00FF0CAB">
        <w:rPr>
          <w:rFonts w:ascii="Palatino Linotype" w:hAnsi="Palatino Linotype" w:cs="Arial"/>
          <w:szCs w:val="22"/>
          <w:lang w:val="es-ES"/>
        </w:rPr>
        <w:t xml:space="preserve"> de octubre de dos mil veinticuatro.</w:t>
      </w:r>
    </w:p>
    <w:p w14:paraId="41115B25" w14:textId="77777777" w:rsidR="00315F1B" w:rsidRPr="00FF0CAB" w:rsidRDefault="00315F1B" w:rsidP="00315F1B">
      <w:pPr>
        <w:spacing w:line="360" w:lineRule="auto"/>
        <w:ind w:right="-93"/>
        <w:jc w:val="both"/>
        <w:rPr>
          <w:rFonts w:ascii="Palatino Linotype" w:eastAsia="Calibri" w:hAnsi="Palatino Linotype" w:cs="Tahoma"/>
          <w:bCs/>
          <w:sz w:val="22"/>
          <w:szCs w:val="22"/>
          <w:lang w:eastAsia="en-US"/>
        </w:rPr>
      </w:pPr>
    </w:p>
    <w:p w14:paraId="59266A97" w14:textId="51E28271" w:rsidR="00315F1B" w:rsidRPr="00FF0CAB" w:rsidRDefault="00315F1B" w:rsidP="00315F1B">
      <w:pPr>
        <w:spacing w:line="360" w:lineRule="auto"/>
        <w:ind w:right="-93"/>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lastRenderedPageBreak/>
        <w:t>Con las versiones públicas que se entreguen, se deberá proporcionar el Acuerdo de Clasificación donde el Comité de Transparencia, confirme la eliminación de los datos confidenciales, de conformidad con los artículos 49, fracciones II y VIII, 132, fracción II y 143, fracción I, de la Ley de Transparencia y Acceso a la Información Pública del Estado de México y Municipios.</w:t>
      </w:r>
    </w:p>
    <w:p w14:paraId="1565C166" w14:textId="77777777" w:rsidR="005727DC" w:rsidRPr="00FF0CAB" w:rsidRDefault="005727DC" w:rsidP="00315F1B">
      <w:pPr>
        <w:spacing w:line="360" w:lineRule="auto"/>
        <w:ind w:right="-93"/>
        <w:jc w:val="both"/>
        <w:rPr>
          <w:rFonts w:ascii="Palatino Linotype" w:eastAsia="Calibri" w:hAnsi="Palatino Linotype" w:cs="Tahoma"/>
          <w:bCs/>
          <w:sz w:val="22"/>
          <w:szCs w:val="22"/>
          <w:lang w:eastAsia="en-US"/>
        </w:rPr>
      </w:pPr>
    </w:p>
    <w:p w14:paraId="0973CCCB" w14:textId="458F5C8E" w:rsidR="005727DC" w:rsidRPr="00FF0CAB" w:rsidRDefault="005727DC" w:rsidP="00315F1B">
      <w:pPr>
        <w:spacing w:line="360" w:lineRule="auto"/>
        <w:ind w:right="-93"/>
        <w:jc w:val="both"/>
        <w:rPr>
          <w:rFonts w:ascii="Palatino Linotype" w:eastAsia="Calibri" w:hAnsi="Palatino Linotype" w:cs="Tahoma"/>
          <w:bCs/>
          <w:sz w:val="22"/>
          <w:szCs w:val="22"/>
          <w:lang w:eastAsia="en-US"/>
        </w:rPr>
      </w:pPr>
      <w:r w:rsidRPr="00FF0CAB">
        <w:rPr>
          <w:rFonts w:ascii="Palatino Linotype" w:eastAsia="Calibri" w:hAnsi="Palatino Linotype" w:cs="Tahoma"/>
          <w:bCs/>
          <w:sz w:val="22"/>
          <w:szCs w:val="22"/>
          <w:lang w:eastAsia="en-US"/>
        </w:rPr>
        <w:t>Para el caso de que no cuente con la información por no haberse generado, bastará con que lo haga del conocimiento del Recurrente de manera precisa y clara.</w:t>
      </w:r>
    </w:p>
    <w:p w14:paraId="2D8F3F96" w14:textId="77777777" w:rsidR="00F5045E" w:rsidRPr="00FF0CAB" w:rsidRDefault="00F5045E" w:rsidP="00876309">
      <w:pPr>
        <w:spacing w:line="360" w:lineRule="auto"/>
        <w:ind w:right="-93"/>
        <w:jc w:val="both"/>
        <w:rPr>
          <w:rFonts w:ascii="Palatino Linotype" w:hAnsi="Palatino Linotype" w:cs="Arial"/>
          <w:sz w:val="22"/>
          <w:szCs w:val="22"/>
          <w:lang w:val="es-ES"/>
        </w:rPr>
      </w:pPr>
    </w:p>
    <w:p w14:paraId="3AFB9777" w14:textId="7C5E5F75" w:rsidR="00315F1B" w:rsidRPr="00FF0CAB" w:rsidRDefault="00315F1B" w:rsidP="00315F1B">
      <w:pPr>
        <w:pStyle w:val="Prrafodelista"/>
        <w:numPr>
          <w:ilvl w:val="0"/>
          <w:numId w:val="39"/>
        </w:numPr>
        <w:spacing w:line="360" w:lineRule="auto"/>
        <w:ind w:right="-93"/>
        <w:jc w:val="both"/>
        <w:rPr>
          <w:rFonts w:ascii="Palatino Linotype" w:hAnsi="Palatino Linotype" w:cs="Arial"/>
          <w:szCs w:val="22"/>
          <w:lang w:val="es-ES"/>
        </w:rPr>
      </w:pPr>
      <w:r w:rsidRPr="00FF0CAB">
        <w:rPr>
          <w:rFonts w:ascii="Palatino Linotype" w:hAnsi="Palatino Linotype" w:cs="Arial"/>
          <w:szCs w:val="22"/>
          <w:lang w:val="es-ES"/>
        </w:rPr>
        <w:t xml:space="preserve">El número de procedimientos de </w:t>
      </w:r>
      <w:r w:rsidR="00200E63" w:rsidRPr="00FF0CAB">
        <w:rPr>
          <w:rFonts w:ascii="Palatino Linotype" w:hAnsi="Palatino Linotype" w:cs="Arial"/>
          <w:szCs w:val="22"/>
          <w:lang w:val="es-ES"/>
        </w:rPr>
        <w:t xml:space="preserve">responsabilidad administrativa </w:t>
      </w:r>
      <w:r w:rsidRPr="00FF0CAB">
        <w:rPr>
          <w:rFonts w:ascii="Palatino Linotype" w:hAnsi="Palatino Linotype" w:cs="Arial"/>
          <w:szCs w:val="22"/>
          <w:lang w:val="es-ES"/>
        </w:rPr>
        <w:t>instaurados en contra de la servidora pública mencionada en la solicitud, por el desvío de recursos públicos en la falta de entrega de láminas y calentadores solares</w:t>
      </w:r>
      <w:r w:rsidR="002F118D" w:rsidRPr="00FF0CAB">
        <w:rPr>
          <w:rFonts w:ascii="Palatino Linotype" w:hAnsi="Palatino Linotype" w:cs="Arial"/>
          <w:szCs w:val="22"/>
          <w:lang w:val="es-ES"/>
        </w:rPr>
        <w:t>,</w:t>
      </w:r>
      <w:r w:rsidRPr="00FF0CAB">
        <w:rPr>
          <w:rFonts w:ascii="Palatino Linotype" w:hAnsi="Palatino Linotype" w:cs="Arial"/>
          <w:szCs w:val="22"/>
          <w:lang w:val="es-ES"/>
        </w:rPr>
        <w:t xml:space="preserve"> del primero de enero </w:t>
      </w:r>
      <w:r w:rsidR="005727DC" w:rsidRPr="00FF0CAB">
        <w:rPr>
          <w:rFonts w:ascii="Palatino Linotype" w:hAnsi="Palatino Linotype" w:cs="Arial"/>
          <w:szCs w:val="22"/>
          <w:lang w:val="es-ES"/>
        </w:rPr>
        <w:t xml:space="preserve">de dos mil veintidós </w:t>
      </w:r>
      <w:r w:rsidRPr="00FF0CAB">
        <w:rPr>
          <w:rFonts w:ascii="Palatino Linotype" w:hAnsi="Palatino Linotype" w:cs="Arial"/>
          <w:szCs w:val="22"/>
          <w:lang w:val="es-ES"/>
        </w:rPr>
        <w:t xml:space="preserve">al </w:t>
      </w:r>
      <w:r w:rsidR="005727DC" w:rsidRPr="00FF0CAB">
        <w:rPr>
          <w:rFonts w:ascii="Palatino Linotype" w:hAnsi="Palatino Linotype" w:cs="Arial"/>
          <w:szCs w:val="22"/>
          <w:lang w:val="es-ES"/>
        </w:rPr>
        <w:t>ocho</w:t>
      </w:r>
      <w:r w:rsidRPr="00FF0CAB">
        <w:rPr>
          <w:rFonts w:ascii="Palatino Linotype" w:hAnsi="Palatino Linotype" w:cs="Arial"/>
          <w:szCs w:val="22"/>
          <w:lang w:val="es-ES"/>
        </w:rPr>
        <w:t xml:space="preserve"> de octubre de dos mil veinticuatro.</w:t>
      </w:r>
    </w:p>
    <w:p w14:paraId="280E60FC" w14:textId="77777777" w:rsidR="00315F1B" w:rsidRPr="00FF0CAB" w:rsidRDefault="00315F1B" w:rsidP="00876309">
      <w:pPr>
        <w:spacing w:line="360" w:lineRule="auto"/>
        <w:ind w:right="-93"/>
        <w:jc w:val="both"/>
        <w:rPr>
          <w:rFonts w:ascii="Palatino Linotype" w:hAnsi="Palatino Linotype" w:cs="Arial"/>
          <w:sz w:val="22"/>
          <w:szCs w:val="22"/>
          <w:lang w:val="es-ES"/>
        </w:rPr>
      </w:pPr>
    </w:p>
    <w:p w14:paraId="78A02763" w14:textId="27DE8542" w:rsidR="005727DC" w:rsidRPr="00FF0CAB" w:rsidRDefault="00315F1B" w:rsidP="00876309">
      <w:pPr>
        <w:spacing w:line="360" w:lineRule="auto"/>
        <w:ind w:right="-93"/>
        <w:jc w:val="both"/>
        <w:rPr>
          <w:rFonts w:ascii="Palatino Linotype" w:eastAsia="Calibri" w:hAnsi="Palatino Linotype" w:cs="Tahoma"/>
          <w:bCs/>
          <w:sz w:val="22"/>
          <w:szCs w:val="22"/>
          <w:lang w:eastAsia="en-US"/>
        </w:rPr>
      </w:pPr>
      <w:r w:rsidRPr="00FF0CAB">
        <w:rPr>
          <w:rFonts w:ascii="Palatino Linotype" w:hAnsi="Palatino Linotype" w:cs="Arial"/>
          <w:sz w:val="22"/>
          <w:szCs w:val="22"/>
          <w:lang w:val="es-ES"/>
        </w:rPr>
        <w:t xml:space="preserve">Para el caso, de que </w:t>
      </w:r>
      <w:r w:rsidR="005727DC" w:rsidRPr="00FF0CAB">
        <w:rPr>
          <w:rFonts w:ascii="Palatino Linotype" w:hAnsi="Palatino Linotype" w:cs="Arial"/>
          <w:sz w:val="22"/>
          <w:szCs w:val="22"/>
          <w:lang w:val="es-ES"/>
        </w:rPr>
        <w:t xml:space="preserve">no cuente con la información por no haberse generado o no contar con la estadística, </w:t>
      </w:r>
      <w:r w:rsidR="005727DC" w:rsidRPr="00FF0CAB">
        <w:rPr>
          <w:rFonts w:ascii="Palatino Linotype" w:eastAsia="Calibri" w:hAnsi="Palatino Linotype" w:cs="Tahoma"/>
          <w:bCs/>
          <w:sz w:val="22"/>
          <w:szCs w:val="22"/>
          <w:lang w:eastAsia="en-US"/>
        </w:rPr>
        <w:t>bastará con que lo haga del conocimiento del Recurrente de manera precisa y clara.</w:t>
      </w:r>
    </w:p>
    <w:p w14:paraId="62CB4B02" w14:textId="399D2CF4" w:rsidR="002F118D" w:rsidRPr="00FF0CAB" w:rsidRDefault="002F118D" w:rsidP="00876309">
      <w:pPr>
        <w:spacing w:line="360" w:lineRule="auto"/>
        <w:ind w:right="-93"/>
        <w:jc w:val="both"/>
        <w:rPr>
          <w:rFonts w:ascii="Palatino Linotype" w:hAnsi="Palatino Linotype" w:cs="Arial"/>
          <w:sz w:val="22"/>
          <w:szCs w:val="22"/>
          <w:lang w:val="es-ES"/>
        </w:rPr>
      </w:pPr>
    </w:p>
    <w:p w14:paraId="0B16646F" w14:textId="77777777" w:rsidR="00E02D8B" w:rsidRPr="00FF0CAB" w:rsidRDefault="00E02D8B" w:rsidP="00E02D8B">
      <w:pPr>
        <w:spacing w:line="360" w:lineRule="auto"/>
        <w:contextualSpacing/>
        <w:jc w:val="both"/>
        <w:rPr>
          <w:rFonts w:ascii="Palatino Linotype" w:eastAsia="Calibri" w:hAnsi="Palatino Linotype" w:cs="Tahoma"/>
          <w:bCs/>
          <w:sz w:val="22"/>
          <w:szCs w:val="22"/>
          <w:lang w:eastAsia="en-US"/>
        </w:rPr>
      </w:pPr>
      <w:r w:rsidRPr="00FF0CAB">
        <w:rPr>
          <w:rFonts w:ascii="Palatino Linotype" w:eastAsia="Calibri" w:hAnsi="Palatino Linotype" w:cs="Tahoma"/>
          <w:b/>
          <w:bCs/>
          <w:sz w:val="22"/>
          <w:szCs w:val="22"/>
          <w:lang w:eastAsia="en-US"/>
        </w:rPr>
        <w:t>TERCERO. NOTIFÍQUESE</w:t>
      </w:r>
      <w:r w:rsidR="00402735" w:rsidRPr="00FF0CAB">
        <w:rPr>
          <w:rFonts w:ascii="Palatino Linotype" w:eastAsia="Calibri" w:hAnsi="Palatino Linotype" w:cs="Tahoma"/>
          <w:b/>
          <w:bCs/>
          <w:sz w:val="22"/>
          <w:szCs w:val="22"/>
          <w:lang w:eastAsia="en-US"/>
        </w:rPr>
        <w:t xml:space="preserve"> POR SAIMEX</w:t>
      </w:r>
      <w:r w:rsidRPr="00FF0CAB">
        <w:rPr>
          <w:rFonts w:ascii="Palatino Linotype" w:eastAsia="Calibri" w:hAnsi="Palatino Linotype" w:cs="Tahoma"/>
          <w:b/>
          <w:bCs/>
          <w:sz w:val="22"/>
          <w:szCs w:val="22"/>
          <w:lang w:eastAsia="en-US"/>
        </w:rPr>
        <w:t xml:space="preserve"> </w:t>
      </w:r>
      <w:r w:rsidRPr="00FF0CAB">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7517AA19" w14:textId="77777777" w:rsidR="00803E3D" w:rsidRPr="00FF0CAB" w:rsidRDefault="00803E3D" w:rsidP="00FF426B">
      <w:pPr>
        <w:spacing w:line="360" w:lineRule="auto"/>
        <w:contextualSpacing/>
        <w:jc w:val="both"/>
        <w:rPr>
          <w:rFonts w:ascii="Palatino Linotype" w:hAnsi="Palatino Linotype" w:cs="Tahoma"/>
          <w:sz w:val="22"/>
          <w:szCs w:val="22"/>
        </w:rPr>
      </w:pPr>
    </w:p>
    <w:p w14:paraId="27E56EA1" w14:textId="77777777" w:rsidR="00803E3D" w:rsidRPr="00FF0CAB" w:rsidRDefault="00803E3D" w:rsidP="00FF426B">
      <w:pPr>
        <w:spacing w:line="360" w:lineRule="auto"/>
        <w:contextualSpacing/>
        <w:jc w:val="both"/>
        <w:rPr>
          <w:rFonts w:ascii="Palatino Linotype" w:hAnsi="Palatino Linotype" w:cs="Tahoma"/>
          <w:iCs/>
          <w:sz w:val="22"/>
          <w:szCs w:val="22"/>
        </w:rPr>
      </w:pPr>
      <w:r w:rsidRPr="00FF0CAB">
        <w:rPr>
          <w:rFonts w:ascii="Palatino Linotype" w:hAnsi="Palatino Linotype" w:cs="Tahoma"/>
          <w:iCs/>
          <w:sz w:val="22"/>
          <w:szCs w:val="22"/>
        </w:rPr>
        <w:lastRenderedPageBreak/>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7D1DF8C" w14:textId="77777777" w:rsidR="00803E3D" w:rsidRPr="00FF0CAB"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3979B528" w14:textId="77777777" w:rsidR="006B5FFD" w:rsidRPr="00FF0CAB" w:rsidRDefault="00803E3D" w:rsidP="006B5FFD">
      <w:pPr>
        <w:spacing w:line="360" w:lineRule="auto"/>
        <w:contextualSpacing/>
        <w:jc w:val="both"/>
        <w:rPr>
          <w:rFonts w:ascii="Palatino Linotype" w:hAnsi="Palatino Linotype" w:cs="Tahoma"/>
          <w:color w:val="000000" w:themeColor="text1"/>
          <w:sz w:val="22"/>
          <w:szCs w:val="22"/>
        </w:rPr>
      </w:pPr>
      <w:r w:rsidRPr="00FF0CAB">
        <w:rPr>
          <w:rFonts w:ascii="Palatino Linotype" w:eastAsia="Calibri" w:hAnsi="Palatino Linotype" w:cs="Tahoma"/>
          <w:b/>
          <w:color w:val="000000" w:themeColor="text1"/>
          <w:sz w:val="22"/>
          <w:szCs w:val="22"/>
          <w:lang w:eastAsia="es-MX"/>
        </w:rPr>
        <w:t>CUARTO</w:t>
      </w:r>
      <w:r w:rsidRPr="00FF0CAB">
        <w:rPr>
          <w:rFonts w:ascii="Palatino Linotype" w:eastAsia="Calibri" w:hAnsi="Palatino Linotype" w:cs="Tahoma"/>
          <w:b/>
          <w:bCs/>
          <w:color w:val="000000" w:themeColor="text1"/>
          <w:sz w:val="22"/>
          <w:szCs w:val="22"/>
          <w:lang w:eastAsia="en-US"/>
        </w:rPr>
        <w:t xml:space="preserve">. </w:t>
      </w:r>
      <w:r w:rsidRPr="00FF0CAB">
        <w:rPr>
          <w:rFonts w:ascii="Palatino Linotype" w:hAnsi="Palatino Linotype" w:cs="Tahoma"/>
          <w:b/>
          <w:color w:val="000000" w:themeColor="text1"/>
          <w:sz w:val="22"/>
          <w:szCs w:val="22"/>
        </w:rPr>
        <w:t>NOTIFÍQUESE</w:t>
      </w:r>
      <w:r w:rsidRPr="00FF0CAB">
        <w:rPr>
          <w:rFonts w:ascii="Palatino Linotype" w:hAnsi="Palatino Linotype" w:cs="Tahoma"/>
          <w:color w:val="000000" w:themeColor="text1"/>
          <w:sz w:val="22"/>
          <w:szCs w:val="22"/>
        </w:rPr>
        <w:t xml:space="preserve"> </w:t>
      </w:r>
      <w:r w:rsidR="00402735" w:rsidRPr="00FF0CAB">
        <w:rPr>
          <w:rFonts w:ascii="Palatino Linotype" w:eastAsia="Calibri" w:hAnsi="Palatino Linotype" w:cs="Tahoma"/>
          <w:b/>
          <w:bCs/>
          <w:sz w:val="22"/>
          <w:szCs w:val="22"/>
          <w:lang w:eastAsia="en-US"/>
        </w:rPr>
        <w:t>POR SAIMEX</w:t>
      </w:r>
      <w:r w:rsidR="0004563C" w:rsidRPr="00FF0CAB">
        <w:rPr>
          <w:rFonts w:ascii="Palatino Linotype" w:eastAsia="Calibri" w:hAnsi="Palatino Linotype" w:cs="Tahoma"/>
          <w:b/>
          <w:bCs/>
          <w:sz w:val="22"/>
          <w:szCs w:val="22"/>
          <w:lang w:eastAsia="en-US"/>
        </w:rPr>
        <w:t xml:space="preserve"> </w:t>
      </w:r>
      <w:r w:rsidRPr="00FF0CAB">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FF0CAB">
        <w:rPr>
          <w:rFonts w:ascii="Palatino Linotype" w:hAnsi="Palatino Linotype" w:cs="Tahoma"/>
          <w:color w:val="000000" w:themeColor="text1"/>
          <w:sz w:val="22"/>
          <w:szCs w:val="22"/>
        </w:rPr>
        <w:t>érminos de las leyes aplicables</w:t>
      </w:r>
      <w:r w:rsidR="00402735" w:rsidRPr="00FF0CAB">
        <w:rPr>
          <w:rFonts w:ascii="Palatino Linotype" w:hAnsi="Palatino Linotype" w:cs="Tahoma"/>
          <w:color w:val="000000" w:themeColor="text1"/>
          <w:sz w:val="22"/>
          <w:szCs w:val="22"/>
        </w:rPr>
        <w:t>.</w:t>
      </w:r>
    </w:p>
    <w:p w14:paraId="0D279B52" w14:textId="77777777" w:rsidR="008A73EF" w:rsidRPr="00FF0CAB" w:rsidRDefault="008A73EF" w:rsidP="00FF426B">
      <w:pPr>
        <w:spacing w:line="360" w:lineRule="auto"/>
        <w:contextualSpacing/>
        <w:jc w:val="both"/>
        <w:rPr>
          <w:rFonts w:ascii="Palatino Linotype" w:hAnsi="Palatino Linotype" w:cs="Tahoma"/>
          <w:color w:val="000000" w:themeColor="text1"/>
          <w:sz w:val="22"/>
          <w:szCs w:val="22"/>
        </w:rPr>
      </w:pPr>
    </w:p>
    <w:p w14:paraId="437E5FD2" w14:textId="1A5C8C11" w:rsidR="00803E3D" w:rsidRDefault="00803E3D" w:rsidP="00FF426B">
      <w:pPr>
        <w:spacing w:line="360" w:lineRule="auto"/>
        <w:contextualSpacing/>
        <w:jc w:val="both"/>
        <w:rPr>
          <w:rFonts w:ascii="Palatino Linotype" w:hAnsi="Palatino Linotype" w:cs="Tahoma"/>
          <w:sz w:val="22"/>
          <w:szCs w:val="22"/>
        </w:rPr>
      </w:pPr>
      <w:r w:rsidRPr="00FF0CAB">
        <w:rPr>
          <w:rFonts w:ascii="Palatino Linotype" w:hAnsi="Palatino Linotype" w:cs="Tahoma"/>
          <w:sz w:val="22"/>
          <w:szCs w:val="22"/>
          <w:lang w:eastAsia="es-MX"/>
        </w:rPr>
        <w:t xml:space="preserve">ASÍ LO RESUELVE, POR </w:t>
      </w:r>
      <w:r w:rsidRPr="00FF0CAB">
        <w:rPr>
          <w:rFonts w:ascii="Palatino Linotype" w:hAnsi="Palatino Linotype" w:cs="Tahoma"/>
          <w:b/>
          <w:sz w:val="22"/>
          <w:szCs w:val="22"/>
          <w:lang w:eastAsia="es-MX"/>
        </w:rPr>
        <w:t>UNANIMIDAD</w:t>
      </w:r>
      <w:r w:rsidRPr="00FF0CAB">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9519CD">
        <w:rPr>
          <w:rFonts w:ascii="Palatino Linotype" w:hAnsi="Palatino Linotype" w:cs="Tahoma"/>
          <w:sz w:val="22"/>
          <w:szCs w:val="22"/>
          <w:lang w:eastAsia="es-MX"/>
        </w:rPr>
        <w:t xml:space="preserve"> CON VOTO PARTICULAR</w:t>
      </w:r>
      <w:r w:rsidRPr="00FF0CAB">
        <w:rPr>
          <w:rFonts w:ascii="Palatino Linotype" w:hAnsi="Palatino Linotype" w:cs="Tahoma"/>
          <w:sz w:val="22"/>
          <w:szCs w:val="22"/>
          <w:lang w:eastAsia="es-MX"/>
        </w:rPr>
        <w:t xml:space="preserve">, LUIS GUSTAVO PARRA NORIEGA Y GUADALUPE RAMÍREZ PEÑA, EN LA </w:t>
      </w:r>
      <w:r w:rsidR="00E03E54" w:rsidRPr="00FF0CAB">
        <w:rPr>
          <w:rFonts w:ascii="Palatino Linotype" w:hAnsi="Palatino Linotype" w:cs="Tahoma"/>
          <w:sz w:val="22"/>
          <w:szCs w:val="22"/>
          <w:lang w:eastAsia="es-MX"/>
        </w:rPr>
        <w:t xml:space="preserve">CUADRAGÉSIMA </w:t>
      </w:r>
      <w:r w:rsidR="008D78F2" w:rsidRPr="00FF0CAB">
        <w:rPr>
          <w:rFonts w:ascii="Palatino Linotype" w:hAnsi="Palatino Linotype" w:cs="Tahoma"/>
          <w:sz w:val="22"/>
          <w:szCs w:val="22"/>
          <w:lang w:eastAsia="es-MX"/>
        </w:rPr>
        <w:t xml:space="preserve">PRIMERA </w:t>
      </w:r>
      <w:r w:rsidRPr="00FF0CAB">
        <w:rPr>
          <w:rFonts w:ascii="Palatino Linotype" w:hAnsi="Palatino Linotype" w:cs="Tahoma"/>
          <w:sz w:val="22"/>
          <w:szCs w:val="22"/>
          <w:lang w:eastAsia="es-MX"/>
        </w:rPr>
        <w:t xml:space="preserve">SESIÓN ORDINARIA, CELEBRADA EL </w:t>
      </w:r>
      <w:r w:rsidR="00E03E54" w:rsidRPr="00FF0CAB">
        <w:rPr>
          <w:rFonts w:ascii="Palatino Linotype" w:hAnsi="Palatino Linotype" w:cs="Tahoma"/>
          <w:sz w:val="22"/>
          <w:szCs w:val="22"/>
          <w:lang w:eastAsia="es-MX"/>
        </w:rPr>
        <w:t>VEINTI</w:t>
      </w:r>
      <w:r w:rsidR="008D78F2" w:rsidRPr="00FF0CAB">
        <w:rPr>
          <w:rFonts w:ascii="Palatino Linotype" w:hAnsi="Palatino Linotype" w:cs="Tahoma"/>
          <w:sz w:val="22"/>
          <w:szCs w:val="22"/>
          <w:lang w:eastAsia="es-MX"/>
        </w:rPr>
        <w:t xml:space="preserve">SIETE </w:t>
      </w:r>
      <w:r w:rsidR="00FE663A" w:rsidRPr="00FF0CAB">
        <w:rPr>
          <w:rFonts w:ascii="Palatino Linotype" w:hAnsi="Palatino Linotype" w:cs="Tahoma"/>
          <w:sz w:val="22"/>
          <w:szCs w:val="22"/>
          <w:lang w:eastAsia="es-MX"/>
        </w:rPr>
        <w:t xml:space="preserve">DE NOVIEMBRE </w:t>
      </w:r>
      <w:r w:rsidR="00B73D51" w:rsidRPr="00FF0CAB">
        <w:rPr>
          <w:rFonts w:ascii="Palatino Linotype" w:hAnsi="Palatino Linotype" w:cs="Tahoma"/>
          <w:sz w:val="22"/>
          <w:szCs w:val="22"/>
          <w:lang w:eastAsia="es-MX"/>
        </w:rPr>
        <w:t>DE DOS MIL VEINTI</w:t>
      </w:r>
      <w:r w:rsidR="004E622C" w:rsidRPr="00FF0CAB">
        <w:rPr>
          <w:rFonts w:ascii="Palatino Linotype" w:hAnsi="Palatino Linotype" w:cs="Tahoma"/>
          <w:sz w:val="22"/>
          <w:szCs w:val="22"/>
          <w:lang w:eastAsia="es-MX"/>
        </w:rPr>
        <w:t>CUATRO</w:t>
      </w:r>
      <w:r w:rsidRPr="00FF0CAB">
        <w:rPr>
          <w:rFonts w:ascii="Palatino Linotype" w:hAnsi="Palatino Linotype" w:cs="Tahoma"/>
          <w:sz w:val="22"/>
          <w:szCs w:val="22"/>
          <w:lang w:eastAsia="es-MX"/>
        </w:rPr>
        <w:t>, ANTE EL SECRETARIO TÉCNICO DEL PLENO, ALEXIS TAPIA RAMÍREZ.</w:t>
      </w:r>
    </w:p>
    <w:p w14:paraId="622EDC9F" w14:textId="77777777" w:rsidR="00163BAA" w:rsidRDefault="00163BAA" w:rsidP="00FF426B">
      <w:pPr>
        <w:spacing w:line="360" w:lineRule="auto"/>
        <w:contextualSpacing/>
        <w:jc w:val="both"/>
        <w:rPr>
          <w:rFonts w:ascii="Palatino Linotype" w:hAnsi="Palatino Linotype" w:cs="Tahoma"/>
          <w:sz w:val="22"/>
          <w:szCs w:val="22"/>
        </w:rPr>
      </w:pPr>
    </w:p>
    <w:p w14:paraId="3AD297BA" w14:textId="77777777" w:rsidR="00163BAA" w:rsidRDefault="00163BAA" w:rsidP="00FF426B">
      <w:pPr>
        <w:spacing w:line="360" w:lineRule="auto"/>
        <w:contextualSpacing/>
        <w:jc w:val="both"/>
        <w:rPr>
          <w:rFonts w:ascii="Palatino Linotype" w:hAnsi="Palatino Linotype" w:cs="Tahoma"/>
          <w:sz w:val="22"/>
          <w:szCs w:val="22"/>
        </w:rPr>
      </w:pPr>
    </w:p>
    <w:p w14:paraId="3C139DDA" w14:textId="77777777" w:rsidR="00163BAA" w:rsidRDefault="00163BAA" w:rsidP="00FF426B">
      <w:pPr>
        <w:spacing w:line="360" w:lineRule="auto"/>
        <w:contextualSpacing/>
        <w:jc w:val="both"/>
        <w:rPr>
          <w:rFonts w:ascii="Palatino Linotype" w:hAnsi="Palatino Linotype" w:cs="Tahoma"/>
          <w:sz w:val="22"/>
          <w:szCs w:val="22"/>
        </w:rPr>
      </w:pPr>
    </w:p>
    <w:p w14:paraId="579B8185" w14:textId="77777777" w:rsidR="0089175F" w:rsidRDefault="0089175F" w:rsidP="00FF426B">
      <w:pPr>
        <w:spacing w:line="360" w:lineRule="auto"/>
        <w:contextualSpacing/>
        <w:jc w:val="both"/>
        <w:rPr>
          <w:rFonts w:ascii="Palatino Linotype" w:hAnsi="Palatino Linotype" w:cs="Tahoma"/>
          <w:sz w:val="22"/>
          <w:szCs w:val="22"/>
        </w:rPr>
      </w:pPr>
    </w:p>
    <w:p w14:paraId="03C4B68B" w14:textId="77777777" w:rsidR="0089175F" w:rsidRDefault="0089175F" w:rsidP="00FF426B">
      <w:pPr>
        <w:spacing w:line="360" w:lineRule="auto"/>
        <w:contextualSpacing/>
        <w:jc w:val="both"/>
        <w:rPr>
          <w:rFonts w:ascii="Palatino Linotype" w:hAnsi="Palatino Linotype" w:cs="Tahoma"/>
          <w:sz w:val="22"/>
          <w:szCs w:val="22"/>
        </w:rPr>
      </w:pPr>
    </w:p>
    <w:p w14:paraId="2C9BA333" w14:textId="77777777" w:rsidR="0089175F" w:rsidRDefault="0089175F" w:rsidP="00FF426B">
      <w:pPr>
        <w:spacing w:line="360" w:lineRule="auto"/>
        <w:contextualSpacing/>
        <w:jc w:val="both"/>
        <w:rPr>
          <w:rFonts w:ascii="Palatino Linotype" w:hAnsi="Palatino Linotype" w:cs="Tahoma"/>
          <w:sz w:val="22"/>
          <w:szCs w:val="22"/>
        </w:rPr>
      </w:pPr>
    </w:p>
    <w:p w14:paraId="69D0B7E9" w14:textId="77777777" w:rsidR="0089175F" w:rsidRDefault="0089175F" w:rsidP="00FF426B">
      <w:pPr>
        <w:spacing w:line="360" w:lineRule="auto"/>
        <w:contextualSpacing/>
        <w:jc w:val="both"/>
        <w:rPr>
          <w:rFonts w:ascii="Palatino Linotype" w:hAnsi="Palatino Linotype" w:cs="Tahoma"/>
          <w:sz w:val="22"/>
          <w:szCs w:val="22"/>
        </w:rPr>
      </w:pPr>
    </w:p>
    <w:p w14:paraId="56179DB3" w14:textId="77777777" w:rsidR="003A1DF0" w:rsidRPr="003A1DF0" w:rsidRDefault="003A1DF0" w:rsidP="00FF426B">
      <w:pPr>
        <w:spacing w:line="360" w:lineRule="auto"/>
        <w:contextualSpacing/>
        <w:jc w:val="both"/>
        <w:rPr>
          <w:rFonts w:ascii="Palatino Linotype" w:hAnsi="Palatino Linotype" w:cs="Tahoma"/>
          <w:sz w:val="22"/>
          <w:szCs w:val="22"/>
        </w:rPr>
      </w:pPr>
      <w:bookmarkStart w:id="3" w:name="_GoBack"/>
      <w:bookmarkEnd w:id="3"/>
    </w:p>
    <w:sectPr w:rsidR="003A1DF0" w:rsidRPr="003A1DF0" w:rsidSect="0003481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282EE" w14:textId="77777777" w:rsidR="00526AEF" w:rsidRDefault="00526AEF" w:rsidP="00B31222">
      <w:r>
        <w:separator/>
      </w:r>
    </w:p>
  </w:endnote>
  <w:endnote w:type="continuationSeparator" w:id="0">
    <w:p w14:paraId="44D7DAEB" w14:textId="77777777" w:rsidR="00526AEF" w:rsidRDefault="00526AEF" w:rsidP="00B31222">
      <w:r>
        <w:continuationSeparator/>
      </w:r>
    </w:p>
  </w:endnote>
  <w:endnote w:type="continuationNotice" w:id="1">
    <w:p w14:paraId="2FD32564" w14:textId="77777777" w:rsidR="00526AEF" w:rsidRDefault="00526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1919764" w14:textId="77777777" w:rsidR="00F5045E" w:rsidRDefault="00F504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407C">
              <w:rPr>
                <w:b/>
                <w:bCs/>
                <w:noProof/>
              </w:rPr>
              <w:t>40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407C">
              <w:rPr>
                <w:b/>
                <w:bCs/>
                <w:noProof/>
              </w:rPr>
              <w:t>41</w:t>
            </w:r>
            <w:r>
              <w:rPr>
                <w:b/>
                <w:bCs/>
                <w:sz w:val="24"/>
                <w:szCs w:val="24"/>
              </w:rPr>
              <w:fldChar w:fldCharType="end"/>
            </w:r>
          </w:p>
        </w:sdtContent>
      </w:sdt>
    </w:sdtContent>
  </w:sdt>
  <w:p w14:paraId="4969851C" w14:textId="77777777" w:rsidR="00F5045E" w:rsidRDefault="00F504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F36B938" w14:textId="77777777" w:rsidR="00F5045E" w:rsidRDefault="00F5045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F407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F407C">
              <w:rPr>
                <w:b/>
                <w:bCs/>
                <w:noProof/>
              </w:rPr>
              <w:t>42</w:t>
            </w:r>
            <w:r>
              <w:rPr>
                <w:b/>
                <w:bCs/>
                <w:sz w:val="24"/>
                <w:szCs w:val="24"/>
              </w:rPr>
              <w:fldChar w:fldCharType="end"/>
            </w:r>
          </w:p>
        </w:sdtContent>
      </w:sdt>
    </w:sdtContent>
  </w:sdt>
  <w:p w14:paraId="216C92CE" w14:textId="77777777" w:rsidR="00F5045E" w:rsidRDefault="00F504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F24ED" w14:textId="77777777" w:rsidR="00526AEF" w:rsidRDefault="00526AEF" w:rsidP="00B31222">
      <w:r>
        <w:separator/>
      </w:r>
    </w:p>
  </w:footnote>
  <w:footnote w:type="continuationSeparator" w:id="0">
    <w:p w14:paraId="421910D5" w14:textId="77777777" w:rsidR="00526AEF" w:rsidRDefault="00526AEF" w:rsidP="00B31222">
      <w:r>
        <w:continuationSeparator/>
      </w:r>
    </w:p>
  </w:footnote>
  <w:footnote w:type="continuationNotice" w:id="1">
    <w:p w14:paraId="75EC18D3" w14:textId="77777777" w:rsidR="00526AEF" w:rsidRDefault="00526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3543" w14:textId="77777777" w:rsidR="00F5045E" w:rsidRDefault="00526AEF">
    <w:pPr>
      <w:pStyle w:val="Encabezado"/>
    </w:pPr>
    <w:r>
      <w:rPr>
        <w:noProof/>
        <w:lang w:eastAsia="es-MX"/>
      </w:rPr>
      <w:pict w14:anchorId="3917D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F5045E" w:rsidRPr="005C106F" w14:paraId="37DAC702" w14:textId="77777777" w:rsidTr="00202DB8">
      <w:trPr>
        <w:trHeight w:val="1435"/>
      </w:trPr>
      <w:tc>
        <w:tcPr>
          <w:tcW w:w="2835" w:type="dxa"/>
          <w:shd w:val="clear" w:color="auto" w:fill="auto"/>
        </w:tcPr>
        <w:p w14:paraId="4F386AB0" w14:textId="77777777" w:rsidR="00F5045E" w:rsidRPr="005C106F" w:rsidRDefault="00F5045E"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620596FC" wp14:editId="0B7E3D68">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4261C7D7" w14:textId="77777777" w:rsidR="00F5045E" w:rsidRDefault="00F5045E"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5045E" w14:paraId="28CCCF22" w14:textId="77777777" w:rsidTr="00DF3BE8">
            <w:trPr>
              <w:trHeight w:val="144"/>
            </w:trPr>
            <w:tc>
              <w:tcPr>
                <w:tcW w:w="2589" w:type="dxa"/>
              </w:tcPr>
              <w:p w14:paraId="3C3C5E25" w14:textId="77777777" w:rsidR="00F5045E" w:rsidRPr="00431A70" w:rsidRDefault="00F5045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2F47F84" w14:textId="05F64C49" w:rsidR="00F5045E" w:rsidRPr="00431A70" w:rsidRDefault="00F5045E" w:rsidP="00CB1F95">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06841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4</w:t>
                </w:r>
              </w:p>
            </w:tc>
          </w:tr>
          <w:tr w:rsidR="00F5045E" w14:paraId="08A65171" w14:textId="77777777" w:rsidTr="00DF3BE8">
            <w:trPr>
              <w:trHeight w:val="283"/>
            </w:trPr>
            <w:tc>
              <w:tcPr>
                <w:tcW w:w="2589" w:type="dxa"/>
              </w:tcPr>
              <w:p w14:paraId="54331FA5" w14:textId="77777777" w:rsidR="00F5045E" w:rsidRPr="00431A70" w:rsidRDefault="00F5045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4851E40B" w14:textId="77777777" w:rsidR="00F5045E" w:rsidRPr="005F13CF" w:rsidRDefault="00F5045E"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Temamatla</w:t>
                </w:r>
              </w:p>
            </w:tc>
          </w:tr>
          <w:tr w:rsidR="00F5045E" w14:paraId="2AC4085E" w14:textId="77777777" w:rsidTr="00DF3BE8">
            <w:trPr>
              <w:trHeight w:val="283"/>
            </w:trPr>
            <w:tc>
              <w:tcPr>
                <w:tcW w:w="2589" w:type="dxa"/>
              </w:tcPr>
              <w:p w14:paraId="6F8F0E8D" w14:textId="77777777" w:rsidR="00F5045E" w:rsidRPr="00431A70" w:rsidRDefault="00F5045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E2E2165" w14:textId="77777777" w:rsidR="00F5045E" w:rsidRPr="00431A70" w:rsidRDefault="00F5045E" w:rsidP="005F13CF">
                <w:pPr>
                  <w:tabs>
                    <w:tab w:val="right" w:pos="8838"/>
                  </w:tabs>
                  <w:ind w:left="-106" w:right="171"/>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3D81CE79" w14:textId="77777777" w:rsidR="00F5045E" w:rsidRPr="005C106F" w:rsidRDefault="00F5045E" w:rsidP="005743D2">
          <w:pPr>
            <w:tabs>
              <w:tab w:val="right" w:pos="8838"/>
            </w:tabs>
            <w:ind w:left="-28"/>
            <w:jc w:val="both"/>
            <w:rPr>
              <w:rFonts w:ascii="Arial" w:eastAsia="Calibri" w:hAnsi="Arial" w:cs="Arial"/>
              <w:b/>
              <w:sz w:val="22"/>
              <w:szCs w:val="22"/>
              <w:lang w:eastAsia="en-US"/>
            </w:rPr>
          </w:pPr>
        </w:p>
      </w:tc>
    </w:tr>
  </w:tbl>
  <w:p w14:paraId="5F116367" w14:textId="77777777" w:rsidR="00F5045E" w:rsidRPr="00A25151" w:rsidRDefault="00F5045E"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F5045E" w:rsidRPr="00330DA7" w14:paraId="0F4EEAFF" w14:textId="77777777" w:rsidTr="003B165A">
      <w:trPr>
        <w:trHeight w:val="1435"/>
      </w:trPr>
      <w:tc>
        <w:tcPr>
          <w:tcW w:w="2835" w:type="dxa"/>
          <w:shd w:val="clear" w:color="auto" w:fill="auto"/>
        </w:tcPr>
        <w:p w14:paraId="3DF73A64" w14:textId="77777777" w:rsidR="00F5045E" w:rsidRPr="00330DA7" w:rsidRDefault="00F5045E"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05067BED" wp14:editId="64CCEEF7">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F5045E" w:rsidRPr="00431A70" w14:paraId="52D1A3A1" w14:textId="77777777" w:rsidTr="00DF3BE8">
            <w:trPr>
              <w:trHeight w:val="144"/>
            </w:trPr>
            <w:tc>
              <w:tcPr>
                <w:tcW w:w="2589" w:type="dxa"/>
              </w:tcPr>
              <w:p w14:paraId="5087DE93" w14:textId="77777777" w:rsidR="00F5045E" w:rsidRPr="00431A70" w:rsidRDefault="00F5045E"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07729BDA" w14:textId="43FBEE2D" w:rsidR="00F5045E" w:rsidRPr="00431A70" w:rsidRDefault="00F5045E" w:rsidP="00CB1F95">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06841/INFOEM/IP/RR/2024</w:t>
                </w:r>
              </w:p>
            </w:tc>
          </w:tr>
          <w:tr w:rsidR="00F5045E" w:rsidRPr="00286D0C" w14:paraId="3EC604CA" w14:textId="77777777" w:rsidTr="00DF3BE8">
            <w:trPr>
              <w:trHeight w:val="144"/>
            </w:trPr>
            <w:tc>
              <w:tcPr>
                <w:tcW w:w="2589" w:type="dxa"/>
              </w:tcPr>
              <w:p w14:paraId="4F7F427C" w14:textId="77777777" w:rsidR="00F5045E" w:rsidRPr="00431A70" w:rsidRDefault="00F5045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60267792" w14:textId="77777777" w:rsidR="00F5045E" w:rsidRPr="00286D0C" w:rsidRDefault="00F5045E" w:rsidP="005F13CF">
                <w:pPr>
                  <w:tabs>
                    <w:tab w:val="left" w:pos="3122"/>
                    <w:tab w:val="right" w:pos="8838"/>
                  </w:tabs>
                  <w:ind w:left="-106" w:right="-105"/>
                  <w:jc w:val="both"/>
                  <w:rPr>
                    <w:rFonts w:ascii="Palatino Linotype" w:eastAsia="Calibri" w:hAnsi="Palatino Linotype" w:cs="Tahoma"/>
                    <w:bCs/>
                    <w:sz w:val="22"/>
                    <w:szCs w:val="22"/>
                    <w:lang w:eastAsia="en-US"/>
                  </w:rPr>
                </w:pPr>
              </w:p>
            </w:tc>
          </w:tr>
          <w:tr w:rsidR="00F5045E" w:rsidRPr="00431A70" w14:paraId="7CE82957" w14:textId="77777777" w:rsidTr="00DF3BE8">
            <w:trPr>
              <w:trHeight w:val="283"/>
            </w:trPr>
            <w:tc>
              <w:tcPr>
                <w:tcW w:w="2589" w:type="dxa"/>
              </w:tcPr>
              <w:p w14:paraId="4DB290AC" w14:textId="77777777" w:rsidR="00F5045E" w:rsidRPr="00431A70" w:rsidRDefault="00F5045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66507C6" w14:textId="77777777" w:rsidR="00F5045E" w:rsidRPr="005F13CF" w:rsidRDefault="00F5045E"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Temamatla</w:t>
                </w:r>
              </w:p>
            </w:tc>
          </w:tr>
          <w:tr w:rsidR="00F5045E" w:rsidRPr="00431A70" w14:paraId="5BFAF9C5" w14:textId="77777777" w:rsidTr="00DF3BE8">
            <w:trPr>
              <w:trHeight w:val="283"/>
            </w:trPr>
            <w:tc>
              <w:tcPr>
                <w:tcW w:w="2589" w:type="dxa"/>
              </w:tcPr>
              <w:p w14:paraId="7186FCD1" w14:textId="77777777" w:rsidR="00F5045E" w:rsidRPr="00431A70" w:rsidRDefault="00F5045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629DD4D6" w14:textId="77777777" w:rsidR="00F5045E" w:rsidRPr="00431A70" w:rsidRDefault="00F5045E"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64CE736" w14:textId="77777777" w:rsidR="00F5045E" w:rsidRPr="00330DA7" w:rsidRDefault="00F5045E" w:rsidP="00DB7E5F">
          <w:pPr>
            <w:tabs>
              <w:tab w:val="right" w:pos="8838"/>
            </w:tabs>
            <w:ind w:left="-28"/>
            <w:jc w:val="both"/>
            <w:rPr>
              <w:rFonts w:ascii="Arial" w:eastAsia="Calibri" w:hAnsi="Arial" w:cs="Arial"/>
              <w:b/>
              <w:sz w:val="22"/>
              <w:szCs w:val="22"/>
              <w:lang w:eastAsia="en-US"/>
            </w:rPr>
          </w:pPr>
        </w:p>
      </w:tc>
    </w:tr>
  </w:tbl>
  <w:p w14:paraId="6199ED16" w14:textId="77777777" w:rsidR="00F5045E" w:rsidRPr="00330DA7" w:rsidRDefault="00F5045E"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1E60F0F"/>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16C19"/>
    <w:multiLevelType w:val="hybridMultilevel"/>
    <w:tmpl w:val="9070B0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6055E"/>
    <w:multiLevelType w:val="hybridMultilevel"/>
    <w:tmpl w:val="F9C8F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7367C0"/>
    <w:multiLevelType w:val="hybridMultilevel"/>
    <w:tmpl w:val="ACF4B5A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4B34058"/>
    <w:multiLevelType w:val="hybridMultilevel"/>
    <w:tmpl w:val="6730F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A0A38EB"/>
    <w:multiLevelType w:val="hybridMultilevel"/>
    <w:tmpl w:val="2C4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85FAD"/>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1339B5"/>
    <w:multiLevelType w:val="hybridMultilevel"/>
    <w:tmpl w:val="2B500EC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543474F"/>
    <w:multiLevelType w:val="multilevel"/>
    <w:tmpl w:val="C7C433C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523E65"/>
    <w:multiLevelType w:val="hybridMultilevel"/>
    <w:tmpl w:val="9E6E47C0"/>
    <w:lvl w:ilvl="0" w:tplc="7B3E551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E360DEA"/>
    <w:multiLevelType w:val="hybridMultilevel"/>
    <w:tmpl w:val="005AFE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FBB61A2"/>
    <w:multiLevelType w:val="hybridMultilevel"/>
    <w:tmpl w:val="117865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867980"/>
    <w:multiLevelType w:val="hybridMultilevel"/>
    <w:tmpl w:val="9070B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7631B63"/>
    <w:multiLevelType w:val="hybridMultilevel"/>
    <w:tmpl w:val="A98C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3C87"/>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C816A84"/>
    <w:multiLevelType w:val="hybridMultilevel"/>
    <w:tmpl w:val="FFFFFFFF"/>
    <w:lvl w:ilvl="0" w:tplc="7480C6B8">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9607B6"/>
    <w:multiLevelType w:val="hybridMultilevel"/>
    <w:tmpl w:val="F9C8F3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C912D73"/>
    <w:multiLevelType w:val="hybridMultilevel"/>
    <w:tmpl w:val="AFE8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2D4C29"/>
    <w:multiLevelType w:val="hybridMultilevel"/>
    <w:tmpl w:val="172E8FF2"/>
    <w:lvl w:ilvl="0" w:tplc="080A0019">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3C747C4"/>
    <w:multiLevelType w:val="multilevel"/>
    <w:tmpl w:val="A9B2A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57994FEB"/>
    <w:multiLevelType w:val="hybridMultilevel"/>
    <w:tmpl w:val="FCE0AE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7C4358"/>
    <w:multiLevelType w:val="multilevel"/>
    <w:tmpl w:val="AB8CC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C1821F7"/>
    <w:multiLevelType w:val="hybridMultilevel"/>
    <w:tmpl w:val="83C8F4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3" w15:restartNumberingAfterBreak="0">
    <w:nsid w:val="737F0E21"/>
    <w:multiLevelType w:val="hybridMultilevel"/>
    <w:tmpl w:val="9750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BE7E64"/>
    <w:multiLevelType w:val="hybridMultilevel"/>
    <w:tmpl w:val="009828F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833D38"/>
    <w:multiLevelType w:val="hybridMultilevel"/>
    <w:tmpl w:val="D1BCAB16"/>
    <w:lvl w:ilvl="0" w:tplc="0A92DC5A">
      <w:start w:val="1"/>
      <w:numFmt w:val="upperRoman"/>
      <w:lvlText w:val="%1."/>
      <w:lvlJc w:val="right"/>
      <w:pPr>
        <w:ind w:left="720" w:hanging="360"/>
      </w:pPr>
      <w:rPr>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6"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7"/>
  </w:num>
  <w:num w:numId="5">
    <w:abstractNumId w:val="9"/>
  </w:num>
  <w:num w:numId="6">
    <w:abstractNumId w:val="23"/>
  </w:num>
  <w:num w:numId="7">
    <w:abstractNumId w:val="4"/>
  </w:num>
  <w:num w:numId="8">
    <w:abstractNumId w:val="14"/>
  </w:num>
  <w:num w:numId="9">
    <w:abstractNumId w:val="3"/>
  </w:num>
  <w:num w:numId="10">
    <w:abstractNumId w:val="28"/>
  </w:num>
  <w:num w:numId="11">
    <w:abstractNumId w:val="15"/>
  </w:num>
  <w:num w:numId="12">
    <w:abstractNumId w:val="10"/>
  </w:num>
  <w:num w:numId="13">
    <w:abstractNumId w:val="1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21"/>
  </w:num>
  <w:num w:numId="18">
    <w:abstractNumId w:val="37"/>
  </w:num>
  <w:num w:numId="19">
    <w:abstractNumId w:val="8"/>
  </w:num>
  <w:num w:numId="20">
    <w:abstractNumId w:val="11"/>
  </w:num>
  <w:num w:numId="21">
    <w:abstractNumId w:val="13"/>
  </w:num>
  <w:num w:numId="22">
    <w:abstractNumId w:val="29"/>
  </w:num>
  <w:num w:numId="23">
    <w:abstractNumId w:val="20"/>
  </w:num>
  <w:num w:numId="24">
    <w:abstractNumId w:val="33"/>
  </w:num>
  <w:num w:numId="25">
    <w:abstractNumId w:val="2"/>
  </w:num>
  <w:num w:numId="26">
    <w:abstractNumId w:val="25"/>
  </w:num>
  <w:num w:numId="27">
    <w:abstractNumId w:val="32"/>
  </w:num>
  <w:num w:numId="28">
    <w:abstractNumId w:val="30"/>
  </w:num>
  <w:num w:numId="29">
    <w:abstractNumId w:val="1"/>
  </w:num>
  <w:num w:numId="30">
    <w:abstractNumId w:val="12"/>
  </w:num>
  <w:num w:numId="31">
    <w:abstractNumId w:val="16"/>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24"/>
  </w:num>
  <w:num w:numId="35">
    <w:abstractNumId w:val="5"/>
  </w:num>
  <w:num w:numId="36">
    <w:abstractNumId w:val="26"/>
  </w:num>
  <w:num w:numId="37">
    <w:abstractNumId w:val="19"/>
  </w:num>
  <w:num w:numId="38">
    <w:abstractNumId w:val="6"/>
  </w:num>
  <w:num w:numId="39">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66"/>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3784"/>
    <w:rsid w:val="00053EEF"/>
    <w:rsid w:val="00054106"/>
    <w:rsid w:val="0005422F"/>
    <w:rsid w:val="00055361"/>
    <w:rsid w:val="00056A85"/>
    <w:rsid w:val="00057250"/>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B1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B87"/>
    <w:rsid w:val="00130C11"/>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0E63"/>
    <w:rsid w:val="002020FA"/>
    <w:rsid w:val="00202DB8"/>
    <w:rsid w:val="00203950"/>
    <w:rsid w:val="00204C86"/>
    <w:rsid w:val="002051E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30629"/>
    <w:rsid w:val="00230E81"/>
    <w:rsid w:val="0023183A"/>
    <w:rsid w:val="00232251"/>
    <w:rsid w:val="00232673"/>
    <w:rsid w:val="00232700"/>
    <w:rsid w:val="002343FF"/>
    <w:rsid w:val="0023568B"/>
    <w:rsid w:val="00235F93"/>
    <w:rsid w:val="00236653"/>
    <w:rsid w:val="00236863"/>
    <w:rsid w:val="00237C1F"/>
    <w:rsid w:val="00237D0D"/>
    <w:rsid w:val="00240363"/>
    <w:rsid w:val="00241116"/>
    <w:rsid w:val="002415E5"/>
    <w:rsid w:val="002433A4"/>
    <w:rsid w:val="002435DC"/>
    <w:rsid w:val="002447B2"/>
    <w:rsid w:val="00244ABB"/>
    <w:rsid w:val="00245F68"/>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9C4"/>
    <w:rsid w:val="002657E2"/>
    <w:rsid w:val="002661B2"/>
    <w:rsid w:val="002662BA"/>
    <w:rsid w:val="002669E5"/>
    <w:rsid w:val="002671C8"/>
    <w:rsid w:val="002672CF"/>
    <w:rsid w:val="00271E0B"/>
    <w:rsid w:val="002727CC"/>
    <w:rsid w:val="00272ADB"/>
    <w:rsid w:val="00272F25"/>
    <w:rsid w:val="00272F63"/>
    <w:rsid w:val="00273679"/>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5E67"/>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6323"/>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18D"/>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5F1B"/>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3B91"/>
    <w:rsid w:val="00343DCE"/>
    <w:rsid w:val="00344569"/>
    <w:rsid w:val="00344743"/>
    <w:rsid w:val="00350142"/>
    <w:rsid w:val="00350672"/>
    <w:rsid w:val="0035070B"/>
    <w:rsid w:val="00350D3D"/>
    <w:rsid w:val="00351247"/>
    <w:rsid w:val="00353B6D"/>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22C8"/>
    <w:rsid w:val="0036351E"/>
    <w:rsid w:val="00363615"/>
    <w:rsid w:val="003642A9"/>
    <w:rsid w:val="00364521"/>
    <w:rsid w:val="00364D22"/>
    <w:rsid w:val="00365026"/>
    <w:rsid w:val="00366C8C"/>
    <w:rsid w:val="0036780A"/>
    <w:rsid w:val="00367F82"/>
    <w:rsid w:val="00370CB0"/>
    <w:rsid w:val="0037163B"/>
    <w:rsid w:val="00371916"/>
    <w:rsid w:val="00372803"/>
    <w:rsid w:val="00373387"/>
    <w:rsid w:val="00373EFB"/>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25E2"/>
    <w:rsid w:val="00392877"/>
    <w:rsid w:val="00392E12"/>
    <w:rsid w:val="00393668"/>
    <w:rsid w:val="00393685"/>
    <w:rsid w:val="00393EB2"/>
    <w:rsid w:val="00394461"/>
    <w:rsid w:val="003948EA"/>
    <w:rsid w:val="00394CA8"/>
    <w:rsid w:val="00394D7E"/>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7CA"/>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406CF"/>
    <w:rsid w:val="00441804"/>
    <w:rsid w:val="004435B4"/>
    <w:rsid w:val="00443C24"/>
    <w:rsid w:val="00444D0E"/>
    <w:rsid w:val="0044550A"/>
    <w:rsid w:val="0044640B"/>
    <w:rsid w:val="004464AF"/>
    <w:rsid w:val="00446759"/>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2502"/>
    <w:rsid w:val="005028CC"/>
    <w:rsid w:val="005036C3"/>
    <w:rsid w:val="005070C3"/>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6AEF"/>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1574"/>
    <w:rsid w:val="00552EBD"/>
    <w:rsid w:val="00552F49"/>
    <w:rsid w:val="00553061"/>
    <w:rsid w:val="00553827"/>
    <w:rsid w:val="00553A6B"/>
    <w:rsid w:val="00553D1F"/>
    <w:rsid w:val="005544AF"/>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044"/>
    <w:rsid w:val="0056798A"/>
    <w:rsid w:val="00567E79"/>
    <w:rsid w:val="0057089E"/>
    <w:rsid w:val="00570981"/>
    <w:rsid w:val="00571C37"/>
    <w:rsid w:val="005727DC"/>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E68"/>
    <w:rsid w:val="0059433D"/>
    <w:rsid w:val="005A04BD"/>
    <w:rsid w:val="005A16B3"/>
    <w:rsid w:val="005A1884"/>
    <w:rsid w:val="005A52AC"/>
    <w:rsid w:val="005A5B69"/>
    <w:rsid w:val="005A62BE"/>
    <w:rsid w:val="005A6C82"/>
    <w:rsid w:val="005A738C"/>
    <w:rsid w:val="005B02DF"/>
    <w:rsid w:val="005B08E6"/>
    <w:rsid w:val="005B0CA1"/>
    <w:rsid w:val="005B0D7C"/>
    <w:rsid w:val="005B0E86"/>
    <w:rsid w:val="005B1A5E"/>
    <w:rsid w:val="005B2240"/>
    <w:rsid w:val="005B2B96"/>
    <w:rsid w:val="005B4380"/>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3DB"/>
    <w:rsid w:val="005F0F0A"/>
    <w:rsid w:val="005F13CF"/>
    <w:rsid w:val="005F220F"/>
    <w:rsid w:val="005F2E78"/>
    <w:rsid w:val="005F3812"/>
    <w:rsid w:val="005F3BF5"/>
    <w:rsid w:val="005F48F1"/>
    <w:rsid w:val="005F52F4"/>
    <w:rsid w:val="005F7BA4"/>
    <w:rsid w:val="00600280"/>
    <w:rsid w:val="0060111D"/>
    <w:rsid w:val="00601E59"/>
    <w:rsid w:val="00602657"/>
    <w:rsid w:val="00602736"/>
    <w:rsid w:val="0060381C"/>
    <w:rsid w:val="00603A46"/>
    <w:rsid w:val="006045FD"/>
    <w:rsid w:val="00604FEB"/>
    <w:rsid w:val="00605E6E"/>
    <w:rsid w:val="00606194"/>
    <w:rsid w:val="00607826"/>
    <w:rsid w:val="0061051A"/>
    <w:rsid w:val="00610656"/>
    <w:rsid w:val="00610DF8"/>
    <w:rsid w:val="0061115C"/>
    <w:rsid w:val="00611A49"/>
    <w:rsid w:val="00611ADB"/>
    <w:rsid w:val="00613017"/>
    <w:rsid w:val="00613A54"/>
    <w:rsid w:val="00614619"/>
    <w:rsid w:val="00614691"/>
    <w:rsid w:val="006157C9"/>
    <w:rsid w:val="00616189"/>
    <w:rsid w:val="00616AB4"/>
    <w:rsid w:val="0062078C"/>
    <w:rsid w:val="00620E8F"/>
    <w:rsid w:val="00621760"/>
    <w:rsid w:val="006217BB"/>
    <w:rsid w:val="00625134"/>
    <w:rsid w:val="00625ADA"/>
    <w:rsid w:val="00625BD5"/>
    <w:rsid w:val="00625DF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4AF0"/>
    <w:rsid w:val="00655265"/>
    <w:rsid w:val="006552AE"/>
    <w:rsid w:val="00655773"/>
    <w:rsid w:val="00655DD0"/>
    <w:rsid w:val="006563CA"/>
    <w:rsid w:val="00656730"/>
    <w:rsid w:val="006573DD"/>
    <w:rsid w:val="006578FC"/>
    <w:rsid w:val="006607B1"/>
    <w:rsid w:val="006608AB"/>
    <w:rsid w:val="006609AC"/>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85B"/>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67AA"/>
    <w:rsid w:val="006A6B88"/>
    <w:rsid w:val="006A6D7F"/>
    <w:rsid w:val="006B01B2"/>
    <w:rsid w:val="006B0298"/>
    <w:rsid w:val="006B0962"/>
    <w:rsid w:val="006B0B50"/>
    <w:rsid w:val="006B0D07"/>
    <w:rsid w:val="006B0E83"/>
    <w:rsid w:val="006B180E"/>
    <w:rsid w:val="006B1D90"/>
    <w:rsid w:val="006B385B"/>
    <w:rsid w:val="006B4562"/>
    <w:rsid w:val="006B5493"/>
    <w:rsid w:val="006B5FFD"/>
    <w:rsid w:val="006B6FED"/>
    <w:rsid w:val="006B72F6"/>
    <w:rsid w:val="006B77E2"/>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5ED1"/>
    <w:rsid w:val="006F6CA7"/>
    <w:rsid w:val="006F7EB8"/>
    <w:rsid w:val="007006BA"/>
    <w:rsid w:val="007007DA"/>
    <w:rsid w:val="00700825"/>
    <w:rsid w:val="0070094A"/>
    <w:rsid w:val="00701DE4"/>
    <w:rsid w:val="00702DD7"/>
    <w:rsid w:val="00704085"/>
    <w:rsid w:val="00704138"/>
    <w:rsid w:val="00704305"/>
    <w:rsid w:val="007043CB"/>
    <w:rsid w:val="0070476D"/>
    <w:rsid w:val="007047D3"/>
    <w:rsid w:val="00704B24"/>
    <w:rsid w:val="00705663"/>
    <w:rsid w:val="00705C40"/>
    <w:rsid w:val="0070629D"/>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478"/>
    <w:rsid w:val="00740C8C"/>
    <w:rsid w:val="00741745"/>
    <w:rsid w:val="00741AC4"/>
    <w:rsid w:val="007429E1"/>
    <w:rsid w:val="00742CA5"/>
    <w:rsid w:val="00743504"/>
    <w:rsid w:val="00743CA7"/>
    <w:rsid w:val="0074489F"/>
    <w:rsid w:val="0074594A"/>
    <w:rsid w:val="00746642"/>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461"/>
    <w:rsid w:val="00785A0A"/>
    <w:rsid w:val="00785DC5"/>
    <w:rsid w:val="0078639C"/>
    <w:rsid w:val="00786B36"/>
    <w:rsid w:val="00786F25"/>
    <w:rsid w:val="00786FF3"/>
    <w:rsid w:val="0078758E"/>
    <w:rsid w:val="007875F5"/>
    <w:rsid w:val="007876CF"/>
    <w:rsid w:val="00787B77"/>
    <w:rsid w:val="00790309"/>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1177"/>
    <w:rsid w:val="007E1A0F"/>
    <w:rsid w:val="007E22E7"/>
    <w:rsid w:val="007E2467"/>
    <w:rsid w:val="007E2893"/>
    <w:rsid w:val="007E2C7F"/>
    <w:rsid w:val="007E3AF4"/>
    <w:rsid w:val="007E4232"/>
    <w:rsid w:val="007E4478"/>
    <w:rsid w:val="007E4927"/>
    <w:rsid w:val="007E4ED9"/>
    <w:rsid w:val="007E599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1457"/>
    <w:rsid w:val="00801BCE"/>
    <w:rsid w:val="00801E7D"/>
    <w:rsid w:val="00802515"/>
    <w:rsid w:val="0080254F"/>
    <w:rsid w:val="00802661"/>
    <w:rsid w:val="0080373C"/>
    <w:rsid w:val="00803E3D"/>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6CE"/>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531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848"/>
    <w:rsid w:val="008B75B8"/>
    <w:rsid w:val="008C0024"/>
    <w:rsid w:val="008C1393"/>
    <w:rsid w:val="008C15FF"/>
    <w:rsid w:val="008C2FA1"/>
    <w:rsid w:val="008C58DF"/>
    <w:rsid w:val="008C5AE6"/>
    <w:rsid w:val="008C62AB"/>
    <w:rsid w:val="008C6C63"/>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8F2"/>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3A5"/>
    <w:rsid w:val="008F18ED"/>
    <w:rsid w:val="008F2631"/>
    <w:rsid w:val="008F407C"/>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A5C"/>
    <w:rsid w:val="009125AE"/>
    <w:rsid w:val="009125C5"/>
    <w:rsid w:val="00914408"/>
    <w:rsid w:val="00914C61"/>
    <w:rsid w:val="00915AB6"/>
    <w:rsid w:val="00915DB9"/>
    <w:rsid w:val="009161CB"/>
    <w:rsid w:val="00916270"/>
    <w:rsid w:val="009165F0"/>
    <w:rsid w:val="00916E90"/>
    <w:rsid w:val="00917388"/>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A0C"/>
    <w:rsid w:val="0093364D"/>
    <w:rsid w:val="00933664"/>
    <w:rsid w:val="00933BE4"/>
    <w:rsid w:val="00934048"/>
    <w:rsid w:val="00935B2E"/>
    <w:rsid w:val="00936574"/>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19CD"/>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B62"/>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508F"/>
    <w:rsid w:val="009F6006"/>
    <w:rsid w:val="009F65AF"/>
    <w:rsid w:val="009F72A8"/>
    <w:rsid w:val="009F754F"/>
    <w:rsid w:val="009F7D54"/>
    <w:rsid w:val="00A00109"/>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A77"/>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DB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5936"/>
    <w:rsid w:val="00AB5BC8"/>
    <w:rsid w:val="00AB6595"/>
    <w:rsid w:val="00AB67EF"/>
    <w:rsid w:val="00AB76D8"/>
    <w:rsid w:val="00AB7760"/>
    <w:rsid w:val="00AB7E6A"/>
    <w:rsid w:val="00AC193A"/>
    <w:rsid w:val="00AC1B50"/>
    <w:rsid w:val="00AC1B61"/>
    <w:rsid w:val="00AC28E0"/>
    <w:rsid w:val="00AC2C6E"/>
    <w:rsid w:val="00AC3A3F"/>
    <w:rsid w:val="00AC41CA"/>
    <w:rsid w:val="00AC5363"/>
    <w:rsid w:val="00AC5EE6"/>
    <w:rsid w:val="00AC6B75"/>
    <w:rsid w:val="00AC6C2F"/>
    <w:rsid w:val="00AC706C"/>
    <w:rsid w:val="00AD0AB4"/>
    <w:rsid w:val="00AD0D24"/>
    <w:rsid w:val="00AD0DE0"/>
    <w:rsid w:val="00AD1480"/>
    <w:rsid w:val="00AD192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304B7"/>
    <w:rsid w:val="00B31222"/>
    <w:rsid w:val="00B31516"/>
    <w:rsid w:val="00B318C9"/>
    <w:rsid w:val="00B31FDB"/>
    <w:rsid w:val="00B327FB"/>
    <w:rsid w:val="00B33998"/>
    <w:rsid w:val="00B33EEF"/>
    <w:rsid w:val="00B348F1"/>
    <w:rsid w:val="00B416D0"/>
    <w:rsid w:val="00B41D89"/>
    <w:rsid w:val="00B42C7F"/>
    <w:rsid w:val="00B42E81"/>
    <w:rsid w:val="00B4329D"/>
    <w:rsid w:val="00B457EF"/>
    <w:rsid w:val="00B45BEE"/>
    <w:rsid w:val="00B46A26"/>
    <w:rsid w:val="00B46C8E"/>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D3F"/>
    <w:rsid w:val="00BA4C61"/>
    <w:rsid w:val="00BA4CE5"/>
    <w:rsid w:val="00BA5DF2"/>
    <w:rsid w:val="00BA7E4A"/>
    <w:rsid w:val="00BB1236"/>
    <w:rsid w:val="00BB1A27"/>
    <w:rsid w:val="00BB1F81"/>
    <w:rsid w:val="00BB375D"/>
    <w:rsid w:val="00BB4277"/>
    <w:rsid w:val="00BB49A0"/>
    <w:rsid w:val="00BB515F"/>
    <w:rsid w:val="00BB532B"/>
    <w:rsid w:val="00BC0924"/>
    <w:rsid w:val="00BC0C50"/>
    <w:rsid w:val="00BC11E0"/>
    <w:rsid w:val="00BC198A"/>
    <w:rsid w:val="00BC1FA5"/>
    <w:rsid w:val="00BC2598"/>
    <w:rsid w:val="00BC299D"/>
    <w:rsid w:val="00BC2C0C"/>
    <w:rsid w:val="00BC3B70"/>
    <w:rsid w:val="00BC4AE9"/>
    <w:rsid w:val="00BC671C"/>
    <w:rsid w:val="00BC6E7C"/>
    <w:rsid w:val="00BC7182"/>
    <w:rsid w:val="00BC732A"/>
    <w:rsid w:val="00BC7398"/>
    <w:rsid w:val="00BC7458"/>
    <w:rsid w:val="00BC758B"/>
    <w:rsid w:val="00BC79AA"/>
    <w:rsid w:val="00BC79C3"/>
    <w:rsid w:val="00BC7D51"/>
    <w:rsid w:val="00BD1045"/>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667D"/>
    <w:rsid w:val="00BF68BB"/>
    <w:rsid w:val="00BF69D9"/>
    <w:rsid w:val="00BF6E25"/>
    <w:rsid w:val="00BF706E"/>
    <w:rsid w:val="00BF773F"/>
    <w:rsid w:val="00BF7E94"/>
    <w:rsid w:val="00C0169B"/>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717"/>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564"/>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770"/>
    <w:rsid w:val="00CD2422"/>
    <w:rsid w:val="00CD2797"/>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17D5"/>
    <w:rsid w:val="00D11916"/>
    <w:rsid w:val="00D11D77"/>
    <w:rsid w:val="00D125A8"/>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681"/>
    <w:rsid w:val="00D31CD5"/>
    <w:rsid w:val="00D33009"/>
    <w:rsid w:val="00D3376E"/>
    <w:rsid w:val="00D337DF"/>
    <w:rsid w:val="00D340A6"/>
    <w:rsid w:val="00D34402"/>
    <w:rsid w:val="00D348F7"/>
    <w:rsid w:val="00D351D9"/>
    <w:rsid w:val="00D35641"/>
    <w:rsid w:val="00D3564E"/>
    <w:rsid w:val="00D36815"/>
    <w:rsid w:val="00D36EF4"/>
    <w:rsid w:val="00D371D0"/>
    <w:rsid w:val="00D4062A"/>
    <w:rsid w:val="00D4099D"/>
    <w:rsid w:val="00D40BC3"/>
    <w:rsid w:val="00D410EA"/>
    <w:rsid w:val="00D42D55"/>
    <w:rsid w:val="00D434EC"/>
    <w:rsid w:val="00D44C07"/>
    <w:rsid w:val="00D44E9D"/>
    <w:rsid w:val="00D450DA"/>
    <w:rsid w:val="00D4567E"/>
    <w:rsid w:val="00D4578B"/>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DA6"/>
    <w:rsid w:val="00D64656"/>
    <w:rsid w:val="00D66FC3"/>
    <w:rsid w:val="00D70C67"/>
    <w:rsid w:val="00D70E79"/>
    <w:rsid w:val="00D71436"/>
    <w:rsid w:val="00D71CF9"/>
    <w:rsid w:val="00D72EAC"/>
    <w:rsid w:val="00D73BC4"/>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2004"/>
    <w:rsid w:val="00DE2966"/>
    <w:rsid w:val="00DE40E0"/>
    <w:rsid w:val="00DE4107"/>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F03"/>
    <w:rsid w:val="00DF72D9"/>
    <w:rsid w:val="00DF7B69"/>
    <w:rsid w:val="00DF7EC8"/>
    <w:rsid w:val="00E00D4F"/>
    <w:rsid w:val="00E0128F"/>
    <w:rsid w:val="00E0164B"/>
    <w:rsid w:val="00E0218A"/>
    <w:rsid w:val="00E028ED"/>
    <w:rsid w:val="00E02D8B"/>
    <w:rsid w:val="00E02E7F"/>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09D"/>
    <w:rsid w:val="00E32DBA"/>
    <w:rsid w:val="00E354AF"/>
    <w:rsid w:val="00E35DF9"/>
    <w:rsid w:val="00E363BB"/>
    <w:rsid w:val="00E37483"/>
    <w:rsid w:val="00E377D5"/>
    <w:rsid w:val="00E37FDD"/>
    <w:rsid w:val="00E41044"/>
    <w:rsid w:val="00E416B1"/>
    <w:rsid w:val="00E42117"/>
    <w:rsid w:val="00E424DE"/>
    <w:rsid w:val="00E43469"/>
    <w:rsid w:val="00E4359A"/>
    <w:rsid w:val="00E4369C"/>
    <w:rsid w:val="00E43A0F"/>
    <w:rsid w:val="00E43AA2"/>
    <w:rsid w:val="00E4438B"/>
    <w:rsid w:val="00E445DA"/>
    <w:rsid w:val="00E447EE"/>
    <w:rsid w:val="00E45379"/>
    <w:rsid w:val="00E4659B"/>
    <w:rsid w:val="00E465CB"/>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E1A"/>
    <w:rsid w:val="00EA030F"/>
    <w:rsid w:val="00EA0E04"/>
    <w:rsid w:val="00EA220D"/>
    <w:rsid w:val="00EA2594"/>
    <w:rsid w:val="00EA2FBD"/>
    <w:rsid w:val="00EA3156"/>
    <w:rsid w:val="00EA3FF0"/>
    <w:rsid w:val="00EA40A2"/>
    <w:rsid w:val="00EA4113"/>
    <w:rsid w:val="00EA46DF"/>
    <w:rsid w:val="00EA4CD5"/>
    <w:rsid w:val="00EA4E4A"/>
    <w:rsid w:val="00EA5D2C"/>
    <w:rsid w:val="00EA5D8E"/>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4590"/>
    <w:rsid w:val="00EC5BF3"/>
    <w:rsid w:val="00EC5CA0"/>
    <w:rsid w:val="00EC642A"/>
    <w:rsid w:val="00EC651D"/>
    <w:rsid w:val="00EC6738"/>
    <w:rsid w:val="00EC6C95"/>
    <w:rsid w:val="00EC6D3B"/>
    <w:rsid w:val="00EC7372"/>
    <w:rsid w:val="00ED0706"/>
    <w:rsid w:val="00ED19D1"/>
    <w:rsid w:val="00ED2082"/>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710C"/>
    <w:rsid w:val="00F07119"/>
    <w:rsid w:val="00F072BF"/>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351"/>
    <w:rsid w:val="00F304E8"/>
    <w:rsid w:val="00F30562"/>
    <w:rsid w:val="00F30C80"/>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E6E"/>
    <w:rsid w:val="00F43EBF"/>
    <w:rsid w:val="00F44423"/>
    <w:rsid w:val="00F44AB8"/>
    <w:rsid w:val="00F464D1"/>
    <w:rsid w:val="00F4651D"/>
    <w:rsid w:val="00F46AD4"/>
    <w:rsid w:val="00F46E80"/>
    <w:rsid w:val="00F47A11"/>
    <w:rsid w:val="00F47CE9"/>
    <w:rsid w:val="00F5045E"/>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604"/>
    <w:rsid w:val="00F6497E"/>
    <w:rsid w:val="00F64ED1"/>
    <w:rsid w:val="00F66601"/>
    <w:rsid w:val="00F66BD7"/>
    <w:rsid w:val="00F677E2"/>
    <w:rsid w:val="00F705D2"/>
    <w:rsid w:val="00F70C9C"/>
    <w:rsid w:val="00F715EB"/>
    <w:rsid w:val="00F717E6"/>
    <w:rsid w:val="00F71D2E"/>
    <w:rsid w:val="00F7216B"/>
    <w:rsid w:val="00F7264A"/>
    <w:rsid w:val="00F72652"/>
    <w:rsid w:val="00F72E5E"/>
    <w:rsid w:val="00F73751"/>
    <w:rsid w:val="00F75EAD"/>
    <w:rsid w:val="00F763CA"/>
    <w:rsid w:val="00F77154"/>
    <w:rsid w:val="00F805F6"/>
    <w:rsid w:val="00F80F33"/>
    <w:rsid w:val="00F8257B"/>
    <w:rsid w:val="00F82D9E"/>
    <w:rsid w:val="00F82FA8"/>
    <w:rsid w:val="00F8308D"/>
    <w:rsid w:val="00F8328B"/>
    <w:rsid w:val="00F8411B"/>
    <w:rsid w:val="00F8442A"/>
    <w:rsid w:val="00F846D6"/>
    <w:rsid w:val="00F85113"/>
    <w:rsid w:val="00F85512"/>
    <w:rsid w:val="00F856EE"/>
    <w:rsid w:val="00F85741"/>
    <w:rsid w:val="00F860A3"/>
    <w:rsid w:val="00F86130"/>
    <w:rsid w:val="00F871D7"/>
    <w:rsid w:val="00F87607"/>
    <w:rsid w:val="00F87649"/>
    <w:rsid w:val="00F9173A"/>
    <w:rsid w:val="00F91800"/>
    <w:rsid w:val="00F9341D"/>
    <w:rsid w:val="00F937CF"/>
    <w:rsid w:val="00F93A36"/>
    <w:rsid w:val="00F93C90"/>
    <w:rsid w:val="00F94A68"/>
    <w:rsid w:val="00F94B81"/>
    <w:rsid w:val="00F94E99"/>
    <w:rsid w:val="00F95C26"/>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3EA0"/>
    <w:rsid w:val="00FB55F4"/>
    <w:rsid w:val="00FB58D8"/>
    <w:rsid w:val="00FB6548"/>
    <w:rsid w:val="00FB688E"/>
    <w:rsid w:val="00FB6AF0"/>
    <w:rsid w:val="00FB6BC8"/>
    <w:rsid w:val="00FB7140"/>
    <w:rsid w:val="00FB71EA"/>
    <w:rsid w:val="00FC0365"/>
    <w:rsid w:val="00FC0B63"/>
    <w:rsid w:val="00FC1226"/>
    <w:rsid w:val="00FC15DA"/>
    <w:rsid w:val="00FC1B7A"/>
    <w:rsid w:val="00FC2209"/>
    <w:rsid w:val="00FC31A6"/>
    <w:rsid w:val="00FC376A"/>
    <w:rsid w:val="00FC4B6C"/>
    <w:rsid w:val="00FC53DD"/>
    <w:rsid w:val="00FC6827"/>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CAB"/>
    <w:rsid w:val="00FF0EB1"/>
    <w:rsid w:val="00FF1049"/>
    <w:rsid w:val="00FF156D"/>
    <w:rsid w:val="00FF3529"/>
    <w:rsid w:val="00FF3634"/>
    <w:rsid w:val="00FF3699"/>
    <w:rsid w:val="00FF426B"/>
    <w:rsid w:val="00FF4408"/>
    <w:rsid w:val="00FF456A"/>
    <w:rsid w:val="00FF46FD"/>
    <w:rsid w:val="00FF57AD"/>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B710B"/>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semiHidden/>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em.org.mx/es/contenido/datos-personal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C4B3-377B-4B57-B6A9-0D029F12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10924</Words>
  <Characters>60085</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cp:lastModifiedBy>
  <cp:revision>3</cp:revision>
  <cp:lastPrinted>2024-11-28T23:53:00Z</cp:lastPrinted>
  <dcterms:created xsi:type="dcterms:W3CDTF">2024-12-06T00:45:00Z</dcterms:created>
  <dcterms:modified xsi:type="dcterms:W3CDTF">2025-02-05T16:31:00Z</dcterms:modified>
</cp:coreProperties>
</file>